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CDDB1" w14:textId="77777777" w:rsidR="004B5E40" w:rsidRPr="00D57A6B" w:rsidRDefault="003B4E18" w:rsidP="00F47B32">
      <w:pPr>
        <w:jc w:val="center"/>
        <w:rPr>
          <w:b/>
          <w:sz w:val="28"/>
          <w:szCs w:val="28"/>
        </w:rPr>
      </w:pPr>
      <w:r>
        <w:rPr>
          <w:b/>
          <w:sz w:val="28"/>
          <w:szCs w:val="28"/>
        </w:rPr>
        <w:t>Ministru kabineta noteikumu projekta “Grozījum</w:t>
      </w:r>
      <w:r w:rsidR="00173514">
        <w:rPr>
          <w:b/>
          <w:sz w:val="28"/>
          <w:szCs w:val="28"/>
        </w:rPr>
        <w:t>i</w:t>
      </w:r>
      <w:r>
        <w:rPr>
          <w:b/>
          <w:sz w:val="28"/>
          <w:szCs w:val="28"/>
        </w:rPr>
        <w:t xml:space="preserve"> Ministru kabineta 2010.gada 30.novembra noteikumos Nr.1077 “</w:t>
      </w:r>
      <w:r w:rsidR="004B5E40" w:rsidRPr="00D57A6B">
        <w:rPr>
          <w:b/>
          <w:sz w:val="28"/>
          <w:szCs w:val="28"/>
        </w:rPr>
        <w:t xml:space="preserve"> </w:t>
      </w:r>
      <w:r>
        <w:rPr>
          <w:b/>
          <w:sz w:val="28"/>
          <w:szCs w:val="28"/>
        </w:rPr>
        <w:t xml:space="preserve">Noteikumi par valsts sociālo pabalstu </w:t>
      </w:r>
      <w:r w:rsidR="004B5E40" w:rsidRPr="00D57A6B">
        <w:rPr>
          <w:b/>
          <w:sz w:val="28"/>
          <w:szCs w:val="28"/>
        </w:rPr>
        <w:t>Černobiļas atomelektrostacijas avārijas seku likvidēšanas dalībniek</w:t>
      </w:r>
      <w:r>
        <w:rPr>
          <w:b/>
          <w:sz w:val="28"/>
          <w:szCs w:val="28"/>
        </w:rPr>
        <w:t>iem</w:t>
      </w:r>
      <w:r w:rsidR="004B5E40" w:rsidRPr="00D57A6B">
        <w:rPr>
          <w:b/>
          <w:sz w:val="28"/>
          <w:szCs w:val="28"/>
        </w:rPr>
        <w:t xml:space="preserve"> un </w:t>
      </w:r>
      <w:r>
        <w:rPr>
          <w:b/>
          <w:sz w:val="28"/>
          <w:szCs w:val="28"/>
        </w:rPr>
        <w:t xml:space="preserve">mirušo </w:t>
      </w:r>
      <w:r w:rsidR="004B5E40" w:rsidRPr="00D57A6B">
        <w:rPr>
          <w:b/>
          <w:sz w:val="28"/>
          <w:szCs w:val="28"/>
        </w:rPr>
        <w:t xml:space="preserve">Černobiļas atomelektrostacijas avārijas </w:t>
      </w:r>
      <w:r>
        <w:rPr>
          <w:b/>
          <w:sz w:val="28"/>
          <w:szCs w:val="28"/>
        </w:rPr>
        <w:t>seku likvidēšanas dalībnieku ģimenēm</w:t>
      </w:r>
      <w:r w:rsidR="004B5E40" w:rsidRPr="00D57A6B">
        <w:rPr>
          <w:b/>
          <w:sz w:val="28"/>
          <w:szCs w:val="28"/>
        </w:rPr>
        <w:t xml:space="preserve"> ”</w:t>
      </w:r>
      <w:r>
        <w:rPr>
          <w:b/>
          <w:sz w:val="28"/>
          <w:szCs w:val="28"/>
        </w:rPr>
        <w:t>”</w:t>
      </w:r>
      <w:r w:rsidR="004B5E40" w:rsidRPr="00D57A6B">
        <w:rPr>
          <w:b/>
          <w:sz w:val="28"/>
          <w:szCs w:val="28"/>
        </w:rPr>
        <w:t xml:space="preserve"> sākotnējās ietekmes novērtējuma ziņojums (anotācija)</w:t>
      </w:r>
    </w:p>
    <w:p w14:paraId="11F1C22B" w14:textId="77777777" w:rsidR="004B5E40" w:rsidRDefault="004B5E40" w:rsidP="004B5E40">
      <w:pPr>
        <w:pStyle w:val="naisf"/>
        <w:spacing w:before="0" w:beforeAutospacing="0" w:after="0" w:afterAutospacing="0"/>
        <w:jc w:val="both"/>
        <w:rPr>
          <w:b/>
          <w:sz w:val="22"/>
          <w:szCs w:val="22"/>
        </w:rPr>
      </w:pPr>
    </w:p>
    <w:p w14:paraId="02B2B0A2" w14:textId="77777777" w:rsidR="004B5E40" w:rsidRPr="00CA34D5" w:rsidRDefault="004B5E40" w:rsidP="004B5E40">
      <w:pPr>
        <w:pStyle w:val="naisf"/>
        <w:spacing w:before="0" w:beforeAutospacing="0" w:after="0" w:afterAutospacing="0"/>
        <w:jc w:val="both"/>
        <w:rPr>
          <w:b/>
          <w:sz w:val="22"/>
          <w:szCs w:val="22"/>
        </w:rPr>
      </w:pPr>
    </w:p>
    <w:tbl>
      <w:tblPr>
        <w:tblStyle w:val="TableGrid1"/>
        <w:tblW w:w="5000" w:type="pct"/>
        <w:tblLook w:val="0000" w:firstRow="0" w:lastRow="0" w:firstColumn="0" w:lastColumn="0" w:noHBand="0" w:noVBand="0"/>
      </w:tblPr>
      <w:tblGrid>
        <w:gridCol w:w="481"/>
        <w:gridCol w:w="2983"/>
        <w:gridCol w:w="6157"/>
      </w:tblGrid>
      <w:tr w:rsidR="004B5E40" w14:paraId="508CB6EB" w14:textId="77777777" w:rsidTr="0073585A">
        <w:trPr>
          <w:trHeight w:val="405"/>
        </w:trPr>
        <w:tc>
          <w:tcPr>
            <w:tcW w:w="0" w:type="auto"/>
            <w:gridSpan w:val="3"/>
            <w:vAlign w:val="center"/>
          </w:tcPr>
          <w:p w14:paraId="1C2EF57E" w14:textId="77777777" w:rsidR="004B5E40" w:rsidRDefault="004B5E40" w:rsidP="0073585A">
            <w:pPr>
              <w:pStyle w:val="tvhtmlmktable"/>
              <w:jc w:val="center"/>
              <w:rPr>
                <w:b/>
                <w:bCs/>
              </w:rPr>
            </w:pPr>
            <w:r>
              <w:rPr>
                <w:b/>
                <w:bCs/>
              </w:rPr>
              <w:t>I. Tiesību akta projekta izstrādes nepieciešamība</w:t>
            </w:r>
          </w:p>
        </w:tc>
      </w:tr>
      <w:tr w:rsidR="004B5E40" w14:paraId="44E0F3DC" w14:textId="77777777" w:rsidTr="0073585A">
        <w:trPr>
          <w:trHeight w:val="405"/>
        </w:trPr>
        <w:tc>
          <w:tcPr>
            <w:tcW w:w="250" w:type="pct"/>
          </w:tcPr>
          <w:p w14:paraId="4152458A" w14:textId="77777777" w:rsidR="004B5E40" w:rsidRDefault="004B5E40" w:rsidP="0073585A">
            <w:pPr>
              <w:pStyle w:val="tvhtmlmktable"/>
              <w:jc w:val="center"/>
            </w:pPr>
            <w:r>
              <w:t>1.</w:t>
            </w:r>
          </w:p>
        </w:tc>
        <w:tc>
          <w:tcPr>
            <w:tcW w:w="1550" w:type="pct"/>
          </w:tcPr>
          <w:p w14:paraId="0C4295C1" w14:textId="77777777" w:rsidR="004B5E40" w:rsidRDefault="004B5E40" w:rsidP="0073585A">
            <w:r>
              <w:t>Pamatojums</w:t>
            </w:r>
          </w:p>
        </w:tc>
        <w:tc>
          <w:tcPr>
            <w:tcW w:w="3200" w:type="pct"/>
          </w:tcPr>
          <w:p w14:paraId="7177BFB0" w14:textId="1A32513E" w:rsidR="004B5E40" w:rsidRDefault="004B5E40" w:rsidP="001E4E52">
            <w:pPr>
              <w:ind w:firstLine="284"/>
              <w:jc w:val="both"/>
              <w:rPr>
                <w:bCs/>
              </w:rPr>
            </w:pPr>
            <w:r w:rsidRPr="009848B1">
              <w:rPr>
                <w:bCs/>
              </w:rPr>
              <w:t>Labklājības ministrijas iniciatīva,</w:t>
            </w:r>
            <w:r w:rsidRPr="009848B1">
              <w:t xml:space="preserve"> </w:t>
            </w:r>
            <w:r w:rsidRPr="009848B1">
              <w:rPr>
                <w:bCs/>
              </w:rPr>
              <w:t>lai</w:t>
            </w:r>
            <w:r w:rsidR="00996EC0">
              <w:rPr>
                <w:bCs/>
              </w:rPr>
              <w:t xml:space="preserve"> palielinātu</w:t>
            </w:r>
            <w:r w:rsidRPr="009848B1">
              <w:rPr>
                <w:bCs/>
              </w:rPr>
              <w:t xml:space="preserve"> </w:t>
            </w:r>
            <w:r w:rsidR="00996EC0">
              <w:rPr>
                <w:bCs/>
              </w:rPr>
              <w:t>valsts atbalstu Č</w:t>
            </w:r>
            <w:r w:rsidR="00E756E6">
              <w:rPr>
                <w:bCs/>
              </w:rPr>
              <w:t>ernobiļas atomelektrostacijas avārijas seku likvidēšanas (turpmāk – ČAES)</w:t>
            </w:r>
            <w:r w:rsidR="00996EC0">
              <w:rPr>
                <w:bCs/>
              </w:rPr>
              <w:t xml:space="preserve"> dalībniekiem un mirušo ČAES dalībnieku ģimeņu locekļiem pamatvajadzību nodrošināšanai</w:t>
            </w:r>
            <w:r w:rsidR="002C0A4C">
              <w:rPr>
                <w:bCs/>
              </w:rPr>
              <w:t>, saskaņā ar Ministru kabineta 2010.gada 30.novembra noteikumu Nr.1077 “Noteikumi par valsts sociālo pabalstu Černobiļas atomelektrostacijas avārijas</w:t>
            </w:r>
            <w:r w:rsidR="00EF012B">
              <w:rPr>
                <w:bCs/>
              </w:rPr>
              <w:t xml:space="preserve"> seku likvidēšanas dalībniekiem un mirušo Černobiļas atomelektrostacijas avārijas seku likvidēšanas dalībnieku ģimenēm” (turpmāk – Noteikumi) 3.punktu</w:t>
            </w:r>
            <w:r w:rsidR="000A7E21">
              <w:rPr>
                <w:bCs/>
              </w:rPr>
              <w:t>.</w:t>
            </w:r>
          </w:p>
          <w:p w14:paraId="1A01B415" w14:textId="77777777" w:rsidR="00FC2CBF" w:rsidRDefault="00FC2CBF" w:rsidP="001E4E52">
            <w:pPr>
              <w:ind w:firstLine="284"/>
              <w:jc w:val="both"/>
              <w:rPr>
                <w:bCs/>
              </w:rPr>
            </w:pPr>
            <w:r>
              <w:rPr>
                <w:bCs/>
              </w:rPr>
              <w:t>Ministru kabineta 2014.gada 8.jūlija sēdē tika izskatīts un pieņemts zināšanai</w:t>
            </w:r>
            <w:r w:rsidR="00142469">
              <w:rPr>
                <w:bCs/>
              </w:rPr>
              <w:t xml:space="preserve"> “Informatīvais ziņojums ”Par valsts sociālā pabalsta Černobiļas atomelektrostacijas avārijas seku likvidēšanas dalībniekiem un mirušo Černobiļas atomelektrostacijas avārijas seku likvidēšanas dalī</w:t>
            </w:r>
            <w:r w:rsidR="00173514">
              <w:rPr>
                <w:bCs/>
              </w:rPr>
              <w:t>bnieku ģimenēm palielināšanu””, uzdodot Labklājības ministrijai izstrādāt un labklājības ministram mēneša laikā pēc</w:t>
            </w:r>
            <w:proofErr w:type="gramStart"/>
            <w:r w:rsidR="00173514">
              <w:rPr>
                <w:bCs/>
              </w:rPr>
              <w:t xml:space="preserve">  </w:t>
            </w:r>
            <w:proofErr w:type="gramEnd"/>
            <w:r w:rsidR="00173514">
              <w:rPr>
                <w:bCs/>
              </w:rPr>
              <w:t>likumprojekta “Par valsts budžetu 2015.gadam” un likumprojekta “Par vidēja termiņa budžeta ietvaru 2015., 2016. un 2017.gadam” pieņemšanas Saeimā iesniegt noteiktā kārtībā Ministru kabinetā attiecīgus grozījumus Ministru kabineta 2010.gada 30.novembra noteikumos Nr.1077 “Noteikumi par valsts sociālo pabalstu Černobiļas atomelektrostacijas avārijas seku likvidēšanas dalībniekiem un mirušo Černobiļas atomelektrostacijas avārijas seku likvidēšanas dalībnieku ģimenēm” (prot. Nr.38 36.§ 3.p.).</w:t>
            </w:r>
          </w:p>
          <w:p w14:paraId="4E6647E5" w14:textId="366E619F" w:rsidR="00436AD3" w:rsidRPr="00320AA3" w:rsidRDefault="00F45F65" w:rsidP="008555CA">
            <w:pPr>
              <w:ind w:firstLine="720"/>
              <w:jc w:val="both"/>
            </w:pPr>
            <w:r w:rsidRPr="00060925">
              <w:t>Ministru kabineta</w:t>
            </w:r>
            <w:r w:rsidRPr="00060925">
              <w:rPr>
                <w:b/>
                <w:color w:val="F7CAAC" w:themeColor="accent2" w:themeTint="66"/>
              </w:rPr>
              <w:t xml:space="preserve"> </w:t>
            </w:r>
            <w:r w:rsidRPr="00060925">
              <w:t>2014.gada 10.novembra sēdē</w:t>
            </w:r>
            <w:proofErr w:type="gramStart"/>
            <w:r w:rsidRPr="00060925">
              <w:t xml:space="preserve">  </w:t>
            </w:r>
            <w:proofErr w:type="gramEnd"/>
            <w:r w:rsidRPr="00060925">
              <w:t>tika pieņemts zināšanai informatīvais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izvērtējums’’ un tika atbalstīta papildu finansējuma piešķiršana valsts sociālā pabalsta Č</w:t>
            </w:r>
            <w:r w:rsidR="00E756E6">
              <w:t>AES</w:t>
            </w:r>
            <w:r w:rsidRPr="00060925">
              <w:t xml:space="preserve"> dalībniekiem un mirušo </w:t>
            </w:r>
            <w:r w:rsidR="00E756E6">
              <w:t xml:space="preserve">ČAES </w:t>
            </w:r>
            <w:r w:rsidRPr="00060925">
              <w:t xml:space="preserve">dalībnieku ģimenēm palielināšanai 2015.gadam 541 833 </w:t>
            </w:r>
            <w:proofErr w:type="spellStart"/>
            <w:r w:rsidRPr="00060925">
              <w:rPr>
                <w:i/>
              </w:rPr>
              <w:t>euro</w:t>
            </w:r>
            <w:proofErr w:type="spellEnd"/>
            <w:r w:rsidRPr="00060925">
              <w:t xml:space="preserve"> apmērā, </w:t>
            </w:r>
            <w:r w:rsidRPr="00060925">
              <w:lastRenderedPageBreak/>
              <w:t xml:space="preserve">2016.gadam un turpmākajiem gadiem ik gadu 550 022 </w:t>
            </w:r>
            <w:proofErr w:type="spellStart"/>
            <w:r w:rsidRPr="00060925">
              <w:rPr>
                <w:i/>
              </w:rPr>
              <w:t>euro</w:t>
            </w:r>
            <w:proofErr w:type="spellEnd"/>
            <w:r w:rsidRPr="00060925">
              <w:t xml:space="preserve"> apmērā (MK prot. Nr.61 28.§ 3.2.apakšpunktu). </w:t>
            </w:r>
          </w:p>
        </w:tc>
      </w:tr>
      <w:tr w:rsidR="004B5E40" w14:paraId="378A3D4B" w14:textId="77777777" w:rsidTr="00EF012B">
        <w:trPr>
          <w:trHeight w:val="465"/>
        </w:trPr>
        <w:tc>
          <w:tcPr>
            <w:tcW w:w="250" w:type="pct"/>
          </w:tcPr>
          <w:p w14:paraId="04F80655" w14:textId="77777777" w:rsidR="004B5E40" w:rsidRDefault="004B5E40" w:rsidP="0073585A">
            <w:pPr>
              <w:pStyle w:val="tvhtmlmktable"/>
              <w:jc w:val="center"/>
            </w:pPr>
            <w:r>
              <w:lastRenderedPageBreak/>
              <w:t>2.</w:t>
            </w:r>
          </w:p>
        </w:tc>
        <w:tc>
          <w:tcPr>
            <w:tcW w:w="1550" w:type="pct"/>
          </w:tcPr>
          <w:p w14:paraId="3A17A254" w14:textId="77777777" w:rsidR="004B5E40" w:rsidRDefault="004B5E40" w:rsidP="0073585A">
            <w:r>
              <w:t>Pašreizējā situācija un problēmas, kuru risināšanai tiesību akta projekts izstrādāts, tiesiskā regulējuma mērķis un būtība</w:t>
            </w:r>
          </w:p>
        </w:tc>
        <w:tc>
          <w:tcPr>
            <w:tcW w:w="3200" w:type="pct"/>
            <w:shd w:val="clear" w:color="auto" w:fill="FFFFFF" w:themeFill="background1"/>
          </w:tcPr>
          <w:p w14:paraId="37BB33E1" w14:textId="77777777" w:rsidR="004B5E40" w:rsidRDefault="00EF012B" w:rsidP="0073585A">
            <w:pPr>
              <w:pStyle w:val="CommentText"/>
              <w:ind w:firstLine="284"/>
              <w:jc w:val="both"/>
              <w:rPr>
                <w:sz w:val="24"/>
                <w:szCs w:val="24"/>
              </w:rPr>
            </w:pPr>
            <w:r w:rsidRPr="00EF012B">
              <w:rPr>
                <w:sz w:val="24"/>
                <w:szCs w:val="24"/>
              </w:rPr>
              <w:t>Saskaņā ar Noteikumu 3.punktu valsts sociālā pabalsta apmēru ČAES dalībniekiem un mirušo ČAES dalībnieku ģimenes locekļiem pārskata Ministru kabinets pēc labklājības ministra ierosinājuma atbilstoši valsts budžeta iespējām, izvērtējot ekonomisko situāciju valstī un ņemot vērā Centrālās statistikas pārvaldes</w:t>
            </w:r>
            <w:r w:rsidR="00A26AA5">
              <w:rPr>
                <w:sz w:val="24"/>
                <w:szCs w:val="24"/>
              </w:rPr>
              <w:t xml:space="preserve"> (turpmāk – CSP)</w:t>
            </w:r>
            <w:r w:rsidRPr="00EF012B">
              <w:rPr>
                <w:sz w:val="24"/>
                <w:szCs w:val="24"/>
              </w:rPr>
              <w:t xml:space="preserve"> aprēķināto strādājošo mēneša vidējās bruto </w:t>
            </w:r>
            <w:r w:rsidR="00E15612">
              <w:rPr>
                <w:sz w:val="24"/>
                <w:szCs w:val="24"/>
              </w:rPr>
              <w:t xml:space="preserve">darba samaksas pieaugumu. Saskaņā ar Noteikumu 2.punktu pabalsta apmērs ir 85.37 </w:t>
            </w:r>
            <w:proofErr w:type="spellStart"/>
            <w:r w:rsidR="00E15612" w:rsidRPr="007E1A57">
              <w:rPr>
                <w:i/>
                <w:sz w:val="24"/>
                <w:szCs w:val="24"/>
              </w:rPr>
              <w:t>euro</w:t>
            </w:r>
            <w:proofErr w:type="spellEnd"/>
            <w:r w:rsidR="00E15612">
              <w:rPr>
                <w:sz w:val="24"/>
                <w:szCs w:val="24"/>
              </w:rPr>
              <w:t xml:space="preserve"> mēnesī. Pabalsta apmērs kopš</w:t>
            </w:r>
            <w:proofErr w:type="gramStart"/>
            <w:r w:rsidR="00E15612">
              <w:rPr>
                <w:sz w:val="24"/>
                <w:szCs w:val="24"/>
              </w:rPr>
              <w:t xml:space="preserve"> tā ieviešanas 2000.gadā ticis</w:t>
            </w:r>
            <w:proofErr w:type="gramEnd"/>
            <w:r w:rsidR="00E15612">
              <w:rPr>
                <w:sz w:val="24"/>
                <w:szCs w:val="24"/>
              </w:rPr>
              <w:t xml:space="preserve"> pārskatīts un palielināts trīs reizes.</w:t>
            </w:r>
            <w:r w:rsidR="00715F50">
              <w:rPr>
                <w:sz w:val="24"/>
                <w:szCs w:val="24"/>
              </w:rPr>
              <w:t xml:space="preserve"> Pabalsta apmērs</w:t>
            </w:r>
            <w:r w:rsidR="00E15612">
              <w:rPr>
                <w:sz w:val="24"/>
                <w:szCs w:val="24"/>
              </w:rPr>
              <w:t xml:space="preserve"> pēdējo reizi tika paaugstināts </w:t>
            </w:r>
            <w:r w:rsidR="00715F50">
              <w:rPr>
                <w:sz w:val="24"/>
                <w:szCs w:val="24"/>
              </w:rPr>
              <w:t>2009.gadā</w:t>
            </w:r>
            <w:r w:rsidR="00E15612">
              <w:rPr>
                <w:sz w:val="24"/>
                <w:szCs w:val="24"/>
              </w:rPr>
              <w:t xml:space="preserve">. </w:t>
            </w:r>
            <w:r w:rsidR="00555465">
              <w:rPr>
                <w:sz w:val="24"/>
                <w:szCs w:val="24"/>
              </w:rPr>
              <w:t>Pēc Valsts sociālās apdrošināšanas aģentūras</w:t>
            </w:r>
            <w:r w:rsidR="00A26AA5">
              <w:rPr>
                <w:sz w:val="24"/>
                <w:szCs w:val="24"/>
              </w:rPr>
              <w:t xml:space="preserve"> (turpmāk – VSAA)</w:t>
            </w:r>
            <w:r w:rsidR="00555465">
              <w:rPr>
                <w:sz w:val="24"/>
                <w:szCs w:val="24"/>
              </w:rPr>
              <w:t xml:space="preserve"> datiem 2013.gadā vidējais pabalstu saņēmēju skaits bija 3486 personas.</w:t>
            </w:r>
          </w:p>
          <w:p w14:paraId="23C1FD88" w14:textId="77777777" w:rsidR="004405E6" w:rsidRDefault="00A26AA5" w:rsidP="00A26AA5">
            <w:pPr>
              <w:pStyle w:val="CommentText"/>
              <w:ind w:firstLine="284"/>
              <w:jc w:val="both"/>
              <w:rPr>
                <w:sz w:val="24"/>
                <w:szCs w:val="24"/>
              </w:rPr>
            </w:pPr>
            <w:r>
              <w:rPr>
                <w:sz w:val="24"/>
                <w:szCs w:val="24"/>
              </w:rPr>
              <w:t xml:space="preserve">Pamatojoties uz CSP datiem vidējā darba samaksa trešo gadu pēc kārta aug vienmērīgi un ir pārsniegusi pirmskrīzes vidējā rādītāja līmeni. 2013.gadā mēneša vidējā bruto darba samaksa valstī salīdzinājumā ar 2012.gadu pieauga par 4.6%, no 685 </w:t>
            </w:r>
            <w:proofErr w:type="spellStart"/>
            <w:r w:rsidRPr="0017495F">
              <w:rPr>
                <w:i/>
                <w:sz w:val="24"/>
                <w:szCs w:val="24"/>
              </w:rPr>
              <w:t>euro</w:t>
            </w:r>
            <w:proofErr w:type="spellEnd"/>
            <w:r>
              <w:rPr>
                <w:sz w:val="24"/>
                <w:szCs w:val="24"/>
              </w:rPr>
              <w:t xml:space="preserve"> līdz 716 </w:t>
            </w:r>
            <w:proofErr w:type="spellStart"/>
            <w:r w:rsidRPr="0017495F">
              <w:rPr>
                <w:i/>
                <w:sz w:val="24"/>
                <w:szCs w:val="24"/>
              </w:rPr>
              <w:t>euro</w:t>
            </w:r>
            <w:proofErr w:type="spellEnd"/>
            <w:r>
              <w:rPr>
                <w:sz w:val="24"/>
                <w:szCs w:val="24"/>
              </w:rPr>
              <w:t>.</w:t>
            </w:r>
            <w:r w:rsidR="004405E6">
              <w:rPr>
                <w:sz w:val="24"/>
                <w:szCs w:val="24"/>
              </w:rPr>
              <w:t xml:space="preserve"> Kā liecina CSP dati, tad no 2009.gada, kad pēdējo reizi tika paaugstināts pabalsta apmērs, līdz 2013.gadam kopumā patēriņa cenu indeksa pieaugums sastādīja 9.1% un bruto darba samaksa – 12.3%.</w:t>
            </w:r>
          </w:p>
          <w:p w14:paraId="6428061F" w14:textId="77777777" w:rsidR="00A26AA5" w:rsidRDefault="004405E6" w:rsidP="00A26AA5">
            <w:pPr>
              <w:pStyle w:val="CommentText"/>
              <w:ind w:firstLine="284"/>
              <w:jc w:val="both"/>
              <w:rPr>
                <w:sz w:val="24"/>
                <w:szCs w:val="24"/>
              </w:rPr>
            </w:pPr>
            <w:r>
              <w:rPr>
                <w:sz w:val="24"/>
                <w:szCs w:val="24"/>
              </w:rPr>
              <w:t xml:space="preserve">Labklājības ministrijas priekšlikums, pamatojoties uz iepriekšminēto, ir paaugstināt valsts sociālo pabalstu no 85.37 </w:t>
            </w:r>
            <w:proofErr w:type="spellStart"/>
            <w:r w:rsidRPr="00F2615C">
              <w:rPr>
                <w:i/>
                <w:sz w:val="24"/>
                <w:szCs w:val="24"/>
              </w:rPr>
              <w:t>euro</w:t>
            </w:r>
            <w:proofErr w:type="spellEnd"/>
            <w:r>
              <w:rPr>
                <w:sz w:val="24"/>
                <w:szCs w:val="24"/>
              </w:rPr>
              <w:t xml:space="preserve"> līdz 100.00 </w:t>
            </w:r>
            <w:proofErr w:type="spellStart"/>
            <w:r w:rsidRPr="00F2615C">
              <w:rPr>
                <w:i/>
                <w:sz w:val="24"/>
                <w:szCs w:val="24"/>
              </w:rPr>
              <w:t>euro</w:t>
            </w:r>
            <w:proofErr w:type="spellEnd"/>
            <w:r>
              <w:rPr>
                <w:sz w:val="24"/>
                <w:szCs w:val="24"/>
              </w:rPr>
              <w:t>.</w:t>
            </w:r>
            <w:r w:rsidR="00A26AA5">
              <w:rPr>
                <w:sz w:val="24"/>
                <w:szCs w:val="24"/>
              </w:rPr>
              <w:t xml:space="preserve"> </w:t>
            </w:r>
          </w:p>
          <w:p w14:paraId="6E7FCA8C" w14:textId="3B4AB506" w:rsidR="001C2FD9" w:rsidRPr="001C2FD9" w:rsidRDefault="001C2FD9" w:rsidP="000605ED">
            <w:pPr>
              <w:pStyle w:val="CommentText"/>
              <w:ind w:firstLine="284"/>
              <w:jc w:val="both"/>
              <w:rPr>
                <w:sz w:val="24"/>
                <w:szCs w:val="24"/>
              </w:rPr>
            </w:pPr>
            <w:r w:rsidRPr="001C2FD9">
              <w:rPr>
                <w:sz w:val="24"/>
                <w:szCs w:val="24"/>
              </w:rPr>
              <w:t>Lai nodrošinātu valsts sociālā pabalsta palielināšanu mērķgrupai, VSAA nepieciešams izstrādāt un ieviest informācijas sistēmas izmaiņas, kam nepieciešamas 90 cilvēkdienas. Neskatoties uz to, ka pabalsta saņēmēju loks nepaplašinās un teorētiski ar sistēmas palīdzību jaunajiem pabalsta saņēmējiem pabalsts jāpiešķir no 2015.gada 1.janvāra</w:t>
            </w:r>
            <w:r w:rsidR="000605ED">
              <w:rPr>
                <w:sz w:val="24"/>
                <w:szCs w:val="24"/>
              </w:rPr>
              <w:t>,</w:t>
            </w:r>
            <w:r w:rsidRPr="001C2FD9">
              <w:rPr>
                <w:sz w:val="24"/>
                <w:szCs w:val="24"/>
              </w:rPr>
              <w:t xml:space="preserve"> šādas izmaiņas </w:t>
            </w:r>
            <w:r w:rsidR="000605ED">
              <w:rPr>
                <w:sz w:val="24"/>
                <w:szCs w:val="24"/>
              </w:rPr>
              <w:t xml:space="preserve">informācijas sistēmā </w:t>
            </w:r>
            <w:r w:rsidRPr="001C2FD9">
              <w:rPr>
                <w:sz w:val="24"/>
                <w:szCs w:val="24"/>
              </w:rPr>
              <w:t>vairs nav iespējams ieviest</w:t>
            </w:r>
            <w:r w:rsidR="000605ED">
              <w:rPr>
                <w:sz w:val="24"/>
                <w:szCs w:val="24"/>
              </w:rPr>
              <w:t>. Attiecīgi</w:t>
            </w:r>
            <w:r w:rsidRPr="001C2FD9">
              <w:rPr>
                <w:sz w:val="24"/>
                <w:szCs w:val="24"/>
              </w:rPr>
              <w:t xml:space="preserve"> noteikumu projekts paredz pārejas periodu</w:t>
            </w:r>
            <w:r w:rsidR="000605ED">
              <w:rPr>
                <w:sz w:val="24"/>
                <w:szCs w:val="24"/>
              </w:rPr>
              <w:t xml:space="preserve"> -</w:t>
            </w:r>
            <w:proofErr w:type="gramStart"/>
            <w:r w:rsidRPr="001C2FD9">
              <w:rPr>
                <w:sz w:val="24"/>
                <w:szCs w:val="24"/>
              </w:rPr>
              <w:t xml:space="preserve"> </w:t>
            </w:r>
            <w:r w:rsidR="000605ED">
              <w:rPr>
                <w:sz w:val="24"/>
                <w:szCs w:val="24"/>
              </w:rPr>
              <w:t xml:space="preserve"> </w:t>
            </w:r>
            <w:proofErr w:type="gramEnd"/>
            <w:r w:rsidR="000605ED">
              <w:rPr>
                <w:sz w:val="24"/>
                <w:szCs w:val="24"/>
              </w:rPr>
              <w:t xml:space="preserve">līdz </w:t>
            </w:r>
            <w:r w:rsidRPr="001C2FD9">
              <w:rPr>
                <w:sz w:val="24"/>
                <w:szCs w:val="24"/>
              </w:rPr>
              <w:t>2015.gada 3</w:t>
            </w:r>
            <w:r w:rsidR="000605ED">
              <w:rPr>
                <w:sz w:val="24"/>
                <w:szCs w:val="24"/>
              </w:rPr>
              <w:t>1</w:t>
            </w:r>
            <w:r w:rsidRPr="001C2FD9">
              <w:rPr>
                <w:sz w:val="24"/>
                <w:szCs w:val="24"/>
              </w:rPr>
              <w:t xml:space="preserve">.martam </w:t>
            </w:r>
            <w:r w:rsidR="000605ED">
              <w:rPr>
                <w:sz w:val="24"/>
                <w:szCs w:val="24"/>
              </w:rPr>
              <w:t xml:space="preserve">piešķirtos </w:t>
            </w:r>
            <w:r w:rsidRPr="001C2FD9">
              <w:rPr>
                <w:sz w:val="24"/>
                <w:szCs w:val="24"/>
              </w:rPr>
              <w:t>valsts sociālo</w:t>
            </w:r>
            <w:r w:rsidR="000605ED">
              <w:rPr>
                <w:sz w:val="24"/>
                <w:szCs w:val="24"/>
              </w:rPr>
              <w:t>s</w:t>
            </w:r>
            <w:r w:rsidRPr="001C2FD9">
              <w:rPr>
                <w:sz w:val="24"/>
                <w:szCs w:val="24"/>
              </w:rPr>
              <w:t xml:space="preserve"> pabalstu</w:t>
            </w:r>
            <w:r w:rsidR="000605ED">
              <w:rPr>
                <w:sz w:val="24"/>
                <w:szCs w:val="24"/>
              </w:rPr>
              <w:t>s</w:t>
            </w:r>
            <w:r w:rsidRPr="001C2FD9">
              <w:rPr>
                <w:sz w:val="24"/>
                <w:szCs w:val="24"/>
              </w:rPr>
              <w:t xml:space="preserve"> ČAES dalībniekiem un mirušo ČAES </w:t>
            </w:r>
            <w:r w:rsidRPr="00D82DA9">
              <w:rPr>
                <w:sz w:val="24"/>
                <w:szCs w:val="24"/>
              </w:rPr>
              <w:t xml:space="preserve">dalībnieku ģimeņu locekļiem, VSAA </w:t>
            </w:r>
            <w:r w:rsidR="000605ED" w:rsidRPr="00D82DA9">
              <w:rPr>
                <w:sz w:val="24"/>
                <w:szCs w:val="24"/>
              </w:rPr>
              <w:t xml:space="preserve">pārrēķinās un </w:t>
            </w:r>
            <w:r w:rsidRPr="00D82DA9">
              <w:rPr>
                <w:sz w:val="24"/>
                <w:szCs w:val="24"/>
              </w:rPr>
              <w:t>izmaksās līdz 2015.gada 30.aprīlim</w:t>
            </w:r>
            <w:r w:rsidR="00637B8C" w:rsidRPr="00D82DA9">
              <w:rPr>
                <w:sz w:val="24"/>
                <w:szCs w:val="24"/>
              </w:rPr>
              <w:t xml:space="preserve"> personai </w:t>
            </w:r>
            <w:r w:rsidR="000605ED" w:rsidRPr="00D82DA9">
              <w:rPr>
                <w:sz w:val="24"/>
                <w:szCs w:val="24"/>
              </w:rPr>
              <w:t>noteiktajā pabalsta</w:t>
            </w:r>
            <w:r w:rsidR="00637B8C" w:rsidRPr="00D82DA9">
              <w:rPr>
                <w:sz w:val="24"/>
                <w:szCs w:val="24"/>
              </w:rPr>
              <w:t xml:space="preserve"> izmaksas datumā kopā ar aprīļa mēneša pabalstu.</w:t>
            </w:r>
          </w:p>
        </w:tc>
      </w:tr>
      <w:tr w:rsidR="004B5E40" w14:paraId="56A35482" w14:textId="77777777" w:rsidTr="00F04179">
        <w:trPr>
          <w:trHeight w:val="465"/>
        </w:trPr>
        <w:tc>
          <w:tcPr>
            <w:tcW w:w="250" w:type="pct"/>
          </w:tcPr>
          <w:p w14:paraId="4D5E3765" w14:textId="77777777" w:rsidR="004B5E40" w:rsidRDefault="004B5E40" w:rsidP="0073585A">
            <w:pPr>
              <w:pStyle w:val="tvhtmlmktable"/>
              <w:jc w:val="center"/>
            </w:pPr>
            <w:r>
              <w:t>3.</w:t>
            </w:r>
          </w:p>
        </w:tc>
        <w:tc>
          <w:tcPr>
            <w:tcW w:w="1550" w:type="pct"/>
          </w:tcPr>
          <w:p w14:paraId="327FECAB" w14:textId="77777777" w:rsidR="004B5E40" w:rsidRDefault="004B5E40" w:rsidP="0073585A">
            <w:r>
              <w:t>Projekta izstrādē iesaistītās institūcijas</w:t>
            </w:r>
          </w:p>
        </w:tc>
        <w:tc>
          <w:tcPr>
            <w:tcW w:w="3200" w:type="pct"/>
            <w:shd w:val="clear" w:color="auto" w:fill="FFFFFF" w:themeFill="background1"/>
          </w:tcPr>
          <w:p w14:paraId="70A720D4" w14:textId="77777777" w:rsidR="004B5E40" w:rsidRPr="00F04179" w:rsidRDefault="00715F50" w:rsidP="00622074">
            <w:pPr>
              <w:jc w:val="both"/>
            </w:pPr>
            <w:r>
              <w:t>Labklājības ministrija</w:t>
            </w:r>
            <w:r w:rsidR="004B5E40" w:rsidRPr="00F04179">
              <w:t>, VSAA</w:t>
            </w:r>
            <w:proofErr w:type="gramStart"/>
            <w:r w:rsidR="004B5E40" w:rsidRPr="00F04179">
              <w:t xml:space="preserve"> .</w:t>
            </w:r>
            <w:proofErr w:type="gramEnd"/>
          </w:p>
        </w:tc>
      </w:tr>
      <w:tr w:rsidR="004B5E40" w14:paraId="5657DE21" w14:textId="77777777" w:rsidTr="0073585A">
        <w:tc>
          <w:tcPr>
            <w:tcW w:w="250" w:type="pct"/>
          </w:tcPr>
          <w:p w14:paraId="52EDE3DB" w14:textId="77777777" w:rsidR="004B5E40" w:rsidRDefault="004B5E40" w:rsidP="0073585A">
            <w:pPr>
              <w:pStyle w:val="tvhtmlmktable"/>
              <w:jc w:val="center"/>
            </w:pPr>
            <w:r>
              <w:t>4.</w:t>
            </w:r>
          </w:p>
        </w:tc>
        <w:tc>
          <w:tcPr>
            <w:tcW w:w="1550" w:type="pct"/>
          </w:tcPr>
          <w:p w14:paraId="0B4B203A" w14:textId="77777777" w:rsidR="004B5E40" w:rsidRPr="000D3DC1" w:rsidRDefault="004B5E40" w:rsidP="0073585A">
            <w:r w:rsidRPr="000D3DC1">
              <w:t>Cita informācija</w:t>
            </w:r>
          </w:p>
        </w:tc>
        <w:tc>
          <w:tcPr>
            <w:tcW w:w="3200" w:type="pct"/>
          </w:tcPr>
          <w:p w14:paraId="5C20187A" w14:textId="779FC2FE" w:rsidR="004B5E40" w:rsidRPr="000D3DC1" w:rsidRDefault="001C2FD9" w:rsidP="00F11216">
            <w:pPr>
              <w:pStyle w:val="tvhtmlmktable"/>
              <w:spacing w:before="0" w:beforeAutospacing="0" w:after="0" w:afterAutospacing="0"/>
              <w:jc w:val="both"/>
            </w:pPr>
            <w:r>
              <w:t xml:space="preserve">Noteikumu </w:t>
            </w:r>
            <w:r w:rsidR="000605ED">
              <w:t xml:space="preserve">projekta </w:t>
            </w:r>
            <w:r>
              <w:t>izstrādē ņemts vērā VSAA viedoklis</w:t>
            </w:r>
            <w:r w:rsidR="00622074">
              <w:t>.</w:t>
            </w:r>
          </w:p>
        </w:tc>
      </w:tr>
    </w:tbl>
    <w:p w14:paraId="630A0845" w14:textId="10D15E18" w:rsidR="004B5E40" w:rsidRDefault="004B5E40" w:rsidP="004B5E40">
      <w:pPr>
        <w:pStyle w:val="tvhtmlmktable"/>
        <w:spacing w:before="0" w:beforeAutospacing="0" w:after="0" w:afterAutospacing="0"/>
      </w:pPr>
      <w:r>
        <w:t> </w:t>
      </w:r>
    </w:p>
    <w:tbl>
      <w:tblPr>
        <w:tblStyle w:val="TableGrid1"/>
        <w:tblW w:w="5000" w:type="pct"/>
        <w:tblLook w:val="0000" w:firstRow="0" w:lastRow="0" w:firstColumn="0" w:lastColumn="0" w:noHBand="0" w:noVBand="0"/>
      </w:tblPr>
      <w:tblGrid>
        <w:gridCol w:w="481"/>
        <w:gridCol w:w="2983"/>
        <w:gridCol w:w="6157"/>
      </w:tblGrid>
      <w:tr w:rsidR="004B5E40" w14:paraId="07C07FBB" w14:textId="77777777" w:rsidTr="0073585A">
        <w:trPr>
          <w:trHeight w:val="555"/>
        </w:trPr>
        <w:tc>
          <w:tcPr>
            <w:tcW w:w="0" w:type="auto"/>
            <w:gridSpan w:val="3"/>
          </w:tcPr>
          <w:p w14:paraId="12EC2127" w14:textId="77777777" w:rsidR="004B5E40" w:rsidRDefault="004B5E40" w:rsidP="0073585A">
            <w:pPr>
              <w:pStyle w:val="tvhtmlmktable"/>
              <w:jc w:val="center"/>
              <w:rPr>
                <w:b/>
                <w:bCs/>
              </w:rPr>
            </w:pPr>
            <w:r>
              <w:rPr>
                <w:b/>
                <w:bCs/>
              </w:rPr>
              <w:lastRenderedPageBreak/>
              <w:t>II. Tiesību akta projekta ietekme uz sabiedrību, tautsaimniecības attīstību un administratīvo slogu</w:t>
            </w:r>
          </w:p>
        </w:tc>
      </w:tr>
      <w:tr w:rsidR="004B5E40" w14:paraId="35DFE350" w14:textId="77777777" w:rsidTr="0073585A">
        <w:trPr>
          <w:trHeight w:val="465"/>
        </w:trPr>
        <w:tc>
          <w:tcPr>
            <w:tcW w:w="250" w:type="pct"/>
          </w:tcPr>
          <w:p w14:paraId="7EF0E300" w14:textId="77777777" w:rsidR="004B5E40" w:rsidRDefault="004B5E40" w:rsidP="0073585A">
            <w:r>
              <w:t>1.</w:t>
            </w:r>
          </w:p>
        </w:tc>
        <w:tc>
          <w:tcPr>
            <w:tcW w:w="1550" w:type="pct"/>
          </w:tcPr>
          <w:p w14:paraId="7A416E6F" w14:textId="77777777" w:rsidR="004B5E40" w:rsidRDefault="004B5E40" w:rsidP="0073585A">
            <w:r>
              <w:t>Sabiedrības mērķgrupas, kuras tiesiskais regulējums ietekmē vai varētu ietekmēt</w:t>
            </w:r>
          </w:p>
        </w:tc>
        <w:tc>
          <w:tcPr>
            <w:tcW w:w="3200" w:type="pct"/>
          </w:tcPr>
          <w:p w14:paraId="3B3686D8" w14:textId="23BD6D45" w:rsidR="004B5E40" w:rsidRPr="00D06DE9" w:rsidRDefault="00F47B32" w:rsidP="00E756E6">
            <w:pPr>
              <w:pStyle w:val="naiskr"/>
              <w:spacing w:before="0" w:beforeAutospacing="0" w:after="0" w:afterAutospacing="0"/>
              <w:ind w:firstLine="284"/>
              <w:jc w:val="both"/>
            </w:pPr>
            <w:r>
              <w:t>Noteikumu p</w:t>
            </w:r>
            <w:r w:rsidR="004B5E40" w:rsidRPr="00D60CCE">
              <w:t>rojekta mērķgrupa ir personas, kurām ir tiesības uz</w:t>
            </w:r>
            <w:r w:rsidR="004B5E40">
              <w:t xml:space="preserve"> valsts sociālo </w:t>
            </w:r>
            <w:r>
              <w:t>pabalstu</w:t>
            </w:r>
            <w:r w:rsidR="004B5E40">
              <w:t xml:space="preserve"> kā </w:t>
            </w:r>
            <w:r w:rsidR="004B5E40" w:rsidRPr="00D60CCE">
              <w:t>Č</w:t>
            </w:r>
            <w:r w:rsidR="00E756E6">
              <w:t xml:space="preserve">ernobiļas atomelektrostacijas </w:t>
            </w:r>
            <w:r w:rsidR="004B5E40" w:rsidRPr="00D60CCE">
              <w:t>avārijas seku likvidēšanas dalībniek</w:t>
            </w:r>
            <w:r w:rsidR="004B5E40">
              <w:t xml:space="preserve">am vai </w:t>
            </w:r>
            <w:r w:rsidR="004B5E40" w:rsidRPr="00D60CCE">
              <w:t>viņa nāves gadījumā — viņa apgādībā bijušajiem darbnespējīgajiem ģimenes locekļiem</w:t>
            </w:r>
            <w:r>
              <w:t>.</w:t>
            </w:r>
            <w:r w:rsidR="00555465">
              <w:t xml:space="preserve"> </w:t>
            </w:r>
            <w:r w:rsidR="00622074">
              <w:t>A</w:t>
            </w:r>
            <w:r w:rsidR="004B5E40">
              <w:t xml:space="preserve">ptuvenais </w:t>
            </w:r>
            <w:r w:rsidR="004B5E40" w:rsidRPr="00D06DE9">
              <w:t xml:space="preserve">mērķgrupas </w:t>
            </w:r>
            <w:r w:rsidR="00074687">
              <w:t>lielums</w:t>
            </w:r>
            <w:r w:rsidR="004B5E40" w:rsidRPr="00D06DE9">
              <w:t xml:space="preserve"> ir </w:t>
            </w:r>
            <w:r w:rsidR="00CB2866">
              <w:t>3422</w:t>
            </w:r>
            <w:r w:rsidR="004B5E40" w:rsidRPr="00D06DE9">
              <w:t xml:space="preserve"> personas</w:t>
            </w:r>
            <w:r w:rsidR="004B5E40">
              <w:t>.</w:t>
            </w:r>
          </w:p>
        </w:tc>
      </w:tr>
      <w:tr w:rsidR="004B5E40" w14:paraId="737DBBE2" w14:textId="77777777" w:rsidTr="0073585A">
        <w:trPr>
          <w:trHeight w:val="510"/>
        </w:trPr>
        <w:tc>
          <w:tcPr>
            <w:tcW w:w="250" w:type="pct"/>
          </w:tcPr>
          <w:p w14:paraId="69203B8B" w14:textId="77777777" w:rsidR="004B5E40" w:rsidRDefault="004B5E40" w:rsidP="0073585A">
            <w:r>
              <w:t>2.</w:t>
            </w:r>
          </w:p>
        </w:tc>
        <w:tc>
          <w:tcPr>
            <w:tcW w:w="1550" w:type="pct"/>
          </w:tcPr>
          <w:p w14:paraId="14992847" w14:textId="77777777" w:rsidR="004B5E40" w:rsidRDefault="004B5E40" w:rsidP="0073585A">
            <w:r>
              <w:t>Tiesiskā regulējuma ietekme uz tautsaimniecību un administratīvo slogu</w:t>
            </w:r>
          </w:p>
        </w:tc>
        <w:tc>
          <w:tcPr>
            <w:tcW w:w="3200" w:type="pct"/>
          </w:tcPr>
          <w:p w14:paraId="52AAEB08" w14:textId="77777777" w:rsidR="004B5E40" w:rsidRDefault="004B5E40" w:rsidP="0073585A">
            <w:pPr>
              <w:ind w:firstLine="284"/>
              <w:jc w:val="both"/>
            </w:pPr>
            <w:r>
              <w:t>P</w:t>
            </w:r>
            <w:r w:rsidRPr="00D60CCE">
              <w:t>erson</w:t>
            </w:r>
            <w:r>
              <w:t>ām</w:t>
            </w:r>
            <w:r w:rsidRPr="00D60CCE">
              <w:t>, kurām ir tiesības uz</w:t>
            </w:r>
            <w:r>
              <w:t xml:space="preserve"> </w:t>
            </w:r>
            <w:r w:rsidR="00F47B32">
              <w:t>valsts sociālā pabalsta</w:t>
            </w:r>
            <w:r>
              <w:t xml:space="preserve"> pārrēķinu saskaņā ar </w:t>
            </w:r>
            <w:r w:rsidR="00F47B32">
              <w:t xml:space="preserve">Noteikumu </w:t>
            </w:r>
            <w:r>
              <w:t>projektā noteikto, nav jāiesniedz iesniegums, VSAA pārrēķinu veiks pati. Tādēļ personām papildus administratīvais slogs neradīsies.</w:t>
            </w:r>
          </w:p>
          <w:p w14:paraId="02077770" w14:textId="4C7163B2" w:rsidR="004B5E40" w:rsidRPr="008C3F0E" w:rsidRDefault="004B5E40" w:rsidP="00436AD3">
            <w:pPr>
              <w:ind w:firstLine="284"/>
              <w:jc w:val="both"/>
            </w:pPr>
            <w:r>
              <w:t xml:space="preserve">Lai realizētu </w:t>
            </w:r>
            <w:r w:rsidR="004553D5">
              <w:t xml:space="preserve">noteikumu </w:t>
            </w:r>
            <w:r>
              <w:t>projektā noteikto, VSAA jāveic izmaiņas informācijas sistēmā, kuru veikšanai nepieciešamas 90</w:t>
            </w:r>
            <w:r w:rsidRPr="005D3D51">
              <w:t xml:space="preserve"> cilvēkdienas</w:t>
            </w:r>
            <w:r>
              <w:t>.</w:t>
            </w:r>
          </w:p>
        </w:tc>
      </w:tr>
      <w:tr w:rsidR="004B5E40" w14:paraId="48EEBAD1" w14:textId="77777777" w:rsidTr="0073585A">
        <w:trPr>
          <w:trHeight w:val="510"/>
        </w:trPr>
        <w:tc>
          <w:tcPr>
            <w:tcW w:w="250" w:type="pct"/>
          </w:tcPr>
          <w:p w14:paraId="399DAFC9" w14:textId="77777777" w:rsidR="004B5E40" w:rsidRDefault="004B5E40" w:rsidP="0073585A">
            <w:r>
              <w:t>3.</w:t>
            </w:r>
          </w:p>
        </w:tc>
        <w:tc>
          <w:tcPr>
            <w:tcW w:w="1550" w:type="pct"/>
          </w:tcPr>
          <w:p w14:paraId="716D84F6" w14:textId="77777777" w:rsidR="004B5E40" w:rsidRDefault="004B5E40" w:rsidP="0073585A">
            <w:r>
              <w:t>Administratīvo izmaksu monetārs novērtējums</w:t>
            </w:r>
          </w:p>
        </w:tc>
        <w:tc>
          <w:tcPr>
            <w:tcW w:w="3200" w:type="pct"/>
          </w:tcPr>
          <w:p w14:paraId="1192D47F" w14:textId="77777777" w:rsidR="004B5E40" w:rsidRPr="00ED3034" w:rsidRDefault="002C0A4C" w:rsidP="002C0A4C">
            <w:pPr>
              <w:jc w:val="both"/>
            </w:pPr>
            <w:r>
              <w:t>P</w:t>
            </w:r>
            <w:r w:rsidR="004B5E40" w:rsidRPr="00E46E2E">
              <w:t>rojekts šo jomu neskar.</w:t>
            </w:r>
          </w:p>
        </w:tc>
      </w:tr>
      <w:tr w:rsidR="004B5E40" w14:paraId="0C411143" w14:textId="77777777" w:rsidTr="0073585A">
        <w:trPr>
          <w:trHeight w:val="345"/>
        </w:trPr>
        <w:tc>
          <w:tcPr>
            <w:tcW w:w="250" w:type="pct"/>
          </w:tcPr>
          <w:p w14:paraId="0981C3FD" w14:textId="77777777" w:rsidR="004B5E40" w:rsidRDefault="004B5E40" w:rsidP="0073585A">
            <w:r>
              <w:t>4.</w:t>
            </w:r>
          </w:p>
        </w:tc>
        <w:tc>
          <w:tcPr>
            <w:tcW w:w="1550" w:type="pct"/>
          </w:tcPr>
          <w:p w14:paraId="52486F24" w14:textId="77777777" w:rsidR="004B5E40" w:rsidRDefault="004B5E40" w:rsidP="0073585A">
            <w:r>
              <w:t>Cita informācija</w:t>
            </w:r>
          </w:p>
        </w:tc>
        <w:tc>
          <w:tcPr>
            <w:tcW w:w="3200" w:type="pct"/>
          </w:tcPr>
          <w:p w14:paraId="3FDC94B1" w14:textId="77777777" w:rsidR="004B5E40" w:rsidRPr="00C8061B" w:rsidRDefault="004B5E40" w:rsidP="008D1577">
            <w:pPr>
              <w:pStyle w:val="tvhtmlmktable"/>
            </w:pPr>
            <w:r w:rsidRPr="00C8061B">
              <w:t>Nav.</w:t>
            </w:r>
          </w:p>
        </w:tc>
      </w:tr>
    </w:tbl>
    <w:p w14:paraId="2A3444B2" w14:textId="4B1368C1" w:rsidR="004B5E40" w:rsidRDefault="004B5E40" w:rsidP="004B5E40">
      <w:pPr>
        <w:pStyle w:val="tvhtmlmktable"/>
        <w:spacing w:before="0" w:beforeAutospacing="0" w:after="0" w:afterAutospacing="0"/>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1636"/>
        <w:gridCol w:w="1276"/>
        <w:gridCol w:w="1285"/>
        <w:gridCol w:w="1459"/>
        <w:gridCol w:w="1383"/>
      </w:tblGrid>
      <w:tr w:rsidR="004B5E40" w:rsidRPr="00D11BDF" w14:paraId="47394B1A" w14:textId="77777777" w:rsidTr="0073585A">
        <w:trPr>
          <w:trHeight w:val="360"/>
        </w:trPr>
        <w:tc>
          <w:tcPr>
            <w:tcW w:w="5000" w:type="pct"/>
            <w:gridSpan w:val="6"/>
          </w:tcPr>
          <w:p w14:paraId="323C1D35" w14:textId="77777777" w:rsidR="004B5E40" w:rsidRPr="004C147F" w:rsidRDefault="004B5E40" w:rsidP="0073585A">
            <w:pPr>
              <w:spacing w:before="100" w:beforeAutospacing="1" w:after="100" w:afterAutospacing="1"/>
              <w:jc w:val="center"/>
              <w:rPr>
                <w:b/>
                <w:bCs/>
              </w:rPr>
            </w:pPr>
            <w:r w:rsidRPr="004C147F">
              <w:rPr>
                <w:b/>
                <w:bCs/>
              </w:rPr>
              <w:t>III. Tiesību akta projekta ietekme uz valsts budžetu un pašvaldību budžetiem</w:t>
            </w:r>
          </w:p>
        </w:tc>
      </w:tr>
      <w:tr w:rsidR="004B5E40" w:rsidRPr="00D11BDF" w14:paraId="0A9589E3" w14:textId="77777777" w:rsidTr="0073585A">
        <w:tc>
          <w:tcPr>
            <w:tcW w:w="1342" w:type="pct"/>
            <w:vMerge w:val="restart"/>
          </w:tcPr>
          <w:p w14:paraId="7C02FDE8" w14:textId="77777777" w:rsidR="004B5E40" w:rsidRPr="004C147F" w:rsidRDefault="004B5E40" w:rsidP="0073585A">
            <w:pPr>
              <w:spacing w:before="100" w:beforeAutospacing="1" w:after="100" w:afterAutospacing="1"/>
              <w:jc w:val="center"/>
              <w:rPr>
                <w:b/>
                <w:bCs/>
              </w:rPr>
            </w:pPr>
            <w:r w:rsidRPr="004C147F">
              <w:rPr>
                <w:b/>
                <w:bCs/>
              </w:rPr>
              <w:t>Rādītāji</w:t>
            </w:r>
          </w:p>
        </w:tc>
        <w:tc>
          <w:tcPr>
            <w:tcW w:w="1513" w:type="pct"/>
            <w:gridSpan w:val="2"/>
            <w:vMerge w:val="restart"/>
          </w:tcPr>
          <w:p w14:paraId="19D3A8D7" w14:textId="77777777" w:rsidR="004B5E40" w:rsidRPr="004C147F" w:rsidRDefault="004B5E40" w:rsidP="0073585A">
            <w:pPr>
              <w:spacing w:before="100" w:beforeAutospacing="1" w:after="100" w:afterAutospacing="1"/>
              <w:jc w:val="center"/>
              <w:rPr>
                <w:b/>
                <w:bCs/>
              </w:rPr>
            </w:pPr>
            <w:r w:rsidRPr="004C147F">
              <w:rPr>
                <w:b/>
                <w:bCs/>
              </w:rPr>
              <w:t>2014</w:t>
            </w:r>
          </w:p>
        </w:tc>
        <w:tc>
          <w:tcPr>
            <w:tcW w:w="2145" w:type="pct"/>
            <w:gridSpan w:val="3"/>
          </w:tcPr>
          <w:p w14:paraId="680107CF" w14:textId="77777777" w:rsidR="004B5E40" w:rsidRPr="00D11BDF" w:rsidRDefault="004B5E40" w:rsidP="0073585A">
            <w:pPr>
              <w:spacing w:before="100" w:beforeAutospacing="1" w:after="100" w:afterAutospacing="1"/>
              <w:jc w:val="center"/>
            </w:pPr>
            <w:r>
              <w:t>Turpmākie trīs gadi (</w:t>
            </w:r>
            <w:proofErr w:type="spellStart"/>
            <w:r w:rsidRPr="004C147F">
              <w:rPr>
                <w:i/>
                <w:iCs/>
              </w:rPr>
              <w:t>euro</w:t>
            </w:r>
            <w:proofErr w:type="spellEnd"/>
            <w:r>
              <w:t>)</w:t>
            </w:r>
          </w:p>
        </w:tc>
      </w:tr>
      <w:tr w:rsidR="004B5E40" w:rsidRPr="00D11BDF" w14:paraId="7F3784DD" w14:textId="77777777" w:rsidTr="0073585A">
        <w:tc>
          <w:tcPr>
            <w:tcW w:w="1342" w:type="pct"/>
            <w:vMerge/>
          </w:tcPr>
          <w:p w14:paraId="25D77C58" w14:textId="77777777" w:rsidR="004B5E40" w:rsidRPr="004C147F" w:rsidRDefault="004B5E40" w:rsidP="0073585A">
            <w:pPr>
              <w:rPr>
                <w:b/>
                <w:bCs/>
              </w:rPr>
            </w:pPr>
          </w:p>
        </w:tc>
        <w:tc>
          <w:tcPr>
            <w:tcW w:w="1513" w:type="pct"/>
            <w:gridSpan w:val="2"/>
            <w:vMerge/>
          </w:tcPr>
          <w:p w14:paraId="56C9FC42" w14:textId="77777777" w:rsidR="004B5E40" w:rsidRPr="004C147F" w:rsidRDefault="004B5E40" w:rsidP="0073585A">
            <w:pPr>
              <w:rPr>
                <w:b/>
                <w:bCs/>
              </w:rPr>
            </w:pPr>
          </w:p>
        </w:tc>
        <w:tc>
          <w:tcPr>
            <w:tcW w:w="668" w:type="pct"/>
          </w:tcPr>
          <w:p w14:paraId="1DDF43F9" w14:textId="77777777" w:rsidR="004B5E40" w:rsidRPr="004C147F" w:rsidRDefault="004B5E40" w:rsidP="0073585A">
            <w:pPr>
              <w:spacing w:before="100" w:beforeAutospacing="1" w:after="100" w:afterAutospacing="1"/>
              <w:jc w:val="center"/>
              <w:rPr>
                <w:b/>
                <w:bCs/>
              </w:rPr>
            </w:pPr>
            <w:r w:rsidRPr="004C147F">
              <w:rPr>
                <w:b/>
                <w:bCs/>
              </w:rPr>
              <w:t>2015</w:t>
            </w:r>
          </w:p>
        </w:tc>
        <w:tc>
          <w:tcPr>
            <w:tcW w:w="758" w:type="pct"/>
          </w:tcPr>
          <w:p w14:paraId="193F72B0" w14:textId="77777777" w:rsidR="004B5E40" w:rsidRPr="004C147F" w:rsidRDefault="004B5E40" w:rsidP="0073585A">
            <w:pPr>
              <w:spacing w:before="100" w:beforeAutospacing="1" w:after="100" w:afterAutospacing="1"/>
              <w:jc w:val="center"/>
              <w:rPr>
                <w:b/>
                <w:bCs/>
              </w:rPr>
            </w:pPr>
            <w:r w:rsidRPr="004C147F">
              <w:rPr>
                <w:b/>
                <w:bCs/>
              </w:rPr>
              <w:t>2016</w:t>
            </w:r>
          </w:p>
        </w:tc>
        <w:tc>
          <w:tcPr>
            <w:tcW w:w="719" w:type="pct"/>
          </w:tcPr>
          <w:p w14:paraId="321F8B80" w14:textId="77777777" w:rsidR="004B5E40" w:rsidRPr="004C147F" w:rsidRDefault="004B5E40" w:rsidP="0073585A">
            <w:pPr>
              <w:spacing w:before="100" w:beforeAutospacing="1" w:after="100" w:afterAutospacing="1"/>
              <w:jc w:val="center"/>
              <w:rPr>
                <w:b/>
                <w:bCs/>
              </w:rPr>
            </w:pPr>
            <w:r w:rsidRPr="004C147F">
              <w:rPr>
                <w:b/>
                <w:bCs/>
              </w:rPr>
              <w:t>2017</w:t>
            </w:r>
          </w:p>
        </w:tc>
      </w:tr>
      <w:tr w:rsidR="004B5E40" w:rsidRPr="00D11BDF" w14:paraId="222318FD" w14:textId="77777777" w:rsidTr="0073585A">
        <w:tc>
          <w:tcPr>
            <w:tcW w:w="1342" w:type="pct"/>
            <w:vMerge/>
          </w:tcPr>
          <w:p w14:paraId="0FF10A8C" w14:textId="77777777" w:rsidR="004B5E40" w:rsidRPr="004C147F" w:rsidRDefault="004B5E40" w:rsidP="0073585A">
            <w:pPr>
              <w:rPr>
                <w:b/>
                <w:bCs/>
              </w:rPr>
            </w:pPr>
          </w:p>
        </w:tc>
        <w:tc>
          <w:tcPr>
            <w:tcW w:w="850" w:type="pct"/>
          </w:tcPr>
          <w:p w14:paraId="2D2E64DE" w14:textId="77777777" w:rsidR="004B5E40" w:rsidRPr="00D11BDF" w:rsidRDefault="004B5E40" w:rsidP="0073585A">
            <w:pPr>
              <w:spacing w:before="100" w:beforeAutospacing="1" w:after="100" w:afterAutospacing="1"/>
              <w:jc w:val="center"/>
            </w:pPr>
            <w:r>
              <w:t>saskaņā ar valsts budžetu kārtējam gadam</w:t>
            </w:r>
          </w:p>
        </w:tc>
        <w:tc>
          <w:tcPr>
            <w:tcW w:w="663" w:type="pct"/>
          </w:tcPr>
          <w:p w14:paraId="67E0617A" w14:textId="77777777" w:rsidR="004B5E40" w:rsidRPr="00D11BDF" w:rsidRDefault="004B5E40" w:rsidP="0073585A">
            <w:pPr>
              <w:spacing w:before="100" w:beforeAutospacing="1" w:after="100" w:afterAutospacing="1"/>
              <w:jc w:val="center"/>
            </w:pPr>
            <w:r>
              <w:t>izmaiņas kārtējā gadā, salīdzinot ar valsts budžetu kārtējam gadam</w:t>
            </w:r>
          </w:p>
        </w:tc>
        <w:tc>
          <w:tcPr>
            <w:tcW w:w="668" w:type="pct"/>
          </w:tcPr>
          <w:p w14:paraId="26087471" w14:textId="77777777" w:rsidR="004B5E40" w:rsidRPr="00D11BDF" w:rsidRDefault="004B5E40" w:rsidP="0073585A">
            <w:pPr>
              <w:spacing w:before="100" w:beforeAutospacing="1" w:after="100" w:afterAutospacing="1"/>
              <w:jc w:val="center"/>
            </w:pPr>
            <w:r>
              <w:t>izmaiņas, salīdzinot ar 2014. gadu</w:t>
            </w:r>
          </w:p>
        </w:tc>
        <w:tc>
          <w:tcPr>
            <w:tcW w:w="758" w:type="pct"/>
          </w:tcPr>
          <w:p w14:paraId="2D67D4D7" w14:textId="77777777" w:rsidR="004B5E40" w:rsidRPr="00D11BDF" w:rsidRDefault="004B5E40" w:rsidP="0073585A">
            <w:pPr>
              <w:spacing w:before="100" w:beforeAutospacing="1" w:after="100" w:afterAutospacing="1"/>
              <w:jc w:val="center"/>
            </w:pPr>
            <w:r>
              <w:t>izmaiņas, salīdzinot ar 2014. gadu</w:t>
            </w:r>
          </w:p>
        </w:tc>
        <w:tc>
          <w:tcPr>
            <w:tcW w:w="719" w:type="pct"/>
          </w:tcPr>
          <w:p w14:paraId="035D0205" w14:textId="77777777" w:rsidR="004B5E40" w:rsidRPr="00D11BDF" w:rsidRDefault="004B5E40" w:rsidP="0073585A">
            <w:pPr>
              <w:spacing w:before="100" w:beforeAutospacing="1" w:after="100" w:afterAutospacing="1"/>
              <w:jc w:val="center"/>
            </w:pPr>
            <w:r>
              <w:t>izmaiņas, salīdzinot ar 2014. gadu</w:t>
            </w:r>
          </w:p>
        </w:tc>
      </w:tr>
      <w:tr w:rsidR="004B5E40" w:rsidRPr="00D11BDF" w14:paraId="34B7DB58" w14:textId="77777777" w:rsidTr="0073585A">
        <w:tc>
          <w:tcPr>
            <w:tcW w:w="1342" w:type="pct"/>
          </w:tcPr>
          <w:p w14:paraId="37826AF7" w14:textId="77777777" w:rsidR="004B5E40" w:rsidRPr="00D11BDF" w:rsidRDefault="004B5E40" w:rsidP="0073585A">
            <w:pPr>
              <w:spacing w:before="100" w:beforeAutospacing="1" w:after="100" w:afterAutospacing="1"/>
              <w:jc w:val="center"/>
            </w:pPr>
            <w:r>
              <w:t>1</w:t>
            </w:r>
          </w:p>
        </w:tc>
        <w:tc>
          <w:tcPr>
            <w:tcW w:w="850" w:type="pct"/>
          </w:tcPr>
          <w:p w14:paraId="214E6365" w14:textId="77777777" w:rsidR="004B5E40" w:rsidRPr="00D11BDF" w:rsidRDefault="004B5E40" w:rsidP="0073585A">
            <w:pPr>
              <w:spacing w:before="100" w:beforeAutospacing="1" w:after="100" w:afterAutospacing="1"/>
              <w:jc w:val="center"/>
            </w:pPr>
            <w:r>
              <w:t>2</w:t>
            </w:r>
          </w:p>
        </w:tc>
        <w:tc>
          <w:tcPr>
            <w:tcW w:w="663" w:type="pct"/>
          </w:tcPr>
          <w:p w14:paraId="5747CF1D" w14:textId="77777777" w:rsidR="004B5E40" w:rsidRPr="00D11BDF" w:rsidRDefault="004B5E40" w:rsidP="0073585A">
            <w:pPr>
              <w:spacing w:before="100" w:beforeAutospacing="1" w:after="100" w:afterAutospacing="1"/>
              <w:jc w:val="center"/>
            </w:pPr>
            <w:r>
              <w:t>3</w:t>
            </w:r>
          </w:p>
        </w:tc>
        <w:tc>
          <w:tcPr>
            <w:tcW w:w="668" w:type="pct"/>
          </w:tcPr>
          <w:p w14:paraId="78E178ED" w14:textId="77777777" w:rsidR="004B5E40" w:rsidRPr="00D11BDF" w:rsidRDefault="004B5E40" w:rsidP="0073585A">
            <w:pPr>
              <w:spacing w:before="100" w:beforeAutospacing="1" w:after="100" w:afterAutospacing="1"/>
              <w:jc w:val="center"/>
            </w:pPr>
            <w:r>
              <w:t>4</w:t>
            </w:r>
          </w:p>
        </w:tc>
        <w:tc>
          <w:tcPr>
            <w:tcW w:w="758" w:type="pct"/>
          </w:tcPr>
          <w:p w14:paraId="7CE923CA" w14:textId="77777777" w:rsidR="004B5E40" w:rsidRPr="00D11BDF" w:rsidRDefault="004B5E40" w:rsidP="0073585A">
            <w:pPr>
              <w:spacing w:before="100" w:beforeAutospacing="1" w:after="100" w:afterAutospacing="1"/>
              <w:jc w:val="center"/>
            </w:pPr>
            <w:r>
              <w:t>5</w:t>
            </w:r>
          </w:p>
        </w:tc>
        <w:tc>
          <w:tcPr>
            <w:tcW w:w="719" w:type="pct"/>
          </w:tcPr>
          <w:p w14:paraId="170EFACA" w14:textId="77777777" w:rsidR="004B5E40" w:rsidRPr="00D11BDF" w:rsidRDefault="004B5E40" w:rsidP="0073585A">
            <w:pPr>
              <w:spacing w:before="100" w:beforeAutospacing="1" w:after="100" w:afterAutospacing="1"/>
              <w:jc w:val="center"/>
            </w:pPr>
            <w:r>
              <w:t>6</w:t>
            </w:r>
          </w:p>
        </w:tc>
      </w:tr>
      <w:tr w:rsidR="004B5E40" w:rsidRPr="00D11BDF" w14:paraId="1016508A" w14:textId="77777777" w:rsidTr="0073585A">
        <w:tc>
          <w:tcPr>
            <w:tcW w:w="1342" w:type="pct"/>
          </w:tcPr>
          <w:p w14:paraId="0C668F25" w14:textId="77777777" w:rsidR="004B5E40" w:rsidRPr="00D11BDF" w:rsidRDefault="004B5E40" w:rsidP="0073585A">
            <w:r>
              <w:t>1. Budžeta ieņēmumi:</w:t>
            </w:r>
          </w:p>
        </w:tc>
        <w:tc>
          <w:tcPr>
            <w:tcW w:w="850" w:type="pct"/>
          </w:tcPr>
          <w:p w14:paraId="558E3F8E" w14:textId="77777777" w:rsidR="004B5E40" w:rsidRDefault="007E1A57" w:rsidP="00E027E1">
            <w:pPr>
              <w:jc w:val="both"/>
            </w:pPr>
            <w:r>
              <w:t>3 752 977</w:t>
            </w:r>
          </w:p>
        </w:tc>
        <w:tc>
          <w:tcPr>
            <w:tcW w:w="663" w:type="pct"/>
          </w:tcPr>
          <w:p w14:paraId="4D28FE81" w14:textId="77777777" w:rsidR="004B5E40" w:rsidRDefault="004B5E40" w:rsidP="0073585A">
            <w:pPr>
              <w:jc w:val="right"/>
            </w:pPr>
            <w:r w:rsidRPr="00B83DC0">
              <w:t>0</w:t>
            </w:r>
          </w:p>
        </w:tc>
        <w:tc>
          <w:tcPr>
            <w:tcW w:w="668" w:type="pct"/>
          </w:tcPr>
          <w:p w14:paraId="38B8857D" w14:textId="2530C7F0" w:rsidR="004B5E40" w:rsidRDefault="00A123C1" w:rsidP="00A123C1">
            <w:pPr>
              <w:jc w:val="right"/>
            </w:pPr>
            <w:r>
              <w:t>0</w:t>
            </w:r>
          </w:p>
        </w:tc>
        <w:tc>
          <w:tcPr>
            <w:tcW w:w="758" w:type="pct"/>
          </w:tcPr>
          <w:p w14:paraId="19E5D219" w14:textId="26EDFB9C" w:rsidR="004B5E40" w:rsidRDefault="00A123C1" w:rsidP="00A123C1">
            <w:pPr>
              <w:jc w:val="right"/>
            </w:pPr>
            <w:r>
              <w:t>0</w:t>
            </w:r>
          </w:p>
        </w:tc>
        <w:tc>
          <w:tcPr>
            <w:tcW w:w="719" w:type="pct"/>
          </w:tcPr>
          <w:p w14:paraId="20B9B9B6" w14:textId="7DF4ACD0" w:rsidR="004B5E40" w:rsidRDefault="00A123C1" w:rsidP="00A123C1">
            <w:pPr>
              <w:jc w:val="right"/>
            </w:pPr>
            <w:r>
              <w:t>0</w:t>
            </w:r>
          </w:p>
        </w:tc>
      </w:tr>
      <w:tr w:rsidR="00305D3A" w:rsidRPr="00D11BDF" w14:paraId="7ADFE630" w14:textId="77777777" w:rsidTr="0073585A">
        <w:tc>
          <w:tcPr>
            <w:tcW w:w="1342" w:type="pct"/>
          </w:tcPr>
          <w:p w14:paraId="431C744E" w14:textId="77777777" w:rsidR="00305D3A" w:rsidRPr="00D11BDF" w:rsidRDefault="00305D3A" w:rsidP="00305D3A">
            <w:r>
              <w:t>1.1. valsts pamatbudžets, tai skaitā ieņēmumi no maksas pakalpojumiem un citi pašu ieņēmumi</w:t>
            </w:r>
          </w:p>
        </w:tc>
        <w:tc>
          <w:tcPr>
            <w:tcW w:w="850" w:type="pct"/>
          </w:tcPr>
          <w:p w14:paraId="35A6BAB0" w14:textId="1D7D33BD" w:rsidR="00305D3A" w:rsidRDefault="00305D3A" w:rsidP="00A0080C">
            <w:pPr>
              <w:jc w:val="both"/>
            </w:pPr>
            <w:r>
              <w:t xml:space="preserve">Saskaņā ar LM pamatbudžeta apakšprogrammas 20.01.00 “Valsts sociālie pabalsti” plānu 2014.gadam ieņēmumi pabalstam plānoti </w:t>
            </w:r>
            <w:r>
              <w:lastRenderedPageBreak/>
              <w:t xml:space="preserve">3 752 977 </w:t>
            </w:r>
            <w:proofErr w:type="spellStart"/>
            <w:r w:rsidRPr="007E1A57">
              <w:rPr>
                <w:i/>
              </w:rPr>
              <w:t>euro</w:t>
            </w:r>
            <w:proofErr w:type="spellEnd"/>
            <w:r>
              <w:t xml:space="preserve"> </w:t>
            </w:r>
            <w:r w:rsidR="00A0080C">
              <w:t>apmērā, kas paredzēti valsts sociālā pabalsta ČAES dalībniekiem un mirušo ČAES dalībnieku ģimenēm izmaksai</w:t>
            </w:r>
          </w:p>
        </w:tc>
        <w:tc>
          <w:tcPr>
            <w:tcW w:w="663" w:type="pct"/>
          </w:tcPr>
          <w:p w14:paraId="5854D06C" w14:textId="77777777" w:rsidR="00305D3A" w:rsidRDefault="00305D3A" w:rsidP="00305D3A">
            <w:pPr>
              <w:jc w:val="right"/>
            </w:pPr>
            <w:r w:rsidRPr="00B83DC0">
              <w:lastRenderedPageBreak/>
              <w:t>0</w:t>
            </w:r>
          </w:p>
        </w:tc>
        <w:tc>
          <w:tcPr>
            <w:tcW w:w="668" w:type="pct"/>
          </w:tcPr>
          <w:p w14:paraId="48CC9AF2" w14:textId="664135AB" w:rsidR="00305D3A" w:rsidRDefault="00A123C1" w:rsidP="00A123C1">
            <w:pPr>
              <w:jc w:val="right"/>
            </w:pPr>
            <w:r>
              <w:t>0</w:t>
            </w:r>
          </w:p>
        </w:tc>
        <w:tc>
          <w:tcPr>
            <w:tcW w:w="758" w:type="pct"/>
          </w:tcPr>
          <w:p w14:paraId="6C611C57" w14:textId="5D0C3AEB" w:rsidR="00305D3A" w:rsidRDefault="00A123C1" w:rsidP="00A123C1">
            <w:pPr>
              <w:jc w:val="right"/>
            </w:pPr>
            <w:r>
              <w:t>0</w:t>
            </w:r>
          </w:p>
        </w:tc>
        <w:tc>
          <w:tcPr>
            <w:tcW w:w="719" w:type="pct"/>
          </w:tcPr>
          <w:p w14:paraId="64891B0E" w14:textId="6607CC6E" w:rsidR="00305D3A" w:rsidRDefault="00A123C1" w:rsidP="00A123C1">
            <w:pPr>
              <w:jc w:val="right"/>
            </w:pPr>
            <w:r>
              <w:t>0</w:t>
            </w:r>
          </w:p>
        </w:tc>
      </w:tr>
      <w:tr w:rsidR="00305D3A" w:rsidRPr="008A6ADE" w14:paraId="67B384CF" w14:textId="77777777" w:rsidTr="0073585A">
        <w:tc>
          <w:tcPr>
            <w:tcW w:w="1342" w:type="pct"/>
          </w:tcPr>
          <w:p w14:paraId="7A8EB42C" w14:textId="77777777" w:rsidR="00305D3A" w:rsidRPr="008A6ADE" w:rsidRDefault="00305D3A" w:rsidP="00305D3A">
            <w:r w:rsidRPr="008A6ADE">
              <w:lastRenderedPageBreak/>
              <w:t>1.2. valsts speciālais budžets</w:t>
            </w:r>
          </w:p>
        </w:tc>
        <w:tc>
          <w:tcPr>
            <w:tcW w:w="850" w:type="pct"/>
          </w:tcPr>
          <w:p w14:paraId="4FA2FC30" w14:textId="77777777" w:rsidR="00305D3A" w:rsidRPr="008A6ADE" w:rsidRDefault="00305D3A" w:rsidP="00305D3A">
            <w:pPr>
              <w:jc w:val="right"/>
            </w:pPr>
            <w:r w:rsidRPr="008A6ADE">
              <w:t>0</w:t>
            </w:r>
          </w:p>
        </w:tc>
        <w:tc>
          <w:tcPr>
            <w:tcW w:w="663" w:type="pct"/>
          </w:tcPr>
          <w:p w14:paraId="3AB18F2F" w14:textId="77777777" w:rsidR="00305D3A" w:rsidRPr="008A6ADE" w:rsidRDefault="00305D3A" w:rsidP="00305D3A">
            <w:pPr>
              <w:jc w:val="right"/>
            </w:pPr>
            <w:r w:rsidRPr="008A6ADE">
              <w:t>0</w:t>
            </w:r>
          </w:p>
        </w:tc>
        <w:tc>
          <w:tcPr>
            <w:tcW w:w="668" w:type="pct"/>
          </w:tcPr>
          <w:p w14:paraId="48CEDE6F" w14:textId="77777777" w:rsidR="00305D3A" w:rsidRPr="008A6ADE" w:rsidRDefault="00305D3A" w:rsidP="00305D3A">
            <w:pPr>
              <w:jc w:val="right"/>
            </w:pPr>
            <w:r w:rsidRPr="008A6ADE">
              <w:t>0</w:t>
            </w:r>
          </w:p>
        </w:tc>
        <w:tc>
          <w:tcPr>
            <w:tcW w:w="758" w:type="pct"/>
          </w:tcPr>
          <w:p w14:paraId="4338126E" w14:textId="77777777" w:rsidR="00305D3A" w:rsidRPr="008A6ADE" w:rsidRDefault="00305D3A" w:rsidP="00305D3A">
            <w:pPr>
              <w:jc w:val="right"/>
            </w:pPr>
            <w:r w:rsidRPr="008A6ADE">
              <w:t>0</w:t>
            </w:r>
          </w:p>
        </w:tc>
        <w:tc>
          <w:tcPr>
            <w:tcW w:w="719" w:type="pct"/>
          </w:tcPr>
          <w:p w14:paraId="5927D216" w14:textId="77777777" w:rsidR="00305D3A" w:rsidRPr="008A6ADE" w:rsidRDefault="00305D3A" w:rsidP="00305D3A">
            <w:pPr>
              <w:jc w:val="right"/>
            </w:pPr>
            <w:r w:rsidRPr="008A6ADE">
              <w:t>0</w:t>
            </w:r>
          </w:p>
        </w:tc>
      </w:tr>
      <w:tr w:rsidR="00305D3A" w:rsidRPr="008A6ADE" w14:paraId="65BD5EEB" w14:textId="77777777" w:rsidTr="0073585A">
        <w:tc>
          <w:tcPr>
            <w:tcW w:w="1342" w:type="pct"/>
          </w:tcPr>
          <w:p w14:paraId="6CFAEBD6" w14:textId="77777777" w:rsidR="00305D3A" w:rsidRPr="008A6ADE" w:rsidRDefault="00305D3A" w:rsidP="00305D3A">
            <w:r w:rsidRPr="008A6ADE">
              <w:t>1.3. pašvaldību budžets</w:t>
            </w:r>
          </w:p>
        </w:tc>
        <w:tc>
          <w:tcPr>
            <w:tcW w:w="850" w:type="pct"/>
          </w:tcPr>
          <w:p w14:paraId="71366D7F" w14:textId="77777777" w:rsidR="00305D3A" w:rsidRPr="008A6ADE" w:rsidRDefault="00305D3A" w:rsidP="00305D3A">
            <w:pPr>
              <w:jc w:val="right"/>
            </w:pPr>
            <w:r w:rsidRPr="008A6ADE">
              <w:t>0</w:t>
            </w:r>
          </w:p>
        </w:tc>
        <w:tc>
          <w:tcPr>
            <w:tcW w:w="663" w:type="pct"/>
          </w:tcPr>
          <w:p w14:paraId="50138B9C" w14:textId="77777777" w:rsidR="00305D3A" w:rsidRPr="008A6ADE" w:rsidRDefault="00305D3A" w:rsidP="00305D3A">
            <w:pPr>
              <w:jc w:val="right"/>
            </w:pPr>
            <w:r w:rsidRPr="008A6ADE">
              <w:t>0</w:t>
            </w:r>
          </w:p>
        </w:tc>
        <w:tc>
          <w:tcPr>
            <w:tcW w:w="668" w:type="pct"/>
          </w:tcPr>
          <w:p w14:paraId="18DFBDDC" w14:textId="77777777" w:rsidR="00305D3A" w:rsidRPr="008A6ADE" w:rsidRDefault="00305D3A" w:rsidP="00305D3A">
            <w:pPr>
              <w:jc w:val="right"/>
            </w:pPr>
            <w:r w:rsidRPr="008A6ADE">
              <w:t>0</w:t>
            </w:r>
          </w:p>
        </w:tc>
        <w:tc>
          <w:tcPr>
            <w:tcW w:w="758" w:type="pct"/>
          </w:tcPr>
          <w:p w14:paraId="5A8360C2" w14:textId="77777777" w:rsidR="00305D3A" w:rsidRPr="008A6ADE" w:rsidRDefault="00305D3A" w:rsidP="00305D3A">
            <w:pPr>
              <w:jc w:val="right"/>
            </w:pPr>
            <w:r w:rsidRPr="008A6ADE">
              <w:t>0</w:t>
            </w:r>
          </w:p>
        </w:tc>
        <w:tc>
          <w:tcPr>
            <w:tcW w:w="719" w:type="pct"/>
          </w:tcPr>
          <w:p w14:paraId="7D23E962" w14:textId="77777777" w:rsidR="00305D3A" w:rsidRPr="008A6ADE" w:rsidRDefault="00305D3A" w:rsidP="00305D3A">
            <w:pPr>
              <w:jc w:val="right"/>
            </w:pPr>
            <w:r w:rsidRPr="008A6ADE">
              <w:t>0</w:t>
            </w:r>
          </w:p>
        </w:tc>
      </w:tr>
      <w:tr w:rsidR="00305D3A" w:rsidRPr="008A6ADE" w14:paraId="135DB570" w14:textId="77777777" w:rsidTr="009D251E">
        <w:tc>
          <w:tcPr>
            <w:tcW w:w="1342" w:type="pct"/>
          </w:tcPr>
          <w:p w14:paraId="2CEF4333" w14:textId="77777777" w:rsidR="00305D3A" w:rsidRPr="008A6ADE" w:rsidRDefault="00305D3A" w:rsidP="00305D3A">
            <w:r w:rsidRPr="008A6ADE">
              <w:t>2. Budžeta izdevumi:</w:t>
            </w:r>
          </w:p>
        </w:tc>
        <w:tc>
          <w:tcPr>
            <w:tcW w:w="850" w:type="pct"/>
          </w:tcPr>
          <w:p w14:paraId="71F1CF98" w14:textId="77777777" w:rsidR="00305D3A" w:rsidRPr="008A6ADE" w:rsidRDefault="00305D3A" w:rsidP="00305D3A">
            <w:pPr>
              <w:jc w:val="both"/>
            </w:pPr>
            <w:r>
              <w:t>3 752 977</w:t>
            </w:r>
          </w:p>
        </w:tc>
        <w:tc>
          <w:tcPr>
            <w:tcW w:w="663" w:type="pct"/>
          </w:tcPr>
          <w:p w14:paraId="64B5F2C7" w14:textId="77777777" w:rsidR="00305D3A" w:rsidRPr="008A6ADE" w:rsidRDefault="00305D3A" w:rsidP="00305D3A">
            <w:pPr>
              <w:jc w:val="right"/>
            </w:pPr>
            <w:r w:rsidRPr="008A6ADE">
              <w:t>0</w:t>
            </w:r>
          </w:p>
        </w:tc>
        <w:tc>
          <w:tcPr>
            <w:tcW w:w="668" w:type="pct"/>
          </w:tcPr>
          <w:p w14:paraId="332FA02C" w14:textId="77777777" w:rsidR="00305D3A" w:rsidRDefault="00BA4409" w:rsidP="00305D3A">
            <w:pPr>
              <w:jc w:val="both"/>
            </w:pPr>
            <w:r>
              <w:t>339 070</w:t>
            </w:r>
          </w:p>
        </w:tc>
        <w:tc>
          <w:tcPr>
            <w:tcW w:w="758" w:type="pct"/>
          </w:tcPr>
          <w:p w14:paraId="452096B2" w14:textId="77777777" w:rsidR="00305D3A" w:rsidRDefault="00BA4409" w:rsidP="00305D3A">
            <w:pPr>
              <w:jc w:val="both"/>
            </w:pPr>
            <w:r>
              <w:t>335 265</w:t>
            </w:r>
          </w:p>
        </w:tc>
        <w:tc>
          <w:tcPr>
            <w:tcW w:w="719" w:type="pct"/>
          </w:tcPr>
          <w:p w14:paraId="0E41F4EC" w14:textId="77777777" w:rsidR="00305D3A" w:rsidRDefault="00BA4409" w:rsidP="00305D3A">
            <w:pPr>
              <w:jc w:val="both"/>
            </w:pPr>
            <w:r>
              <w:t>315 452</w:t>
            </w:r>
          </w:p>
        </w:tc>
      </w:tr>
      <w:tr w:rsidR="00305D3A" w:rsidRPr="008A6ADE" w14:paraId="7DBABB9A" w14:textId="77777777" w:rsidTr="00D1668E">
        <w:tc>
          <w:tcPr>
            <w:tcW w:w="1342" w:type="pct"/>
          </w:tcPr>
          <w:p w14:paraId="0D0649E8" w14:textId="77777777" w:rsidR="00305D3A" w:rsidRPr="008A6ADE" w:rsidRDefault="00305D3A" w:rsidP="00305D3A">
            <w:r w:rsidRPr="008A6ADE">
              <w:t>2.1. valsts pamatbudžets</w:t>
            </w:r>
          </w:p>
        </w:tc>
        <w:tc>
          <w:tcPr>
            <w:tcW w:w="850" w:type="pct"/>
            <w:vAlign w:val="center"/>
          </w:tcPr>
          <w:p w14:paraId="454DEFF2" w14:textId="4DCD9D94" w:rsidR="00305D3A" w:rsidRPr="008A6ADE" w:rsidRDefault="00305D3A" w:rsidP="00305D3A">
            <w:pPr>
              <w:jc w:val="both"/>
            </w:pPr>
            <w:r>
              <w:t xml:space="preserve">Saskaņā ar LM pamatbudžeta apakšprogrammas 20.01.00 “Valsts sociālie pabalsti” plānu 2014.gadam izdevumi pabalstam plānoti 3 752 977 </w:t>
            </w:r>
            <w:proofErr w:type="spellStart"/>
            <w:r w:rsidRPr="00E027E1">
              <w:rPr>
                <w:i/>
              </w:rPr>
              <w:t>euro</w:t>
            </w:r>
            <w:proofErr w:type="spellEnd"/>
            <w:r w:rsidR="009E0037">
              <w:t xml:space="preserve"> apmērā, kas paredzēti valsts sociālā pabalsta ČAES dalībniekiem un mirušo ČAES dalībnieku ģimenēm izmaksai</w:t>
            </w:r>
          </w:p>
        </w:tc>
        <w:tc>
          <w:tcPr>
            <w:tcW w:w="663" w:type="pct"/>
          </w:tcPr>
          <w:p w14:paraId="59FAE643" w14:textId="77777777" w:rsidR="00305D3A" w:rsidRPr="008A6ADE" w:rsidRDefault="00305D3A" w:rsidP="00305D3A">
            <w:pPr>
              <w:jc w:val="right"/>
            </w:pPr>
            <w:r w:rsidRPr="008A6ADE">
              <w:t>0</w:t>
            </w:r>
          </w:p>
        </w:tc>
        <w:tc>
          <w:tcPr>
            <w:tcW w:w="668" w:type="pct"/>
          </w:tcPr>
          <w:p w14:paraId="09607FE5" w14:textId="77777777" w:rsidR="00305D3A" w:rsidRDefault="00BA4409" w:rsidP="00305D3A">
            <w:pPr>
              <w:jc w:val="both"/>
            </w:pPr>
            <w:r>
              <w:t>339 070</w:t>
            </w:r>
          </w:p>
        </w:tc>
        <w:tc>
          <w:tcPr>
            <w:tcW w:w="758" w:type="pct"/>
          </w:tcPr>
          <w:p w14:paraId="561728B7" w14:textId="77777777" w:rsidR="00305D3A" w:rsidRDefault="00BA4409" w:rsidP="00305D3A">
            <w:pPr>
              <w:jc w:val="both"/>
            </w:pPr>
            <w:r>
              <w:t>335 265</w:t>
            </w:r>
          </w:p>
        </w:tc>
        <w:tc>
          <w:tcPr>
            <w:tcW w:w="719" w:type="pct"/>
          </w:tcPr>
          <w:p w14:paraId="5181DAFB" w14:textId="77777777" w:rsidR="00305D3A" w:rsidRDefault="00BA4409" w:rsidP="00305D3A">
            <w:pPr>
              <w:jc w:val="both"/>
            </w:pPr>
            <w:r>
              <w:t>315 452</w:t>
            </w:r>
          </w:p>
        </w:tc>
      </w:tr>
      <w:tr w:rsidR="00305D3A" w:rsidRPr="008A6ADE" w14:paraId="0C05C703" w14:textId="77777777" w:rsidTr="00D1668E">
        <w:tc>
          <w:tcPr>
            <w:tcW w:w="1342" w:type="pct"/>
          </w:tcPr>
          <w:p w14:paraId="7FBBFCC6" w14:textId="77777777" w:rsidR="00305D3A" w:rsidRPr="008A6ADE" w:rsidRDefault="00305D3A" w:rsidP="00305D3A">
            <w:r w:rsidRPr="008A6ADE">
              <w:t>2.2. valsts speciālais budžets</w:t>
            </w:r>
          </w:p>
        </w:tc>
        <w:tc>
          <w:tcPr>
            <w:tcW w:w="850" w:type="pct"/>
            <w:vAlign w:val="center"/>
          </w:tcPr>
          <w:p w14:paraId="69DD459E" w14:textId="77777777" w:rsidR="00305D3A" w:rsidRPr="008A6ADE" w:rsidRDefault="00305D3A" w:rsidP="00305D3A">
            <w:pPr>
              <w:jc w:val="right"/>
            </w:pPr>
          </w:p>
        </w:tc>
        <w:tc>
          <w:tcPr>
            <w:tcW w:w="663" w:type="pct"/>
          </w:tcPr>
          <w:p w14:paraId="68C4AAD1" w14:textId="77777777" w:rsidR="00305D3A" w:rsidRPr="008A6ADE" w:rsidRDefault="00305D3A" w:rsidP="00305D3A">
            <w:pPr>
              <w:jc w:val="right"/>
            </w:pPr>
            <w:r w:rsidRPr="008A6ADE">
              <w:t>0</w:t>
            </w:r>
          </w:p>
        </w:tc>
        <w:tc>
          <w:tcPr>
            <w:tcW w:w="668" w:type="pct"/>
          </w:tcPr>
          <w:p w14:paraId="5BDA0DC2" w14:textId="77777777" w:rsidR="00305D3A" w:rsidRPr="008A6ADE" w:rsidRDefault="00305D3A" w:rsidP="00305D3A">
            <w:pPr>
              <w:jc w:val="right"/>
            </w:pPr>
            <w:r>
              <w:t>0</w:t>
            </w:r>
          </w:p>
        </w:tc>
        <w:tc>
          <w:tcPr>
            <w:tcW w:w="758" w:type="pct"/>
          </w:tcPr>
          <w:p w14:paraId="574EB2A7" w14:textId="77777777" w:rsidR="00305D3A" w:rsidRPr="008A6ADE" w:rsidRDefault="00305D3A" w:rsidP="00305D3A">
            <w:pPr>
              <w:jc w:val="right"/>
            </w:pPr>
            <w:r>
              <w:t>0</w:t>
            </w:r>
          </w:p>
        </w:tc>
        <w:tc>
          <w:tcPr>
            <w:tcW w:w="719" w:type="pct"/>
          </w:tcPr>
          <w:p w14:paraId="01288F15" w14:textId="77777777" w:rsidR="00305D3A" w:rsidRPr="008A6ADE" w:rsidRDefault="00305D3A" w:rsidP="00305D3A">
            <w:pPr>
              <w:jc w:val="right"/>
            </w:pPr>
            <w:r>
              <w:t>0</w:t>
            </w:r>
          </w:p>
        </w:tc>
      </w:tr>
      <w:tr w:rsidR="00305D3A" w:rsidRPr="008A6ADE" w14:paraId="7D5DDBAB" w14:textId="77777777" w:rsidTr="0073585A">
        <w:tc>
          <w:tcPr>
            <w:tcW w:w="1342" w:type="pct"/>
          </w:tcPr>
          <w:p w14:paraId="54B08246" w14:textId="77777777" w:rsidR="00305D3A" w:rsidRPr="008A6ADE" w:rsidRDefault="00305D3A" w:rsidP="00305D3A">
            <w:r w:rsidRPr="008A6ADE">
              <w:t>2.3. pašvaldību budžets</w:t>
            </w:r>
          </w:p>
        </w:tc>
        <w:tc>
          <w:tcPr>
            <w:tcW w:w="850" w:type="pct"/>
          </w:tcPr>
          <w:p w14:paraId="1282A803" w14:textId="77777777" w:rsidR="00305D3A" w:rsidRPr="008A6ADE" w:rsidRDefault="00305D3A" w:rsidP="00305D3A">
            <w:pPr>
              <w:jc w:val="right"/>
            </w:pPr>
            <w:r w:rsidRPr="008A6ADE">
              <w:t>0</w:t>
            </w:r>
          </w:p>
        </w:tc>
        <w:tc>
          <w:tcPr>
            <w:tcW w:w="663" w:type="pct"/>
          </w:tcPr>
          <w:p w14:paraId="39743E87" w14:textId="77777777" w:rsidR="00305D3A" w:rsidRPr="008A6ADE" w:rsidRDefault="00305D3A" w:rsidP="00305D3A">
            <w:pPr>
              <w:jc w:val="right"/>
            </w:pPr>
            <w:r w:rsidRPr="008A6ADE">
              <w:t>0</w:t>
            </w:r>
          </w:p>
        </w:tc>
        <w:tc>
          <w:tcPr>
            <w:tcW w:w="668" w:type="pct"/>
          </w:tcPr>
          <w:p w14:paraId="3B8F86CD" w14:textId="77777777" w:rsidR="00305D3A" w:rsidRPr="008A6ADE" w:rsidRDefault="00305D3A" w:rsidP="00305D3A">
            <w:pPr>
              <w:jc w:val="right"/>
            </w:pPr>
            <w:r w:rsidRPr="008A6ADE">
              <w:t>0</w:t>
            </w:r>
          </w:p>
        </w:tc>
        <w:tc>
          <w:tcPr>
            <w:tcW w:w="758" w:type="pct"/>
          </w:tcPr>
          <w:p w14:paraId="0C334470" w14:textId="77777777" w:rsidR="00305D3A" w:rsidRPr="008A6ADE" w:rsidRDefault="00305D3A" w:rsidP="00305D3A">
            <w:pPr>
              <w:jc w:val="right"/>
            </w:pPr>
            <w:r w:rsidRPr="008A6ADE">
              <w:t>0</w:t>
            </w:r>
          </w:p>
        </w:tc>
        <w:tc>
          <w:tcPr>
            <w:tcW w:w="719" w:type="pct"/>
          </w:tcPr>
          <w:p w14:paraId="25D527A0" w14:textId="77777777" w:rsidR="00305D3A" w:rsidRPr="008A6ADE" w:rsidRDefault="00305D3A" w:rsidP="00305D3A">
            <w:pPr>
              <w:jc w:val="right"/>
            </w:pPr>
            <w:r w:rsidRPr="008A6ADE">
              <w:t>0</w:t>
            </w:r>
          </w:p>
        </w:tc>
      </w:tr>
      <w:tr w:rsidR="00305D3A" w:rsidRPr="008A6ADE" w14:paraId="5D636CCA" w14:textId="77777777" w:rsidTr="0073585A">
        <w:tc>
          <w:tcPr>
            <w:tcW w:w="1342" w:type="pct"/>
          </w:tcPr>
          <w:p w14:paraId="14C13851" w14:textId="77777777" w:rsidR="00305D3A" w:rsidRPr="008A6ADE" w:rsidRDefault="00305D3A" w:rsidP="00305D3A">
            <w:r w:rsidRPr="008A6ADE">
              <w:t>3. Finansiālā ietekme:</w:t>
            </w:r>
          </w:p>
        </w:tc>
        <w:tc>
          <w:tcPr>
            <w:tcW w:w="850" w:type="pct"/>
          </w:tcPr>
          <w:p w14:paraId="539A4561" w14:textId="77777777" w:rsidR="00305D3A" w:rsidRPr="008A6ADE" w:rsidRDefault="00305D3A" w:rsidP="00305D3A">
            <w:pPr>
              <w:jc w:val="right"/>
            </w:pPr>
            <w:r w:rsidRPr="008A6ADE">
              <w:t>0</w:t>
            </w:r>
          </w:p>
        </w:tc>
        <w:tc>
          <w:tcPr>
            <w:tcW w:w="663" w:type="pct"/>
          </w:tcPr>
          <w:p w14:paraId="60647ECA" w14:textId="77777777" w:rsidR="00305D3A" w:rsidRPr="008A6ADE" w:rsidRDefault="00305D3A" w:rsidP="00305D3A">
            <w:pPr>
              <w:jc w:val="right"/>
            </w:pPr>
            <w:r w:rsidRPr="008A6ADE">
              <w:t>0</w:t>
            </w:r>
          </w:p>
        </w:tc>
        <w:tc>
          <w:tcPr>
            <w:tcW w:w="668" w:type="pct"/>
            <w:vAlign w:val="center"/>
          </w:tcPr>
          <w:p w14:paraId="0A610273" w14:textId="01AD6283" w:rsidR="00305D3A" w:rsidRPr="008A6ADE" w:rsidRDefault="006239BF" w:rsidP="00305D3A">
            <w:pPr>
              <w:jc w:val="right"/>
            </w:pPr>
            <w:r>
              <w:t>-</w:t>
            </w:r>
            <w:r w:rsidR="000463D0">
              <w:t>339 07</w:t>
            </w:r>
            <w:r w:rsidR="00305D3A">
              <w:t>0</w:t>
            </w:r>
          </w:p>
        </w:tc>
        <w:tc>
          <w:tcPr>
            <w:tcW w:w="758" w:type="pct"/>
            <w:vAlign w:val="center"/>
          </w:tcPr>
          <w:p w14:paraId="46A79AF1" w14:textId="73A8E6D2" w:rsidR="00305D3A" w:rsidRPr="008A6ADE" w:rsidRDefault="006239BF" w:rsidP="000463D0">
            <w:pPr>
              <w:jc w:val="right"/>
            </w:pPr>
            <w:r>
              <w:t>-</w:t>
            </w:r>
            <w:r w:rsidR="000463D0">
              <w:t>335 265</w:t>
            </w:r>
          </w:p>
        </w:tc>
        <w:tc>
          <w:tcPr>
            <w:tcW w:w="719" w:type="pct"/>
            <w:vAlign w:val="center"/>
          </w:tcPr>
          <w:p w14:paraId="26EFECFD" w14:textId="31ABFF14" w:rsidR="00305D3A" w:rsidRPr="008A6ADE" w:rsidRDefault="006239BF" w:rsidP="000463D0">
            <w:pPr>
              <w:jc w:val="right"/>
            </w:pPr>
            <w:r>
              <w:t>-</w:t>
            </w:r>
            <w:r w:rsidR="000463D0">
              <w:t>315 452</w:t>
            </w:r>
          </w:p>
        </w:tc>
      </w:tr>
      <w:tr w:rsidR="00305D3A" w:rsidRPr="008A6ADE" w14:paraId="0594D68C" w14:textId="77777777" w:rsidTr="00D1668E">
        <w:tc>
          <w:tcPr>
            <w:tcW w:w="1342" w:type="pct"/>
          </w:tcPr>
          <w:p w14:paraId="4A517B24" w14:textId="77777777" w:rsidR="00305D3A" w:rsidRPr="008A6ADE" w:rsidRDefault="00305D3A" w:rsidP="00305D3A">
            <w:r w:rsidRPr="008A6ADE">
              <w:lastRenderedPageBreak/>
              <w:t>3.1. valsts pamatbudžets</w:t>
            </w:r>
          </w:p>
        </w:tc>
        <w:tc>
          <w:tcPr>
            <w:tcW w:w="850" w:type="pct"/>
          </w:tcPr>
          <w:p w14:paraId="32EDF44A" w14:textId="77777777" w:rsidR="00305D3A" w:rsidRPr="008A6ADE" w:rsidRDefault="00305D3A" w:rsidP="00305D3A">
            <w:pPr>
              <w:jc w:val="right"/>
            </w:pPr>
            <w:r w:rsidRPr="008A6ADE">
              <w:t>0</w:t>
            </w:r>
          </w:p>
        </w:tc>
        <w:tc>
          <w:tcPr>
            <w:tcW w:w="663" w:type="pct"/>
          </w:tcPr>
          <w:p w14:paraId="6DC1770C" w14:textId="77777777" w:rsidR="00305D3A" w:rsidRPr="008A6ADE" w:rsidRDefault="00305D3A" w:rsidP="00305D3A">
            <w:pPr>
              <w:jc w:val="right"/>
            </w:pPr>
            <w:r w:rsidRPr="008A6ADE">
              <w:t>0</w:t>
            </w:r>
          </w:p>
        </w:tc>
        <w:tc>
          <w:tcPr>
            <w:tcW w:w="668" w:type="pct"/>
          </w:tcPr>
          <w:p w14:paraId="32010218" w14:textId="7E078A26" w:rsidR="00305D3A" w:rsidRPr="008A6ADE" w:rsidRDefault="000463D0" w:rsidP="000463D0">
            <w:r>
              <w:t>-339 070</w:t>
            </w:r>
          </w:p>
        </w:tc>
        <w:tc>
          <w:tcPr>
            <w:tcW w:w="758" w:type="pct"/>
          </w:tcPr>
          <w:p w14:paraId="6BBA1A93" w14:textId="2F3FA2DC" w:rsidR="00305D3A" w:rsidRPr="008A6ADE" w:rsidRDefault="000463D0" w:rsidP="00305D3A">
            <w:pPr>
              <w:jc w:val="right"/>
            </w:pPr>
            <w:r>
              <w:t>-335 265</w:t>
            </w:r>
          </w:p>
        </w:tc>
        <w:tc>
          <w:tcPr>
            <w:tcW w:w="719" w:type="pct"/>
          </w:tcPr>
          <w:p w14:paraId="5D9A5AA8" w14:textId="391D63C0" w:rsidR="00305D3A" w:rsidRPr="008A6ADE" w:rsidRDefault="000463D0" w:rsidP="00305D3A">
            <w:pPr>
              <w:jc w:val="right"/>
            </w:pPr>
            <w:r>
              <w:t>-315 452</w:t>
            </w:r>
          </w:p>
        </w:tc>
      </w:tr>
      <w:tr w:rsidR="00305D3A" w:rsidRPr="008A6ADE" w14:paraId="76EFA63F" w14:textId="77777777" w:rsidTr="0073585A">
        <w:tc>
          <w:tcPr>
            <w:tcW w:w="1342" w:type="pct"/>
          </w:tcPr>
          <w:p w14:paraId="39F76179" w14:textId="77777777" w:rsidR="00305D3A" w:rsidRPr="008A6ADE" w:rsidRDefault="00305D3A" w:rsidP="00305D3A">
            <w:r w:rsidRPr="008A6ADE">
              <w:t>3.2. speciālais budžets</w:t>
            </w:r>
          </w:p>
        </w:tc>
        <w:tc>
          <w:tcPr>
            <w:tcW w:w="850" w:type="pct"/>
          </w:tcPr>
          <w:p w14:paraId="626323AA" w14:textId="77777777" w:rsidR="00305D3A" w:rsidRPr="008A6ADE" w:rsidRDefault="00305D3A" w:rsidP="00305D3A">
            <w:pPr>
              <w:jc w:val="right"/>
            </w:pPr>
            <w:r w:rsidRPr="008A6ADE">
              <w:t>0</w:t>
            </w:r>
          </w:p>
        </w:tc>
        <w:tc>
          <w:tcPr>
            <w:tcW w:w="663" w:type="pct"/>
          </w:tcPr>
          <w:p w14:paraId="105C2041" w14:textId="77777777" w:rsidR="00305D3A" w:rsidRPr="008A6ADE" w:rsidRDefault="00305D3A" w:rsidP="00305D3A">
            <w:pPr>
              <w:jc w:val="right"/>
            </w:pPr>
            <w:r w:rsidRPr="008A6ADE">
              <w:t>0</w:t>
            </w:r>
          </w:p>
        </w:tc>
        <w:tc>
          <w:tcPr>
            <w:tcW w:w="668" w:type="pct"/>
            <w:vAlign w:val="center"/>
          </w:tcPr>
          <w:p w14:paraId="394E1BE1" w14:textId="77777777" w:rsidR="00305D3A" w:rsidRPr="008A6ADE" w:rsidRDefault="00305D3A" w:rsidP="00305D3A">
            <w:pPr>
              <w:jc w:val="right"/>
            </w:pPr>
            <w:r>
              <w:t>0</w:t>
            </w:r>
          </w:p>
        </w:tc>
        <w:tc>
          <w:tcPr>
            <w:tcW w:w="758" w:type="pct"/>
            <w:vAlign w:val="center"/>
          </w:tcPr>
          <w:p w14:paraId="04905E69" w14:textId="77777777" w:rsidR="00305D3A" w:rsidRPr="008A6ADE" w:rsidRDefault="00305D3A" w:rsidP="00305D3A">
            <w:pPr>
              <w:jc w:val="right"/>
            </w:pPr>
            <w:r>
              <w:t>0</w:t>
            </w:r>
          </w:p>
        </w:tc>
        <w:tc>
          <w:tcPr>
            <w:tcW w:w="719" w:type="pct"/>
            <w:vAlign w:val="center"/>
          </w:tcPr>
          <w:p w14:paraId="31828330" w14:textId="77777777" w:rsidR="00305D3A" w:rsidRPr="008A6ADE" w:rsidRDefault="00305D3A" w:rsidP="00305D3A">
            <w:pPr>
              <w:jc w:val="right"/>
            </w:pPr>
            <w:r>
              <w:t>0</w:t>
            </w:r>
          </w:p>
        </w:tc>
      </w:tr>
      <w:tr w:rsidR="00305D3A" w:rsidRPr="008A6ADE" w14:paraId="6A6A1677" w14:textId="77777777" w:rsidTr="0073585A">
        <w:tc>
          <w:tcPr>
            <w:tcW w:w="1342" w:type="pct"/>
          </w:tcPr>
          <w:p w14:paraId="62C9A89C" w14:textId="77777777" w:rsidR="00305D3A" w:rsidRPr="008A6ADE" w:rsidRDefault="00305D3A" w:rsidP="00305D3A">
            <w:r w:rsidRPr="008A6ADE">
              <w:t>3.3. pašvaldību budžets</w:t>
            </w:r>
          </w:p>
        </w:tc>
        <w:tc>
          <w:tcPr>
            <w:tcW w:w="850" w:type="pct"/>
          </w:tcPr>
          <w:p w14:paraId="6D564DE6" w14:textId="77777777" w:rsidR="00305D3A" w:rsidRPr="008A6ADE" w:rsidRDefault="00305D3A" w:rsidP="00305D3A">
            <w:pPr>
              <w:jc w:val="right"/>
            </w:pPr>
            <w:r w:rsidRPr="008A6ADE">
              <w:t>0</w:t>
            </w:r>
          </w:p>
        </w:tc>
        <w:tc>
          <w:tcPr>
            <w:tcW w:w="663" w:type="pct"/>
          </w:tcPr>
          <w:p w14:paraId="22F7599B" w14:textId="77777777" w:rsidR="00305D3A" w:rsidRPr="008A6ADE" w:rsidRDefault="00305D3A" w:rsidP="00305D3A">
            <w:pPr>
              <w:jc w:val="right"/>
            </w:pPr>
            <w:r w:rsidRPr="008A6ADE">
              <w:t>0</w:t>
            </w:r>
          </w:p>
        </w:tc>
        <w:tc>
          <w:tcPr>
            <w:tcW w:w="668" w:type="pct"/>
          </w:tcPr>
          <w:p w14:paraId="06355C44" w14:textId="77777777" w:rsidR="00305D3A" w:rsidRPr="008A6ADE" w:rsidRDefault="00305D3A" w:rsidP="00305D3A">
            <w:pPr>
              <w:jc w:val="right"/>
            </w:pPr>
            <w:r w:rsidRPr="008A6ADE">
              <w:t>0</w:t>
            </w:r>
          </w:p>
        </w:tc>
        <w:tc>
          <w:tcPr>
            <w:tcW w:w="758" w:type="pct"/>
          </w:tcPr>
          <w:p w14:paraId="48213EB8" w14:textId="77777777" w:rsidR="00305D3A" w:rsidRPr="008A6ADE" w:rsidRDefault="00305D3A" w:rsidP="00305D3A">
            <w:pPr>
              <w:jc w:val="right"/>
            </w:pPr>
            <w:r w:rsidRPr="008A6ADE">
              <w:t>0</w:t>
            </w:r>
          </w:p>
        </w:tc>
        <w:tc>
          <w:tcPr>
            <w:tcW w:w="719" w:type="pct"/>
          </w:tcPr>
          <w:p w14:paraId="3E700484" w14:textId="77777777" w:rsidR="00305D3A" w:rsidRPr="008A6ADE" w:rsidRDefault="00305D3A" w:rsidP="00305D3A">
            <w:pPr>
              <w:jc w:val="right"/>
            </w:pPr>
            <w:r w:rsidRPr="008A6ADE">
              <w:t>0</w:t>
            </w:r>
          </w:p>
        </w:tc>
      </w:tr>
      <w:tr w:rsidR="00305D3A" w:rsidRPr="008A6ADE" w14:paraId="51EEDE9D" w14:textId="77777777" w:rsidTr="0073585A">
        <w:tc>
          <w:tcPr>
            <w:tcW w:w="1342" w:type="pct"/>
            <w:vMerge w:val="restart"/>
          </w:tcPr>
          <w:p w14:paraId="02ECBD42" w14:textId="77777777" w:rsidR="00305D3A" w:rsidRPr="008A6ADE" w:rsidRDefault="00305D3A" w:rsidP="00305D3A">
            <w:r w:rsidRPr="008A6ADE">
              <w:t>4. Finanšu līdzekļi papildu izdevumu finansēšanai (kompensējošu izdevumu samazinājumu norāda ar "+" zīmi)</w:t>
            </w:r>
          </w:p>
        </w:tc>
        <w:tc>
          <w:tcPr>
            <w:tcW w:w="850" w:type="pct"/>
            <w:vMerge w:val="restart"/>
          </w:tcPr>
          <w:p w14:paraId="4F254147" w14:textId="77777777" w:rsidR="00305D3A" w:rsidRPr="008A6ADE" w:rsidRDefault="00305D3A" w:rsidP="00305D3A">
            <w:pPr>
              <w:spacing w:before="100" w:beforeAutospacing="1" w:after="100" w:afterAutospacing="1"/>
              <w:jc w:val="center"/>
            </w:pPr>
            <w:r w:rsidRPr="008A6ADE">
              <w:t>X</w:t>
            </w:r>
          </w:p>
        </w:tc>
        <w:tc>
          <w:tcPr>
            <w:tcW w:w="663" w:type="pct"/>
          </w:tcPr>
          <w:p w14:paraId="63461264" w14:textId="77777777" w:rsidR="00305D3A" w:rsidRPr="008A6ADE" w:rsidRDefault="00305D3A" w:rsidP="00305D3A">
            <w:pPr>
              <w:jc w:val="right"/>
            </w:pPr>
            <w:r w:rsidRPr="008A6ADE">
              <w:t>0</w:t>
            </w:r>
          </w:p>
        </w:tc>
        <w:tc>
          <w:tcPr>
            <w:tcW w:w="668" w:type="pct"/>
          </w:tcPr>
          <w:p w14:paraId="123C6FC1" w14:textId="77777777" w:rsidR="00305D3A" w:rsidRPr="008A6ADE" w:rsidRDefault="00305D3A" w:rsidP="00305D3A">
            <w:pPr>
              <w:jc w:val="right"/>
            </w:pPr>
            <w:r w:rsidRPr="008A6ADE">
              <w:t>0</w:t>
            </w:r>
          </w:p>
        </w:tc>
        <w:tc>
          <w:tcPr>
            <w:tcW w:w="758" w:type="pct"/>
          </w:tcPr>
          <w:p w14:paraId="33980865" w14:textId="77777777" w:rsidR="00305D3A" w:rsidRPr="008A6ADE" w:rsidRDefault="00305D3A" w:rsidP="00305D3A">
            <w:pPr>
              <w:jc w:val="right"/>
            </w:pPr>
            <w:r w:rsidRPr="008A6ADE">
              <w:t>0</w:t>
            </w:r>
          </w:p>
        </w:tc>
        <w:tc>
          <w:tcPr>
            <w:tcW w:w="719" w:type="pct"/>
          </w:tcPr>
          <w:p w14:paraId="6A86D6E4" w14:textId="77777777" w:rsidR="00305D3A" w:rsidRPr="008A6ADE" w:rsidRDefault="00305D3A" w:rsidP="00305D3A">
            <w:pPr>
              <w:jc w:val="right"/>
            </w:pPr>
            <w:r w:rsidRPr="008A6ADE">
              <w:t>0</w:t>
            </w:r>
          </w:p>
        </w:tc>
      </w:tr>
      <w:tr w:rsidR="00305D3A" w:rsidRPr="008A6ADE" w14:paraId="56F2BE9F" w14:textId="77777777" w:rsidTr="0073585A">
        <w:tc>
          <w:tcPr>
            <w:tcW w:w="1342" w:type="pct"/>
            <w:vMerge/>
          </w:tcPr>
          <w:p w14:paraId="53DF1B8E" w14:textId="77777777" w:rsidR="00305D3A" w:rsidRPr="008A6ADE" w:rsidRDefault="00305D3A" w:rsidP="00305D3A"/>
        </w:tc>
        <w:tc>
          <w:tcPr>
            <w:tcW w:w="850" w:type="pct"/>
            <w:vMerge/>
          </w:tcPr>
          <w:p w14:paraId="3130ED5B" w14:textId="77777777" w:rsidR="00305D3A" w:rsidRPr="008A6ADE" w:rsidRDefault="00305D3A" w:rsidP="00305D3A">
            <w:pPr>
              <w:jc w:val="center"/>
            </w:pPr>
          </w:p>
        </w:tc>
        <w:tc>
          <w:tcPr>
            <w:tcW w:w="663" w:type="pct"/>
          </w:tcPr>
          <w:p w14:paraId="3D0E7C93" w14:textId="77777777" w:rsidR="00305D3A" w:rsidRPr="008A6ADE" w:rsidRDefault="00305D3A" w:rsidP="00305D3A">
            <w:pPr>
              <w:jc w:val="right"/>
            </w:pPr>
            <w:r w:rsidRPr="008A6ADE">
              <w:t>0</w:t>
            </w:r>
          </w:p>
        </w:tc>
        <w:tc>
          <w:tcPr>
            <w:tcW w:w="668" w:type="pct"/>
          </w:tcPr>
          <w:p w14:paraId="6FCDD5F0" w14:textId="77777777" w:rsidR="00305D3A" w:rsidRPr="008A6ADE" w:rsidRDefault="00305D3A" w:rsidP="00305D3A">
            <w:pPr>
              <w:jc w:val="right"/>
            </w:pPr>
            <w:r w:rsidRPr="008A6ADE">
              <w:t>0</w:t>
            </w:r>
          </w:p>
        </w:tc>
        <w:tc>
          <w:tcPr>
            <w:tcW w:w="758" w:type="pct"/>
          </w:tcPr>
          <w:p w14:paraId="46953D6A" w14:textId="77777777" w:rsidR="00305D3A" w:rsidRPr="008A6ADE" w:rsidRDefault="00305D3A" w:rsidP="00305D3A">
            <w:pPr>
              <w:jc w:val="right"/>
            </w:pPr>
            <w:r w:rsidRPr="008A6ADE">
              <w:t>0</w:t>
            </w:r>
          </w:p>
        </w:tc>
        <w:tc>
          <w:tcPr>
            <w:tcW w:w="719" w:type="pct"/>
          </w:tcPr>
          <w:p w14:paraId="6661F4A1" w14:textId="77777777" w:rsidR="00305D3A" w:rsidRPr="008A6ADE" w:rsidRDefault="00305D3A" w:rsidP="00305D3A">
            <w:pPr>
              <w:jc w:val="right"/>
            </w:pPr>
            <w:r w:rsidRPr="008A6ADE">
              <w:t>0</w:t>
            </w:r>
          </w:p>
        </w:tc>
      </w:tr>
      <w:tr w:rsidR="00305D3A" w:rsidRPr="008A6ADE" w14:paraId="58173827" w14:textId="77777777" w:rsidTr="0073585A">
        <w:tc>
          <w:tcPr>
            <w:tcW w:w="1342" w:type="pct"/>
            <w:vMerge/>
          </w:tcPr>
          <w:p w14:paraId="3987B673" w14:textId="77777777" w:rsidR="00305D3A" w:rsidRPr="008A6ADE" w:rsidRDefault="00305D3A" w:rsidP="00305D3A"/>
        </w:tc>
        <w:tc>
          <w:tcPr>
            <w:tcW w:w="850" w:type="pct"/>
            <w:vMerge/>
          </w:tcPr>
          <w:p w14:paraId="266F27B4" w14:textId="77777777" w:rsidR="00305D3A" w:rsidRPr="008A6ADE" w:rsidRDefault="00305D3A" w:rsidP="00305D3A">
            <w:pPr>
              <w:jc w:val="center"/>
            </w:pPr>
          </w:p>
        </w:tc>
        <w:tc>
          <w:tcPr>
            <w:tcW w:w="663" w:type="pct"/>
          </w:tcPr>
          <w:p w14:paraId="1152FAA3" w14:textId="77777777" w:rsidR="00305D3A" w:rsidRPr="008A6ADE" w:rsidRDefault="00305D3A" w:rsidP="00305D3A">
            <w:pPr>
              <w:jc w:val="right"/>
            </w:pPr>
            <w:r w:rsidRPr="008A6ADE">
              <w:t>0</w:t>
            </w:r>
          </w:p>
        </w:tc>
        <w:tc>
          <w:tcPr>
            <w:tcW w:w="668" w:type="pct"/>
          </w:tcPr>
          <w:p w14:paraId="3765F550" w14:textId="77777777" w:rsidR="00305D3A" w:rsidRPr="008A6ADE" w:rsidRDefault="00305D3A" w:rsidP="00305D3A">
            <w:pPr>
              <w:jc w:val="right"/>
            </w:pPr>
            <w:r w:rsidRPr="008A6ADE">
              <w:t>0</w:t>
            </w:r>
          </w:p>
        </w:tc>
        <w:tc>
          <w:tcPr>
            <w:tcW w:w="758" w:type="pct"/>
          </w:tcPr>
          <w:p w14:paraId="5D80DD72" w14:textId="77777777" w:rsidR="00305D3A" w:rsidRPr="008A6ADE" w:rsidRDefault="00305D3A" w:rsidP="00305D3A">
            <w:pPr>
              <w:jc w:val="right"/>
            </w:pPr>
            <w:r w:rsidRPr="008A6ADE">
              <w:t>0</w:t>
            </w:r>
          </w:p>
        </w:tc>
        <w:tc>
          <w:tcPr>
            <w:tcW w:w="719" w:type="pct"/>
          </w:tcPr>
          <w:p w14:paraId="33BC4105" w14:textId="77777777" w:rsidR="00305D3A" w:rsidRPr="008A6ADE" w:rsidRDefault="00305D3A" w:rsidP="00305D3A">
            <w:pPr>
              <w:jc w:val="right"/>
            </w:pPr>
            <w:r w:rsidRPr="008A6ADE">
              <w:t>0</w:t>
            </w:r>
          </w:p>
        </w:tc>
      </w:tr>
      <w:tr w:rsidR="00305D3A" w:rsidRPr="008A6ADE" w14:paraId="56EF03B9" w14:textId="77777777" w:rsidTr="0073585A">
        <w:tc>
          <w:tcPr>
            <w:tcW w:w="1342" w:type="pct"/>
          </w:tcPr>
          <w:p w14:paraId="0DD21A1F" w14:textId="77777777" w:rsidR="00305D3A" w:rsidRPr="008A6ADE" w:rsidRDefault="00305D3A" w:rsidP="00305D3A">
            <w:r w:rsidRPr="008A6ADE">
              <w:t>5. Precizēta finansiālā ietekme:</w:t>
            </w:r>
          </w:p>
        </w:tc>
        <w:tc>
          <w:tcPr>
            <w:tcW w:w="850" w:type="pct"/>
            <w:vMerge w:val="restart"/>
          </w:tcPr>
          <w:p w14:paraId="5040C498" w14:textId="77777777" w:rsidR="00305D3A" w:rsidRPr="008A6ADE" w:rsidRDefault="00305D3A" w:rsidP="00305D3A">
            <w:pPr>
              <w:spacing w:before="100" w:beforeAutospacing="1" w:after="100" w:afterAutospacing="1"/>
              <w:jc w:val="center"/>
            </w:pPr>
            <w:r w:rsidRPr="008A6ADE">
              <w:t>X</w:t>
            </w:r>
          </w:p>
        </w:tc>
        <w:tc>
          <w:tcPr>
            <w:tcW w:w="663" w:type="pct"/>
          </w:tcPr>
          <w:p w14:paraId="5FC2D0EF" w14:textId="77777777" w:rsidR="00305D3A" w:rsidRPr="008A6ADE" w:rsidRDefault="00305D3A" w:rsidP="00305D3A">
            <w:pPr>
              <w:jc w:val="right"/>
            </w:pPr>
            <w:r w:rsidRPr="008A6ADE">
              <w:t>0</w:t>
            </w:r>
          </w:p>
        </w:tc>
        <w:tc>
          <w:tcPr>
            <w:tcW w:w="668" w:type="pct"/>
            <w:vAlign w:val="center"/>
          </w:tcPr>
          <w:p w14:paraId="4FD6593C" w14:textId="77777777" w:rsidR="00305D3A" w:rsidRPr="008A6ADE" w:rsidRDefault="00305D3A" w:rsidP="00305D3A">
            <w:pPr>
              <w:jc w:val="right"/>
            </w:pPr>
            <w:r>
              <w:t>0</w:t>
            </w:r>
          </w:p>
        </w:tc>
        <w:tc>
          <w:tcPr>
            <w:tcW w:w="758" w:type="pct"/>
            <w:vAlign w:val="center"/>
          </w:tcPr>
          <w:p w14:paraId="6D2A28AA" w14:textId="77777777" w:rsidR="00305D3A" w:rsidRPr="008A6ADE" w:rsidRDefault="00305D3A" w:rsidP="00305D3A">
            <w:pPr>
              <w:jc w:val="right"/>
            </w:pPr>
            <w:r>
              <w:t>0</w:t>
            </w:r>
          </w:p>
        </w:tc>
        <w:tc>
          <w:tcPr>
            <w:tcW w:w="719" w:type="pct"/>
            <w:vAlign w:val="center"/>
          </w:tcPr>
          <w:p w14:paraId="0566E1BF" w14:textId="77777777" w:rsidR="00305D3A" w:rsidRPr="008A6ADE" w:rsidRDefault="00305D3A" w:rsidP="00305D3A">
            <w:pPr>
              <w:jc w:val="right"/>
            </w:pPr>
            <w:r>
              <w:t>0</w:t>
            </w:r>
          </w:p>
        </w:tc>
      </w:tr>
      <w:tr w:rsidR="00305D3A" w:rsidRPr="008A6ADE" w14:paraId="1B9EE07A" w14:textId="77777777" w:rsidTr="0073585A">
        <w:tc>
          <w:tcPr>
            <w:tcW w:w="1342" w:type="pct"/>
          </w:tcPr>
          <w:p w14:paraId="2A6EB7E9" w14:textId="77777777" w:rsidR="00305D3A" w:rsidRPr="008A6ADE" w:rsidRDefault="00305D3A" w:rsidP="00305D3A">
            <w:r w:rsidRPr="008A6ADE">
              <w:t>5.1. valsts pamatbudžets</w:t>
            </w:r>
          </w:p>
        </w:tc>
        <w:tc>
          <w:tcPr>
            <w:tcW w:w="850" w:type="pct"/>
            <w:vMerge/>
          </w:tcPr>
          <w:p w14:paraId="7492281A" w14:textId="77777777" w:rsidR="00305D3A" w:rsidRPr="008A6ADE" w:rsidRDefault="00305D3A" w:rsidP="00305D3A">
            <w:pPr>
              <w:jc w:val="right"/>
            </w:pPr>
          </w:p>
        </w:tc>
        <w:tc>
          <w:tcPr>
            <w:tcW w:w="663" w:type="pct"/>
          </w:tcPr>
          <w:p w14:paraId="26197212" w14:textId="77777777" w:rsidR="00305D3A" w:rsidRPr="008A6ADE" w:rsidRDefault="00305D3A" w:rsidP="00305D3A">
            <w:pPr>
              <w:jc w:val="right"/>
            </w:pPr>
            <w:r w:rsidRPr="008A6ADE">
              <w:t>0</w:t>
            </w:r>
          </w:p>
        </w:tc>
        <w:tc>
          <w:tcPr>
            <w:tcW w:w="668" w:type="pct"/>
            <w:vAlign w:val="center"/>
          </w:tcPr>
          <w:p w14:paraId="3939E37F" w14:textId="77777777" w:rsidR="00305D3A" w:rsidRPr="008A6ADE" w:rsidRDefault="00305D3A" w:rsidP="00305D3A">
            <w:pPr>
              <w:jc w:val="right"/>
            </w:pPr>
            <w:r>
              <w:t>0</w:t>
            </w:r>
          </w:p>
        </w:tc>
        <w:tc>
          <w:tcPr>
            <w:tcW w:w="758" w:type="pct"/>
            <w:vAlign w:val="center"/>
          </w:tcPr>
          <w:p w14:paraId="7CD9597F" w14:textId="77777777" w:rsidR="00305D3A" w:rsidRPr="008A6ADE" w:rsidRDefault="00305D3A" w:rsidP="00305D3A">
            <w:pPr>
              <w:jc w:val="right"/>
            </w:pPr>
            <w:r>
              <w:t>0</w:t>
            </w:r>
          </w:p>
        </w:tc>
        <w:tc>
          <w:tcPr>
            <w:tcW w:w="719" w:type="pct"/>
            <w:vAlign w:val="center"/>
          </w:tcPr>
          <w:p w14:paraId="394B5F96" w14:textId="77777777" w:rsidR="00305D3A" w:rsidRPr="008A6ADE" w:rsidRDefault="00305D3A" w:rsidP="00305D3A">
            <w:pPr>
              <w:jc w:val="right"/>
            </w:pPr>
            <w:r>
              <w:t>0</w:t>
            </w:r>
          </w:p>
        </w:tc>
      </w:tr>
      <w:tr w:rsidR="00305D3A" w:rsidRPr="008A6ADE" w14:paraId="32D5F34C" w14:textId="77777777" w:rsidTr="0073585A">
        <w:tc>
          <w:tcPr>
            <w:tcW w:w="1342" w:type="pct"/>
          </w:tcPr>
          <w:p w14:paraId="391659C6" w14:textId="77777777" w:rsidR="00305D3A" w:rsidRPr="008A6ADE" w:rsidRDefault="00305D3A" w:rsidP="00305D3A">
            <w:r w:rsidRPr="008A6ADE">
              <w:t>5.2. speciālais budžets</w:t>
            </w:r>
          </w:p>
        </w:tc>
        <w:tc>
          <w:tcPr>
            <w:tcW w:w="850" w:type="pct"/>
            <w:vMerge/>
          </w:tcPr>
          <w:p w14:paraId="297ED646" w14:textId="77777777" w:rsidR="00305D3A" w:rsidRPr="008A6ADE" w:rsidRDefault="00305D3A" w:rsidP="00305D3A">
            <w:pPr>
              <w:jc w:val="right"/>
            </w:pPr>
          </w:p>
        </w:tc>
        <w:tc>
          <w:tcPr>
            <w:tcW w:w="663" w:type="pct"/>
          </w:tcPr>
          <w:p w14:paraId="01EF1100" w14:textId="77777777" w:rsidR="00305D3A" w:rsidRPr="008A6ADE" w:rsidRDefault="00305D3A" w:rsidP="00305D3A">
            <w:pPr>
              <w:jc w:val="right"/>
            </w:pPr>
            <w:r w:rsidRPr="008A6ADE">
              <w:t>0</w:t>
            </w:r>
          </w:p>
        </w:tc>
        <w:tc>
          <w:tcPr>
            <w:tcW w:w="668" w:type="pct"/>
            <w:vAlign w:val="center"/>
          </w:tcPr>
          <w:p w14:paraId="4B6BF11C" w14:textId="77777777" w:rsidR="00305D3A" w:rsidRPr="008A6ADE" w:rsidRDefault="00305D3A" w:rsidP="00305D3A">
            <w:pPr>
              <w:jc w:val="right"/>
            </w:pPr>
            <w:r>
              <w:t>0</w:t>
            </w:r>
          </w:p>
        </w:tc>
        <w:tc>
          <w:tcPr>
            <w:tcW w:w="758" w:type="pct"/>
            <w:vAlign w:val="center"/>
          </w:tcPr>
          <w:p w14:paraId="070D9D4A" w14:textId="77777777" w:rsidR="00305D3A" w:rsidRPr="008A6ADE" w:rsidRDefault="00305D3A" w:rsidP="00305D3A">
            <w:pPr>
              <w:jc w:val="right"/>
            </w:pPr>
            <w:r>
              <w:t>0</w:t>
            </w:r>
          </w:p>
        </w:tc>
        <w:tc>
          <w:tcPr>
            <w:tcW w:w="719" w:type="pct"/>
            <w:vAlign w:val="center"/>
          </w:tcPr>
          <w:p w14:paraId="3057C965" w14:textId="77777777" w:rsidR="00305D3A" w:rsidRPr="008A6ADE" w:rsidRDefault="00305D3A" w:rsidP="00305D3A">
            <w:pPr>
              <w:jc w:val="right"/>
            </w:pPr>
            <w:r>
              <w:t>0</w:t>
            </w:r>
          </w:p>
        </w:tc>
      </w:tr>
      <w:tr w:rsidR="00305D3A" w:rsidRPr="008A6ADE" w14:paraId="6654EE3F" w14:textId="77777777" w:rsidTr="0073585A">
        <w:tc>
          <w:tcPr>
            <w:tcW w:w="1342" w:type="pct"/>
          </w:tcPr>
          <w:p w14:paraId="54E368A6" w14:textId="77777777" w:rsidR="00305D3A" w:rsidRPr="008A6ADE" w:rsidRDefault="00305D3A" w:rsidP="00305D3A">
            <w:r w:rsidRPr="008A6ADE">
              <w:t>5.3. pašvaldību budžets</w:t>
            </w:r>
          </w:p>
        </w:tc>
        <w:tc>
          <w:tcPr>
            <w:tcW w:w="850" w:type="pct"/>
            <w:vMerge/>
          </w:tcPr>
          <w:p w14:paraId="3332916E" w14:textId="77777777" w:rsidR="00305D3A" w:rsidRPr="008A6ADE" w:rsidRDefault="00305D3A" w:rsidP="00305D3A">
            <w:pPr>
              <w:jc w:val="right"/>
            </w:pPr>
          </w:p>
        </w:tc>
        <w:tc>
          <w:tcPr>
            <w:tcW w:w="663" w:type="pct"/>
          </w:tcPr>
          <w:p w14:paraId="3601FCBB" w14:textId="77777777" w:rsidR="00305D3A" w:rsidRPr="008A6ADE" w:rsidRDefault="00305D3A" w:rsidP="00305D3A">
            <w:pPr>
              <w:jc w:val="right"/>
            </w:pPr>
            <w:r w:rsidRPr="008A6ADE">
              <w:t>0</w:t>
            </w:r>
          </w:p>
        </w:tc>
        <w:tc>
          <w:tcPr>
            <w:tcW w:w="668" w:type="pct"/>
          </w:tcPr>
          <w:p w14:paraId="05496EA0" w14:textId="77777777" w:rsidR="00305D3A" w:rsidRPr="008A6ADE" w:rsidRDefault="00305D3A" w:rsidP="00305D3A">
            <w:pPr>
              <w:jc w:val="right"/>
            </w:pPr>
            <w:r w:rsidRPr="008A6ADE">
              <w:t>0</w:t>
            </w:r>
          </w:p>
        </w:tc>
        <w:tc>
          <w:tcPr>
            <w:tcW w:w="758" w:type="pct"/>
          </w:tcPr>
          <w:p w14:paraId="6D2597AF" w14:textId="77777777" w:rsidR="00305D3A" w:rsidRPr="008A6ADE" w:rsidRDefault="00305D3A" w:rsidP="00305D3A">
            <w:pPr>
              <w:jc w:val="right"/>
            </w:pPr>
            <w:r w:rsidRPr="008A6ADE">
              <w:t>0</w:t>
            </w:r>
          </w:p>
        </w:tc>
        <w:tc>
          <w:tcPr>
            <w:tcW w:w="719" w:type="pct"/>
          </w:tcPr>
          <w:p w14:paraId="5639112E" w14:textId="77777777" w:rsidR="00305D3A" w:rsidRPr="008A6ADE" w:rsidRDefault="00305D3A" w:rsidP="00305D3A">
            <w:pPr>
              <w:jc w:val="right"/>
            </w:pPr>
            <w:r w:rsidRPr="008A6ADE">
              <w:t>0</w:t>
            </w:r>
          </w:p>
        </w:tc>
      </w:tr>
      <w:tr w:rsidR="00305D3A" w:rsidRPr="00CF13B9" w14:paraId="2E0F38ED" w14:textId="77777777" w:rsidTr="0073585A">
        <w:tc>
          <w:tcPr>
            <w:tcW w:w="1342" w:type="pct"/>
          </w:tcPr>
          <w:p w14:paraId="6344CD3D" w14:textId="77777777" w:rsidR="00305D3A" w:rsidRPr="00D11BDF" w:rsidRDefault="00305D3A" w:rsidP="00305D3A">
            <w:r>
              <w:t>6. Detalizēts ieņēmumu un izdevumu aprēķins (ja nepieciešams, detalizētu ieņēmumu un izdevumu aprēķinu var pievienot anotācijas pielikumā):</w:t>
            </w:r>
          </w:p>
        </w:tc>
        <w:tc>
          <w:tcPr>
            <w:tcW w:w="3658" w:type="pct"/>
            <w:gridSpan w:val="5"/>
            <w:vMerge w:val="restart"/>
          </w:tcPr>
          <w:p w14:paraId="61827BA5" w14:textId="77777777" w:rsidR="00C6674F" w:rsidRDefault="00C6674F" w:rsidP="00C6674F">
            <w:pPr>
              <w:jc w:val="both"/>
              <w:rPr>
                <w:i/>
              </w:rPr>
            </w:pPr>
            <w:r>
              <w:rPr>
                <w:i/>
              </w:rPr>
              <w:t xml:space="preserve">Atbilstoši MK 2014.gada 10.11. sēdes protokola Nr.61 28.§ 3.2.apakšpunktam Labklājības ministrijai piešķirts papildu finansējums 2015.gadā 541 833 </w:t>
            </w:r>
            <w:proofErr w:type="spellStart"/>
            <w:r>
              <w:rPr>
                <w:i/>
              </w:rPr>
              <w:t>euro</w:t>
            </w:r>
            <w:proofErr w:type="spellEnd"/>
            <w:r>
              <w:rPr>
                <w:i/>
              </w:rPr>
              <w:t xml:space="preserve">, 2016.gadā 550 022 </w:t>
            </w:r>
            <w:proofErr w:type="spellStart"/>
            <w:r>
              <w:rPr>
                <w:i/>
              </w:rPr>
              <w:t>euro</w:t>
            </w:r>
            <w:proofErr w:type="spellEnd"/>
            <w:r>
              <w:rPr>
                <w:i/>
              </w:rPr>
              <w:t xml:space="preserve"> un 2017.gadā 550 022 </w:t>
            </w:r>
            <w:proofErr w:type="spellStart"/>
            <w:r>
              <w:rPr>
                <w:i/>
              </w:rPr>
              <w:t>euro</w:t>
            </w:r>
            <w:proofErr w:type="spellEnd"/>
            <w:r>
              <w:rPr>
                <w:i/>
              </w:rPr>
              <w:t>.</w:t>
            </w:r>
          </w:p>
          <w:p w14:paraId="771D22F0" w14:textId="77777777" w:rsidR="00A01F44" w:rsidRDefault="00A01F44" w:rsidP="00A01F44">
            <w:pPr>
              <w:pStyle w:val="CommentText"/>
              <w:rPr>
                <w:sz w:val="24"/>
                <w:szCs w:val="24"/>
              </w:rPr>
            </w:pPr>
          </w:p>
          <w:p w14:paraId="261B0F0D" w14:textId="29DC1C6D" w:rsidR="00A01F44" w:rsidRPr="008555CA" w:rsidRDefault="00A01F44" w:rsidP="008555CA">
            <w:r w:rsidRPr="008555CA">
              <w:t xml:space="preserve">Atbilstoši </w:t>
            </w:r>
            <w:r w:rsidRPr="008555CA">
              <w:rPr>
                <w:rFonts w:eastAsiaTheme="minorHAnsi"/>
              </w:rPr>
              <w:t>Ministru kabineta 2014.gada 10.novembra sēdē (prot. Nr. 61 27.§) zināšanai pieņemtā informatīvā ziņojuma "Par aktualizēto valsts pamatbudžeta un valsts speciālā budžeta bāzi 2015., 2016. un 2017.gadam" un MK 10.11.2014. sēdes prot.Nr.61 27.§ 1.punkta, ar kuru tika apstiprinātas ministriju un citu centrālo valsts iestāžu aktualizētās valsts pamatbudžeta un valsts speciālā budžeta bāzes 2015., 2016. un 2017.gadam noteikto.</w:t>
            </w:r>
          </w:p>
          <w:p w14:paraId="0E5D1C33" w14:textId="77777777" w:rsidR="00C6674F" w:rsidRPr="002D6EFA" w:rsidRDefault="00C6674F" w:rsidP="00C6674F">
            <w:pPr>
              <w:jc w:val="both"/>
            </w:pPr>
          </w:p>
          <w:p w14:paraId="250F8355" w14:textId="77777777" w:rsidR="00C6674F" w:rsidRDefault="00C6674F" w:rsidP="00C6674F">
            <w:pPr>
              <w:jc w:val="both"/>
            </w:pPr>
            <w:r>
              <w:t>Atbilstoši 2014.gada 23.septembrī saskaņotajiem LM precizētajiem pamatbudžeta bāzes izdevumiem 2015.-2017.gadam (LM vēstule Nr.25-1-01/1935) minētā pabalsta izmaksu nodrošināšanai plānoti izdevumi šādā apmērā.</w:t>
            </w:r>
          </w:p>
          <w:p w14:paraId="003E3DA0" w14:textId="10286254" w:rsidR="004B40F4" w:rsidRDefault="004B40F4" w:rsidP="00C6674F">
            <w:pPr>
              <w:jc w:val="both"/>
            </w:pPr>
          </w:p>
          <w:p w14:paraId="5F2E0D33" w14:textId="77777777" w:rsidR="00C6674F" w:rsidRDefault="00C6674F" w:rsidP="00C6674F">
            <w:pPr>
              <w:jc w:val="both"/>
            </w:pPr>
          </w:p>
          <w:tbl>
            <w:tblPr>
              <w:tblStyle w:val="TableGrid"/>
              <w:tblW w:w="5000" w:type="pct"/>
              <w:tblLayout w:type="fixed"/>
              <w:tblLook w:val="01E0" w:firstRow="1" w:lastRow="1" w:firstColumn="1" w:lastColumn="1" w:noHBand="0" w:noVBand="0"/>
            </w:tblPr>
            <w:tblGrid>
              <w:gridCol w:w="2882"/>
              <w:gridCol w:w="1309"/>
              <w:gridCol w:w="1311"/>
              <w:gridCol w:w="1311"/>
            </w:tblGrid>
            <w:tr w:rsidR="00C6674F" w14:paraId="7261FB06" w14:textId="77777777" w:rsidTr="00AA4ED9">
              <w:tc>
                <w:tcPr>
                  <w:tcW w:w="2115" w:type="pct"/>
                  <w:tcBorders>
                    <w:top w:val="single" w:sz="4" w:space="0" w:color="auto"/>
                    <w:left w:val="single" w:sz="4" w:space="0" w:color="auto"/>
                    <w:bottom w:val="single" w:sz="4" w:space="0" w:color="auto"/>
                    <w:right w:val="single" w:sz="4" w:space="0" w:color="auto"/>
                  </w:tcBorders>
                </w:tcPr>
                <w:p w14:paraId="04BD35A6" w14:textId="77777777" w:rsidR="00C6674F" w:rsidRPr="00E61D34" w:rsidRDefault="00C6674F" w:rsidP="00C6674F">
                  <w:pPr>
                    <w:jc w:val="both"/>
                    <w:rPr>
                      <w:b/>
                      <w:sz w:val="20"/>
                      <w:szCs w:val="20"/>
                      <w:lang w:val="lv-LV"/>
                    </w:rPr>
                  </w:pPr>
                </w:p>
              </w:tc>
              <w:tc>
                <w:tcPr>
                  <w:tcW w:w="961" w:type="pct"/>
                  <w:tcBorders>
                    <w:top w:val="single" w:sz="4" w:space="0" w:color="auto"/>
                    <w:left w:val="single" w:sz="4" w:space="0" w:color="auto"/>
                    <w:bottom w:val="single" w:sz="4" w:space="0" w:color="auto"/>
                    <w:right w:val="single" w:sz="4" w:space="0" w:color="auto"/>
                  </w:tcBorders>
                  <w:hideMark/>
                </w:tcPr>
                <w:p w14:paraId="69BFC5CB" w14:textId="77777777" w:rsidR="00C6674F" w:rsidRPr="00E61D34" w:rsidRDefault="00C6674F" w:rsidP="00C6674F">
                  <w:pPr>
                    <w:jc w:val="center"/>
                    <w:rPr>
                      <w:b/>
                      <w:sz w:val="20"/>
                      <w:szCs w:val="20"/>
                      <w:lang w:val="lv-LV"/>
                    </w:rPr>
                  </w:pPr>
                  <w:r w:rsidRPr="00E61D34">
                    <w:rPr>
                      <w:b/>
                      <w:sz w:val="20"/>
                      <w:szCs w:val="20"/>
                      <w:lang w:val="lv-LV"/>
                    </w:rPr>
                    <w:t>2015.</w:t>
                  </w:r>
                </w:p>
              </w:tc>
              <w:tc>
                <w:tcPr>
                  <w:tcW w:w="962" w:type="pct"/>
                  <w:tcBorders>
                    <w:top w:val="single" w:sz="4" w:space="0" w:color="auto"/>
                    <w:left w:val="single" w:sz="4" w:space="0" w:color="auto"/>
                    <w:bottom w:val="single" w:sz="4" w:space="0" w:color="auto"/>
                    <w:right w:val="single" w:sz="4" w:space="0" w:color="auto"/>
                  </w:tcBorders>
                  <w:hideMark/>
                </w:tcPr>
                <w:p w14:paraId="7D13E831" w14:textId="77777777" w:rsidR="00C6674F" w:rsidRPr="00E61D34" w:rsidRDefault="00C6674F" w:rsidP="00C6674F">
                  <w:pPr>
                    <w:jc w:val="center"/>
                    <w:rPr>
                      <w:b/>
                      <w:sz w:val="20"/>
                      <w:szCs w:val="20"/>
                      <w:lang w:val="lv-LV"/>
                    </w:rPr>
                  </w:pPr>
                  <w:r w:rsidRPr="00E61D34">
                    <w:rPr>
                      <w:b/>
                      <w:sz w:val="20"/>
                      <w:szCs w:val="20"/>
                      <w:lang w:val="lv-LV"/>
                    </w:rPr>
                    <w:t>2016.</w:t>
                  </w:r>
                </w:p>
              </w:tc>
              <w:tc>
                <w:tcPr>
                  <w:tcW w:w="962" w:type="pct"/>
                  <w:tcBorders>
                    <w:top w:val="single" w:sz="4" w:space="0" w:color="auto"/>
                    <w:left w:val="single" w:sz="4" w:space="0" w:color="auto"/>
                    <w:bottom w:val="single" w:sz="4" w:space="0" w:color="auto"/>
                    <w:right w:val="single" w:sz="4" w:space="0" w:color="auto"/>
                  </w:tcBorders>
                  <w:hideMark/>
                </w:tcPr>
                <w:p w14:paraId="7FBF8BC5" w14:textId="07D31886" w:rsidR="00C6674F" w:rsidRPr="00E61D34" w:rsidRDefault="00C6674F" w:rsidP="00C6674F">
                  <w:pPr>
                    <w:jc w:val="center"/>
                    <w:rPr>
                      <w:b/>
                      <w:sz w:val="20"/>
                      <w:szCs w:val="20"/>
                      <w:lang w:val="lv-LV"/>
                    </w:rPr>
                  </w:pPr>
                  <w:r w:rsidRPr="00E61D34">
                    <w:rPr>
                      <w:b/>
                      <w:sz w:val="20"/>
                      <w:szCs w:val="20"/>
                      <w:lang w:val="lv-LV"/>
                    </w:rPr>
                    <w:t>2017.</w:t>
                  </w:r>
                </w:p>
              </w:tc>
            </w:tr>
            <w:tr w:rsidR="00C6674F" w14:paraId="4680391E" w14:textId="77777777" w:rsidTr="00AA4ED9">
              <w:tc>
                <w:tcPr>
                  <w:tcW w:w="2115" w:type="pct"/>
                  <w:tcBorders>
                    <w:top w:val="single" w:sz="4" w:space="0" w:color="auto"/>
                    <w:left w:val="single" w:sz="4" w:space="0" w:color="auto"/>
                    <w:bottom w:val="single" w:sz="4" w:space="0" w:color="auto"/>
                    <w:right w:val="single" w:sz="4" w:space="0" w:color="auto"/>
                  </w:tcBorders>
                  <w:hideMark/>
                </w:tcPr>
                <w:p w14:paraId="33E81C20" w14:textId="77777777" w:rsidR="00C6674F" w:rsidRDefault="00C6674F" w:rsidP="00C6674F">
                  <w:pPr>
                    <w:jc w:val="both"/>
                    <w:rPr>
                      <w:sz w:val="20"/>
                      <w:szCs w:val="20"/>
                    </w:rPr>
                  </w:pPr>
                  <w:proofErr w:type="spellStart"/>
                  <w:r>
                    <w:rPr>
                      <w:sz w:val="20"/>
                      <w:szCs w:val="20"/>
                    </w:rPr>
                    <w:t>Pabalsta</w:t>
                  </w:r>
                  <w:proofErr w:type="spellEnd"/>
                  <w:r>
                    <w:rPr>
                      <w:sz w:val="20"/>
                      <w:szCs w:val="20"/>
                    </w:rPr>
                    <w:t xml:space="preserve"> </w:t>
                  </w:r>
                  <w:proofErr w:type="spellStart"/>
                  <w:r>
                    <w:rPr>
                      <w:sz w:val="20"/>
                      <w:szCs w:val="20"/>
                    </w:rPr>
                    <w:t>saņēmēju</w:t>
                  </w:r>
                  <w:proofErr w:type="spellEnd"/>
                  <w:r>
                    <w:rPr>
                      <w:sz w:val="20"/>
                      <w:szCs w:val="20"/>
                    </w:rPr>
                    <w:t xml:space="preserve"> </w:t>
                  </w:r>
                  <w:proofErr w:type="spellStart"/>
                  <w:r>
                    <w:rPr>
                      <w:sz w:val="20"/>
                      <w:szCs w:val="20"/>
                    </w:rPr>
                    <w:t>kontingents</w:t>
                  </w:r>
                  <w:proofErr w:type="spellEnd"/>
                  <w:r>
                    <w:rPr>
                      <w:sz w:val="20"/>
                      <w:szCs w:val="20"/>
                    </w:rPr>
                    <w:t xml:space="preserve"> (</w:t>
                  </w:r>
                  <w:proofErr w:type="spellStart"/>
                  <w:r>
                    <w:rPr>
                      <w:sz w:val="20"/>
                      <w:szCs w:val="20"/>
                    </w:rPr>
                    <w:t>vidēji</w:t>
                  </w:r>
                  <w:proofErr w:type="spellEnd"/>
                  <w:r>
                    <w:rPr>
                      <w:sz w:val="20"/>
                      <w:szCs w:val="20"/>
                    </w:rPr>
                    <w:t xml:space="preserve"> </w:t>
                  </w:r>
                  <w:proofErr w:type="spellStart"/>
                  <w:r>
                    <w:rPr>
                      <w:sz w:val="20"/>
                      <w:szCs w:val="20"/>
                    </w:rPr>
                    <w:t>mēnesī</w:t>
                  </w:r>
                  <w:proofErr w:type="spellEnd"/>
                  <w:r>
                    <w:rPr>
                      <w:sz w:val="20"/>
                      <w:szCs w:val="20"/>
                    </w:rPr>
                    <w:t>)</w:t>
                  </w:r>
                </w:p>
              </w:tc>
              <w:tc>
                <w:tcPr>
                  <w:tcW w:w="961" w:type="pct"/>
                  <w:tcBorders>
                    <w:top w:val="single" w:sz="4" w:space="0" w:color="auto"/>
                    <w:left w:val="single" w:sz="4" w:space="0" w:color="auto"/>
                    <w:bottom w:val="single" w:sz="4" w:space="0" w:color="auto"/>
                    <w:right w:val="single" w:sz="4" w:space="0" w:color="auto"/>
                  </w:tcBorders>
                  <w:vAlign w:val="center"/>
                  <w:hideMark/>
                </w:tcPr>
                <w:p w14:paraId="6A8BD6B5" w14:textId="77777777" w:rsidR="00C6674F" w:rsidRDefault="00C6674F" w:rsidP="00C6674F">
                  <w:pPr>
                    <w:jc w:val="center"/>
                    <w:rPr>
                      <w:sz w:val="20"/>
                      <w:szCs w:val="20"/>
                    </w:rPr>
                  </w:pPr>
                  <w:r>
                    <w:rPr>
                      <w:sz w:val="20"/>
                      <w:szCs w:val="20"/>
                    </w:rPr>
                    <w:t>3 422</w:t>
                  </w:r>
                </w:p>
              </w:tc>
              <w:tc>
                <w:tcPr>
                  <w:tcW w:w="962" w:type="pct"/>
                  <w:tcBorders>
                    <w:top w:val="single" w:sz="4" w:space="0" w:color="auto"/>
                    <w:left w:val="single" w:sz="4" w:space="0" w:color="auto"/>
                    <w:bottom w:val="single" w:sz="4" w:space="0" w:color="auto"/>
                    <w:right w:val="single" w:sz="4" w:space="0" w:color="auto"/>
                  </w:tcBorders>
                  <w:vAlign w:val="center"/>
                  <w:hideMark/>
                </w:tcPr>
                <w:p w14:paraId="11B8CADA" w14:textId="77777777" w:rsidR="00C6674F" w:rsidRDefault="00C6674F" w:rsidP="00C6674F">
                  <w:pPr>
                    <w:jc w:val="center"/>
                    <w:rPr>
                      <w:sz w:val="20"/>
                      <w:szCs w:val="20"/>
                    </w:rPr>
                  </w:pPr>
                  <w:r>
                    <w:rPr>
                      <w:sz w:val="20"/>
                      <w:szCs w:val="20"/>
                    </w:rPr>
                    <w:t>3 393</w:t>
                  </w:r>
                </w:p>
              </w:tc>
              <w:tc>
                <w:tcPr>
                  <w:tcW w:w="962" w:type="pct"/>
                  <w:tcBorders>
                    <w:top w:val="single" w:sz="4" w:space="0" w:color="auto"/>
                    <w:left w:val="single" w:sz="4" w:space="0" w:color="auto"/>
                    <w:bottom w:val="single" w:sz="4" w:space="0" w:color="auto"/>
                    <w:right w:val="single" w:sz="4" w:space="0" w:color="auto"/>
                  </w:tcBorders>
                  <w:vAlign w:val="center"/>
                  <w:hideMark/>
                </w:tcPr>
                <w:p w14:paraId="794AD2A7" w14:textId="77777777" w:rsidR="00C6674F" w:rsidRDefault="00C6674F" w:rsidP="00C6674F">
                  <w:pPr>
                    <w:jc w:val="center"/>
                    <w:rPr>
                      <w:sz w:val="20"/>
                      <w:szCs w:val="20"/>
                    </w:rPr>
                  </w:pPr>
                  <w:r>
                    <w:rPr>
                      <w:sz w:val="20"/>
                      <w:szCs w:val="20"/>
                    </w:rPr>
                    <w:t>3 374</w:t>
                  </w:r>
                </w:p>
              </w:tc>
            </w:tr>
            <w:tr w:rsidR="00C6674F" w14:paraId="5ABD6CD9" w14:textId="77777777" w:rsidTr="00AA4ED9">
              <w:tc>
                <w:tcPr>
                  <w:tcW w:w="2115" w:type="pct"/>
                  <w:tcBorders>
                    <w:top w:val="single" w:sz="4" w:space="0" w:color="auto"/>
                    <w:left w:val="single" w:sz="4" w:space="0" w:color="auto"/>
                    <w:bottom w:val="single" w:sz="4" w:space="0" w:color="auto"/>
                    <w:right w:val="single" w:sz="4" w:space="0" w:color="auto"/>
                  </w:tcBorders>
                </w:tcPr>
                <w:p w14:paraId="401C15D4" w14:textId="77777777" w:rsidR="00C6674F" w:rsidRDefault="00C6674F" w:rsidP="00C6674F">
                  <w:pPr>
                    <w:jc w:val="both"/>
                    <w:rPr>
                      <w:sz w:val="20"/>
                      <w:szCs w:val="20"/>
                    </w:rPr>
                  </w:pPr>
                  <w:proofErr w:type="spellStart"/>
                  <w:r>
                    <w:rPr>
                      <w:sz w:val="20"/>
                      <w:szCs w:val="20"/>
                    </w:rPr>
                    <w:t>Vidējais</w:t>
                  </w:r>
                  <w:proofErr w:type="spellEnd"/>
                  <w:r>
                    <w:rPr>
                      <w:sz w:val="20"/>
                      <w:szCs w:val="20"/>
                    </w:rPr>
                    <w:t xml:space="preserve"> </w:t>
                  </w:r>
                  <w:proofErr w:type="spellStart"/>
                  <w:r>
                    <w:rPr>
                      <w:sz w:val="20"/>
                      <w:szCs w:val="20"/>
                    </w:rPr>
                    <w:t>apmērs</w:t>
                  </w:r>
                  <w:proofErr w:type="spellEnd"/>
                </w:p>
              </w:tc>
              <w:tc>
                <w:tcPr>
                  <w:tcW w:w="961" w:type="pct"/>
                  <w:tcBorders>
                    <w:top w:val="single" w:sz="4" w:space="0" w:color="auto"/>
                    <w:left w:val="single" w:sz="4" w:space="0" w:color="auto"/>
                    <w:bottom w:val="single" w:sz="4" w:space="0" w:color="auto"/>
                    <w:right w:val="single" w:sz="4" w:space="0" w:color="auto"/>
                  </w:tcBorders>
                </w:tcPr>
                <w:p w14:paraId="107E4F5E" w14:textId="77777777" w:rsidR="00C6674F" w:rsidRDefault="00C6674F" w:rsidP="00C6674F">
                  <w:pPr>
                    <w:jc w:val="center"/>
                    <w:rPr>
                      <w:sz w:val="20"/>
                      <w:szCs w:val="20"/>
                    </w:rPr>
                  </w:pPr>
                  <w:r>
                    <w:rPr>
                      <w:sz w:val="20"/>
                      <w:szCs w:val="20"/>
                    </w:rPr>
                    <w:t>86,90</w:t>
                  </w:r>
                </w:p>
              </w:tc>
              <w:tc>
                <w:tcPr>
                  <w:tcW w:w="962" w:type="pct"/>
                  <w:tcBorders>
                    <w:top w:val="single" w:sz="4" w:space="0" w:color="auto"/>
                    <w:left w:val="single" w:sz="4" w:space="0" w:color="auto"/>
                    <w:bottom w:val="single" w:sz="4" w:space="0" w:color="auto"/>
                    <w:right w:val="single" w:sz="4" w:space="0" w:color="auto"/>
                  </w:tcBorders>
                </w:tcPr>
                <w:p w14:paraId="58B78B75" w14:textId="77777777" w:rsidR="00C6674F" w:rsidRDefault="00C6674F" w:rsidP="00C6674F">
                  <w:pPr>
                    <w:jc w:val="center"/>
                    <w:rPr>
                      <w:sz w:val="20"/>
                      <w:szCs w:val="20"/>
                    </w:rPr>
                  </w:pPr>
                  <w:r>
                    <w:rPr>
                      <w:sz w:val="20"/>
                      <w:szCs w:val="20"/>
                    </w:rPr>
                    <w:t>86,90</w:t>
                  </w:r>
                </w:p>
              </w:tc>
              <w:tc>
                <w:tcPr>
                  <w:tcW w:w="962" w:type="pct"/>
                  <w:tcBorders>
                    <w:top w:val="single" w:sz="4" w:space="0" w:color="auto"/>
                    <w:left w:val="single" w:sz="4" w:space="0" w:color="auto"/>
                    <w:bottom w:val="single" w:sz="4" w:space="0" w:color="auto"/>
                    <w:right w:val="single" w:sz="4" w:space="0" w:color="auto"/>
                  </w:tcBorders>
                </w:tcPr>
                <w:p w14:paraId="146DFE31" w14:textId="77777777" w:rsidR="00C6674F" w:rsidRDefault="00C6674F" w:rsidP="00C6674F">
                  <w:pPr>
                    <w:jc w:val="center"/>
                    <w:rPr>
                      <w:sz w:val="20"/>
                      <w:szCs w:val="20"/>
                    </w:rPr>
                  </w:pPr>
                  <w:r>
                    <w:rPr>
                      <w:sz w:val="20"/>
                      <w:szCs w:val="20"/>
                    </w:rPr>
                    <w:t>86,90</w:t>
                  </w:r>
                </w:p>
              </w:tc>
            </w:tr>
            <w:tr w:rsidR="00C6674F" w14:paraId="3E92854E" w14:textId="77777777" w:rsidTr="00AA4ED9">
              <w:tc>
                <w:tcPr>
                  <w:tcW w:w="2115" w:type="pct"/>
                  <w:tcBorders>
                    <w:top w:val="single" w:sz="4" w:space="0" w:color="auto"/>
                    <w:left w:val="single" w:sz="4" w:space="0" w:color="auto"/>
                    <w:bottom w:val="single" w:sz="4" w:space="0" w:color="auto"/>
                    <w:right w:val="single" w:sz="4" w:space="0" w:color="auto"/>
                  </w:tcBorders>
                </w:tcPr>
                <w:p w14:paraId="3005B2E0" w14:textId="77777777" w:rsidR="00C6674F" w:rsidRDefault="00C6674F" w:rsidP="00C6674F">
                  <w:pPr>
                    <w:jc w:val="both"/>
                    <w:rPr>
                      <w:sz w:val="20"/>
                      <w:szCs w:val="20"/>
                    </w:rPr>
                  </w:pPr>
                  <w:proofErr w:type="spellStart"/>
                  <w:r w:rsidRPr="00C176CC">
                    <w:t>Izdevumi</w:t>
                  </w:r>
                  <w:proofErr w:type="spellEnd"/>
                  <w:r w:rsidRPr="00C176CC">
                    <w:t xml:space="preserve"> (</w:t>
                  </w:r>
                  <w:r w:rsidRPr="00CF04B4">
                    <w:rPr>
                      <w:i/>
                    </w:rPr>
                    <w:t>euro</w:t>
                  </w:r>
                  <w:r w:rsidRPr="00C176CC">
                    <w:t>)</w:t>
                  </w:r>
                </w:p>
              </w:tc>
              <w:tc>
                <w:tcPr>
                  <w:tcW w:w="961" w:type="pct"/>
                  <w:tcBorders>
                    <w:top w:val="single" w:sz="4" w:space="0" w:color="auto"/>
                    <w:left w:val="single" w:sz="4" w:space="0" w:color="auto"/>
                    <w:bottom w:val="single" w:sz="4" w:space="0" w:color="auto"/>
                    <w:right w:val="single" w:sz="4" w:space="0" w:color="auto"/>
                  </w:tcBorders>
                </w:tcPr>
                <w:p w14:paraId="65AC0062" w14:textId="77777777" w:rsidR="00C6674F" w:rsidRDefault="00C6674F" w:rsidP="00C6674F">
                  <w:pPr>
                    <w:jc w:val="center"/>
                    <w:rPr>
                      <w:sz w:val="20"/>
                      <w:szCs w:val="20"/>
                    </w:rPr>
                  </w:pPr>
                  <w:r>
                    <w:t>3 568 462</w:t>
                  </w:r>
                </w:p>
              </w:tc>
              <w:tc>
                <w:tcPr>
                  <w:tcW w:w="962" w:type="pct"/>
                  <w:tcBorders>
                    <w:top w:val="single" w:sz="4" w:space="0" w:color="auto"/>
                    <w:left w:val="single" w:sz="4" w:space="0" w:color="auto"/>
                    <w:bottom w:val="single" w:sz="4" w:space="0" w:color="auto"/>
                    <w:right w:val="single" w:sz="4" w:space="0" w:color="auto"/>
                  </w:tcBorders>
                </w:tcPr>
                <w:p w14:paraId="1297949C" w14:textId="77777777" w:rsidR="00C6674F" w:rsidRDefault="00C6674F" w:rsidP="00C6674F">
                  <w:pPr>
                    <w:jc w:val="center"/>
                    <w:rPr>
                      <w:sz w:val="20"/>
                      <w:szCs w:val="20"/>
                    </w:rPr>
                  </w:pPr>
                  <w:r w:rsidRPr="00C176CC">
                    <w:t>3</w:t>
                  </w:r>
                  <w:r>
                    <w:t> 538 220</w:t>
                  </w:r>
                </w:p>
              </w:tc>
              <w:tc>
                <w:tcPr>
                  <w:tcW w:w="962" w:type="pct"/>
                  <w:tcBorders>
                    <w:top w:val="single" w:sz="4" w:space="0" w:color="auto"/>
                    <w:left w:val="single" w:sz="4" w:space="0" w:color="auto"/>
                    <w:bottom w:val="single" w:sz="4" w:space="0" w:color="auto"/>
                    <w:right w:val="single" w:sz="4" w:space="0" w:color="auto"/>
                  </w:tcBorders>
                </w:tcPr>
                <w:p w14:paraId="5C2CD274" w14:textId="77777777" w:rsidR="00C6674F" w:rsidRDefault="00C6674F" w:rsidP="00C6674F">
                  <w:pPr>
                    <w:jc w:val="center"/>
                    <w:rPr>
                      <w:sz w:val="20"/>
                      <w:szCs w:val="20"/>
                    </w:rPr>
                  </w:pPr>
                  <w:r w:rsidRPr="00C176CC">
                    <w:t>3</w:t>
                  </w:r>
                  <w:r>
                    <w:t> 518 407</w:t>
                  </w:r>
                </w:p>
              </w:tc>
            </w:tr>
          </w:tbl>
          <w:p w14:paraId="1610E106" w14:textId="77777777" w:rsidR="00C6674F" w:rsidRDefault="00C6674F" w:rsidP="00C6674F">
            <w:pPr>
              <w:jc w:val="both"/>
            </w:pPr>
          </w:p>
          <w:p w14:paraId="78D0BFB2" w14:textId="3F286E3A" w:rsidR="00EE6A1E" w:rsidRPr="008555CA" w:rsidRDefault="00EE6A1E" w:rsidP="00C6674F">
            <w:pPr>
              <w:jc w:val="both"/>
              <w:rPr>
                <w:strike/>
              </w:rPr>
            </w:pPr>
            <w:r w:rsidRPr="008555CA">
              <w:rPr>
                <w:rFonts w:eastAsiaTheme="minorHAnsi"/>
              </w:rPr>
              <w:t>Atbilstoši Labklājības ministrijas iesniegtajā budžeta pieprasījumā (27.11.2014. vēstule Nr. 25-1-01/152) uz likumprojektu</w:t>
            </w:r>
            <w:proofErr w:type="gramStart"/>
            <w:r w:rsidRPr="008555CA">
              <w:rPr>
                <w:rFonts w:eastAsiaTheme="minorHAnsi"/>
              </w:rPr>
              <w:t xml:space="preserve"> ,,</w:t>
            </w:r>
            <w:proofErr w:type="gramEnd"/>
            <w:r w:rsidRPr="008555CA">
              <w:rPr>
                <w:rFonts w:eastAsiaTheme="minorHAnsi"/>
              </w:rPr>
              <w:t>Par valsts budžetu 2015.gadam” un likumprojektam ,,Par vidēja termiņa budžeta ietvaru 2015.,</w:t>
            </w:r>
            <w:r w:rsidR="008555CA" w:rsidRPr="008555CA">
              <w:rPr>
                <w:rFonts w:eastAsiaTheme="minorHAnsi"/>
              </w:rPr>
              <w:t xml:space="preserve"> </w:t>
            </w:r>
            <w:r w:rsidRPr="008555CA">
              <w:rPr>
                <w:rFonts w:eastAsiaTheme="minorHAnsi"/>
              </w:rPr>
              <w:t>2016. un 2017.gadam” iekļautajai veidlapai Nr.10 (</w:t>
            </w:r>
            <w:proofErr w:type="spellStart"/>
            <w:r w:rsidRPr="008555CA">
              <w:rPr>
                <w:rFonts w:eastAsiaTheme="minorHAnsi"/>
              </w:rPr>
              <w:t>pb</w:t>
            </w:r>
            <w:proofErr w:type="spellEnd"/>
            <w:r w:rsidRPr="008555CA">
              <w:rPr>
                <w:rFonts w:eastAsiaTheme="minorHAnsi"/>
              </w:rPr>
              <w:t>) ,,Valsts sociālo pabalstu, izdienas pensiju un piemaksu pie vecuma un invaliditātes pensijām izdevumu aprēķins”.</w:t>
            </w:r>
          </w:p>
          <w:p w14:paraId="7B1ADED8" w14:textId="77777777" w:rsidR="00CF04B4" w:rsidRDefault="00CF04B4" w:rsidP="00C6674F">
            <w:pPr>
              <w:jc w:val="both"/>
            </w:pPr>
          </w:p>
          <w:tbl>
            <w:tblPr>
              <w:tblStyle w:val="TableGrid"/>
              <w:tblW w:w="5000" w:type="pct"/>
              <w:tblLayout w:type="fixed"/>
              <w:tblLook w:val="01E0" w:firstRow="1" w:lastRow="1" w:firstColumn="1" w:lastColumn="1" w:noHBand="0" w:noVBand="0"/>
            </w:tblPr>
            <w:tblGrid>
              <w:gridCol w:w="2882"/>
              <w:gridCol w:w="1309"/>
              <w:gridCol w:w="1311"/>
              <w:gridCol w:w="1311"/>
            </w:tblGrid>
            <w:tr w:rsidR="00CF04B4" w14:paraId="0AA73B6A" w14:textId="77777777" w:rsidTr="00852339">
              <w:tc>
                <w:tcPr>
                  <w:tcW w:w="2114" w:type="pct"/>
                  <w:tcBorders>
                    <w:top w:val="single" w:sz="4" w:space="0" w:color="auto"/>
                    <w:left w:val="single" w:sz="4" w:space="0" w:color="auto"/>
                    <w:bottom w:val="single" w:sz="4" w:space="0" w:color="auto"/>
                    <w:right w:val="single" w:sz="4" w:space="0" w:color="auto"/>
                  </w:tcBorders>
                </w:tcPr>
                <w:p w14:paraId="55E1D440" w14:textId="77777777" w:rsidR="00CF04B4" w:rsidRPr="00E61D34" w:rsidRDefault="00CF04B4" w:rsidP="00CF04B4">
                  <w:pPr>
                    <w:jc w:val="both"/>
                    <w:rPr>
                      <w:b/>
                      <w:sz w:val="20"/>
                      <w:szCs w:val="20"/>
                      <w:lang w:val="lv-LV"/>
                    </w:rPr>
                  </w:pPr>
                </w:p>
              </w:tc>
              <w:tc>
                <w:tcPr>
                  <w:tcW w:w="961" w:type="pct"/>
                  <w:tcBorders>
                    <w:top w:val="single" w:sz="4" w:space="0" w:color="auto"/>
                    <w:left w:val="single" w:sz="4" w:space="0" w:color="auto"/>
                    <w:bottom w:val="single" w:sz="4" w:space="0" w:color="auto"/>
                    <w:right w:val="single" w:sz="4" w:space="0" w:color="auto"/>
                  </w:tcBorders>
                  <w:hideMark/>
                </w:tcPr>
                <w:p w14:paraId="53986E92" w14:textId="77777777" w:rsidR="00CF04B4" w:rsidRPr="00E61D34" w:rsidRDefault="00CF04B4" w:rsidP="00CF04B4">
                  <w:pPr>
                    <w:jc w:val="center"/>
                    <w:rPr>
                      <w:b/>
                      <w:sz w:val="20"/>
                      <w:szCs w:val="20"/>
                      <w:lang w:val="lv-LV"/>
                    </w:rPr>
                  </w:pPr>
                  <w:r w:rsidRPr="00E61D34">
                    <w:rPr>
                      <w:b/>
                      <w:sz w:val="20"/>
                      <w:szCs w:val="20"/>
                      <w:lang w:val="lv-LV"/>
                    </w:rPr>
                    <w:t>2015.</w:t>
                  </w:r>
                </w:p>
              </w:tc>
              <w:tc>
                <w:tcPr>
                  <w:tcW w:w="962" w:type="pct"/>
                  <w:tcBorders>
                    <w:top w:val="single" w:sz="4" w:space="0" w:color="auto"/>
                    <w:left w:val="single" w:sz="4" w:space="0" w:color="auto"/>
                    <w:bottom w:val="single" w:sz="4" w:space="0" w:color="auto"/>
                    <w:right w:val="single" w:sz="4" w:space="0" w:color="auto"/>
                  </w:tcBorders>
                  <w:hideMark/>
                </w:tcPr>
                <w:p w14:paraId="19D6B048" w14:textId="77777777" w:rsidR="00CF04B4" w:rsidRPr="00E61D34" w:rsidRDefault="00CF04B4" w:rsidP="00CF04B4">
                  <w:pPr>
                    <w:jc w:val="center"/>
                    <w:rPr>
                      <w:b/>
                      <w:sz w:val="20"/>
                      <w:szCs w:val="20"/>
                      <w:lang w:val="lv-LV"/>
                    </w:rPr>
                  </w:pPr>
                  <w:r w:rsidRPr="00E61D34">
                    <w:rPr>
                      <w:b/>
                      <w:sz w:val="20"/>
                      <w:szCs w:val="20"/>
                      <w:lang w:val="lv-LV"/>
                    </w:rPr>
                    <w:t>2016.</w:t>
                  </w:r>
                </w:p>
              </w:tc>
              <w:tc>
                <w:tcPr>
                  <w:tcW w:w="962" w:type="pct"/>
                  <w:tcBorders>
                    <w:top w:val="single" w:sz="4" w:space="0" w:color="auto"/>
                    <w:left w:val="single" w:sz="4" w:space="0" w:color="auto"/>
                    <w:bottom w:val="single" w:sz="4" w:space="0" w:color="auto"/>
                    <w:right w:val="single" w:sz="4" w:space="0" w:color="auto"/>
                  </w:tcBorders>
                  <w:hideMark/>
                </w:tcPr>
                <w:p w14:paraId="5C357A71" w14:textId="3CCDD31A" w:rsidR="00CF04B4" w:rsidRPr="00E61D34" w:rsidRDefault="00CF04B4" w:rsidP="008555CA">
                  <w:pPr>
                    <w:jc w:val="center"/>
                    <w:rPr>
                      <w:b/>
                      <w:sz w:val="20"/>
                      <w:szCs w:val="20"/>
                      <w:lang w:val="lv-LV"/>
                    </w:rPr>
                  </w:pPr>
                  <w:r w:rsidRPr="00E61D34">
                    <w:rPr>
                      <w:b/>
                      <w:sz w:val="20"/>
                      <w:szCs w:val="20"/>
                      <w:lang w:val="lv-LV"/>
                    </w:rPr>
                    <w:t>2017.</w:t>
                  </w:r>
                </w:p>
              </w:tc>
            </w:tr>
            <w:tr w:rsidR="00CF04B4" w14:paraId="5A24B77A" w14:textId="77777777" w:rsidTr="00852339">
              <w:tc>
                <w:tcPr>
                  <w:tcW w:w="2114" w:type="pct"/>
                  <w:tcBorders>
                    <w:top w:val="single" w:sz="4" w:space="0" w:color="auto"/>
                    <w:left w:val="single" w:sz="4" w:space="0" w:color="auto"/>
                    <w:bottom w:val="single" w:sz="4" w:space="0" w:color="auto"/>
                    <w:right w:val="single" w:sz="4" w:space="0" w:color="auto"/>
                  </w:tcBorders>
                  <w:hideMark/>
                </w:tcPr>
                <w:p w14:paraId="4C9EF65F" w14:textId="77777777" w:rsidR="00CF04B4" w:rsidRDefault="00CF04B4" w:rsidP="00CF04B4">
                  <w:pPr>
                    <w:jc w:val="both"/>
                    <w:rPr>
                      <w:sz w:val="20"/>
                      <w:szCs w:val="20"/>
                    </w:rPr>
                  </w:pPr>
                  <w:proofErr w:type="spellStart"/>
                  <w:r>
                    <w:rPr>
                      <w:sz w:val="20"/>
                      <w:szCs w:val="20"/>
                    </w:rPr>
                    <w:t>Pabalsta</w:t>
                  </w:r>
                  <w:proofErr w:type="spellEnd"/>
                  <w:r>
                    <w:rPr>
                      <w:sz w:val="20"/>
                      <w:szCs w:val="20"/>
                    </w:rPr>
                    <w:t xml:space="preserve"> </w:t>
                  </w:r>
                  <w:proofErr w:type="spellStart"/>
                  <w:r>
                    <w:rPr>
                      <w:sz w:val="20"/>
                      <w:szCs w:val="20"/>
                    </w:rPr>
                    <w:t>saņēmēju</w:t>
                  </w:r>
                  <w:proofErr w:type="spellEnd"/>
                  <w:r>
                    <w:rPr>
                      <w:sz w:val="20"/>
                      <w:szCs w:val="20"/>
                    </w:rPr>
                    <w:t xml:space="preserve"> </w:t>
                  </w:r>
                  <w:proofErr w:type="spellStart"/>
                  <w:r>
                    <w:rPr>
                      <w:sz w:val="20"/>
                      <w:szCs w:val="20"/>
                    </w:rPr>
                    <w:t>kontingents</w:t>
                  </w:r>
                  <w:proofErr w:type="spellEnd"/>
                  <w:r>
                    <w:rPr>
                      <w:sz w:val="20"/>
                      <w:szCs w:val="20"/>
                    </w:rPr>
                    <w:t xml:space="preserve"> (</w:t>
                  </w:r>
                  <w:proofErr w:type="spellStart"/>
                  <w:r>
                    <w:rPr>
                      <w:sz w:val="20"/>
                      <w:szCs w:val="20"/>
                    </w:rPr>
                    <w:t>vidēji</w:t>
                  </w:r>
                  <w:proofErr w:type="spellEnd"/>
                  <w:r>
                    <w:rPr>
                      <w:sz w:val="20"/>
                      <w:szCs w:val="20"/>
                    </w:rPr>
                    <w:t xml:space="preserve"> </w:t>
                  </w:r>
                  <w:proofErr w:type="spellStart"/>
                  <w:r>
                    <w:rPr>
                      <w:sz w:val="20"/>
                      <w:szCs w:val="20"/>
                    </w:rPr>
                    <w:t>mēnesī</w:t>
                  </w:r>
                  <w:proofErr w:type="spellEnd"/>
                  <w:r>
                    <w:rPr>
                      <w:sz w:val="20"/>
                      <w:szCs w:val="20"/>
                    </w:rPr>
                    <w:t>)</w:t>
                  </w:r>
                </w:p>
              </w:tc>
              <w:tc>
                <w:tcPr>
                  <w:tcW w:w="961" w:type="pct"/>
                  <w:tcBorders>
                    <w:top w:val="single" w:sz="4" w:space="0" w:color="auto"/>
                    <w:left w:val="single" w:sz="4" w:space="0" w:color="auto"/>
                    <w:bottom w:val="single" w:sz="4" w:space="0" w:color="auto"/>
                    <w:right w:val="single" w:sz="4" w:space="0" w:color="auto"/>
                  </w:tcBorders>
                  <w:vAlign w:val="center"/>
                  <w:hideMark/>
                </w:tcPr>
                <w:p w14:paraId="095E8271" w14:textId="77777777" w:rsidR="00CF04B4" w:rsidRDefault="00CF04B4" w:rsidP="00CF04B4">
                  <w:pPr>
                    <w:jc w:val="center"/>
                    <w:rPr>
                      <w:sz w:val="20"/>
                      <w:szCs w:val="20"/>
                    </w:rPr>
                  </w:pPr>
                  <w:r>
                    <w:rPr>
                      <w:sz w:val="20"/>
                      <w:szCs w:val="20"/>
                    </w:rPr>
                    <w:t>3 422</w:t>
                  </w:r>
                </w:p>
              </w:tc>
              <w:tc>
                <w:tcPr>
                  <w:tcW w:w="962" w:type="pct"/>
                  <w:tcBorders>
                    <w:top w:val="single" w:sz="4" w:space="0" w:color="auto"/>
                    <w:left w:val="single" w:sz="4" w:space="0" w:color="auto"/>
                    <w:bottom w:val="single" w:sz="4" w:space="0" w:color="auto"/>
                    <w:right w:val="single" w:sz="4" w:space="0" w:color="auto"/>
                  </w:tcBorders>
                  <w:vAlign w:val="center"/>
                  <w:hideMark/>
                </w:tcPr>
                <w:p w14:paraId="09BEDA0F" w14:textId="77777777" w:rsidR="00CF04B4" w:rsidRDefault="00CF04B4" w:rsidP="00CF04B4">
                  <w:pPr>
                    <w:jc w:val="center"/>
                    <w:rPr>
                      <w:sz w:val="20"/>
                      <w:szCs w:val="20"/>
                    </w:rPr>
                  </w:pPr>
                  <w:r>
                    <w:rPr>
                      <w:sz w:val="20"/>
                      <w:szCs w:val="20"/>
                    </w:rPr>
                    <w:t>3 393</w:t>
                  </w:r>
                </w:p>
              </w:tc>
              <w:tc>
                <w:tcPr>
                  <w:tcW w:w="962" w:type="pct"/>
                  <w:tcBorders>
                    <w:top w:val="single" w:sz="4" w:space="0" w:color="auto"/>
                    <w:left w:val="single" w:sz="4" w:space="0" w:color="auto"/>
                    <w:bottom w:val="single" w:sz="4" w:space="0" w:color="auto"/>
                    <w:right w:val="single" w:sz="4" w:space="0" w:color="auto"/>
                  </w:tcBorders>
                  <w:vAlign w:val="center"/>
                  <w:hideMark/>
                </w:tcPr>
                <w:p w14:paraId="79C01CFB" w14:textId="77777777" w:rsidR="00CF04B4" w:rsidRDefault="00CF04B4" w:rsidP="00CF04B4">
                  <w:pPr>
                    <w:jc w:val="center"/>
                    <w:rPr>
                      <w:sz w:val="20"/>
                      <w:szCs w:val="20"/>
                    </w:rPr>
                  </w:pPr>
                  <w:r>
                    <w:rPr>
                      <w:sz w:val="20"/>
                      <w:szCs w:val="20"/>
                    </w:rPr>
                    <w:t>3 374</w:t>
                  </w:r>
                </w:p>
              </w:tc>
            </w:tr>
            <w:tr w:rsidR="00CF04B4" w14:paraId="4220AE7B" w14:textId="77777777" w:rsidTr="00852339">
              <w:tc>
                <w:tcPr>
                  <w:tcW w:w="2114" w:type="pct"/>
                  <w:tcBorders>
                    <w:top w:val="single" w:sz="4" w:space="0" w:color="auto"/>
                    <w:left w:val="single" w:sz="4" w:space="0" w:color="auto"/>
                    <w:bottom w:val="single" w:sz="4" w:space="0" w:color="auto"/>
                    <w:right w:val="single" w:sz="4" w:space="0" w:color="auto"/>
                  </w:tcBorders>
                </w:tcPr>
                <w:p w14:paraId="4D9FAB8C" w14:textId="77777777" w:rsidR="00CF04B4" w:rsidRDefault="00CF04B4" w:rsidP="00CF04B4">
                  <w:pPr>
                    <w:jc w:val="both"/>
                    <w:rPr>
                      <w:sz w:val="20"/>
                      <w:szCs w:val="20"/>
                    </w:rPr>
                  </w:pPr>
                  <w:proofErr w:type="spellStart"/>
                  <w:r>
                    <w:rPr>
                      <w:sz w:val="20"/>
                      <w:szCs w:val="20"/>
                    </w:rPr>
                    <w:t>Vidējais</w:t>
                  </w:r>
                  <w:proofErr w:type="spellEnd"/>
                  <w:r>
                    <w:rPr>
                      <w:sz w:val="20"/>
                      <w:szCs w:val="20"/>
                    </w:rPr>
                    <w:t xml:space="preserve"> </w:t>
                  </w:r>
                  <w:proofErr w:type="spellStart"/>
                  <w:r>
                    <w:rPr>
                      <w:sz w:val="20"/>
                      <w:szCs w:val="20"/>
                    </w:rPr>
                    <w:t>apmērs</w:t>
                  </w:r>
                  <w:proofErr w:type="spellEnd"/>
                </w:p>
              </w:tc>
              <w:tc>
                <w:tcPr>
                  <w:tcW w:w="961" w:type="pct"/>
                  <w:tcBorders>
                    <w:top w:val="single" w:sz="4" w:space="0" w:color="auto"/>
                    <w:left w:val="single" w:sz="4" w:space="0" w:color="auto"/>
                    <w:bottom w:val="single" w:sz="4" w:space="0" w:color="auto"/>
                    <w:right w:val="single" w:sz="4" w:space="0" w:color="auto"/>
                  </w:tcBorders>
                </w:tcPr>
                <w:p w14:paraId="0184E6BD" w14:textId="77777777" w:rsidR="00CF04B4" w:rsidRDefault="00CF04B4" w:rsidP="00CF04B4">
                  <w:pPr>
                    <w:jc w:val="center"/>
                    <w:rPr>
                      <w:sz w:val="20"/>
                      <w:szCs w:val="20"/>
                    </w:rPr>
                  </w:pPr>
                  <w:r>
                    <w:rPr>
                      <w:sz w:val="20"/>
                      <w:szCs w:val="20"/>
                    </w:rPr>
                    <w:t>99,65</w:t>
                  </w:r>
                </w:p>
              </w:tc>
              <w:tc>
                <w:tcPr>
                  <w:tcW w:w="962" w:type="pct"/>
                  <w:tcBorders>
                    <w:top w:val="single" w:sz="4" w:space="0" w:color="auto"/>
                    <w:left w:val="single" w:sz="4" w:space="0" w:color="auto"/>
                    <w:bottom w:val="single" w:sz="4" w:space="0" w:color="auto"/>
                    <w:right w:val="single" w:sz="4" w:space="0" w:color="auto"/>
                  </w:tcBorders>
                </w:tcPr>
                <w:p w14:paraId="6294A212" w14:textId="77777777" w:rsidR="00CF04B4" w:rsidRDefault="00CF04B4" w:rsidP="00CF04B4">
                  <w:pPr>
                    <w:jc w:val="center"/>
                    <w:rPr>
                      <w:sz w:val="20"/>
                      <w:szCs w:val="20"/>
                    </w:rPr>
                  </w:pPr>
                  <w:r>
                    <w:rPr>
                      <w:sz w:val="20"/>
                      <w:szCs w:val="20"/>
                    </w:rPr>
                    <w:t>100,41</w:t>
                  </w:r>
                </w:p>
              </w:tc>
              <w:tc>
                <w:tcPr>
                  <w:tcW w:w="962" w:type="pct"/>
                  <w:tcBorders>
                    <w:top w:val="single" w:sz="4" w:space="0" w:color="auto"/>
                    <w:left w:val="single" w:sz="4" w:space="0" w:color="auto"/>
                    <w:bottom w:val="single" w:sz="4" w:space="0" w:color="auto"/>
                    <w:right w:val="single" w:sz="4" w:space="0" w:color="auto"/>
                  </w:tcBorders>
                </w:tcPr>
                <w:p w14:paraId="7B1A7C54" w14:textId="77777777" w:rsidR="00CF04B4" w:rsidRDefault="00CF04B4" w:rsidP="00CF04B4">
                  <w:pPr>
                    <w:jc w:val="center"/>
                    <w:rPr>
                      <w:sz w:val="20"/>
                      <w:szCs w:val="20"/>
                    </w:rPr>
                  </w:pPr>
                  <w:r>
                    <w:rPr>
                      <w:sz w:val="20"/>
                      <w:szCs w:val="20"/>
                    </w:rPr>
                    <w:t>100,48</w:t>
                  </w:r>
                </w:p>
              </w:tc>
            </w:tr>
            <w:tr w:rsidR="00CF04B4" w14:paraId="21687550" w14:textId="77777777" w:rsidTr="00852339">
              <w:tc>
                <w:tcPr>
                  <w:tcW w:w="2114" w:type="pct"/>
                  <w:tcBorders>
                    <w:top w:val="single" w:sz="4" w:space="0" w:color="auto"/>
                    <w:left w:val="single" w:sz="4" w:space="0" w:color="auto"/>
                    <w:bottom w:val="single" w:sz="4" w:space="0" w:color="auto"/>
                    <w:right w:val="single" w:sz="4" w:space="0" w:color="auto"/>
                  </w:tcBorders>
                </w:tcPr>
                <w:p w14:paraId="7AD28A35" w14:textId="77777777" w:rsidR="00CF04B4" w:rsidRPr="00C6674F" w:rsidRDefault="00CF04B4" w:rsidP="00CF04B4">
                  <w:pPr>
                    <w:jc w:val="both"/>
                    <w:rPr>
                      <w:sz w:val="20"/>
                      <w:szCs w:val="20"/>
                      <w:lang w:val="lv-LV"/>
                    </w:rPr>
                  </w:pPr>
                  <w:r w:rsidRPr="00C6674F">
                    <w:rPr>
                      <w:lang w:val="lv-LV"/>
                    </w:rPr>
                    <w:t>Izdevumi (</w:t>
                  </w:r>
                  <w:proofErr w:type="spellStart"/>
                  <w:r w:rsidRPr="00D30038">
                    <w:rPr>
                      <w:i/>
                      <w:lang w:val="lv-LV"/>
                    </w:rPr>
                    <w:t>euro</w:t>
                  </w:r>
                  <w:proofErr w:type="spellEnd"/>
                  <w:r w:rsidRPr="00C6674F">
                    <w:rPr>
                      <w:lang w:val="lv-LV"/>
                    </w:rPr>
                    <w:t>)</w:t>
                  </w:r>
                </w:p>
              </w:tc>
              <w:tc>
                <w:tcPr>
                  <w:tcW w:w="961" w:type="pct"/>
                  <w:tcBorders>
                    <w:top w:val="single" w:sz="4" w:space="0" w:color="auto"/>
                    <w:left w:val="single" w:sz="4" w:space="0" w:color="auto"/>
                    <w:bottom w:val="single" w:sz="4" w:space="0" w:color="auto"/>
                    <w:right w:val="single" w:sz="4" w:space="0" w:color="auto"/>
                  </w:tcBorders>
                </w:tcPr>
                <w:p w14:paraId="7A0D182C" w14:textId="77777777" w:rsidR="00CF04B4" w:rsidRPr="00C6674F" w:rsidRDefault="00CF04B4" w:rsidP="00CF04B4">
                  <w:pPr>
                    <w:jc w:val="center"/>
                    <w:rPr>
                      <w:sz w:val="20"/>
                      <w:szCs w:val="20"/>
                      <w:lang w:val="lv-LV"/>
                    </w:rPr>
                  </w:pPr>
                  <w:r w:rsidRPr="00C6674F">
                    <w:rPr>
                      <w:lang w:val="lv-LV"/>
                    </w:rPr>
                    <w:t>4 092 047</w:t>
                  </w:r>
                </w:p>
              </w:tc>
              <w:tc>
                <w:tcPr>
                  <w:tcW w:w="962" w:type="pct"/>
                  <w:tcBorders>
                    <w:top w:val="single" w:sz="4" w:space="0" w:color="auto"/>
                    <w:left w:val="single" w:sz="4" w:space="0" w:color="auto"/>
                    <w:bottom w:val="single" w:sz="4" w:space="0" w:color="auto"/>
                    <w:right w:val="single" w:sz="4" w:space="0" w:color="auto"/>
                  </w:tcBorders>
                </w:tcPr>
                <w:p w14:paraId="6365592D" w14:textId="77777777" w:rsidR="00CF04B4" w:rsidRPr="00C6674F" w:rsidRDefault="00CF04B4" w:rsidP="00CF04B4">
                  <w:pPr>
                    <w:jc w:val="center"/>
                    <w:rPr>
                      <w:sz w:val="20"/>
                      <w:szCs w:val="20"/>
                      <w:lang w:val="lv-LV"/>
                    </w:rPr>
                  </w:pPr>
                  <w:r w:rsidRPr="00C6674F">
                    <w:rPr>
                      <w:lang w:val="lv-LV"/>
                    </w:rPr>
                    <w:t>4 088 242</w:t>
                  </w:r>
                </w:p>
              </w:tc>
              <w:tc>
                <w:tcPr>
                  <w:tcW w:w="962" w:type="pct"/>
                  <w:tcBorders>
                    <w:top w:val="single" w:sz="4" w:space="0" w:color="auto"/>
                    <w:left w:val="single" w:sz="4" w:space="0" w:color="auto"/>
                    <w:bottom w:val="single" w:sz="4" w:space="0" w:color="auto"/>
                    <w:right w:val="single" w:sz="4" w:space="0" w:color="auto"/>
                  </w:tcBorders>
                </w:tcPr>
                <w:p w14:paraId="421B03AA" w14:textId="77777777" w:rsidR="00CF04B4" w:rsidRPr="00C6674F" w:rsidRDefault="00CF04B4" w:rsidP="00CF04B4">
                  <w:pPr>
                    <w:jc w:val="center"/>
                    <w:rPr>
                      <w:sz w:val="20"/>
                      <w:szCs w:val="20"/>
                      <w:lang w:val="lv-LV"/>
                    </w:rPr>
                  </w:pPr>
                  <w:r w:rsidRPr="00C6674F">
                    <w:rPr>
                      <w:lang w:val="lv-LV"/>
                    </w:rPr>
                    <w:t>4 068 429</w:t>
                  </w:r>
                </w:p>
              </w:tc>
            </w:tr>
          </w:tbl>
          <w:p w14:paraId="50E40006" w14:textId="77777777" w:rsidR="00CF04B4" w:rsidRDefault="00CF04B4" w:rsidP="00C6674F">
            <w:pPr>
              <w:jc w:val="both"/>
            </w:pPr>
          </w:p>
          <w:p w14:paraId="7721B324" w14:textId="6E67EC60" w:rsidR="00CF04B4" w:rsidRDefault="00CF04B4" w:rsidP="00C6674F">
            <w:pPr>
              <w:jc w:val="both"/>
            </w:pPr>
            <w:r>
              <w:t>Līdz ar to 2015.gadā pabalstu izmaksu nodrošināšanai nepieciešams:</w:t>
            </w:r>
          </w:p>
          <w:p w14:paraId="23E42227" w14:textId="43B690F8" w:rsidR="00CF04B4" w:rsidRDefault="00CF04B4" w:rsidP="00C6674F">
            <w:pPr>
              <w:jc w:val="both"/>
              <w:rPr>
                <w:i/>
              </w:rPr>
            </w:pPr>
            <w:r>
              <w:t xml:space="preserve">3 568 462 - 4 110 295 = 541 833 </w:t>
            </w:r>
            <w:proofErr w:type="spellStart"/>
            <w:r>
              <w:rPr>
                <w:i/>
              </w:rPr>
              <w:t>euro</w:t>
            </w:r>
            <w:proofErr w:type="spellEnd"/>
          </w:p>
          <w:p w14:paraId="1B33F4AD" w14:textId="77777777" w:rsidR="00D30038" w:rsidRDefault="00D30038" w:rsidP="00C6674F">
            <w:pPr>
              <w:jc w:val="both"/>
              <w:rPr>
                <w:i/>
              </w:rPr>
            </w:pPr>
          </w:p>
          <w:p w14:paraId="333E5423" w14:textId="0947A725" w:rsidR="00D30038" w:rsidRDefault="00D30038" w:rsidP="00C6674F">
            <w:pPr>
              <w:jc w:val="both"/>
            </w:pPr>
            <w:r>
              <w:t>2016.gadā</w:t>
            </w:r>
          </w:p>
          <w:p w14:paraId="1CE3EF04" w14:textId="45B0F2A7" w:rsidR="00D30038" w:rsidRDefault="00D30038" w:rsidP="00C6674F">
            <w:pPr>
              <w:jc w:val="both"/>
              <w:rPr>
                <w:i/>
              </w:rPr>
            </w:pPr>
            <w:r>
              <w:t xml:space="preserve">3 538 220 – 4 088 242 = 550 022 </w:t>
            </w:r>
            <w:proofErr w:type="spellStart"/>
            <w:r>
              <w:rPr>
                <w:i/>
              </w:rPr>
              <w:t>euro</w:t>
            </w:r>
            <w:proofErr w:type="spellEnd"/>
          </w:p>
          <w:p w14:paraId="3059C184" w14:textId="77777777" w:rsidR="00D30038" w:rsidRDefault="00D30038" w:rsidP="00C6674F">
            <w:pPr>
              <w:jc w:val="both"/>
              <w:rPr>
                <w:i/>
              </w:rPr>
            </w:pPr>
          </w:p>
          <w:p w14:paraId="06D2E412" w14:textId="5FFADC6C" w:rsidR="00D30038" w:rsidRDefault="00D30038" w:rsidP="00C6674F">
            <w:pPr>
              <w:jc w:val="both"/>
            </w:pPr>
            <w:r>
              <w:t>2017.gadā</w:t>
            </w:r>
          </w:p>
          <w:p w14:paraId="35E6F47A" w14:textId="786287C1" w:rsidR="00D30038" w:rsidRDefault="00D30038" w:rsidP="00C6674F">
            <w:pPr>
              <w:jc w:val="both"/>
              <w:rPr>
                <w:i/>
              </w:rPr>
            </w:pPr>
            <w:r>
              <w:t xml:space="preserve">3 518 407 – 4 068 429 = 550 022 </w:t>
            </w:r>
            <w:proofErr w:type="spellStart"/>
            <w:r>
              <w:rPr>
                <w:i/>
              </w:rPr>
              <w:t>euro</w:t>
            </w:r>
            <w:proofErr w:type="spellEnd"/>
          </w:p>
          <w:p w14:paraId="2CD04248" w14:textId="77777777" w:rsidR="00D30038" w:rsidRDefault="00D30038" w:rsidP="00C6674F">
            <w:pPr>
              <w:jc w:val="both"/>
              <w:rPr>
                <w:i/>
              </w:rPr>
            </w:pPr>
          </w:p>
          <w:p w14:paraId="1EAFC58F" w14:textId="77777777" w:rsidR="00D30038" w:rsidRDefault="00D30038" w:rsidP="00D30038">
            <w:pPr>
              <w:jc w:val="both"/>
            </w:pPr>
            <w:r>
              <w:t xml:space="preserve">Atbilstoši MK 2014.gada 10.novembra sēdes protokola Nr. 61, 28.§ 10.punktam valsts sociālā pabalsta Černobiļas atomelektrostacijas avārijas seku likvidēšanas dalībniekiem un mirušo Černobiļas atomelektrostacijas avārijas seku likvidēšanas dalībnieku ģimenes locekļiem nodrošināšanai 2015.gadā saistībā ar avansa maksājumiem 2014.gadā samazināti izdevumi 18 248 </w:t>
            </w:r>
            <w:proofErr w:type="spellStart"/>
            <w:r w:rsidRPr="00942290">
              <w:rPr>
                <w:i/>
              </w:rPr>
              <w:t>euro</w:t>
            </w:r>
            <w:proofErr w:type="spellEnd"/>
            <w:r>
              <w:t xml:space="preserve"> apmērā.</w:t>
            </w:r>
          </w:p>
          <w:p w14:paraId="4C8B7FB9" w14:textId="77777777" w:rsidR="00D30038" w:rsidRPr="00D30038" w:rsidRDefault="00D30038" w:rsidP="00C6674F">
            <w:pPr>
              <w:jc w:val="both"/>
            </w:pPr>
          </w:p>
          <w:p w14:paraId="33141B4C" w14:textId="583AC142" w:rsidR="00C6674F" w:rsidRDefault="00C6674F" w:rsidP="00C6674F">
            <w:pPr>
              <w:jc w:val="both"/>
            </w:pPr>
            <w:r>
              <w:t>Līdz ar to kopējie izdevumi likumprojektā „Par valsts budžetu 2015.gadam” plānoti šādā apmērā:</w:t>
            </w:r>
          </w:p>
          <w:p w14:paraId="2567F838" w14:textId="77777777" w:rsidR="00C6674F" w:rsidRDefault="00C6674F" w:rsidP="00C6674F">
            <w:pPr>
              <w:jc w:val="both"/>
            </w:pPr>
          </w:p>
          <w:p w14:paraId="20AA4C5F" w14:textId="77777777" w:rsidR="00C6674F" w:rsidRDefault="00C6674F" w:rsidP="00C6674F">
            <w:pPr>
              <w:jc w:val="both"/>
            </w:pPr>
            <w:r>
              <w:t xml:space="preserve">2015.gadā 3 568 462 + 541 833 - 18 248 = 4 092 047 </w:t>
            </w:r>
            <w:proofErr w:type="spellStart"/>
            <w:r w:rsidRPr="00942290">
              <w:rPr>
                <w:i/>
              </w:rPr>
              <w:t>euro</w:t>
            </w:r>
            <w:proofErr w:type="spellEnd"/>
          </w:p>
          <w:p w14:paraId="52BDF3B3" w14:textId="77777777" w:rsidR="00C6674F" w:rsidRDefault="00C6674F" w:rsidP="00C6674F">
            <w:pPr>
              <w:jc w:val="both"/>
            </w:pPr>
          </w:p>
          <w:p w14:paraId="5CAA5D52" w14:textId="77777777" w:rsidR="00C6674F" w:rsidRDefault="00C6674F" w:rsidP="00C6674F">
            <w:pPr>
              <w:jc w:val="both"/>
            </w:pPr>
            <w:r>
              <w:t>Attiecībā pret</w:t>
            </w:r>
            <w:proofErr w:type="gramStart"/>
            <w:r>
              <w:t xml:space="preserve">  </w:t>
            </w:r>
            <w:proofErr w:type="gramEnd"/>
            <w:r>
              <w:t>likumā ”Par valsts budžetu 2014.gadam”  plānotajiem izdevumiem pabalsta nodrošināšanai:</w:t>
            </w:r>
          </w:p>
          <w:p w14:paraId="0ECAEC2F" w14:textId="77777777" w:rsidR="00C6674F" w:rsidRDefault="00C6674F" w:rsidP="00C6674F">
            <w:pPr>
              <w:jc w:val="both"/>
            </w:pPr>
            <w:r>
              <w:t xml:space="preserve">2015.gads 3 752 977 – 4 092 047 =339 070 </w:t>
            </w:r>
            <w:proofErr w:type="spellStart"/>
            <w:r w:rsidRPr="00942290">
              <w:rPr>
                <w:i/>
              </w:rPr>
              <w:t>euro</w:t>
            </w:r>
            <w:proofErr w:type="spellEnd"/>
          </w:p>
          <w:p w14:paraId="19D36EF0" w14:textId="77777777" w:rsidR="00C6674F" w:rsidRDefault="00C6674F" w:rsidP="00C6674F">
            <w:pPr>
              <w:jc w:val="both"/>
            </w:pPr>
            <w:r>
              <w:t>2016.gads</w:t>
            </w:r>
            <w:proofErr w:type="gramStart"/>
            <w:r>
              <w:t xml:space="preserve">  </w:t>
            </w:r>
            <w:proofErr w:type="gramEnd"/>
            <w:r>
              <w:t xml:space="preserve">3 752 977 – 4 088 242 = 335 265 </w:t>
            </w:r>
            <w:proofErr w:type="spellStart"/>
            <w:r w:rsidRPr="00942290">
              <w:rPr>
                <w:i/>
              </w:rPr>
              <w:t>euro</w:t>
            </w:r>
            <w:proofErr w:type="spellEnd"/>
          </w:p>
          <w:p w14:paraId="29EAC188" w14:textId="42A6A122" w:rsidR="00305D3A" w:rsidRPr="00CF13B9" w:rsidRDefault="00C6674F" w:rsidP="00305D3A">
            <w:pPr>
              <w:jc w:val="both"/>
            </w:pPr>
            <w:r>
              <w:t xml:space="preserve">2017.gads 3 752 977 – 4 068 429 = 315 452 </w:t>
            </w:r>
            <w:proofErr w:type="spellStart"/>
            <w:r w:rsidRPr="00942290">
              <w:rPr>
                <w:i/>
              </w:rPr>
              <w:t>euro</w:t>
            </w:r>
            <w:proofErr w:type="spellEnd"/>
          </w:p>
        </w:tc>
      </w:tr>
      <w:tr w:rsidR="00305D3A" w:rsidRPr="00CF13B9" w14:paraId="06BD3814" w14:textId="77777777" w:rsidTr="0073585A">
        <w:tc>
          <w:tcPr>
            <w:tcW w:w="1342" w:type="pct"/>
          </w:tcPr>
          <w:p w14:paraId="1907B09F" w14:textId="783DAC9B" w:rsidR="00305D3A" w:rsidRPr="00D11BDF" w:rsidRDefault="00305D3A" w:rsidP="00305D3A">
            <w:r>
              <w:t>6.1. detalizēts ieņēmumu aprēķins</w:t>
            </w:r>
          </w:p>
        </w:tc>
        <w:tc>
          <w:tcPr>
            <w:tcW w:w="3658" w:type="pct"/>
            <w:gridSpan w:val="5"/>
            <w:vMerge/>
          </w:tcPr>
          <w:p w14:paraId="570F730A" w14:textId="77777777" w:rsidR="00305D3A" w:rsidRPr="00CF13B9" w:rsidRDefault="00305D3A" w:rsidP="00305D3A"/>
        </w:tc>
      </w:tr>
      <w:tr w:rsidR="00305D3A" w:rsidRPr="00CF13B9" w14:paraId="37DF15D6" w14:textId="77777777" w:rsidTr="0073585A">
        <w:tc>
          <w:tcPr>
            <w:tcW w:w="1342" w:type="pct"/>
          </w:tcPr>
          <w:p w14:paraId="241D0AE5" w14:textId="77777777" w:rsidR="00305D3A" w:rsidRPr="00D11BDF" w:rsidRDefault="00305D3A" w:rsidP="00305D3A">
            <w:r>
              <w:t>6.2. detalizēts izdevumu aprēķins</w:t>
            </w:r>
          </w:p>
        </w:tc>
        <w:tc>
          <w:tcPr>
            <w:tcW w:w="3658" w:type="pct"/>
            <w:gridSpan w:val="5"/>
            <w:vMerge/>
          </w:tcPr>
          <w:p w14:paraId="0937AC71" w14:textId="77777777" w:rsidR="00305D3A" w:rsidRPr="00CF13B9" w:rsidRDefault="00305D3A" w:rsidP="00305D3A"/>
        </w:tc>
      </w:tr>
      <w:tr w:rsidR="00305D3A" w:rsidRPr="00D11BDF" w14:paraId="3C12F4B7" w14:textId="77777777" w:rsidTr="0073585A">
        <w:trPr>
          <w:trHeight w:val="555"/>
        </w:trPr>
        <w:tc>
          <w:tcPr>
            <w:tcW w:w="1342" w:type="pct"/>
          </w:tcPr>
          <w:p w14:paraId="045581B8" w14:textId="77777777" w:rsidR="00305D3A" w:rsidRPr="00D11BDF" w:rsidRDefault="00305D3A" w:rsidP="00305D3A">
            <w:r>
              <w:lastRenderedPageBreak/>
              <w:t>7. Cita informācija</w:t>
            </w:r>
          </w:p>
        </w:tc>
        <w:tc>
          <w:tcPr>
            <w:tcW w:w="3658" w:type="pct"/>
            <w:gridSpan w:val="5"/>
          </w:tcPr>
          <w:p w14:paraId="2C8CCD55" w14:textId="2961087B" w:rsidR="0006302A" w:rsidRPr="008555CA" w:rsidRDefault="0006302A" w:rsidP="00166335">
            <w:pPr>
              <w:jc w:val="both"/>
              <w:rPr>
                <w:strike/>
              </w:rPr>
            </w:pPr>
            <w:r w:rsidRPr="008555CA">
              <w:rPr>
                <w:rFonts w:eastAsiaTheme="minorHAnsi"/>
              </w:rPr>
              <w:t xml:space="preserve">MK 10.11.2014. sēdē tika atbalstīta papildu finansējuma piešķiršana valsts sociālā pabalsta Černobiļas atomelektrostacijas avārijas seku likvidēšanas dalībniekiem un mirušo dalībnieku ģimenēm palielināšanai 2015.gadam 541 833 </w:t>
            </w:r>
            <w:proofErr w:type="spellStart"/>
            <w:r w:rsidRPr="008555CA">
              <w:rPr>
                <w:rFonts w:eastAsiaTheme="minorHAnsi"/>
              </w:rPr>
              <w:t>euro</w:t>
            </w:r>
            <w:proofErr w:type="spellEnd"/>
            <w:r w:rsidRPr="008555CA">
              <w:rPr>
                <w:rFonts w:eastAsiaTheme="minorHAnsi"/>
              </w:rPr>
              <w:t xml:space="preserve"> apmērā, 2016.gadam un turpmākajiem gadiem ik gadu 550 022 </w:t>
            </w:r>
            <w:proofErr w:type="spellStart"/>
            <w:r w:rsidRPr="008555CA">
              <w:rPr>
                <w:rFonts w:eastAsiaTheme="minorHAnsi"/>
              </w:rPr>
              <w:t>euro</w:t>
            </w:r>
            <w:proofErr w:type="spellEnd"/>
            <w:r w:rsidRPr="008555CA">
              <w:rPr>
                <w:rFonts w:eastAsiaTheme="minorHAnsi"/>
              </w:rPr>
              <w:t xml:space="preserve"> apmērā (MK prot. Nr.61 28.§ 3.2.apakšpunktu)</w:t>
            </w:r>
          </w:p>
          <w:p w14:paraId="5F5E348D" w14:textId="4994A15C" w:rsidR="00305D3A" w:rsidRPr="008555CA" w:rsidRDefault="002505BC" w:rsidP="00166335">
            <w:pPr>
              <w:jc w:val="both"/>
            </w:pPr>
            <w:r w:rsidRPr="008555CA">
              <w:t>Nepieciešamais p</w:t>
            </w:r>
            <w:r w:rsidR="007F39FE" w:rsidRPr="008555CA">
              <w:t xml:space="preserve">apildu finansējums </w:t>
            </w:r>
            <w:r w:rsidR="00166335" w:rsidRPr="008555CA">
              <w:t>ir</w:t>
            </w:r>
            <w:r w:rsidR="007F39FE" w:rsidRPr="008555CA">
              <w:t xml:space="preserve"> iekļauts likumprojektā “Par valsts budžetu 2015.gadam” un likumprojektā “Par vidēja termiņa budžeta ietvaru 2015., 2016. un 2017.gadam”, kuri tiks virzīti pieņemšanai Saeimā.</w:t>
            </w:r>
          </w:p>
        </w:tc>
      </w:tr>
    </w:tbl>
    <w:p w14:paraId="3E42F51C" w14:textId="77777777" w:rsidR="004B5E40" w:rsidRDefault="004B5E40" w:rsidP="004B5E40">
      <w:pPr>
        <w:pStyle w:val="tvhtmlmktable"/>
        <w:spacing w:before="0" w:beforeAutospacing="0" w:after="0" w:afterAutospacing="0"/>
      </w:pPr>
    </w:p>
    <w:p w14:paraId="39A47885" w14:textId="77777777" w:rsidR="008555CA" w:rsidRDefault="008555CA" w:rsidP="004B5E40">
      <w:pPr>
        <w:pStyle w:val="tvhtmlmktable"/>
        <w:spacing w:before="0" w:beforeAutospacing="0" w:after="0" w:afterAutospacing="0"/>
      </w:pPr>
    </w:p>
    <w:p w14:paraId="29C20AD7" w14:textId="77777777" w:rsidR="004B5E40" w:rsidRDefault="004B5E40" w:rsidP="004B5E40">
      <w:pPr>
        <w:pStyle w:val="tvhtmlmktable"/>
        <w:spacing w:before="0" w:beforeAutospacing="0" w:after="0" w:afterAutospacing="0"/>
      </w:pPr>
    </w:p>
    <w:tbl>
      <w:tblPr>
        <w:tblStyle w:val="TableGrid1"/>
        <w:tblW w:w="5000" w:type="pct"/>
        <w:tblLook w:val="0000" w:firstRow="0" w:lastRow="0" w:firstColumn="0" w:lastColumn="0" w:noHBand="0" w:noVBand="0"/>
      </w:tblPr>
      <w:tblGrid>
        <w:gridCol w:w="481"/>
        <w:gridCol w:w="2886"/>
        <w:gridCol w:w="6254"/>
      </w:tblGrid>
      <w:tr w:rsidR="004B5E40" w14:paraId="290EFC67" w14:textId="77777777" w:rsidTr="0073585A">
        <w:trPr>
          <w:trHeight w:val="420"/>
        </w:trPr>
        <w:tc>
          <w:tcPr>
            <w:tcW w:w="0" w:type="auto"/>
            <w:gridSpan w:val="3"/>
          </w:tcPr>
          <w:p w14:paraId="1426A184" w14:textId="77777777" w:rsidR="004B5E40" w:rsidRDefault="004B5E40" w:rsidP="0073585A">
            <w:pPr>
              <w:pStyle w:val="tvhtmlmktable"/>
              <w:jc w:val="center"/>
              <w:rPr>
                <w:b/>
                <w:bCs/>
              </w:rPr>
            </w:pPr>
            <w:r>
              <w:rPr>
                <w:b/>
                <w:bCs/>
              </w:rPr>
              <w:lastRenderedPageBreak/>
              <w:t>VI. Sabiedrības līdzdalība un komunikācijas aktivitātes</w:t>
            </w:r>
          </w:p>
        </w:tc>
      </w:tr>
      <w:tr w:rsidR="004B5E40" w14:paraId="249B74D4" w14:textId="77777777" w:rsidTr="0073585A">
        <w:trPr>
          <w:trHeight w:val="540"/>
        </w:trPr>
        <w:tc>
          <w:tcPr>
            <w:tcW w:w="250" w:type="pct"/>
          </w:tcPr>
          <w:p w14:paraId="3EF5BEC7" w14:textId="77777777" w:rsidR="004B5E40" w:rsidRDefault="004B5E40" w:rsidP="0073585A">
            <w:r>
              <w:t>1.</w:t>
            </w:r>
          </w:p>
        </w:tc>
        <w:tc>
          <w:tcPr>
            <w:tcW w:w="1500" w:type="pct"/>
          </w:tcPr>
          <w:p w14:paraId="74A4BD71" w14:textId="77777777" w:rsidR="004B5E40" w:rsidRDefault="004B5E40" w:rsidP="0073585A">
            <w:r>
              <w:t>Plānotās sabiedrības līdzdalības un komunikācijas aktivitātes saistībā ar projektu</w:t>
            </w:r>
          </w:p>
        </w:tc>
        <w:tc>
          <w:tcPr>
            <w:tcW w:w="3250" w:type="pct"/>
          </w:tcPr>
          <w:p w14:paraId="6F04A07E" w14:textId="692967FF" w:rsidR="004B5E40" w:rsidRDefault="004B5E40" w:rsidP="0073585A">
            <w:pPr>
              <w:ind w:firstLine="284"/>
              <w:jc w:val="both"/>
            </w:pPr>
            <w:r>
              <w:t xml:space="preserve">Izstrādes procesā </w:t>
            </w:r>
            <w:r w:rsidR="005271EC">
              <w:t xml:space="preserve">Noteikumu </w:t>
            </w:r>
            <w:r>
              <w:t xml:space="preserve">projekts tika ievietots </w:t>
            </w:r>
            <w:r w:rsidRPr="008630ED">
              <w:t>Labklājības ministrijas mājaslapā</w:t>
            </w:r>
            <w:r>
              <w:t xml:space="preserve"> </w:t>
            </w:r>
            <w:hyperlink r:id="rId9" w:history="1">
              <w:r w:rsidRPr="004D4025">
                <w:rPr>
                  <w:rStyle w:val="Hyperlink"/>
                </w:rPr>
                <w:t>www.lm.gov.lv</w:t>
              </w:r>
            </w:hyperlink>
            <w:r>
              <w:t xml:space="preserve"> sabiedrības informēšanai (viedokļa sniegšanai).</w:t>
            </w:r>
          </w:p>
          <w:p w14:paraId="1F8DF923" w14:textId="1178739B" w:rsidR="004B5E40" w:rsidRPr="00871760" w:rsidRDefault="00166335" w:rsidP="00166335">
            <w:pPr>
              <w:ind w:firstLine="284"/>
              <w:jc w:val="both"/>
            </w:pPr>
            <w:r>
              <w:t>Biedrība „</w:t>
            </w:r>
            <w:r w:rsidR="00B84BE2">
              <w:t>Latvijas savienība “</w:t>
            </w:r>
            <w:r w:rsidR="00FA134C">
              <w:t>Černobiļa</w:t>
            </w:r>
            <w:r w:rsidR="00B84BE2">
              <w:t>” (turpmāk – biedrība)</w:t>
            </w:r>
            <w:r w:rsidR="004B5E40">
              <w:t xml:space="preserve"> </w:t>
            </w:r>
            <w:r w:rsidR="00B474AF">
              <w:t xml:space="preserve">noteikumu </w:t>
            </w:r>
            <w:r w:rsidR="004B5E40">
              <w:t xml:space="preserve">projektu arī ievietoja savā mājaslapā </w:t>
            </w:r>
            <w:hyperlink r:id="rId10" w:history="1">
              <w:r w:rsidR="004B5E40" w:rsidRPr="0047538B">
                <w:rPr>
                  <w:rStyle w:val="Hyperlink"/>
                </w:rPr>
                <w:t>www.chernobyl.lv</w:t>
              </w:r>
            </w:hyperlink>
            <w:r w:rsidR="004B5E40">
              <w:t xml:space="preserve"> publiskajai apspriešanai.</w:t>
            </w:r>
          </w:p>
        </w:tc>
      </w:tr>
      <w:tr w:rsidR="004B5E40" w14:paraId="56B441BB" w14:textId="77777777" w:rsidTr="0073585A">
        <w:trPr>
          <w:trHeight w:val="330"/>
        </w:trPr>
        <w:tc>
          <w:tcPr>
            <w:tcW w:w="250" w:type="pct"/>
          </w:tcPr>
          <w:p w14:paraId="7ADDBCEF" w14:textId="77777777" w:rsidR="004B5E40" w:rsidRDefault="004B5E40" w:rsidP="0073585A">
            <w:r>
              <w:t>2.</w:t>
            </w:r>
          </w:p>
        </w:tc>
        <w:tc>
          <w:tcPr>
            <w:tcW w:w="1500" w:type="pct"/>
          </w:tcPr>
          <w:p w14:paraId="27A60773" w14:textId="77777777" w:rsidR="004B5E40" w:rsidRDefault="004B5E40" w:rsidP="0073585A">
            <w:r>
              <w:t>Sabiedrības līdzdalība projekta izstrādē</w:t>
            </w:r>
          </w:p>
        </w:tc>
        <w:tc>
          <w:tcPr>
            <w:tcW w:w="3250" w:type="pct"/>
          </w:tcPr>
          <w:p w14:paraId="5EF64F71" w14:textId="194B0181" w:rsidR="00BC1E6E" w:rsidRDefault="00BC1E6E" w:rsidP="00166335">
            <w:pPr>
              <w:ind w:firstLine="284"/>
              <w:jc w:val="both"/>
            </w:pPr>
            <w:r>
              <w:t xml:space="preserve">Par mājaslapā ievietoto dokumenta projektu sabiedrības viedoklis </w:t>
            </w:r>
            <w:proofErr w:type="gramStart"/>
            <w:r>
              <w:t>saņemts netika</w:t>
            </w:r>
            <w:proofErr w:type="gramEnd"/>
            <w:r>
              <w:t>.</w:t>
            </w:r>
          </w:p>
          <w:p w14:paraId="27788C8A" w14:textId="54F7ABDE" w:rsidR="004B5E40" w:rsidRPr="00EE4E8F" w:rsidRDefault="009A2DB5" w:rsidP="00166335">
            <w:pPr>
              <w:ind w:firstLine="284"/>
              <w:jc w:val="both"/>
            </w:pPr>
            <w:r>
              <w:t>Noteikumu p</w:t>
            </w:r>
            <w:r w:rsidR="004B5E40" w:rsidRPr="00EE4E8F">
              <w:t xml:space="preserve">rojekta izstrādes procesā </w:t>
            </w:r>
            <w:r w:rsidR="004B5E40">
              <w:t xml:space="preserve">ir </w:t>
            </w:r>
            <w:r w:rsidR="004B5E40" w:rsidRPr="00EE4E8F">
              <w:t xml:space="preserve">notikušas konsultācijas ar </w:t>
            </w:r>
            <w:r w:rsidR="00166335">
              <w:t>b</w:t>
            </w:r>
            <w:r w:rsidR="004B5E40" w:rsidRPr="00EE4E8F">
              <w:t>iedrības pārstāvjiem.</w:t>
            </w:r>
          </w:p>
        </w:tc>
      </w:tr>
      <w:tr w:rsidR="004B5E40" w14:paraId="7C52A459" w14:textId="77777777" w:rsidTr="0073585A">
        <w:trPr>
          <w:trHeight w:val="465"/>
        </w:trPr>
        <w:tc>
          <w:tcPr>
            <w:tcW w:w="250" w:type="pct"/>
          </w:tcPr>
          <w:p w14:paraId="5C4A743B" w14:textId="77777777" w:rsidR="004B5E40" w:rsidRDefault="004B5E40" w:rsidP="0073585A">
            <w:r>
              <w:t>3.</w:t>
            </w:r>
          </w:p>
        </w:tc>
        <w:tc>
          <w:tcPr>
            <w:tcW w:w="1500" w:type="pct"/>
          </w:tcPr>
          <w:p w14:paraId="2F59D859" w14:textId="77777777" w:rsidR="004B5E40" w:rsidRDefault="004B5E40" w:rsidP="0073585A">
            <w:r>
              <w:t>Sabiedrības līdzdalības rezultāti</w:t>
            </w:r>
          </w:p>
        </w:tc>
        <w:tc>
          <w:tcPr>
            <w:tcW w:w="3250" w:type="pct"/>
          </w:tcPr>
          <w:p w14:paraId="24CD8ACD" w14:textId="77777777" w:rsidR="004B5E40" w:rsidRPr="00D45186" w:rsidRDefault="004B5E40" w:rsidP="009A2DB5">
            <w:pPr>
              <w:ind w:firstLine="284"/>
              <w:jc w:val="both"/>
            </w:pPr>
            <w:r>
              <w:t>Biedrības pārstāvji</w:t>
            </w:r>
            <w:r w:rsidRPr="00361D24">
              <w:t xml:space="preserve"> </w:t>
            </w:r>
            <w:r w:rsidRPr="00702675">
              <w:t>atbalsta</w:t>
            </w:r>
            <w:r w:rsidR="009A2DB5">
              <w:t xml:space="preserve"> noteikumu projektu</w:t>
            </w:r>
            <w:r w:rsidRPr="00702675">
              <w:t>.</w:t>
            </w:r>
          </w:p>
        </w:tc>
      </w:tr>
      <w:tr w:rsidR="004B5E40" w14:paraId="02D8EC4F" w14:textId="77777777" w:rsidTr="0073585A">
        <w:trPr>
          <w:trHeight w:val="465"/>
        </w:trPr>
        <w:tc>
          <w:tcPr>
            <w:tcW w:w="250" w:type="pct"/>
          </w:tcPr>
          <w:p w14:paraId="0977EE49" w14:textId="77777777" w:rsidR="004B5E40" w:rsidRDefault="004B5E40" w:rsidP="0073585A">
            <w:r>
              <w:t>4.</w:t>
            </w:r>
          </w:p>
        </w:tc>
        <w:tc>
          <w:tcPr>
            <w:tcW w:w="1500" w:type="pct"/>
          </w:tcPr>
          <w:p w14:paraId="58FD150C" w14:textId="77777777" w:rsidR="004B5E40" w:rsidRPr="005D6344" w:rsidRDefault="004B5E40" w:rsidP="0073585A">
            <w:r w:rsidRPr="005D6344">
              <w:t>Cita informācija</w:t>
            </w:r>
          </w:p>
        </w:tc>
        <w:tc>
          <w:tcPr>
            <w:tcW w:w="3250" w:type="pct"/>
          </w:tcPr>
          <w:p w14:paraId="001D65D9" w14:textId="77777777" w:rsidR="004B5E40" w:rsidRPr="005D6344" w:rsidRDefault="004B5E40" w:rsidP="0073585A">
            <w:pPr>
              <w:pStyle w:val="tvhtmlmktable"/>
            </w:pPr>
            <w:r w:rsidRPr="005D6344">
              <w:t>Nav.</w:t>
            </w:r>
          </w:p>
        </w:tc>
      </w:tr>
    </w:tbl>
    <w:p w14:paraId="56EE4833" w14:textId="77777777" w:rsidR="004B5E40" w:rsidRDefault="004B5E40" w:rsidP="004B5E40">
      <w:pPr>
        <w:pStyle w:val="tvhtmlmktable"/>
        <w:spacing w:before="0" w:beforeAutospacing="0" w:after="0" w:afterAutospacing="0"/>
      </w:pPr>
      <w:r>
        <w:t> </w:t>
      </w:r>
    </w:p>
    <w:tbl>
      <w:tblPr>
        <w:tblStyle w:val="TableGrid1"/>
        <w:tblW w:w="5000" w:type="pct"/>
        <w:tblLook w:val="0000" w:firstRow="0" w:lastRow="0" w:firstColumn="0" w:lastColumn="0" w:noHBand="0" w:noVBand="0"/>
      </w:tblPr>
      <w:tblGrid>
        <w:gridCol w:w="481"/>
        <w:gridCol w:w="3656"/>
        <w:gridCol w:w="5484"/>
      </w:tblGrid>
      <w:tr w:rsidR="004B5E40" w14:paraId="60E07E68" w14:textId="77777777" w:rsidTr="0073585A">
        <w:trPr>
          <w:trHeight w:val="375"/>
        </w:trPr>
        <w:tc>
          <w:tcPr>
            <w:tcW w:w="0" w:type="auto"/>
            <w:gridSpan w:val="3"/>
          </w:tcPr>
          <w:p w14:paraId="0E54A8E8" w14:textId="77777777" w:rsidR="004B5E40" w:rsidRDefault="004B5E40" w:rsidP="0073585A">
            <w:pPr>
              <w:pStyle w:val="tvhtmlmktable"/>
              <w:jc w:val="center"/>
              <w:rPr>
                <w:b/>
                <w:bCs/>
              </w:rPr>
            </w:pPr>
            <w:r>
              <w:rPr>
                <w:b/>
                <w:bCs/>
              </w:rPr>
              <w:t>VII. Tiesību akta projekta izpildes nodrošināšana un tās ietekme uz institūcijām</w:t>
            </w:r>
          </w:p>
        </w:tc>
      </w:tr>
      <w:tr w:rsidR="004B5E40" w14:paraId="1CF48597" w14:textId="77777777" w:rsidTr="0073585A">
        <w:trPr>
          <w:trHeight w:val="420"/>
        </w:trPr>
        <w:tc>
          <w:tcPr>
            <w:tcW w:w="250" w:type="pct"/>
          </w:tcPr>
          <w:p w14:paraId="1F5E497B" w14:textId="77777777" w:rsidR="004B5E40" w:rsidRDefault="004B5E40" w:rsidP="0073585A">
            <w:r>
              <w:t>1.</w:t>
            </w:r>
          </w:p>
        </w:tc>
        <w:tc>
          <w:tcPr>
            <w:tcW w:w="1900" w:type="pct"/>
          </w:tcPr>
          <w:p w14:paraId="7F35A429" w14:textId="77777777" w:rsidR="004B5E40" w:rsidRDefault="004B5E40" w:rsidP="0073585A">
            <w:r>
              <w:t>Projekta izpildē iesaistītās institūcijas</w:t>
            </w:r>
          </w:p>
        </w:tc>
        <w:tc>
          <w:tcPr>
            <w:tcW w:w="2850" w:type="pct"/>
          </w:tcPr>
          <w:p w14:paraId="47E7A6BD" w14:textId="77777777" w:rsidR="004B5E40" w:rsidRPr="005D6344" w:rsidRDefault="00DC637C" w:rsidP="0073585A">
            <w:pPr>
              <w:tabs>
                <w:tab w:val="left" w:pos="1398"/>
              </w:tabs>
            </w:pPr>
            <w:r>
              <w:rPr>
                <w:iCs/>
              </w:rPr>
              <w:t>P</w:t>
            </w:r>
            <w:r w:rsidR="004B5E40" w:rsidRPr="005D6344">
              <w:rPr>
                <w:iCs/>
              </w:rPr>
              <w:t>rojekta izpildi nodrošinās VSAA.</w:t>
            </w:r>
          </w:p>
        </w:tc>
      </w:tr>
      <w:tr w:rsidR="004B5E40" w14:paraId="420C758C" w14:textId="77777777" w:rsidTr="0073585A">
        <w:trPr>
          <w:trHeight w:val="450"/>
        </w:trPr>
        <w:tc>
          <w:tcPr>
            <w:tcW w:w="250" w:type="pct"/>
          </w:tcPr>
          <w:p w14:paraId="6BB5BF07" w14:textId="77777777" w:rsidR="004B5E40" w:rsidRDefault="004B5E40" w:rsidP="0073585A">
            <w:r>
              <w:t>2.</w:t>
            </w:r>
          </w:p>
        </w:tc>
        <w:tc>
          <w:tcPr>
            <w:tcW w:w="1900" w:type="pct"/>
          </w:tcPr>
          <w:p w14:paraId="366E7331" w14:textId="77777777" w:rsidR="004B5E40" w:rsidRDefault="004B5E40" w:rsidP="0073585A">
            <w:r>
              <w:t xml:space="preserve">Projekta izpildes ietekme uz pārvaldes funkcijām un institucionālo struktūru. </w:t>
            </w:r>
          </w:p>
          <w:p w14:paraId="4645FE2F" w14:textId="77777777" w:rsidR="004B5E40" w:rsidRDefault="004B5E40" w:rsidP="0073585A">
            <w:pPr>
              <w:pStyle w:val="tvhtmlmktable"/>
            </w:pPr>
            <w:r>
              <w:t>Jaunu institūciju izveide, esošu institūciju likvidācija vai reorganizācija, to ietekme uz institūcijas cilvēkresursiem</w:t>
            </w:r>
          </w:p>
        </w:tc>
        <w:tc>
          <w:tcPr>
            <w:tcW w:w="2850" w:type="pct"/>
          </w:tcPr>
          <w:p w14:paraId="063533AF" w14:textId="77777777" w:rsidR="004B5E40" w:rsidRPr="005D6344" w:rsidRDefault="00DC637C" w:rsidP="0073585A">
            <w:pPr>
              <w:tabs>
                <w:tab w:val="left" w:pos="1398"/>
              </w:tabs>
              <w:jc w:val="both"/>
            </w:pPr>
            <w:r>
              <w:t>P</w:t>
            </w:r>
            <w:r w:rsidR="004B5E40" w:rsidRPr="005D6344">
              <w:t>rojekta izpildi VSAA nodrošinās esošo funkciju ietvaros.</w:t>
            </w:r>
          </w:p>
        </w:tc>
      </w:tr>
      <w:tr w:rsidR="004B5E40" w:rsidRPr="005D6344" w14:paraId="53E3FB90" w14:textId="77777777" w:rsidTr="0073585A">
        <w:trPr>
          <w:trHeight w:val="390"/>
        </w:trPr>
        <w:tc>
          <w:tcPr>
            <w:tcW w:w="250" w:type="pct"/>
          </w:tcPr>
          <w:p w14:paraId="730665CE" w14:textId="77777777" w:rsidR="004B5E40" w:rsidRPr="005D6344" w:rsidRDefault="004B5E40" w:rsidP="0073585A">
            <w:r w:rsidRPr="005D6344">
              <w:t>3.</w:t>
            </w:r>
          </w:p>
        </w:tc>
        <w:tc>
          <w:tcPr>
            <w:tcW w:w="1900" w:type="pct"/>
          </w:tcPr>
          <w:p w14:paraId="577C89E5" w14:textId="77777777" w:rsidR="004B5E40" w:rsidRPr="005D6344" w:rsidRDefault="004B5E40" w:rsidP="0073585A">
            <w:r w:rsidRPr="005D6344">
              <w:t>Cita informācija</w:t>
            </w:r>
          </w:p>
        </w:tc>
        <w:tc>
          <w:tcPr>
            <w:tcW w:w="2850" w:type="pct"/>
          </w:tcPr>
          <w:p w14:paraId="5FC2EBFC" w14:textId="77777777" w:rsidR="004B5E40" w:rsidRPr="005D6344" w:rsidRDefault="004B5E40" w:rsidP="0073585A">
            <w:pPr>
              <w:pStyle w:val="tvhtmlmktable"/>
              <w:tabs>
                <w:tab w:val="left" w:pos="1398"/>
              </w:tabs>
            </w:pPr>
            <w:r w:rsidRPr="005D6344">
              <w:t>Nav.</w:t>
            </w:r>
          </w:p>
        </w:tc>
      </w:tr>
    </w:tbl>
    <w:p w14:paraId="6C36950F" w14:textId="77777777" w:rsidR="00AF4446" w:rsidRDefault="00AF4446" w:rsidP="004B5E40">
      <w:pPr>
        <w:pStyle w:val="naisf"/>
        <w:spacing w:before="0" w:beforeAutospacing="0" w:after="0" w:afterAutospacing="0"/>
        <w:ind w:firstLine="720"/>
        <w:jc w:val="both"/>
      </w:pPr>
    </w:p>
    <w:p w14:paraId="050140D0" w14:textId="77777777" w:rsidR="004B5E40" w:rsidRPr="0044745E" w:rsidRDefault="0044745E" w:rsidP="000E2C81">
      <w:pPr>
        <w:pStyle w:val="naisf"/>
        <w:spacing w:before="0" w:beforeAutospacing="0" w:after="240" w:afterAutospacing="0"/>
        <w:ind w:firstLine="720"/>
        <w:jc w:val="center"/>
      </w:pPr>
      <w:r w:rsidRPr="0044745E">
        <w:t>Anotācijas IV un V sadaļa – projekts šīs jomas neskar.</w:t>
      </w:r>
    </w:p>
    <w:p w14:paraId="1C200F75" w14:textId="77777777" w:rsidR="004B5E40" w:rsidRDefault="004B5E40" w:rsidP="004B5E40">
      <w:pPr>
        <w:pStyle w:val="naisf"/>
        <w:spacing w:before="0" w:beforeAutospacing="0" w:after="0" w:afterAutospacing="0"/>
        <w:ind w:firstLine="720"/>
        <w:jc w:val="both"/>
        <w:rPr>
          <w:sz w:val="28"/>
          <w:szCs w:val="28"/>
        </w:rPr>
      </w:pPr>
    </w:p>
    <w:p w14:paraId="14FDAF35" w14:textId="77777777" w:rsidR="004B5E40" w:rsidRDefault="004B5E40" w:rsidP="004B5E40">
      <w:pPr>
        <w:pStyle w:val="naisf"/>
        <w:spacing w:before="0" w:beforeAutospacing="0" w:after="0" w:afterAutospacing="0"/>
        <w:ind w:firstLine="720"/>
        <w:jc w:val="both"/>
        <w:rPr>
          <w:sz w:val="28"/>
          <w:szCs w:val="28"/>
        </w:rPr>
      </w:pPr>
      <w:r>
        <w:rPr>
          <w:sz w:val="28"/>
          <w:szCs w:val="28"/>
        </w:rPr>
        <w:t>L</w:t>
      </w:r>
      <w:r w:rsidRPr="00166534">
        <w:rPr>
          <w:sz w:val="28"/>
          <w:szCs w:val="28"/>
        </w:rPr>
        <w:t>abklājības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U.Augulis</w:t>
      </w:r>
    </w:p>
    <w:p w14:paraId="63374477" w14:textId="77777777" w:rsidR="004B5E40" w:rsidRDefault="004B5E40" w:rsidP="004B5E40">
      <w:pPr>
        <w:pStyle w:val="Footer"/>
      </w:pPr>
    </w:p>
    <w:p w14:paraId="1EBB9B2D" w14:textId="77777777" w:rsidR="00CB79EC" w:rsidRDefault="00CB79EC" w:rsidP="004B5E40">
      <w:pPr>
        <w:rPr>
          <w:sz w:val="20"/>
          <w:szCs w:val="20"/>
        </w:rPr>
      </w:pPr>
    </w:p>
    <w:p w14:paraId="1E3CDD26" w14:textId="77777777" w:rsidR="00CB79EC" w:rsidRDefault="00CB79EC" w:rsidP="004B5E40">
      <w:pPr>
        <w:rPr>
          <w:sz w:val="20"/>
          <w:szCs w:val="20"/>
        </w:rPr>
      </w:pPr>
    </w:p>
    <w:p w14:paraId="6E934EDC" w14:textId="6FCCE049" w:rsidR="004B5E40" w:rsidRPr="00C03990" w:rsidRDefault="00D36EB4" w:rsidP="004B5E40">
      <w:pPr>
        <w:rPr>
          <w:sz w:val="20"/>
          <w:szCs w:val="20"/>
        </w:rPr>
      </w:pPr>
      <w:r w:rsidRPr="001F6C65">
        <w:rPr>
          <w:sz w:val="20"/>
          <w:szCs w:val="20"/>
        </w:rPr>
        <w:t>1</w:t>
      </w:r>
      <w:r w:rsidR="00CB79EC" w:rsidRPr="001F6C65">
        <w:rPr>
          <w:sz w:val="20"/>
          <w:szCs w:val="20"/>
        </w:rPr>
        <w:t>0</w:t>
      </w:r>
      <w:r w:rsidR="004B5E40" w:rsidRPr="001F6C65">
        <w:rPr>
          <w:sz w:val="20"/>
          <w:szCs w:val="20"/>
        </w:rPr>
        <w:t>.</w:t>
      </w:r>
      <w:r w:rsidR="00DC637C" w:rsidRPr="001F6C65">
        <w:rPr>
          <w:sz w:val="20"/>
          <w:szCs w:val="20"/>
        </w:rPr>
        <w:t>1</w:t>
      </w:r>
      <w:r w:rsidR="00EE384E" w:rsidRPr="001F6C65">
        <w:rPr>
          <w:sz w:val="20"/>
          <w:szCs w:val="20"/>
        </w:rPr>
        <w:t>2</w:t>
      </w:r>
      <w:r w:rsidR="004B5E40" w:rsidRPr="001F6C65">
        <w:rPr>
          <w:sz w:val="20"/>
          <w:szCs w:val="20"/>
        </w:rPr>
        <w:t xml:space="preserve">.2014. </w:t>
      </w:r>
      <w:r w:rsidR="00E70BDB" w:rsidRPr="001F6C65">
        <w:rPr>
          <w:sz w:val="20"/>
          <w:szCs w:val="20"/>
        </w:rPr>
        <w:t>1</w:t>
      </w:r>
      <w:r w:rsidRPr="001F6C65">
        <w:rPr>
          <w:sz w:val="20"/>
          <w:szCs w:val="20"/>
        </w:rPr>
        <w:t>3</w:t>
      </w:r>
      <w:r w:rsidR="00CB79EC" w:rsidRPr="001F6C65">
        <w:rPr>
          <w:sz w:val="20"/>
          <w:szCs w:val="20"/>
        </w:rPr>
        <w:t>:</w:t>
      </w:r>
      <w:r w:rsidRPr="001F6C65">
        <w:rPr>
          <w:sz w:val="20"/>
          <w:szCs w:val="20"/>
        </w:rPr>
        <w:t>5</w:t>
      </w:r>
      <w:r w:rsidR="001F6C65" w:rsidRPr="001F6C65">
        <w:rPr>
          <w:sz w:val="20"/>
          <w:szCs w:val="20"/>
        </w:rPr>
        <w:t>6</w:t>
      </w:r>
      <w:bookmarkStart w:id="0" w:name="_GoBack"/>
      <w:bookmarkEnd w:id="0"/>
    </w:p>
    <w:p w14:paraId="24453181" w14:textId="71ED4FF4" w:rsidR="004B5E40" w:rsidRPr="00C03990" w:rsidRDefault="00F44BAB" w:rsidP="004B5E40">
      <w:pPr>
        <w:rPr>
          <w:sz w:val="20"/>
          <w:szCs w:val="20"/>
        </w:rPr>
      </w:pPr>
      <w:r w:rsidRPr="001F6C65">
        <w:rPr>
          <w:sz w:val="20"/>
          <w:szCs w:val="20"/>
        </w:rPr>
        <w:t>1</w:t>
      </w:r>
      <w:r w:rsidR="001F6C65" w:rsidRPr="001F6C65">
        <w:rPr>
          <w:sz w:val="20"/>
          <w:szCs w:val="20"/>
        </w:rPr>
        <w:t>610</w:t>
      </w:r>
    </w:p>
    <w:p w14:paraId="0D88E4C7" w14:textId="77777777" w:rsidR="00DC637C" w:rsidRDefault="00DC637C" w:rsidP="004B5E40">
      <w:pPr>
        <w:rPr>
          <w:sz w:val="20"/>
          <w:szCs w:val="20"/>
        </w:rPr>
      </w:pPr>
      <w:r>
        <w:rPr>
          <w:sz w:val="20"/>
          <w:szCs w:val="20"/>
        </w:rPr>
        <w:t>Ž.Rācene,</w:t>
      </w:r>
      <w:r w:rsidR="004B5E40" w:rsidRPr="00C03990">
        <w:rPr>
          <w:sz w:val="20"/>
          <w:szCs w:val="20"/>
        </w:rPr>
        <w:t>670216</w:t>
      </w:r>
      <w:r>
        <w:rPr>
          <w:sz w:val="20"/>
          <w:szCs w:val="20"/>
        </w:rPr>
        <w:t>80</w:t>
      </w:r>
    </w:p>
    <w:p w14:paraId="17577EA9" w14:textId="453043F1" w:rsidR="00CE3279" w:rsidRDefault="00DC637C">
      <w:r>
        <w:rPr>
          <w:sz w:val="20"/>
          <w:szCs w:val="20"/>
        </w:rPr>
        <w:t>Zanete</w:t>
      </w:r>
      <w:r w:rsidR="004B5E40">
        <w:rPr>
          <w:sz w:val="20"/>
          <w:szCs w:val="20"/>
        </w:rPr>
        <w:t>.</w:t>
      </w:r>
      <w:r>
        <w:rPr>
          <w:sz w:val="20"/>
          <w:szCs w:val="20"/>
        </w:rPr>
        <w:t>Racene</w:t>
      </w:r>
      <w:r w:rsidR="004B5E40">
        <w:rPr>
          <w:sz w:val="20"/>
          <w:szCs w:val="20"/>
        </w:rPr>
        <w:t>@lm.gov.lv</w:t>
      </w:r>
      <w:hyperlink r:id="rId11" w:history="1"/>
    </w:p>
    <w:sectPr w:rsidR="00CE3279" w:rsidSect="00F47B32">
      <w:headerReference w:type="even" r:id="rId12"/>
      <w:headerReference w:type="default" r:id="rId13"/>
      <w:footerReference w:type="default" r:id="rId14"/>
      <w:footerReference w:type="first" r:id="rId15"/>
      <w:pgSz w:w="12240" w:h="15840"/>
      <w:pgMar w:top="1134"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81773" w14:textId="77777777" w:rsidR="004E541A" w:rsidRDefault="004E541A" w:rsidP="004B5E40">
      <w:r>
        <w:separator/>
      </w:r>
    </w:p>
  </w:endnote>
  <w:endnote w:type="continuationSeparator" w:id="0">
    <w:p w14:paraId="4A2CF0E1" w14:textId="77777777" w:rsidR="004E541A" w:rsidRDefault="004E541A" w:rsidP="004B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3AF9" w14:textId="77777777" w:rsidR="00D36EB4" w:rsidRPr="00257848" w:rsidRDefault="00D36EB4" w:rsidP="00D36EB4">
    <w:pPr>
      <w:jc w:val="both"/>
      <w:rPr>
        <w:sz w:val="20"/>
        <w:szCs w:val="20"/>
      </w:rPr>
    </w:pPr>
    <w:r w:rsidRPr="00257848">
      <w:rPr>
        <w:sz w:val="20"/>
        <w:szCs w:val="20"/>
      </w:rPr>
      <w:t>LM</w:t>
    </w:r>
    <w:r>
      <w:rPr>
        <w:sz w:val="20"/>
        <w:szCs w:val="20"/>
      </w:rPr>
      <w:t>anot</w:t>
    </w:r>
    <w:r w:rsidRPr="00257848">
      <w:rPr>
        <w:sz w:val="20"/>
        <w:szCs w:val="20"/>
      </w:rPr>
      <w:t>_</w:t>
    </w:r>
    <w:r>
      <w:rPr>
        <w:sz w:val="20"/>
        <w:szCs w:val="20"/>
      </w:rPr>
      <w:t>101214</w:t>
    </w:r>
    <w:r w:rsidRPr="00D36EB4">
      <w:rPr>
        <w:bCs/>
        <w:sz w:val="20"/>
        <w:szCs w:val="20"/>
      </w:rPr>
      <w:t>; “Grozījumi Ministru kabineta 2010.gada 30.novembra noteikumos Nr.1077 “Noteikumi par valsts sociālo pabalstu Černobiļas atomelektrostacijas avārijas seku likvidēšanas dalībniekiem un mirušo Černobiļas atomelektrostacijas avārijas seku likvidēšanas dalībnieku ģimenēm””</w:t>
    </w:r>
    <w:r>
      <w:rPr>
        <w:b/>
        <w:bCs/>
        <w:sz w:val="20"/>
        <w:szCs w:val="20"/>
      </w:rPr>
      <w:t xml:space="preserve"> </w:t>
    </w:r>
  </w:p>
  <w:p w14:paraId="22DC72EE" w14:textId="1341210A" w:rsidR="00951EB7" w:rsidRPr="00257848" w:rsidRDefault="00951EB7" w:rsidP="00951EB7">
    <w:pPr>
      <w:jc w:val="both"/>
      <w:rPr>
        <w:sz w:val="20"/>
        <w:szCs w:val="20"/>
      </w:rPr>
    </w:pPr>
  </w:p>
  <w:p w14:paraId="7E31D904" w14:textId="77777777" w:rsidR="00345A46" w:rsidRPr="00951EB7" w:rsidRDefault="004E541A" w:rsidP="00951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BD8C" w14:textId="7560AADB" w:rsidR="00345A46" w:rsidRPr="00257848" w:rsidRDefault="005A4F9A" w:rsidP="00257848">
    <w:pPr>
      <w:jc w:val="both"/>
      <w:rPr>
        <w:sz w:val="20"/>
        <w:szCs w:val="20"/>
      </w:rPr>
    </w:pPr>
    <w:r w:rsidRPr="00257848">
      <w:rPr>
        <w:sz w:val="20"/>
        <w:szCs w:val="20"/>
      </w:rPr>
      <w:t>LM</w:t>
    </w:r>
    <w:r>
      <w:rPr>
        <w:sz w:val="20"/>
        <w:szCs w:val="20"/>
      </w:rPr>
      <w:t>anot</w:t>
    </w:r>
    <w:r w:rsidRPr="00257848">
      <w:rPr>
        <w:sz w:val="20"/>
        <w:szCs w:val="20"/>
      </w:rPr>
      <w:t>_</w:t>
    </w:r>
    <w:r w:rsidR="00D36EB4">
      <w:rPr>
        <w:sz w:val="20"/>
        <w:szCs w:val="20"/>
      </w:rPr>
      <w:t>1</w:t>
    </w:r>
    <w:r w:rsidR="009D5A5F">
      <w:rPr>
        <w:sz w:val="20"/>
        <w:szCs w:val="20"/>
      </w:rPr>
      <w:t>012</w:t>
    </w:r>
    <w:r w:rsidR="00F47B32">
      <w:rPr>
        <w:sz w:val="20"/>
        <w:szCs w:val="20"/>
      </w:rPr>
      <w:t>14</w:t>
    </w:r>
    <w:r w:rsidRPr="00D36EB4">
      <w:rPr>
        <w:bCs/>
        <w:sz w:val="20"/>
        <w:szCs w:val="20"/>
      </w:rPr>
      <w:t xml:space="preserve">; </w:t>
    </w:r>
    <w:r w:rsidR="001D55B8" w:rsidRPr="00D36EB4">
      <w:rPr>
        <w:bCs/>
        <w:sz w:val="20"/>
        <w:szCs w:val="20"/>
      </w:rPr>
      <w:t>“Grozījum</w:t>
    </w:r>
    <w:r w:rsidR="006169E1" w:rsidRPr="00D36EB4">
      <w:rPr>
        <w:bCs/>
        <w:sz w:val="20"/>
        <w:szCs w:val="20"/>
      </w:rPr>
      <w:t>i</w:t>
    </w:r>
    <w:r w:rsidR="001D55B8" w:rsidRPr="00D36EB4">
      <w:rPr>
        <w:bCs/>
        <w:sz w:val="20"/>
        <w:szCs w:val="20"/>
      </w:rPr>
      <w:t xml:space="preserve"> Ministru kabineta 2010.gada 30.novembra noteikumos Nr.1077 “Noteikumi par valsts sociālo pabalstu Černobiļas atomelektrostacijas avārijas seku likvidēšanas dalībniekiem un mirušo Černobiļas atomelektrostacijas avārijas seku likvidēšanas dalībnieku ģimenēm””</w:t>
    </w:r>
    <w:r w:rsidR="001D55B8">
      <w:rPr>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C85E" w14:textId="77777777" w:rsidR="004E541A" w:rsidRDefault="004E541A" w:rsidP="004B5E40">
      <w:r>
        <w:separator/>
      </w:r>
    </w:p>
  </w:footnote>
  <w:footnote w:type="continuationSeparator" w:id="0">
    <w:p w14:paraId="59AEED9A" w14:textId="77777777" w:rsidR="004E541A" w:rsidRDefault="004E541A" w:rsidP="004B5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92F2" w14:textId="77777777" w:rsidR="00345A46" w:rsidRDefault="005A4F9A" w:rsidP="003D41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42043" w14:textId="77777777" w:rsidR="00345A46" w:rsidRDefault="004E5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E358" w14:textId="77777777" w:rsidR="00345A46" w:rsidRDefault="005A4F9A" w:rsidP="003D41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C65">
      <w:rPr>
        <w:rStyle w:val="PageNumber"/>
        <w:noProof/>
      </w:rPr>
      <w:t>7</w:t>
    </w:r>
    <w:r>
      <w:rPr>
        <w:rStyle w:val="PageNumber"/>
      </w:rPr>
      <w:fldChar w:fldCharType="end"/>
    </w:r>
  </w:p>
  <w:p w14:paraId="41847618" w14:textId="77777777" w:rsidR="00345A46" w:rsidRDefault="004E5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946"/>
    <w:multiLevelType w:val="hybridMultilevel"/>
    <w:tmpl w:val="0BA2AD8C"/>
    <w:lvl w:ilvl="0" w:tplc="8A763E6C">
      <w:start w:val="3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21921CEC"/>
    <w:multiLevelType w:val="hybridMultilevel"/>
    <w:tmpl w:val="CFA8DD44"/>
    <w:lvl w:ilvl="0" w:tplc="0770BFCE">
      <w:start w:val="1"/>
      <w:numFmt w:val="decimal"/>
      <w:lvlText w:val="%1)"/>
      <w:lvlJc w:val="left"/>
      <w:pPr>
        <w:ind w:left="824" w:hanging="540"/>
      </w:pPr>
      <w:rPr>
        <w:rFonts w:hint="default"/>
        <w:lang w:val="lv-LV"/>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60D172CF"/>
    <w:multiLevelType w:val="hybridMultilevel"/>
    <w:tmpl w:val="79182170"/>
    <w:lvl w:ilvl="0" w:tplc="0CE06E6A">
      <w:start w:val="3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C28164A"/>
    <w:multiLevelType w:val="hybridMultilevel"/>
    <w:tmpl w:val="2AE05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72625EC5"/>
    <w:multiLevelType w:val="hybridMultilevel"/>
    <w:tmpl w:val="8DEAB4D4"/>
    <w:lvl w:ilvl="0" w:tplc="F0940EFE">
      <w:start w:val="1"/>
      <w:numFmt w:val="decimal"/>
      <w:lvlText w:val="%1)"/>
      <w:lvlJc w:val="left"/>
      <w:pPr>
        <w:tabs>
          <w:tab w:val="num" w:pos="929"/>
        </w:tabs>
        <w:ind w:left="929" w:hanging="645"/>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5">
    <w:nsid w:val="770844C0"/>
    <w:multiLevelType w:val="hybridMultilevel"/>
    <w:tmpl w:val="82E897A2"/>
    <w:lvl w:ilvl="0" w:tplc="04260001">
      <w:start w:val="1"/>
      <w:numFmt w:val="bullet"/>
      <w:lvlText w:val=""/>
      <w:lvlJc w:val="left"/>
      <w:pPr>
        <w:tabs>
          <w:tab w:val="num" w:pos="1004"/>
        </w:tabs>
        <w:ind w:left="1004" w:hanging="360"/>
      </w:pPr>
      <w:rPr>
        <w:rFonts w:ascii="Symbol" w:hAnsi="Symbol"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40"/>
    <w:rsid w:val="000108E0"/>
    <w:rsid w:val="00012D4B"/>
    <w:rsid w:val="000463D0"/>
    <w:rsid w:val="000605ED"/>
    <w:rsid w:val="0006302A"/>
    <w:rsid w:val="00071181"/>
    <w:rsid w:val="00074687"/>
    <w:rsid w:val="00083FA0"/>
    <w:rsid w:val="000A7E21"/>
    <w:rsid w:val="000C126B"/>
    <w:rsid w:val="000E02FD"/>
    <w:rsid w:val="000E2C81"/>
    <w:rsid w:val="000E3BDA"/>
    <w:rsid w:val="000E4986"/>
    <w:rsid w:val="00117DD3"/>
    <w:rsid w:val="00142469"/>
    <w:rsid w:val="00165A21"/>
    <w:rsid w:val="00166335"/>
    <w:rsid w:val="00173514"/>
    <w:rsid w:val="0017495F"/>
    <w:rsid w:val="001C2FD9"/>
    <w:rsid w:val="001D55B8"/>
    <w:rsid w:val="001E4E52"/>
    <w:rsid w:val="001F6C65"/>
    <w:rsid w:val="002073ED"/>
    <w:rsid w:val="00246C13"/>
    <w:rsid w:val="002505BC"/>
    <w:rsid w:val="002C0A4C"/>
    <w:rsid w:val="0030233F"/>
    <w:rsid w:val="00305D3A"/>
    <w:rsid w:val="00365E8C"/>
    <w:rsid w:val="003A01B4"/>
    <w:rsid w:val="003A3EC2"/>
    <w:rsid w:val="003B4E18"/>
    <w:rsid w:val="00436AD3"/>
    <w:rsid w:val="004405E6"/>
    <w:rsid w:val="0044745E"/>
    <w:rsid w:val="004553D5"/>
    <w:rsid w:val="004871A4"/>
    <w:rsid w:val="00490A40"/>
    <w:rsid w:val="004B40F4"/>
    <w:rsid w:val="004B5E40"/>
    <w:rsid w:val="004D5F77"/>
    <w:rsid w:val="004E027F"/>
    <w:rsid w:val="004E541A"/>
    <w:rsid w:val="005271EC"/>
    <w:rsid w:val="00555465"/>
    <w:rsid w:val="00575FB5"/>
    <w:rsid w:val="005A4F9A"/>
    <w:rsid w:val="005A77E3"/>
    <w:rsid w:val="005E5504"/>
    <w:rsid w:val="005E6F85"/>
    <w:rsid w:val="006169E1"/>
    <w:rsid w:val="00622074"/>
    <w:rsid w:val="006239BF"/>
    <w:rsid w:val="00631603"/>
    <w:rsid w:val="00637B8C"/>
    <w:rsid w:val="00650F05"/>
    <w:rsid w:val="00663D09"/>
    <w:rsid w:val="00715F50"/>
    <w:rsid w:val="0073286D"/>
    <w:rsid w:val="00797413"/>
    <w:rsid w:val="007C7C73"/>
    <w:rsid w:val="007E1A57"/>
    <w:rsid w:val="007F39FE"/>
    <w:rsid w:val="008555CA"/>
    <w:rsid w:val="008D1577"/>
    <w:rsid w:val="008F148A"/>
    <w:rsid w:val="00942290"/>
    <w:rsid w:val="00951EB7"/>
    <w:rsid w:val="00996EC0"/>
    <w:rsid w:val="009A2DB5"/>
    <w:rsid w:val="009D5A5F"/>
    <w:rsid w:val="009E0037"/>
    <w:rsid w:val="00A0080C"/>
    <w:rsid w:val="00A01F44"/>
    <w:rsid w:val="00A04A01"/>
    <w:rsid w:val="00A123C1"/>
    <w:rsid w:val="00A14BE2"/>
    <w:rsid w:val="00A262AD"/>
    <w:rsid w:val="00A26AA5"/>
    <w:rsid w:val="00A56360"/>
    <w:rsid w:val="00AB3ACD"/>
    <w:rsid w:val="00AF05E4"/>
    <w:rsid w:val="00AF4446"/>
    <w:rsid w:val="00B1214D"/>
    <w:rsid w:val="00B21E18"/>
    <w:rsid w:val="00B474AF"/>
    <w:rsid w:val="00B84BE2"/>
    <w:rsid w:val="00BA4409"/>
    <w:rsid w:val="00BC1E6E"/>
    <w:rsid w:val="00BF46C2"/>
    <w:rsid w:val="00BF6856"/>
    <w:rsid w:val="00C5162A"/>
    <w:rsid w:val="00C6674F"/>
    <w:rsid w:val="00CB2866"/>
    <w:rsid w:val="00CB79EC"/>
    <w:rsid w:val="00CE3279"/>
    <w:rsid w:val="00CF04B4"/>
    <w:rsid w:val="00D1668E"/>
    <w:rsid w:val="00D30038"/>
    <w:rsid w:val="00D36EB4"/>
    <w:rsid w:val="00D5784D"/>
    <w:rsid w:val="00D82DA9"/>
    <w:rsid w:val="00DA12C5"/>
    <w:rsid w:val="00DC637C"/>
    <w:rsid w:val="00DF2158"/>
    <w:rsid w:val="00E027E1"/>
    <w:rsid w:val="00E15612"/>
    <w:rsid w:val="00E42587"/>
    <w:rsid w:val="00E70BDB"/>
    <w:rsid w:val="00E756E6"/>
    <w:rsid w:val="00E90B9F"/>
    <w:rsid w:val="00EC103C"/>
    <w:rsid w:val="00ED7FD1"/>
    <w:rsid w:val="00EE384E"/>
    <w:rsid w:val="00EE6A1E"/>
    <w:rsid w:val="00EF012B"/>
    <w:rsid w:val="00EF705C"/>
    <w:rsid w:val="00F04179"/>
    <w:rsid w:val="00F10D65"/>
    <w:rsid w:val="00F11216"/>
    <w:rsid w:val="00F2615C"/>
    <w:rsid w:val="00F44BAB"/>
    <w:rsid w:val="00F45F65"/>
    <w:rsid w:val="00F47B32"/>
    <w:rsid w:val="00F8254E"/>
    <w:rsid w:val="00F95BB9"/>
    <w:rsid w:val="00FA134C"/>
    <w:rsid w:val="00FC2CBF"/>
    <w:rsid w:val="00FD3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5E40"/>
    <w:rPr>
      <w:rFonts w:cs="Times New Roman"/>
      <w:color w:val="0000FF"/>
      <w:u w:val="single"/>
    </w:rPr>
  </w:style>
  <w:style w:type="table" w:styleId="TableGrid">
    <w:name w:val="Table Grid"/>
    <w:basedOn w:val="TableNormal"/>
    <w:rsid w:val="004B5E4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4B5E40"/>
    <w:pPr>
      <w:spacing w:before="100" w:beforeAutospacing="1" w:after="100" w:afterAutospacing="1"/>
    </w:pPr>
    <w:rPr>
      <w:lang w:eastAsia="lv-LV"/>
    </w:rPr>
  </w:style>
  <w:style w:type="paragraph" w:styleId="Header">
    <w:name w:val="header"/>
    <w:basedOn w:val="Normal"/>
    <w:link w:val="HeaderChar"/>
    <w:uiPriority w:val="99"/>
    <w:rsid w:val="004B5E40"/>
    <w:pPr>
      <w:tabs>
        <w:tab w:val="center" w:pos="4153"/>
        <w:tab w:val="right" w:pos="8306"/>
      </w:tabs>
    </w:pPr>
  </w:style>
  <w:style w:type="character" w:customStyle="1" w:styleId="HeaderChar">
    <w:name w:val="Header Char"/>
    <w:basedOn w:val="DefaultParagraphFont"/>
    <w:link w:val="Header"/>
    <w:uiPriority w:val="99"/>
    <w:rsid w:val="004B5E40"/>
    <w:rPr>
      <w:rFonts w:ascii="Times New Roman" w:eastAsia="Times New Roman" w:hAnsi="Times New Roman" w:cs="Times New Roman"/>
      <w:sz w:val="24"/>
      <w:szCs w:val="24"/>
    </w:rPr>
  </w:style>
  <w:style w:type="paragraph" w:styleId="Footer">
    <w:name w:val="footer"/>
    <w:basedOn w:val="Normal"/>
    <w:link w:val="FooterChar"/>
    <w:uiPriority w:val="99"/>
    <w:rsid w:val="004B5E40"/>
    <w:pPr>
      <w:tabs>
        <w:tab w:val="center" w:pos="4153"/>
        <w:tab w:val="right" w:pos="8306"/>
      </w:tabs>
    </w:pPr>
  </w:style>
  <w:style w:type="character" w:customStyle="1" w:styleId="FooterChar">
    <w:name w:val="Footer Char"/>
    <w:basedOn w:val="DefaultParagraphFont"/>
    <w:link w:val="Footer"/>
    <w:uiPriority w:val="99"/>
    <w:rsid w:val="004B5E40"/>
    <w:rPr>
      <w:rFonts w:ascii="Times New Roman" w:eastAsia="Times New Roman" w:hAnsi="Times New Roman" w:cs="Times New Roman"/>
      <w:sz w:val="24"/>
      <w:szCs w:val="24"/>
    </w:rPr>
  </w:style>
  <w:style w:type="character" w:styleId="PageNumber">
    <w:name w:val="page number"/>
    <w:basedOn w:val="DefaultParagraphFont"/>
    <w:uiPriority w:val="99"/>
    <w:rsid w:val="004B5E40"/>
    <w:rPr>
      <w:rFonts w:cs="Times New Roman"/>
    </w:rPr>
  </w:style>
  <w:style w:type="paragraph" w:styleId="CommentText">
    <w:name w:val="annotation text"/>
    <w:basedOn w:val="Normal"/>
    <w:link w:val="CommentTextChar"/>
    <w:uiPriority w:val="99"/>
    <w:semiHidden/>
    <w:rsid w:val="004B5E40"/>
    <w:rPr>
      <w:sz w:val="20"/>
      <w:szCs w:val="20"/>
    </w:rPr>
  </w:style>
  <w:style w:type="character" w:customStyle="1" w:styleId="CommentTextChar">
    <w:name w:val="Comment Text Char"/>
    <w:basedOn w:val="DefaultParagraphFont"/>
    <w:link w:val="CommentText"/>
    <w:uiPriority w:val="99"/>
    <w:semiHidden/>
    <w:rsid w:val="004B5E40"/>
    <w:rPr>
      <w:rFonts w:ascii="Times New Roman" w:eastAsia="Times New Roman" w:hAnsi="Times New Roman" w:cs="Times New Roman"/>
      <w:sz w:val="20"/>
      <w:szCs w:val="20"/>
    </w:rPr>
  </w:style>
  <w:style w:type="paragraph" w:customStyle="1" w:styleId="tvhtmlmktable">
    <w:name w:val="tv_html mk_table"/>
    <w:basedOn w:val="Normal"/>
    <w:uiPriority w:val="99"/>
    <w:rsid w:val="004B5E40"/>
    <w:pPr>
      <w:spacing w:before="100" w:beforeAutospacing="1" w:after="100" w:afterAutospacing="1"/>
    </w:pPr>
    <w:rPr>
      <w:lang w:eastAsia="lv-LV"/>
    </w:rPr>
  </w:style>
  <w:style w:type="table" w:styleId="TableGrid1">
    <w:name w:val="Table Grid 1"/>
    <w:basedOn w:val="TableNormal"/>
    <w:uiPriority w:val="99"/>
    <w:rsid w:val="004B5E40"/>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FootnoteReference">
    <w:name w:val="footnote reference"/>
    <w:aliases w:val="Footnote symbol,Footnote Reference Number,SUPERS,Footnote Refernece,ftref,Footnote Reference Superscript,Vēres atsauce"/>
    <w:basedOn w:val="DefaultParagraphFont"/>
    <w:uiPriority w:val="99"/>
    <w:semiHidden/>
    <w:rsid w:val="004B5E40"/>
    <w:rPr>
      <w:rFonts w:cs="Times New Roman"/>
      <w:vertAlign w:val="superscript"/>
    </w:rPr>
  </w:style>
  <w:style w:type="paragraph" w:customStyle="1" w:styleId="naiskr">
    <w:name w:val="naiskr"/>
    <w:basedOn w:val="Normal"/>
    <w:uiPriority w:val="99"/>
    <w:rsid w:val="004B5E40"/>
    <w:pPr>
      <w:spacing w:before="100" w:beforeAutospacing="1" w:after="100" w:afterAutospacing="1"/>
    </w:pPr>
    <w:rPr>
      <w:lang w:eastAsia="lv-LV"/>
    </w:rPr>
  </w:style>
  <w:style w:type="paragraph" w:styleId="FootnoteText">
    <w:name w:val="footnote text"/>
    <w:basedOn w:val="Normal"/>
    <w:link w:val="FootnoteTextChar"/>
    <w:uiPriority w:val="99"/>
    <w:semiHidden/>
    <w:rsid w:val="004B5E40"/>
    <w:rPr>
      <w:sz w:val="20"/>
      <w:szCs w:val="20"/>
    </w:rPr>
  </w:style>
  <w:style w:type="character" w:customStyle="1" w:styleId="FootnoteTextChar">
    <w:name w:val="Footnote Text Char"/>
    <w:basedOn w:val="DefaultParagraphFont"/>
    <w:link w:val="FootnoteText"/>
    <w:uiPriority w:val="99"/>
    <w:semiHidden/>
    <w:rsid w:val="004B5E40"/>
    <w:rPr>
      <w:rFonts w:ascii="Times New Roman" w:eastAsia="Times New Roman" w:hAnsi="Times New Roman" w:cs="Times New Roman"/>
      <w:sz w:val="20"/>
      <w:szCs w:val="20"/>
    </w:rPr>
  </w:style>
  <w:style w:type="paragraph" w:styleId="ListParagraph">
    <w:name w:val="List Paragraph"/>
    <w:basedOn w:val="Normal"/>
    <w:uiPriority w:val="99"/>
    <w:qFormat/>
    <w:rsid w:val="004B5E40"/>
    <w:pPr>
      <w:ind w:left="720"/>
      <w:contextualSpacing/>
    </w:pPr>
    <w:rPr>
      <w:rFonts w:eastAsia="MS Mincho"/>
      <w:lang w:eastAsia="ja-JP"/>
    </w:rPr>
  </w:style>
  <w:style w:type="character" w:styleId="CommentReference">
    <w:name w:val="annotation reference"/>
    <w:basedOn w:val="DefaultParagraphFont"/>
    <w:uiPriority w:val="99"/>
    <w:semiHidden/>
    <w:unhideWhenUsed/>
    <w:rsid w:val="00C6674F"/>
    <w:rPr>
      <w:sz w:val="16"/>
      <w:szCs w:val="16"/>
    </w:rPr>
  </w:style>
  <w:style w:type="paragraph" w:styleId="BalloonText">
    <w:name w:val="Balloon Text"/>
    <w:basedOn w:val="Normal"/>
    <w:link w:val="BalloonTextChar"/>
    <w:uiPriority w:val="99"/>
    <w:semiHidden/>
    <w:unhideWhenUsed/>
    <w:rsid w:val="00C66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674F"/>
    <w:rPr>
      <w:b/>
      <w:bCs/>
    </w:rPr>
  </w:style>
  <w:style w:type="character" w:customStyle="1" w:styleId="CommentSubjectChar">
    <w:name w:val="Comment Subject Char"/>
    <w:basedOn w:val="CommentTextChar"/>
    <w:link w:val="CommentSubject"/>
    <w:uiPriority w:val="99"/>
    <w:semiHidden/>
    <w:rsid w:val="00C6674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5E40"/>
    <w:rPr>
      <w:rFonts w:cs="Times New Roman"/>
      <w:color w:val="0000FF"/>
      <w:u w:val="single"/>
    </w:rPr>
  </w:style>
  <w:style w:type="table" w:styleId="TableGrid">
    <w:name w:val="Table Grid"/>
    <w:basedOn w:val="TableNormal"/>
    <w:rsid w:val="004B5E4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4B5E40"/>
    <w:pPr>
      <w:spacing w:before="100" w:beforeAutospacing="1" w:after="100" w:afterAutospacing="1"/>
    </w:pPr>
    <w:rPr>
      <w:lang w:eastAsia="lv-LV"/>
    </w:rPr>
  </w:style>
  <w:style w:type="paragraph" w:styleId="Header">
    <w:name w:val="header"/>
    <w:basedOn w:val="Normal"/>
    <w:link w:val="HeaderChar"/>
    <w:uiPriority w:val="99"/>
    <w:rsid w:val="004B5E40"/>
    <w:pPr>
      <w:tabs>
        <w:tab w:val="center" w:pos="4153"/>
        <w:tab w:val="right" w:pos="8306"/>
      </w:tabs>
    </w:pPr>
  </w:style>
  <w:style w:type="character" w:customStyle="1" w:styleId="HeaderChar">
    <w:name w:val="Header Char"/>
    <w:basedOn w:val="DefaultParagraphFont"/>
    <w:link w:val="Header"/>
    <w:uiPriority w:val="99"/>
    <w:rsid w:val="004B5E40"/>
    <w:rPr>
      <w:rFonts w:ascii="Times New Roman" w:eastAsia="Times New Roman" w:hAnsi="Times New Roman" w:cs="Times New Roman"/>
      <w:sz w:val="24"/>
      <w:szCs w:val="24"/>
    </w:rPr>
  </w:style>
  <w:style w:type="paragraph" w:styleId="Footer">
    <w:name w:val="footer"/>
    <w:basedOn w:val="Normal"/>
    <w:link w:val="FooterChar"/>
    <w:uiPriority w:val="99"/>
    <w:rsid w:val="004B5E40"/>
    <w:pPr>
      <w:tabs>
        <w:tab w:val="center" w:pos="4153"/>
        <w:tab w:val="right" w:pos="8306"/>
      </w:tabs>
    </w:pPr>
  </w:style>
  <w:style w:type="character" w:customStyle="1" w:styleId="FooterChar">
    <w:name w:val="Footer Char"/>
    <w:basedOn w:val="DefaultParagraphFont"/>
    <w:link w:val="Footer"/>
    <w:uiPriority w:val="99"/>
    <w:rsid w:val="004B5E40"/>
    <w:rPr>
      <w:rFonts w:ascii="Times New Roman" w:eastAsia="Times New Roman" w:hAnsi="Times New Roman" w:cs="Times New Roman"/>
      <w:sz w:val="24"/>
      <w:szCs w:val="24"/>
    </w:rPr>
  </w:style>
  <w:style w:type="character" w:styleId="PageNumber">
    <w:name w:val="page number"/>
    <w:basedOn w:val="DefaultParagraphFont"/>
    <w:uiPriority w:val="99"/>
    <w:rsid w:val="004B5E40"/>
    <w:rPr>
      <w:rFonts w:cs="Times New Roman"/>
    </w:rPr>
  </w:style>
  <w:style w:type="paragraph" w:styleId="CommentText">
    <w:name w:val="annotation text"/>
    <w:basedOn w:val="Normal"/>
    <w:link w:val="CommentTextChar"/>
    <w:uiPriority w:val="99"/>
    <w:semiHidden/>
    <w:rsid w:val="004B5E40"/>
    <w:rPr>
      <w:sz w:val="20"/>
      <w:szCs w:val="20"/>
    </w:rPr>
  </w:style>
  <w:style w:type="character" w:customStyle="1" w:styleId="CommentTextChar">
    <w:name w:val="Comment Text Char"/>
    <w:basedOn w:val="DefaultParagraphFont"/>
    <w:link w:val="CommentText"/>
    <w:uiPriority w:val="99"/>
    <w:semiHidden/>
    <w:rsid w:val="004B5E40"/>
    <w:rPr>
      <w:rFonts w:ascii="Times New Roman" w:eastAsia="Times New Roman" w:hAnsi="Times New Roman" w:cs="Times New Roman"/>
      <w:sz w:val="20"/>
      <w:szCs w:val="20"/>
    </w:rPr>
  </w:style>
  <w:style w:type="paragraph" w:customStyle="1" w:styleId="tvhtmlmktable">
    <w:name w:val="tv_html mk_table"/>
    <w:basedOn w:val="Normal"/>
    <w:uiPriority w:val="99"/>
    <w:rsid w:val="004B5E40"/>
    <w:pPr>
      <w:spacing w:before="100" w:beforeAutospacing="1" w:after="100" w:afterAutospacing="1"/>
    </w:pPr>
    <w:rPr>
      <w:lang w:eastAsia="lv-LV"/>
    </w:rPr>
  </w:style>
  <w:style w:type="table" w:styleId="TableGrid1">
    <w:name w:val="Table Grid 1"/>
    <w:basedOn w:val="TableNormal"/>
    <w:uiPriority w:val="99"/>
    <w:rsid w:val="004B5E40"/>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FootnoteReference">
    <w:name w:val="footnote reference"/>
    <w:aliases w:val="Footnote symbol,Footnote Reference Number,SUPERS,Footnote Refernece,ftref,Footnote Reference Superscript,Vēres atsauce"/>
    <w:basedOn w:val="DefaultParagraphFont"/>
    <w:uiPriority w:val="99"/>
    <w:semiHidden/>
    <w:rsid w:val="004B5E40"/>
    <w:rPr>
      <w:rFonts w:cs="Times New Roman"/>
      <w:vertAlign w:val="superscript"/>
    </w:rPr>
  </w:style>
  <w:style w:type="paragraph" w:customStyle="1" w:styleId="naiskr">
    <w:name w:val="naiskr"/>
    <w:basedOn w:val="Normal"/>
    <w:uiPriority w:val="99"/>
    <w:rsid w:val="004B5E40"/>
    <w:pPr>
      <w:spacing w:before="100" w:beforeAutospacing="1" w:after="100" w:afterAutospacing="1"/>
    </w:pPr>
    <w:rPr>
      <w:lang w:eastAsia="lv-LV"/>
    </w:rPr>
  </w:style>
  <w:style w:type="paragraph" w:styleId="FootnoteText">
    <w:name w:val="footnote text"/>
    <w:basedOn w:val="Normal"/>
    <w:link w:val="FootnoteTextChar"/>
    <w:uiPriority w:val="99"/>
    <w:semiHidden/>
    <w:rsid w:val="004B5E40"/>
    <w:rPr>
      <w:sz w:val="20"/>
      <w:szCs w:val="20"/>
    </w:rPr>
  </w:style>
  <w:style w:type="character" w:customStyle="1" w:styleId="FootnoteTextChar">
    <w:name w:val="Footnote Text Char"/>
    <w:basedOn w:val="DefaultParagraphFont"/>
    <w:link w:val="FootnoteText"/>
    <w:uiPriority w:val="99"/>
    <w:semiHidden/>
    <w:rsid w:val="004B5E40"/>
    <w:rPr>
      <w:rFonts w:ascii="Times New Roman" w:eastAsia="Times New Roman" w:hAnsi="Times New Roman" w:cs="Times New Roman"/>
      <w:sz w:val="20"/>
      <w:szCs w:val="20"/>
    </w:rPr>
  </w:style>
  <w:style w:type="paragraph" w:styleId="ListParagraph">
    <w:name w:val="List Paragraph"/>
    <w:basedOn w:val="Normal"/>
    <w:uiPriority w:val="99"/>
    <w:qFormat/>
    <w:rsid w:val="004B5E40"/>
    <w:pPr>
      <w:ind w:left="720"/>
      <w:contextualSpacing/>
    </w:pPr>
    <w:rPr>
      <w:rFonts w:eastAsia="MS Mincho"/>
      <w:lang w:eastAsia="ja-JP"/>
    </w:rPr>
  </w:style>
  <w:style w:type="character" w:styleId="CommentReference">
    <w:name w:val="annotation reference"/>
    <w:basedOn w:val="DefaultParagraphFont"/>
    <w:uiPriority w:val="99"/>
    <w:semiHidden/>
    <w:unhideWhenUsed/>
    <w:rsid w:val="00C6674F"/>
    <w:rPr>
      <w:sz w:val="16"/>
      <w:szCs w:val="16"/>
    </w:rPr>
  </w:style>
  <w:style w:type="paragraph" w:styleId="BalloonText">
    <w:name w:val="Balloon Text"/>
    <w:basedOn w:val="Normal"/>
    <w:link w:val="BalloonTextChar"/>
    <w:uiPriority w:val="99"/>
    <w:semiHidden/>
    <w:unhideWhenUsed/>
    <w:rsid w:val="00C66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674F"/>
    <w:rPr>
      <w:b/>
      <w:bCs/>
    </w:rPr>
  </w:style>
  <w:style w:type="character" w:customStyle="1" w:styleId="CommentSubjectChar">
    <w:name w:val="Comment Subject Char"/>
    <w:basedOn w:val="CommentTextChar"/>
    <w:link w:val="CommentSubject"/>
    <w:uiPriority w:val="99"/>
    <w:semiHidden/>
    <w:rsid w:val="00C667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a.Pure@l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ernobyl.lv" TargetMode="Externa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AE42-AAFC-4C73-891B-6903B5F6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1643</Words>
  <Characters>10814</Characters>
  <Application>Microsoft Office Word</Application>
  <DocSecurity>0</DocSecurity>
  <Lines>540</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Racene</dc:creator>
  <cp:keywords/>
  <dc:description/>
  <cp:lastModifiedBy>Zane Uzulina</cp:lastModifiedBy>
  <cp:revision>85</cp:revision>
  <cp:lastPrinted>2014-12-01T09:54:00Z</cp:lastPrinted>
  <dcterms:created xsi:type="dcterms:W3CDTF">2014-11-22T11:36:00Z</dcterms:created>
  <dcterms:modified xsi:type="dcterms:W3CDTF">2014-12-10T11:56:00Z</dcterms:modified>
</cp:coreProperties>
</file>