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F42" w:rsidRPr="00920482" w:rsidRDefault="00554F42" w:rsidP="00554F42">
      <w:pPr>
        <w:jc w:val="center"/>
        <w:rPr>
          <w:b/>
          <w:bCs/>
          <w:sz w:val="28"/>
          <w:szCs w:val="28"/>
        </w:rPr>
      </w:pPr>
      <w:r w:rsidRPr="00920482">
        <w:rPr>
          <w:b/>
          <w:bCs/>
          <w:sz w:val="28"/>
          <w:szCs w:val="28"/>
          <w:lang w:eastAsia="en-US"/>
        </w:rPr>
        <w:t>Ministru kabineta noteikumu projekta „</w:t>
      </w:r>
      <w:r>
        <w:rPr>
          <w:b/>
          <w:sz w:val="28"/>
          <w:szCs w:val="28"/>
        </w:rPr>
        <w:t>Grozījumi Ministru kabineta 1999.gada 16.februāra noteikumos Nr. 50 „Obligātās sociālās apdrošināšanas pret nelaimes gadījumiem darbā un arodslimībām apdrošināšanas atlīdzības piešķiršanas un aprēķināšanas kārtība”</w:t>
      </w:r>
      <w:r w:rsidRPr="00920482">
        <w:rPr>
          <w:b/>
          <w:bCs/>
          <w:sz w:val="28"/>
          <w:szCs w:val="28"/>
        </w:rPr>
        <w:t xml:space="preserve">” </w:t>
      </w:r>
      <w:r w:rsidRPr="00920482">
        <w:rPr>
          <w:b/>
          <w:sz w:val="28"/>
          <w:szCs w:val="28"/>
        </w:rPr>
        <w:t xml:space="preserve">sākotnējās ietekmes novērtējuma </w:t>
      </w:r>
      <w:smartTag w:uri="schemas-tilde-lv/tildestengine" w:element="veidnes">
        <w:smartTagPr>
          <w:attr w:name="text" w:val="ziņojums"/>
          <w:attr w:name="id" w:val="-1"/>
          <w:attr w:name="baseform" w:val="ziņojum|s"/>
        </w:smartTagPr>
        <w:r w:rsidRPr="00920482">
          <w:rPr>
            <w:b/>
            <w:sz w:val="28"/>
            <w:szCs w:val="28"/>
          </w:rPr>
          <w:t>ziņojums</w:t>
        </w:r>
      </w:smartTag>
      <w:r w:rsidRPr="00920482">
        <w:rPr>
          <w:b/>
          <w:sz w:val="28"/>
          <w:szCs w:val="28"/>
        </w:rPr>
        <w:t xml:space="preserve"> (anotācija)</w:t>
      </w:r>
    </w:p>
    <w:p w:rsidR="00554F42" w:rsidRPr="00920482" w:rsidRDefault="00554F42" w:rsidP="00554F42">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057"/>
        <w:gridCol w:w="5804"/>
      </w:tblGrid>
      <w:tr w:rsidR="00554F42" w:rsidRPr="00920482" w:rsidTr="00042F13">
        <w:tc>
          <w:tcPr>
            <w:tcW w:w="5000" w:type="pct"/>
            <w:gridSpan w:val="3"/>
          </w:tcPr>
          <w:p w:rsidR="00554F42" w:rsidRPr="00920482" w:rsidRDefault="00554F42" w:rsidP="00042F13">
            <w:pPr>
              <w:jc w:val="center"/>
              <w:rPr>
                <w:b/>
                <w:sz w:val="28"/>
                <w:szCs w:val="28"/>
              </w:rPr>
            </w:pPr>
            <w:r w:rsidRPr="00920482">
              <w:rPr>
                <w:b/>
                <w:sz w:val="28"/>
                <w:szCs w:val="28"/>
              </w:rPr>
              <w:t xml:space="preserve">I. Tiesību </w:t>
            </w:r>
            <w:smartTag w:uri="schemas-tilde-lv/tildestengine" w:element="veidnes">
              <w:smartTagPr>
                <w:attr w:name="text" w:val="akta"/>
                <w:attr w:name="id" w:val="-1"/>
                <w:attr w:name="baseform" w:val="akt|s"/>
              </w:smartTagPr>
              <w:r w:rsidRPr="00920482">
                <w:rPr>
                  <w:b/>
                  <w:sz w:val="28"/>
                  <w:szCs w:val="28"/>
                </w:rPr>
                <w:t>akta</w:t>
              </w:r>
            </w:smartTag>
            <w:r w:rsidRPr="00920482">
              <w:rPr>
                <w:b/>
                <w:sz w:val="28"/>
                <w:szCs w:val="28"/>
              </w:rPr>
              <w:t xml:space="preserve"> projekta izstrādes nepieciešamība</w:t>
            </w:r>
          </w:p>
        </w:tc>
      </w:tr>
      <w:tr w:rsidR="00554F42" w:rsidRPr="00920482" w:rsidTr="00042F13">
        <w:tc>
          <w:tcPr>
            <w:tcW w:w="213" w:type="pct"/>
          </w:tcPr>
          <w:p w:rsidR="00554F42" w:rsidRPr="00920482" w:rsidRDefault="00554F42" w:rsidP="00042F13">
            <w:pPr>
              <w:rPr>
                <w:sz w:val="28"/>
                <w:szCs w:val="28"/>
              </w:rPr>
            </w:pPr>
            <w:r w:rsidRPr="00920482">
              <w:rPr>
                <w:sz w:val="28"/>
                <w:szCs w:val="28"/>
              </w:rPr>
              <w:t>1.</w:t>
            </w:r>
          </w:p>
        </w:tc>
        <w:tc>
          <w:tcPr>
            <w:tcW w:w="1654" w:type="pct"/>
          </w:tcPr>
          <w:p w:rsidR="00554F42" w:rsidRPr="00920482" w:rsidRDefault="00554F42" w:rsidP="00042F13">
            <w:pPr>
              <w:rPr>
                <w:sz w:val="28"/>
                <w:szCs w:val="28"/>
              </w:rPr>
            </w:pPr>
            <w:r w:rsidRPr="00920482">
              <w:rPr>
                <w:sz w:val="28"/>
                <w:szCs w:val="28"/>
              </w:rPr>
              <w:t>Pamatojums</w:t>
            </w:r>
          </w:p>
        </w:tc>
        <w:tc>
          <w:tcPr>
            <w:tcW w:w="3133" w:type="pct"/>
          </w:tcPr>
          <w:p w:rsidR="00554F42" w:rsidRPr="00615488" w:rsidRDefault="00554F42" w:rsidP="00AB7722">
            <w:pPr>
              <w:jc w:val="both"/>
              <w:rPr>
                <w:sz w:val="28"/>
                <w:szCs w:val="28"/>
              </w:rPr>
            </w:pPr>
            <w:r w:rsidRPr="00615488">
              <w:rPr>
                <w:sz w:val="28"/>
                <w:szCs w:val="28"/>
              </w:rPr>
              <w:t>Ministru kabineta noteikumu projekts „Grozījumi Ministru kabineta 1999.gada 16.februāra noteikumos Nr.50 „Obligātās sociālās apdrošināšanas pret nelaimes gadījumiem darbā un arodslimībām apdrošināšanas atlīdzības piešķiršanas un aprēķināšanas kārtība”</w:t>
            </w:r>
            <w:r w:rsidRPr="00615488">
              <w:rPr>
                <w:bCs/>
                <w:sz w:val="28"/>
                <w:szCs w:val="28"/>
                <w:lang w:eastAsia="en-US"/>
              </w:rPr>
              <w:t xml:space="preserve">” (turpmāk noteikumu projekts) </w:t>
            </w:r>
            <w:r w:rsidRPr="00615488">
              <w:rPr>
                <w:sz w:val="28"/>
                <w:szCs w:val="28"/>
              </w:rPr>
              <w:t xml:space="preserve">izstrādāts saskaņā ar likuma „Par </w:t>
            </w:r>
            <w:r>
              <w:rPr>
                <w:sz w:val="28"/>
                <w:szCs w:val="28"/>
              </w:rPr>
              <w:t>obligāto sociālo apdrošināšanu pret nelaimes gadījumiem darbā un arodslimībām” (turpmāk – likums) 8</w:t>
            </w:r>
            <w:r w:rsidRPr="00615488">
              <w:rPr>
                <w:sz w:val="28"/>
                <w:szCs w:val="28"/>
              </w:rPr>
              <w:t>.pant</w:t>
            </w:r>
            <w:r>
              <w:rPr>
                <w:sz w:val="28"/>
                <w:szCs w:val="28"/>
              </w:rPr>
              <w:t>u pēc Labklājības ministrijas iniciatīvas, lai precizētu</w:t>
            </w:r>
            <w:r w:rsidRPr="004A47D5">
              <w:rPr>
                <w:sz w:val="28"/>
                <w:szCs w:val="28"/>
              </w:rPr>
              <w:t xml:space="preserve"> atlīdzības par darbspēju zaudējumu un atlīdzības par apgādnieka zaudējumu (turpmāk – atlīdzība)</w:t>
            </w:r>
            <w:r>
              <w:rPr>
                <w:sz w:val="28"/>
                <w:szCs w:val="28"/>
              </w:rPr>
              <w:t xml:space="preserve"> </w:t>
            </w:r>
            <w:r w:rsidR="00AB7722">
              <w:rPr>
                <w:sz w:val="28"/>
                <w:szCs w:val="28"/>
              </w:rPr>
              <w:t xml:space="preserve">pārrēķināšanas </w:t>
            </w:r>
            <w:r>
              <w:rPr>
                <w:sz w:val="28"/>
                <w:szCs w:val="28"/>
              </w:rPr>
              <w:t>kārtību.</w:t>
            </w:r>
          </w:p>
        </w:tc>
      </w:tr>
      <w:tr w:rsidR="00554F42" w:rsidRPr="00920482" w:rsidTr="00042F13">
        <w:tc>
          <w:tcPr>
            <w:tcW w:w="213" w:type="pct"/>
          </w:tcPr>
          <w:p w:rsidR="00554F42" w:rsidRPr="00920482" w:rsidRDefault="00554F42" w:rsidP="00042F13">
            <w:pPr>
              <w:rPr>
                <w:sz w:val="28"/>
                <w:szCs w:val="28"/>
              </w:rPr>
            </w:pPr>
            <w:r w:rsidRPr="00920482">
              <w:rPr>
                <w:sz w:val="28"/>
                <w:szCs w:val="28"/>
              </w:rPr>
              <w:t xml:space="preserve">2. </w:t>
            </w:r>
          </w:p>
        </w:tc>
        <w:tc>
          <w:tcPr>
            <w:tcW w:w="1654" w:type="pct"/>
          </w:tcPr>
          <w:p w:rsidR="00554F42" w:rsidRPr="00920482" w:rsidRDefault="00554F42" w:rsidP="00042F13">
            <w:pPr>
              <w:rPr>
                <w:sz w:val="28"/>
                <w:szCs w:val="28"/>
              </w:rPr>
            </w:pPr>
            <w:r w:rsidRPr="00920482">
              <w:rPr>
                <w:sz w:val="28"/>
                <w:szCs w:val="28"/>
              </w:rPr>
              <w:t>Pašreizējā situācija un problēmas, kuru risināšanai tiesību akta projekts izstrādāts, tiesiskā regulējuma mērķis un būtība</w:t>
            </w:r>
          </w:p>
        </w:tc>
        <w:tc>
          <w:tcPr>
            <w:tcW w:w="3133" w:type="pct"/>
          </w:tcPr>
          <w:p w:rsidR="00554F42" w:rsidRPr="00FA7B67" w:rsidRDefault="00554F42" w:rsidP="00BB39F5">
            <w:pPr>
              <w:jc w:val="both"/>
              <w:rPr>
                <w:sz w:val="28"/>
                <w:szCs w:val="28"/>
              </w:rPr>
            </w:pPr>
            <w:r w:rsidRPr="008742B1">
              <w:rPr>
                <w:sz w:val="28"/>
                <w:szCs w:val="28"/>
              </w:rPr>
              <w:t>Ministru kabineta 2009.gada 22.decembra noteikumi Nr.1581 „</w:t>
            </w:r>
            <w:r w:rsidRPr="008742B1">
              <w:rPr>
                <w:bCs/>
                <w:sz w:val="28"/>
                <w:szCs w:val="28"/>
              </w:rPr>
              <w:t xml:space="preserve">Valsts pensiju, atlīdzības par darbspēju zaudējumu un atlīdzības par apgādnieka zaudējumu apmēra pārskatīšanas kārtība”, kas izdoti saskaņā arī ar </w:t>
            </w:r>
            <w:r w:rsidRPr="008742B1">
              <w:rPr>
                <w:sz w:val="28"/>
                <w:szCs w:val="28"/>
              </w:rPr>
              <w:t xml:space="preserve">likuma 13.panta ceturto daļu, </w:t>
            </w:r>
            <w:r w:rsidRPr="00FA7B67">
              <w:rPr>
                <w:sz w:val="28"/>
                <w:szCs w:val="28"/>
              </w:rPr>
              <w:t xml:space="preserve">nosaka kārtību, kādā pārskata (indeksē) valsts pensijas un atlīdzības apmēru. Minēto noteikumu 6.punkts </w:t>
            </w:r>
            <w:r w:rsidR="00AB7722">
              <w:rPr>
                <w:sz w:val="28"/>
                <w:szCs w:val="28"/>
              </w:rPr>
              <w:t xml:space="preserve">faktiski </w:t>
            </w:r>
            <w:r w:rsidRPr="00FA7B67">
              <w:rPr>
                <w:sz w:val="28"/>
                <w:szCs w:val="28"/>
              </w:rPr>
              <w:t>nosaka</w:t>
            </w:r>
            <w:r w:rsidR="00AB7722">
              <w:rPr>
                <w:sz w:val="28"/>
                <w:szCs w:val="28"/>
              </w:rPr>
              <w:t>, ka, veicot atlīdzības pārrēķināšanu, ja</w:t>
            </w:r>
            <w:proofErr w:type="gramStart"/>
            <w:r w:rsidR="00AB7722">
              <w:rPr>
                <w:sz w:val="28"/>
                <w:szCs w:val="28"/>
              </w:rPr>
              <w:t xml:space="preserve"> </w:t>
            </w:r>
            <w:r w:rsidRPr="00FA7B67">
              <w:rPr>
                <w:sz w:val="28"/>
                <w:szCs w:val="28"/>
              </w:rPr>
              <w:t xml:space="preserve">  </w:t>
            </w:r>
            <w:proofErr w:type="gramEnd"/>
            <w:r w:rsidRPr="00FD2751">
              <w:rPr>
                <w:sz w:val="28"/>
                <w:szCs w:val="28"/>
              </w:rPr>
              <w:t>personai tiek mainīti darbspēju zaudējuma procenti vai mainās apgādājamo skaits</w:t>
            </w:r>
            <w:r w:rsidR="00AB7722">
              <w:rPr>
                <w:sz w:val="28"/>
                <w:szCs w:val="28"/>
              </w:rPr>
              <w:t>, piemērojami attiecīgi indeksi</w:t>
            </w:r>
            <w:r w:rsidRPr="00FD2751">
              <w:rPr>
                <w:sz w:val="28"/>
                <w:szCs w:val="28"/>
              </w:rPr>
              <w:t>.</w:t>
            </w:r>
            <w:r w:rsidR="00AB7722">
              <w:rPr>
                <w:sz w:val="28"/>
                <w:szCs w:val="28"/>
              </w:rPr>
              <w:t xml:space="preserve"> Proti, šis punkts nosaka atlīdzības pārrēķināšanu.</w:t>
            </w:r>
            <w:r w:rsidR="00BB39F5">
              <w:rPr>
                <w:sz w:val="28"/>
                <w:szCs w:val="28"/>
              </w:rPr>
              <w:t xml:space="preserve"> </w:t>
            </w:r>
            <w:r w:rsidRPr="008742B1">
              <w:rPr>
                <w:sz w:val="28"/>
                <w:szCs w:val="28"/>
              </w:rPr>
              <w:t xml:space="preserve">Atbilstoši grozījumiem likumā, kas </w:t>
            </w:r>
            <w:r w:rsidRPr="008742B1">
              <w:rPr>
                <w:color w:val="000000"/>
                <w:sz w:val="28"/>
                <w:szCs w:val="28"/>
              </w:rPr>
              <w:t>Saeimā</w:t>
            </w:r>
            <w:r w:rsidRPr="008742B1">
              <w:rPr>
                <w:sz w:val="28"/>
                <w:szCs w:val="28"/>
              </w:rPr>
              <w:t xml:space="preserve"> pieņemti </w:t>
            </w:r>
            <w:r w:rsidRPr="008742B1">
              <w:rPr>
                <w:color w:val="000000"/>
                <w:sz w:val="28"/>
                <w:szCs w:val="28"/>
              </w:rPr>
              <w:t>2014.gada 3.aprīlī,</w:t>
            </w:r>
            <w:r w:rsidRPr="008742B1">
              <w:rPr>
                <w:sz w:val="28"/>
                <w:szCs w:val="28"/>
              </w:rPr>
              <w:t xml:space="preserve"> likuma </w:t>
            </w:r>
            <w:r w:rsidRPr="008742B1">
              <w:rPr>
                <w:color w:val="000000"/>
                <w:sz w:val="28"/>
                <w:szCs w:val="28"/>
              </w:rPr>
              <w:t xml:space="preserve">13.panta ceturtā daļa ir izteikta jaunā redakcijā, izslēdzot deleģējumu Ministru kabinetam izdot noteikumus par atlīdzību pārskatīšanu, bet nosakot, ka atlīdzības pārskata atbilstoši noteikumiem, kādi likumā „Par valsts pensijām” noteikti valsts pensiju pārskatīšanai. Savukārt grozījumi likumā „Par </w:t>
            </w:r>
            <w:r w:rsidRPr="008742B1">
              <w:rPr>
                <w:color w:val="000000"/>
                <w:sz w:val="28"/>
                <w:szCs w:val="28"/>
              </w:rPr>
              <w:lastRenderedPageBreak/>
              <w:t xml:space="preserve">valsts pensijām”, kas arī tika Saeimā pieņemti 2014.gada 3.aprīlī, paredz, ka </w:t>
            </w:r>
            <w:r w:rsidRPr="008742B1">
              <w:rPr>
                <w:rFonts w:eastAsia="Calibri"/>
                <w:sz w:val="28"/>
                <w:szCs w:val="28"/>
              </w:rPr>
              <w:t xml:space="preserve">Ministru kabinets nosaka valsts pensiju pārskatīšanā piemērojamā faktiskā patēriņa cenu indeksa un iemaksu algas indeksa noteikšanas kārtību, kā arī valsts pensiju pārskatīšanas kārtību. </w:t>
            </w:r>
            <w:r w:rsidRPr="008742B1">
              <w:rPr>
                <w:sz w:val="28"/>
                <w:szCs w:val="28"/>
              </w:rPr>
              <w:t xml:space="preserve">Vienlaikus likums „Par valsts pensijām” (pārejas noteikumu 64.punkts) nosaka, ka Ministru kabinets līdz 2014.gada 1.augustam izstrādā noteikumus par valsts pensiju pārskatīšanā piemērojamā faktiskā patēriņa cenu indeksa un iemaksu algas indeksa noteikšanas un valsts pensiju pārskatīšanas kārtību. Līdz minēto noteikumu spēkā stāšanās dienai piemērojami Ministru kabineta 2009.gada 22.decembra noteikumi Nr.1581 „Valsts pensiju, atlīdzības par darbspēju zaudējumu un atlīdzības par apgādnieka zaudējumu apmēra pārskatīšanas </w:t>
            </w:r>
            <w:r w:rsidRPr="00FA7B67">
              <w:rPr>
                <w:sz w:val="28"/>
                <w:szCs w:val="28"/>
              </w:rPr>
              <w:t>kārtība”, ciktāl tie nav pretrunā ar šo likumu.</w:t>
            </w:r>
          </w:p>
          <w:p w:rsidR="00554F42" w:rsidRPr="00BB39F5" w:rsidRDefault="00554F42" w:rsidP="00BB39F5">
            <w:pPr>
              <w:pStyle w:val="naisf"/>
              <w:numPr>
                <w:ilvl w:val="0"/>
                <w:numId w:val="1"/>
              </w:numPr>
              <w:spacing w:before="0" w:after="0"/>
              <w:ind w:left="0"/>
              <w:contextualSpacing/>
              <w:rPr>
                <w:sz w:val="28"/>
                <w:szCs w:val="28"/>
              </w:rPr>
            </w:pPr>
            <w:r w:rsidRPr="00FA7B67">
              <w:rPr>
                <w:color w:val="000000"/>
                <w:sz w:val="28"/>
                <w:szCs w:val="28"/>
              </w:rPr>
              <w:t xml:space="preserve">2014.gada 17.aprīlī Valsts sekretāru sanāksmē izsludināts Ministru kabineta noteikumu </w:t>
            </w:r>
            <w:r w:rsidRPr="00FD2751">
              <w:rPr>
                <w:sz w:val="28"/>
                <w:szCs w:val="28"/>
              </w:rPr>
              <w:t>projekts „Noteikumi par valsts pensijas apmēra pārskatīšanu”, kas paredz noteikt valsts pensiju pārskatīšanā piemērojamā faktiskā patēriņa cenu indeksa noteikšanas kārtību, iemaksu algas indeksa aprēķina kārtību, kā arī valsts pensiju pārskatīšanas kārtību</w:t>
            </w:r>
            <w:r w:rsidR="008742B1" w:rsidRPr="00FD2751">
              <w:rPr>
                <w:sz w:val="28"/>
                <w:szCs w:val="28"/>
              </w:rPr>
              <w:t xml:space="preserve">, t.i., </w:t>
            </w:r>
            <w:r w:rsidR="008742B1" w:rsidRPr="00BB39F5">
              <w:rPr>
                <w:sz w:val="28"/>
                <w:szCs w:val="28"/>
              </w:rPr>
              <w:t xml:space="preserve">kad </w:t>
            </w:r>
            <w:r w:rsidR="008742B1">
              <w:rPr>
                <w:sz w:val="28"/>
                <w:szCs w:val="28"/>
              </w:rPr>
              <w:t>pensijas</w:t>
            </w:r>
            <w:r w:rsidR="008742B1" w:rsidRPr="00BB39F5">
              <w:rPr>
                <w:sz w:val="28"/>
                <w:szCs w:val="28"/>
              </w:rPr>
              <w:t xml:space="preserve"> tiek pārskatītas (indeksētas) 1.oktobrī, ņemot vērā faktisko patēriņa cenu indeksu un 25% no apdrošināšanas iemaksu algas reālā pieauguma procentiem.</w:t>
            </w:r>
          </w:p>
          <w:p w:rsidR="00554F42" w:rsidRPr="00FD2751" w:rsidRDefault="00554F42" w:rsidP="00042F13">
            <w:pPr>
              <w:jc w:val="both"/>
              <w:rPr>
                <w:sz w:val="28"/>
                <w:szCs w:val="28"/>
              </w:rPr>
            </w:pPr>
            <w:r w:rsidRPr="008742B1">
              <w:rPr>
                <w:color w:val="000000"/>
                <w:sz w:val="28"/>
                <w:szCs w:val="28"/>
              </w:rPr>
              <w:t xml:space="preserve">Ņemot vērā, ka likuma 8.pants nosaka, ka atlīdzības piešķiršanas un aprēķināšanas kārtību nosaka Ministru kabinets, tad uz šī likuma pamata ir izdoti </w:t>
            </w:r>
            <w:r w:rsidRPr="008742B1">
              <w:rPr>
                <w:sz w:val="28"/>
                <w:szCs w:val="28"/>
              </w:rPr>
              <w:t>Ministru kabineta 1999.gada 16.februāra noteikumi Nr50 „Obligātās sociālās apdrošināšanas pret nelaimes gadījumiem darbā un arodslimībām apdrošināšanas atlīdzības piešķiršanas un aprēķināšanas kārtība”. Tā kā, mainoties personas darbspēju zaudējuma procentiem vai apgādājamo skaitam, atlīdzību nepieciešams pārrēķināt</w:t>
            </w:r>
            <w:r w:rsidRPr="00FA7B67">
              <w:rPr>
                <w:sz w:val="28"/>
                <w:szCs w:val="28"/>
              </w:rPr>
              <w:t xml:space="preserve">, atlīdzības </w:t>
            </w:r>
            <w:r w:rsidR="00FA7B67">
              <w:rPr>
                <w:sz w:val="28"/>
                <w:szCs w:val="28"/>
              </w:rPr>
              <w:t>pārrēķināšanas</w:t>
            </w:r>
            <w:r w:rsidR="00FA7B67" w:rsidRPr="00FA7B67">
              <w:rPr>
                <w:sz w:val="28"/>
                <w:szCs w:val="28"/>
              </w:rPr>
              <w:t xml:space="preserve"> </w:t>
            </w:r>
            <w:r w:rsidRPr="00FA7B67">
              <w:rPr>
                <w:sz w:val="28"/>
                <w:szCs w:val="28"/>
              </w:rPr>
              <w:t>kārtība</w:t>
            </w:r>
            <w:r w:rsidR="006052A8">
              <w:rPr>
                <w:sz w:val="28"/>
                <w:szCs w:val="28"/>
              </w:rPr>
              <w:t xml:space="preserve"> (t.sk., kādi indeksi piemērojami, veicot atlīdzības pārrēķinu)</w:t>
            </w:r>
            <w:r w:rsidRPr="00FA7B67">
              <w:rPr>
                <w:sz w:val="28"/>
                <w:szCs w:val="28"/>
              </w:rPr>
              <w:t xml:space="preserve"> </w:t>
            </w:r>
            <w:r w:rsidR="00FA7B67">
              <w:rPr>
                <w:sz w:val="28"/>
                <w:szCs w:val="28"/>
              </w:rPr>
              <w:lastRenderedPageBreak/>
              <w:t>nosakāma</w:t>
            </w:r>
            <w:r w:rsidR="00FA7B67" w:rsidRPr="00FA7B67">
              <w:rPr>
                <w:sz w:val="28"/>
                <w:szCs w:val="28"/>
              </w:rPr>
              <w:t xml:space="preserve"> </w:t>
            </w:r>
            <w:r w:rsidRPr="00FA7B67">
              <w:rPr>
                <w:sz w:val="28"/>
                <w:szCs w:val="28"/>
              </w:rPr>
              <w:t>šajos noteikumos.</w:t>
            </w:r>
            <w:r w:rsidR="00BB39F5">
              <w:rPr>
                <w:sz w:val="28"/>
                <w:szCs w:val="28"/>
              </w:rPr>
              <w:t xml:space="preserve"> </w:t>
            </w:r>
            <w:r w:rsidRPr="00FA7B67">
              <w:rPr>
                <w:sz w:val="28"/>
                <w:szCs w:val="28"/>
              </w:rPr>
              <w:t>Noteikumu projekts nosaka, ka atlīdzīb</w:t>
            </w:r>
            <w:r w:rsidR="002E31C6">
              <w:rPr>
                <w:sz w:val="28"/>
                <w:szCs w:val="28"/>
              </w:rPr>
              <w:t>u</w:t>
            </w:r>
            <w:r w:rsidRPr="00FA7B67">
              <w:rPr>
                <w:sz w:val="28"/>
                <w:szCs w:val="28"/>
              </w:rPr>
              <w:t xml:space="preserve"> </w:t>
            </w:r>
            <w:r w:rsidR="00FD2751">
              <w:rPr>
                <w:sz w:val="28"/>
                <w:szCs w:val="28"/>
              </w:rPr>
              <w:t>pārrēķina</w:t>
            </w:r>
            <w:r w:rsidRPr="00FD2751">
              <w:rPr>
                <w:sz w:val="28"/>
                <w:szCs w:val="28"/>
              </w:rPr>
              <w:t xml:space="preserve"> </w:t>
            </w:r>
            <w:proofErr w:type="gramStart"/>
            <w:r w:rsidRPr="00FD2751">
              <w:rPr>
                <w:sz w:val="28"/>
                <w:szCs w:val="28"/>
              </w:rPr>
              <w:t xml:space="preserve">nemainot </w:t>
            </w:r>
            <w:r w:rsidRPr="008742B1">
              <w:rPr>
                <w:sz w:val="28"/>
                <w:szCs w:val="28"/>
              </w:rPr>
              <w:t>atlīdzības piešķiršanā piemēroto vidējo apdrošināšanas iemaksu algu,</w:t>
            </w:r>
            <w:proofErr w:type="gramEnd"/>
            <w:r w:rsidRPr="008742B1">
              <w:rPr>
                <w:sz w:val="28"/>
                <w:szCs w:val="28"/>
              </w:rPr>
              <w:t xml:space="preserve"> </w:t>
            </w:r>
            <w:r w:rsidRPr="00FD2751">
              <w:rPr>
                <w:sz w:val="28"/>
                <w:szCs w:val="28"/>
              </w:rPr>
              <w:t>un ņemot vērā visus patēriņa cenu indeksus, kas atlīdzībai piemēroti pirms tās pārrēķināšanas.</w:t>
            </w:r>
          </w:p>
          <w:p w:rsidR="00554F42" w:rsidRPr="008742B1" w:rsidRDefault="00554F42" w:rsidP="00042F13">
            <w:pPr>
              <w:jc w:val="both"/>
              <w:rPr>
                <w:sz w:val="28"/>
                <w:szCs w:val="28"/>
              </w:rPr>
            </w:pPr>
            <w:r w:rsidRPr="00FD2751">
              <w:rPr>
                <w:sz w:val="28"/>
                <w:szCs w:val="28"/>
              </w:rPr>
              <w:t>Vienlaikus noteikumu projektā noteikts, ka noteikumi stājas spēkā 2014.gada 1.augustā, t.i. vienā dienā ar Ministru kabineta noteikum</w:t>
            </w:r>
            <w:r w:rsidRPr="008742B1">
              <w:rPr>
                <w:sz w:val="28"/>
                <w:szCs w:val="28"/>
              </w:rPr>
              <w:t>iem „Noteikumi par valsts pensijas apmēra pārskatīšanu”.</w:t>
            </w:r>
          </w:p>
        </w:tc>
      </w:tr>
      <w:tr w:rsidR="00554F42" w:rsidRPr="00920482" w:rsidTr="00042F13">
        <w:tc>
          <w:tcPr>
            <w:tcW w:w="213" w:type="pct"/>
          </w:tcPr>
          <w:p w:rsidR="00554F42" w:rsidRPr="00920482" w:rsidRDefault="00554F42" w:rsidP="00042F13">
            <w:pPr>
              <w:rPr>
                <w:sz w:val="28"/>
                <w:szCs w:val="28"/>
              </w:rPr>
            </w:pPr>
            <w:r w:rsidRPr="00920482">
              <w:rPr>
                <w:sz w:val="28"/>
                <w:szCs w:val="28"/>
              </w:rPr>
              <w:lastRenderedPageBreak/>
              <w:t>3.</w:t>
            </w:r>
          </w:p>
        </w:tc>
        <w:tc>
          <w:tcPr>
            <w:tcW w:w="1654" w:type="pct"/>
          </w:tcPr>
          <w:p w:rsidR="00554F42" w:rsidRPr="00920482" w:rsidRDefault="00554F42" w:rsidP="00042F13">
            <w:pPr>
              <w:rPr>
                <w:sz w:val="28"/>
                <w:szCs w:val="28"/>
              </w:rPr>
            </w:pPr>
            <w:r w:rsidRPr="00920482">
              <w:rPr>
                <w:sz w:val="28"/>
                <w:szCs w:val="28"/>
              </w:rPr>
              <w:t>Projekta izstrādē iesaistītās institūcijas</w:t>
            </w:r>
          </w:p>
        </w:tc>
        <w:tc>
          <w:tcPr>
            <w:tcW w:w="3133" w:type="pct"/>
          </w:tcPr>
          <w:p w:rsidR="00554F42" w:rsidRPr="00920482" w:rsidRDefault="00554F42" w:rsidP="00042F13">
            <w:pPr>
              <w:jc w:val="both"/>
              <w:rPr>
                <w:color w:val="FF0000"/>
                <w:sz w:val="28"/>
                <w:szCs w:val="28"/>
              </w:rPr>
            </w:pPr>
            <w:r w:rsidRPr="00920482">
              <w:rPr>
                <w:sz w:val="28"/>
                <w:szCs w:val="28"/>
              </w:rPr>
              <w:t>Valsts sociālās apdrošināšanas aģentūra (turpmāk – VSAA).</w:t>
            </w:r>
          </w:p>
        </w:tc>
      </w:tr>
      <w:tr w:rsidR="00554F42" w:rsidRPr="00920482" w:rsidTr="00042F13">
        <w:tc>
          <w:tcPr>
            <w:tcW w:w="213" w:type="pct"/>
          </w:tcPr>
          <w:p w:rsidR="00554F42" w:rsidRPr="00920482" w:rsidRDefault="00554F42" w:rsidP="00042F13">
            <w:pPr>
              <w:rPr>
                <w:sz w:val="28"/>
                <w:szCs w:val="28"/>
              </w:rPr>
            </w:pPr>
            <w:r w:rsidRPr="00920482">
              <w:rPr>
                <w:sz w:val="28"/>
                <w:szCs w:val="28"/>
              </w:rPr>
              <w:t xml:space="preserve">4. </w:t>
            </w:r>
          </w:p>
        </w:tc>
        <w:tc>
          <w:tcPr>
            <w:tcW w:w="1654" w:type="pct"/>
          </w:tcPr>
          <w:p w:rsidR="00554F42" w:rsidRPr="00920482" w:rsidRDefault="00554F42" w:rsidP="00042F13">
            <w:pPr>
              <w:rPr>
                <w:sz w:val="28"/>
                <w:szCs w:val="28"/>
              </w:rPr>
            </w:pPr>
            <w:r w:rsidRPr="00920482">
              <w:rPr>
                <w:sz w:val="28"/>
                <w:szCs w:val="28"/>
              </w:rPr>
              <w:t>Cita informācija</w:t>
            </w:r>
          </w:p>
        </w:tc>
        <w:tc>
          <w:tcPr>
            <w:tcW w:w="3133" w:type="pct"/>
          </w:tcPr>
          <w:p w:rsidR="00554F42" w:rsidRPr="00920482" w:rsidRDefault="00554F42" w:rsidP="00042F13">
            <w:pPr>
              <w:jc w:val="both"/>
              <w:rPr>
                <w:color w:val="FF0000"/>
                <w:sz w:val="28"/>
                <w:szCs w:val="28"/>
              </w:rPr>
            </w:pPr>
            <w:r w:rsidRPr="00920482">
              <w:rPr>
                <w:sz w:val="28"/>
                <w:szCs w:val="28"/>
              </w:rPr>
              <w:t>Nav.</w:t>
            </w:r>
          </w:p>
        </w:tc>
      </w:tr>
    </w:tbl>
    <w:p w:rsidR="00554F42" w:rsidRPr="00920482" w:rsidRDefault="00554F42" w:rsidP="00554F42">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066"/>
        <w:gridCol w:w="5795"/>
      </w:tblGrid>
      <w:tr w:rsidR="00554F42" w:rsidRPr="00920482" w:rsidTr="00042F13">
        <w:tc>
          <w:tcPr>
            <w:tcW w:w="9287" w:type="dxa"/>
            <w:gridSpan w:val="3"/>
          </w:tcPr>
          <w:p w:rsidR="00554F42" w:rsidRPr="00920482" w:rsidRDefault="00554F42" w:rsidP="00042F13">
            <w:pPr>
              <w:pStyle w:val="naisnod"/>
              <w:spacing w:before="0" w:after="0"/>
              <w:ind w:left="57" w:right="57"/>
              <w:rPr>
                <w:b w:val="0"/>
                <w:sz w:val="28"/>
                <w:szCs w:val="28"/>
              </w:rPr>
            </w:pPr>
            <w:r w:rsidRPr="00920482">
              <w:rPr>
                <w:sz w:val="28"/>
                <w:szCs w:val="28"/>
              </w:rPr>
              <w:t>II.</w:t>
            </w:r>
            <w:r w:rsidRPr="00920482">
              <w:rPr>
                <w:b w:val="0"/>
                <w:sz w:val="28"/>
                <w:szCs w:val="28"/>
              </w:rPr>
              <w:t xml:space="preserve"> </w:t>
            </w:r>
            <w:r w:rsidRPr="00920482">
              <w:rPr>
                <w:sz w:val="28"/>
                <w:szCs w:val="28"/>
              </w:rPr>
              <w:t>Tiesību akta projekta ietekme uz sabiedrību, tautsaimniecības attīstību</w:t>
            </w:r>
          </w:p>
          <w:p w:rsidR="00554F42" w:rsidRPr="00920482" w:rsidRDefault="00554F42" w:rsidP="00042F13">
            <w:pPr>
              <w:jc w:val="center"/>
              <w:rPr>
                <w:b/>
                <w:sz w:val="28"/>
                <w:szCs w:val="28"/>
              </w:rPr>
            </w:pPr>
            <w:r w:rsidRPr="00920482">
              <w:rPr>
                <w:b/>
                <w:sz w:val="28"/>
                <w:szCs w:val="28"/>
              </w:rPr>
              <w:t>un administratīvo slogu</w:t>
            </w:r>
          </w:p>
        </w:tc>
      </w:tr>
      <w:tr w:rsidR="00554F42" w:rsidRPr="00920482" w:rsidTr="00042F13">
        <w:tc>
          <w:tcPr>
            <w:tcW w:w="396" w:type="dxa"/>
          </w:tcPr>
          <w:p w:rsidR="00554F42" w:rsidRPr="00920482" w:rsidRDefault="00554F42" w:rsidP="00042F13">
            <w:pPr>
              <w:rPr>
                <w:sz w:val="28"/>
                <w:szCs w:val="28"/>
              </w:rPr>
            </w:pPr>
            <w:r w:rsidRPr="00920482">
              <w:rPr>
                <w:sz w:val="28"/>
                <w:szCs w:val="28"/>
              </w:rPr>
              <w:t>1.</w:t>
            </w:r>
          </w:p>
        </w:tc>
        <w:tc>
          <w:tcPr>
            <w:tcW w:w="3072" w:type="dxa"/>
          </w:tcPr>
          <w:p w:rsidR="00554F42" w:rsidRPr="00920482" w:rsidRDefault="00554F42" w:rsidP="00042F13">
            <w:pPr>
              <w:rPr>
                <w:sz w:val="28"/>
                <w:szCs w:val="28"/>
              </w:rPr>
            </w:pPr>
            <w:r w:rsidRPr="00920482">
              <w:rPr>
                <w:sz w:val="28"/>
                <w:szCs w:val="28"/>
              </w:rPr>
              <w:t>Sabiedrības mērķgrupas, kuras tiesiskais regulējums ietekmē vai varētu ietekmēt</w:t>
            </w:r>
          </w:p>
        </w:tc>
        <w:tc>
          <w:tcPr>
            <w:tcW w:w="5819" w:type="dxa"/>
          </w:tcPr>
          <w:p w:rsidR="00554F42" w:rsidRPr="00920482" w:rsidRDefault="00554F42" w:rsidP="00042F13">
            <w:pPr>
              <w:jc w:val="both"/>
              <w:rPr>
                <w:sz w:val="28"/>
                <w:szCs w:val="28"/>
              </w:rPr>
            </w:pPr>
            <w:r w:rsidRPr="00920482">
              <w:rPr>
                <w:sz w:val="28"/>
                <w:szCs w:val="28"/>
              </w:rPr>
              <w:t>VSAA (14 teritoriālās nodaļas).</w:t>
            </w:r>
          </w:p>
        </w:tc>
      </w:tr>
      <w:tr w:rsidR="00554F42" w:rsidRPr="00920482" w:rsidTr="00042F13">
        <w:tc>
          <w:tcPr>
            <w:tcW w:w="396" w:type="dxa"/>
          </w:tcPr>
          <w:p w:rsidR="00554F42" w:rsidRPr="00920482" w:rsidRDefault="00554F42" w:rsidP="00042F13">
            <w:pPr>
              <w:rPr>
                <w:sz w:val="28"/>
                <w:szCs w:val="28"/>
              </w:rPr>
            </w:pPr>
            <w:r w:rsidRPr="00920482">
              <w:rPr>
                <w:sz w:val="28"/>
                <w:szCs w:val="28"/>
              </w:rPr>
              <w:t xml:space="preserve">2. </w:t>
            </w:r>
          </w:p>
        </w:tc>
        <w:tc>
          <w:tcPr>
            <w:tcW w:w="3072" w:type="dxa"/>
          </w:tcPr>
          <w:p w:rsidR="00554F42" w:rsidRPr="00920482" w:rsidRDefault="00554F42" w:rsidP="00042F13">
            <w:pPr>
              <w:rPr>
                <w:sz w:val="28"/>
                <w:szCs w:val="28"/>
              </w:rPr>
            </w:pPr>
            <w:r w:rsidRPr="00920482">
              <w:rPr>
                <w:sz w:val="28"/>
                <w:szCs w:val="28"/>
              </w:rPr>
              <w:t>Tiesiskā regulējuma ietekme uz tautsaimniecību un administratīvo slogu</w:t>
            </w:r>
          </w:p>
        </w:tc>
        <w:tc>
          <w:tcPr>
            <w:tcW w:w="5819" w:type="dxa"/>
          </w:tcPr>
          <w:p w:rsidR="00554F42" w:rsidRPr="00AE0D5E" w:rsidRDefault="00554F42" w:rsidP="00042F13">
            <w:pPr>
              <w:jc w:val="both"/>
              <w:rPr>
                <w:sz w:val="28"/>
                <w:szCs w:val="28"/>
              </w:rPr>
            </w:pPr>
            <w:r w:rsidRPr="00AE0D5E">
              <w:rPr>
                <w:sz w:val="28"/>
                <w:szCs w:val="28"/>
              </w:rPr>
              <w:t>Noteikumu projekta ieviešana neietekmēs administratīvo slogu, jo atlīdzības pārskatīšanā tiek saglabāta pa</w:t>
            </w:r>
            <w:r>
              <w:rPr>
                <w:sz w:val="28"/>
                <w:szCs w:val="28"/>
              </w:rPr>
              <w:t>šreizēj</w:t>
            </w:r>
            <w:r w:rsidRPr="00AE0D5E">
              <w:rPr>
                <w:sz w:val="28"/>
                <w:szCs w:val="28"/>
              </w:rPr>
              <w:t>ā kārtība.</w:t>
            </w:r>
          </w:p>
          <w:p w:rsidR="00554F42" w:rsidRPr="00AE0D5E" w:rsidRDefault="00554F42" w:rsidP="00042F13">
            <w:pPr>
              <w:jc w:val="both"/>
              <w:rPr>
                <w:sz w:val="28"/>
                <w:szCs w:val="28"/>
              </w:rPr>
            </w:pPr>
          </w:p>
        </w:tc>
      </w:tr>
      <w:tr w:rsidR="00554F42" w:rsidRPr="00920482" w:rsidTr="00042F13">
        <w:tc>
          <w:tcPr>
            <w:tcW w:w="396" w:type="dxa"/>
          </w:tcPr>
          <w:p w:rsidR="00554F42" w:rsidRPr="00920482" w:rsidRDefault="00554F42" w:rsidP="00042F13">
            <w:pPr>
              <w:rPr>
                <w:sz w:val="28"/>
                <w:szCs w:val="28"/>
              </w:rPr>
            </w:pPr>
            <w:r w:rsidRPr="00920482">
              <w:rPr>
                <w:sz w:val="28"/>
                <w:szCs w:val="28"/>
              </w:rPr>
              <w:t>3.</w:t>
            </w:r>
          </w:p>
        </w:tc>
        <w:tc>
          <w:tcPr>
            <w:tcW w:w="3072" w:type="dxa"/>
          </w:tcPr>
          <w:p w:rsidR="00554F42" w:rsidRPr="00920482" w:rsidRDefault="00554F42" w:rsidP="00042F13">
            <w:pPr>
              <w:rPr>
                <w:sz w:val="28"/>
                <w:szCs w:val="28"/>
              </w:rPr>
            </w:pPr>
            <w:r w:rsidRPr="00920482">
              <w:rPr>
                <w:sz w:val="28"/>
                <w:szCs w:val="28"/>
              </w:rPr>
              <w:t>Administratīvo izmaksu monetārs novērtējums</w:t>
            </w:r>
          </w:p>
        </w:tc>
        <w:tc>
          <w:tcPr>
            <w:tcW w:w="5819" w:type="dxa"/>
          </w:tcPr>
          <w:p w:rsidR="00554F42" w:rsidRPr="00AE0D5E" w:rsidRDefault="00554F42" w:rsidP="00042F13">
            <w:pPr>
              <w:jc w:val="both"/>
              <w:rPr>
                <w:sz w:val="28"/>
                <w:szCs w:val="28"/>
              </w:rPr>
            </w:pPr>
            <w:r w:rsidRPr="00AE0D5E">
              <w:rPr>
                <w:sz w:val="28"/>
                <w:szCs w:val="28"/>
              </w:rPr>
              <w:t>Nav attiecināms.</w:t>
            </w:r>
          </w:p>
        </w:tc>
      </w:tr>
      <w:tr w:rsidR="00554F42" w:rsidRPr="00920482" w:rsidTr="00042F13">
        <w:tc>
          <w:tcPr>
            <w:tcW w:w="396" w:type="dxa"/>
          </w:tcPr>
          <w:p w:rsidR="00554F42" w:rsidRPr="00920482" w:rsidRDefault="00554F42" w:rsidP="00042F13">
            <w:pPr>
              <w:rPr>
                <w:sz w:val="28"/>
                <w:szCs w:val="28"/>
              </w:rPr>
            </w:pPr>
            <w:r w:rsidRPr="00920482">
              <w:rPr>
                <w:sz w:val="28"/>
                <w:szCs w:val="28"/>
              </w:rPr>
              <w:t xml:space="preserve">4. </w:t>
            </w:r>
          </w:p>
        </w:tc>
        <w:tc>
          <w:tcPr>
            <w:tcW w:w="3072" w:type="dxa"/>
          </w:tcPr>
          <w:p w:rsidR="00554F42" w:rsidRPr="00920482" w:rsidRDefault="00554F42" w:rsidP="00042F13">
            <w:pPr>
              <w:rPr>
                <w:sz w:val="28"/>
                <w:szCs w:val="28"/>
              </w:rPr>
            </w:pPr>
            <w:r w:rsidRPr="00920482">
              <w:rPr>
                <w:sz w:val="28"/>
                <w:szCs w:val="28"/>
              </w:rPr>
              <w:t>Cita informācija</w:t>
            </w:r>
          </w:p>
        </w:tc>
        <w:tc>
          <w:tcPr>
            <w:tcW w:w="5819" w:type="dxa"/>
          </w:tcPr>
          <w:p w:rsidR="00554F42" w:rsidRPr="00920482" w:rsidRDefault="00554F42" w:rsidP="00042F13">
            <w:pPr>
              <w:jc w:val="both"/>
              <w:rPr>
                <w:iCs/>
                <w:color w:val="FF0000"/>
                <w:sz w:val="28"/>
                <w:szCs w:val="28"/>
              </w:rPr>
            </w:pPr>
            <w:r w:rsidRPr="00920482">
              <w:rPr>
                <w:iCs/>
                <w:sz w:val="28"/>
                <w:szCs w:val="28"/>
              </w:rPr>
              <w:t>Nav.</w:t>
            </w:r>
          </w:p>
        </w:tc>
      </w:tr>
    </w:tbl>
    <w:p w:rsidR="00554F42" w:rsidRPr="00920482" w:rsidRDefault="00554F42" w:rsidP="00554F42">
      <w:pPr>
        <w:rPr>
          <w:sz w:val="28"/>
          <w:szCs w:val="28"/>
        </w:rPr>
      </w:pPr>
    </w:p>
    <w:p w:rsidR="00554F42" w:rsidRPr="00920482" w:rsidRDefault="00554F42" w:rsidP="00554F4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065"/>
        <w:gridCol w:w="5796"/>
      </w:tblGrid>
      <w:tr w:rsidR="00554F42" w:rsidRPr="00920482" w:rsidTr="00042F13">
        <w:tc>
          <w:tcPr>
            <w:tcW w:w="9287" w:type="dxa"/>
            <w:gridSpan w:val="3"/>
          </w:tcPr>
          <w:p w:rsidR="00554F42" w:rsidRPr="00920482" w:rsidRDefault="00554F42" w:rsidP="00042F13">
            <w:pPr>
              <w:jc w:val="center"/>
              <w:rPr>
                <w:b/>
                <w:sz w:val="28"/>
                <w:szCs w:val="28"/>
              </w:rPr>
            </w:pPr>
            <w:r w:rsidRPr="00920482">
              <w:rPr>
                <w:b/>
                <w:sz w:val="28"/>
                <w:szCs w:val="28"/>
              </w:rPr>
              <w:t>VI. Sabiedrības līdzdalība un komunikācijas aktivitātes</w:t>
            </w:r>
          </w:p>
        </w:tc>
      </w:tr>
      <w:tr w:rsidR="00554F42" w:rsidRPr="00920482" w:rsidTr="00042F13">
        <w:tc>
          <w:tcPr>
            <w:tcW w:w="396" w:type="dxa"/>
          </w:tcPr>
          <w:p w:rsidR="00554F42" w:rsidRPr="00920482" w:rsidRDefault="00554F42" w:rsidP="00042F13">
            <w:pPr>
              <w:rPr>
                <w:sz w:val="28"/>
                <w:szCs w:val="28"/>
              </w:rPr>
            </w:pPr>
            <w:r w:rsidRPr="00920482">
              <w:rPr>
                <w:sz w:val="28"/>
                <w:szCs w:val="28"/>
              </w:rPr>
              <w:t xml:space="preserve">1. </w:t>
            </w:r>
          </w:p>
        </w:tc>
        <w:tc>
          <w:tcPr>
            <w:tcW w:w="3072" w:type="dxa"/>
          </w:tcPr>
          <w:p w:rsidR="00554F42" w:rsidRPr="00920482" w:rsidRDefault="00554F42" w:rsidP="00042F13">
            <w:pPr>
              <w:pStyle w:val="naiskr"/>
              <w:spacing w:before="0" w:after="0"/>
              <w:ind w:left="57" w:right="57"/>
              <w:rPr>
                <w:sz w:val="28"/>
                <w:szCs w:val="28"/>
              </w:rPr>
            </w:pPr>
            <w:r w:rsidRPr="00920482">
              <w:rPr>
                <w:sz w:val="28"/>
                <w:szCs w:val="28"/>
              </w:rPr>
              <w:t>Plānotās sabiedrības līdzdalības un komunikācijas aktivitātes saistībā ar projektu</w:t>
            </w:r>
          </w:p>
        </w:tc>
        <w:tc>
          <w:tcPr>
            <w:tcW w:w="5819" w:type="dxa"/>
          </w:tcPr>
          <w:p w:rsidR="00554F42" w:rsidRPr="00920482" w:rsidRDefault="00554F42" w:rsidP="00042F13">
            <w:pPr>
              <w:jc w:val="both"/>
              <w:rPr>
                <w:i/>
                <w:color w:val="FF0000"/>
                <w:sz w:val="28"/>
                <w:szCs w:val="28"/>
              </w:rPr>
            </w:pPr>
            <w:r w:rsidRPr="00920482">
              <w:rPr>
                <w:sz w:val="28"/>
                <w:szCs w:val="28"/>
              </w:rPr>
              <w:t xml:space="preserve">Noteikumu projekts pirms izsludināšanas Valsts sekretāru sanāksmē publicēts Labklājības ministrijas mājas lapā. </w:t>
            </w:r>
          </w:p>
        </w:tc>
      </w:tr>
      <w:tr w:rsidR="00554F42" w:rsidRPr="00920482" w:rsidTr="00042F13">
        <w:tc>
          <w:tcPr>
            <w:tcW w:w="396" w:type="dxa"/>
          </w:tcPr>
          <w:p w:rsidR="00554F42" w:rsidRPr="00920482" w:rsidRDefault="00554F42" w:rsidP="00042F13">
            <w:pPr>
              <w:rPr>
                <w:sz w:val="28"/>
                <w:szCs w:val="28"/>
              </w:rPr>
            </w:pPr>
            <w:r w:rsidRPr="00920482">
              <w:rPr>
                <w:sz w:val="28"/>
                <w:szCs w:val="28"/>
              </w:rPr>
              <w:t xml:space="preserve">2. </w:t>
            </w:r>
          </w:p>
        </w:tc>
        <w:tc>
          <w:tcPr>
            <w:tcW w:w="3072" w:type="dxa"/>
          </w:tcPr>
          <w:p w:rsidR="00554F42" w:rsidRPr="00920482" w:rsidRDefault="00554F42" w:rsidP="00042F13">
            <w:pPr>
              <w:pStyle w:val="naiskr"/>
              <w:spacing w:before="0" w:after="0"/>
              <w:ind w:left="57" w:right="57"/>
              <w:rPr>
                <w:sz w:val="28"/>
                <w:szCs w:val="28"/>
              </w:rPr>
            </w:pPr>
            <w:r w:rsidRPr="00920482">
              <w:rPr>
                <w:sz w:val="28"/>
                <w:szCs w:val="28"/>
              </w:rPr>
              <w:t xml:space="preserve">Sabiedrības līdzdalība projekta izstrādē </w:t>
            </w:r>
          </w:p>
        </w:tc>
        <w:tc>
          <w:tcPr>
            <w:tcW w:w="5819" w:type="dxa"/>
          </w:tcPr>
          <w:p w:rsidR="00554F42" w:rsidRPr="00920482" w:rsidRDefault="00554F42" w:rsidP="00042F13">
            <w:pPr>
              <w:jc w:val="both"/>
              <w:rPr>
                <w:i/>
                <w:color w:val="FF0000"/>
                <w:sz w:val="28"/>
                <w:szCs w:val="28"/>
              </w:rPr>
            </w:pPr>
            <w:r w:rsidRPr="00920482">
              <w:rPr>
                <w:sz w:val="28"/>
                <w:szCs w:val="28"/>
              </w:rPr>
              <w:t>Projekts šo jomu neskar.</w:t>
            </w:r>
          </w:p>
        </w:tc>
      </w:tr>
      <w:tr w:rsidR="00554F42" w:rsidRPr="00920482" w:rsidTr="00042F13">
        <w:tc>
          <w:tcPr>
            <w:tcW w:w="396" w:type="dxa"/>
          </w:tcPr>
          <w:p w:rsidR="00554F42" w:rsidRPr="00920482" w:rsidRDefault="00554F42" w:rsidP="00042F13">
            <w:pPr>
              <w:rPr>
                <w:sz w:val="28"/>
                <w:szCs w:val="28"/>
              </w:rPr>
            </w:pPr>
            <w:r w:rsidRPr="00920482">
              <w:rPr>
                <w:sz w:val="28"/>
                <w:szCs w:val="28"/>
              </w:rPr>
              <w:t>3.</w:t>
            </w:r>
          </w:p>
        </w:tc>
        <w:tc>
          <w:tcPr>
            <w:tcW w:w="3072" w:type="dxa"/>
          </w:tcPr>
          <w:p w:rsidR="00554F42" w:rsidRPr="00920482" w:rsidRDefault="00554F42" w:rsidP="00042F13">
            <w:pPr>
              <w:pStyle w:val="naiskr"/>
              <w:spacing w:before="0" w:after="0"/>
              <w:ind w:left="57" w:right="57"/>
              <w:rPr>
                <w:sz w:val="28"/>
                <w:szCs w:val="28"/>
              </w:rPr>
            </w:pPr>
            <w:r w:rsidRPr="00920482">
              <w:rPr>
                <w:sz w:val="28"/>
                <w:szCs w:val="28"/>
              </w:rPr>
              <w:t xml:space="preserve">Sabiedrības līdzdalības rezultāti </w:t>
            </w:r>
          </w:p>
        </w:tc>
        <w:tc>
          <w:tcPr>
            <w:tcW w:w="5819" w:type="dxa"/>
          </w:tcPr>
          <w:p w:rsidR="00554F42" w:rsidRPr="00B40FEB" w:rsidRDefault="00554F42" w:rsidP="00042F13">
            <w:pPr>
              <w:jc w:val="both"/>
              <w:rPr>
                <w:sz w:val="28"/>
                <w:szCs w:val="28"/>
              </w:rPr>
            </w:pPr>
            <w:r w:rsidRPr="00B40FEB">
              <w:rPr>
                <w:sz w:val="28"/>
                <w:szCs w:val="28"/>
              </w:rPr>
              <w:t>Līdz projekta izsludināšanai Valsts sekretāru sanāksmē sabiedrības komentāri, priekšlikumi, iebildumi par</w:t>
            </w:r>
            <w:r w:rsidR="00BB39F5">
              <w:rPr>
                <w:sz w:val="28"/>
                <w:szCs w:val="28"/>
              </w:rPr>
              <w:t xml:space="preserve"> noteikumu</w:t>
            </w:r>
            <w:r w:rsidRPr="00B40FEB">
              <w:rPr>
                <w:sz w:val="28"/>
                <w:szCs w:val="28"/>
              </w:rPr>
              <w:t xml:space="preserve"> projektu nav saņemti.</w:t>
            </w:r>
          </w:p>
        </w:tc>
      </w:tr>
      <w:tr w:rsidR="00554F42" w:rsidRPr="00920482" w:rsidTr="00042F13">
        <w:tc>
          <w:tcPr>
            <w:tcW w:w="396" w:type="dxa"/>
          </w:tcPr>
          <w:p w:rsidR="00554F42" w:rsidRPr="00920482" w:rsidRDefault="00554F42" w:rsidP="00042F13">
            <w:pPr>
              <w:rPr>
                <w:sz w:val="28"/>
                <w:szCs w:val="28"/>
              </w:rPr>
            </w:pPr>
            <w:r w:rsidRPr="00920482">
              <w:rPr>
                <w:sz w:val="28"/>
                <w:szCs w:val="28"/>
              </w:rPr>
              <w:t>4.</w:t>
            </w:r>
          </w:p>
        </w:tc>
        <w:tc>
          <w:tcPr>
            <w:tcW w:w="3072" w:type="dxa"/>
          </w:tcPr>
          <w:p w:rsidR="00554F42" w:rsidRPr="00920482" w:rsidRDefault="00554F42" w:rsidP="00BB39F5">
            <w:pPr>
              <w:pStyle w:val="naiskr"/>
              <w:spacing w:before="0" w:after="0"/>
              <w:ind w:left="57" w:right="57"/>
              <w:rPr>
                <w:sz w:val="28"/>
                <w:szCs w:val="28"/>
              </w:rPr>
            </w:pPr>
            <w:r w:rsidRPr="00920482">
              <w:rPr>
                <w:sz w:val="28"/>
                <w:szCs w:val="28"/>
              </w:rPr>
              <w:t>Cita informācija</w:t>
            </w:r>
          </w:p>
        </w:tc>
        <w:tc>
          <w:tcPr>
            <w:tcW w:w="5819" w:type="dxa"/>
          </w:tcPr>
          <w:p w:rsidR="00554F42" w:rsidRPr="00920482" w:rsidRDefault="00554F42" w:rsidP="00042F13">
            <w:pPr>
              <w:jc w:val="both"/>
              <w:rPr>
                <w:sz w:val="28"/>
                <w:szCs w:val="28"/>
              </w:rPr>
            </w:pPr>
            <w:r w:rsidRPr="00920482">
              <w:rPr>
                <w:sz w:val="28"/>
                <w:szCs w:val="28"/>
              </w:rPr>
              <w:t>Nav.</w:t>
            </w:r>
          </w:p>
        </w:tc>
      </w:tr>
    </w:tbl>
    <w:p w:rsidR="00554F42" w:rsidRPr="00920482" w:rsidRDefault="00554F42" w:rsidP="00554F42">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066"/>
        <w:gridCol w:w="5795"/>
      </w:tblGrid>
      <w:tr w:rsidR="00554F42" w:rsidRPr="00920482" w:rsidTr="00042F13">
        <w:tc>
          <w:tcPr>
            <w:tcW w:w="9287" w:type="dxa"/>
            <w:gridSpan w:val="3"/>
          </w:tcPr>
          <w:p w:rsidR="00554F42" w:rsidRPr="00920482" w:rsidRDefault="00554F42" w:rsidP="00042F13">
            <w:pPr>
              <w:jc w:val="center"/>
              <w:rPr>
                <w:b/>
                <w:sz w:val="28"/>
                <w:szCs w:val="28"/>
              </w:rPr>
            </w:pPr>
            <w:r w:rsidRPr="00920482">
              <w:rPr>
                <w:b/>
                <w:sz w:val="28"/>
                <w:szCs w:val="28"/>
              </w:rPr>
              <w:t>VII. Tiesību akta projekta izpildes nodrošināšana un tās ietekme uz institūcijām</w:t>
            </w:r>
          </w:p>
        </w:tc>
      </w:tr>
      <w:tr w:rsidR="00554F42" w:rsidRPr="00920482" w:rsidTr="00042F13">
        <w:tc>
          <w:tcPr>
            <w:tcW w:w="396" w:type="dxa"/>
          </w:tcPr>
          <w:p w:rsidR="00554F42" w:rsidRPr="00920482" w:rsidRDefault="00554F42" w:rsidP="00042F13">
            <w:pPr>
              <w:rPr>
                <w:sz w:val="28"/>
                <w:szCs w:val="28"/>
              </w:rPr>
            </w:pPr>
            <w:r w:rsidRPr="00920482">
              <w:rPr>
                <w:sz w:val="28"/>
                <w:szCs w:val="28"/>
              </w:rPr>
              <w:t xml:space="preserve">1. </w:t>
            </w:r>
          </w:p>
        </w:tc>
        <w:tc>
          <w:tcPr>
            <w:tcW w:w="3072" w:type="dxa"/>
          </w:tcPr>
          <w:p w:rsidR="00554F42" w:rsidRPr="00920482" w:rsidRDefault="00554F42" w:rsidP="00042F13">
            <w:pPr>
              <w:rPr>
                <w:sz w:val="28"/>
                <w:szCs w:val="28"/>
              </w:rPr>
            </w:pPr>
            <w:r w:rsidRPr="00920482">
              <w:rPr>
                <w:sz w:val="28"/>
                <w:szCs w:val="28"/>
              </w:rPr>
              <w:t>Projekta izpildē iesaistītās institūcijas</w:t>
            </w:r>
          </w:p>
        </w:tc>
        <w:tc>
          <w:tcPr>
            <w:tcW w:w="5819" w:type="dxa"/>
          </w:tcPr>
          <w:p w:rsidR="00554F42" w:rsidRPr="00920482" w:rsidRDefault="00554F42" w:rsidP="00042F13">
            <w:pPr>
              <w:jc w:val="both"/>
              <w:rPr>
                <w:color w:val="FF0000"/>
                <w:sz w:val="28"/>
                <w:szCs w:val="28"/>
              </w:rPr>
            </w:pPr>
            <w:r w:rsidRPr="00920482">
              <w:rPr>
                <w:sz w:val="28"/>
                <w:szCs w:val="28"/>
              </w:rPr>
              <w:t>Noteikumu p</w:t>
            </w:r>
            <w:r>
              <w:rPr>
                <w:sz w:val="28"/>
                <w:szCs w:val="28"/>
              </w:rPr>
              <w:t>rojekta izpildi nodrošinās VSAA.</w:t>
            </w:r>
          </w:p>
        </w:tc>
      </w:tr>
      <w:tr w:rsidR="00554F42" w:rsidRPr="00920482" w:rsidTr="00042F13">
        <w:tc>
          <w:tcPr>
            <w:tcW w:w="396" w:type="dxa"/>
          </w:tcPr>
          <w:p w:rsidR="00554F42" w:rsidRPr="00920482" w:rsidRDefault="00554F42" w:rsidP="00042F13">
            <w:pPr>
              <w:rPr>
                <w:sz w:val="28"/>
                <w:szCs w:val="28"/>
              </w:rPr>
            </w:pPr>
            <w:r w:rsidRPr="00920482">
              <w:rPr>
                <w:sz w:val="28"/>
                <w:szCs w:val="28"/>
              </w:rPr>
              <w:t xml:space="preserve">2. </w:t>
            </w:r>
          </w:p>
        </w:tc>
        <w:tc>
          <w:tcPr>
            <w:tcW w:w="3072" w:type="dxa"/>
          </w:tcPr>
          <w:p w:rsidR="00554F42" w:rsidRPr="00920482" w:rsidRDefault="00554F42" w:rsidP="00042F13">
            <w:pPr>
              <w:rPr>
                <w:sz w:val="28"/>
                <w:szCs w:val="28"/>
              </w:rPr>
            </w:pPr>
            <w:r w:rsidRPr="00920482">
              <w:rPr>
                <w:sz w:val="28"/>
                <w:szCs w:val="28"/>
              </w:rPr>
              <w:t>Projekta izpildes ietekme uz pār</w:t>
            </w:r>
            <w:r w:rsidRPr="00920482">
              <w:rPr>
                <w:sz w:val="28"/>
                <w:szCs w:val="28"/>
              </w:rPr>
              <w:softHyphen/>
              <w:t>valdes funkcijām un institucionālo struktūru.</w:t>
            </w:r>
          </w:p>
          <w:p w:rsidR="00554F42" w:rsidRPr="00920482" w:rsidRDefault="00554F42" w:rsidP="00042F13">
            <w:pPr>
              <w:rPr>
                <w:sz w:val="28"/>
                <w:szCs w:val="28"/>
              </w:rPr>
            </w:pPr>
            <w:r w:rsidRPr="00920482">
              <w:rPr>
                <w:sz w:val="28"/>
                <w:szCs w:val="28"/>
              </w:rPr>
              <w:t>Jaunu institūciju izveide, esošu institūciju likvidācija vai reorga</w:t>
            </w:r>
            <w:r w:rsidRPr="00920482">
              <w:rPr>
                <w:sz w:val="28"/>
                <w:szCs w:val="28"/>
              </w:rPr>
              <w:softHyphen/>
              <w:t>nizācija, to ietekme uz institūcijas cilvēkresursiem</w:t>
            </w:r>
          </w:p>
        </w:tc>
        <w:tc>
          <w:tcPr>
            <w:tcW w:w="5819" w:type="dxa"/>
          </w:tcPr>
          <w:p w:rsidR="00554F42" w:rsidRPr="00920482" w:rsidRDefault="00554F42" w:rsidP="00042F13">
            <w:pPr>
              <w:jc w:val="both"/>
              <w:rPr>
                <w:color w:val="FF0000"/>
                <w:sz w:val="28"/>
                <w:szCs w:val="28"/>
              </w:rPr>
            </w:pPr>
            <w:r w:rsidRPr="00920482">
              <w:rPr>
                <w:sz w:val="28"/>
                <w:szCs w:val="28"/>
              </w:rPr>
              <w:t>Noteikumu projekta izpildi VSAA nodrošinās esošo funkciju ietvaros.</w:t>
            </w:r>
          </w:p>
        </w:tc>
      </w:tr>
      <w:tr w:rsidR="00554F42" w:rsidRPr="00920482" w:rsidTr="00042F13">
        <w:tc>
          <w:tcPr>
            <w:tcW w:w="396" w:type="dxa"/>
          </w:tcPr>
          <w:p w:rsidR="00554F42" w:rsidRPr="00920482" w:rsidRDefault="00554F42" w:rsidP="00042F13">
            <w:pPr>
              <w:rPr>
                <w:sz w:val="28"/>
                <w:szCs w:val="28"/>
              </w:rPr>
            </w:pPr>
            <w:r w:rsidRPr="00920482">
              <w:rPr>
                <w:sz w:val="28"/>
                <w:szCs w:val="28"/>
              </w:rPr>
              <w:t xml:space="preserve">3. </w:t>
            </w:r>
          </w:p>
        </w:tc>
        <w:tc>
          <w:tcPr>
            <w:tcW w:w="3072" w:type="dxa"/>
          </w:tcPr>
          <w:p w:rsidR="00554F42" w:rsidRPr="00920482" w:rsidRDefault="00554F42" w:rsidP="00042F13">
            <w:pPr>
              <w:rPr>
                <w:sz w:val="28"/>
                <w:szCs w:val="28"/>
              </w:rPr>
            </w:pPr>
            <w:r w:rsidRPr="00920482">
              <w:rPr>
                <w:sz w:val="28"/>
                <w:szCs w:val="28"/>
              </w:rPr>
              <w:t>Cita informācija</w:t>
            </w:r>
          </w:p>
        </w:tc>
        <w:tc>
          <w:tcPr>
            <w:tcW w:w="5819" w:type="dxa"/>
          </w:tcPr>
          <w:p w:rsidR="00554F42" w:rsidRPr="00920482" w:rsidRDefault="00554F42" w:rsidP="00042F13">
            <w:pPr>
              <w:jc w:val="both"/>
              <w:rPr>
                <w:color w:val="FF0000"/>
                <w:sz w:val="28"/>
                <w:szCs w:val="28"/>
              </w:rPr>
            </w:pPr>
            <w:r w:rsidRPr="00920482">
              <w:rPr>
                <w:sz w:val="28"/>
                <w:szCs w:val="28"/>
              </w:rPr>
              <w:t>Nav.</w:t>
            </w:r>
          </w:p>
        </w:tc>
      </w:tr>
    </w:tbl>
    <w:p w:rsidR="00554F42" w:rsidRPr="00920482" w:rsidRDefault="00554F42" w:rsidP="00554F42">
      <w:pPr>
        <w:jc w:val="center"/>
        <w:rPr>
          <w:sz w:val="28"/>
          <w:szCs w:val="28"/>
        </w:rPr>
      </w:pPr>
    </w:p>
    <w:p w:rsidR="00554F42" w:rsidRPr="00920482" w:rsidRDefault="00554F42" w:rsidP="00554F42">
      <w:pPr>
        <w:jc w:val="center"/>
        <w:rPr>
          <w:i/>
          <w:sz w:val="28"/>
          <w:szCs w:val="28"/>
        </w:rPr>
      </w:pPr>
      <w:r w:rsidRPr="00920482">
        <w:rPr>
          <w:i/>
          <w:sz w:val="28"/>
          <w:szCs w:val="28"/>
        </w:rPr>
        <w:t>Anotācijas III, IV un V sadaļa - projekts šīs jomas neskar.</w:t>
      </w:r>
    </w:p>
    <w:p w:rsidR="00554F42" w:rsidRPr="00FE2F47" w:rsidRDefault="00554F42" w:rsidP="00554F42">
      <w:pPr>
        <w:jc w:val="center"/>
        <w:rPr>
          <w:i/>
        </w:rPr>
      </w:pPr>
    </w:p>
    <w:p w:rsidR="00554F42" w:rsidRDefault="00554F42" w:rsidP="00554F42">
      <w:pPr>
        <w:jc w:val="center"/>
      </w:pPr>
    </w:p>
    <w:p w:rsidR="00554F42" w:rsidRDefault="00554F42" w:rsidP="00554F42">
      <w:pPr>
        <w:jc w:val="center"/>
      </w:pPr>
    </w:p>
    <w:p w:rsidR="00554F42" w:rsidRPr="008207C1" w:rsidRDefault="00554F42" w:rsidP="00554F42">
      <w:pPr>
        <w:rPr>
          <w:sz w:val="28"/>
          <w:szCs w:val="28"/>
        </w:rPr>
      </w:pPr>
      <w:r w:rsidRPr="008207C1">
        <w:rPr>
          <w:sz w:val="28"/>
          <w:szCs w:val="28"/>
        </w:rPr>
        <w:t>Labklājības ministr</w:t>
      </w:r>
      <w:r>
        <w:rPr>
          <w:sz w:val="28"/>
          <w:szCs w:val="28"/>
        </w:rPr>
        <w:t>s</w:t>
      </w:r>
      <w:r w:rsidRPr="008207C1">
        <w:rPr>
          <w:sz w:val="28"/>
          <w:szCs w:val="28"/>
        </w:rPr>
        <w:tab/>
      </w:r>
      <w:r w:rsidRPr="008207C1">
        <w:rPr>
          <w:sz w:val="28"/>
          <w:szCs w:val="28"/>
        </w:rPr>
        <w:tab/>
      </w:r>
      <w:r w:rsidRPr="008207C1">
        <w:rPr>
          <w:sz w:val="28"/>
          <w:szCs w:val="28"/>
        </w:rPr>
        <w:tab/>
      </w:r>
      <w:r w:rsidRPr="008207C1">
        <w:rPr>
          <w:sz w:val="28"/>
          <w:szCs w:val="28"/>
        </w:rPr>
        <w:tab/>
      </w:r>
      <w:r w:rsidRPr="008207C1">
        <w:rPr>
          <w:sz w:val="28"/>
          <w:szCs w:val="28"/>
        </w:rPr>
        <w:tab/>
      </w:r>
      <w:r>
        <w:rPr>
          <w:sz w:val="28"/>
          <w:szCs w:val="28"/>
        </w:rPr>
        <w:tab/>
        <w:t>U.Augulis</w:t>
      </w:r>
    </w:p>
    <w:p w:rsidR="00554F42" w:rsidRDefault="00554F42" w:rsidP="00554F42">
      <w:pPr>
        <w:pStyle w:val="Footer"/>
      </w:pPr>
    </w:p>
    <w:p w:rsidR="00554F42" w:rsidRDefault="00554F42" w:rsidP="00554F42">
      <w:pPr>
        <w:pStyle w:val="Footer"/>
        <w:tabs>
          <w:tab w:val="clear" w:pos="4153"/>
          <w:tab w:val="clear" w:pos="8306"/>
        </w:tabs>
      </w:pPr>
    </w:p>
    <w:p w:rsidR="00554F42" w:rsidRDefault="00554F42" w:rsidP="00554F42">
      <w:pPr>
        <w:pStyle w:val="Footer"/>
        <w:tabs>
          <w:tab w:val="clear" w:pos="4153"/>
          <w:tab w:val="clear" w:pos="8306"/>
        </w:tabs>
      </w:pPr>
    </w:p>
    <w:p w:rsidR="00554F42" w:rsidRDefault="00554F42" w:rsidP="00554F42">
      <w:pPr>
        <w:pStyle w:val="Footer"/>
        <w:tabs>
          <w:tab w:val="clear" w:pos="4153"/>
          <w:tab w:val="clear" w:pos="8306"/>
        </w:tabs>
      </w:pPr>
    </w:p>
    <w:p w:rsidR="00CF6B5D" w:rsidRDefault="00CF6B5D" w:rsidP="00554F42">
      <w:pPr>
        <w:pStyle w:val="Footer"/>
        <w:tabs>
          <w:tab w:val="clear" w:pos="4153"/>
          <w:tab w:val="clear" w:pos="8306"/>
        </w:tabs>
      </w:pPr>
      <w:r>
        <w:t>17.06.2014 11:29</w:t>
      </w:r>
    </w:p>
    <w:p w:rsidR="00554F42" w:rsidRPr="0093684F" w:rsidRDefault="00FD2751" w:rsidP="00554F42">
      <w:pPr>
        <w:pStyle w:val="Footer"/>
        <w:tabs>
          <w:tab w:val="clear" w:pos="4153"/>
          <w:tab w:val="clear" w:pos="8306"/>
        </w:tabs>
      </w:pPr>
      <w:bookmarkStart w:id="0" w:name="_GoBack"/>
      <w:bookmarkEnd w:id="0"/>
      <w:r>
        <w:t>7</w:t>
      </w:r>
      <w:r w:rsidR="00505A02">
        <w:t>3</w:t>
      </w:r>
      <w:r w:rsidR="00BB39F5">
        <w:t>0</w:t>
      </w:r>
    </w:p>
    <w:p w:rsidR="00554F42" w:rsidRPr="0093684F" w:rsidRDefault="00554F42" w:rsidP="00554F42">
      <w:proofErr w:type="spellStart"/>
      <w:r w:rsidRPr="0093684F">
        <w:t>D.Trušinska</w:t>
      </w:r>
      <w:proofErr w:type="spellEnd"/>
      <w:r w:rsidRPr="0093684F">
        <w:t>, 67021553</w:t>
      </w:r>
    </w:p>
    <w:p w:rsidR="00554F42" w:rsidRPr="0093684F" w:rsidRDefault="00554F42" w:rsidP="00554F42">
      <w:r w:rsidRPr="0093684F">
        <w:t>Dace.Trusinska@lm.gov.lv</w:t>
      </w:r>
    </w:p>
    <w:p w:rsidR="00554F42" w:rsidRDefault="00554F42" w:rsidP="00554F42"/>
    <w:p w:rsidR="00554F42" w:rsidRDefault="00554F42" w:rsidP="00554F42"/>
    <w:p w:rsidR="00F24B91" w:rsidRDefault="00F24B91"/>
    <w:sectPr w:rsidR="00F24B91" w:rsidSect="004373E9">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9CB" w:rsidRDefault="00F779CB" w:rsidP="00FD2751">
      <w:r>
        <w:separator/>
      </w:r>
    </w:p>
  </w:endnote>
  <w:endnote w:type="continuationSeparator" w:id="0">
    <w:p w:rsidR="00F779CB" w:rsidRDefault="00F779CB" w:rsidP="00FD2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5D" w:rsidRPr="00B40FEB" w:rsidRDefault="00967960" w:rsidP="00B40FEB">
    <w:r w:rsidRPr="00960205">
      <w:t>LM</w:t>
    </w:r>
    <w:r>
      <w:t>anot_</w:t>
    </w:r>
    <w:r w:rsidR="00BB39F5">
      <w:t>1</w:t>
    </w:r>
    <w:r w:rsidR="00CF6B5D">
      <w:t>7</w:t>
    </w:r>
    <w:r w:rsidR="00FD2751">
      <w:t>06</w:t>
    </w:r>
    <w:r w:rsidR="00FD2751" w:rsidRPr="00960205">
      <w:t>14</w:t>
    </w:r>
    <w:r w:rsidRPr="00960205">
      <w:t>; Grozījumi Ministru kabineta 1999.gada 16.februāra noteikumos Nr. 50 „Obligātās sociālās apdrošināšanas pret nelaimes gadījumiem darbā un arodslimībām apdrošināšanas atlīdzības piešķiršanas un aprēķināšanas kārtība”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5D" w:rsidRPr="00B40FEB" w:rsidRDefault="00967960" w:rsidP="00B40FEB">
    <w:r w:rsidRPr="00960205">
      <w:t>LM</w:t>
    </w:r>
    <w:r>
      <w:t>anot_</w:t>
    </w:r>
    <w:r w:rsidR="00BB39F5">
      <w:t>1</w:t>
    </w:r>
    <w:r w:rsidR="00CF6B5D">
      <w:t>7</w:t>
    </w:r>
    <w:r w:rsidR="00FD2751">
      <w:t>06</w:t>
    </w:r>
    <w:r w:rsidR="00FD2751" w:rsidRPr="00960205">
      <w:t>14</w:t>
    </w:r>
    <w:r w:rsidRPr="00960205">
      <w:t>; Grozījumi Ministru kabineta 1999.gada 16.februāra noteikumos Nr. 50 „Obligātās sociālās apdrošināšanas pret nelaimes gadījumiem darbā un arodslimībām apdrošināšanas atlīdzības piešķiršanas un aprēķināšanas kārtība”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9CB" w:rsidRDefault="00F779CB" w:rsidP="00FD2751">
      <w:r>
        <w:separator/>
      </w:r>
    </w:p>
  </w:footnote>
  <w:footnote w:type="continuationSeparator" w:id="0">
    <w:p w:rsidR="00F779CB" w:rsidRDefault="00F779CB" w:rsidP="00FD2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5D" w:rsidRDefault="00967960"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3B5D" w:rsidRDefault="00F779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5D" w:rsidRDefault="00967960"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6B5D">
      <w:rPr>
        <w:rStyle w:val="PageNumber"/>
        <w:noProof/>
      </w:rPr>
      <w:t>3</w:t>
    </w:r>
    <w:r>
      <w:rPr>
        <w:rStyle w:val="PageNumber"/>
      </w:rPr>
      <w:fldChar w:fldCharType="end"/>
    </w:r>
  </w:p>
  <w:p w:rsidR="001E3B5D" w:rsidRDefault="00F779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75C6C"/>
    <w:multiLevelType w:val="hybridMultilevel"/>
    <w:tmpl w:val="4D9020E0"/>
    <w:lvl w:ilvl="0" w:tplc="ECC260E2">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F42"/>
    <w:rsid w:val="00152FD7"/>
    <w:rsid w:val="002E31C6"/>
    <w:rsid w:val="00505A02"/>
    <w:rsid w:val="00554F42"/>
    <w:rsid w:val="00576BF0"/>
    <w:rsid w:val="006052A8"/>
    <w:rsid w:val="00711D20"/>
    <w:rsid w:val="008742B1"/>
    <w:rsid w:val="00967960"/>
    <w:rsid w:val="009D2F1E"/>
    <w:rsid w:val="00AB7722"/>
    <w:rsid w:val="00B07A37"/>
    <w:rsid w:val="00BB39F5"/>
    <w:rsid w:val="00BC44ED"/>
    <w:rsid w:val="00CF6B5D"/>
    <w:rsid w:val="00E72AE8"/>
    <w:rsid w:val="00F24B91"/>
    <w:rsid w:val="00F73D43"/>
    <w:rsid w:val="00F779CB"/>
    <w:rsid w:val="00FA7B67"/>
    <w:rsid w:val="00FD27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F4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554F42"/>
    <w:pPr>
      <w:spacing w:before="75" w:after="75"/>
    </w:pPr>
  </w:style>
  <w:style w:type="paragraph" w:styleId="Header">
    <w:name w:val="header"/>
    <w:basedOn w:val="Normal"/>
    <w:link w:val="HeaderChar"/>
    <w:uiPriority w:val="99"/>
    <w:rsid w:val="00554F42"/>
    <w:pPr>
      <w:tabs>
        <w:tab w:val="center" w:pos="4153"/>
        <w:tab w:val="right" w:pos="8306"/>
      </w:tabs>
    </w:pPr>
  </w:style>
  <w:style w:type="character" w:customStyle="1" w:styleId="HeaderChar">
    <w:name w:val="Header Char"/>
    <w:basedOn w:val="DefaultParagraphFont"/>
    <w:link w:val="Header"/>
    <w:uiPriority w:val="99"/>
    <w:rsid w:val="00554F42"/>
    <w:rPr>
      <w:rFonts w:ascii="Times New Roman" w:eastAsia="Times New Roman" w:hAnsi="Times New Roman" w:cs="Times New Roman"/>
      <w:sz w:val="24"/>
      <w:szCs w:val="24"/>
      <w:lang w:eastAsia="lv-LV"/>
    </w:rPr>
  </w:style>
  <w:style w:type="character" w:styleId="PageNumber">
    <w:name w:val="page number"/>
    <w:uiPriority w:val="99"/>
    <w:rsid w:val="00554F42"/>
    <w:rPr>
      <w:rFonts w:cs="Times New Roman"/>
    </w:rPr>
  </w:style>
  <w:style w:type="paragraph" w:styleId="Footer">
    <w:name w:val="footer"/>
    <w:basedOn w:val="Normal"/>
    <w:link w:val="FooterChar"/>
    <w:uiPriority w:val="99"/>
    <w:rsid w:val="00554F42"/>
    <w:pPr>
      <w:tabs>
        <w:tab w:val="center" w:pos="4153"/>
        <w:tab w:val="right" w:pos="8306"/>
      </w:tabs>
    </w:pPr>
  </w:style>
  <w:style w:type="character" w:customStyle="1" w:styleId="FooterChar">
    <w:name w:val="Footer Char"/>
    <w:basedOn w:val="DefaultParagraphFont"/>
    <w:link w:val="Footer"/>
    <w:uiPriority w:val="99"/>
    <w:rsid w:val="00554F42"/>
    <w:rPr>
      <w:rFonts w:ascii="Times New Roman" w:eastAsia="Times New Roman" w:hAnsi="Times New Roman" w:cs="Times New Roman"/>
      <w:sz w:val="24"/>
      <w:szCs w:val="24"/>
      <w:lang w:eastAsia="lv-LV"/>
    </w:rPr>
  </w:style>
  <w:style w:type="paragraph" w:customStyle="1" w:styleId="naisnod">
    <w:name w:val="naisnod"/>
    <w:basedOn w:val="Normal"/>
    <w:uiPriority w:val="99"/>
    <w:rsid w:val="00554F42"/>
    <w:pPr>
      <w:spacing w:before="150" w:after="150"/>
      <w:jc w:val="center"/>
    </w:pPr>
    <w:rPr>
      <w:b/>
      <w:bCs/>
    </w:rPr>
  </w:style>
  <w:style w:type="paragraph" w:customStyle="1" w:styleId="naisf">
    <w:name w:val="naisf"/>
    <w:basedOn w:val="Normal"/>
    <w:uiPriority w:val="99"/>
    <w:rsid w:val="00554F42"/>
    <w:pPr>
      <w:spacing w:before="50" w:after="50"/>
      <w:ind w:firstLine="250"/>
      <w:jc w:val="both"/>
    </w:pPr>
  </w:style>
  <w:style w:type="paragraph" w:styleId="ListParagraph">
    <w:name w:val="List Paragraph"/>
    <w:basedOn w:val="Normal"/>
    <w:uiPriority w:val="34"/>
    <w:qFormat/>
    <w:rsid w:val="008742B1"/>
    <w:pPr>
      <w:ind w:left="720"/>
      <w:contextualSpacing/>
    </w:pPr>
  </w:style>
  <w:style w:type="paragraph" w:styleId="BalloonText">
    <w:name w:val="Balloon Text"/>
    <w:basedOn w:val="Normal"/>
    <w:link w:val="BalloonTextChar"/>
    <w:uiPriority w:val="99"/>
    <w:semiHidden/>
    <w:unhideWhenUsed/>
    <w:rsid w:val="008742B1"/>
    <w:rPr>
      <w:rFonts w:ascii="Tahoma" w:hAnsi="Tahoma" w:cs="Tahoma"/>
      <w:sz w:val="16"/>
      <w:szCs w:val="16"/>
    </w:rPr>
  </w:style>
  <w:style w:type="character" w:customStyle="1" w:styleId="BalloonTextChar">
    <w:name w:val="Balloon Text Char"/>
    <w:basedOn w:val="DefaultParagraphFont"/>
    <w:link w:val="BalloonText"/>
    <w:uiPriority w:val="99"/>
    <w:semiHidden/>
    <w:rsid w:val="008742B1"/>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F4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554F42"/>
    <w:pPr>
      <w:spacing w:before="75" w:after="75"/>
    </w:pPr>
  </w:style>
  <w:style w:type="paragraph" w:styleId="Header">
    <w:name w:val="header"/>
    <w:basedOn w:val="Normal"/>
    <w:link w:val="HeaderChar"/>
    <w:uiPriority w:val="99"/>
    <w:rsid w:val="00554F42"/>
    <w:pPr>
      <w:tabs>
        <w:tab w:val="center" w:pos="4153"/>
        <w:tab w:val="right" w:pos="8306"/>
      </w:tabs>
    </w:pPr>
  </w:style>
  <w:style w:type="character" w:customStyle="1" w:styleId="HeaderChar">
    <w:name w:val="Header Char"/>
    <w:basedOn w:val="DefaultParagraphFont"/>
    <w:link w:val="Header"/>
    <w:uiPriority w:val="99"/>
    <w:rsid w:val="00554F42"/>
    <w:rPr>
      <w:rFonts w:ascii="Times New Roman" w:eastAsia="Times New Roman" w:hAnsi="Times New Roman" w:cs="Times New Roman"/>
      <w:sz w:val="24"/>
      <w:szCs w:val="24"/>
      <w:lang w:eastAsia="lv-LV"/>
    </w:rPr>
  </w:style>
  <w:style w:type="character" w:styleId="PageNumber">
    <w:name w:val="page number"/>
    <w:uiPriority w:val="99"/>
    <w:rsid w:val="00554F42"/>
    <w:rPr>
      <w:rFonts w:cs="Times New Roman"/>
    </w:rPr>
  </w:style>
  <w:style w:type="paragraph" w:styleId="Footer">
    <w:name w:val="footer"/>
    <w:basedOn w:val="Normal"/>
    <w:link w:val="FooterChar"/>
    <w:uiPriority w:val="99"/>
    <w:rsid w:val="00554F42"/>
    <w:pPr>
      <w:tabs>
        <w:tab w:val="center" w:pos="4153"/>
        <w:tab w:val="right" w:pos="8306"/>
      </w:tabs>
    </w:pPr>
  </w:style>
  <w:style w:type="character" w:customStyle="1" w:styleId="FooterChar">
    <w:name w:val="Footer Char"/>
    <w:basedOn w:val="DefaultParagraphFont"/>
    <w:link w:val="Footer"/>
    <w:uiPriority w:val="99"/>
    <w:rsid w:val="00554F42"/>
    <w:rPr>
      <w:rFonts w:ascii="Times New Roman" w:eastAsia="Times New Roman" w:hAnsi="Times New Roman" w:cs="Times New Roman"/>
      <w:sz w:val="24"/>
      <w:szCs w:val="24"/>
      <w:lang w:eastAsia="lv-LV"/>
    </w:rPr>
  </w:style>
  <w:style w:type="paragraph" w:customStyle="1" w:styleId="naisnod">
    <w:name w:val="naisnod"/>
    <w:basedOn w:val="Normal"/>
    <w:uiPriority w:val="99"/>
    <w:rsid w:val="00554F42"/>
    <w:pPr>
      <w:spacing w:before="150" w:after="150"/>
      <w:jc w:val="center"/>
    </w:pPr>
    <w:rPr>
      <w:b/>
      <w:bCs/>
    </w:rPr>
  </w:style>
  <w:style w:type="paragraph" w:customStyle="1" w:styleId="naisf">
    <w:name w:val="naisf"/>
    <w:basedOn w:val="Normal"/>
    <w:uiPriority w:val="99"/>
    <w:rsid w:val="00554F42"/>
    <w:pPr>
      <w:spacing w:before="50" w:after="50"/>
      <w:ind w:firstLine="250"/>
      <w:jc w:val="both"/>
    </w:pPr>
  </w:style>
  <w:style w:type="paragraph" w:styleId="ListParagraph">
    <w:name w:val="List Paragraph"/>
    <w:basedOn w:val="Normal"/>
    <w:uiPriority w:val="34"/>
    <w:qFormat/>
    <w:rsid w:val="008742B1"/>
    <w:pPr>
      <w:ind w:left="720"/>
      <w:contextualSpacing/>
    </w:pPr>
  </w:style>
  <w:style w:type="paragraph" w:styleId="BalloonText">
    <w:name w:val="Balloon Text"/>
    <w:basedOn w:val="Normal"/>
    <w:link w:val="BalloonTextChar"/>
    <w:uiPriority w:val="99"/>
    <w:semiHidden/>
    <w:unhideWhenUsed/>
    <w:rsid w:val="008742B1"/>
    <w:rPr>
      <w:rFonts w:ascii="Tahoma" w:hAnsi="Tahoma" w:cs="Tahoma"/>
      <w:sz w:val="16"/>
      <w:szCs w:val="16"/>
    </w:rPr>
  </w:style>
  <w:style w:type="character" w:customStyle="1" w:styleId="BalloonTextChar">
    <w:name w:val="Balloon Text Char"/>
    <w:basedOn w:val="DefaultParagraphFont"/>
    <w:link w:val="BalloonText"/>
    <w:uiPriority w:val="99"/>
    <w:semiHidden/>
    <w:rsid w:val="008742B1"/>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3963</Words>
  <Characters>2259</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Grozījumi Ministru kabineta 1999.gada 16.februāra noteikumos Nr. 50 „Obligātās sociālās apdrošināšanas pret nelaimes gadījumiem darbā un arodslimībām apdrošināšanas atlīdzības piešķiršanas un aprēķināšanas kārtība”</vt:lpstr>
    </vt:vector>
  </TitlesOfParts>
  <Company>LM</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1999.gada 16.februāra noteikumos Nr. 50 „Obligātās sociālās apdrošināšanas pret nelaimes gadījumiem darbā un arodslimībām apdrošināšanas atlīdzības piešķiršanas un aprēķināšanas kārtība”</dc:title>
  <dc:subject>Anotācija</dc:subject>
  <dc:creator>Dace Trušinska</dc:creator>
  <dc:description>D.Trušinska_x000d_
tālr.67021553, fakss 67021560_x000d_
dace.trusinska@lm.gov.lv</dc:description>
  <cp:lastModifiedBy>Irena Salmane</cp:lastModifiedBy>
  <cp:revision>8</cp:revision>
  <cp:lastPrinted>2014-06-05T07:42:00Z</cp:lastPrinted>
  <dcterms:created xsi:type="dcterms:W3CDTF">2014-06-05T09:38:00Z</dcterms:created>
  <dcterms:modified xsi:type="dcterms:W3CDTF">2014-06-17T08:30:00Z</dcterms:modified>
</cp:coreProperties>
</file>