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22" w:rsidRPr="00920482" w:rsidRDefault="00C13D22" w:rsidP="00C13D22">
      <w:pPr>
        <w:jc w:val="center"/>
        <w:rPr>
          <w:b/>
          <w:bCs/>
          <w:sz w:val="28"/>
          <w:szCs w:val="28"/>
        </w:rPr>
      </w:pPr>
      <w:r w:rsidRPr="00920482">
        <w:rPr>
          <w:b/>
          <w:bCs/>
          <w:sz w:val="28"/>
          <w:szCs w:val="28"/>
          <w:lang w:eastAsia="en-US"/>
        </w:rPr>
        <w:t>Ministru kabineta noteikumu projekta „</w:t>
      </w:r>
      <w:r w:rsidRPr="00920482">
        <w:rPr>
          <w:b/>
          <w:bCs/>
          <w:sz w:val="28"/>
          <w:szCs w:val="28"/>
        </w:rPr>
        <w:t xml:space="preserve">Noteikumi par valsts pensijas apmēra pārskatīšanu” </w:t>
      </w:r>
      <w:r w:rsidRPr="00920482">
        <w:rPr>
          <w:b/>
          <w:sz w:val="28"/>
          <w:szCs w:val="28"/>
        </w:rPr>
        <w:t xml:space="preserve">sākotnējās ietekmes novērtējuma </w:t>
      </w:r>
      <w:smartTag w:uri="schemas-tilde-lv/tildestengine" w:element="veidnes">
        <w:smartTagPr>
          <w:attr w:name="baseform" w:val="ziņojum|s"/>
          <w:attr w:name="id" w:val="-1"/>
          <w:attr w:name="text" w:val="ziņojums"/>
        </w:smartTagPr>
        <w:r w:rsidRPr="00920482">
          <w:rPr>
            <w:b/>
            <w:sz w:val="28"/>
            <w:szCs w:val="28"/>
          </w:rPr>
          <w:t>ziņojums</w:t>
        </w:r>
      </w:smartTag>
      <w:r w:rsidRPr="00920482">
        <w:rPr>
          <w:b/>
          <w:sz w:val="28"/>
          <w:szCs w:val="28"/>
        </w:rPr>
        <w:t xml:space="preserve"> (anotācija)</w:t>
      </w:r>
    </w:p>
    <w:p w:rsidR="00C13D22" w:rsidRPr="00920482" w:rsidRDefault="00C13D22" w:rsidP="00C13D22">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57"/>
        <w:gridCol w:w="5804"/>
      </w:tblGrid>
      <w:tr w:rsidR="00C13D22" w:rsidRPr="00920482" w:rsidTr="009E7977">
        <w:tc>
          <w:tcPr>
            <w:tcW w:w="5000" w:type="pct"/>
            <w:gridSpan w:val="3"/>
          </w:tcPr>
          <w:p w:rsidR="00C13D22" w:rsidRPr="00920482" w:rsidRDefault="00C13D22" w:rsidP="009E7977">
            <w:pPr>
              <w:jc w:val="center"/>
              <w:rPr>
                <w:b/>
                <w:sz w:val="28"/>
                <w:szCs w:val="28"/>
              </w:rPr>
            </w:pPr>
            <w:r w:rsidRPr="00920482">
              <w:rPr>
                <w:b/>
                <w:sz w:val="28"/>
                <w:szCs w:val="28"/>
              </w:rPr>
              <w:t xml:space="preserve">I. Tiesību </w:t>
            </w:r>
            <w:smartTag w:uri="schemas-tilde-lv/tildestengine" w:element="veidnes">
              <w:smartTagPr>
                <w:attr w:name="baseform" w:val="akt|s"/>
                <w:attr w:name="id" w:val="-1"/>
                <w:attr w:name="text" w:val="akta"/>
              </w:smartTagPr>
              <w:r w:rsidRPr="00920482">
                <w:rPr>
                  <w:b/>
                  <w:sz w:val="28"/>
                  <w:szCs w:val="28"/>
                </w:rPr>
                <w:t>akta</w:t>
              </w:r>
            </w:smartTag>
            <w:r w:rsidRPr="00920482">
              <w:rPr>
                <w:b/>
                <w:sz w:val="28"/>
                <w:szCs w:val="28"/>
              </w:rPr>
              <w:t xml:space="preserve"> projekta izstrādes nepieciešamība</w:t>
            </w:r>
          </w:p>
        </w:tc>
      </w:tr>
      <w:tr w:rsidR="00C13D22" w:rsidRPr="00920482" w:rsidTr="009E7977">
        <w:tc>
          <w:tcPr>
            <w:tcW w:w="213" w:type="pct"/>
          </w:tcPr>
          <w:p w:rsidR="00C13D22" w:rsidRPr="00920482" w:rsidRDefault="00C13D22" w:rsidP="009E7977">
            <w:pPr>
              <w:rPr>
                <w:sz w:val="28"/>
                <w:szCs w:val="28"/>
              </w:rPr>
            </w:pPr>
            <w:r w:rsidRPr="00920482">
              <w:rPr>
                <w:sz w:val="28"/>
                <w:szCs w:val="28"/>
              </w:rPr>
              <w:t>1.</w:t>
            </w:r>
          </w:p>
        </w:tc>
        <w:tc>
          <w:tcPr>
            <w:tcW w:w="1654" w:type="pct"/>
          </w:tcPr>
          <w:p w:rsidR="00C13D22" w:rsidRPr="00920482" w:rsidRDefault="00C13D22" w:rsidP="009E7977">
            <w:pPr>
              <w:rPr>
                <w:sz w:val="28"/>
                <w:szCs w:val="28"/>
              </w:rPr>
            </w:pPr>
            <w:r w:rsidRPr="00920482">
              <w:rPr>
                <w:sz w:val="28"/>
                <w:szCs w:val="28"/>
              </w:rPr>
              <w:t>Pamatojums</w:t>
            </w:r>
          </w:p>
        </w:tc>
        <w:tc>
          <w:tcPr>
            <w:tcW w:w="3133" w:type="pct"/>
          </w:tcPr>
          <w:p w:rsidR="00C13D22" w:rsidRPr="00920482" w:rsidRDefault="00C13D22" w:rsidP="009E7977">
            <w:pPr>
              <w:jc w:val="both"/>
              <w:rPr>
                <w:bCs/>
                <w:sz w:val="28"/>
                <w:szCs w:val="28"/>
              </w:rPr>
            </w:pPr>
            <w:r w:rsidRPr="00920482">
              <w:rPr>
                <w:sz w:val="28"/>
                <w:szCs w:val="28"/>
              </w:rPr>
              <w:t>Ministru kabineta noteikumu projekts „</w:t>
            </w:r>
            <w:r w:rsidRPr="00920482">
              <w:rPr>
                <w:bCs/>
                <w:sz w:val="28"/>
                <w:szCs w:val="28"/>
              </w:rPr>
              <w:t>Noteikumi par valsts pensijas apmēra pārskatīšanu</w:t>
            </w:r>
            <w:r w:rsidRPr="00920482">
              <w:rPr>
                <w:bCs/>
                <w:sz w:val="28"/>
                <w:szCs w:val="28"/>
                <w:lang w:eastAsia="en-US"/>
              </w:rPr>
              <w:t xml:space="preserve">” (turpmāk noteikumu projekts) </w:t>
            </w:r>
            <w:r w:rsidRPr="00920482">
              <w:rPr>
                <w:sz w:val="28"/>
                <w:szCs w:val="28"/>
              </w:rPr>
              <w:t>izstrādāts saskaņā ar likuma „Par valsts pensijām” 26.panta trešo daļu un pārejas noteikumu 64.punktu.</w:t>
            </w:r>
          </w:p>
        </w:tc>
      </w:tr>
      <w:tr w:rsidR="00C13D22" w:rsidRPr="00920482" w:rsidTr="009E7977">
        <w:tc>
          <w:tcPr>
            <w:tcW w:w="213" w:type="pct"/>
          </w:tcPr>
          <w:p w:rsidR="00C13D22" w:rsidRPr="00920482" w:rsidRDefault="00C13D22" w:rsidP="009E7977">
            <w:pPr>
              <w:rPr>
                <w:sz w:val="28"/>
                <w:szCs w:val="28"/>
              </w:rPr>
            </w:pPr>
            <w:r w:rsidRPr="00920482">
              <w:rPr>
                <w:sz w:val="28"/>
                <w:szCs w:val="28"/>
              </w:rPr>
              <w:t xml:space="preserve">2. </w:t>
            </w:r>
          </w:p>
        </w:tc>
        <w:tc>
          <w:tcPr>
            <w:tcW w:w="1654" w:type="pct"/>
          </w:tcPr>
          <w:p w:rsidR="00C13D22" w:rsidRPr="00920482" w:rsidRDefault="00C13D22" w:rsidP="009E7977">
            <w:pPr>
              <w:rPr>
                <w:sz w:val="28"/>
                <w:szCs w:val="28"/>
              </w:rPr>
            </w:pPr>
            <w:r w:rsidRPr="00920482">
              <w:rPr>
                <w:sz w:val="28"/>
                <w:szCs w:val="28"/>
              </w:rPr>
              <w:t>Pašreizējā situācija un problēmas, kuru risināšanai tiesību akta projekts izstrādāts, tiesiskā regulējuma mērķis un būtība</w:t>
            </w:r>
          </w:p>
        </w:tc>
        <w:tc>
          <w:tcPr>
            <w:tcW w:w="3133" w:type="pct"/>
          </w:tcPr>
          <w:p w:rsidR="00C13D22" w:rsidRPr="00920482" w:rsidRDefault="00C13D22" w:rsidP="009E7977">
            <w:pPr>
              <w:jc w:val="both"/>
              <w:rPr>
                <w:bCs/>
                <w:sz w:val="28"/>
                <w:szCs w:val="28"/>
              </w:rPr>
            </w:pPr>
            <w:r w:rsidRPr="00920482">
              <w:rPr>
                <w:sz w:val="28"/>
                <w:szCs w:val="28"/>
              </w:rPr>
              <w:t>Ministru kabineta 2009.gada 31.decembra noteikumi Nr.1581 „</w:t>
            </w:r>
            <w:r w:rsidRPr="00920482">
              <w:rPr>
                <w:bCs/>
                <w:sz w:val="28"/>
                <w:szCs w:val="28"/>
              </w:rPr>
              <w:t xml:space="preserve">Valsts pensiju, atlīdzības par darbspēju zaudējumu un atlīdzības par apgādnieka zaudējumu apmēra pārskatīšanas kārtība” </w:t>
            </w:r>
            <w:r w:rsidRPr="00920482">
              <w:rPr>
                <w:sz w:val="28"/>
                <w:szCs w:val="28"/>
              </w:rPr>
              <w:t>nosaka kārtību, kādā pārskata (indeksē) valsts pensijas, atlīdzības par darbspēju zaudējumu un atlīdzības par apgādnieka zaudējumu (turpmāk – atlīdzība) apmēru.</w:t>
            </w:r>
          </w:p>
          <w:p w:rsidR="00C13D22" w:rsidRPr="00920482" w:rsidRDefault="00C13D22" w:rsidP="009E7977">
            <w:pPr>
              <w:jc w:val="both"/>
              <w:rPr>
                <w:sz w:val="28"/>
                <w:szCs w:val="28"/>
              </w:rPr>
            </w:pPr>
            <w:r w:rsidRPr="00920482">
              <w:rPr>
                <w:sz w:val="28"/>
                <w:szCs w:val="28"/>
              </w:rPr>
              <w:t xml:space="preserve">Minētie noteikumi nosaka, ka valsts pensijas un atlīdzības pārskatīšanā piemēro patēriņa cenu indeksu, kura noteikšanai ņem vērā Centrālās statistikas pārvaldes </w:t>
            </w:r>
            <w:r>
              <w:rPr>
                <w:sz w:val="28"/>
                <w:szCs w:val="28"/>
              </w:rPr>
              <w:t xml:space="preserve">(turpmāk – CSP) </w:t>
            </w:r>
            <w:r w:rsidRPr="00920482">
              <w:rPr>
                <w:sz w:val="28"/>
                <w:szCs w:val="28"/>
              </w:rPr>
              <w:t>datus par faktisko patēriņa cenu indeksu laikposmā no iepriekšējā gada 1.septembra līdz kārtējā gada 31.augustam.</w:t>
            </w:r>
          </w:p>
          <w:p w:rsidR="00C13D22" w:rsidRPr="00920482" w:rsidRDefault="00C13D22" w:rsidP="009E7977">
            <w:pPr>
              <w:jc w:val="both"/>
              <w:rPr>
                <w:rFonts w:eastAsia="Calibri"/>
                <w:sz w:val="28"/>
                <w:szCs w:val="28"/>
                <w:lang w:eastAsia="en-US"/>
              </w:rPr>
            </w:pPr>
            <w:r w:rsidRPr="00920482">
              <w:rPr>
                <w:sz w:val="28"/>
                <w:szCs w:val="28"/>
              </w:rPr>
              <w:t xml:space="preserve">Atbilstoši grozījumiem likumā „Par valsts pensijām”, kas pieņemti </w:t>
            </w:r>
            <w:r w:rsidRPr="00920482">
              <w:rPr>
                <w:color w:val="000000"/>
                <w:sz w:val="28"/>
                <w:szCs w:val="28"/>
              </w:rPr>
              <w:t>2014.gada 3.aprīlī Saeimā galīgajā lasījumā,</w:t>
            </w:r>
            <w:r w:rsidRPr="00920482">
              <w:rPr>
                <w:sz w:val="28"/>
                <w:szCs w:val="28"/>
              </w:rPr>
              <w:t xml:space="preserve"> tika mainīta valsts pensiju indeksācijas kārtība, nosakot</w:t>
            </w:r>
            <w:r w:rsidRPr="00920482">
              <w:rPr>
                <w:rFonts w:eastAsia="Calibri"/>
                <w:sz w:val="28"/>
                <w:szCs w:val="28"/>
                <w:lang w:eastAsia="en-US"/>
              </w:rPr>
              <w:t xml:space="preserve"> valsts pensiju pārskatīšanas kārtību atbilstoši faktisko patēriņu cenu izmaiņām un apdrošināšanas iemaksu algas reālajam pieaugumam.</w:t>
            </w:r>
          </w:p>
          <w:p w:rsidR="00C13D22" w:rsidRPr="00920482" w:rsidRDefault="00C13D22" w:rsidP="009E7977">
            <w:pPr>
              <w:jc w:val="both"/>
              <w:rPr>
                <w:rFonts w:eastAsia="Calibri"/>
                <w:sz w:val="28"/>
                <w:szCs w:val="28"/>
                <w:lang w:eastAsia="en-US"/>
              </w:rPr>
            </w:pPr>
            <w:r w:rsidRPr="00920482">
              <w:rPr>
                <w:rFonts w:eastAsia="Calibri"/>
                <w:sz w:val="28"/>
                <w:szCs w:val="28"/>
                <w:lang w:eastAsia="en-US"/>
              </w:rPr>
              <w:t>Grozījumi likumā „Par valsts pensijām” paredz:</w:t>
            </w:r>
          </w:p>
          <w:p w:rsidR="00C13D22" w:rsidRPr="00920482" w:rsidRDefault="00C13D22" w:rsidP="009E7977">
            <w:pPr>
              <w:autoSpaceDE w:val="0"/>
              <w:autoSpaceDN w:val="0"/>
              <w:adjustRightInd w:val="0"/>
              <w:jc w:val="both"/>
              <w:rPr>
                <w:rFonts w:eastAsia="Calibri"/>
                <w:sz w:val="28"/>
                <w:szCs w:val="28"/>
              </w:rPr>
            </w:pPr>
            <w:r w:rsidRPr="00920482">
              <w:rPr>
                <w:rFonts w:eastAsia="Calibri"/>
                <w:sz w:val="28"/>
                <w:szCs w:val="28"/>
              </w:rPr>
              <w:t>(1) Valsts pensijas vai tās daļas apmēru, kas nepārsniedz 50% no iepriekšējā kalendāra gada vidējās apdrošināšanas iemaksu algas valstī (</w:t>
            </w:r>
            <w:r w:rsidRPr="00920482">
              <w:rPr>
                <w:sz w:val="28"/>
                <w:szCs w:val="28"/>
              </w:rPr>
              <w:t xml:space="preserve">2014.gada 1.oktobrī pārskata valsts pensijas vai tās daļas apmēru, kas nepārsniedz 285 </w:t>
            </w:r>
            <w:proofErr w:type="spellStart"/>
            <w:r w:rsidRPr="00920482">
              <w:rPr>
                <w:i/>
                <w:sz w:val="28"/>
                <w:szCs w:val="28"/>
              </w:rPr>
              <w:t>euro</w:t>
            </w:r>
            <w:proofErr w:type="spellEnd"/>
            <w:r w:rsidRPr="00920482">
              <w:rPr>
                <w:sz w:val="28"/>
                <w:szCs w:val="28"/>
              </w:rPr>
              <w:t>)</w:t>
            </w:r>
            <w:r w:rsidRPr="00920482">
              <w:rPr>
                <w:rFonts w:eastAsia="Calibri"/>
                <w:sz w:val="28"/>
                <w:szCs w:val="28"/>
              </w:rPr>
              <w:t xml:space="preserve">, pārskata reizi gadā 1.oktobrī, ņemot vērā faktisko patēriņa cenu indeksu un 25% no apdrošināšanas iemaksu algu summas reālā pieauguma </w:t>
            </w:r>
            <w:r w:rsidRPr="00920482">
              <w:rPr>
                <w:rFonts w:eastAsia="Calibri"/>
                <w:iCs/>
                <w:sz w:val="28"/>
                <w:szCs w:val="28"/>
              </w:rPr>
              <w:t>procentiem (turpmāk – iemaksu algas indekss)</w:t>
            </w:r>
            <w:r w:rsidRPr="00920482">
              <w:rPr>
                <w:rFonts w:eastAsia="Calibri"/>
                <w:sz w:val="28"/>
                <w:szCs w:val="28"/>
              </w:rPr>
              <w:t>, ievērojot šādus nosacījumus:</w:t>
            </w:r>
          </w:p>
          <w:p w:rsidR="00C13D22" w:rsidRPr="00920482" w:rsidRDefault="00C13D22" w:rsidP="009E7977">
            <w:pPr>
              <w:autoSpaceDE w:val="0"/>
              <w:autoSpaceDN w:val="0"/>
              <w:adjustRightInd w:val="0"/>
              <w:jc w:val="both"/>
              <w:rPr>
                <w:rFonts w:eastAsia="Calibri"/>
                <w:sz w:val="28"/>
                <w:szCs w:val="28"/>
              </w:rPr>
            </w:pPr>
            <w:r w:rsidRPr="00920482">
              <w:rPr>
                <w:rFonts w:eastAsia="Calibri"/>
                <w:sz w:val="28"/>
                <w:szCs w:val="28"/>
              </w:rPr>
              <w:lastRenderedPageBreak/>
              <w:t>1) ja kopējais faktisko patēriņa cenu indekss un iemaksu algas indekss ir mazāks par skaitli "1", valsts pensiju nepārskata;</w:t>
            </w:r>
          </w:p>
          <w:p w:rsidR="00C13D22" w:rsidRPr="00920482" w:rsidRDefault="00C13D22" w:rsidP="009E7977">
            <w:pPr>
              <w:autoSpaceDE w:val="0"/>
              <w:autoSpaceDN w:val="0"/>
              <w:adjustRightInd w:val="0"/>
              <w:jc w:val="both"/>
              <w:rPr>
                <w:rFonts w:eastAsia="Calibri"/>
                <w:i/>
                <w:iCs/>
                <w:sz w:val="28"/>
                <w:szCs w:val="28"/>
              </w:rPr>
            </w:pPr>
            <w:r w:rsidRPr="00920482">
              <w:rPr>
                <w:rFonts w:eastAsia="Calibri"/>
                <w:sz w:val="28"/>
                <w:szCs w:val="28"/>
              </w:rPr>
              <w:t>2) ja apdrošināšanas iemaksu algas reālā pieauguma procenti ir lielāki par 15 %, iemaksu algas indeksa noteikšanai piemēro 15 %</w:t>
            </w:r>
            <w:r w:rsidRPr="00920482">
              <w:rPr>
                <w:rFonts w:eastAsia="Calibri"/>
                <w:iCs/>
                <w:sz w:val="28"/>
                <w:szCs w:val="28"/>
              </w:rPr>
              <w:t xml:space="preserve">; </w:t>
            </w:r>
          </w:p>
          <w:p w:rsidR="00C13D22" w:rsidRPr="00920482" w:rsidRDefault="00C13D22" w:rsidP="009E7977">
            <w:pPr>
              <w:autoSpaceDE w:val="0"/>
              <w:autoSpaceDN w:val="0"/>
              <w:adjustRightInd w:val="0"/>
              <w:jc w:val="both"/>
              <w:rPr>
                <w:rFonts w:eastAsia="Calibri"/>
                <w:sz w:val="28"/>
                <w:szCs w:val="28"/>
              </w:rPr>
            </w:pPr>
            <w:r w:rsidRPr="00920482">
              <w:rPr>
                <w:rFonts w:eastAsia="Calibri"/>
                <w:iCs/>
                <w:sz w:val="28"/>
                <w:szCs w:val="28"/>
              </w:rPr>
              <w:t xml:space="preserve">3) ja pensijas pārskatīšanai kārtējā gadā aprēķinātais pensijas apmērs ir mazāks par </w:t>
            </w:r>
            <w:r w:rsidRPr="00920482">
              <w:rPr>
                <w:rFonts w:eastAsia="Calibri"/>
                <w:sz w:val="28"/>
                <w:szCs w:val="28"/>
              </w:rPr>
              <w:t>iepriekšējā gadā pārskatīšanai noteikto pensijas apmēru, tad pensijas pārskata līdz iepriekšējā gadā noteiktajam pensijas apmēram.</w:t>
            </w:r>
          </w:p>
          <w:p w:rsidR="00C13D22" w:rsidRPr="00920482" w:rsidRDefault="00C13D22" w:rsidP="009E7977">
            <w:pPr>
              <w:autoSpaceDE w:val="0"/>
              <w:autoSpaceDN w:val="0"/>
              <w:adjustRightInd w:val="0"/>
              <w:jc w:val="both"/>
              <w:rPr>
                <w:rFonts w:eastAsia="Calibri"/>
                <w:sz w:val="28"/>
                <w:szCs w:val="28"/>
              </w:rPr>
            </w:pPr>
          </w:p>
          <w:p w:rsidR="00C13D22" w:rsidRDefault="00C13D22" w:rsidP="009E7977">
            <w:pPr>
              <w:autoSpaceDE w:val="0"/>
              <w:autoSpaceDN w:val="0"/>
              <w:adjustRightInd w:val="0"/>
              <w:jc w:val="both"/>
              <w:rPr>
                <w:rFonts w:eastAsia="Calibri"/>
                <w:iCs/>
                <w:sz w:val="28"/>
                <w:szCs w:val="28"/>
              </w:rPr>
            </w:pPr>
            <w:r w:rsidRPr="00920482">
              <w:rPr>
                <w:rFonts w:eastAsia="Calibri"/>
                <w:sz w:val="28"/>
                <w:szCs w:val="28"/>
              </w:rPr>
              <w:t xml:space="preserve">(2) Politiski represētajām personām, </w:t>
            </w:r>
            <w:r w:rsidRPr="00920482">
              <w:rPr>
                <w:color w:val="000000"/>
                <w:sz w:val="28"/>
                <w:szCs w:val="28"/>
              </w:rPr>
              <w:t>1.grupas invalīdiem un Černobiļas atomelektrostacijas avārijas seku likvidēšanas dalībniekiem</w:t>
            </w:r>
            <w:r w:rsidRPr="00920482">
              <w:rPr>
                <w:rFonts w:eastAsia="Calibri"/>
                <w:sz w:val="28"/>
                <w:szCs w:val="28"/>
              </w:rPr>
              <w:t xml:space="preserve"> valsts pensijas neatkarīgi no to apmēra pārskata reizi gadā 1.oktobrī, ņemot vērā faktisko patēriņa cenu indeksu un </w:t>
            </w:r>
            <w:r w:rsidRPr="00920482">
              <w:rPr>
                <w:rFonts w:eastAsia="Calibri"/>
                <w:iCs/>
                <w:sz w:val="28"/>
                <w:szCs w:val="28"/>
              </w:rPr>
              <w:t>iemaksu algas indeksu.</w:t>
            </w:r>
          </w:p>
          <w:p w:rsidR="00C13D22" w:rsidRPr="00920482" w:rsidRDefault="00C13D22" w:rsidP="009E7977">
            <w:pPr>
              <w:autoSpaceDE w:val="0"/>
              <w:autoSpaceDN w:val="0"/>
              <w:adjustRightInd w:val="0"/>
              <w:jc w:val="both"/>
              <w:rPr>
                <w:rFonts w:eastAsia="Calibri"/>
                <w:sz w:val="28"/>
                <w:szCs w:val="28"/>
              </w:rPr>
            </w:pPr>
          </w:p>
          <w:p w:rsidR="00C13D22" w:rsidRDefault="00C13D22" w:rsidP="009E7977">
            <w:pPr>
              <w:autoSpaceDE w:val="0"/>
              <w:autoSpaceDN w:val="0"/>
              <w:adjustRightInd w:val="0"/>
              <w:jc w:val="both"/>
              <w:rPr>
                <w:rFonts w:eastAsia="Calibri"/>
                <w:sz w:val="28"/>
                <w:szCs w:val="28"/>
              </w:rPr>
            </w:pPr>
            <w:r w:rsidRPr="00920482">
              <w:rPr>
                <w:rFonts w:eastAsia="Calibri"/>
                <w:sz w:val="28"/>
                <w:szCs w:val="28"/>
              </w:rPr>
              <w:t>(3) Ministru kabinets nosaka valsts pensiju pārskatīšanā piemērojamā faktiskā patēriņa cenu indeksa un iemaksu algas indeksa noteikšanas kārtību, kā arī valsts pensiju pārskatīšanas kārtību.</w:t>
            </w:r>
          </w:p>
          <w:p w:rsidR="00C13D22" w:rsidRDefault="00C13D22" w:rsidP="009E7977">
            <w:pPr>
              <w:autoSpaceDE w:val="0"/>
              <w:autoSpaceDN w:val="0"/>
              <w:adjustRightInd w:val="0"/>
              <w:jc w:val="both"/>
              <w:rPr>
                <w:rFonts w:eastAsia="Calibri"/>
                <w:iCs/>
                <w:sz w:val="28"/>
                <w:szCs w:val="28"/>
              </w:rPr>
            </w:pPr>
          </w:p>
          <w:p w:rsidR="00C13D22" w:rsidRPr="00E06062" w:rsidRDefault="00C13D22" w:rsidP="00C13D22">
            <w:pPr>
              <w:autoSpaceDE w:val="0"/>
              <w:autoSpaceDN w:val="0"/>
              <w:adjustRightInd w:val="0"/>
              <w:jc w:val="both"/>
              <w:rPr>
                <w:sz w:val="28"/>
                <w:szCs w:val="28"/>
              </w:rPr>
            </w:pPr>
            <w:r>
              <w:rPr>
                <w:rFonts w:eastAsia="Calibri"/>
                <w:iCs/>
                <w:sz w:val="28"/>
                <w:szCs w:val="28"/>
              </w:rPr>
              <w:t xml:space="preserve">Lai </w:t>
            </w:r>
            <w:r w:rsidR="00E06062">
              <w:rPr>
                <w:rFonts w:eastAsia="Calibri"/>
                <w:iCs/>
                <w:sz w:val="28"/>
                <w:szCs w:val="28"/>
              </w:rPr>
              <w:t xml:space="preserve">Valsts sociālās apdrošināšanas aģentūra (turpmāk – </w:t>
            </w:r>
            <w:r>
              <w:rPr>
                <w:rFonts w:eastAsia="Calibri"/>
                <w:iCs/>
                <w:sz w:val="28"/>
                <w:szCs w:val="28"/>
              </w:rPr>
              <w:t>VSAA</w:t>
            </w:r>
            <w:r w:rsidR="00E06062">
              <w:rPr>
                <w:rFonts w:eastAsia="Calibri"/>
                <w:iCs/>
                <w:sz w:val="28"/>
                <w:szCs w:val="28"/>
              </w:rPr>
              <w:t>)</w:t>
            </w:r>
            <w:r>
              <w:rPr>
                <w:rFonts w:eastAsia="Calibri"/>
                <w:iCs/>
                <w:sz w:val="28"/>
                <w:szCs w:val="28"/>
              </w:rPr>
              <w:t xml:space="preserve"> katra gada 1.oktobrī varētu nodrošināt pensiju indeksāciju, pensiju pārskatīšanā piemērojamajam indeksam jābūt aprēķinātam septembrī, kad tiek gatavoti pensiju izmaksas saraksti oktobrim. Tā kā bez patēriņa cenu indeksa, pensiju pārskatīšanā piemēro arī daļu no apdrošināšanas iemaksu algas reālā pieauguma procentiem, VSAA kopējo indeksu aprēķinās katra gada augustā. Līdz ar to CSP datus par cenu indeksu nepieciešams saņemt augustā, kā rezultātā pensiju pārskatīšanai paredzēts piemērot faktisko patēriņa cenu indeksu par laikposmu</w:t>
            </w:r>
            <w:r>
              <w:rPr>
                <w:sz w:val="28"/>
                <w:szCs w:val="28"/>
              </w:rPr>
              <w:t xml:space="preserve"> no iepriekšējā gada 1.augusta līdz kārtējā gada 31.jūlijam.</w:t>
            </w:r>
          </w:p>
          <w:p w:rsidR="00C13D22" w:rsidRPr="00920482" w:rsidRDefault="00C13D22" w:rsidP="009E7977">
            <w:pPr>
              <w:spacing w:after="120"/>
              <w:jc w:val="both"/>
              <w:rPr>
                <w:sz w:val="28"/>
                <w:szCs w:val="28"/>
              </w:rPr>
            </w:pPr>
            <w:r w:rsidRPr="00920482">
              <w:rPr>
                <w:sz w:val="28"/>
                <w:szCs w:val="28"/>
              </w:rPr>
              <w:t xml:space="preserve">Vienlaikus grozījumi likumā „Par valsts pensijām” nosaka, ka Ministru kabinets līdz 2014.gada 1.augustam izstrādā noteikumus par valsts pensiju pārskatīšanā piemērojamā faktiskā </w:t>
            </w:r>
            <w:r w:rsidRPr="00920482">
              <w:rPr>
                <w:sz w:val="28"/>
                <w:szCs w:val="28"/>
              </w:rPr>
              <w:lastRenderedPageBreak/>
              <w:t>patēriņa cenu indeksa un iemaksu algas indeksa noteikšanas un valsts pensiju pārskatīšanas kārtību. Līdz minēto noteikumu spēkā stāšanās dienai piemērojami Ministru kabineta 2009.gada 22.decembra noteikumi Nr.1581 „Valsts pensiju, atlīdzības par darbspēju zaudējumu un atlīdzības par apgādnieka zaudējumu apmēra pārskatīšanas kārtība”, ciktāl tie nav pretrunā ar šo likumu.</w:t>
            </w:r>
          </w:p>
          <w:p w:rsidR="00C13D22" w:rsidRPr="00920482" w:rsidRDefault="00C13D22" w:rsidP="009E7977">
            <w:pPr>
              <w:pStyle w:val="naisf"/>
              <w:ind w:firstLine="0"/>
              <w:rPr>
                <w:sz w:val="28"/>
                <w:szCs w:val="28"/>
              </w:rPr>
            </w:pPr>
            <w:r w:rsidRPr="00920482">
              <w:rPr>
                <w:sz w:val="28"/>
                <w:szCs w:val="28"/>
              </w:rPr>
              <w:t>Izstrādātais noteikumu projekts paredz noteikt valsts pensiju pārskatīšanā piemērojamā faktiskā patēriņa cenu indeksa noteikšanas kārtību, iemaksu algas indeksa aprēķina kārtību, kā arī valsts pensiju pārskatīšanas kārtību.</w:t>
            </w:r>
          </w:p>
        </w:tc>
      </w:tr>
      <w:tr w:rsidR="00C13D22" w:rsidRPr="00920482" w:rsidTr="009E7977">
        <w:tc>
          <w:tcPr>
            <w:tcW w:w="213" w:type="pct"/>
          </w:tcPr>
          <w:p w:rsidR="00C13D22" w:rsidRPr="00920482" w:rsidRDefault="00C13D22" w:rsidP="009E7977">
            <w:pPr>
              <w:rPr>
                <w:sz w:val="28"/>
                <w:szCs w:val="28"/>
              </w:rPr>
            </w:pPr>
            <w:r w:rsidRPr="00920482">
              <w:rPr>
                <w:sz w:val="28"/>
                <w:szCs w:val="28"/>
              </w:rPr>
              <w:lastRenderedPageBreak/>
              <w:t>3.</w:t>
            </w:r>
          </w:p>
        </w:tc>
        <w:tc>
          <w:tcPr>
            <w:tcW w:w="1654" w:type="pct"/>
          </w:tcPr>
          <w:p w:rsidR="00C13D22" w:rsidRPr="00920482" w:rsidRDefault="00C13D22" w:rsidP="009E7977">
            <w:pPr>
              <w:rPr>
                <w:sz w:val="28"/>
                <w:szCs w:val="28"/>
              </w:rPr>
            </w:pPr>
            <w:r w:rsidRPr="00920482">
              <w:rPr>
                <w:sz w:val="28"/>
                <w:szCs w:val="28"/>
              </w:rPr>
              <w:t>Projekta izstrādē iesaistītās institūcijas</w:t>
            </w:r>
          </w:p>
        </w:tc>
        <w:tc>
          <w:tcPr>
            <w:tcW w:w="3133" w:type="pct"/>
          </w:tcPr>
          <w:p w:rsidR="00C13D22" w:rsidRPr="00920482" w:rsidRDefault="00C13D22" w:rsidP="009E7977">
            <w:pPr>
              <w:jc w:val="both"/>
              <w:rPr>
                <w:color w:val="FF0000"/>
                <w:sz w:val="28"/>
                <w:szCs w:val="28"/>
              </w:rPr>
            </w:pPr>
            <w:r w:rsidRPr="00920482">
              <w:rPr>
                <w:sz w:val="28"/>
                <w:szCs w:val="28"/>
              </w:rPr>
              <w:t>VSAA.</w:t>
            </w:r>
          </w:p>
        </w:tc>
      </w:tr>
      <w:tr w:rsidR="00C13D22" w:rsidRPr="00920482" w:rsidTr="009E7977">
        <w:tc>
          <w:tcPr>
            <w:tcW w:w="213" w:type="pct"/>
          </w:tcPr>
          <w:p w:rsidR="00C13D22" w:rsidRPr="00920482" w:rsidRDefault="00C13D22" w:rsidP="009E7977">
            <w:pPr>
              <w:rPr>
                <w:sz w:val="28"/>
                <w:szCs w:val="28"/>
              </w:rPr>
            </w:pPr>
            <w:r w:rsidRPr="00920482">
              <w:rPr>
                <w:sz w:val="28"/>
                <w:szCs w:val="28"/>
              </w:rPr>
              <w:t xml:space="preserve">4. </w:t>
            </w:r>
          </w:p>
        </w:tc>
        <w:tc>
          <w:tcPr>
            <w:tcW w:w="1654" w:type="pct"/>
          </w:tcPr>
          <w:p w:rsidR="00C13D22" w:rsidRPr="00920482" w:rsidRDefault="00C13D22" w:rsidP="009E7977">
            <w:pPr>
              <w:rPr>
                <w:sz w:val="28"/>
                <w:szCs w:val="28"/>
              </w:rPr>
            </w:pPr>
            <w:r w:rsidRPr="00920482">
              <w:rPr>
                <w:sz w:val="28"/>
                <w:szCs w:val="28"/>
              </w:rPr>
              <w:t>Cita informācija</w:t>
            </w:r>
          </w:p>
        </w:tc>
        <w:tc>
          <w:tcPr>
            <w:tcW w:w="3133" w:type="pct"/>
          </w:tcPr>
          <w:p w:rsidR="00C13D22" w:rsidRPr="00920482" w:rsidRDefault="00C13D22" w:rsidP="009E7977">
            <w:pPr>
              <w:jc w:val="both"/>
              <w:rPr>
                <w:color w:val="FF0000"/>
                <w:sz w:val="28"/>
                <w:szCs w:val="28"/>
              </w:rPr>
            </w:pPr>
            <w:r w:rsidRPr="00920482">
              <w:rPr>
                <w:sz w:val="28"/>
                <w:szCs w:val="28"/>
              </w:rPr>
              <w:t>Nav.</w:t>
            </w:r>
          </w:p>
        </w:tc>
      </w:tr>
    </w:tbl>
    <w:p w:rsidR="00C13D22" w:rsidRPr="00920482" w:rsidRDefault="00C13D22" w:rsidP="00C13D2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5"/>
        <w:gridCol w:w="5796"/>
      </w:tblGrid>
      <w:tr w:rsidR="00C13D22" w:rsidRPr="00920482" w:rsidTr="009E7977">
        <w:tc>
          <w:tcPr>
            <w:tcW w:w="9287" w:type="dxa"/>
            <w:gridSpan w:val="3"/>
          </w:tcPr>
          <w:p w:rsidR="00C13D22" w:rsidRPr="00920482" w:rsidRDefault="00C13D22" w:rsidP="009E7977">
            <w:pPr>
              <w:pStyle w:val="naisnod"/>
              <w:spacing w:before="0" w:after="0"/>
              <w:ind w:left="57" w:right="57"/>
              <w:rPr>
                <w:b w:val="0"/>
                <w:sz w:val="28"/>
                <w:szCs w:val="28"/>
              </w:rPr>
            </w:pPr>
            <w:r w:rsidRPr="00920482">
              <w:rPr>
                <w:sz w:val="28"/>
                <w:szCs w:val="28"/>
              </w:rPr>
              <w:t>II.</w:t>
            </w:r>
            <w:r w:rsidRPr="00920482">
              <w:rPr>
                <w:b w:val="0"/>
                <w:sz w:val="28"/>
                <w:szCs w:val="28"/>
              </w:rPr>
              <w:t xml:space="preserve"> </w:t>
            </w:r>
            <w:r w:rsidRPr="00920482">
              <w:rPr>
                <w:sz w:val="28"/>
                <w:szCs w:val="28"/>
              </w:rPr>
              <w:t>Tiesību akta projekta ietekme uz sabiedrību, tautsaimniecības attīstību</w:t>
            </w:r>
          </w:p>
          <w:p w:rsidR="00C13D22" w:rsidRPr="00920482" w:rsidRDefault="00C13D22" w:rsidP="009E7977">
            <w:pPr>
              <w:jc w:val="center"/>
              <w:rPr>
                <w:b/>
                <w:sz w:val="28"/>
                <w:szCs w:val="28"/>
              </w:rPr>
            </w:pPr>
            <w:r w:rsidRPr="00920482">
              <w:rPr>
                <w:b/>
                <w:sz w:val="28"/>
                <w:szCs w:val="28"/>
              </w:rPr>
              <w:t>un administratīvo slogu</w:t>
            </w:r>
          </w:p>
        </w:tc>
      </w:tr>
      <w:tr w:rsidR="00C13D22" w:rsidRPr="00920482" w:rsidTr="009E7977">
        <w:tc>
          <w:tcPr>
            <w:tcW w:w="396" w:type="dxa"/>
          </w:tcPr>
          <w:p w:rsidR="00C13D22" w:rsidRPr="00920482" w:rsidRDefault="00C13D22" w:rsidP="009E7977">
            <w:pPr>
              <w:rPr>
                <w:sz w:val="28"/>
                <w:szCs w:val="28"/>
              </w:rPr>
            </w:pPr>
            <w:r w:rsidRPr="00920482">
              <w:rPr>
                <w:sz w:val="28"/>
                <w:szCs w:val="28"/>
              </w:rPr>
              <w:t>1.</w:t>
            </w:r>
          </w:p>
        </w:tc>
        <w:tc>
          <w:tcPr>
            <w:tcW w:w="3072" w:type="dxa"/>
          </w:tcPr>
          <w:p w:rsidR="00C13D22" w:rsidRPr="00920482" w:rsidRDefault="00C13D22" w:rsidP="009E7977">
            <w:pPr>
              <w:rPr>
                <w:sz w:val="28"/>
                <w:szCs w:val="28"/>
              </w:rPr>
            </w:pPr>
            <w:r w:rsidRPr="00920482">
              <w:rPr>
                <w:sz w:val="28"/>
                <w:szCs w:val="28"/>
              </w:rPr>
              <w:t>Sabiedrības mērķgrupas, kuras tiesiskais regulējums ietekmē vai varētu ietekmēt</w:t>
            </w:r>
          </w:p>
        </w:tc>
        <w:tc>
          <w:tcPr>
            <w:tcW w:w="5819" w:type="dxa"/>
          </w:tcPr>
          <w:p w:rsidR="00C13D22" w:rsidRDefault="00C13D22" w:rsidP="009E7977">
            <w:pPr>
              <w:jc w:val="both"/>
              <w:rPr>
                <w:sz w:val="28"/>
                <w:szCs w:val="28"/>
              </w:rPr>
            </w:pPr>
            <w:r w:rsidRPr="00920482">
              <w:rPr>
                <w:sz w:val="28"/>
                <w:szCs w:val="28"/>
              </w:rPr>
              <w:t>VSAA (14 teritoriālās nodaļas).</w:t>
            </w:r>
          </w:p>
          <w:p w:rsidR="00C13D22" w:rsidRPr="00C13D22" w:rsidRDefault="00C13D22" w:rsidP="009E7977">
            <w:pPr>
              <w:jc w:val="both"/>
              <w:rPr>
                <w:rFonts w:eastAsia="Calibri"/>
                <w:sz w:val="28"/>
                <w:szCs w:val="28"/>
                <w:lang w:eastAsia="en-US"/>
              </w:rPr>
            </w:pPr>
            <w:r w:rsidRPr="009E7977">
              <w:rPr>
                <w:rFonts w:eastAsia="Calibri"/>
                <w:sz w:val="28"/>
                <w:szCs w:val="28"/>
                <w:lang w:eastAsia="en-US"/>
              </w:rPr>
              <w:t>Pensiju indeksācija tiks nodrošināta visiem valsts pensiju saņēmējiem, t.i., pēc VSAA datiem 2014.gada februārī uzskaitē bija 474,4 tūkst. vecuma pensijas saņēmēji (vidējais piešķirtais pensijas apmērs kopā ar piemaksu 278,14 EUR), 72,2 tūkst. invaliditātes pensijas saņēmēji (vidējais piešķirtais pensijas apmērs kopā ar piemaksu 169,11 EUR), 19,1 tūkst. apgādnieku zaudējuma pensijas saņēmēji (vidējais piešķirtais pensijas apmērs 132,14 EUR), 3,6 tūkst. izdienas pensijas, kuras izmaksā no valsts sociālās apdrošināšanas speciālā budžeta, saņēmēji (vidējais piešķirtais pensijas apmērs 304,30 EUR).</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2. </w:t>
            </w:r>
          </w:p>
        </w:tc>
        <w:tc>
          <w:tcPr>
            <w:tcW w:w="3072" w:type="dxa"/>
          </w:tcPr>
          <w:p w:rsidR="00C13D22" w:rsidRPr="00920482" w:rsidRDefault="00C13D22" w:rsidP="009E7977">
            <w:pPr>
              <w:rPr>
                <w:sz w:val="28"/>
                <w:szCs w:val="28"/>
              </w:rPr>
            </w:pPr>
            <w:r w:rsidRPr="00920482">
              <w:rPr>
                <w:sz w:val="28"/>
                <w:szCs w:val="28"/>
              </w:rPr>
              <w:t>Tiesiskā regulējuma ietekme uz tautsaimniecību un administratīvo slogu</w:t>
            </w:r>
          </w:p>
        </w:tc>
        <w:tc>
          <w:tcPr>
            <w:tcW w:w="5819" w:type="dxa"/>
          </w:tcPr>
          <w:p w:rsidR="00C13D22" w:rsidRPr="00920482" w:rsidRDefault="00C13D22" w:rsidP="009E7977">
            <w:pPr>
              <w:jc w:val="both"/>
              <w:rPr>
                <w:color w:val="FF0000"/>
                <w:sz w:val="28"/>
                <w:szCs w:val="28"/>
              </w:rPr>
            </w:pPr>
            <w:r w:rsidRPr="00920482">
              <w:rPr>
                <w:sz w:val="28"/>
                <w:szCs w:val="28"/>
              </w:rPr>
              <w:t>VSAA noteikumu projekta tiesiskais regulējums nemaina tiesības un pienākumus, kā arī veicamās darbības.</w:t>
            </w:r>
          </w:p>
        </w:tc>
      </w:tr>
      <w:tr w:rsidR="00C13D22" w:rsidRPr="00920482" w:rsidTr="009E7977">
        <w:tc>
          <w:tcPr>
            <w:tcW w:w="396" w:type="dxa"/>
          </w:tcPr>
          <w:p w:rsidR="00C13D22" w:rsidRPr="00920482" w:rsidRDefault="00C13D22" w:rsidP="009E7977">
            <w:pPr>
              <w:rPr>
                <w:sz w:val="28"/>
                <w:szCs w:val="28"/>
              </w:rPr>
            </w:pPr>
            <w:r w:rsidRPr="00920482">
              <w:rPr>
                <w:sz w:val="28"/>
                <w:szCs w:val="28"/>
              </w:rPr>
              <w:t>3.</w:t>
            </w:r>
          </w:p>
        </w:tc>
        <w:tc>
          <w:tcPr>
            <w:tcW w:w="3072" w:type="dxa"/>
          </w:tcPr>
          <w:p w:rsidR="00C13D22" w:rsidRPr="00920482" w:rsidRDefault="00C13D22" w:rsidP="009E7977">
            <w:pPr>
              <w:rPr>
                <w:sz w:val="28"/>
                <w:szCs w:val="28"/>
              </w:rPr>
            </w:pPr>
            <w:r w:rsidRPr="00920482">
              <w:rPr>
                <w:sz w:val="28"/>
                <w:szCs w:val="28"/>
              </w:rPr>
              <w:t>Administratīvo izmaksu monetārs novērtējums</w:t>
            </w:r>
          </w:p>
        </w:tc>
        <w:tc>
          <w:tcPr>
            <w:tcW w:w="5819" w:type="dxa"/>
          </w:tcPr>
          <w:p w:rsidR="00C13D22" w:rsidRPr="00920482" w:rsidRDefault="00C13D22" w:rsidP="009E7977">
            <w:pPr>
              <w:jc w:val="both"/>
              <w:rPr>
                <w:color w:val="FF0000"/>
                <w:sz w:val="28"/>
                <w:szCs w:val="28"/>
              </w:rPr>
            </w:pPr>
            <w:r w:rsidRPr="00920482">
              <w:rPr>
                <w:sz w:val="28"/>
                <w:szCs w:val="28"/>
              </w:rPr>
              <w:t xml:space="preserve">CSP sniegt VSAA ziņas par faktisko patēriņa cenu indeksu nav jauna prasība. CSP </w:t>
            </w:r>
            <w:r>
              <w:rPr>
                <w:sz w:val="28"/>
                <w:szCs w:val="28"/>
              </w:rPr>
              <w:t xml:space="preserve">jau šobrīd </w:t>
            </w:r>
            <w:r w:rsidRPr="00920482">
              <w:rPr>
                <w:sz w:val="28"/>
                <w:szCs w:val="28"/>
              </w:rPr>
              <w:t>sniedz attiecīgo informāciju regulāri. Līdz ar to tas nerada papildu administratīvo izmaksu slogu.</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4. </w:t>
            </w:r>
          </w:p>
        </w:tc>
        <w:tc>
          <w:tcPr>
            <w:tcW w:w="3072" w:type="dxa"/>
          </w:tcPr>
          <w:p w:rsidR="00C13D22" w:rsidRPr="00920482" w:rsidRDefault="00C13D22" w:rsidP="009E7977">
            <w:pPr>
              <w:rPr>
                <w:sz w:val="28"/>
                <w:szCs w:val="28"/>
              </w:rPr>
            </w:pPr>
            <w:r w:rsidRPr="00920482">
              <w:rPr>
                <w:sz w:val="28"/>
                <w:szCs w:val="28"/>
              </w:rPr>
              <w:t>Cita informācija</w:t>
            </w:r>
          </w:p>
        </w:tc>
        <w:tc>
          <w:tcPr>
            <w:tcW w:w="5819" w:type="dxa"/>
          </w:tcPr>
          <w:p w:rsidR="00C13D22" w:rsidRPr="00C13D22" w:rsidRDefault="00C13D22" w:rsidP="009E7977">
            <w:pPr>
              <w:jc w:val="both"/>
              <w:rPr>
                <w:sz w:val="28"/>
                <w:szCs w:val="28"/>
              </w:rPr>
            </w:pPr>
            <w:r>
              <w:rPr>
                <w:sz w:val="28"/>
                <w:szCs w:val="28"/>
              </w:rPr>
              <w:t>N</w:t>
            </w:r>
            <w:r w:rsidRPr="009E7977">
              <w:rPr>
                <w:sz w:val="28"/>
                <w:szCs w:val="28"/>
              </w:rPr>
              <w:t xml:space="preserve">oteikumu projekta ietekme uz valsts budžetu un </w:t>
            </w:r>
            <w:r w:rsidRPr="009E7977">
              <w:rPr>
                <w:sz w:val="28"/>
                <w:szCs w:val="28"/>
              </w:rPr>
              <w:lastRenderedPageBreak/>
              <w:t>pašvaldību budžetiem tika norādīta š.g. 3.aprīļa grozījumu likumā “Par valsts pensijām” un grozījumu likumā “Par obligāto sociālo apdrošināšanu pret nelaimes gadījumiem darbā un arodslimībām” anotācijās.</w:t>
            </w:r>
          </w:p>
        </w:tc>
      </w:tr>
    </w:tbl>
    <w:p w:rsidR="00C13D22" w:rsidRPr="00920482" w:rsidRDefault="00C13D22" w:rsidP="00C13D2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5"/>
        <w:gridCol w:w="5796"/>
      </w:tblGrid>
      <w:tr w:rsidR="00C13D22" w:rsidRPr="00920482" w:rsidTr="009E7977">
        <w:tc>
          <w:tcPr>
            <w:tcW w:w="9287" w:type="dxa"/>
            <w:gridSpan w:val="3"/>
          </w:tcPr>
          <w:p w:rsidR="00C13D22" w:rsidRPr="00920482" w:rsidRDefault="00C13D22" w:rsidP="009E7977">
            <w:pPr>
              <w:jc w:val="center"/>
              <w:rPr>
                <w:b/>
                <w:sz w:val="28"/>
                <w:szCs w:val="28"/>
              </w:rPr>
            </w:pPr>
            <w:r w:rsidRPr="00920482">
              <w:rPr>
                <w:b/>
                <w:sz w:val="28"/>
                <w:szCs w:val="28"/>
              </w:rPr>
              <w:t>VI. Sabiedrības līdzdalība un komunikācijas aktivitātes</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1. </w:t>
            </w:r>
          </w:p>
        </w:tc>
        <w:tc>
          <w:tcPr>
            <w:tcW w:w="3072" w:type="dxa"/>
          </w:tcPr>
          <w:p w:rsidR="00C13D22" w:rsidRPr="00920482" w:rsidRDefault="00C13D22" w:rsidP="009E7977">
            <w:pPr>
              <w:pStyle w:val="naiskr"/>
              <w:spacing w:before="0" w:after="0"/>
              <w:ind w:left="57" w:right="57"/>
              <w:rPr>
                <w:sz w:val="28"/>
                <w:szCs w:val="28"/>
              </w:rPr>
            </w:pPr>
            <w:r w:rsidRPr="00920482">
              <w:rPr>
                <w:sz w:val="28"/>
                <w:szCs w:val="28"/>
              </w:rPr>
              <w:t>Plānotās sabiedrības līdzdalības un komunikācijas aktivitātes saistībā ar projektu</w:t>
            </w:r>
          </w:p>
        </w:tc>
        <w:tc>
          <w:tcPr>
            <w:tcW w:w="5819" w:type="dxa"/>
          </w:tcPr>
          <w:p w:rsidR="00C13D22" w:rsidRPr="00920482" w:rsidRDefault="00C13D22" w:rsidP="009E7977">
            <w:pPr>
              <w:jc w:val="both"/>
              <w:rPr>
                <w:i/>
                <w:color w:val="FF0000"/>
                <w:sz w:val="28"/>
                <w:szCs w:val="28"/>
              </w:rPr>
            </w:pPr>
            <w:r w:rsidRPr="00920482">
              <w:rPr>
                <w:sz w:val="28"/>
                <w:szCs w:val="28"/>
              </w:rPr>
              <w:t xml:space="preserve">Noteikumu projekts pirms izsludināšanas Valsts sekretāru sanāksmē publicēts Labklājības ministrijas mājas lapā. </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2. </w:t>
            </w:r>
          </w:p>
        </w:tc>
        <w:tc>
          <w:tcPr>
            <w:tcW w:w="3072" w:type="dxa"/>
          </w:tcPr>
          <w:p w:rsidR="00C13D22" w:rsidRPr="00920482" w:rsidRDefault="00C13D22" w:rsidP="009E7977">
            <w:pPr>
              <w:pStyle w:val="naiskr"/>
              <w:spacing w:before="0" w:after="0"/>
              <w:ind w:left="57" w:right="57"/>
              <w:rPr>
                <w:sz w:val="28"/>
                <w:szCs w:val="28"/>
              </w:rPr>
            </w:pPr>
            <w:r w:rsidRPr="00920482">
              <w:rPr>
                <w:sz w:val="28"/>
                <w:szCs w:val="28"/>
              </w:rPr>
              <w:t xml:space="preserve">Sabiedrības līdzdalība projekta izstrādē </w:t>
            </w:r>
          </w:p>
        </w:tc>
        <w:tc>
          <w:tcPr>
            <w:tcW w:w="5819" w:type="dxa"/>
          </w:tcPr>
          <w:p w:rsidR="00C13D22" w:rsidRPr="00920482" w:rsidRDefault="00C13D22" w:rsidP="009E7977">
            <w:pPr>
              <w:jc w:val="both"/>
              <w:rPr>
                <w:i/>
                <w:color w:val="FF0000"/>
                <w:sz w:val="28"/>
                <w:szCs w:val="28"/>
              </w:rPr>
            </w:pPr>
            <w:r w:rsidRPr="00920482">
              <w:rPr>
                <w:sz w:val="28"/>
                <w:szCs w:val="28"/>
              </w:rPr>
              <w:t>Projekts šo jomu neskar.</w:t>
            </w:r>
          </w:p>
        </w:tc>
      </w:tr>
      <w:tr w:rsidR="00C13D22" w:rsidRPr="00920482" w:rsidTr="009E7977">
        <w:tc>
          <w:tcPr>
            <w:tcW w:w="396" w:type="dxa"/>
          </w:tcPr>
          <w:p w:rsidR="00C13D22" w:rsidRPr="00920482" w:rsidRDefault="00C13D22" w:rsidP="009E7977">
            <w:pPr>
              <w:rPr>
                <w:sz w:val="28"/>
                <w:szCs w:val="28"/>
              </w:rPr>
            </w:pPr>
            <w:r w:rsidRPr="00920482">
              <w:rPr>
                <w:sz w:val="28"/>
                <w:szCs w:val="28"/>
              </w:rPr>
              <w:t>3.</w:t>
            </w:r>
          </w:p>
        </w:tc>
        <w:tc>
          <w:tcPr>
            <w:tcW w:w="3072" w:type="dxa"/>
          </w:tcPr>
          <w:p w:rsidR="00C13D22" w:rsidRPr="00920482" w:rsidRDefault="00C13D22" w:rsidP="009E7977">
            <w:pPr>
              <w:pStyle w:val="naiskr"/>
              <w:spacing w:before="0" w:after="0"/>
              <w:ind w:left="57" w:right="57"/>
              <w:rPr>
                <w:sz w:val="28"/>
                <w:szCs w:val="28"/>
              </w:rPr>
            </w:pPr>
            <w:r w:rsidRPr="00920482">
              <w:rPr>
                <w:sz w:val="28"/>
                <w:szCs w:val="28"/>
              </w:rPr>
              <w:t xml:space="preserve">Sabiedrības līdzdalības rezultāti </w:t>
            </w:r>
          </w:p>
        </w:tc>
        <w:tc>
          <w:tcPr>
            <w:tcW w:w="5819" w:type="dxa"/>
          </w:tcPr>
          <w:p w:rsidR="00C13D22" w:rsidRPr="00920482" w:rsidRDefault="00993668" w:rsidP="009E7977">
            <w:pPr>
              <w:jc w:val="both"/>
              <w:rPr>
                <w:sz w:val="28"/>
                <w:szCs w:val="28"/>
              </w:rPr>
            </w:pPr>
            <w:r>
              <w:rPr>
                <w:sz w:val="28"/>
                <w:szCs w:val="28"/>
              </w:rPr>
              <w:t>S</w:t>
            </w:r>
            <w:r w:rsidRPr="00B40FEB">
              <w:rPr>
                <w:sz w:val="28"/>
                <w:szCs w:val="28"/>
              </w:rPr>
              <w:t xml:space="preserve">abiedrības komentāri, priekšlikumi, iebildumi par </w:t>
            </w:r>
            <w:r>
              <w:rPr>
                <w:sz w:val="28"/>
                <w:szCs w:val="28"/>
              </w:rPr>
              <w:t xml:space="preserve">noteikumu </w:t>
            </w:r>
            <w:r w:rsidRPr="00B40FEB">
              <w:rPr>
                <w:sz w:val="28"/>
                <w:szCs w:val="28"/>
              </w:rPr>
              <w:t>projektu nav saņemti.</w:t>
            </w:r>
          </w:p>
        </w:tc>
      </w:tr>
      <w:tr w:rsidR="00C13D22" w:rsidRPr="00920482" w:rsidTr="009E7977">
        <w:tc>
          <w:tcPr>
            <w:tcW w:w="396" w:type="dxa"/>
          </w:tcPr>
          <w:p w:rsidR="00C13D22" w:rsidRPr="00920482" w:rsidRDefault="00C13D22" w:rsidP="009E7977">
            <w:pPr>
              <w:rPr>
                <w:sz w:val="28"/>
                <w:szCs w:val="28"/>
              </w:rPr>
            </w:pPr>
            <w:r w:rsidRPr="00920482">
              <w:rPr>
                <w:sz w:val="28"/>
                <w:szCs w:val="28"/>
              </w:rPr>
              <w:t>4.</w:t>
            </w:r>
          </w:p>
        </w:tc>
        <w:tc>
          <w:tcPr>
            <w:tcW w:w="3072" w:type="dxa"/>
          </w:tcPr>
          <w:p w:rsidR="00C13D22" w:rsidRPr="00920482" w:rsidRDefault="00C13D22" w:rsidP="00C13D22">
            <w:pPr>
              <w:pStyle w:val="naiskr"/>
              <w:spacing w:before="0" w:after="0"/>
              <w:ind w:left="57" w:right="57"/>
              <w:rPr>
                <w:sz w:val="28"/>
                <w:szCs w:val="28"/>
              </w:rPr>
            </w:pPr>
            <w:r w:rsidRPr="00920482">
              <w:rPr>
                <w:sz w:val="28"/>
                <w:szCs w:val="28"/>
              </w:rPr>
              <w:t>Cita informācija</w:t>
            </w:r>
          </w:p>
        </w:tc>
        <w:tc>
          <w:tcPr>
            <w:tcW w:w="5819" w:type="dxa"/>
          </w:tcPr>
          <w:p w:rsidR="00C13D22" w:rsidRPr="00920482" w:rsidRDefault="00C13D22" w:rsidP="009E7977">
            <w:pPr>
              <w:jc w:val="both"/>
              <w:rPr>
                <w:sz w:val="28"/>
                <w:szCs w:val="28"/>
              </w:rPr>
            </w:pPr>
            <w:r w:rsidRPr="00920482">
              <w:rPr>
                <w:sz w:val="28"/>
                <w:szCs w:val="28"/>
              </w:rPr>
              <w:t>Nav.</w:t>
            </w:r>
          </w:p>
        </w:tc>
      </w:tr>
    </w:tbl>
    <w:p w:rsidR="00C13D22" w:rsidRPr="00920482" w:rsidRDefault="00C13D22" w:rsidP="00C13D2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6"/>
        <w:gridCol w:w="5795"/>
      </w:tblGrid>
      <w:tr w:rsidR="00C13D22" w:rsidRPr="00920482" w:rsidTr="009E7977">
        <w:tc>
          <w:tcPr>
            <w:tcW w:w="9287" w:type="dxa"/>
            <w:gridSpan w:val="3"/>
          </w:tcPr>
          <w:p w:rsidR="00C13D22" w:rsidRPr="00920482" w:rsidRDefault="00C13D22" w:rsidP="009E7977">
            <w:pPr>
              <w:jc w:val="center"/>
              <w:rPr>
                <w:b/>
                <w:sz w:val="28"/>
                <w:szCs w:val="28"/>
              </w:rPr>
            </w:pPr>
            <w:r w:rsidRPr="00920482">
              <w:rPr>
                <w:b/>
                <w:sz w:val="28"/>
                <w:szCs w:val="28"/>
              </w:rPr>
              <w:t>VII. Tiesību akta projekta izpildes nodrošināšana un tās ietekme uz institūcijām</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1. </w:t>
            </w:r>
          </w:p>
        </w:tc>
        <w:tc>
          <w:tcPr>
            <w:tcW w:w="3072" w:type="dxa"/>
          </w:tcPr>
          <w:p w:rsidR="00C13D22" w:rsidRPr="00920482" w:rsidRDefault="00C13D22" w:rsidP="009E7977">
            <w:pPr>
              <w:rPr>
                <w:sz w:val="28"/>
                <w:szCs w:val="28"/>
              </w:rPr>
            </w:pPr>
            <w:r w:rsidRPr="00920482">
              <w:rPr>
                <w:sz w:val="28"/>
                <w:szCs w:val="28"/>
              </w:rPr>
              <w:t>Projekta izpildē iesaistītās institūcijas</w:t>
            </w:r>
          </w:p>
        </w:tc>
        <w:tc>
          <w:tcPr>
            <w:tcW w:w="5819" w:type="dxa"/>
          </w:tcPr>
          <w:p w:rsidR="00C13D22" w:rsidRPr="00920482" w:rsidRDefault="00C13D22" w:rsidP="009E7977">
            <w:pPr>
              <w:jc w:val="both"/>
              <w:rPr>
                <w:color w:val="FF0000"/>
                <w:sz w:val="28"/>
                <w:szCs w:val="28"/>
              </w:rPr>
            </w:pPr>
            <w:r w:rsidRPr="00920482">
              <w:rPr>
                <w:sz w:val="28"/>
                <w:szCs w:val="28"/>
              </w:rPr>
              <w:t>Noteikumu projekta izpildi nodrošinās VSAA un CSP.</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2. </w:t>
            </w:r>
          </w:p>
        </w:tc>
        <w:tc>
          <w:tcPr>
            <w:tcW w:w="3072" w:type="dxa"/>
          </w:tcPr>
          <w:p w:rsidR="00C13D22" w:rsidRPr="00920482" w:rsidRDefault="00C13D22" w:rsidP="009E7977">
            <w:pPr>
              <w:rPr>
                <w:sz w:val="28"/>
                <w:szCs w:val="28"/>
              </w:rPr>
            </w:pPr>
            <w:r w:rsidRPr="00920482">
              <w:rPr>
                <w:sz w:val="28"/>
                <w:szCs w:val="28"/>
              </w:rPr>
              <w:t>Projekta izpildes ietekme uz pār</w:t>
            </w:r>
            <w:r w:rsidRPr="00920482">
              <w:rPr>
                <w:sz w:val="28"/>
                <w:szCs w:val="28"/>
              </w:rPr>
              <w:softHyphen/>
              <w:t>valdes funkcijām un institucionālo struktūru.</w:t>
            </w:r>
          </w:p>
          <w:p w:rsidR="00C13D22" w:rsidRPr="00920482" w:rsidRDefault="00C13D22" w:rsidP="009E7977">
            <w:pPr>
              <w:rPr>
                <w:sz w:val="28"/>
                <w:szCs w:val="28"/>
              </w:rPr>
            </w:pPr>
            <w:r w:rsidRPr="00920482">
              <w:rPr>
                <w:sz w:val="28"/>
                <w:szCs w:val="28"/>
              </w:rPr>
              <w:t>Jaunu institūciju izveide, esošu institūciju likvidācija vai reorga</w:t>
            </w:r>
            <w:r w:rsidRPr="00920482">
              <w:rPr>
                <w:sz w:val="28"/>
                <w:szCs w:val="28"/>
              </w:rPr>
              <w:softHyphen/>
              <w:t>nizācija, to ietekme uz institūcijas cilvēkresursiem</w:t>
            </w:r>
          </w:p>
        </w:tc>
        <w:tc>
          <w:tcPr>
            <w:tcW w:w="5819" w:type="dxa"/>
          </w:tcPr>
          <w:p w:rsidR="00C13D22" w:rsidRPr="00920482" w:rsidRDefault="00C13D22" w:rsidP="009E7977">
            <w:pPr>
              <w:jc w:val="both"/>
              <w:rPr>
                <w:color w:val="FF0000"/>
                <w:sz w:val="28"/>
                <w:szCs w:val="28"/>
              </w:rPr>
            </w:pPr>
            <w:r w:rsidRPr="00920482">
              <w:rPr>
                <w:sz w:val="28"/>
                <w:szCs w:val="28"/>
              </w:rPr>
              <w:t>Noteikumu projekta izpildi VSAA un CSP nodrošinās esošo funkciju ietvaros.</w:t>
            </w:r>
          </w:p>
        </w:tc>
      </w:tr>
      <w:tr w:rsidR="00C13D22" w:rsidRPr="00920482" w:rsidTr="009E7977">
        <w:tc>
          <w:tcPr>
            <w:tcW w:w="396" w:type="dxa"/>
          </w:tcPr>
          <w:p w:rsidR="00C13D22" w:rsidRPr="00920482" w:rsidRDefault="00C13D22" w:rsidP="009E7977">
            <w:pPr>
              <w:rPr>
                <w:sz w:val="28"/>
                <w:szCs w:val="28"/>
              </w:rPr>
            </w:pPr>
            <w:r w:rsidRPr="00920482">
              <w:rPr>
                <w:sz w:val="28"/>
                <w:szCs w:val="28"/>
              </w:rPr>
              <w:t xml:space="preserve">3. </w:t>
            </w:r>
          </w:p>
        </w:tc>
        <w:tc>
          <w:tcPr>
            <w:tcW w:w="3072" w:type="dxa"/>
          </w:tcPr>
          <w:p w:rsidR="00C13D22" w:rsidRPr="00920482" w:rsidRDefault="00C13D22" w:rsidP="009E7977">
            <w:pPr>
              <w:rPr>
                <w:sz w:val="28"/>
                <w:szCs w:val="28"/>
              </w:rPr>
            </w:pPr>
            <w:r w:rsidRPr="00920482">
              <w:rPr>
                <w:sz w:val="28"/>
                <w:szCs w:val="28"/>
              </w:rPr>
              <w:t>Cita informācija</w:t>
            </w:r>
          </w:p>
        </w:tc>
        <w:tc>
          <w:tcPr>
            <w:tcW w:w="5819" w:type="dxa"/>
          </w:tcPr>
          <w:p w:rsidR="00C13D22" w:rsidRPr="00920482" w:rsidRDefault="00C13D22" w:rsidP="009E7977">
            <w:pPr>
              <w:jc w:val="both"/>
              <w:rPr>
                <w:color w:val="FF0000"/>
                <w:sz w:val="28"/>
                <w:szCs w:val="28"/>
              </w:rPr>
            </w:pPr>
            <w:r w:rsidRPr="00920482">
              <w:rPr>
                <w:sz w:val="28"/>
                <w:szCs w:val="28"/>
              </w:rPr>
              <w:t>Nav.</w:t>
            </w:r>
          </w:p>
        </w:tc>
      </w:tr>
    </w:tbl>
    <w:p w:rsidR="00C13D22" w:rsidRPr="00920482" w:rsidRDefault="00C13D22" w:rsidP="00C13D22">
      <w:pPr>
        <w:jc w:val="center"/>
        <w:rPr>
          <w:sz w:val="28"/>
          <w:szCs w:val="28"/>
        </w:rPr>
      </w:pPr>
    </w:p>
    <w:p w:rsidR="00C13D22" w:rsidRPr="00920482" w:rsidRDefault="00C13D22" w:rsidP="00C13D22">
      <w:pPr>
        <w:jc w:val="center"/>
        <w:rPr>
          <w:i/>
          <w:sz w:val="28"/>
          <w:szCs w:val="28"/>
        </w:rPr>
      </w:pPr>
      <w:r w:rsidRPr="00920482">
        <w:rPr>
          <w:i/>
          <w:sz w:val="28"/>
          <w:szCs w:val="28"/>
        </w:rPr>
        <w:t>Anotācijas III, IV un V sadaļa - projekts šīs jomas neskar.</w:t>
      </w:r>
    </w:p>
    <w:p w:rsidR="00C13D22" w:rsidRDefault="00C13D22" w:rsidP="00C13D22"/>
    <w:p w:rsidR="00C13D22" w:rsidRDefault="00C13D22" w:rsidP="00C13D22"/>
    <w:p w:rsidR="00C13D22" w:rsidRPr="008207C1" w:rsidRDefault="00C13D22" w:rsidP="00C13D22">
      <w:pPr>
        <w:rPr>
          <w:sz w:val="28"/>
          <w:szCs w:val="28"/>
        </w:rPr>
      </w:pPr>
      <w:r>
        <w:rPr>
          <w:sz w:val="28"/>
          <w:szCs w:val="28"/>
        </w:rPr>
        <w:t xml:space="preserve">     </w:t>
      </w:r>
      <w:r w:rsidRPr="008207C1">
        <w:rPr>
          <w:sz w:val="28"/>
          <w:szCs w:val="28"/>
        </w:rPr>
        <w:t>Labklājības ministr</w:t>
      </w:r>
      <w:r>
        <w:rPr>
          <w:sz w:val="28"/>
          <w:szCs w:val="28"/>
        </w:rPr>
        <w:t>s</w:t>
      </w:r>
      <w:r w:rsidRPr="008207C1">
        <w:rPr>
          <w:sz w:val="28"/>
          <w:szCs w:val="28"/>
        </w:rPr>
        <w:tab/>
      </w:r>
      <w:r w:rsidRPr="008207C1">
        <w:rPr>
          <w:sz w:val="28"/>
          <w:szCs w:val="28"/>
        </w:rPr>
        <w:tab/>
      </w:r>
      <w:r w:rsidRPr="008207C1">
        <w:rPr>
          <w:sz w:val="28"/>
          <w:szCs w:val="28"/>
        </w:rPr>
        <w:tab/>
      </w:r>
      <w:r w:rsidRPr="008207C1">
        <w:rPr>
          <w:sz w:val="28"/>
          <w:szCs w:val="28"/>
        </w:rPr>
        <w:tab/>
      </w:r>
      <w:proofErr w:type="gramStart"/>
      <w:r>
        <w:rPr>
          <w:sz w:val="28"/>
          <w:szCs w:val="28"/>
        </w:rPr>
        <w:t xml:space="preserve">       </w:t>
      </w:r>
      <w:proofErr w:type="gramEnd"/>
      <w:r w:rsidRPr="008207C1">
        <w:rPr>
          <w:sz w:val="28"/>
          <w:szCs w:val="28"/>
        </w:rPr>
        <w:tab/>
      </w:r>
      <w:r>
        <w:rPr>
          <w:sz w:val="28"/>
          <w:szCs w:val="28"/>
        </w:rPr>
        <w:tab/>
        <w:t xml:space="preserve">        U.Augulis</w:t>
      </w:r>
    </w:p>
    <w:p w:rsidR="00C13D22" w:rsidRDefault="00C13D22" w:rsidP="00C13D22">
      <w:pPr>
        <w:pStyle w:val="Footer"/>
      </w:pPr>
    </w:p>
    <w:p w:rsidR="00C70BB3" w:rsidRDefault="00C70BB3" w:rsidP="00C13D22">
      <w:pPr>
        <w:pStyle w:val="Footer"/>
        <w:tabs>
          <w:tab w:val="clear" w:pos="4153"/>
          <w:tab w:val="clear" w:pos="8306"/>
        </w:tabs>
        <w:rPr>
          <w:sz w:val="20"/>
          <w:szCs w:val="20"/>
        </w:rPr>
      </w:pPr>
      <w:r>
        <w:rPr>
          <w:sz w:val="20"/>
          <w:szCs w:val="20"/>
        </w:rPr>
        <w:t>17.06.2014 14:57</w:t>
      </w:r>
      <w:bookmarkStart w:id="0" w:name="_GoBack"/>
      <w:bookmarkEnd w:id="0"/>
    </w:p>
    <w:p w:rsidR="00C13D22" w:rsidRDefault="00C70BB3" w:rsidP="00C13D22">
      <w:pPr>
        <w:pStyle w:val="Footer"/>
        <w:tabs>
          <w:tab w:val="clear" w:pos="4153"/>
          <w:tab w:val="clear" w:pos="8306"/>
        </w:tabs>
        <w:rPr>
          <w:sz w:val="20"/>
          <w:szCs w:val="20"/>
        </w:rPr>
      </w:pPr>
      <w:r>
        <w:rPr>
          <w:sz w:val="20"/>
          <w:szCs w:val="20"/>
        </w:rPr>
        <w:t>881</w:t>
      </w:r>
    </w:p>
    <w:p w:rsidR="00C13D22" w:rsidRDefault="00C13D22" w:rsidP="00C13D22">
      <w:pPr>
        <w:pStyle w:val="Footer"/>
        <w:tabs>
          <w:tab w:val="clear" w:pos="4153"/>
          <w:tab w:val="clear" w:pos="8306"/>
        </w:tabs>
        <w:rPr>
          <w:sz w:val="20"/>
          <w:szCs w:val="20"/>
        </w:rPr>
      </w:pPr>
      <w:r w:rsidRPr="00033C23">
        <w:rPr>
          <w:sz w:val="20"/>
          <w:szCs w:val="20"/>
        </w:rPr>
        <w:t>I.Salmane</w:t>
      </w:r>
    </w:p>
    <w:p w:rsidR="00C13D22" w:rsidRPr="00033C23" w:rsidRDefault="00C13D22" w:rsidP="00C13D22">
      <w:pPr>
        <w:pStyle w:val="Footer"/>
        <w:tabs>
          <w:tab w:val="clear" w:pos="4153"/>
          <w:tab w:val="clear" w:pos="8306"/>
        </w:tabs>
        <w:rPr>
          <w:sz w:val="20"/>
          <w:szCs w:val="20"/>
        </w:rPr>
      </w:pPr>
      <w:r w:rsidRPr="00033C23">
        <w:rPr>
          <w:sz w:val="20"/>
          <w:szCs w:val="20"/>
        </w:rPr>
        <w:t>Tālrunis 67021556</w:t>
      </w:r>
    </w:p>
    <w:p w:rsidR="00C13D22" w:rsidRPr="00033C23" w:rsidRDefault="00C13D22" w:rsidP="00C13D22">
      <w:pPr>
        <w:rPr>
          <w:sz w:val="20"/>
          <w:szCs w:val="20"/>
        </w:rPr>
      </w:pPr>
      <w:r w:rsidRPr="00033C23">
        <w:rPr>
          <w:sz w:val="20"/>
          <w:szCs w:val="20"/>
        </w:rPr>
        <w:t>Fakss 67021560</w:t>
      </w:r>
    </w:p>
    <w:p w:rsidR="00C13D22" w:rsidRPr="00033C23" w:rsidRDefault="0094279B" w:rsidP="00C13D22">
      <w:pPr>
        <w:rPr>
          <w:sz w:val="20"/>
          <w:szCs w:val="20"/>
        </w:rPr>
      </w:pPr>
      <w:hyperlink r:id="rId7" w:history="1">
        <w:r w:rsidR="00C13D22" w:rsidRPr="003B2916">
          <w:rPr>
            <w:rStyle w:val="Hyperlink"/>
            <w:sz w:val="20"/>
            <w:szCs w:val="20"/>
          </w:rPr>
          <w:t>Irena.Salmane@lm.gov.lv</w:t>
        </w:r>
      </w:hyperlink>
    </w:p>
    <w:p w:rsidR="00C13D22" w:rsidRDefault="00C13D22" w:rsidP="00C13D22"/>
    <w:sectPr w:rsidR="00C13D22" w:rsidSect="004373E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9B" w:rsidRDefault="0094279B" w:rsidP="00C13D22">
      <w:r>
        <w:separator/>
      </w:r>
    </w:p>
  </w:endnote>
  <w:endnote w:type="continuationSeparator" w:id="0">
    <w:p w:rsidR="0094279B" w:rsidRDefault="0094279B" w:rsidP="00C1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D2" w:rsidRPr="005E3B70" w:rsidRDefault="00E42B1B" w:rsidP="00B311D2">
    <w:pPr>
      <w:pStyle w:val="Footer"/>
      <w:rPr>
        <w:sz w:val="20"/>
        <w:szCs w:val="20"/>
      </w:rPr>
    </w:pPr>
    <w:r w:rsidRPr="005E3B70">
      <w:rPr>
        <w:sz w:val="20"/>
        <w:szCs w:val="20"/>
      </w:rPr>
      <w:t>LManot_</w:t>
    </w:r>
    <w:r w:rsidR="00E06062">
      <w:rPr>
        <w:sz w:val="20"/>
        <w:szCs w:val="20"/>
      </w:rPr>
      <w:t>1</w:t>
    </w:r>
    <w:r w:rsidR="00C70BB3">
      <w:rPr>
        <w:sz w:val="20"/>
        <w:szCs w:val="20"/>
      </w:rPr>
      <w:t>7</w:t>
    </w:r>
    <w:r w:rsidR="00E06062">
      <w:rPr>
        <w:sz w:val="20"/>
        <w:szCs w:val="20"/>
      </w:rPr>
      <w:t>06</w:t>
    </w:r>
    <w:r>
      <w:rPr>
        <w:sz w:val="20"/>
        <w:szCs w:val="20"/>
      </w:rPr>
      <w:t>14</w:t>
    </w:r>
    <w:r w:rsidR="00753A29">
      <w:rPr>
        <w:sz w:val="20"/>
        <w:szCs w:val="20"/>
      </w:rPr>
      <w:t>_indeksacija</w:t>
    </w:r>
    <w:r w:rsidRPr="005E3B70">
      <w:rPr>
        <w:sz w:val="20"/>
        <w:szCs w:val="20"/>
      </w:rPr>
      <w:t xml:space="preserve">; </w:t>
    </w:r>
    <w:r>
      <w:rPr>
        <w:bCs/>
        <w:sz w:val="20"/>
        <w:szCs w:val="20"/>
        <w:lang w:eastAsia="en-US"/>
      </w:rPr>
      <w:t>Noteikumi par valsts pensijas apmēra pārskatīšanu</w:t>
    </w:r>
  </w:p>
  <w:p w:rsidR="001E3B5D" w:rsidRPr="005E3B70" w:rsidRDefault="0094279B" w:rsidP="005E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5E3B70" w:rsidRDefault="00E42B1B">
    <w:pPr>
      <w:pStyle w:val="Footer"/>
      <w:rPr>
        <w:sz w:val="20"/>
        <w:szCs w:val="20"/>
      </w:rPr>
    </w:pPr>
    <w:r w:rsidRPr="005E3B70">
      <w:rPr>
        <w:sz w:val="20"/>
        <w:szCs w:val="20"/>
      </w:rPr>
      <w:t>LManot_</w:t>
    </w:r>
    <w:r w:rsidR="00E06062">
      <w:rPr>
        <w:sz w:val="20"/>
        <w:szCs w:val="20"/>
      </w:rPr>
      <w:t>1</w:t>
    </w:r>
    <w:r w:rsidR="00C70BB3">
      <w:rPr>
        <w:sz w:val="20"/>
        <w:szCs w:val="20"/>
      </w:rPr>
      <w:t>7</w:t>
    </w:r>
    <w:r w:rsidR="00E06062">
      <w:rPr>
        <w:sz w:val="20"/>
        <w:szCs w:val="20"/>
      </w:rPr>
      <w:t>06</w:t>
    </w:r>
    <w:r>
      <w:rPr>
        <w:sz w:val="20"/>
        <w:szCs w:val="20"/>
      </w:rPr>
      <w:t>14</w:t>
    </w:r>
    <w:r w:rsidR="00753A29">
      <w:rPr>
        <w:sz w:val="20"/>
        <w:szCs w:val="20"/>
      </w:rPr>
      <w:t>_indeksacija</w:t>
    </w:r>
    <w:r w:rsidRPr="005E3B70">
      <w:rPr>
        <w:sz w:val="20"/>
        <w:szCs w:val="20"/>
      </w:rPr>
      <w:t xml:space="preserve">; </w:t>
    </w:r>
    <w:r>
      <w:rPr>
        <w:bCs/>
        <w:sz w:val="20"/>
        <w:szCs w:val="20"/>
        <w:lang w:eastAsia="en-US"/>
      </w:rPr>
      <w:t>Noteikumi par valsts pensijas apmēra pārskatīšanu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9B" w:rsidRDefault="0094279B" w:rsidP="00C13D22">
      <w:r>
        <w:separator/>
      </w:r>
    </w:p>
  </w:footnote>
  <w:footnote w:type="continuationSeparator" w:id="0">
    <w:p w:rsidR="0094279B" w:rsidRDefault="0094279B" w:rsidP="00C1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E42B1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942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E42B1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BB3">
      <w:rPr>
        <w:rStyle w:val="PageNumber"/>
        <w:noProof/>
      </w:rPr>
      <w:t>4</w:t>
    </w:r>
    <w:r>
      <w:rPr>
        <w:rStyle w:val="PageNumber"/>
      </w:rPr>
      <w:fldChar w:fldCharType="end"/>
    </w:r>
  </w:p>
  <w:p w:rsidR="001E3B5D" w:rsidRDefault="00942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22"/>
    <w:rsid w:val="00753A29"/>
    <w:rsid w:val="0094279B"/>
    <w:rsid w:val="009909C9"/>
    <w:rsid w:val="00993668"/>
    <w:rsid w:val="00AD33F9"/>
    <w:rsid w:val="00B061C9"/>
    <w:rsid w:val="00B44E25"/>
    <w:rsid w:val="00C13D22"/>
    <w:rsid w:val="00C70BB3"/>
    <w:rsid w:val="00E06062"/>
    <w:rsid w:val="00E42B1B"/>
    <w:rsid w:val="00F84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C13D22"/>
    <w:pPr>
      <w:spacing w:before="75" w:after="75"/>
    </w:pPr>
  </w:style>
  <w:style w:type="paragraph" w:styleId="Header">
    <w:name w:val="header"/>
    <w:basedOn w:val="Normal"/>
    <w:link w:val="HeaderChar"/>
    <w:uiPriority w:val="99"/>
    <w:rsid w:val="00C13D22"/>
    <w:pPr>
      <w:tabs>
        <w:tab w:val="center" w:pos="4153"/>
        <w:tab w:val="right" w:pos="8306"/>
      </w:tabs>
    </w:pPr>
  </w:style>
  <w:style w:type="character" w:customStyle="1" w:styleId="HeaderChar">
    <w:name w:val="Header Char"/>
    <w:basedOn w:val="DefaultParagraphFont"/>
    <w:link w:val="Header"/>
    <w:uiPriority w:val="99"/>
    <w:rsid w:val="00C13D22"/>
    <w:rPr>
      <w:rFonts w:ascii="Times New Roman" w:eastAsia="Times New Roman" w:hAnsi="Times New Roman" w:cs="Times New Roman"/>
      <w:sz w:val="24"/>
      <w:szCs w:val="24"/>
      <w:lang w:eastAsia="lv-LV"/>
    </w:rPr>
  </w:style>
  <w:style w:type="character" w:styleId="PageNumber">
    <w:name w:val="page number"/>
    <w:uiPriority w:val="99"/>
    <w:rsid w:val="00C13D22"/>
    <w:rPr>
      <w:rFonts w:cs="Times New Roman"/>
    </w:rPr>
  </w:style>
  <w:style w:type="paragraph" w:styleId="Footer">
    <w:name w:val="footer"/>
    <w:basedOn w:val="Normal"/>
    <w:link w:val="FooterChar"/>
    <w:uiPriority w:val="99"/>
    <w:rsid w:val="00C13D22"/>
    <w:pPr>
      <w:tabs>
        <w:tab w:val="center" w:pos="4153"/>
        <w:tab w:val="right" w:pos="8306"/>
      </w:tabs>
    </w:pPr>
  </w:style>
  <w:style w:type="character" w:customStyle="1" w:styleId="FooterChar">
    <w:name w:val="Footer Char"/>
    <w:basedOn w:val="DefaultParagraphFont"/>
    <w:link w:val="Footer"/>
    <w:uiPriority w:val="99"/>
    <w:rsid w:val="00C13D22"/>
    <w:rPr>
      <w:rFonts w:ascii="Times New Roman" w:eastAsia="Times New Roman" w:hAnsi="Times New Roman" w:cs="Times New Roman"/>
      <w:sz w:val="24"/>
      <w:szCs w:val="24"/>
      <w:lang w:eastAsia="lv-LV"/>
    </w:rPr>
  </w:style>
  <w:style w:type="paragraph" w:customStyle="1" w:styleId="naisnod">
    <w:name w:val="naisnod"/>
    <w:basedOn w:val="Normal"/>
    <w:uiPriority w:val="99"/>
    <w:rsid w:val="00C13D22"/>
    <w:pPr>
      <w:spacing w:before="150" w:after="150"/>
      <w:jc w:val="center"/>
    </w:pPr>
    <w:rPr>
      <w:b/>
      <w:bCs/>
    </w:rPr>
  </w:style>
  <w:style w:type="character" w:styleId="Hyperlink">
    <w:name w:val="Hyperlink"/>
    <w:uiPriority w:val="99"/>
    <w:rsid w:val="00C13D22"/>
    <w:rPr>
      <w:rFonts w:cs="Times New Roman"/>
      <w:color w:val="0000FF"/>
      <w:u w:val="single"/>
    </w:rPr>
  </w:style>
  <w:style w:type="paragraph" w:customStyle="1" w:styleId="naisf">
    <w:name w:val="naisf"/>
    <w:basedOn w:val="Normal"/>
    <w:uiPriority w:val="99"/>
    <w:rsid w:val="00C13D22"/>
    <w:pPr>
      <w:spacing w:before="50" w:after="50"/>
      <w:ind w:firstLine="25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C13D22"/>
    <w:pPr>
      <w:spacing w:before="75" w:after="75"/>
    </w:pPr>
  </w:style>
  <w:style w:type="paragraph" w:styleId="Header">
    <w:name w:val="header"/>
    <w:basedOn w:val="Normal"/>
    <w:link w:val="HeaderChar"/>
    <w:uiPriority w:val="99"/>
    <w:rsid w:val="00C13D22"/>
    <w:pPr>
      <w:tabs>
        <w:tab w:val="center" w:pos="4153"/>
        <w:tab w:val="right" w:pos="8306"/>
      </w:tabs>
    </w:pPr>
  </w:style>
  <w:style w:type="character" w:customStyle="1" w:styleId="HeaderChar">
    <w:name w:val="Header Char"/>
    <w:basedOn w:val="DefaultParagraphFont"/>
    <w:link w:val="Header"/>
    <w:uiPriority w:val="99"/>
    <w:rsid w:val="00C13D22"/>
    <w:rPr>
      <w:rFonts w:ascii="Times New Roman" w:eastAsia="Times New Roman" w:hAnsi="Times New Roman" w:cs="Times New Roman"/>
      <w:sz w:val="24"/>
      <w:szCs w:val="24"/>
      <w:lang w:eastAsia="lv-LV"/>
    </w:rPr>
  </w:style>
  <w:style w:type="character" w:styleId="PageNumber">
    <w:name w:val="page number"/>
    <w:uiPriority w:val="99"/>
    <w:rsid w:val="00C13D22"/>
    <w:rPr>
      <w:rFonts w:cs="Times New Roman"/>
    </w:rPr>
  </w:style>
  <w:style w:type="paragraph" w:styleId="Footer">
    <w:name w:val="footer"/>
    <w:basedOn w:val="Normal"/>
    <w:link w:val="FooterChar"/>
    <w:uiPriority w:val="99"/>
    <w:rsid w:val="00C13D22"/>
    <w:pPr>
      <w:tabs>
        <w:tab w:val="center" w:pos="4153"/>
        <w:tab w:val="right" w:pos="8306"/>
      </w:tabs>
    </w:pPr>
  </w:style>
  <w:style w:type="character" w:customStyle="1" w:styleId="FooterChar">
    <w:name w:val="Footer Char"/>
    <w:basedOn w:val="DefaultParagraphFont"/>
    <w:link w:val="Footer"/>
    <w:uiPriority w:val="99"/>
    <w:rsid w:val="00C13D22"/>
    <w:rPr>
      <w:rFonts w:ascii="Times New Roman" w:eastAsia="Times New Roman" w:hAnsi="Times New Roman" w:cs="Times New Roman"/>
      <w:sz w:val="24"/>
      <w:szCs w:val="24"/>
      <w:lang w:eastAsia="lv-LV"/>
    </w:rPr>
  </w:style>
  <w:style w:type="paragraph" w:customStyle="1" w:styleId="naisnod">
    <w:name w:val="naisnod"/>
    <w:basedOn w:val="Normal"/>
    <w:uiPriority w:val="99"/>
    <w:rsid w:val="00C13D22"/>
    <w:pPr>
      <w:spacing w:before="150" w:after="150"/>
      <w:jc w:val="center"/>
    </w:pPr>
    <w:rPr>
      <w:b/>
      <w:bCs/>
    </w:rPr>
  </w:style>
  <w:style w:type="character" w:styleId="Hyperlink">
    <w:name w:val="Hyperlink"/>
    <w:uiPriority w:val="99"/>
    <w:rsid w:val="00C13D22"/>
    <w:rPr>
      <w:rFonts w:cs="Times New Roman"/>
      <w:color w:val="0000FF"/>
      <w:u w:val="single"/>
    </w:rPr>
  </w:style>
  <w:style w:type="paragraph" w:customStyle="1" w:styleId="naisf">
    <w:name w:val="naisf"/>
    <w:basedOn w:val="Normal"/>
    <w:uiPriority w:val="99"/>
    <w:rsid w:val="00C13D22"/>
    <w:pPr>
      <w:spacing w:before="50" w:after="50"/>
      <w:ind w:firstLine="2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4560</Words>
  <Characters>2600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Noteikumi par valsts pensijas apmēra pārskatīšanu</vt:lpstr>
    </vt:vector>
  </TitlesOfParts>
  <Company>LM</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pensijas apmēra pārskatīšanu</dc:title>
  <dc:subject>Anotācija</dc:subject>
  <dc:creator>Irena Salmane</dc:creator>
  <dc:description>I.Salmane_x000d_
tālr. 67021556, fakss 67021560_x000d_
irena.salmane@lm.gov.lv</dc:description>
  <cp:lastModifiedBy>Irena Salmane</cp:lastModifiedBy>
  <cp:revision>9</cp:revision>
  <cp:lastPrinted>2014-05-16T11:13:00Z</cp:lastPrinted>
  <dcterms:created xsi:type="dcterms:W3CDTF">2014-05-16T09:22:00Z</dcterms:created>
  <dcterms:modified xsi:type="dcterms:W3CDTF">2014-06-17T11:57:00Z</dcterms:modified>
</cp:coreProperties>
</file>