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69" w:rsidRDefault="00254269" w:rsidP="00254269">
      <w:pPr>
        <w:jc w:val="right"/>
        <w:rPr>
          <w:i/>
        </w:rPr>
      </w:pPr>
      <w:r w:rsidRPr="009D4B31">
        <w:rPr>
          <w:i/>
          <w:sz w:val="28"/>
          <w:szCs w:val="28"/>
        </w:rPr>
        <w:t>Projekts</w:t>
      </w:r>
    </w:p>
    <w:p w:rsidR="00254269" w:rsidRDefault="00254269" w:rsidP="00254269">
      <w:pPr>
        <w:jc w:val="right"/>
        <w:rPr>
          <w:i/>
        </w:rPr>
      </w:pPr>
    </w:p>
    <w:p w:rsidR="00254269" w:rsidRPr="003F4059" w:rsidRDefault="00254269" w:rsidP="00254269">
      <w:pPr>
        <w:jc w:val="center"/>
        <w:rPr>
          <w:sz w:val="28"/>
          <w:szCs w:val="28"/>
        </w:rPr>
      </w:pPr>
      <w:r w:rsidRPr="003F4059">
        <w:rPr>
          <w:sz w:val="28"/>
          <w:szCs w:val="28"/>
        </w:rPr>
        <w:t>LATVIJAS REPUBLIKAS MINISTRU KABINETS</w:t>
      </w:r>
    </w:p>
    <w:p w:rsidR="00254269" w:rsidRPr="00003342" w:rsidRDefault="00254269" w:rsidP="00254269">
      <w:pPr>
        <w:jc w:val="center"/>
      </w:pPr>
      <w:r>
        <w:t>___________________________________________________________</w:t>
      </w:r>
    </w:p>
    <w:p w:rsidR="00254269" w:rsidRPr="003F4059" w:rsidRDefault="00254269" w:rsidP="00254269">
      <w:pPr>
        <w:rPr>
          <w:sz w:val="28"/>
          <w:szCs w:val="28"/>
        </w:rPr>
      </w:pPr>
    </w:p>
    <w:p w:rsidR="00254269" w:rsidRDefault="00254269" w:rsidP="00254269">
      <w:pPr>
        <w:jc w:val="right"/>
        <w:rPr>
          <w:i/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4269" w:rsidRDefault="00254269" w:rsidP="0025426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4269" w:rsidRDefault="00254269" w:rsidP="00584FFF">
      <w:pPr>
        <w:rPr>
          <w:sz w:val="28"/>
          <w:szCs w:val="28"/>
        </w:rPr>
      </w:pPr>
      <w:r>
        <w:rPr>
          <w:sz w:val="28"/>
          <w:szCs w:val="28"/>
        </w:rPr>
        <w:t>2014.gada „ ___”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F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Noteikumi Nr. </w:t>
      </w:r>
    </w:p>
    <w:p w:rsidR="00254269" w:rsidRDefault="00254269" w:rsidP="00254269">
      <w:pPr>
        <w:rPr>
          <w:sz w:val="28"/>
          <w:szCs w:val="28"/>
        </w:rPr>
      </w:pPr>
      <w:r>
        <w:rPr>
          <w:sz w:val="28"/>
          <w:szCs w:val="28"/>
        </w:rPr>
        <w:t>Rīga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(prot. Nr.    .§)</w:t>
      </w:r>
    </w:p>
    <w:p w:rsidR="00254269" w:rsidRDefault="00254269" w:rsidP="00254269">
      <w:pPr>
        <w:jc w:val="right"/>
      </w:pPr>
    </w:p>
    <w:p w:rsidR="001F45F0" w:rsidRDefault="001F45F0" w:rsidP="00254269">
      <w:pPr>
        <w:jc w:val="center"/>
        <w:rPr>
          <w:b/>
          <w:sz w:val="28"/>
          <w:szCs w:val="28"/>
        </w:rPr>
      </w:pPr>
    </w:p>
    <w:p w:rsidR="00254269" w:rsidRDefault="00254269" w:rsidP="0025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1999.gada 16.februāra noteikumos Nr. 50 „Obligātās sociālās apdrošināšanas pret nelaimes gadījumiem darbā un arodslimībām apdrošināšanas atlīdzības piešķiršanas un aprēķināšanas kārtība”</w:t>
      </w:r>
    </w:p>
    <w:p w:rsidR="00254269" w:rsidRDefault="00254269" w:rsidP="00254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45F0" w:rsidRDefault="00254269" w:rsidP="00254269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269" w:rsidRDefault="00254269" w:rsidP="00254269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Izdoti saskaņā ar </w:t>
      </w:r>
    </w:p>
    <w:p w:rsidR="00254269" w:rsidRDefault="00254269" w:rsidP="00254269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„Par obligāto sociālo apdrošināšanu pret</w:t>
      </w:r>
    </w:p>
    <w:p w:rsidR="00254269" w:rsidRDefault="00254269" w:rsidP="00254269">
      <w:pPr>
        <w:jc w:val="right"/>
        <w:rPr>
          <w:sz w:val="28"/>
          <w:szCs w:val="28"/>
        </w:rPr>
      </w:pPr>
      <w:r>
        <w:rPr>
          <w:sz w:val="28"/>
          <w:szCs w:val="28"/>
        </w:rPr>
        <w:t>nelaimes gadījumiem darbā un arodslimībām”</w:t>
      </w:r>
    </w:p>
    <w:p w:rsidR="00254269" w:rsidRDefault="00254269" w:rsidP="00254269">
      <w:pPr>
        <w:ind w:left="432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8.pantu un 12.panta otro daļu</w:t>
      </w:r>
    </w:p>
    <w:p w:rsidR="00254269" w:rsidRDefault="00254269" w:rsidP="002542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4269" w:rsidRPr="00FC402A" w:rsidRDefault="00254269" w:rsidP="00254269">
      <w:pPr>
        <w:ind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C402A">
        <w:rPr>
          <w:color w:val="414142"/>
          <w:sz w:val="28"/>
          <w:szCs w:val="28"/>
        </w:rPr>
        <w:t xml:space="preserve">Izdarīt Ministru kabineta 1999.gada 16.februāra noteikumos Nr.50 </w:t>
      </w:r>
      <w:r w:rsidRPr="00FC402A">
        <w:rPr>
          <w:sz w:val="28"/>
          <w:szCs w:val="28"/>
        </w:rPr>
        <w:t>"</w:t>
      </w:r>
      <w:hyperlink r:id="rId8" w:tgtFrame="_blank" w:history="1">
        <w:r w:rsidRPr="00FC402A">
          <w:rPr>
            <w:sz w:val="28"/>
            <w:szCs w:val="28"/>
          </w:rPr>
          <w:t>Obligātās sociālās apdrošināšanas pret nelaimes gadījumiem darbā un arodslimībām apdrošināšanas atlīdzības piešķiršanas un aprēķināšanas kārtība</w:t>
        </w:r>
      </w:hyperlink>
      <w:r w:rsidRPr="00FC402A">
        <w:rPr>
          <w:sz w:val="28"/>
          <w:szCs w:val="28"/>
        </w:rPr>
        <w:t xml:space="preserve">" </w:t>
      </w:r>
      <w:r w:rsidRPr="00FC402A">
        <w:rPr>
          <w:color w:val="414142"/>
          <w:sz w:val="28"/>
          <w:szCs w:val="28"/>
        </w:rPr>
        <w:t>(Latvijas Vēstnesis, 1999, 48./49.nr.; 2001, 56.nr.; 2005, 4.nr.; 2008, 195.nr.; 2010, 29.nr.; 2011,113.nr.) šādus grozījumus:</w:t>
      </w:r>
    </w:p>
    <w:p w:rsidR="00254269" w:rsidRDefault="00254269" w:rsidP="00254269">
      <w:pPr>
        <w:jc w:val="both"/>
        <w:rPr>
          <w:b/>
          <w:sz w:val="28"/>
          <w:szCs w:val="28"/>
        </w:rPr>
      </w:pPr>
    </w:p>
    <w:p w:rsidR="00254269" w:rsidRPr="00254269" w:rsidRDefault="00254269" w:rsidP="00755D9D">
      <w:pPr>
        <w:pStyle w:val="tv2131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254269">
        <w:rPr>
          <w:sz w:val="28"/>
          <w:szCs w:val="28"/>
        </w:rPr>
        <w:t>izteikt 18.1</w:t>
      </w:r>
      <w:r w:rsidR="00EF1A60">
        <w:rPr>
          <w:sz w:val="28"/>
          <w:szCs w:val="28"/>
        </w:rPr>
        <w:t>.</w:t>
      </w:r>
      <w:r w:rsidRPr="00254269">
        <w:rPr>
          <w:sz w:val="28"/>
          <w:szCs w:val="28"/>
        </w:rPr>
        <w:t>apakšpunktu šādā redakcijā:</w:t>
      </w:r>
    </w:p>
    <w:p w:rsidR="00254269" w:rsidRPr="00254269" w:rsidRDefault="00254269" w:rsidP="00254269">
      <w:pPr>
        <w:jc w:val="both"/>
        <w:rPr>
          <w:sz w:val="28"/>
          <w:szCs w:val="28"/>
        </w:rPr>
      </w:pPr>
      <w:r w:rsidRPr="00254269">
        <w:rPr>
          <w:sz w:val="28"/>
          <w:szCs w:val="28"/>
        </w:rPr>
        <w:t>„18.1.</w:t>
      </w:r>
      <w:r w:rsidR="008C0638">
        <w:rPr>
          <w:sz w:val="28"/>
          <w:szCs w:val="28"/>
        </w:rPr>
        <w:t xml:space="preserve"> </w:t>
      </w:r>
      <w:r w:rsidRPr="00254269">
        <w:rPr>
          <w:sz w:val="28"/>
          <w:szCs w:val="28"/>
        </w:rPr>
        <w:t>saskaņā ar komisijas lēmumu mainās darbspēju zaudējuma novērtējums (procentos)</w:t>
      </w:r>
      <w:r w:rsidR="00EF1A60">
        <w:rPr>
          <w:sz w:val="28"/>
          <w:szCs w:val="28"/>
        </w:rPr>
        <w:t>.</w:t>
      </w:r>
      <w:r w:rsidRPr="00254269">
        <w:rPr>
          <w:sz w:val="28"/>
          <w:szCs w:val="28"/>
        </w:rPr>
        <w:t xml:space="preserve"> </w:t>
      </w:r>
      <w:r w:rsidR="00EF1A60">
        <w:rPr>
          <w:sz w:val="28"/>
          <w:szCs w:val="28"/>
        </w:rPr>
        <w:t>Šādā gadījumā atlīdzību</w:t>
      </w:r>
      <w:r w:rsidRPr="00254269">
        <w:rPr>
          <w:sz w:val="28"/>
          <w:szCs w:val="28"/>
        </w:rPr>
        <w:t xml:space="preserve"> pārrēķina, ņemot vērā visus patēriņa cenu indeksus, kas atlīdzībai piemēroti pirms tās pārrēķināšanas, bet nemainot atlīdzības piešķiršanā piemēroto vidējo apdrošināšanas iemaksu algu</w:t>
      </w:r>
      <w:r w:rsidR="008C0638">
        <w:rPr>
          <w:sz w:val="28"/>
          <w:szCs w:val="28"/>
        </w:rPr>
        <w:t>;</w:t>
      </w:r>
      <w:r w:rsidR="006C5C9C">
        <w:rPr>
          <w:sz w:val="28"/>
          <w:szCs w:val="28"/>
        </w:rPr>
        <w:t>”</w:t>
      </w:r>
    </w:p>
    <w:p w:rsidR="00254269" w:rsidRPr="00254269" w:rsidRDefault="00254269" w:rsidP="00254269">
      <w:pPr>
        <w:pStyle w:val="tv2131"/>
        <w:spacing w:line="240" w:lineRule="auto"/>
        <w:ind w:firstLine="0"/>
        <w:jc w:val="both"/>
        <w:rPr>
          <w:sz w:val="28"/>
          <w:szCs w:val="28"/>
        </w:rPr>
      </w:pPr>
    </w:p>
    <w:p w:rsidR="00254269" w:rsidRPr="00755D9D" w:rsidRDefault="00254269" w:rsidP="00755D9D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755D9D">
        <w:rPr>
          <w:sz w:val="28"/>
          <w:szCs w:val="28"/>
        </w:rPr>
        <w:t>papildināt noteikumus ar 22.</w:t>
      </w:r>
      <w:r w:rsidRPr="00755D9D">
        <w:rPr>
          <w:sz w:val="28"/>
          <w:szCs w:val="28"/>
          <w:vertAlign w:val="superscript"/>
        </w:rPr>
        <w:t>1</w:t>
      </w:r>
      <w:r w:rsidR="008C0638">
        <w:rPr>
          <w:sz w:val="28"/>
          <w:szCs w:val="28"/>
          <w:vertAlign w:val="superscript"/>
        </w:rPr>
        <w:t xml:space="preserve"> </w:t>
      </w:r>
      <w:r w:rsidRPr="00755D9D">
        <w:rPr>
          <w:sz w:val="28"/>
          <w:szCs w:val="28"/>
        </w:rPr>
        <w:t>punktu šādā redakcijā:</w:t>
      </w:r>
    </w:p>
    <w:p w:rsidR="00254269" w:rsidRPr="00755D9D" w:rsidRDefault="00254269" w:rsidP="00254269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„22.</w:t>
      </w:r>
      <w:r w:rsidRPr="00F3764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755D9D">
        <w:rPr>
          <w:color w:val="auto"/>
          <w:sz w:val="28"/>
          <w:szCs w:val="28"/>
        </w:rPr>
        <w:t>Mainoties apgādājamo skaitam, atlīdzību par apgādnieka zaudējumu</w:t>
      </w:r>
      <w:r w:rsidR="00B21EB5" w:rsidRPr="00B21EB5">
        <w:rPr>
          <w:color w:val="auto"/>
          <w:sz w:val="28"/>
          <w:szCs w:val="28"/>
        </w:rPr>
        <w:t xml:space="preserve"> </w:t>
      </w:r>
      <w:r w:rsidR="00B21EB5" w:rsidRPr="00F50725">
        <w:rPr>
          <w:color w:val="auto"/>
          <w:sz w:val="28"/>
          <w:szCs w:val="28"/>
        </w:rPr>
        <w:t>pārrēķina, ņemot vērā visus patēriņa cenu indeksus, kas atlīdzībai piemēroti pirms tās pārrēķināšanas</w:t>
      </w:r>
      <w:r w:rsidRPr="00755D9D">
        <w:rPr>
          <w:color w:val="auto"/>
          <w:sz w:val="28"/>
          <w:szCs w:val="28"/>
        </w:rPr>
        <w:t xml:space="preserve">, </w:t>
      </w:r>
      <w:r w:rsidR="00B21EB5">
        <w:rPr>
          <w:color w:val="auto"/>
          <w:sz w:val="28"/>
          <w:szCs w:val="28"/>
        </w:rPr>
        <w:t xml:space="preserve">bet </w:t>
      </w:r>
      <w:r w:rsidRPr="00755D9D">
        <w:rPr>
          <w:color w:val="auto"/>
          <w:sz w:val="28"/>
          <w:szCs w:val="28"/>
        </w:rPr>
        <w:t>nemainot atlīdzības piešķiršanā piemēroto vid</w:t>
      </w:r>
      <w:r w:rsidR="008C0638">
        <w:rPr>
          <w:color w:val="auto"/>
          <w:sz w:val="28"/>
          <w:szCs w:val="28"/>
        </w:rPr>
        <w:t>ējo apdrošināšanas iemaksu algu</w:t>
      </w:r>
      <w:r w:rsidRPr="00755D9D">
        <w:rPr>
          <w:color w:val="auto"/>
          <w:sz w:val="28"/>
          <w:szCs w:val="28"/>
        </w:rPr>
        <w:t>.”</w:t>
      </w:r>
    </w:p>
    <w:p w:rsidR="00254269" w:rsidRDefault="00254269" w:rsidP="00254269">
      <w:pPr>
        <w:jc w:val="both"/>
        <w:rPr>
          <w:sz w:val="28"/>
          <w:szCs w:val="28"/>
        </w:rPr>
      </w:pPr>
    </w:p>
    <w:p w:rsidR="00254269" w:rsidRDefault="00254269" w:rsidP="002542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2. Noteikumi stājas spēkā 2014.gada 1.augustā.</w:t>
      </w:r>
    </w:p>
    <w:p w:rsidR="00254269" w:rsidRDefault="00254269" w:rsidP="00254269">
      <w:pPr>
        <w:pStyle w:val="ListParagraph"/>
        <w:rPr>
          <w:sz w:val="28"/>
          <w:szCs w:val="28"/>
        </w:rPr>
      </w:pPr>
    </w:p>
    <w:p w:rsidR="00254269" w:rsidRDefault="00254269" w:rsidP="00254269">
      <w:pPr>
        <w:pStyle w:val="ListParagraph"/>
        <w:rPr>
          <w:sz w:val="28"/>
          <w:szCs w:val="28"/>
        </w:rPr>
      </w:pPr>
    </w:p>
    <w:p w:rsidR="00254269" w:rsidRDefault="00254269" w:rsidP="00254269">
      <w:pPr>
        <w:pStyle w:val="ListParagraph"/>
        <w:rPr>
          <w:sz w:val="28"/>
          <w:szCs w:val="28"/>
        </w:rPr>
      </w:pPr>
    </w:p>
    <w:p w:rsidR="00254269" w:rsidRDefault="00254269" w:rsidP="00254269">
      <w:pPr>
        <w:rPr>
          <w:sz w:val="28"/>
          <w:szCs w:val="28"/>
        </w:rPr>
      </w:pPr>
      <w:r>
        <w:tab/>
      </w:r>
      <w:r w:rsidRPr="00A07EA2">
        <w:rPr>
          <w:sz w:val="28"/>
          <w:szCs w:val="28"/>
        </w:rPr>
        <w:t>Ministru prezident</w:t>
      </w:r>
      <w:r w:rsidR="00F320B9">
        <w:rPr>
          <w:sz w:val="28"/>
          <w:szCs w:val="28"/>
        </w:rPr>
        <w:t>e</w:t>
      </w:r>
      <w:r w:rsidRPr="00A07EA2">
        <w:rPr>
          <w:sz w:val="28"/>
          <w:szCs w:val="28"/>
        </w:rPr>
        <w:tab/>
      </w:r>
      <w:r w:rsidRPr="00A07EA2">
        <w:rPr>
          <w:sz w:val="28"/>
          <w:szCs w:val="28"/>
        </w:rPr>
        <w:tab/>
      </w:r>
      <w:r w:rsidRPr="00A07EA2">
        <w:rPr>
          <w:sz w:val="28"/>
          <w:szCs w:val="28"/>
        </w:rPr>
        <w:tab/>
      </w:r>
      <w:r w:rsidRPr="00A07EA2">
        <w:rPr>
          <w:sz w:val="28"/>
          <w:szCs w:val="28"/>
        </w:rPr>
        <w:tab/>
      </w:r>
      <w:r w:rsidRPr="00A07EA2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254269" w:rsidRDefault="00254269" w:rsidP="00254269">
      <w:pPr>
        <w:rPr>
          <w:sz w:val="28"/>
          <w:szCs w:val="28"/>
        </w:rPr>
      </w:pPr>
    </w:p>
    <w:p w:rsidR="00254269" w:rsidRDefault="00254269" w:rsidP="00254269">
      <w:pPr>
        <w:rPr>
          <w:sz w:val="28"/>
          <w:szCs w:val="28"/>
        </w:rPr>
      </w:pPr>
      <w:r>
        <w:rPr>
          <w:sz w:val="28"/>
          <w:szCs w:val="28"/>
        </w:rPr>
        <w:tab/>
        <w:t>Labklājības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U.Augulis</w:t>
      </w:r>
    </w:p>
    <w:p w:rsidR="00254269" w:rsidRDefault="00254269" w:rsidP="00254269">
      <w:pPr>
        <w:rPr>
          <w:sz w:val="28"/>
          <w:szCs w:val="28"/>
        </w:rPr>
      </w:pPr>
    </w:p>
    <w:p w:rsidR="00254269" w:rsidRPr="002704EA" w:rsidRDefault="00254269" w:rsidP="00254269">
      <w:pPr>
        <w:rPr>
          <w:sz w:val="22"/>
          <w:szCs w:val="22"/>
        </w:rPr>
      </w:pPr>
    </w:p>
    <w:p w:rsidR="00254269" w:rsidRDefault="00254269" w:rsidP="00254269">
      <w:pPr>
        <w:rPr>
          <w:sz w:val="22"/>
          <w:szCs w:val="22"/>
        </w:rPr>
      </w:pPr>
    </w:p>
    <w:p w:rsidR="00254269" w:rsidRDefault="00254269" w:rsidP="00254269">
      <w:pPr>
        <w:rPr>
          <w:sz w:val="22"/>
          <w:szCs w:val="22"/>
        </w:rPr>
      </w:pPr>
    </w:p>
    <w:p w:rsidR="006C5C9C" w:rsidRDefault="006C5C9C" w:rsidP="00254269">
      <w:pPr>
        <w:rPr>
          <w:sz w:val="22"/>
          <w:szCs w:val="22"/>
        </w:rPr>
      </w:pPr>
      <w:r>
        <w:rPr>
          <w:sz w:val="22"/>
          <w:szCs w:val="22"/>
        </w:rPr>
        <w:t>17.06.2014 11:28</w:t>
      </w:r>
    </w:p>
    <w:p w:rsidR="00254269" w:rsidRDefault="006D7B2F" w:rsidP="00254269">
      <w:pPr>
        <w:rPr>
          <w:sz w:val="22"/>
          <w:szCs w:val="22"/>
        </w:rPr>
      </w:pPr>
      <w:r>
        <w:rPr>
          <w:sz w:val="22"/>
          <w:szCs w:val="22"/>
        </w:rPr>
        <w:t>192</w:t>
      </w:r>
    </w:p>
    <w:p w:rsidR="00254269" w:rsidRDefault="00254269" w:rsidP="0025426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D.Trušinska</w:t>
      </w:r>
      <w:proofErr w:type="spellEnd"/>
      <w:r>
        <w:rPr>
          <w:sz w:val="22"/>
          <w:szCs w:val="22"/>
        </w:rPr>
        <w:t>, 67021553</w:t>
      </w:r>
    </w:p>
    <w:p w:rsidR="00254269" w:rsidRPr="002704EA" w:rsidRDefault="00254269" w:rsidP="00254269">
      <w:pPr>
        <w:rPr>
          <w:sz w:val="22"/>
          <w:szCs w:val="22"/>
        </w:rPr>
      </w:pPr>
      <w:r>
        <w:rPr>
          <w:sz w:val="22"/>
          <w:szCs w:val="22"/>
        </w:rPr>
        <w:t>Dace.Trusinska@lm.gov.lv</w:t>
      </w:r>
    </w:p>
    <w:p w:rsidR="00254269" w:rsidRDefault="00254269" w:rsidP="00254269"/>
    <w:p w:rsidR="00254269" w:rsidRDefault="00254269" w:rsidP="00254269">
      <w:bookmarkStart w:id="0" w:name="_GoBack"/>
      <w:bookmarkEnd w:id="0"/>
    </w:p>
    <w:sectPr w:rsidR="00254269" w:rsidSect="00F37648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1B" w:rsidRDefault="006F1B1B">
      <w:r>
        <w:separator/>
      </w:r>
    </w:p>
  </w:endnote>
  <w:endnote w:type="continuationSeparator" w:id="0">
    <w:p w:rsidR="006F1B1B" w:rsidRDefault="006F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71" w:rsidRPr="007A2D29" w:rsidRDefault="00755D9D" w:rsidP="00F42961">
    <w:r>
      <w:t>LMnot_</w:t>
    </w:r>
    <w:r w:rsidR="00361771">
      <w:t>1</w:t>
    </w:r>
    <w:r w:rsidR="006C5C9C">
      <w:t>7</w:t>
    </w:r>
    <w:r w:rsidR="00DB4803">
      <w:t>06</w:t>
    </w:r>
    <w:r w:rsidR="00584FFF" w:rsidRPr="00960205">
      <w:t>14; Grozījumi Ministru kabineta 1999.gada 16.februāra noteikumos Nr. 50 „Obligātās sociālās apdrošināšanas pret nelaimes gadījumiem darbā un arodslimībām apdrošināšanas atlīdzības piešķiršanas un aprēķināšanas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71" w:rsidRDefault="006D7B2F" w:rsidP="00F42961">
    <w:r>
      <w:t>LMnot_</w:t>
    </w:r>
    <w:r w:rsidR="00361771">
      <w:t>1</w:t>
    </w:r>
    <w:r w:rsidR="006C5C9C">
      <w:t>7</w:t>
    </w:r>
    <w:r w:rsidR="00DB4803">
      <w:t>06</w:t>
    </w:r>
    <w:r w:rsidR="00584FFF" w:rsidRPr="00960205">
      <w:t>14; Grozījumi Ministru kabineta 1999.gada 16.februāra noteikumos Nr. 50 „Obligātās sociālās apdrošināšanas pret nelaimes gadījumiem darbā un arodslimībām apdrošināšanas atlīdzības piešķiršanas un aprēķināšanas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1B" w:rsidRDefault="006F1B1B">
      <w:r>
        <w:separator/>
      </w:r>
    </w:p>
  </w:footnote>
  <w:footnote w:type="continuationSeparator" w:id="0">
    <w:p w:rsidR="006F1B1B" w:rsidRDefault="006F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71" w:rsidRDefault="00584FFF" w:rsidP="00020F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22771" w:rsidRDefault="006F1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71" w:rsidRDefault="00584FFF" w:rsidP="00020F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C9C">
      <w:rPr>
        <w:rStyle w:val="PageNumber"/>
        <w:noProof/>
      </w:rPr>
      <w:t>2</w:t>
    </w:r>
    <w:r>
      <w:rPr>
        <w:rStyle w:val="PageNumber"/>
      </w:rPr>
      <w:fldChar w:fldCharType="end"/>
    </w:r>
  </w:p>
  <w:p w:rsidR="00C22771" w:rsidRDefault="006F1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F19"/>
    <w:multiLevelType w:val="multilevel"/>
    <w:tmpl w:val="68867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9"/>
    <w:rsid w:val="00065C25"/>
    <w:rsid w:val="000D4F89"/>
    <w:rsid w:val="001B62CE"/>
    <w:rsid w:val="001F45F0"/>
    <w:rsid w:val="0020317B"/>
    <w:rsid w:val="00254269"/>
    <w:rsid w:val="00361771"/>
    <w:rsid w:val="0036494D"/>
    <w:rsid w:val="00464E07"/>
    <w:rsid w:val="00551B52"/>
    <w:rsid w:val="00584FFF"/>
    <w:rsid w:val="006C5C9C"/>
    <w:rsid w:val="006D7B2F"/>
    <w:rsid w:val="006F1B1B"/>
    <w:rsid w:val="00755D9D"/>
    <w:rsid w:val="008C0638"/>
    <w:rsid w:val="00914088"/>
    <w:rsid w:val="00AA2564"/>
    <w:rsid w:val="00B10070"/>
    <w:rsid w:val="00B11FDB"/>
    <w:rsid w:val="00B21EB5"/>
    <w:rsid w:val="00B35518"/>
    <w:rsid w:val="00D50226"/>
    <w:rsid w:val="00DB4803"/>
    <w:rsid w:val="00E85F29"/>
    <w:rsid w:val="00EE2DEE"/>
    <w:rsid w:val="00EF1A60"/>
    <w:rsid w:val="00F320B9"/>
    <w:rsid w:val="00F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42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42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542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426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54269"/>
  </w:style>
  <w:style w:type="paragraph" w:styleId="ListParagraph">
    <w:name w:val="List Paragraph"/>
    <w:basedOn w:val="Normal"/>
    <w:uiPriority w:val="34"/>
    <w:qFormat/>
    <w:rsid w:val="00254269"/>
    <w:pPr>
      <w:ind w:left="720"/>
    </w:pPr>
  </w:style>
  <w:style w:type="paragraph" w:customStyle="1" w:styleId="tv2131">
    <w:name w:val="tv2131"/>
    <w:basedOn w:val="Normal"/>
    <w:rsid w:val="00254269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6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42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42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542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426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54269"/>
  </w:style>
  <w:style w:type="paragraph" w:styleId="ListParagraph">
    <w:name w:val="List Paragraph"/>
    <w:basedOn w:val="Normal"/>
    <w:uiPriority w:val="34"/>
    <w:qFormat/>
    <w:rsid w:val="00254269"/>
    <w:pPr>
      <w:ind w:left="720"/>
    </w:pPr>
  </w:style>
  <w:style w:type="paragraph" w:customStyle="1" w:styleId="tv2131">
    <w:name w:val="tv2131"/>
    <w:basedOn w:val="Normal"/>
    <w:rsid w:val="00254269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6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190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1999.gada 16.februāra noteikumos Nr. 50 „Obligātās sociālās apdrošināšanas pret nelaimes gadījumiem darbā un arodslimībām apdrošināšanas atlīdzības piešķiršanas un aprēķināšanas kārtība”</vt:lpstr>
    </vt:vector>
  </TitlesOfParts>
  <Company>LM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1999.gada 16.februāra noteikumos Nr. 50 „Obligātās sociālās apdrošināšanas pret nelaimes gadījumiem darbā un arodslimībām apdrošināšanas atlīdzības piešķiršanas un aprēķināšanas kārtība”</dc:title>
  <dc:subject>MK noteikumu projekts</dc:subject>
  <dc:creator>Dace Trusinska</dc:creator>
  <dc:description>D.Trušinska, 67021553
Dace.Trusinska@lm.gov.lv</dc:description>
  <cp:lastModifiedBy>Irena Salmane</cp:lastModifiedBy>
  <cp:revision>20</cp:revision>
  <cp:lastPrinted>2014-06-04T08:22:00Z</cp:lastPrinted>
  <dcterms:created xsi:type="dcterms:W3CDTF">2014-04-15T05:47:00Z</dcterms:created>
  <dcterms:modified xsi:type="dcterms:W3CDTF">2014-06-17T08:28:00Z</dcterms:modified>
</cp:coreProperties>
</file>