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2B" w:rsidRPr="0083444E" w:rsidRDefault="00EF652B" w:rsidP="00EF652B">
      <w:pPr>
        <w:pStyle w:val="Title"/>
        <w:jc w:val="left"/>
        <w:rPr>
          <w:i/>
          <w:sz w:val="26"/>
          <w:szCs w:val="26"/>
        </w:rPr>
      </w:pPr>
      <w:r w:rsidRPr="0083444E">
        <w:rPr>
          <w:b w:val="0"/>
          <w:sz w:val="26"/>
          <w:szCs w:val="26"/>
        </w:rPr>
        <w:t xml:space="preserve">Budžeta un finanšu (nodokļu) komisija </w:t>
      </w:r>
      <w:r w:rsidRPr="0083444E">
        <w:rPr>
          <w:b w:val="0"/>
          <w:sz w:val="26"/>
          <w:szCs w:val="26"/>
        </w:rPr>
        <w:tab/>
      </w:r>
      <w:r w:rsidRPr="0083444E">
        <w:rPr>
          <w:b w:val="0"/>
          <w:sz w:val="26"/>
          <w:szCs w:val="26"/>
        </w:rPr>
        <w:tab/>
      </w:r>
    </w:p>
    <w:p w:rsidR="00EF652B" w:rsidRPr="0083444E" w:rsidRDefault="00EF652B" w:rsidP="00EF652B">
      <w:pPr>
        <w:pStyle w:val="Title"/>
        <w:jc w:val="right"/>
        <w:rPr>
          <w:b w:val="0"/>
          <w:sz w:val="26"/>
          <w:szCs w:val="26"/>
        </w:rPr>
      </w:pPr>
      <w:r w:rsidRPr="0083444E">
        <w:rPr>
          <w:b w:val="0"/>
          <w:sz w:val="26"/>
          <w:szCs w:val="26"/>
        </w:rPr>
        <w:tab/>
        <w:t>Likumprojekts (steidzams) otrajam lasījumam</w:t>
      </w:r>
    </w:p>
    <w:p w:rsidR="00EF652B" w:rsidRPr="0083444E" w:rsidRDefault="00EF652B" w:rsidP="00EF652B">
      <w:pPr>
        <w:jc w:val="center"/>
        <w:rPr>
          <w:b/>
          <w:sz w:val="28"/>
          <w:szCs w:val="28"/>
          <w:lang w:val="lv-LV"/>
        </w:rPr>
      </w:pPr>
      <w:r w:rsidRPr="0083444E">
        <w:rPr>
          <w:b/>
          <w:sz w:val="28"/>
          <w:szCs w:val="28"/>
          <w:lang w:val="lv-LV"/>
        </w:rPr>
        <w:t>Grozījumi likumā “Par valsts sociālo apdrošināšanu”</w:t>
      </w:r>
    </w:p>
    <w:p w:rsidR="00EF652B" w:rsidRPr="0083444E" w:rsidRDefault="00EF652B" w:rsidP="00EF652B">
      <w:pPr>
        <w:jc w:val="center"/>
        <w:rPr>
          <w:b/>
          <w:i/>
          <w:sz w:val="26"/>
          <w:szCs w:val="26"/>
          <w:lang w:val="lv-LV"/>
        </w:rPr>
      </w:pPr>
      <w:r w:rsidRPr="0083444E">
        <w:rPr>
          <w:b/>
          <w:i/>
          <w:sz w:val="26"/>
          <w:szCs w:val="26"/>
          <w:lang w:val="lv-LV"/>
        </w:rPr>
        <w:t xml:space="preserve"> (Nr.95/Lp12)</w:t>
      </w:r>
    </w:p>
    <w:p w:rsidR="00EF652B" w:rsidRPr="0083444E" w:rsidRDefault="00EF652B" w:rsidP="00EF652B">
      <w:pPr>
        <w:pStyle w:val="Title"/>
        <w:jc w:val="left"/>
        <w:rPr>
          <w:sz w:val="16"/>
          <w:szCs w:val="16"/>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600"/>
        <w:gridCol w:w="556"/>
        <w:gridCol w:w="4048"/>
        <w:gridCol w:w="1418"/>
        <w:gridCol w:w="1418"/>
      </w:tblGrid>
      <w:tr w:rsidR="0083444E" w:rsidRPr="0083444E" w:rsidTr="0044175D">
        <w:tc>
          <w:tcPr>
            <w:tcW w:w="3528" w:type="dxa"/>
            <w:vAlign w:val="center"/>
          </w:tcPr>
          <w:p w:rsidR="00EF652B" w:rsidRPr="0083444E" w:rsidRDefault="00EF652B" w:rsidP="0044175D">
            <w:pPr>
              <w:jc w:val="center"/>
              <w:rPr>
                <w:b/>
                <w:bCs/>
                <w:iCs/>
                <w:lang w:val="lv-LV"/>
              </w:rPr>
            </w:pPr>
            <w:r w:rsidRPr="0083444E">
              <w:rPr>
                <w:b/>
                <w:bCs/>
                <w:iCs/>
                <w:lang w:val="lv-LV"/>
              </w:rPr>
              <w:t>Spēkā esošā redakcija</w:t>
            </w:r>
          </w:p>
        </w:tc>
        <w:tc>
          <w:tcPr>
            <w:tcW w:w="3600" w:type="dxa"/>
            <w:vAlign w:val="center"/>
          </w:tcPr>
          <w:p w:rsidR="00EF652B" w:rsidRPr="0083444E" w:rsidRDefault="00EF652B" w:rsidP="0044175D">
            <w:pPr>
              <w:pStyle w:val="Heading1"/>
            </w:pPr>
            <w:r w:rsidRPr="0083444E">
              <w:t>Pirmā lasījuma redakcija</w:t>
            </w:r>
          </w:p>
        </w:tc>
        <w:tc>
          <w:tcPr>
            <w:tcW w:w="556" w:type="dxa"/>
            <w:vAlign w:val="center"/>
          </w:tcPr>
          <w:p w:rsidR="00EF652B" w:rsidRPr="0083444E" w:rsidRDefault="00EF652B" w:rsidP="0044175D">
            <w:pPr>
              <w:jc w:val="center"/>
              <w:rPr>
                <w:b/>
                <w:bCs/>
                <w:iCs/>
                <w:lang w:val="lv-LV"/>
              </w:rPr>
            </w:pPr>
            <w:r w:rsidRPr="0083444E">
              <w:rPr>
                <w:b/>
                <w:bCs/>
                <w:iCs/>
                <w:lang w:val="lv-LV"/>
              </w:rPr>
              <w:t>Nr.</w:t>
            </w:r>
          </w:p>
        </w:tc>
        <w:tc>
          <w:tcPr>
            <w:tcW w:w="4048" w:type="dxa"/>
            <w:vAlign w:val="center"/>
          </w:tcPr>
          <w:p w:rsidR="00EF652B" w:rsidRPr="0083444E" w:rsidRDefault="00EF652B" w:rsidP="0044175D">
            <w:pPr>
              <w:ind w:firstLine="10"/>
              <w:jc w:val="center"/>
              <w:rPr>
                <w:b/>
                <w:bCs/>
                <w:iCs/>
                <w:lang w:val="lv-LV"/>
              </w:rPr>
            </w:pPr>
            <w:r w:rsidRPr="0083444E">
              <w:rPr>
                <w:b/>
                <w:bCs/>
                <w:iCs/>
                <w:lang w:val="lv-LV"/>
              </w:rPr>
              <w:t>Priekšlikumi</w:t>
            </w:r>
          </w:p>
          <w:p w:rsidR="00EF652B" w:rsidRPr="0083444E" w:rsidRDefault="006422A8" w:rsidP="006422A8">
            <w:pPr>
              <w:jc w:val="center"/>
              <w:rPr>
                <w:b/>
                <w:bCs/>
                <w:iCs/>
                <w:lang w:val="lv-LV"/>
              </w:rPr>
            </w:pPr>
            <w:r w:rsidRPr="0083444E">
              <w:rPr>
                <w:b/>
                <w:bCs/>
                <w:iCs/>
                <w:lang w:val="lv-LV"/>
              </w:rPr>
              <w:t>(2</w:t>
            </w:r>
            <w:r w:rsidR="00EF652B" w:rsidRPr="0083444E">
              <w:rPr>
                <w:b/>
                <w:bCs/>
                <w:iCs/>
                <w:lang w:val="lv-LV"/>
              </w:rPr>
              <w:t>)</w:t>
            </w:r>
          </w:p>
        </w:tc>
        <w:tc>
          <w:tcPr>
            <w:tcW w:w="1418" w:type="dxa"/>
            <w:vAlign w:val="center"/>
          </w:tcPr>
          <w:p w:rsidR="00EF652B" w:rsidRPr="0083444E" w:rsidRDefault="00EF652B" w:rsidP="0044175D">
            <w:pPr>
              <w:jc w:val="center"/>
              <w:rPr>
                <w:b/>
                <w:bCs/>
                <w:iCs/>
                <w:lang w:val="lv-LV"/>
              </w:rPr>
            </w:pPr>
            <w:r w:rsidRPr="0083444E">
              <w:rPr>
                <w:b/>
                <w:bCs/>
                <w:iCs/>
                <w:lang w:val="lv-LV"/>
              </w:rPr>
              <w:t>Ministru kabineta atzinums</w:t>
            </w:r>
          </w:p>
        </w:tc>
        <w:tc>
          <w:tcPr>
            <w:tcW w:w="1418" w:type="dxa"/>
            <w:vAlign w:val="center"/>
          </w:tcPr>
          <w:p w:rsidR="00EF652B" w:rsidRPr="0083444E" w:rsidRDefault="00EF652B" w:rsidP="0044175D">
            <w:pPr>
              <w:jc w:val="center"/>
              <w:rPr>
                <w:b/>
                <w:bCs/>
                <w:iCs/>
                <w:lang w:val="lv-LV"/>
              </w:rPr>
            </w:pPr>
            <w:r w:rsidRPr="0083444E">
              <w:rPr>
                <w:b/>
                <w:bCs/>
                <w:iCs/>
                <w:lang w:val="lv-LV"/>
              </w:rPr>
              <w:t>Komisijas atzinums</w:t>
            </w:r>
          </w:p>
        </w:tc>
      </w:tr>
      <w:tr w:rsidR="0083444E" w:rsidRPr="0083444E" w:rsidTr="0044175D">
        <w:tc>
          <w:tcPr>
            <w:tcW w:w="3528" w:type="dxa"/>
          </w:tcPr>
          <w:p w:rsidR="00EF652B" w:rsidRPr="0083444E" w:rsidRDefault="00EF652B" w:rsidP="0044175D">
            <w:pPr>
              <w:ind w:firstLine="567"/>
              <w:jc w:val="both"/>
              <w:rPr>
                <w:sz w:val="22"/>
                <w:szCs w:val="22"/>
                <w:lang w:val="lv-LV"/>
              </w:rPr>
            </w:pPr>
          </w:p>
        </w:tc>
        <w:tc>
          <w:tcPr>
            <w:tcW w:w="3600" w:type="dxa"/>
          </w:tcPr>
          <w:p w:rsidR="00EF652B" w:rsidRPr="0083444E" w:rsidRDefault="00EF652B" w:rsidP="00EF652B">
            <w:pPr>
              <w:ind w:firstLine="567"/>
              <w:jc w:val="both"/>
              <w:rPr>
                <w:sz w:val="22"/>
                <w:szCs w:val="22"/>
                <w:lang w:val="lv-LV"/>
              </w:rPr>
            </w:pPr>
            <w:r w:rsidRPr="0083444E">
              <w:rPr>
                <w:sz w:val="22"/>
                <w:szCs w:val="22"/>
                <w:lang w:val="lv-LV"/>
              </w:rPr>
              <w:t>Izdarīt likumā "Par valsts sociālo apdrošināšanu" (Latvijas Republikas Saeimas un Ministru Kabineta Ziņotājs, 1997, 22. nr.; 1998, 15. nr.; 1999, 24. nr.; 2001, 15., 17. nr.; 2002, 14. nr.; 2003, 9. nr.; 2004, 5. nr.; 2005, 8., 24. nr.; 2006, 14. nr.; 2007, 3., 12., 24. nr.; 2008, 15. nr.; 2009, 3., 15. nr.; Latvijas Vēstnesis, 2009, 199., 200. nr.; 2010, 94., 131., 205. nr.; 2011, 117., 202. nr.; 2012, 6. nr.; 2013, 232. nr.; 2014, 63. nr.) šādus grozījumus:</w:t>
            </w:r>
          </w:p>
        </w:tc>
        <w:tc>
          <w:tcPr>
            <w:tcW w:w="556" w:type="dxa"/>
          </w:tcPr>
          <w:p w:rsidR="00EF652B" w:rsidRPr="0083444E" w:rsidRDefault="00EF652B" w:rsidP="0044175D">
            <w:pPr>
              <w:jc w:val="center"/>
              <w:rPr>
                <w:sz w:val="22"/>
                <w:szCs w:val="22"/>
                <w:lang w:val="lv-LV"/>
              </w:rPr>
            </w:pPr>
          </w:p>
        </w:tc>
        <w:tc>
          <w:tcPr>
            <w:tcW w:w="4048" w:type="dxa"/>
          </w:tcPr>
          <w:p w:rsidR="00EF652B" w:rsidRPr="0083444E" w:rsidRDefault="00EF652B" w:rsidP="0044175D">
            <w:pPr>
              <w:tabs>
                <w:tab w:val="left" w:pos="2816"/>
              </w:tabs>
              <w:ind w:firstLine="567"/>
              <w:jc w:val="both"/>
              <w:rPr>
                <w:sz w:val="22"/>
                <w:szCs w:val="22"/>
                <w:lang w:val="lv-LV"/>
              </w:rPr>
            </w:pPr>
          </w:p>
        </w:tc>
        <w:tc>
          <w:tcPr>
            <w:tcW w:w="1418" w:type="dxa"/>
          </w:tcPr>
          <w:p w:rsidR="00EF652B" w:rsidRPr="0083444E" w:rsidRDefault="00EF652B" w:rsidP="0044175D">
            <w:pPr>
              <w:ind w:firstLine="567"/>
              <w:jc w:val="both"/>
              <w:rPr>
                <w:sz w:val="22"/>
                <w:szCs w:val="22"/>
                <w:lang w:val="lv-LV"/>
              </w:rPr>
            </w:pPr>
          </w:p>
        </w:tc>
        <w:tc>
          <w:tcPr>
            <w:tcW w:w="1418" w:type="dxa"/>
          </w:tcPr>
          <w:p w:rsidR="00EF652B" w:rsidRPr="0083444E" w:rsidRDefault="00EF652B" w:rsidP="0044175D">
            <w:pPr>
              <w:ind w:firstLine="567"/>
              <w:jc w:val="both"/>
              <w:rPr>
                <w:sz w:val="22"/>
                <w:szCs w:val="22"/>
                <w:lang w:val="lv-LV"/>
              </w:rPr>
            </w:pPr>
          </w:p>
        </w:tc>
      </w:tr>
      <w:tr w:rsidR="0083444E" w:rsidRPr="0083444E" w:rsidTr="0044175D">
        <w:tc>
          <w:tcPr>
            <w:tcW w:w="3528" w:type="dxa"/>
          </w:tcPr>
          <w:p w:rsidR="00EF652B" w:rsidRPr="0083444E" w:rsidRDefault="00EF652B" w:rsidP="00EF652B">
            <w:pPr>
              <w:pStyle w:val="tv2131"/>
              <w:spacing w:line="240" w:lineRule="auto"/>
              <w:ind w:firstLine="567"/>
              <w:jc w:val="both"/>
              <w:rPr>
                <w:color w:val="auto"/>
                <w:sz w:val="22"/>
                <w:szCs w:val="22"/>
              </w:rPr>
            </w:pPr>
            <w:r w:rsidRPr="0083444E">
              <w:rPr>
                <w:b/>
                <w:bCs/>
                <w:color w:val="auto"/>
                <w:sz w:val="22"/>
                <w:szCs w:val="22"/>
              </w:rPr>
              <w:t xml:space="preserve">1.pants. Likumā lietotie termini </w:t>
            </w:r>
          </w:p>
          <w:p w:rsidR="00EF652B" w:rsidRPr="0083444E" w:rsidRDefault="00EF652B" w:rsidP="00EF652B">
            <w:pPr>
              <w:ind w:firstLine="567"/>
              <w:jc w:val="both"/>
              <w:rPr>
                <w:sz w:val="22"/>
                <w:szCs w:val="22"/>
              </w:rPr>
            </w:pPr>
            <w:r w:rsidRPr="0083444E">
              <w:rPr>
                <w:sz w:val="22"/>
                <w:szCs w:val="22"/>
              </w:rPr>
              <w:t>Likumā ir lietoti šādi termini:</w:t>
            </w:r>
          </w:p>
          <w:p w:rsidR="00EF652B" w:rsidRPr="0083444E" w:rsidRDefault="00EF652B" w:rsidP="00EF652B">
            <w:pPr>
              <w:ind w:firstLine="567"/>
              <w:jc w:val="both"/>
              <w:rPr>
                <w:b/>
                <w:bCs/>
                <w:sz w:val="22"/>
                <w:szCs w:val="22"/>
              </w:rPr>
            </w:pPr>
            <w:r w:rsidRPr="0083444E">
              <w:rPr>
                <w:sz w:val="22"/>
                <w:szCs w:val="22"/>
              </w:rPr>
              <w:t xml:space="preserve">2) </w:t>
            </w:r>
            <w:r w:rsidRPr="0083444E">
              <w:rPr>
                <w:b/>
                <w:bCs/>
                <w:sz w:val="22"/>
                <w:szCs w:val="22"/>
              </w:rPr>
              <w:t>darba ņēmējs:</w:t>
            </w:r>
          </w:p>
          <w:p w:rsidR="00EF652B" w:rsidRPr="0083444E" w:rsidRDefault="00EF652B" w:rsidP="00EF652B">
            <w:pPr>
              <w:ind w:firstLine="567"/>
              <w:jc w:val="both"/>
              <w:rPr>
                <w:sz w:val="22"/>
                <w:szCs w:val="22"/>
                <w:lang w:val="fr-FR"/>
              </w:rPr>
            </w:pPr>
            <w:r w:rsidRPr="0083444E">
              <w:rPr>
                <w:sz w:val="22"/>
                <w:szCs w:val="22"/>
              </w:rPr>
              <w:t xml:space="preserve">m) kapitālsabiedrības valdes loceklis, kas bez atlīdzības veic pienākumus kapitālsabiedrībā, kurai taksācijas gada attiecīgajā mēnesī ir apgrozījums un nav neviena darba ņēmēja vai ir darba ņēmēji, kuru obligāto iemaksu objekts ir mazāks par Ministru kabineta noteiktās minimālās mēneša darba algas apmēru, un kurai pirmstaksācijas gadā apgrozījums bija lielāks par Ministru kabineta noteiktās </w:t>
            </w:r>
            <w:r w:rsidRPr="0083444E">
              <w:rPr>
                <w:sz w:val="22"/>
                <w:szCs w:val="22"/>
              </w:rPr>
              <w:lastRenderedPageBreak/>
              <w:t>minimālās mēneša darba algas apmēru, kas reizināts ar koeficientu 3,3 un ar 12 mēnešiem, un nebija neviena darba ņēmēja vai bija darba ņēmēji, kuru obligāto iemaksu objekts bija mazāks par Ministru kabineta noteiktās minimālās mēneša darba algas apmēru;</w:t>
            </w:r>
          </w:p>
        </w:tc>
        <w:tc>
          <w:tcPr>
            <w:tcW w:w="3600" w:type="dxa"/>
          </w:tcPr>
          <w:p w:rsidR="00EF652B" w:rsidRPr="0083444E" w:rsidRDefault="00EF652B" w:rsidP="00EF652B">
            <w:pPr>
              <w:ind w:firstLine="567"/>
              <w:jc w:val="both"/>
              <w:rPr>
                <w:sz w:val="22"/>
                <w:szCs w:val="22"/>
                <w:lang w:val="lv-LV" w:eastAsia="lv-LV"/>
              </w:rPr>
            </w:pPr>
            <w:r w:rsidRPr="0083444E">
              <w:rPr>
                <w:sz w:val="22"/>
                <w:szCs w:val="22"/>
                <w:lang w:val="lv-LV" w:eastAsia="lv-LV"/>
              </w:rPr>
              <w:lastRenderedPageBreak/>
              <w:t>1. Izteikt 1. panta 2. punkta “m” apakšpunktu šādā redakcijā:</w:t>
            </w:r>
          </w:p>
          <w:p w:rsidR="00EF652B" w:rsidRPr="0083444E" w:rsidRDefault="00EF652B" w:rsidP="00EF652B">
            <w:pPr>
              <w:ind w:firstLine="567"/>
              <w:jc w:val="both"/>
              <w:rPr>
                <w:sz w:val="22"/>
                <w:szCs w:val="22"/>
                <w:lang w:val="lv-LV" w:eastAsia="lv-LV"/>
              </w:rPr>
            </w:pPr>
            <w:r w:rsidRPr="0083444E">
              <w:rPr>
                <w:sz w:val="22"/>
                <w:szCs w:val="22"/>
                <w:lang w:val="lv-LV" w:eastAsia="lv-LV"/>
              </w:rPr>
              <w:t>“m) kapitālsabiedrības valdes loceklis, ja kapitālsabiedrībai taksācijas gada kārtējā mēnesī apgrozījums ir lielāks par Ministru kabineta noteiktās minimālās mēneša darba algas apmēru, kas reizināts ar koeficientu 5, un kapitālsabiedrībā šajā mēnesī nav neviena darba ņēmēja vai visiem darba ņēmējiem obligāto iemaksu objekts ir mazāks par Ministru kabineta noteiktās minimālās mēneša darba algas apmēru,”.</w:t>
            </w:r>
          </w:p>
        </w:tc>
        <w:tc>
          <w:tcPr>
            <w:tcW w:w="556" w:type="dxa"/>
          </w:tcPr>
          <w:p w:rsidR="00EF652B" w:rsidRPr="0083444E" w:rsidRDefault="00EF652B" w:rsidP="0044175D">
            <w:pPr>
              <w:jc w:val="center"/>
              <w:rPr>
                <w:b/>
                <w:sz w:val="22"/>
                <w:szCs w:val="22"/>
                <w:lang w:val="lv-LV"/>
              </w:rPr>
            </w:pPr>
          </w:p>
        </w:tc>
        <w:tc>
          <w:tcPr>
            <w:tcW w:w="4048" w:type="dxa"/>
          </w:tcPr>
          <w:p w:rsidR="00EF652B" w:rsidRPr="0083444E" w:rsidRDefault="00EF652B" w:rsidP="006422A8">
            <w:pPr>
              <w:tabs>
                <w:tab w:val="left" w:pos="2816"/>
              </w:tabs>
              <w:ind w:firstLine="567"/>
              <w:jc w:val="both"/>
              <w:rPr>
                <w:sz w:val="22"/>
                <w:szCs w:val="22"/>
                <w:lang w:val="lv-LV"/>
              </w:rPr>
            </w:pPr>
          </w:p>
        </w:tc>
        <w:tc>
          <w:tcPr>
            <w:tcW w:w="1418" w:type="dxa"/>
          </w:tcPr>
          <w:p w:rsidR="00EF652B" w:rsidRPr="0083444E" w:rsidRDefault="00EF652B" w:rsidP="0044175D">
            <w:pPr>
              <w:ind w:firstLine="567"/>
              <w:jc w:val="both"/>
              <w:rPr>
                <w:sz w:val="22"/>
                <w:szCs w:val="22"/>
                <w:lang w:val="lv-LV"/>
              </w:rPr>
            </w:pPr>
          </w:p>
        </w:tc>
        <w:tc>
          <w:tcPr>
            <w:tcW w:w="1418" w:type="dxa"/>
          </w:tcPr>
          <w:p w:rsidR="00EF652B" w:rsidRPr="0083444E" w:rsidRDefault="00EF652B" w:rsidP="0044175D">
            <w:pPr>
              <w:ind w:firstLine="567"/>
              <w:jc w:val="both"/>
              <w:rPr>
                <w:sz w:val="22"/>
                <w:szCs w:val="22"/>
                <w:lang w:val="lv-LV"/>
              </w:rPr>
            </w:pPr>
          </w:p>
        </w:tc>
      </w:tr>
      <w:tr w:rsidR="0083444E" w:rsidRPr="0083444E" w:rsidTr="0044175D">
        <w:tc>
          <w:tcPr>
            <w:tcW w:w="3528" w:type="dxa"/>
          </w:tcPr>
          <w:p w:rsidR="006422A8" w:rsidRPr="0083444E" w:rsidRDefault="006422A8" w:rsidP="006422A8">
            <w:pPr>
              <w:ind w:firstLine="567"/>
              <w:jc w:val="both"/>
              <w:rPr>
                <w:b/>
                <w:bCs/>
                <w:sz w:val="22"/>
                <w:szCs w:val="22"/>
                <w:lang w:val="lv-LV"/>
              </w:rPr>
            </w:pPr>
            <w:r w:rsidRPr="0083444E">
              <w:rPr>
                <w:b/>
                <w:bCs/>
                <w:sz w:val="22"/>
                <w:szCs w:val="22"/>
                <w:lang w:val="lv-LV"/>
              </w:rPr>
              <w:lastRenderedPageBreak/>
              <w:t>14.pants. Obligāto iemaksu objekts</w:t>
            </w:r>
          </w:p>
          <w:p w:rsidR="006422A8" w:rsidRPr="0083444E" w:rsidRDefault="006422A8" w:rsidP="006422A8">
            <w:pPr>
              <w:pStyle w:val="tv2131"/>
              <w:spacing w:line="240" w:lineRule="auto"/>
              <w:ind w:firstLine="567"/>
              <w:jc w:val="both"/>
              <w:rPr>
                <w:color w:val="auto"/>
                <w:sz w:val="22"/>
                <w:szCs w:val="22"/>
              </w:rPr>
            </w:pPr>
            <w:r w:rsidRPr="0083444E">
              <w:rPr>
                <w:color w:val="auto"/>
                <w:sz w:val="22"/>
                <w:szCs w:val="22"/>
              </w:rPr>
              <w:t>(5) Obligāto iemaksu objekta maksimālo apmēru un tā noteikšanas kārtību nosaka Ministru kabinets.</w:t>
            </w:r>
          </w:p>
        </w:tc>
        <w:tc>
          <w:tcPr>
            <w:tcW w:w="3600" w:type="dxa"/>
          </w:tcPr>
          <w:p w:rsidR="006422A8" w:rsidRPr="0083444E" w:rsidRDefault="006422A8" w:rsidP="006422A8">
            <w:pPr>
              <w:ind w:firstLine="567"/>
              <w:jc w:val="both"/>
              <w:rPr>
                <w:sz w:val="22"/>
                <w:szCs w:val="22"/>
                <w:lang w:val="lv-LV" w:eastAsia="lv-LV"/>
              </w:rPr>
            </w:pPr>
          </w:p>
        </w:tc>
        <w:tc>
          <w:tcPr>
            <w:tcW w:w="556" w:type="dxa"/>
          </w:tcPr>
          <w:p w:rsidR="006422A8" w:rsidRPr="0083444E" w:rsidRDefault="001279B6" w:rsidP="006422A8">
            <w:pPr>
              <w:jc w:val="center"/>
              <w:rPr>
                <w:b/>
                <w:sz w:val="22"/>
                <w:szCs w:val="22"/>
                <w:lang w:val="lv-LV"/>
              </w:rPr>
            </w:pPr>
            <w:r w:rsidRPr="0083444E">
              <w:rPr>
                <w:b/>
                <w:sz w:val="22"/>
                <w:szCs w:val="22"/>
                <w:lang w:val="lv-LV"/>
              </w:rPr>
              <w:t>1</w:t>
            </w:r>
          </w:p>
        </w:tc>
        <w:tc>
          <w:tcPr>
            <w:tcW w:w="4048" w:type="dxa"/>
          </w:tcPr>
          <w:p w:rsidR="006422A8" w:rsidRPr="0083444E" w:rsidRDefault="006422A8" w:rsidP="006422A8">
            <w:pPr>
              <w:tabs>
                <w:tab w:val="left" w:pos="2816"/>
              </w:tabs>
              <w:ind w:firstLine="567"/>
              <w:jc w:val="both"/>
              <w:rPr>
                <w:b/>
                <w:sz w:val="22"/>
                <w:szCs w:val="22"/>
                <w:u w:val="single"/>
                <w:lang w:val="lv-LV"/>
              </w:rPr>
            </w:pPr>
            <w:bookmarkStart w:id="0" w:name="_GoBack"/>
            <w:bookmarkEnd w:id="0"/>
            <w:r w:rsidRPr="0083444E">
              <w:rPr>
                <w:b/>
                <w:sz w:val="22"/>
                <w:szCs w:val="22"/>
                <w:u w:val="single"/>
                <w:lang w:val="lv-LV"/>
              </w:rPr>
              <w:t>Frakcija “No sirds Latvijai”</w:t>
            </w:r>
          </w:p>
          <w:p w:rsidR="006422A8" w:rsidRPr="0083444E" w:rsidRDefault="006422A8" w:rsidP="006422A8">
            <w:pPr>
              <w:pStyle w:val="ListParagraph"/>
              <w:spacing w:line="240" w:lineRule="auto"/>
              <w:ind w:left="0" w:firstLine="567"/>
              <w:rPr>
                <w:rFonts w:cs="Times New Roman"/>
                <w:sz w:val="22"/>
              </w:rPr>
            </w:pPr>
            <w:r w:rsidRPr="0083444E">
              <w:rPr>
                <w:rFonts w:cs="Times New Roman"/>
                <w:sz w:val="22"/>
              </w:rPr>
              <w:t xml:space="preserve">Papildināt likumprojektu ar jaunu 2.pantu, mainot turpmākā panta numerāciju, šādā redakcijā: </w:t>
            </w:r>
          </w:p>
          <w:p w:rsidR="006422A8" w:rsidRPr="0083444E" w:rsidRDefault="006422A8" w:rsidP="006422A8">
            <w:pPr>
              <w:pStyle w:val="ListParagraph"/>
              <w:spacing w:line="240" w:lineRule="auto"/>
              <w:ind w:left="0" w:firstLine="567"/>
              <w:rPr>
                <w:rFonts w:cs="Times New Roman"/>
                <w:sz w:val="22"/>
              </w:rPr>
            </w:pPr>
            <w:r w:rsidRPr="0083444E">
              <w:rPr>
                <w:rFonts w:cs="Times New Roman"/>
                <w:sz w:val="22"/>
              </w:rPr>
              <w:t>„2. Izslēgt 14.panta piekto daļu</w:t>
            </w:r>
          </w:p>
        </w:tc>
        <w:tc>
          <w:tcPr>
            <w:tcW w:w="1418" w:type="dxa"/>
          </w:tcPr>
          <w:p w:rsidR="006422A8" w:rsidRPr="0083444E" w:rsidRDefault="006422A8" w:rsidP="0044175D">
            <w:pPr>
              <w:ind w:firstLine="567"/>
              <w:jc w:val="both"/>
              <w:rPr>
                <w:sz w:val="22"/>
                <w:szCs w:val="22"/>
                <w:lang w:val="lv-LV"/>
              </w:rPr>
            </w:pPr>
          </w:p>
        </w:tc>
        <w:tc>
          <w:tcPr>
            <w:tcW w:w="1418" w:type="dxa"/>
          </w:tcPr>
          <w:p w:rsidR="006422A8" w:rsidRPr="0083444E" w:rsidRDefault="006422A8" w:rsidP="0044175D">
            <w:pPr>
              <w:ind w:firstLine="567"/>
              <w:jc w:val="both"/>
              <w:rPr>
                <w:sz w:val="22"/>
                <w:szCs w:val="22"/>
                <w:lang w:val="lv-LV"/>
              </w:rPr>
            </w:pPr>
          </w:p>
        </w:tc>
      </w:tr>
      <w:tr w:rsidR="0083444E" w:rsidRPr="0083444E" w:rsidTr="0044175D">
        <w:tc>
          <w:tcPr>
            <w:tcW w:w="3528" w:type="dxa"/>
          </w:tcPr>
          <w:p w:rsidR="006422A8" w:rsidRPr="0083444E" w:rsidRDefault="006422A8" w:rsidP="006422A8">
            <w:pPr>
              <w:ind w:firstLine="567"/>
              <w:jc w:val="both"/>
              <w:rPr>
                <w:b/>
                <w:bCs/>
                <w:sz w:val="22"/>
                <w:szCs w:val="22"/>
                <w:lang w:val="lv-LV"/>
              </w:rPr>
            </w:pPr>
            <w:r w:rsidRPr="0083444E">
              <w:rPr>
                <w:sz w:val="22"/>
                <w:szCs w:val="22"/>
                <w:lang w:val="lv-LV"/>
              </w:rPr>
              <w:t xml:space="preserve">(6) Brīvprātīgo apdrošināšanas iemaksu objektu, tā minimālo un </w:t>
            </w:r>
            <w:r w:rsidRPr="0083444E">
              <w:rPr>
                <w:sz w:val="22"/>
                <w:szCs w:val="22"/>
                <w:u w:val="single"/>
                <w:lang w:val="lv-LV"/>
              </w:rPr>
              <w:t>maksimālo apmēru</w:t>
            </w:r>
            <w:r w:rsidRPr="0083444E">
              <w:rPr>
                <w:sz w:val="22"/>
                <w:szCs w:val="22"/>
                <w:lang w:val="lv-LV"/>
              </w:rPr>
              <w:t xml:space="preserve"> un noteikšanas kārtību nosaka Ministru kabinets.</w:t>
            </w:r>
          </w:p>
        </w:tc>
        <w:tc>
          <w:tcPr>
            <w:tcW w:w="3600" w:type="dxa"/>
          </w:tcPr>
          <w:p w:rsidR="006422A8" w:rsidRPr="0083444E" w:rsidRDefault="006422A8" w:rsidP="006422A8">
            <w:pPr>
              <w:ind w:firstLine="567"/>
              <w:jc w:val="both"/>
              <w:rPr>
                <w:sz w:val="22"/>
                <w:szCs w:val="22"/>
                <w:lang w:val="lv-LV" w:eastAsia="lv-LV"/>
              </w:rPr>
            </w:pPr>
          </w:p>
        </w:tc>
        <w:tc>
          <w:tcPr>
            <w:tcW w:w="556" w:type="dxa"/>
          </w:tcPr>
          <w:p w:rsidR="006422A8" w:rsidRPr="0083444E" w:rsidRDefault="001279B6" w:rsidP="006422A8">
            <w:pPr>
              <w:jc w:val="center"/>
              <w:rPr>
                <w:b/>
                <w:sz w:val="22"/>
                <w:szCs w:val="22"/>
                <w:lang w:val="lv-LV"/>
              </w:rPr>
            </w:pPr>
            <w:r w:rsidRPr="0083444E">
              <w:rPr>
                <w:b/>
                <w:sz w:val="22"/>
                <w:szCs w:val="22"/>
                <w:lang w:val="lv-LV"/>
              </w:rPr>
              <w:t>2</w:t>
            </w:r>
          </w:p>
        </w:tc>
        <w:tc>
          <w:tcPr>
            <w:tcW w:w="4048" w:type="dxa"/>
          </w:tcPr>
          <w:p w:rsidR="006422A8" w:rsidRPr="0083444E" w:rsidRDefault="006422A8" w:rsidP="006422A8">
            <w:pPr>
              <w:tabs>
                <w:tab w:val="left" w:pos="2816"/>
              </w:tabs>
              <w:ind w:firstLine="567"/>
              <w:jc w:val="both"/>
              <w:rPr>
                <w:b/>
                <w:sz w:val="22"/>
                <w:szCs w:val="22"/>
                <w:u w:val="single"/>
                <w:lang w:val="lv-LV"/>
              </w:rPr>
            </w:pPr>
            <w:r w:rsidRPr="0083444E">
              <w:rPr>
                <w:b/>
                <w:sz w:val="22"/>
                <w:szCs w:val="22"/>
                <w:u w:val="single"/>
                <w:lang w:val="lv-LV"/>
              </w:rPr>
              <w:t>Frakcija “No sirds Latvijai”</w:t>
            </w:r>
          </w:p>
          <w:p w:rsidR="006422A8" w:rsidRPr="0083444E" w:rsidRDefault="006422A8" w:rsidP="006422A8">
            <w:pPr>
              <w:pStyle w:val="ListParagraph"/>
              <w:spacing w:line="240" w:lineRule="auto"/>
              <w:ind w:left="0" w:firstLine="567"/>
              <w:rPr>
                <w:rFonts w:cs="Times New Roman"/>
                <w:sz w:val="22"/>
              </w:rPr>
            </w:pPr>
            <w:r w:rsidRPr="0083444E">
              <w:rPr>
                <w:rFonts w:cs="Times New Roman"/>
                <w:sz w:val="22"/>
              </w:rPr>
              <w:t>Izteikt 14.panta sesto daļu šādā redakcijā:</w:t>
            </w:r>
          </w:p>
          <w:p w:rsidR="006422A8" w:rsidRPr="0083444E" w:rsidRDefault="006422A8" w:rsidP="006422A8">
            <w:pPr>
              <w:pStyle w:val="ListParagraph"/>
              <w:spacing w:line="240" w:lineRule="auto"/>
              <w:ind w:left="0" w:firstLine="567"/>
              <w:rPr>
                <w:rFonts w:cs="Times New Roman"/>
                <w:sz w:val="22"/>
              </w:rPr>
            </w:pPr>
            <w:r w:rsidRPr="0083444E">
              <w:rPr>
                <w:rFonts w:cs="Times New Roman"/>
                <w:sz w:val="22"/>
              </w:rPr>
              <w:t>„(6) Brīvprātīgo apdrošināšanas iemaksu objektu, tā minimālo apmēru un noteikšanas kārtību nosaka Ministru kabinets.”.”</w:t>
            </w:r>
          </w:p>
        </w:tc>
        <w:tc>
          <w:tcPr>
            <w:tcW w:w="1418" w:type="dxa"/>
          </w:tcPr>
          <w:p w:rsidR="006422A8" w:rsidRPr="0083444E" w:rsidRDefault="006422A8" w:rsidP="0044175D">
            <w:pPr>
              <w:ind w:firstLine="567"/>
              <w:jc w:val="both"/>
              <w:rPr>
                <w:sz w:val="22"/>
                <w:szCs w:val="22"/>
                <w:lang w:val="lv-LV"/>
              </w:rPr>
            </w:pPr>
          </w:p>
        </w:tc>
        <w:tc>
          <w:tcPr>
            <w:tcW w:w="1418" w:type="dxa"/>
          </w:tcPr>
          <w:p w:rsidR="006422A8" w:rsidRPr="0083444E" w:rsidRDefault="006422A8" w:rsidP="0044175D">
            <w:pPr>
              <w:ind w:firstLine="567"/>
              <w:jc w:val="both"/>
              <w:rPr>
                <w:sz w:val="22"/>
                <w:szCs w:val="22"/>
                <w:lang w:val="lv-LV"/>
              </w:rPr>
            </w:pPr>
          </w:p>
        </w:tc>
      </w:tr>
      <w:tr w:rsidR="0083444E" w:rsidRPr="0083444E" w:rsidTr="0044175D">
        <w:tc>
          <w:tcPr>
            <w:tcW w:w="3528" w:type="dxa"/>
          </w:tcPr>
          <w:p w:rsidR="00EF652B" w:rsidRPr="0083444E" w:rsidRDefault="006422A8" w:rsidP="0044175D">
            <w:pPr>
              <w:ind w:firstLine="567"/>
              <w:jc w:val="both"/>
              <w:rPr>
                <w:sz w:val="22"/>
                <w:szCs w:val="22"/>
                <w:lang w:val="lv-LV"/>
              </w:rPr>
            </w:pPr>
            <w:r w:rsidRPr="0083444E">
              <w:rPr>
                <w:sz w:val="22"/>
                <w:szCs w:val="22"/>
                <w:lang w:val="lv-LV"/>
              </w:rPr>
              <w:t xml:space="preserve"> </w:t>
            </w:r>
            <w:r w:rsidR="00EF652B" w:rsidRPr="0083444E">
              <w:rPr>
                <w:sz w:val="22"/>
                <w:szCs w:val="22"/>
                <w:lang w:val="lv-LV"/>
              </w:rPr>
              <w:t>(12</w:t>
            </w:r>
            <w:r w:rsidR="00EF652B" w:rsidRPr="0083444E">
              <w:rPr>
                <w:sz w:val="22"/>
                <w:szCs w:val="22"/>
                <w:vertAlign w:val="superscript"/>
                <w:lang w:val="lv-LV"/>
              </w:rPr>
              <w:t>1</w:t>
            </w:r>
            <w:r w:rsidR="00EF652B" w:rsidRPr="0083444E">
              <w:rPr>
                <w:sz w:val="22"/>
                <w:szCs w:val="22"/>
                <w:lang w:val="lv-LV"/>
              </w:rPr>
              <w:t>) Kapitālsabiedrības valdes loceklim, kurš atbilst darba ņēmēja statusam saskaņā ar šā likuma 1.panta 2.punkta "m" apakšpunkta nosacījumiem, obligāto iemaksu objekts nav mazāks par Ministru kabineta noteikto minimālo mēneša darba algu.</w:t>
            </w:r>
          </w:p>
          <w:p w:rsidR="00EF652B" w:rsidRPr="0083444E" w:rsidRDefault="00EF652B" w:rsidP="0044175D">
            <w:pPr>
              <w:ind w:firstLine="567"/>
              <w:jc w:val="both"/>
              <w:rPr>
                <w:sz w:val="22"/>
                <w:szCs w:val="22"/>
                <w:lang w:val="fr-FR"/>
              </w:rPr>
            </w:pPr>
            <w:r w:rsidRPr="0083444E">
              <w:rPr>
                <w:sz w:val="22"/>
                <w:szCs w:val="22"/>
                <w:lang w:val="lv-LV"/>
              </w:rPr>
              <w:t>(12</w:t>
            </w:r>
            <w:r w:rsidRPr="0083444E">
              <w:rPr>
                <w:sz w:val="22"/>
                <w:szCs w:val="22"/>
                <w:vertAlign w:val="superscript"/>
                <w:lang w:val="lv-LV"/>
              </w:rPr>
              <w:t>2</w:t>
            </w:r>
            <w:r w:rsidRPr="0083444E">
              <w:rPr>
                <w:sz w:val="22"/>
                <w:szCs w:val="22"/>
                <w:lang w:val="lv-LV"/>
              </w:rPr>
              <w:t xml:space="preserve">) Kapitālsabiedrības valdes loceklim, kurš atbilst darba ņēmēja statusam saskaņā ar šā likuma 1.panta 2.punkta "m" apakšpunkta nosacījumiem un kuram kā valdes loceklim ir noteikta atlīdzība, kas nav mazāka par Ministru kabineta noteikto piecu minimālo mēneša darba algu apmēru kapitālsabiedrībā, kura ir vienas uzņēmumu grupas </w:t>
            </w:r>
            <w:r w:rsidRPr="0083444E">
              <w:rPr>
                <w:sz w:val="22"/>
                <w:szCs w:val="22"/>
                <w:lang w:val="lv-LV"/>
              </w:rPr>
              <w:lastRenderedPageBreak/>
              <w:t>dalībniece likuma "</w:t>
            </w:r>
            <w:hyperlink r:id="rId6" w:tgtFrame="_blank" w:history="1">
              <w:r w:rsidRPr="0083444E">
                <w:rPr>
                  <w:sz w:val="22"/>
                  <w:szCs w:val="22"/>
                  <w:lang w:val="lv-LV"/>
                </w:rPr>
                <w:t>Par uzņēmumu ienākuma nodokli</w:t>
              </w:r>
            </w:hyperlink>
            <w:r w:rsidRPr="0083444E">
              <w:rPr>
                <w:sz w:val="22"/>
                <w:szCs w:val="22"/>
                <w:lang w:val="lv-LV"/>
              </w:rPr>
              <w:t>" izpratnē, obligāto iemaksu noteikšanā netiek piemērots šā panta 12.</w:t>
            </w:r>
            <w:r w:rsidRPr="0083444E">
              <w:rPr>
                <w:sz w:val="22"/>
                <w:szCs w:val="22"/>
                <w:vertAlign w:val="superscript"/>
                <w:lang w:val="lv-LV"/>
              </w:rPr>
              <w:t>1</w:t>
            </w:r>
            <w:r w:rsidRPr="0083444E">
              <w:rPr>
                <w:sz w:val="22"/>
                <w:szCs w:val="22"/>
                <w:lang w:val="lv-LV"/>
              </w:rPr>
              <w:t xml:space="preserve"> daļas nosacījums.</w:t>
            </w:r>
          </w:p>
        </w:tc>
        <w:tc>
          <w:tcPr>
            <w:tcW w:w="3600" w:type="dxa"/>
          </w:tcPr>
          <w:p w:rsidR="00EF652B" w:rsidRPr="0083444E" w:rsidRDefault="00EF652B" w:rsidP="00EF652B">
            <w:pPr>
              <w:pStyle w:val="BodyText"/>
              <w:spacing w:before="0" w:beforeAutospacing="0" w:after="0" w:afterAutospacing="0"/>
              <w:ind w:firstLine="567"/>
              <w:jc w:val="both"/>
              <w:rPr>
                <w:color w:val="auto"/>
                <w:sz w:val="22"/>
                <w:szCs w:val="22"/>
              </w:rPr>
            </w:pPr>
            <w:r w:rsidRPr="0083444E">
              <w:rPr>
                <w:color w:val="auto"/>
                <w:sz w:val="22"/>
                <w:szCs w:val="22"/>
              </w:rPr>
              <w:lastRenderedPageBreak/>
              <w:t>2. Papildināt 14. pantu ar 12.</w:t>
            </w:r>
            <w:r w:rsidRPr="0083444E">
              <w:rPr>
                <w:color w:val="auto"/>
                <w:sz w:val="22"/>
                <w:szCs w:val="22"/>
                <w:vertAlign w:val="superscript"/>
              </w:rPr>
              <w:t>3</w:t>
            </w:r>
            <w:r w:rsidRPr="0083444E">
              <w:rPr>
                <w:color w:val="auto"/>
                <w:sz w:val="22"/>
                <w:szCs w:val="22"/>
              </w:rPr>
              <w:t xml:space="preserve"> daļu šādā redakcijā:</w:t>
            </w:r>
          </w:p>
          <w:p w:rsidR="00EF652B" w:rsidRPr="0083444E" w:rsidRDefault="00EF652B" w:rsidP="00EF652B">
            <w:pPr>
              <w:pStyle w:val="BodyText"/>
              <w:spacing w:before="0" w:beforeAutospacing="0" w:after="0" w:afterAutospacing="0"/>
              <w:ind w:firstLine="567"/>
              <w:jc w:val="both"/>
              <w:rPr>
                <w:color w:val="auto"/>
                <w:sz w:val="22"/>
                <w:szCs w:val="22"/>
              </w:rPr>
            </w:pPr>
            <w:r w:rsidRPr="0083444E">
              <w:rPr>
                <w:color w:val="auto"/>
                <w:sz w:val="22"/>
                <w:szCs w:val="22"/>
              </w:rPr>
              <w:t>“(12</w:t>
            </w:r>
            <w:r w:rsidRPr="0083444E">
              <w:rPr>
                <w:color w:val="auto"/>
                <w:sz w:val="22"/>
                <w:szCs w:val="22"/>
                <w:vertAlign w:val="superscript"/>
              </w:rPr>
              <w:t>3</w:t>
            </w:r>
            <w:r w:rsidRPr="0083444E">
              <w:rPr>
                <w:color w:val="auto"/>
                <w:sz w:val="22"/>
                <w:szCs w:val="22"/>
              </w:rPr>
              <w:t>) Šā panta 12.</w:t>
            </w:r>
            <w:r w:rsidRPr="0083444E">
              <w:rPr>
                <w:color w:val="auto"/>
                <w:sz w:val="22"/>
                <w:szCs w:val="22"/>
                <w:vertAlign w:val="superscript"/>
              </w:rPr>
              <w:t>1</w:t>
            </w:r>
            <w:r w:rsidRPr="0083444E">
              <w:rPr>
                <w:rStyle w:val="apple-converted-space"/>
                <w:color w:val="auto"/>
                <w:sz w:val="22"/>
                <w:szCs w:val="22"/>
              </w:rPr>
              <w:t> </w:t>
            </w:r>
            <w:r w:rsidRPr="0083444E">
              <w:rPr>
                <w:color w:val="auto"/>
                <w:sz w:val="22"/>
                <w:szCs w:val="22"/>
              </w:rPr>
              <w:t>daļa netiek piemērota tajā kalendāra gadā, kad kapitālsabiedrība reģistrēta Uzņēmumu reģistrā.”</w:t>
            </w:r>
          </w:p>
        </w:tc>
        <w:tc>
          <w:tcPr>
            <w:tcW w:w="556" w:type="dxa"/>
          </w:tcPr>
          <w:p w:rsidR="00EF652B" w:rsidRPr="0083444E" w:rsidRDefault="00EF652B" w:rsidP="0044175D">
            <w:pPr>
              <w:jc w:val="center"/>
              <w:rPr>
                <w:b/>
                <w:sz w:val="22"/>
                <w:szCs w:val="22"/>
                <w:lang w:val="lv-LV"/>
              </w:rPr>
            </w:pPr>
          </w:p>
        </w:tc>
        <w:tc>
          <w:tcPr>
            <w:tcW w:w="4048" w:type="dxa"/>
          </w:tcPr>
          <w:p w:rsidR="00EF652B" w:rsidRPr="0083444E" w:rsidRDefault="00EF652B" w:rsidP="0044175D">
            <w:pPr>
              <w:tabs>
                <w:tab w:val="left" w:pos="2816"/>
              </w:tabs>
              <w:ind w:firstLine="567"/>
              <w:jc w:val="both"/>
              <w:rPr>
                <w:b/>
                <w:sz w:val="22"/>
                <w:szCs w:val="22"/>
                <w:u w:val="single"/>
                <w:lang w:val="lv-LV"/>
              </w:rPr>
            </w:pPr>
          </w:p>
        </w:tc>
        <w:tc>
          <w:tcPr>
            <w:tcW w:w="1418" w:type="dxa"/>
          </w:tcPr>
          <w:p w:rsidR="00EF652B" w:rsidRPr="0083444E" w:rsidRDefault="00EF652B" w:rsidP="0044175D">
            <w:pPr>
              <w:ind w:firstLine="567"/>
              <w:jc w:val="both"/>
              <w:rPr>
                <w:sz w:val="22"/>
                <w:szCs w:val="22"/>
                <w:lang w:val="lv-LV"/>
              </w:rPr>
            </w:pPr>
          </w:p>
        </w:tc>
        <w:tc>
          <w:tcPr>
            <w:tcW w:w="1418" w:type="dxa"/>
          </w:tcPr>
          <w:p w:rsidR="00EF652B" w:rsidRPr="0083444E" w:rsidRDefault="00EF652B" w:rsidP="0044175D">
            <w:pPr>
              <w:ind w:firstLine="567"/>
              <w:jc w:val="both"/>
              <w:rPr>
                <w:sz w:val="22"/>
                <w:szCs w:val="22"/>
                <w:lang w:val="lv-LV"/>
              </w:rPr>
            </w:pPr>
          </w:p>
        </w:tc>
      </w:tr>
      <w:tr w:rsidR="0083444E" w:rsidRPr="0083444E" w:rsidTr="0044175D">
        <w:tc>
          <w:tcPr>
            <w:tcW w:w="3528" w:type="dxa"/>
          </w:tcPr>
          <w:p w:rsidR="00EF652B" w:rsidRPr="0083444E" w:rsidRDefault="00EF652B" w:rsidP="0044175D">
            <w:pPr>
              <w:ind w:firstLine="567"/>
              <w:jc w:val="both"/>
              <w:rPr>
                <w:sz w:val="22"/>
                <w:szCs w:val="22"/>
                <w:lang w:val="fr-FR"/>
              </w:rPr>
            </w:pPr>
          </w:p>
        </w:tc>
        <w:tc>
          <w:tcPr>
            <w:tcW w:w="3600" w:type="dxa"/>
          </w:tcPr>
          <w:p w:rsidR="00EF652B" w:rsidRPr="0083444E" w:rsidRDefault="00EF652B" w:rsidP="0044175D">
            <w:pPr>
              <w:pStyle w:val="naisf"/>
              <w:spacing w:before="0" w:beforeAutospacing="0" w:after="0" w:afterAutospacing="0"/>
              <w:ind w:firstLine="567"/>
              <w:jc w:val="both"/>
              <w:rPr>
                <w:sz w:val="22"/>
                <w:szCs w:val="22"/>
              </w:rPr>
            </w:pPr>
            <w:r w:rsidRPr="0083444E">
              <w:rPr>
                <w:sz w:val="22"/>
                <w:szCs w:val="22"/>
              </w:rPr>
              <w:t>Likums stājas spēkā 2015. gada 1. janvārī.</w:t>
            </w:r>
          </w:p>
        </w:tc>
        <w:tc>
          <w:tcPr>
            <w:tcW w:w="556" w:type="dxa"/>
          </w:tcPr>
          <w:p w:rsidR="00EF652B" w:rsidRPr="0083444E" w:rsidRDefault="00EF652B" w:rsidP="0044175D">
            <w:pPr>
              <w:jc w:val="center"/>
              <w:rPr>
                <w:b/>
                <w:sz w:val="22"/>
                <w:szCs w:val="22"/>
                <w:lang w:val="lv-LV"/>
              </w:rPr>
            </w:pPr>
          </w:p>
        </w:tc>
        <w:tc>
          <w:tcPr>
            <w:tcW w:w="4048" w:type="dxa"/>
          </w:tcPr>
          <w:p w:rsidR="00EF652B" w:rsidRPr="0083444E" w:rsidRDefault="00EF652B" w:rsidP="0044175D">
            <w:pPr>
              <w:tabs>
                <w:tab w:val="left" w:pos="2816"/>
              </w:tabs>
              <w:ind w:firstLine="567"/>
              <w:jc w:val="both"/>
              <w:rPr>
                <w:b/>
                <w:sz w:val="22"/>
                <w:szCs w:val="22"/>
                <w:u w:val="single"/>
                <w:lang w:val="lv-LV"/>
              </w:rPr>
            </w:pPr>
          </w:p>
        </w:tc>
        <w:tc>
          <w:tcPr>
            <w:tcW w:w="1418" w:type="dxa"/>
          </w:tcPr>
          <w:p w:rsidR="00EF652B" w:rsidRPr="0083444E" w:rsidRDefault="00EF652B" w:rsidP="0044175D">
            <w:pPr>
              <w:ind w:firstLine="567"/>
              <w:jc w:val="both"/>
              <w:rPr>
                <w:sz w:val="22"/>
                <w:szCs w:val="22"/>
                <w:lang w:val="lv-LV"/>
              </w:rPr>
            </w:pPr>
          </w:p>
        </w:tc>
        <w:tc>
          <w:tcPr>
            <w:tcW w:w="1418" w:type="dxa"/>
          </w:tcPr>
          <w:p w:rsidR="00EF652B" w:rsidRPr="0083444E" w:rsidRDefault="00EF652B" w:rsidP="0044175D">
            <w:pPr>
              <w:ind w:firstLine="567"/>
              <w:jc w:val="both"/>
              <w:rPr>
                <w:sz w:val="22"/>
                <w:szCs w:val="22"/>
                <w:lang w:val="lv-LV"/>
              </w:rPr>
            </w:pPr>
          </w:p>
        </w:tc>
      </w:tr>
    </w:tbl>
    <w:p w:rsidR="00EF652B" w:rsidRPr="0083444E" w:rsidRDefault="00EF652B" w:rsidP="00EF652B">
      <w:pPr>
        <w:rPr>
          <w:lang w:val="lv-LV"/>
        </w:rPr>
      </w:pPr>
      <w:bookmarkStart w:id="1" w:name="6156"/>
      <w:bookmarkEnd w:id="1"/>
    </w:p>
    <w:p w:rsidR="00AD5442" w:rsidRPr="0083444E" w:rsidRDefault="00AD5442">
      <w:pPr>
        <w:rPr>
          <w:lang w:val="lv-LV"/>
        </w:rPr>
      </w:pPr>
    </w:p>
    <w:sectPr w:rsidR="00AD5442" w:rsidRPr="0083444E" w:rsidSect="00DE7779">
      <w:footerReference w:type="even" r:id="rId7"/>
      <w:footerReference w:type="default" r:id="rId8"/>
      <w:footerReference w:type="first" r:id="rId9"/>
      <w:pgSz w:w="15840" w:h="12240" w:orient="landscape"/>
      <w:pgMar w:top="1134" w:right="851" w:bottom="1276" w:left="85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4A9" w:rsidRDefault="006422A8">
      <w:r>
        <w:separator/>
      </w:r>
    </w:p>
  </w:endnote>
  <w:endnote w:type="continuationSeparator" w:id="0">
    <w:p w:rsidR="006444A9" w:rsidRDefault="0064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23" w:rsidRDefault="00EF652B" w:rsidP="007D0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0423" w:rsidRDefault="00F6444C" w:rsidP="00630E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23" w:rsidRDefault="00EF652B" w:rsidP="007D0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44C">
      <w:rPr>
        <w:rStyle w:val="PageNumber"/>
        <w:noProof/>
      </w:rPr>
      <w:t>3</w:t>
    </w:r>
    <w:r>
      <w:rPr>
        <w:rStyle w:val="PageNumber"/>
      </w:rPr>
      <w:fldChar w:fldCharType="end"/>
    </w:r>
  </w:p>
  <w:p w:rsidR="00C10423" w:rsidRPr="00DE7779" w:rsidRDefault="00F6444C" w:rsidP="00DE7779">
    <w:pPr>
      <w:pStyle w:val="Footer"/>
      <w:rPr>
        <w:sz w:val="18"/>
        <w:szCs w:val="18"/>
        <w:lang w:val="lv-LV"/>
      </w:rPr>
    </w:pPr>
  </w:p>
  <w:p w:rsidR="00C10423" w:rsidRDefault="00F6444C" w:rsidP="00630E45">
    <w:pPr>
      <w:pStyle w:val="Footer"/>
      <w:ind w:right="360"/>
    </w:pPr>
  </w:p>
  <w:p w:rsidR="00C10423" w:rsidRDefault="00F644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23" w:rsidRDefault="00F6444C" w:rsidP="000F59A0">
    <w:pPr>
      <w:pStyle w:val="Footer"/>
      <w:ind w:right="360"/>
      <w:rPr>
        <w:sz w:val="18"/>
        <w:szCs w:val="18"/>
        <w:lang w:val="lv-LV"/>
      </w:rPr>
    </w:pPr>
  </w:p>
  <w:p w:rsidR="00C10423" w:rsidRDefault="00F6444C" w:rsidP="000F59A0">
    <w:pPr>
      <w:pStyle w:val="Footer"/>
      <w:ind w:right="360"/>
    </w:pPr>
  </w:p>
  <w:p w:rsidR="00C10423" w:rsidRPr="00DE7779" w:rsidRDefault="00F6444C">
    <w:pPr>
      <w:pStyle w:val="Footer"/>
      <w:rPr>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4A9" w:rsidRDefault="006422A8">
      <w:r>
        <w:separator/>
      </w:r>
    </w:p>
  </w:footnote>
  <w:footnote w:type="continuationSeparator" w:id="0">
    <w:p w:rsidR="006444A9" w:rsidRDefault="00642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2B"/>
    <w:rsid w:val="001279B6"/>
    <w:rsid w:val="006422A8"/>
    <w:rsid w:val="006444A9"/>
    <w:rsid w:val="0083444E"/>
    <w:rsid w:val="00AD5442"/>
    <w:rsid w:val="00EF652B"/>
    <w:rsid w:val="00F644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E8EBE-8633-4786-9466-32D7C39A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2B"/>
    <w:rPr>
      <w:rFonts w:eastAsia="Times New Roman" w:cs="Times New Roman"/>
      <w:szCs w:val="24"/>
      <w:lang w:val="en-GB"/>
    </w:rPr>
  </w:style>
  <w:style w:type="paragraph" w:styleId="Heading1">
    <w:name w:val="heading 1"/>
    <w:basedOn w:val="Normal"/>
    <w:next w:val="Normal"/>
    <w:link w:val="Heading1Char"/>
    <w:qFormat/>
    <w:rsid w:val="00EF652B"/>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52B"/>
    <w:rPr>
      <w:rFonts w:eastAsia="Times New Roman" w:cs="Times New Roman"/>
      <w:b/>
      <w:bCs/>
      <w:iCs/>
      <w:szCs w:val="24"/>
    </w:rPr>
  </w:style>
  <w:style w:type="paragraph" w:styleId="Title">
    <w:name w:val="Title"/>
    <w:basedOn w:val="Normal"/>
    <w:link w:val="TitleChar"/>
    <w:qFormat/>
    <w:rsid w:val="00EF652B"/>
    <w:pPr>
      <w:jc w:val="center"/>
    </w:pPr>
    <w:rPr>
      <w:b/>
      <w:szCs w:val="20"/>
      <w:lang w:val="lv-LV"/>
    </w:rPr>
  </w:style>
  <w:style w:type="character" w:customStyle="1" w:styleId="TitleChar">
    <w:name w:val="Title Char"/>
    <w:basedOn w:val="DefaultParagraphFont"/>
    <w:link w:val="Title"/>
    <w:rsid w:val="00EF652B"/>
    <w:rPr>
      <w:rFonts w:eastAsia="Times New Roman" w:cs="Times New Roman"/>
      <w:b/>
      <w:szCs w:val="20"/>
    </w:rPr>
  </w:style>
  <w:style w:type="paragraph" w:styleId="Footer">
    <w:name w:val="footer"/>
    <w:basedOn w:val="Normal"/>
    <w:link w:val="FooterChar"/>
    <w:rsid w:val="00EF652B"/>
    <w:pPr>
      <w:tabs>
        <w:tab w:val="center" w:pos="4320"/>
        <w:tab w:val="right" w:pos="8640"/>
      </w:tabs>
    </w:pPr>
  </w:style>
  <w:style w:type="character" w:customStyle="1" w:styleId="FooterChar">
    <w:name w:val="Footer Char"/>
    <w:basedOn w:val="DefaultParagraphFont"/>
    <w:link w:val="Footer"/>
    <w:rsid w:val="00EF652B"/>
    <w:rPr>
      <w:rFonts w:eastAsia="Times New Roman" w:cs="Times New Roman"/>
      <w:szCs w:val="24"/>
      <w:lang w:val="en-GB"/>
    </w:rPr>
  </w:style>
  <w:style w:type="character" w:styleId="PageNumber">
    <w:name w:val="page number"/>
    <w:basedOn w:val="DefaultParagraphFont"/>
    <w:rsid w:val="00EF652B"/>
  </w:style>
  <w:style w:type="paragraph" w:customStyle="1" w:styleId="naisf">
    <w:name w:val="naisf"/>
    <w:basedOn w:val="Normal"/>
    <w:uiPriority w:val="99"/>
    <w:rsid w:val="00EF652B"/>
    <w:pPr>
      <w:spacing w:before="100" w:beforeAutospacing="1" w:after="100" w:afterAutospacing="1"/>
    </w:pPr>
    <w:rPr>
      <w:lang w:val="lv-LV" w:eastAsia="lv-LV"/>
    </w:rPr>
  </w:style>
  <w:style w:type="paragraph" w:customStyle="1" w:styleId="tv2131">
    <w:name w:val="tv2131"/>
    <w:basedOn w:val="Normal"/>
    <w:rsid w:val="00EF652B"/>
    <w:pPr>
      <w:spacing w:line="360" w:lineRule="auto"/>
      <w:ind w:firstLine="300"/>
    </w:pPr>
    <w:rPr>
      <w:color w:val="414142"/>
      <w:sz w:val="20"/>
      <w:szCs w:val="20"/>
      <w:lang w:val="lv-LV" w:eastAsia="lv-LV"/>
    </w:rPr>
  </w:style>
  <w:style w:type="paragraph" w:styleId="BodyText">
    <w:name w:val="Body Text"/>
    <w:basedOn w:val="Normal"/>
    <w:link w:val="BodyTextChar"/>
    <w:uiPriority w:val="99"/>
    <w:unhideWhenUsed/>
    <w:rsid w:val="00EF652B"/>
    <w:pPr>
      <w:spacing w:before="100" w:beforeAutospacing="1" w:after="100" w:afterAutospacing="1"/>
    </w:pPr>
    <w:rPr>
      <w:color w:val="000000"/>
      <w:lang w:val="lv-LV" w:eastAsia="lv-LV"/>
    </w:rPr>
  </w:style>
  <w:style w:type="character" w:customStyle="1" w:styleId="BodyTextChar">
    <w:name w:val="Body Text Char"/>
    <w:basedOn w:val="DefaultParagraphFont"/>
    <w:link w:val="BodyText"/>
    <w:uiPriority w:val="99"/>
    <w:rsid w:val="00EF652B"/>
    <w:rPr>
      <w:rFonts w:eastAsia="Times New Roman" w:cs="Times New Roman"/>
      <w:color w:val="000000"/>
      <w:szCs w:val="24"/>
      <w:lang w:eastAsia="lv-LV"/>
    </w:rPr>
  </w:style>
  <w:style w:type="character" w:customStyle="1" w:styleId="apple-converted-space">
    <w:name w:val="apple-converted-space"/>
    <w:basedOn w:val="DefaultParagraphFont"/>
    <w:rsid w:val="00EF652B"/>
  </w:style>
  <w:style w:type="paragraph" w:styleId="ListParagraph">
    <w:name w:val="List Paragraph"/>
    <w:basedOn w:val="Normal"/>
    <w:uiPriority w:val="34"/>
    <w:qFormat/>
    <w:rsid w:val="006422A8"/>
    <w:pPr>
      <w:spacing w:line="360" w:lineRule="auto"/>
      <w:ind w:left="720" w:firstLine="720"/>
      <w:contextualSpacing/>
      <w:jc w:val="both"/>
    </w:pPr>
    <w:rPr>
      <w:rFonts w:eastAsiaTheme="minorHAnsi" w:cstheme="minorBidi"/>
      <w:szCs w:val="22"/>
      <w:lang w:val="lv-LV"/>
    </w:rPr>
  </w:style>
  <w:style w:type="paragraph" w:styleId="BalloonText">
    <w:name w:val="Balloon Text"/>
    <w:basedOn w:val="Normal"/>
    <w:link w:val="BalloonTextChar"/>
    <w:uiPriority w:val="99"/>
    <w:semiHidden/>
    <w:unhideWhenUsed/>
    <w:rsid w:val="00834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4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908">
      <w:bodyDiv w:val="1"/>
      <w:marLeft w:val="0"/>
      <w:marRight w:val="0"/>
      <w:marTop w:val="0"/>
      <w:marBottom w:val="0"/>
      <w:divBdr>
        <w:top w:val="none" w:sz="0" w:space="0" w:color="auto"/>
        <w:left w:val="none" w:sz="0" w:space="0" w:color="auto"/>
        <w:bottom w:val="none" w:sz="0" w:space="0" w:color="auto"/>
        <w:right w:val="none" w:sz="0" w:space="0" w:color="auto"/>
      </w:divBdr>
      <w:divsChild>
        <w:div w:id="195850281">
          <w:marLeft w:val="0"/>
          <w:marRight w:val="0"/>
          <w:marTop w:val="0"/>
          <w:marBottom w:val="0"/>
          <w:divBdr>
            <w:top w:val="none" w:sz="0" w:space="0" w:color="auto"/>
            <w:left w:val="none" w:sz="0" w:space="0" w:color="auto"/>
            <w:bottom w:val="none" w:sz="0" w:space="0" w:color="auto"/>
            <w:right w:val="none" w:sz="0" w:space="0" w:color="auto"/>
          </w:divBdr>
          <w:divsChild>
            <w:div w:id="1517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394">
      <w:bodyDiv w:val="1"/>
      <w:marLeft w:val="0"/>
      <w:marRight w:val="0"/>
      <w:marTop w:val="0"/>
      <w:marBottom w:val="0"/>
      <w:divBdr>
        <w:top w:val="none" w:sz="0" w:space="0" w:color="auto"/>
        <w:left w:val="none" w:sz="0" w:space="0" w:color="auto"/>
        <w:bottom w:val="none" w:sz="0" w:space="0" w:color="auto"/>
        <w:right w:val="none" w:sz="0" w:space="0" w:color="auto"/>
      </w:divBdr>
      <w:divsChild>
        <w:div w:id="2101413716">
          <w:marLeft w:val="0"/>
          <w:marRight w:val="0"/>
          <w:marTop w:val="0"/>
          <w:marBottom w:val="0"/>
          <w:divBdr>
            <w:top w:val="none" w:sz="0" w:space="0" w:color="auto"/>
            <w:left w:val="none" w:sz="0" w:space="0" w:color="auto"/>
            <w:bottom w:val="none" w:sz="0" w:space="0" w:color="auto"/>
            <w:right w:val="none" w:sz="0" w:space="0" w:color="auto"/>
          </w:divBdr>
          <w:divsChild>
            <w:div w:id="8778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7021">
      <w:bodyDiv w:val="1"/>
      <w:marLeft w:val="0"/>
      <w:marRight w:val="0"/>
      <w:marTop w:val="0"/>
      <w:marBottom w:val="0"/>
      <w:divBdr>
        <w:top w:val="none" w:sz="0" w:space="0" w:color="auto"/>
        <w:left w:val="none" w:sz="0" w:space="0" w:color="auto"/>
        <w:bottom w:val="none" w:sz="0" w:space="0" w:color="auto"/>
        <w:right w:val="none" w:sz="0" w:space="0" w:color="auto"/>
      </w:divBdr>
      <w:divsChild>
        <w:div w:id="1460802640">
          <w:marLeft w:val="0"/>
          <w:marRight w:val="0"/>
          <w:marTop w:val="0"/>
          <w:marBottom w:val="0"/>
          <w:divBdr>
            <w:top w:val="none" w:sz="0" w:space="0" w:color="auto"/>
            <w:left w:val="none" w:sz="0" w:space="0" w:color="auto"/>
            <w:bottom w:val="none" w:sz="0" w:space="0" w:color="auto"/>
            <w:right w:val="none" w:sz="0" w:space="0" w:color="auto"/>
          </w:divBdr>
          <w:divsChild>
            <w:div w:id="791555948">
              <w:marLeft w:val="0"/>
              <w:marRight w:val="0"/>
              <w:marTop w:val="0"/>
              <w:marBottom w:val="0"/>
              <w:divBdr>
                <w:top w:val="none" w:sz="0" w:space="0" w:color="auto"/>
                <w:left w:val="none" w:sz="0" w:space="0" w:color="auto"/>
                <w:bottom w:val="none" w:sz="0" w:space="0" w:color="auto"/>
                <w:right w:val="none" w:sz="0" w:space="0" w:color="auto"/>
              </w:divBdr>
              <w:divsChild>
                <w:div w:id="149828873">
                  <w:marLeft w:val="0"/>
                  <w:marRight w:val="0"/>
                  <w:marTop w:val="0"/>
                  <w:marBottom w:val="0"/>
                  <w:divBdr>
                    <w:top w:val="none" w:sz="0" w:space="0" w:color="auto"/>
                    <w:left w:val="none" w:sz="0" w:space="0" w:color="auto"/>
                    <w:bottom w:val="none" w:sz="0" w:space="0" w:color="auto"/>
                    <w:right w:val="none" w:sz="0" w:space="0" w:color="auto"/>
                  </w:divBdr>
                  <w:divsChild>
                    <w:div w:id="1932278458">
                      <w:marLeft w:val="0"/>
                      <w:marRight w:val="0"/>
                      <w:marTop w:val="0"/>
                      <w:marBottom w:val="0"/>
                      <w:divBdr>
                        <w:top w:val="none" w:sz="0" w:space="0" w:color="auto"/>
                        <w:left w:val="none" w:sz="0" w:space="0" w:color="auto"/>
                        <w:bottom w:val="none" w:sz="0" w:space="0" w:color="auto"/>
                        <w:right w:val="none" w:sz="0" w:space="0" w:color="auto"/>
                      </w:divBdr>
                      <w:divsChild>
                        <w:div w:id="267082413">
                          <w:marLeft w:val="0"/>
                          <w:marRight w:val="0"/>
                          <w:marTop w:val="0"/>
                          <w:marBottom w:val="0"/>
                          <w:divBdr>
                            <w:top w:val="none" w:sz="0" w:space="0" w:color="auto"/>
                            <w:left w:val="none" w:sz="0" w:space="0" w:color="auto"/>
                            <w:bottom w:val="none" w:sz="0" w:space="0" w:color="auto"/>
                            <w:right w:val="none" w:sz="0" w:space="0" w:color="auto"/>
                          </w:divBdr>
                          <w:divsChild>
                            <w:div w:id="8317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835864">
      <w:bodyDiv w:val="1"/>
      <w:marLeft w:val="0"/>
      <w:marRight w:val="0"/>
      <w:marTop w:val="0"/>
      <w:marBottom w:val="0"/>
      <w:divBdr>
        <w:top w:val="none" w:sz="0" w:space="0" w:color="auto"/>
        <w:left w:val="none" w:sz="0" w:space="0" w:color="auto"/>
        <w:bottom w:val="none" w:sz="0" w:space="0" w:color="auto"/>
        <w:right w:val="none" w:sz="0" w:space="0" w:color="auto"/>
      </w:divBdr>
      <w:divsChild>
        <w:div w:id="1512404722">
          <w:marLeft w:val="0"/>
          <w:marRight w:val="0"/>
          <w:marTop w:val="0"/>
          <w:marBottom w:val="0"/>
          <w:divBdr>
            <w:top w:val="none" w:sz="0" w:space="0" w:color="auto"/>
            <w:left w:val="none" w:sz="0" w:space="0" w:color="auto"/>
            <w:bottom w:val="none" w:sz="0" w:space="0" w:color="auto"/>
            <w:right w:val="none" w:sz="0" w:space="0" w:color="auto"/>
          </w:divBdr>
          <w:divsChild>
            <w:div w:id="1887373105">
              <w:marLeft w:val="0"/>
              <w:marRight w:val="0"/>
              <w:marTop w:val="0"/>
              <w:marBottom w:val="0"/>
              <w:divBdr>
                <w:top w:val="none" w:sz="0" w:space="0" w:color="auto"/>
                <w:left w:val="none" w:sz="0" w:space="0" w:color="auto"/>
                <w:bottom w:val="none" w:sz="0" w:space="0" w:color="auto"/>
                <w:right w:val="none" w:sz="0" w:space="0" w:color="auto"/>
              </w:divBdr>
              <w:divsChild>
                <w:div w:id="26493522">
                  <w:marLeft w:val="0"/>
                  <w:marRight w:val="0"/>
                  <w:marTop w:val="0"/>
                  <w:marBottom w:val="0"/>
                  <w:divBdr>
                    <w:top w:val="none" w:sz="0" w:space="0" w:color="auto"/>
                    <w:left w:val="none" w:sz="0" w:space="0" w:color="auto"/>
                    <w:bottom w:val="none" w:sz="0" w:space="0" w:color="auto"/>
                    <w:right w:val="none" w:sz="0" w:space="0" w:color="auto"/>
                  </w:divBdr>
                  <w:divsChild>
                    <w:div w:id="1846093553">
                      <w:marLeft w:val="0"/>
                      <w:marRight w:val="0"/>
                      <w:marTop w:val="0"/>
                      <w:marBottom w:val="0"/>
                      <w:divBdr>
                        <w:top w:val="none" w:sz="0" w:space="0" w:color="auto"/>
                        <w:left w:val="none" w:sz="0" w:space="0" w:color="auto"/>
                        <w:bottom w:val="none" w:sz="0" w:space="0" w:color="auto"/>
                        <w:right w:val="none" w:sz="0" w:space="0" w:color="auto"/>
                      </w:divBdr>
                      <w:divsChild>
                        <w:div w:id="56589226">
                          <w:marLeft w:val="0"/>
                          <w:marRight w:val="0"/>
                          <w:marTop w:val="0"/>
                          <w:marBottom w:val="0"/>
                          <w:divBdr>
                            <w:top w:val="none" w:sz="0" w:space="0" w:color="auto"/>
                            <w:left w:val="none" w:sz="0" w:space="0" w:color="auto"/>
                            <w:bottom w:val="none" w:sz="0" w:space="0" w:color="auto"/>
                            <w:right w:val="none" w:sz="0" w:space="0" w:color="auto"/>
                          </w:divBdr>
                          <w:divsChild>
                            <w:div w:id="8126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34094-par-uznemumu-ienakuma-nodokl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2285</Words>
  <Characters>1303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B-782</cp:lastModifiedBy>
  <cp:revision>2</cp:revision>
  <cp:lastPrinted>2014-12-13T10:36:00Z</cp:lastPrinted>
  <dcterms:created xsi:type="dcterms:W3CDTF">2014-12-13T10:36:00Z</dcterms:created>
  <dcterms:modified xsi:type="dcterms:W3CDTF">2014-12-13T10:36:00Z</dcterms:modified>
</cp:coreProperties>
</file>