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B98" w:rsidRPr="001E7A16" w:rsidRDefault="00E83B98" w:rsidP="00E83B98">
      <w:pPr>
        <w:pStyle w:val="Title"/>
        <w:jc w:val="left"/>
        <w:rPr>
          <w:i/>
          <w:sz w:val="26"/>
          <w:szCs w:val="26"/>
        </w:rPr>
      </w:pPr>
      <w:r w:rsidRPr="001E7A16">
        <w:rPr>
          <w:b w:val="0"/>
          <w:sz w:val="26"/>
          <w:szCs w:val="26"/>
        </w:rPr>
        <w:t xml:space="preserve">Budžeta un finanšu (nodokļu) komisija </w:t>
      </w:r>
      <w:r w:rsidRPr="001E7A16">
        <w:rPr>
          <w:b w:val="0"/>
          <w:sz w:val="26"/>
          <w:szCs w:val="26"/>
        </w:rPr>
        <w:tab/>
      </w:r>
      <w:r w:rsidRPr="001E7A16">
        <w:rPr>
          <w:b w:val="0"/>
          <w:sz w:val="26"/>
          <w:szCs w:val="26"/>
        </w:rPr>
        <w:tab/>
      </w:r>
    </w:p>
    <w:p w:rsidR="00E83B98" w:rsidRPr="001E7A16" w:rsidRDefault="00E83B98" w:rsidP="00E83B98">
      <w:pPr>
        <w:pStyle w:val="Title"/>
        <w:jc w:val="right"/>
        <w:rPr>
          <w:b w:val="0"/>
          <w:sz w:val="26"/>
          <w:szCs w:val="26"/>
        </w:rPr>
      </w:pPr>
      <w:r w:rsidRPr="001E7A16">
        <w:rPr>
          <w:b w:val="0"/>
          <w:sz w:val="26"/>
          <w:szCs w:val="26"/>
        </w:rPr>
        <w:tab/>
        <w:t>Likumprojekts (steidzams) otrajam lasījumam</w:t>
      </w:r>
    </w:p>
    <w:p w:rsidR="00E83B98" w:rsidRPr="001E7A16" w:rsidRDefault="00E83B98" w:rsidP="00E83B98">
      <w:pPr>
        <w:jc w:val="center"/>
        <w:rPr>
          <w:rFonts w:eastAsia="Calibri"/>
          <w:b/>
          <w:sz w:val="28"/>
          <w:szCs w:val="28"/>
          <w:lang w:val="lv-LV"/>
        </w:rPr>
      </w:pPr>
      <w:r w:rsidRPr="001E7A16">
        <w:rPr>
          <w:rFonts w:eastAsia="Calibri"/>
          <w:b/>
          <w:sz w:val="28"/>
          <w:szCs w:val="28"/>
          <w:lang w:val="lv-LV"/>
        </w:rPr>
        <w:t xml:space="preserve">Grozījumi Valsts un pašvaldību institūciju amatpersonu </w:t>
      </w:r>
    </w:p>
    <w:p w:rsidR="00E83B98" w:rsidRPr="001E7A16" w:rsidRDefault="00E83B98" w:rsidP="00E83B98">
      <w:pPr>
        <w:jc w:val="center"/>
        <w:rPr>
          <w:rFonts w:eastAsia="Calibri"/>
          <w:b/>
          <w:sz w:val="28"/>
          <w:szCs w:val="28"/>
          <w:lang w:val="lv-LV"/>
        </w:rPr>
      </w:pPr>
      <w:r w:rsidRPr="001E7A16">
        <w:rPr>
          <w:rFonts w:eastAsia="Calibri"/>
          <w:b/>
          <w:sz w:val="28"/>
          <w:szCs w:val="28"/>
          <w:lang w:val="lv-LV"/>
        </w:rPr>
        <w:t>un darbinieku atlīdzības likumā</w:t>
      </w:r>
    </w:p>
    <w:p w:rsidR="00E83B98" w:rsidRPr="001E7A16" w:rsidRDefault="00E83B98" w:rsidP="00E83B98">
      <w:pPr>
        <w:jc w:val="center"/>
        <w:rPr>
          <w:b/>
          <w:i/>
          <w:sz w:val="26"/>
          <w:szCs w:val="26"/>
          <w:lang w:val="lv-LV"/>
        </w:rPr>
      </w:pPr>
      <w:r w:rsidRPr="001E7A16">
        <w:rPr>
          <w:b/>
          <w:i/>
          <w:sz w:val="26"/>
          <w:szCs w:val="26"/>
          <w:lang w:val="lv-LV"/>
        </w:rPr>
        <w:t xml:space="preserve"> (Nr.97/Lp12)</w:t>
      </w:r>
    </w:p>
    <w:p w:rsidR="00E83B98" w:rsidRPr="001E7A16" w:rsidRDefault="00E83B98" w:rsidP="00E83B98">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1E7A16" w:rsidRPr="001E7A16" w:rsidTr="00841A9B">
        <w:tc>
          <w:tcPr>
            <w:tcW w:w="3528" w:type="dxa"/>
            <w:vAlign w:val="center"/>
          </w:tcPr>
          <w:p w:rsidR="00E83B98" w:rsidRPr="001E7A16" w:rsidRDefault="00E83B98" w:rsidP="00841A9B">
            <w:pPr>
              <w:jc w:val="center"/>
              <w:rPr>
                <w:b/>
                <w:bCs/>
                <w:iCs/>
                <w:lang w:val="lv-LV"/>
              </w:rPr>
            </w:pPr>
            <w:r w:rsidRPr="001E7A16">
              <w:rPr>
                <w:b/>
                <w:bCs/>
                <w:iCs/>
                <w:lang w:val="lv-LV"/>
              </w:rPr>
              <w:t>Spēkā esošā redakcija</w:t>
            </w:r>
          </w:p>
        </w:tc>
        <w:tc>
          <w:tcPr>
            <w:tcW w:w="3600" w:type="dxa"/>
            <w:vAlign w:val="center"/>
          </w:tcPr>
          <w:p w:rsidR="00E83B98" w:rsidRPr="001E7A16" w:rsidRDefault="00E83B98" w:rsidP="00841A9B">
            <w:pPr>
              <w:pStyle w:val="Heading1"/>
            </w:pPr>
            <w:r w:rsidRPr="001E7A16">
              <w:t>Pirmā lasījuma redakcija</w:t>
            </w:r>
          </w:p>
        </w:tc>
        <w:tc>
          <w:tcPr>
            <w:tcW w:w="556" w:type="dxa"/>
            <w:vAlign w:val="center"/>
          </w:tcPr>
          <w:p w:rsidR="00E83B98" w:rsidRPr="001E7A16" w:rsidRDefault="00E83B98" w:rsidP="00841A9B">
            <w:pPr>
              <w:jc w:val="center"/>
              <w:rPr>
                <w:b/>
                <w:bCs/>
                <w:iCs/>
                <w:lang w:val="lv-LV"/>
              </w:rPr>
            </w:pPr>
            <w:r w:rsidRPr="001E7A16">
              <w:rPr>
                <w:b/>
                <w:bCs/>
                <w:iCs/>
                <w:lang w:val="lv-LV"/>
              </w:rPr>
              <w:t>Nr.</w:t>
            </w:r>
          </w:p>
        </w:tc>
        <w:tc>
          <w:tcPr>
            <w:tcW w:w="4048" w:type="dxa"/>
            <w:vAlign w:val="center"/>
          </w:tcPr>
          <w:p w:rsidR="00E83B98" w:rsidRPr="001E7A16" w:rsidRDefault="00E83B98" w:rsidP="00841A9B">
            <w:pPr>
              <w:ind w:firstLine="10"/>
              <w:jc w:val="center"/>
              <w:rPr>
                <w:b/>
                <w:bCs/>
                <w:iCs/>
                <w:lang w:val="lv-LV"/>
              </w:rPr>
            </w:pPr>
            <w:r w:rsidRPr="001E7A16">
              <w:rPr>
                <w:b/>
                <w:bCs/>
                <w:iCs/>
                <w:lang w:val="lv-LV"/>
              </w:rPr>
              <w:t>Priekšlikumi</w:t>
            </w:r>
          </w:p>
          <w:p w:rsidR="00E83B98" w:rsidRPr="001E7A16" w:rsidRDefault="00E83B98" w:rsidP="00B56F60">
            <w:pPr>
              <w:jc w:val="center"/>
              <w:rPr>
                <w:b/>
                <w:bCs/>
                <w:iCs/>
                <w:lang w:val="lv-LV"/>
              </w:rPr>
            </w:pPr>
            <w:r w:rsidRPr="001E7A16">
              <w:rPr>
                <w:b/>
                <w:bCs/>
                <w:iCs/>
                <w:lang w:val="lv-LV"/>
              </w:rPr>
              <w:t>(</w:t>
            </w:r>
            <w:r w:rsidR="00B56F60" w:rsidRPr="001E7A16">
              <w:rPr>
                <w:b/>
                <w:bCs/>
                <w:iCs/>
                <w:lang w:val="lv-LV"/>
              </w:rPr>
              <w:t>4</w:t>
            </w:r>
            <w:r w:rsidRPr="001E7A16">
              <w:rPr>
                <w:b/>
                <w:bCs/>
                <w:iCs/>
                <w:lang w:val="lv-LV"/>
              </w:rPr>
              <w:t>)</w:t>
            </w:r>
          </w:p>
        </w:tc>
        <w:tc>
          <w:tcPr>
            <w:tcW w:w="1418" w:type="dxa"/>
            <w:vAlign w:val="center"/>
          </w:tcPr>
          <w:p w:rsidR="00E83B98" w:rsidRPr="001E7A16" w:rsidRDefault="00E83B98" w:rsidP="00841A9B">
            <w:pPr>
              <w:jc w:val="center"/>
              <w:rPr>
                <w:b/>
                <w:bCs/>
                <w:iCs/>
                <w:lang w:val="lv-LV"/>
              </w:rPr>
            </w:pPr>
            <w:r w:rsidRPr="001E7A16">
              <w:rPr>
                <w:b/>
                <w:bCs/>
                <w:iCs/>
                <w:lang w:val="lv-LV"/>
              </w:rPr>
              <w:t>Ministru kabineta atzinums</w:t>
            </w:r>
          </w:p>
        </w:tc>
        <w:tc>
          <w:tcPr>
            <w:tcW w:w="1418" w:type="dxa"/>
            <w:vAlign w:val="center"/>
          </w:tcPr>
          <w:p w:rsidR="00E83B98" w:rsidRPr="001E7A16" w:rsidRDefault="00E83B98" w:rsidP="00841A9B">
            <w:pPr>
              <w:jc w:val="center"/>
              <w:rPr>
                <w:b/>
                <w:bCs/>
                <w:iCs/>
                <w:lang w:val="lv-LV"/>
              </w:rPr>
            </w:pPr>
            <w:r w:rsidRPr="001E7A16">
              <w:rPr>
                <w:b/>
                <w:bCs/>
                <w:iCs/>
                <w:lang w:val="lv-LV"/>
              </w:rPr>
              <w:t>Komisijas atzinums</w:t>
            </w:r>
          </w:p>
        </w:tc>
      </w:tr>
      <w:tr w:rsidR="001E7A16" w:rsidRPr="002A221F" w:rsidTr="00841A9B">
        <w:tc>
          <w:tcPr>
            <w:tcW w:w="3528" w:type="dxa"/>
          </w:tcPr>
          <w:p w:rsidR="00E83B98" w:rsidRPr="001E7A16" w:rsidRDefault="00E83B98" w:rsidP="00841A9B">
            <w:pPr>
              <w:ind w:firstLine="567"/>
              <w:jc w:val="both"/>
              <w:rPr>
                <w:sz w:val="22"/>
                <w:szCs w:val="22"/>
                <w:lang w:val="lv-LV"/>
              </w:rPr>
            </w:pPr>
          </w:p>
        </w:tc>
        <w:tc>
          <w:tcPr>
            <w:tcW w:w="3600" w:type="dxa"/>
          </w:tcPr>
          <w:p w:rsidR="00E83B98" w:rsidRPr="001E7A16" w:rsidRDefault="00E83B98" w:rsidP="00E83B98">
            <w:pPr>
              <w:ind w:firstLine="567"/>
              <w:jc w:val="both"/>
              <w:rPr>
                <w:sz w:val="22"/>
                <w:szCs w:val="22"/>
                <w:lang w:val="lv-LV"/>
              </w:rPr>
            </w:pPr>
            <w:r w:rsidRPr="001E7A16">
              <w:rPr>
                <w:rFonts w:eastAsia="Calibri"/>
                <w:sz w:val="22"/>
                <w:szCs w:val="22"/>
                <w:lang w:val="lv-LV"/>
              </w:rPr>
              <w:t>Izdarīt Valsts un pašvaldību institūciju amatpersonu un darbinieku atlīdzības likumā (Latvijas Vēstnesis, 2009, 199., 200. nr.; 2010, 12., 66., 99., 174., 206. nr.; 2011, 103., 204. nr.; 2012, 190., 203. nr.; 2013, 51., 191., 232., 234., 252. nr.; 2014, 206., 228. nr.) šādus grozījumus:</w:t>
            </w:r>
          </w:p>
        </w:tc>
        <w:tc>
          <w:tcPr>
            <w:tcW w:w="556" w:type="dxa"/>
          </w:tcPr>
          <w:p w:rsidR="00E83B98" w:rsidRPr="001E7A16" w:rsidRDefault="00E83B98" w:rsidP="00841A9B">
            <w:pPr>
              <w:jc w:val="center"/>
              <w:rPr>
                <w:sz w:val="22"/>
                <w:szCs w:val="22"/>
                <w:lang w:val="lv-LV"/>
              </w:rPr>
            </w:pPr>
          </w:p>
        </w:tc>
        <w:tc>
          <w:tcPr>
            <w:tcW w:w="4048" w:type="dxa"/>
          </w:tcPr>
          <w:p w:rsidR="00E83B98" w:rsidRPr="001E7A16" w:rsidRDefault="00E83B98" w:rsidP="00841A9B">
            <w:pPr>
              <w:tabs>
                <w:tab w:val="left" w:pos="2816"/>
              </w:tabs>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2A221F" w:rsidTr="00841A9B">
        <w:tc>
          <w:tcPr>
            <w:tcW w:w="3528" w:type="dxa"/>
          </w:tcPr>
          <w:p w:rsidR="00E83B98" w:rsidRPr="001E7A16" w:rsidRDefault="00057C22" w:rsidP="00841A9B">
            <w:pPr>
              <w:ind w:firstLine="567"/>
              <w:jc w:val="both"/>
              <w:rPr>
                <w:b/>
                <w:bCs/>
                <w:sz w:val="22"/>
                <w:szCs w:val="22"/>
                <w:lang w:val="lv-LV"/>
              </w:rPr>
            </w:pPr>
            <w:r w:rsidRPr="001E7A16">
              <w:rPr>
                <w:b/>
                <w:bCs/>
                <w:sz w:val="22"/>
                <w:szCs w:val="22"/>
                <w:lang w:val="lv-LV"/>
              </w:rPr>
              <w:t>3.</w:t>
            </w:r>
            <w:r w:rsidRPr="001E7A16">
              <w:rPr>
                <w:b/>
                <w:bCs/>
                <w:sz w:val="22"/>
                <w:szCs w:val="22"/>
                <w:vertAlign w:val="superscript"/>
                <w:lang w:val="lv-LV"/>
              </w:rPr>
              <w:t>1</w:t>
            </w:r>
            <w:r w:rsidRPr="001E7A16">
              <w:rPr>
                <w:b/>
                <w:bCs/>
                <w:sz w:val="22"/>
                <w:szCs w:val="22"/>
                <w:lang w:val="lv-LV"/>
              </w:rPr>
              <w:t xml:space="preserve"> pants. Vidējā izpeļņa</w:t>
            </w:r>
          </w:p>
          <w:p w:rsidR="006E61DF" w:rsidRPr="001E7A16" w:rsidRDefault="006E61DF" w:rsidP="00841A9B">
            <w:pPr>
              <w:ind w:firstLine="567"/>
              <w:jc w:val="both"/>
              <w:rPr>
                <w:sz w:val="22"/>
                <w:szCs w:val="22"/>
                <w:lang w:val="fr-FR"/>
              </w:rPr>
            </w:pPr>
            <w:r w:rsidRPr="001E7A16">
              <w:rPr>
                <w:sz w:val="22"/>
                <w:szCs w:val="22"/>
                <w:lang w:val="lv-LV"/>
              </w:rPr>
              <w:t>(1) Visos gadījumos, kad amatpersonai (darbiniekam) izmaksājama vidējā izpeļņa, tā aprēķināma no darba samaksas par pēdējiem sešiem kalendāra mēnešiem. Ja amatpersona (darbinieks) pēc iecelšanas amatā (pieņemšanas dienestā, darbā) ir pildījusi amata (dienesta, darba) pienākumus mazāk par sešiem mēnešiem, vidējo izpeļņu aprēķina no darba samaksas par periodu, kurā amatpersona (darbinieks) ir pildījusi amata (dienesta, darba) pienākumus.</w:t>
            </w: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t>1.  3.</w:t>
            </w:r>
            <w:r w:rsidRPr="001E7A16">
              <w:rPr>
                <w:sz w:val="22"/>
                <w:szCs w:val="22"/>
                <w:vertAlign w:val="superscript"/>
                <w:lang w:val="lv-LV" w:eastAsia="lv-LV"/>
              </w:rPr>
              <w:t>1 </w:t>
            </w:r>
            <w:r w:rsidRPr="001E7A16">
              <w:rPr>
                <w:sz w:val="22"/>
                <w:szCs w:val="22"/>
                <w:lang w:val="lv-LV" w:eastAsia="lv-LV"/>
              </w:rPr>
              <w:t>pantā:</w:t>
            </w:r>
          </w:p>
          <w:p w:rsidR="00E83B98" w:rsidRPr="001E7A16" w:rsidRDefault="00E83B98" w:rsidP="00E83B98">
            <w:pPr>
              <w:ind w:firstLine="567"/>
              <w:jc w:val="both"/>
              <w:rPr>
                <w:sz w:val="22"/>
                <w:szCs w:val="22"/>
                <w:lang w:val="lv-LV" w:eastAsia="lv-LV"/>
              </w:rPr>
            </w:pPr>
            <w:r w:rsidRPr="001E7A16">
              <w:rPr>
                <w:sz w:val="22"/>
                <w:szCs w:val="22"/>
                <w:lang w:val="lv-LV" w:eastAsia="lv-LV"/>
              </w:rPr>
              <w:t>papildināt pirmo daļu ar trešo teikumu šādā redakcijā:</w:t>
            </w:r>
          </w:p>
          <w:p w:rsidR="00E83B98" w:rsidRPr="001E7A16" w:rsidRDefault="00E83B98" w:rsidP="00E83B98">
            <w:pPr>
              <w:ind w:firstLine="567"/>
              <w:jc w:val="both"/>
              <w:rPr>
                <w:sz w:val="22"/>
                <w:szCs w:val="22"/>
                <w:lang w:val="lv-LV" w:eastAsia="lv-LV"/>
              </w:rPr>
            </w:pPr>
            <w:r w:rsidRPr="001E7A16">
              <w:rPr>
                <w:sz w:val="22"/>
                <w:szCs w:val="22"/>
                <w:lang w:val="lv-LV" w:eastAsia="lv-LV"/>
              </w:rPr>
              <w:t>"Ja amatpersona (darbinieks) ir nodarbināta mazāk par sešiem mēnešiem pēc vismaz 12 mēnešu ilgas attaisnotas prombūtnes,</w:t>
            </w:r>
            <w:r w:rsidRPr="001E7A16">
              <w:rPr>
                <w:rFonts w:eastAsia="Calibri"/>
                <w:sz w:val="22"/>
                <w:szCs w:val="22"/>
                <w:lang w:val="lv-LV"/>
              </w:rPr>
              <w:t xml:space="preserve"> </w:t>
            </w:r>
            <w:r w:rsidRPr="001E7A16">
              <w:rPr>
                <w:sz w:val="22"/>
                <w:szCs w:val="22"/>
                <w:lang w:val="lv-LV" w:eastAsia="lv-LV"/>
              </w:rPr>
              <w:t>vidējo izpeļņu aprēķina no darba samaksas par periodu, kurā amatpersona (darbinieks) ir pildījusi amata (dienesta, darba) pienākumus.";</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950875">
            <w:pPr>
              <w:tabs>
                <w:tab w:val="left" w:pos="2816"/>
              </w:tabs>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2A221F" w:rsidTr="00841A9B">
        <w:tc>
          <w:tcPr>
            <w:tcW w:w="3528" w:type="dxa"/>
          </w:tcPr>
          <w:p w:rsidR="00E83B98" w:rsidRPr="001E7A16" w:rsidRDefault="006E61DF" w:rsidP="00841A9B">
            <w:pPr>
              <w:ind w:firstLine="567"/>
              <w:jc w:val="both"/>
              <w:rPr>
                <w:sz w:val="22"/>
                <w:szCs w:val="22"/>
                <w:lang w:val="fr-FR"/>
              </w:rPr>
            </w:pPr>
            <w:r w:rsidRPr="001E7A16">
              <w:rPr>
                <w:sz w:val="22"/>
                <w:szCs w:val="22"/>
                <w:lang w:val="lv-LV"/>
              </w:rPr>
              <w:t xml:space="preserve">(5) Ja pēdējo sešu mēnešu laikā amatpersona (darbinieks) nav pildījusi amata (dienesta, darba) pienākumus un tai nav izmaksāta darba samaksa, vidējo izpeļņu </w:t>
            </w:r>
            <w:r w:rsidRPr="001E7A16">
              <w:rPr>
                <w:sz w:val="22"/>
                <w:szCs w:val="22"/>
                <w:lang w:val="lv-LV"/>
              </w:rPr>
              <w:lastRenderedPageBreak/>
              <w:t>aprēķina no darba samaksas par amata (dienesta, darba) pienākumu izpildi sešos kalendāra mēnešos pirms šā perioda.</w:t>
            </w: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lastRenderedPageBreak/>
              <w:t>izteikt piekto daļu šādā redakcijā:</w:t>
            </w:r>
          </w:p>
          <w:p w:rsidR="00E83B98" w:rsidRPr="001E7A16" w:rsidRDefault="00E83B98" w:rsidP="00E83B98">
            <w:pPr>
              <w:ind w:firstLine="567"/>
              <w:jc w:val="both"/>
              <w:rPr>
                <w:sz w:val="22"/>
                <w:szCs w:val="22"/>
                <w:lang w:val="lv-LV" w:eastAsia="lv-LV"/>
              </w:rPr>
            </w:pPr>
            <w:r w:rsidRPr="001E7A16">
              <w:rPr>
                <w:sz w:val="22"/>
                <w:szCs w:val="22"/>
                <w:lang w:val="lv-LV" w:eastAsia="lv-LV"/>
              </w:rPr>
              <w:t xml:space="preserve">"(5) Ja pēdējo sešu vai vairāk mēnešu laikā amatpersona (darbinieks) nav pildījusi amata </w:t>
            </w:r>
            <w:r w:rsidRPr="001E7A16">
              <w:rPr>
                <w:sz w:val="22"/>
                <w:szCs w:val="22"/>
                <w:lang w:val="lv-LV" w:eastAsia="lv-LV"/>
              </w:rPr>
              <w:lastRenderedPageBreak/>
              <w:t>(dienesta, darba) pienākumus un tai nav izmaksāta darba samaksa, vidējo izpeļņu aprēķina no darba samaksas par amata (dienesta, darba) pienākumu izpildi sešos kalendāra mēnešos pirms šā perioda. Ja darbinieks pirms attaisnotās prombūtnes perioda sākuma ir strādājis mazāk par sešiem mēnešiem, vidējo izpeļņu aprēķina no darba samaksas par periodu, kurā darbinieks ir strādājis.";</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p w:rsidR="00E83B98" w:rsidRPr="001E7A16" w:rsidRDefault="006E61DF" w:rsidP="006E61DF">
            <w:pPr>
              <w:pStyle w:val="tv2131"/>
              <w:spacing w:line="240" w:lineRule="auto"/>
              <w:ind w:firstLine="567"/>
              <w:jc w:val="both"/>
              <w:rPr>
                <w:color w:val="auto"/>
                <w:sz w:val="22"/>
                <w:szCs w:val="22"/>
              </w:rPr>
            </w:pPr>
            <w:r w:rsidRPr="001E7A16">
              <w:rPr>
                <w:color w:val="auto"/>
                <w:sz w:val="22"/>
                <w:szCs w:val="22"/>
              </w:rPr>
              <w:lastRenderedPageBreak/>
              <w:t>(6) Ja pēdējo 12 mēnešu laikā amatpersona (darbinieks) nav pildījusi amata (dienesta, darba) pienākumus un tai nav aprēķināta darba samaksa, mēneša vidējo izpeļņu pielīdzina spēkā esošajai minimālajai mēneša darba algai. Stundas vidējo izpeļņu pielīdzina minimālajai stundas tarifa likmei. Dienas vidējo izpeļņu aprēķina, stundas vidējo izpeļņu reizinot ar astoņi (normālais dienas darba laiks stundās).</w:t>
            </w: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t>izslēgt sesto daļu;</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2A221F" w:rsidTr="00841A9B">
        <w:tc>
          <w:tcPr>
            <w:tcW w:w="3528" w:type="dxa"/>
          </w:tcPr>
          <w:p w:rsidR="00E83B98" w:rsidRPr="001E7A16" w:rsidRDefault="006E61DF" w:rsidP="00841A9B">
            <w:pPr>
              <w:ind w:firstLine="567"/>
              <w:jc w:val="both"/>
              <w:rPr>
                <w:sz w:val="22"/>
                <w:szCs w:val="22"/>
                <w:lang w:val="fr-FR"/>
              </w:rPr>
            </w:pPr>
            <w:r w:rsidRPr="001E7A16">
              <w:rPr>
                <w:sz w:val="22"/>
                <w:szCs w:val="22"/>
                <w:lang w:val="lv-LV"/>
              </w:rPr>
              <w:t>(7) Nostrādāto dienu skaitā neietilpst pārejošas darbnespējas dienas, atvaļinājuma dienas, dienas, kad amatpersona (darbinieks) nav pildījusi amata (dienesta, darba) pienākumus šā likuma 3.panta ceturtās daļas 2., 3. un 4.punktā, 26.panta pirmajā daļā, Darba likuma 74.panta pirmajā, otrajā un sestajā daļā vai citos ārējos normatīvajos aktos noteiktos attaisnotas prombūtnes gadījumos, kā arī gadījumos, kas minēti šā likuma 3.panta piektās daļas 6. un 7.punktā. Darba samaksā, no kuras aprēķina vidējo izpeļņu, neieskaita darba devēja izmaksāto slimības naudu, atvaļinājuma apmaksu, atlīdzību šā likuma 3.panta ceturtās daļas 2., 3., 4., 7. un 8.punktā, piektās daļas 6. un 7.punktā, 26.panta pirmajā daļā, Darba likuma 74.panta pirmajā, otrajā un sestajā daļā minētajos gadījumos vai citos ārējos normatīvajos aktos noteiktos attaisnotas prombūtnes gadījumos.</w:t>
            </w: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t>izslēgt septītās daļas pirmajā un otrajā teikumā vārdu "otrajā".</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p w:rsidR="00086932" w:rsidRPr="001E7A16" w:rsidRDefault="00230235" w:rsidP="00841A9B">
            <w:pPr>
              <w:ind w:firstLine="567"/>
              <w:jc w:val="both"/>
              <w:rPr>
                <w:b/>
                <w:bCs/>
                <w:sz w:val="22"/>
                <w:szCs w:val="22"/>
              </w:rPr>
            </w:pPr>
            <w:r w:rsidRPr="001E7A16">
              <w:rPr>
                <w:b/>
                <w:bCs/>
                <w:sz w:val="22"/>
                <w:szCs w:val="22"/>
              </w:rPr>
              <w:t>4.pants. Mēnešalgas apmēra noteikšanas vispārīgie principi sadalījumā pa amatu grupām</w:t>
            </w:r>
          </w:p>
          <w:p w:rsidR="00230235" w:rsidRPr="001E7A16" w:rsidRDefault="00230235" w:rsidP="00841A9B">
            <w:pPr>
              <w:ind w:firstLine="567"/>
              <w:jc w:val="both"/>
              <w:rPr>
                <w:b/>
                <w:bCs/>
                <w:sz w:val="22"/>
                <w:szCs w:val="22"/>
              </w:rPr>
            </w:pPr>
            <w:r w:rsidRPr="001E7A16">
              <w:rPr>
                <w:sz w:val="22"/>
                <w:szCs w:val="22"/>
              </w:rPr>
              <w:t xml:space="preserve">(11) Sabiedrisko pakalpojumu regulēšanas komisijas amatpersonu (darbinieku) mēnešalgu nosaka, ņemot vērā </w:t>
            </w:r>
            <w:r w:rsidRPr="001E7A16">
              <w:rPr>
                <w:sz w:val="22"/>
                <w:szCs w:val="22"/>
                <w:u w:val="single"/>
              </w:rPr>
              <w:t>mēneša vidējās darba samaksas apmēru</w:t>
            </w:r>
            <w:r w:rsidRPr="001E7A16">
              <w:rPr>
                <w:sz w:val="22"/>
                <w:szCs w:val="22"/>
              </w:rPr>
              <w:t>.</w:t>
            </w:r>
          </w:p>
        </w:tc>
        <w:tc>
          <w:tcPr>
            <w:tcW w:w="3600" w:type="dxa"/>
          </w:tcPr>
          <w:p w:rsidR="00086932" w:rsidRPr="001E7A16" w:rsidRDefault="00086932" w:rsidP="00E83B98">
            <w:pPr>
              <w:ind w:firstLine="567"/>
              <w:jc w:val="both"/>
              <w:rPr>
                <w:sz w:val="22"/>
                <w:szCs w:val="22"/>
                <w:lang w:val="lv-LV" w:eastAsia="lv-LV"/>
              </w:rPr>
            </w:pPr>
          </w:p>
        </w:tc>
        <w:tc>
          <w:tcPr>
            <w:tcW w:w="556" w:type="dxa"/>
          </w:tcPr>
          <w:p w:rsidR="00086932" w:rsidRPr="001E7A16" w:rsidRDefault="00230235" w:rsidP="00841A9B">
            <w:pPr>
              <w:jc w:val="center"/>
              <w:rPr>
                <w:b/>
                <w:sz w:val="22"/>
                <w:szCs w:val="22"/>
                <w:lang w:val="lv-LV"/>
              </w:rPr>
            </w:pPr>
            <w:r w:rsidRPr="001E7A16">
              <w:rPr>
                <w:b/>
                <w:sz w:val="22"/>
                <w:szCs w:val="22"/>
                <w:lang w:val="lv-LV"/>
              </w:rPr>
              <w:t>1</w:t>
            </w:r>
          </w:p>
        </w:tc>
        <w:tc>
          <w:tcPr>
            <w:tcW w:w="4048" w:type="dxa"/>
          </w:tcPr>
          <w:p w:rsidR="00086932" w:rsidRPr="001E7A16" w:rsidRDefault="00086932" w:rsidP="00841A9B">
            <w:pPr>
              <w:tabs>
                <w:tab w:val="left" w:pos="2816"/>
              </w:tabs>
              <w:ind w:firstLine="567"/>
              <w:jc w:val="both"/>
              <w:rPr>
                <w:b/>
                <w:sz w:val="22"/>
                <w:szCs w:val="22"/>
                <w:u w:val="single"/>
                <w:lang w:val="lv-LV"/>
              </w:rPr>
            </w:pPr>
            <w:r w:rsidRPr="001E7A16">
              <w:rPr>
                <w:b/>
                <w:sz w:val="22"/>
                <w:szCs w:val="22"/>
                <w:u w:val="single"/>
                <w:lang w:val="lv-LV"/>
              </w:rPr>
              <w:t>Deputāts K.Šadurskis</w:t>
            </w:r>
          </w:p>
          <w:p w:rsidR="00086932" w:rsidRPr="001E7A16" w:rsidRDefault="00086932" w:rsidP="00086932">
            <w:pPr>
              <w:ind w:firstLine="567"/>
              <w:jc w:val="both"/>
              <w:rPr>
                <w:sz w:val="22"/>
                <w:szCs w:val="22"/>
                <w:lang w:val="lv-LV"/>
              </w:rPr>
            </w:pPr>
            <w:r w:rsidRPr="001E7A16">
              <w:rPr>
                <w:sz w:val="22"/>
                <w:szCs w:val="22"/>
                <w:lang w:val="lv-LV"/>
              </w:rPr>
              <w:t>Papildināt likumprojektu ar pantu šādā redakcijā:</w:t>
            </w:r>
          </w:p>
          <w:p w:rsidR="00086932" w:rsidRPr="001E7A16" w:rsidRDefault="00086932" w:rsidP="00086932">
            <w:pPr>
              <w:ind w:firstLine="567"/>
              <w:jc w:val="both"/>
              <w:rPr>
                <w:sz w:val="22"/>
                <w:szCs w:val="22"/>
              </w:rPr>
            </w:pPr>
            <w:r w:rsidRPr="001E7A16">
              <w:rPr>
                <w:sz w:val="22"/>
                <w:szCs w:val="22"/>
              </w:rPr>
              <w:t>“Izteikt 4.panta vienpadsmito daļu šādā redakcijā:</w:t>
            </w:r>
          </w:p>
          <w:p w:rsidR="00086932" w:rsidRPr="001E7A16" w:rsidRDefault="00086932" w:rsidP="00086932">
            <w:pPr>
              <w:pStyle w:val="naiskr"/>
              <w:spacing w:before="0" w:after="0"/>
              <w:ind w:firstLine="567"/>
              <w:jc w:val="both"/>
              <w:rPr>
                <w:sz w:val="22"/>
                <w:szCs w:val="22"/>
              </w:rPr>
            </w:pPr>
            <w:r w:rsidRPr="001E7A16">
              <w:rPr>
                <w:sz w:val="22"/>
                <w:szCs w:val="22"/>
              </w:rPr>
              <w:t xml:space="preserve">“(11) Sabiedrisko pakalpojumu regulēšanas komisijas amatpersonu (darbinieku) mēnešalgu nosaka, ņemot vērā </w:t>
            </w:r>
            <w:r w:rsidRPr="001E7A16">
              <w:rPr>
                <w:sz w:val="22"/>
                <w:szCs w:val="22"/>
                <w:u w:val="single"/>
              </w:rPr>
              <w:t>elektronisko sakaru un enerģētikas jomā strādājošo atalgojumu</w:t>
            </w:r>
            <w:r w:rsidRPr="001E7A16">
              <w:rPr>
                <w:sz w:val="22"/>
                <w:szCs w:val="22"/>
              </w:rPr>
              <w:t>.”.”</w:t>
            </w:r>
          </w:p>
        </w:tc>
        <w:tc>
          <w:tcPr>
            <w:tcW w:w="1418" w:type="dxa"/>
          </w:tcPr>
          <w:p w:rsidR="00086932" w:rsidRPr="001E7A16" w:rsidRDefault="00086932" w:rsidP="00841A9B">
            <w:pPr>
              <w:ind w:firstLine="567"/>
              <w:jc w:val="both"/>
              <w:rPr>
                <w:sz w:val="22"/>
                <w:szCs w:val="22"/>
                <w:lang w:val="lv-LV"/>
              </w:rPr>
            </w:pPr>
          </w:p>
        </w:tc>
        <w:tc>
          <w:tcPr>
            <w:tcW w:w="1418" w:type="dxa"/>
          </w:tcPr>
          <w:p w:rsidR="00086932" w:rsidRPr="001E7A16" w:rsidRDefault="00086932" w:rsidP="00841A9B">
            <w:pPr>
              <w:ind w:firstLine="567"/>
              <w:jc w:val="both"/>
              <w:rPr>
                <w:sz w:val="22"/>
                <w:szCs w:val="22"/>
                <w:lang w:val="lv-LV"/>
              </w:rPr>
            </w:pPr>
          </w:p>
        </w:tc>
      </w:tr>
      <w:tr w:rsidR="001E7A16" w:rsidRPr="002A221F" w:rsidTr="00841A9B">
        <w:tc>
          <w:tcPr>
            <w:tcW w:w="3528" w:type="dxa"/>
          </w:tcPr>
          <w:p w:rsidR="00230235" w:rsidRPr="001E7A16" w:rsidRDefault="00230235" w:rsidP="00230235">
            <w:pPr>
              <w:pStyle w:val="tv2131"/>
              <w:spacing w:line="240" w:lineRule="auto"/>
              <w:ind w:firstLine="567"/>
              <w:jc w:val="both"/>
              <w:rPr>
                <w:color w:val="auto"/>
                <w:sz w:val="22"/>
                <w:szCs w:val="22"/>
              </w:rPr>
            </w:pPr>
            <w:r w:rsidRPr="001E7A16">
              <w:rPr>
                <w:b/>
                <w:bCs/>
                <w:color w:val="auto"/>
                <w:sz w:val="22"/>
                <w:szCs w:val="22"/>
              </w:rPr>
              <w:t>13.</w:t>
            </w:r>
            <w:r w:rsidRPr="001E7A16">
              <w:rPr>
                <w:b/>
                <w:bCs/>
                <w:color w:val="auto"/>
                <w:sz w:val="22"/>
                <w:szCs w:val="22"/>
                <w:vertAlign w:val="superscript"/>
              </w:rPr>
              <w:t>3</w:t>
            </w:r>
            <w:r w:rsidRPr="001E7A16">
              <w:rPr>
                <w:b/>
                <w:bCs/>
                <w:color w:val="auto"/>
                <w:sz w:val="22"/>
                <w:szCs w:val="22"/>
              </w:rPr>
              <w:t xml:space="preserve"> pants. Sabiedrisko pakalpojumu regulēšanas komisijas amatpersonu (darbinieku) mēnešalga</w:t>
            </w:r>
          </w:p>
          <w:p w:rsidR="00086932" w:rsidRPr="001E7A16" w:rsidRDefault="00230235" w:rsidP="00230235">
            <w:pPr>
              <w:ind w:firstLine="567"/>
              <w:jc w:val="both"/>
              <w:rPr>
                <w:b/>
                <w:bCs/>
                <w:sz w:val="22"/>
                <w:szCs w:val="22"/>
                <w:lang w:val="lv-LV"/>
              </w:rPr>
            </w:pPr>
            <w:r w:rsidRPr="001E7A16">
              <w:rPr>
                <w:sz w:val="22"/>
                <w:szCs w:val="22"/>
                <w:lang w:val="lv-LV"/>
              </w:rPr>
              <w:t xml:space="preserve">Sabiedrisko pakalpojumu regulēšanas komisijas amatpersonu (darbinieku) mēnešalgu šīs institūcijas reglamentētajā kārtībā nosaka, ņemot vērā amata vērtību (atbildības līmeni un sarežģītību), konkrētās amatpersonas (darbinieka) individuālās kvalifikācijas un </w:t>
            </w:r>
            <w:r w:rsidRPr="001E7A16">
              <w:rPr>
                <w:sz w:val="22"/>
                <w:szCs w:val="22"/>
                <w:u w:val="single"/>
                <w:lang w:val="lv-LV"/>
              </w:rPr>
              <w:t xml:space="preserve">kompetenču novērtējumu, kā arī mēneša vidējās darba samaksas apmēru. Sabiedrisko pakalpojumu regulēšanas komisijas amatpersonu (darbinieku) mēnešalga nedrīkst pārsniegt mēneša vidējās darba samaksas apmēru, kas noapaļots pilnos </w:t>
            </w:r>
            <w:r w:rsidRPr="001E7A16">
              <w:rPr>
                <w:i/>
                <w:iCs/>
                <w:sz w:val="22"/>
                <w:szCs w:val="22"/>
                <w:u w:val="single"/>
                <w:lang w:val="lv-LV"/>
              </w:rPr>
              <w:t>euro</w:t>
            </w:r>
            <w:r w:rsidRPr="001E7A16">
              <w:rPr>
                <w:sz w:val="22"/>
                <w:szCs w:val="22"/>
                <w:u w:val="single"/>
                <w:lang w:val="lv-LV"/>
              </w:rPr>
              <w:t xml:space="preserve"> un kam piemērots koeficients 4,05</w:t>
            </w:r>
            <w:r w:rsidRPr="001E7A16">
              <w:rPr>
                <w:sz w:val="22"/>
                <w:szCs w:val="22"/>
                <w:lang w:val="lv-LV"/>
              </w:rPr>
              <w:t>.</w:t>
            </w:r>
          </w:p>
        </w:tc>
        <w:tc>
          <w:tcPr>
            <w:tcW w:w="3600" w:type="dxa"/>
          </w:tcPr>
          <w:p w:rsidR="00086932" w:rsidRPr="001E7A16" w:rsidRDefault="00086932" w:rsidP="00E83B98">
            <w:pPr>
              <w:ind w:firstLine="567"/>
              <w:jc w:val="both"/>
              <w:rPr>
                <w:sz w:val="22"/>
                <w:szCs w:val="22"/>
                <w:lang w:val="lv-LV" w:eastAsia="lv-LV"/>
              </w:rPr>
            </w:pPr>
          </w:p>
        </w:tc>
        <w:tc>
          <w:tcPr>
            <w:tcW w:w="556" w:type="dxa"/>
          </w:tcPr>
          <w:p w:rsidR="00086932" w:rsidRPr="001E7A16" w:rsidRDefault="00230235" w:rsidP="00841A9B">
            <w:pPr>
              <w:jc w:val="center"/>
              <w:rPr>
                <w:b/>
                <w:sz w:val="22"/>
                <w:szCs w:val="22"/>
                <w:lang w:val="lv-LV"/>
              </w:rPr>
            </w:pPr>
            <w:r w:rsidRPr="001E7A16">
              <w:rPr>
                <w:b/>
                <w:sz w:val="22"/>
                <w:szCs w:val="22"/>
                <w:lang w:val="lv-LV"/>
              </w:rPr>
              <w:t>2</w:t>
            </w:r>
          </w:p>
        </w:tc>
        <w:tc>
          <w:tcPr>
            <w:tcW w:w="4048" w:type="dxa"/>
          </w:tcPr>
          <w:p w:rsidR="00086932" w:rsidRPr="001E7A16" w:rsidRDefault="00086932" w:rsidP="00086932">
            <w:pPr>
              <w:tabs>
                <w:tab w:val="left" w:pos="2816"/>
              </w:tabs>
              <w:ind w:firstLine="567"/>
              <w:jc w:val="both"/>
              <w:rPr>
                <w:b/>
                <w:sz w:val="22"/>
                <w:szCs w:val="22"/>
                <w:u w:val="single"/>
                <w:lang w:val="lv-LV"/>
              </w:rPr>
            </w:pPr>
            <w:r w:rsidRPr="001E7A16">
              <w:rPr>
                <w:b/>
                <w:sz w:val="22"/>
                <w:szCs w:val="22"/>
                <w:u w:val="single"/>
                <w:lang w:val="lv-LV"/>
              </w:rPr>
              <w:t>Deputāts K.Šadurskis</w:t>
            </w:r>
          </w:p>
          <w:p w:rsidR="00086932" w:rsidRPr="001E7A16" w:rsidRDefault="00086932" w:rsidP="00086932">
            <w:pPr>
              <w:ind w:firstLine="567"/>
              <w:jc w:val="both"/>
              <w:rPr>
                <w:sz w:val="22"/>
                <w:szCs w:val="22"/>
                <w:lang w:val="lv-LV"/>
              </w:rPr>
            </w:pPr>
            <w:r w:rsidRPr="001E7A16">
              <w:rPr>
                <w:sz w:val="22"/>
                <w:szCs w:val="22"/>
                <w:lang w:val="lv-LV"/>
              </w:rPr>
              <w:t>Papildināt likumprojektu ar pantu šādā redakcijā:</w:t>
            </w:r>
          </w:p>
          <w:p w:rsidR="00086932" w:rsidRPr="001E7A16" w:rsidRDefault="00086932" w:rsidP="00086932">
            <w:pPr>
              <w:pStyle w:val="naiskr"/>
              <w:spacing w:before="0" w:after="0"/>
              <w:ind w:firstLine="567"/>
              <w:jc w:val="both"/>
              <w:rPr>
                <w:sz w:val="22"/>
                <w:szCs w:val="22"/>
              </w:rPr>
            </w:pPr>
            <w:r w:rsidRPr="001E7A16">
              <w:rPr>
                <w:sz w:val="22"/>
                <w:szCs w:val="22"/>
              </w:rPr>
              <w:t>“Izteikt 13.</w:t>
            </w:r>
            <w:r w:rsidRPr="001E7A16">
              <w:rPr>
                <w:sz w:val="22"/>
                <w:szCs w:val="22"/>
                <w:vertAlign w:val="superscript"/>
              </w:rPr>
              <w:t>3</w:t>
            </w:r>
            <w:r w:rsidRPr="001E7A16">
              <w:rPr>
                <w:sz w:val="22"/>
                <w:szCs w:val="22"/>
              </w:rPr>
              <w:t xml:space="preserve"> pantu šādā redakcijā:</w:t>
            </w:r>
          </w:p>
          <w:p w:rsidR="00086932" w:rsidRPr="001E7A16" w:rsidRDefault="00086932" w:rsidP="00086932">
            <w:pPr>
              <w:pStyle w:val="naiskr"/>
              <w:spacing w:before="0" w:after="0"/>
              <w:ind w:firstLine="567"/>
              <w:jc w:val="both"/>
              <w:rPr>
                <w:sz w:val="22"/>
                <w:szCs w:val="22"/>
              </w:rPr>
            </w:pPr>
            <w:r w:rsidRPr="001E7A16">
              <w:rPr>
                <w:sz w:val="22"/>
                <w:szCs w:val="22"/>
              </w:rPr>
              <w:t>“</w:t>
            </w:r>
            <w:r w:rsidRPr="001E7A16">
              <w:rPr>
                <w:b/>
                <w:sz w:val="22"/>
                <w:szCs w:val="22"/>
              </w:rPr>
              <w:t>13.</w:t>
            </w:r>
            <w:r w:rsidRPr="001E7A16">
              <w:rPr>
                <w:b/>
                <w:sz w:val="22"/>
                <w:szCs w:val="22"/>
                <w:vertAlign w:val="superscript"/>
              </w:rPr>
              <w:t>3</w:t>
            </w:r>
            <w:r w:rsidRPr="001E7A16">
              <w:rPr>
                <w:b/>
                <w:sz w:val="22"/>
                <w:szCs w:val="22"/>
              </w:rPr>
              <w:t xml:space="preserve"> pants. Sabiedrisko pakalpojumu regulēšanas komisijas amatpersonu (darbinieku) mēnešalga</w:t>
            </w:r>
          </w:p>
          <w:p w:rsidR="00086932" w:rsidRPr="001E7A16" w:rsidRDefault="00086932" w:rsidP="00086932">
            <w:pPr>
              <w:pStyle w:val="naiskr"/>
              <w:spacing w:before="0" w:after="0"/>
              <w:ind w:firstLine="567"/>
              <w:jc w:val="both"/>
            </w:pPr>
            <w:r w:rsidRPr="001E7A16">
              <w:rPr>
                <w:sz w:val="22"/>
                <w:szCs w:val="22"/>
              </w:rPr>
              <w:t xml:space="preserve">Sabiedrisko pakalpojumu regulēšanas komisijas amatpersonu (darbinieku) mēnešalgu šīs institūcijas reglamentētajā kārtībā nosaka, ņemot vērā amata vērtību (atbildības līmeni un sarežģītību), konkrētās amatpersonas (darbinieka) individuālās kvalifikācijas un </w:t>
            </w:r>
            <w:r w:rsidRPr="001E7A16">
              <w:rPr>
                <w:sz w:val="22"/>
                <w:szCs w:val="22"/>
                <w:u w:val="single"/>
              </w:rPr>
              <w:t>prasmju novērtējumu, kā arī elektronisko sakaru un enerģētikas jomā strādājošo atalgojumu. Sabiedrisko pakalpojumu regulēšanas komisijas amatpersonu (darbinieku) mēnešalga nedrīkst pārsniegt vidējo aritmētisko apmēru no Centrālās statistikas pārvaldes oficiālajā statistikas paziņojumā publicētā aizpagājušā gada mēneša vidējās darba samaksas apmēra elektronisko sakaru jomā (darbības veids - telekomunikācija) un enerģētikas jomā  (darbības veids - elektroenerģijas, gāzes apgāde, siltumapgāde un gaisa kondicionēšana), kas noapaļots pilnos euro un kam piemērots koeficients 4,95</w:t>
            </w:r>
            <w:r w:rsidRPr="001E7A16">
              <w:rPr>
                <w:sz w:val="22"/>
                <w:szCs w:val="22"/>
              </w:rPr>
              <w:t>.”.”</w:t>
            </w:r>
          </w:p>
        </w:tc>
        <w:tc>
          <w:tcPr>
            <w:tcW w:w="1418" w:type="dxa"/>
          </w:tcPr>
          <w:p w:rsidR="00086932" w:rsidRPr="001E7A16" w:rsidRDefault="00086932" w:rsidP="00841A9B">
            <w:pPr>
              <w:ind w:firstLine="567"/>
              <w:jc w:val="both"/>
              <w:rPr>
                <w:sz w:val="22"/>
                <w:szCs w:val="22"/>
                <w:lang w:val="lv-LV"/>
              </w:rPr>
            </w:pPr>
          </w:p>
        </w:tc>
        <w:tc>
          <w:tcPr>
            <w:tcW w:w="1418" w:type="dxa"/>
          </w:tcPr>
          <w:p w:rsidR="00086932" w:rsidRPr="001E7A16" w:rsidRDefault="00086932" w:rsidP="00841A9B">
            <w:pPr>
              <w:ind w:firstLine="567"/>
              <w:jc w:val="both"/>
              <w:rPr>
                <w:sz w:val="22"/>
                <w:szCs w:val="22"/>
                <w:lang w:val="lv-LV"/>
              </w:rPr>
            </w:pPr>
          </w:p>
        </w:tc>
      </w:tr>
      <w:tr w:rsidR="001E7A16" w:rsidRPr="002A221F" w:rsidTr="00841A9B">
        <w:tc>
          <w:tcPr>
            <w:tcW w:w="3528" w:type="dxa"/>
          </w:tcPr>
          <w:p w:rsidR="00E83B98" w:rsidRPr="001E7A16" w:rsidRDefault="006E61DF" w:rsidP="00841A9B">
            <w:pPr>
              <w:ind w:firstLine="567"/>
              <w:jc w:val="both"/>
              <w:rPr>
                <w:b/>
                <w:bCs/>
                <w:sz w:val="22"/>
                <w:szCs w:val="22"/>
              </w:rPr>
            </w:pPr>
            <w:r w:rsidRPr="001E7A16">
              <w:rPr>
                <w:b/>
                <w:bCs/>
                <w:sz w:val="22"/>
                <w:szCs w:val="22"/>
              </w:rPr>
              <w:t>43.pants. Atvaļinājums bez darba samaksas saglabāšanas</w:t>
            </w:r>
          </w:p>
          <w:p w:rsidR="006E61DF" w:rsidRPr="001E7A16" w:rsidRDefault="006E61DF" w:rsidP="00841A9B">
            <w:pPr>
              <w:ind w:firstLine="567"/>
              <w:jc w:val="both"/>
              <w:rPr>
                <w:sz w:val="22"/>
                <w:szCs w:val="22"/>
                <w:lang w:val="fr-FR"/>
              </w:rPr>
            </w:pPr>
            <w:r w:rsidRPr="001E7A16">
              <w:rPr>
                <w:sz w:val="22"/>
                <w:szCs w:val="22"/>
              </w:rPr>
              <w:t>(1) Amatpersonai (darbiniekam), kurai tas ir nepieciešams un kuras amata (dienesta, darba) pienākumu izpildes apstākļi to pieļauj, var piešķirt atvaļinājumu bez darba samaksas un uzturdevas kompensācijas saglabāšanas. Atvaļinājumu bez darba samaksas saglabāšanas ieskaita kopējā darba stāžā vai izdienā.</w:t>
            </w: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t>2. Papildināt 43. pantu ar 1.</w:t>
            </w:r>
            <w:r w:rsidRPr="001E7A16">
              <w:rPr>
                <w:sz w:val="22"/>
                <w:szCs w:val="22"/>
                <w:vertAlign w:val="superscript"/>
                <w:lang w:val="lv-LV" w:eastAsia="lv-LV"/>
              </w:rPr>
              <w:t>1 </w:t>
            </w:r>
            <w:r w:rsidRPr="001E7A16">
              <w:rPr>
                <w:sz w:val="22"/>
                <w:szCs w:val="22"/>
                <w:lang w:val="lv-LV" w:eastAsia="lv-LV"/>
              </w:rPr>
              <w:t>daļu šādā redakcijā:</w:t>
            </w:r>
          </w:p>
          <w:p w:rsidR="00E83B98" w:rsidRPr="001E7A16" w:rsidRDefault="00E83B98" w:rsidP="00E83B98">
            <w:pPr>
              <w:ind w:firstLine="567"/>
              <w:jc w:val="both"/>
              <w:rPr>
                <w:sz w:val="28"/>
                <w:szCs w:val="28"/>
                <w:lang w:val="lv-LV" w:eastAsia="lv-LV"/>
              </w:rPr>
            </w:pPr>
            <w:r w:rsidRPr="001E7A16">
              <w:rPr>
                <w:sz w:val="22"/>
                <w:szCs w:val="22"/>
                <w:lang w:val="lv-LV" w:eastAsia="lv-LV"/>
              </w:rPr>
              <w:t>"(1</w:t>
            </w:r>
            <w:r w:rsidRPr="001E7A16">
              <w:rPr>
                <w:sz w:val="22"/>
                <w:szCs w:val="22"/>
                <w:vertAlign w:val="superscript"/>
                <w:lang w:val="lv-LV" w:eastAsia="lv-LV"/>
              </w:rPr>
              <w:t>1</w:t>
            </w:r>
            <w:r w:rsidRPr="001E7A16">
              <w:rPr>
                <w:sz w:val="22"/>
                <w:szCs w:val="22"/>
                <w:lang w:val="lv-LV" w:eastAsia="lv-LV"/>
              </w:rPr>
              <w:t>) Amatpersonai (darbiniekam) piešķir atvaļinājumu bez darba samaksas saglabāšanas Darba likuma 153. pantā noteiktajā gadījumā."</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2A221F" w:rsidTr="00841A9B">
        <w:tc>
          <w:tcPr>
            <w:tcW w:w="3528" w:type="dxa"/>
          </w:tcPr>
          <w:p w:rsidR="006E61DF" w:rsidRPr="001E7A16" w:rsidRDefault="006E61DF" w:rsidP="00841A9B">
            <w:pPr>
              <w:ind w:firstLine="567"/>
              <w:jc w:val="both"/>
              <w:rPr>
                <w:b/>
                <w:sz w:val="22"/>
                <w:szCs w:val="22"/>
                <w:lang w:val="fr-FR"/>
              </w:rPr>
            </w:pPr>
            <w:r w:rsidRPr="001E7A16">
              <w:rPr>
                <w:b/>
                <w:sz w:val="22"/>
                <w:szCs w:val="22"/>
                <w:lang w:val="fr-FR"/>
              </w:rPr>
              <w:t>Pārejas noteikumi</w:t>
            </w:r>
          </w:p>
          <w:p w:rsidR="00E83B98" w:rsidRPr="001E7A16" w:rsidRDefault="006E61DF" w:rsidP="00841A9B">
            <w:pPr>
              <w:ind w:firstLine="567"/>
              <w:jc w:val="both"/>
              <w:rPr>
                <w:sz w:val="22"/>
                <w:szCs w:val="22"/>
                <w:lang w:val="fr-FR"/>
              </w:rPr>
            </w:pPr>
            <w:r w:rsidRPr="001E7A16">
              <w:rPr>
                <w:sz w:val="22"/>
                <w:szCs w:val="22"/>
                <w:lang w:val="fr-FR"/>
              </w:rPr>
              <w:t>8.</w:t>
            </w:r>
            <w:r w:rsidRPr="001E7A16">
              <w:rPr>
                <w:sz w:val="22"/>
                <w:szCs w:val="22"/>
                <w:vertAlign w:val="superscript"/>
                <w:lang w:val="fr-FR"/>
              </w:rPr>
              <w:t>15</w:t>
            </w:r>
            <w:r w:rsidRPr="001E7A16">
              <w:rPr>
                <w:sz w:val="22"/>
                <w:szCs w:val="22"/>
                <w:lang w:val="fr-FR"/>
              </w:rPr>
              <w:t xml:space="preserve"> 2014. un 2015.gadā atbilstoši institūcijā noteiktajai prēmēšanas kārtībai un kritērijiem papildus šā likuma 16.pantā noteiktajam var prēmēt:</w:t>
            </w:r>
          </w:p>
          <w:p w:rsidR="006E61DF" w:rsidRPr="001E7A16" w:rsidRDefault="006E61DF" w:rsidP="00841A9B">
            <w:pPr>
              <w:ind w:firstLine="567"/>
              <w:jc w:val="both"/>
              <w:rPr>
                <w:sz w:val="22"/>
                <w:szCs w:val="22"/>
                <w:lang w:val="fr-FR"/>
              </w:rPr>
            </w:pPr>
            <w:r w:rsidRPr="001E7A16">
              <w:rPr>
                <w:sz w:val="22"/>
                <w:szCs w:val="22"/>
                <w:lang w:val="fr-FR"/>
              </w:rPr>
              <w:t>5) valsts un pašvaldību institūciju amatpersonas (darbiniekus) atbilstoši institūcijā noteiktajai prēmēšanas kārtībai un kritērijiem, ja šo amatpersonu (darbinieku) darbības rezultātā ir nodrošināta valsts vai pašvaldību budžeta izdevumu samazināšana vai izdevumu ekonomija, kā arī uzlaboti attiecīgās institūcijas darbības izpildes rādītāji. Lēmumu par valsts institūciju amatpersonu (darbinieku) prēmēšanu pieņem Ministru kabinets par 2014.gada pirmo deviņu mēnešu faktisko izpildi, pamatojoties uz informāciju, ko sniedzis par nozari atbildīgais ministrs vai Ministru prezidents. Lēmumu par pašvaldības institūciju amatpersonu (darbinieku) prēmēšanu pieņem pašvaldības dome par 2014.gada pirmo deviņu mēnešu faktisko izpildi. Prēmiju izmaksai valsts institūcijas var izmantot ne vairāk kā piecus procentus no gadskārtējā valsts budžeta likumā atlīdzībai paredzētā līdzekļu apjoma, savukārt pašvaldības institūcijas — ne vairāk kā piecus procentus no pašvaldības budžetā atlīdzībai paredzētā līdzekļu apjoma.</w:t>
            </w:r>
          </w:p>
        </w:tc>
        <w:tc>
          <w:tcPr>
            <w:tcW w:w="3600" w:type="dxa"/>
          </w:tcPr>
          <w:p w:rsidR="00E83B98" w:rsidRPr="001E7A16" w:rsidRDefault="00E83B98" w:rsidP="00841A9B">
            <w:pPr>
              <w:pStyle w:val="naisf"/>
              <w:spacing w:before="0" w:beforeAutospacing="0" w:after="0" w:afterAutospacing="0"/>
              <w:ind w:firstLine="567"/>
              <w:jc w:val="both"/>
              <w:rPr>
                <w:sz w:val="22"/>
                <w:szCs w:val="22"/>
                <w:lang w:val="fr-FR"/>
              </w:rPr>
            </w:pPr>
            <w:r w:rsidRPr="001E7A16">
              <w:rPr>
                <w:sz w:val="22"/>
                <w:szCs w:val="22"/>
              </w:rPr>
              <w:t>3. Aizstāt pārejas noteikumu 8.</w:t>
            </w:r>
            <w:r w:rsidRPr="001E7A16">
              <w:rPr>
                <w:sz w:val="22"/>
                <w:szCs w:val="22"/>
                <w:vertAlign w:val="superscript"/>
              </w:rPr>
              <w:t>15 </w:t>
            </w:r>
            <w:r w:rsidRPr="001E7A16">
              <w:rPr>
                <w:sz w:val="22"/>
                <w:szCs w:val="22"/>
              </w:rPr>
              <w:t>punkta 5. apakšpunktā skaitli un vārdu "2014. gada" ar vārdiem un skaitļiem "attiecīgi 2014. vai 2015. gada".</w:t>
            </w: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p w:rsidR="00086932" w:rsidRPr="001E7A16" w:rsidRDefault="00086932" w:rsidP="00086932">
            <w:pPr>
              <w:pStyle w:val="tv2131"/>
              <w:spacing w:line="240" w:lineRule="auto"/>
              <w:ind w:firstLine="567"/>
              <w:jc w:val="both"/>
              <w:rPr>
                <w:color w:val="auto"/>
                <w:sz w:val="22"/>
                <w:szCs w:val="22"/>
              </w:rPr>
            </w:pPr>
            <w:r w:rsidRPr="001E7A16">
              <w:rPr>
                <w:color w:val="auto"/>
                <w:sz w:val="22"/>
                <w:szCs w:val="22"/>
              </w:rPr>
              <w:t>29. Papildus šā likuma 39.pantā noteiktajai apmaksātajai veselības aprūpei Aizsardzības ministrija sedz veselības aprūpes izdevumus tādā pašā kārtībā un apmērā kā karavīriem, kuri atvaļināti no militārā dienesta, sasniedzot militārajam dienestam noteikto maksimālo vecumu, tiem robežsargiem, kuri līdz 1998.gada 1.janvārim atvaļināti no dienesta Iekšlietu ministrijas Robežsardzē sakarā ar dienestam noteiktā maksimālā vecuma sasniegšanu un līdz pārejai no militārā dienesta robežapsardzības spēkiem uz Iekšlietu ministrijas Robežsardzi nodienējuši robežapsardzības spēkos ne mazāk kā četrus gadus.</w:t>
            </w:r>
          </w:p>
          <w:p w:rsidR="00086932" w:rsidRPr="001E7A16" w:rsidRDefault="00086932" w:rsidP="00086932">
            <w:pPr>
              <w:pStyle w:val="tv2131"/>
              <w:spacing w:line="240" w:lineRule="auto"/>
              <w:ind w:firstLine="567"/>
              <w:jc w:val="both"/>
              <w:rPr>
                <w:color w:val="auto"/>
                <w:sz w:val="22"/>
                <w:szCs w:val="22"/>
              </w:rPr>
            </w:pPr>
            <w:r w:rsidRPr="001E7A16">
              <w:rPr>
                <w:color w:val="auto"/>
                <w:sz w:val="22"/>
                <w:szCs w:val="22"/>
              </w:rPr>
              <w:t>(</w:t>
            </w:r>
            <w:hyperlink r:id="rId8" w:tgtFrame="_blank" w:history="1">
              <w:r w:rsidRPr="001E7A16">
                <w:rPr>
                  <w:i/>
                  <w:color w:val="auto"/>
                  <w:sz w:val="22"/>
                  <w:szCs w:val="22"/>
                </w:rPr>
                <w:t>30.10.2014</w:t>
              </w:r>
            </w:hyperlink>
            <w:r w:rsidRPr="001E7A16">
              <w:rPr>
                <w:i/>
                <w:color w:val="auto"/>
                <w:sz w:val="22"/>
                <w:szCs w:val="22"/>
              </w:rPr>
              <w:t xml:space="preserve">. likuma redakcijā, kas stājas spēkā </w:t>
            </w:r>
            <w:hyperlink r:id="rId9" w:tgtFrame="_blank" w:history="1">
              <w:r w:rsidRPr="001E7A16">
                <w:rPr>
                  <w:i/>
                  <w:color w:val="auto"/>
                  <w:sz w:val="22"/>
                  <w:szCs w:val="22"/>
                </w:rPr>
                <w:t>29.11.2014.</w:t>
              </w:r>
            </w:hyperlink>
            <w:r w:rsidRPr="001E7A16">
              <w:rPr>
                <w:color w:val="auto"/>
                <w:sz w:val="22"/>
                <w:szCs w:val="22"/>
              </w:rPr>
              <w:t>)</w:t>
            </w:r>
          </w:p>
        </w:tc>
        <w:tc>
          <w:tcPr>
            <w:tcW w:w="3600" w:type="dxa"/>
          </w:tcPr>
          <w:p w:rsidR="00086932" w:rsidRPr="001E7A16" w:rsidRDefault="00086932" w:rsidP="00E83B98">
            <w:pPr>
              <w:ind w:firstLine="567"/>
              <w:jc w:val="both"/>
              <w:rPr>
                <w:sz w:val="22"/>
                <w:szCs w:val="22"/>
                <w:lang w:val="lv-LV" w:eastAsia="lv-LV"/>
              </w:rPr>
            </w:pPr>
          </w:p>
        </w:tc>
        <w:tc>
          <w:tcPr>
            <w:tcW w:w="556" w:type="dxa"/>
          </w:tcPr>
          <w:p w:rsidR="00086932" w:rsidRPr="001E7A16" w:rsidRDefault="00086932" w:rsidP="00841A9B">
            <w:pPr>
              <w:jc w:val="center"/>
              <w:rPr>
                <w:b/>
                <w:sz w:val="22"/>
                <w:szCs w:val="22"/>
                <w:lang w:val="lv-LV"/>
              </w:rPr>
            </w:pPr>
          </w:p>
        </w:tc>
        <w:tc>
          <w:tcPr>
            <w:tcW w:w="4048" w:type="dxa"/>
          </w:tcPr>
          <w:p w:rsidR="00086932" w:rsidRPr="001E7A16" w:rsidRDefault="00086932" w:rsidP="00950875">
            <w:pPr>
              <w:pStyle w:val="naiskr"/>
              <w:spacing w:before="0" w:after="0"/>
              <w:ind w:firstLine="567"/>
              <w:jc w:val="both"/>
              <w:rPr>
                <w:b/>
                <w:sz w:val="22"/>
                <w:szCs w:val="22"/>
                <w:u w:val="single"/>
              </w:rPr>
            </w:pPr>
          </w:p>
        </w:tc>
        <w:tc>
          <w:tcPr>
            <w:tcW w:w="1418" w:type="dxa"/>
          </w:tcPr>
          <w:p w:rsidR="00086932" w:rsidRPr="001E7A16" w:rsidRDefault="00086932" w:rsidP="00841A9B">
            <w:pPr>
              <w:ind w:firstLine="567"/>
              <w:jc w:val="both"/>
              <w:rPr>
                <w:sz w:val="22"/>
                <w:szCs w:val="22"/>
                <w:lang w:val="lv-LV"/>
              </w:rPr>
            </w:pPr>
          </w:p>
        </w:tc>
        <w:tc>
          <w:tcPr>
            <w:tcW w:w="1418" w:type="dxa"/>
          </w:tcPr>
          <w:p w:rsidR="00086932" w:rsidRPr="001E7A16" w:rsidRDefault="00086932" w:rsidP="00841A9B">
            <w:pPr>
              <w:ind w:firstLine="567"/>
              <w:jc w:val="both"/>
              <w:rPr>
                <w:sz w:val="22"/>
                <w:szCs w:val="22"/>
                <w:lang w:val="lv-LV"/>
              </w:rPr>
            </w:pPr>
          </w:p>
        </w:tc>
      </w:tr>
      <w:tr w:rsidR="001E7A16" w:rsidRPr="002A221F" w:rsidTr="00841A9B">
        <w:tc>
          <w:tcPr>
            <w:tcW w:w="3528" w:type="dxa"/>
          </w:tcPr>
          <w:p w:rsidR="00950875" w:rsidRPr="001E7A16" w:rsidRDefault="00950875" w:rsidP="009A5006">
            <w:pPr>
              <w:ind w:firstLine="567"/>
              <w:jc w:val="both"/>
              <w:rPr>
                <w:sz w:val="22"/>
                <w:szCs w:val="22"/>
                <w:lang w:val="lv-LV"/>
              </w:rPr>
            </w:pPr>
          </w:p>
        </w:tc>
        <w:tc>
          <w:tcPr>
            <w:tcW w:w="3600" w:type="dxa"/>
          </w:tcPr>
          <w:p w:rsidR="00950875" w:rsidRPr="001E7A16" w:rsidRDefault="00950875" w:rsidP="00E83B98">
            <w:pPr>
              <w:ind w:firstLine="567"/>
              <w:jc w:val="both"/>
              <w:rPr>
                <w:sz w:val="22"/>
                <w:szCs w:val="22"/>
                <w:lang w:val="lv-LV" w:eastAsia="lv-LV"/>
              </w:rPr>
            </w:pPr>
          </w:p>
        </w:tc>
        <w:tc>
          <w:tcPr>
            <w:tcW w:w="556" w:type="dxa"/>
          </w:tcPr>
          <w:p w:rsidR="00950875" w:rsidRPr="001E7A16" w:rsidRDefault="00B56F60" w:rsidP="00841A9B">
            <w:pPr>
              <w:jc w:val="center"/>
              <w:rPr>
                <w:b/>
                <w:sz w:val="22"/>
                <w:szCs w:val="22"/>
                <w:lang w:val="lv-LV"/>
              </w:rPr>
            </w:pPr>
            <w:r w:rsidRPr="001E7A16">
              <w:rPr>
                <w:b/>
                <w:sz w:val="22"/>
                <w:szCs w:val="22"/>
                <w:lang w:val="lv-LV"/>
              </w:rPr>
              <w:t>3</w:t>
            </w:r>
          </w:p>
        </w:tc>
        <w:tc>
          <w:tcPr>
            <w:tcW w:w="4048" w:type="dxa"/>
          </w:tcPr>
          <w:p w:rsidR="00950875" w:rsidRPr="001E7A16" w:rsidRDefault="00950875" w:rsidP="00950875">
            <w:pPr>
              <w:tabs>
                <w:tab w:val="left" w:pos="2816"/>
              </w:tabs>
              <w:ind w:firstLine="567"/>
              <w:jc w:val="both"/>
              <w:rPr>
                <w:b/>
                <w:sz w:val="22"/>
                <w:szCs w:val="22"/>
                <w:u w:val="single"/>
                <w:lang w:val="lv-LV"/>
              </w:rPr>
            </w:pPr>
            <w:bookmarkStart w:id="0" w:name="_GoBack"/>
            <w:bookmarkEnd w:id="0"/>
            <w:r w:rsidRPr="001E7A16">
              <w:rPr>
                <w:b/>
                <w:sz w:val="22"/>
                <w:szCs w:val="22"/>
                <w:u w:val="single"/>
                <w:lang w:val="lv-LV"/>
              </w:rPr>
              <w:t>Deputāts K.Šadurskis</w:t>
            </w:r>
          </w:p>
          <w:p w:rsidR="00950875" w:rsidRPr="001E7A16" w:rsidRDefault="00950875" w:rsidP="00950875">
            <w:pPr>
              <w:ind w:firstLine="567"/>
              <w:jc w:val="both"/>
              <w:rPr>
                <w:sz w:val="22"/>
                <w:szCs w:val="22"/>
                <w:lang w:val="lv-LV"/>
              </w:rPr>
            </w:pPr>
            <w:r w:rsidRPr="001E7A16">
              <w:rPr>
                <w:sz w:val="22"/>
                <w:szCs w:val="22"/>
                <w:lang w:val="lv-LV"/>
              </w:rPr>
              <w:t>Papildināt likumprojektu ar pantu šādā redakcijā:</w:t>
            </w:r>
          </w:p>
          <w:p w:rsidR="00950875" w:rsidRPr="001E7A16" w:rsidRDefault="00950875" w:rsidP="00950875">
            <w:pPr>
              <w:pStyle w:val="naiskr"/>
              <w:spacing w:before="0" w:after="0"/>
              <w:ind w:firstLine="567"/>
              <w:jc w:val="both"/>
              <w:rPr>
                <w:sz w:val="22"/>
                <w:szCs w:val="22"/>
              </w:rPr>
            </w:pPr>
            <w:r w:rsidRPr="001E7A16">
              <w:rPr>
                <w:sz w:val="22"/>
                <w:szCs w:val="22"/>
              </w:rPr>
              <w:t>“Papildināt Pārejas noteikumus ar 29.punktu šādā redakcijā:</w:t>
            </w:r>
          </w:p>
          <w:p w:rsidR="00950875" w:rsidRPr="001E7A16" w:rsidRDefault="00950875" w:rsidP="00950875">
            <w:pPr>
              <w:pStyle w:val="naiskr"/>
              <w:spacing w:before="0" w:after="0"/>
              <w:ind w:firstLine="567"/>
              <w:jc w:val="both"/>
            </w:pPr>
            <w:r w:rsidRPr="001E7A16">
              <w:rPr>
                <w:sz w:val="22"/>
                <w:szCs w:val="22"/>
              </w:rPr>
              <w:t>“29. Grozījumi šā likuma 4.panta vienpadsmitajā daļā un 13.</w:t>
            </w:r>
            <w:r w:rsidRPr="001E7A16">
              <w:rPr>
                <w:sz w:val="22"/>
                <w:szCs w:val="22"/>
                <w:vertAlign w:val="superscript"/>
              </w:rPr>
              <w:t>3</w:t>
            </w:r>
            <w:r w:rsidRPr="001E7A16">
              <w:rPr>
                <w:sz w:val="22"/>
                <w:szCs w:val="22"/>
              </w:rPr>
              <w:t xml:space="preserve"> pantā stājas spēkā 2015.gada 1.janvārī.”.”</w:t>
            </w:r>
            <w:r w:rsidRPr="001E7A16">
              <w:rPr>
                <w:rStyle w:val="EndnoteReference"/>
                <w:sz w:val="22"/>
                <w:szCs w:val="22"/>
              </w:rPr>
              <w:endnoteReference w:id="1"/>
            </w:r>
          </w:p>
        </w:tc>
        <w:tc>
          <w:tcPr>
            <w:tcW w:w="1418" w:type="dxa"/>
          </w:tcPr>
          <w:p w:rsidR="00950875" w:rsidRPr="001E7A16" w:rsidRDefault="00950875" w:rsidP="00841A9B">
            <w:pPr>
              <w:ind w:firstLine="567"/>
              <w:jc w:val="both"/>
              <w:rPr>
                <w:sz w:val="22"/>
                <w:szCs w:val="22"/>
                <w:lang w:val="lv-LV"/>
              </w:rPr>
            </w:pPr>
          </w:p>
        </w:tc>
        <w:tc>
          <w:tcPr>
            <w:tcW w:w="1418" w:type="dxa"/>
          </w:tcPr>
          <w:p w:rsidR="00950875" w:rsidRPr="001E7A16" w:rsidRDefault="00950875" w:rsidP="00841A9B">
            <w:pPr>
              <w:ind w:firstLine="567"/>
              <w:jc w:val="both"/>
              <w:rPr>
                <w:sz w:val="22"/>
                <w:szCs w:val="22"/>
                <w:lang w:val="lv-LV"/>
              </w:rPr>
            </w:pPr>
          </w:p>
        </w:tc>
      </w:tr>
      <w:tr w:rsidR="001E7A16" w:rsidRPr="002A221F" w:rsidTr="00841A9B">
        <w:tc>
          <w:tcPr>
            <w:tcW w:w="3528" w:type="dxa"/>
          </w:tcPr>
          <w:p w:rsidR="009A5006" w:rsidRPr="001E7A16" w:rsidRDefault="009A5006" w:rsidP="009A5006">
            <w:pPr>
              <w:ind w:firstLine="567"/>
              <w:jc w:val="both"/>
              <w:rPr>
                <w:sz w:val="22"/>
                <w:szCs w:val="22"/>
                <w:lang w:val="lv-LV"/>
              </w:rPr>
            </w:pPr>
          </w:p>
        </w:tc>
        <w:tc>
          <w:tcPr>
            <w:tcW w:w="3600" w:type="dxa"/>
          </w:tcPr>
          <w:p w:rsidR="009A5006" w:rsidRPr="001E7A16" w:rsidRDefault="009A5006" w:rsidP="00E83B98">
            <w:pPr>
              <w:ind w:firstLine="567"/>
              <w:jc w:val="both"/>
              <w:rPr>
                <w:sz w:val="22"/>
                <w:szCs w:val="22"/>
                <w:lang w:val="lv-LV" w:eastAsia="lv-LV"/>
              </w:rPr>
            </w:pPr>
          </w:p>
        </w:tc>
        <w:tc>
          <w:tcPr>
            <w:tcW w:w="556" w:type="dxa"/>
          </w:tcPr>
          <w:p w:rsidR="009A5006" w:rsidRPr="001E7A16" w:rsidRDefault="00B56F60" w:rsidP="00841A9B">
            <w:pPr>
              <w:jc w:val="center"/>
              <w:rPr>
                <w:b/>
                <w:sz w:val="22"/>
                <w:szCs w:val="22"/>
                <w:lang w:val="lv-LV"/>
              </w:rPr>
            </w:pPr>
            <w:r w:rsidRPr="001E7A16">
              <w:rPr>
                <w:b/>
                <w:sz w:val="22"/>
                <w:szCs w:val="22"/>
                <w:lang w:val="lv-LV"/>
              </w:rPr>
              <w:t>4</w:t>
            </w:r>
          </w:p>
        </w:tc>
        <w:tc>
          <w:tcPr>
            <w:tcW w:w="4048" w:type="dxa"/>
          </w:tcPr>
          <w:p w:rsidR="009A5006" w:rsidRPr="001E7A16" w:rsidRDefault="009A5006" w:rsidP="00841A9B">
            <w:pPr>
              <w:tabs>
                <w:tab w:val="left" w:pos="2816"/>
              </w:tabs>
              <w:ind w:firstLine="567"/>
              <w:jc w:val="both"/>
              <w:rPr>
                <w:b/>
                <w:sz w:val="22"/>
                <w:szCs w:val="22"/>
                <w:u w:val="single"/>
                <w:lang w:val="lv-LV"/>
              </w:rPr>
            </w:pPr>
            <w:r w:rsidRPr="001E7A16">
              <w:rPr>
                <w:b/>
                <w:sz w:val="22"/>
                <w:szCs w:val="22"/>
                <w:u w:val="single"/>
                <w:lang w:val="lv-LV"/>
              </w:rPr>
              <w:t>Aizsardzības ministrs R.Vējonis</w:t>
            </w:r>
          </w:p>
          <w:p w:rsidR="009A5006" w:rsidRPr="001E7A16" w:rsidRDefault="009A5006" w:rsidP="009A5006">
            <w:pPr>
              <w:ind w:firstLine="567"/>
              <w:jc w:val="both"/>
              <w:rPr>
                <w:sz w:val="22"/>
                <w:szCs w:val="22"/>
                <w:lang w:val="lv-LV"/>
              </w:rPr>
            </w:pPr>
            <w:r w:rsidRPr="001E7A16">
              <w:rPr>
                <w:sz w:val="22"/>
                <w:szCs w:val="22"/>
                <w:lang w:val="lv-LV"/>
              </w:rPr>
              <w:t xml:space="preserve">Papildināt </w:t>
            </w:r>
            <w:r w:rsidR="00086932" w:rsidRPr="001E7A16">
              <w:rPr>
                <w:sz w:val="22"/>
                <w:szCs w:val="22"/>
                <w:lang w:val="lv-LV"/>
              </w:rPr>
              <w:t>p</w:t>
            </w:r>
            <w:r w:rsidRPr="001E7A16">
              <w:rPr>
                <w:sz w:val="22"/>
                <w:szCs w:val="22"/>
                <w:lang w:val="lv-LV"/>
              </w:rPr>
              <w:t xml:space="preserve">ārejas noteikumus ar 30.punktu šādā redakcijā: </w:t>
            </w:r>
          </w:p>
          <w:p w:rsidR="009A5006" w:rsidRPr="001E7A16" w:rsidRDefault="009A5006" w:rsidP="00086932">
            <w:pPr>
              <w:tabs>
                <w:tab w:val="left" w:pos="2816"/>
              </w:tabs>
              <w:ind w:firstLine="567"/>
              <w:jc w:val="both"/>
              <w:rPr>
                <w:b/>
                <w:sz w:val="22"/>
                <w:szCs w:val="22"/>
                <w:u w:val="single"/>
                <w:lang w:val="lv-LV"/>
              </w:rPr>
            </w:pPr>
            <w:r w:rsidRPr="001E7A16">
              <w:rPr>
                <w:sz w:val="22"/>
                <w:szCs w:val="22"/>
                <w:lang w:val="lv-LV"/>
              </w:rPr>
              <w:t>„30. Karavīriem, kuri ir absolvējuši virsnieku sagatavošanas militārās izglītības iestādi ārvalstīs un 2014./2015.mācību gadā mācās kādā no Latvijas civilajām augstākās izglītības iestādēm, ar kuru Nacionālie bruņotie spēki noslēguši vienošanos par karavīru apmācību, mācību maksu par augstākās izglītības iegūšanu sedz 100% apmērā. Lēmumu par mācību maksas segšanu pieņem Nacionālo bruņoto spēku komandieris. Aizsardzības ministrs vai viņa pilnvarots komandieris (priekšnieks) ar karavīru noslēdz līgumu par mācību maksas segšanu, kurā paredz līdz līguma stāšanās spēkā laikam no karavīra personīgajiem līdzekļiem segtās mācību maksas atmaksas un nākamo semestru (mācību gadu) mācību maksas segšanas kārtību. Gadījumus, kad karavīrs atmaksā Nacionālajiem bruņotajiem spēkiem faktiski segto Latvijas civilās augstākās izglītības iestādes noteikto mācību maksu, kā arī mācību maksu atmaksāšanas kārtību, nosaka Ministru kabineta 2010.gada 12.oktobra noteikumi „Kārtība, kādā profesionālā dienesta karavīru nosūta uz izglītības iestādi dienesta pienākumu izpildei nepieciešamās izglītības iegūšanai un sedz mācību izdevumus, kā arī šo izdevumu atmaksāšanas kārtība”.</w:t>
            </w:r>
            <w:r w:rsidR="00086932" w:rsidRPr="001E7A16">
              <w:rPr>
                <w:rStyle w:val="EndnoteReference"/>
                <w:b/>
                <w:sz w:val="22"/>
                <w:szCs w:val="22"/>
                <w:u w:val="single"/>
                <w:lang w:val="lv-LV"/>
              </w:rPr>
              <w:endnoteReference w:id="2"/>
            </w:r>
          </w:p>
        </w:tc>
        <w:tc>
          <w:tcPr>
            <w:tcW w:w="1418" w:type="dxa"/>
          </w:tcPr>
          <w:p w:rsidR="009A5006" w:rsidRPr="001E7A16" w:rsidRDefault="009A5006" w:rsidP="00841A9B">
            <w:pPr>
              <w:ind w:firstLine="567"/>
              <w:jc w:val="both"/>
              <w:rPr>
                <w:sz w:val="22"/>
                <w:szCs w:val="22"/>
                <w:lang w:val="lv-LV"/>
              </w:rPr>
            </w:pPr>
          </w:p>
        </w:tc>
        <w:tc>
          <w:tcPr>
            <w:tcW w:w="1418" w:type="dxa"/>
          </w:tcPr>
          <w:p w:rsidR="009A5006" w:rsidRPr="001E7A16" w:rsidRDefault="009A5006" w:rsidP="00841A9B">
            <w:pPr>
              <w:ind w:firstLine="567"/>
              <w:jc w:val="both"/>
              <w:rPr>
                <w:sz w:val="22"/>
                <w:szCs w:val="22"/>
                <w:lang w:val="lv-LV"/>
              </w:rPr>
            </w:pPr>
          </w:p>
        </w:tc>
      </w:tr>
      <w:tr w:rsidR="001E7A16" w:rsidRPr="001E7A16" w:rsidTr="00841A9B">
        <w:tc>
          <w:tcPr>
            <w:tcW w:w="3528" w:type="dxa"/>
          </w:tcPr>
          <w:p w:rsidR="006E61DF" w:rsidRPr="001E7A16" w:rsidRDefault="006E61DF" w:rsidP="006E61DF">
            <w:pPr>
              <w:jc w:val="right"/>
              <w:rPr>
                <w:sz w:val="22"/>
                <w:szCs w:val="22"/>
                <w:lang w:val="lv-LV"/>
              </w:rPr>
            </w:pPr>
            <w:r w:rsidRPr="001E7A16">
              <w:rPr>
                <w:sz w:val="22"/>
                <w:szCs w:val="22"/>
              </w:rPr>
              <w:t xml:space="preserve">Valsts un pašvaldību institūciju amatpersonu un </w:t>
            </w:r>
            <w:r w:rsidRPr="001E7A16">
              <w:rPr>
                <w:sz w:val="22"/>
                <w:szCs w:val="22"/>
              </w:rPr>
              <w:br/>
              <w:t xml:space="preserve">darbinieku atlīdzības likuma </w:t>
            </w:r>
            <w:r w:rsidRPr="001E7A16">
              <w:rPr>
                <w:sz w:val="22"/>
                <w:szCs w:val="22"/>
              </w:rPr>
              <w:br/>
            </w:r>
            <w:bookmarkStart w:id="1" w:name="piel2"/>
            <w:bookmarkEnd w:id="1"/>
            <w:r w:rsidRPr="001E7A16">
              <w:rPr>
                <w:sz w:val="22"/>
                <w:szCs w:val="22"/>
              </w:rPr>
              <w:t>2.pielikums</w:t>
            </w:r>
          </w:p>
          <w:p w:rsidR="00E83B98" w:rsidRPr="001E7A16" w:rsidRDefault="006E61DF" w:rsidP="006E61DF">
            <w:pPr>
              <w:ind w:firstLine="567"/>
              <w:jc w:val="both"/>
              <w:rPr>
                <w:b/>
                <w:bCs/>
                <w:sz w:val="22"/>
                <w:szCs w:val="22"/>
                <w:lang w:val="lv-LV"/>
              </w:rPr>
            </w:pPr>
            <w:bookmarkStart w:id="2" w:name="455595"/>
            <w:bookmarkEnd w:id="2"/>
            <w:r w:rsidRPr="001E7A16">
              <w:rPr>
                <w:b/>
                <w:bCs/>
                <w:sz w:val="22"/>
                <w:szCs w:val="22"/>
                <w:lang w:val="lv-LV"/>
              </w:rPr>
              <w:t>Amatu saimei (apakšsaimei) atbilstošā maksimālā mēnešalgu grupa</w:t>
            </w:r>
          </w:p>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6E61DF">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hideMark/>
                </w:tcPr>
                <w:p w:rsidR="006E61DF" w:rsidRPr="001E7A16" w:rsidRDefault="006E61DF" w:rsidP="006E61DF">
                  <w:pPr>
                    <w:jc w:val="center"/>
                    <w:rPr>
                      <w:b/>
                      <w:bCs/>
                      <w:sz w:val="20"/>
                      <w:szCs w:val="20"/>
                      <w:lang w:val="lv-LV"/>
                    </w:rPr>
                  </w:pPr>
                  <w:r w:rsidRPr="001E7A16">
                    <w:rPr>
                      <w:b/>
                      <w:bCs/>
                      <w:sz w:val="20"/>
                      <w:szCs w:val="20"/>
                    </w:rPr>
                    <w:t>Nr. p.k.</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E61DF" w:rsidRPr="001E7A16" w:rsidRDefault="006E61DF" w:rsidP="006E61DF">
                  <w:pPr>
                    <w:jc w:val="center"/>
                    <w:rPr>
                      <w:b/>
                      <w:bCs/>
                      <w:sz w:val="20"/>
                      <w:szCs w:val="20"/>
                    </w:rPr>
                  </w:pPr>
                  <w:r w:rsidRPr="001E7A16">
                    <w:rPr>
                      <w:b/>
                      <w:bCs/>
                      <w:sz w:val="20"/>
                      <w:szCs w:val="20"/>
                    </w:rPr>
                    <w:t>Amatu saimes (apakšsaimes) numurs</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6E61DF" w:rsidRPr="001E7A16" w:rsidRDefault="006E61DF" w:rsidP="006E61DF">
                  <w:pPr>
                    <w:jc w:val="center"/>
                    <w:rPr>
                      <w:b/>
                      <w:bCs/>
                      <w:sz w:val="20"/>
                      <w:szCs w:val="20"/>
                    </w:rPr>
                  </w:pPr>
                  <w:r w:rsidRPr="001E7A16">
                    <w:rPr>
                      <w:b/>
                      <w:bCs/>
                      <w:sz w:val="20"/>
                      <w:szCs w:val="20"/>
                    </w:rPr>
                    <w:t>Maksimālā mēnešalgu grupa</w:t>
                  </w:r>
                </w:p>
              </w:tc>
            </w:tr>
            <w:tr w:rsidR="001E7A16" w:rsidRPr="001E7A16" w:rsidTr="006E61DF">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6E61DF" w:rsidRPr="001E7A16" w:rsidRDefault="00974CE5" w:rsidP="006E61DF">
                  <w:pPr>
                    <w:ind w:firstLine="301"/>
                    <w:jc w:val="center"/>
                    <w:rPr>
                      <w:bCs/>
                      <w:sz w:val="20"/>
                      <w:szCs w:val="20"/>
                    </w:rPr>
                  </w:pPr>
                  <w:r w:rsidRPr="001E7A16">
                    <w:rPr>
                      <w:bCs/>
                      <w:sz w:val="20"/>
                      <w:szCs w:val="20"/>
                    </w:rPr>
                    <w:t>10</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6E61DF" w:rsidRPr="001E7A16" w:rsidRDefault="00974CE5" w:rsidP="006E61DF">
                  <w:pPr>
                    <w:ind w:firstLine="301"/>
                    <w:jc w:val="center"/>
                    <w:rPr>
                      <w:bCs/>
                      <w:sz w:val="20"/>
                      <w:szCs w:val="20"/>
                    </w:rPr>
                  </w:pPr>
                  <w:r w:rsidRPr="001E7A16">
                    <w:rPr>
                      <w:bCs/>
                      <w:sz w:val="20"/>
                      <w:szCs w:val="20"/>
                    </w:rPr>
                    <w:t>7</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6E61DF" w:rsidRPr="001E7A16" w:rsidRDefault="00974CE5" w:rsidP="006E61DF">
                  <w:pPr>
                    <w:ind w:firstLine="301"/>
                    <w:jc w:val="center"/>
                    <w:rPr>
                      <w:bCs/>
                      <w:sz w:val="20"/>
                      <w:szCs w:val="20"/>
                    </w:rPr>
                  </w:pPr>
                  <w:r w:rsidRPr="001E7A16">
                    <w:rPr>
                      <w:bCs/>
                      <w:sz w:val="20"/>
                      <w:szCs w:val="20"/>
                    </w:rPr>
                    <w:t>14</w:t>
                  </w:r>
                </w:p>
              </w:tc>
            </w:tr>
          </w:tbl>
          <w:p w:rsidR="006E61DF" w:rsidRPr="001E7A16" w:rsidRDefault="006E61DF" w:rsidP="006E61DF">
            <w:pPr>
              <w:ind w:firstLine="567"/>
              <w:jc w:val="both"/>
              <w:rPr>
                <w:sz w:val="22"/>
                <w:szCs w:val="22"/>
                <w:lang w:val="lv-LV"/>
              </w:rPr>
            </w:pPr>
          </w:p>
        </w:tc>
        <w:tc>
          <w:tcPr>
            <w:tcW w:w="3600" w:type="dxa"/>
          </w:tcPr>
          <w:p w:rsidR="00E83B98" w:rsidRPr="001E7A16" w:rsidRDefault="00E83B98" w:rsidP="00E83B98">
            <w:pPr>
              <w:ind w:firstLine="567"/>
              <w:jc w:val="both"/>
              <w:rPr>
                <w:sz w:val="22"/>
                <w:szCs w:val="22"/>
                <w:lang w:val="lv-LV" w:eastAsia="lv-LV"/>
              </w:rPr>
            </w:pPr>
            <w:r w:rsidRPr="001E7A16">
              <w:rPr>
                <w:sz w:val="22"/>
                <w:szCs w:val="22"/>
                <w:lang w:val="lv-LV" w:eastAsia="lv-LV"/>
              </w:rPr>
              <w:t>4.  2. pielikumā:</w:t>
            </w:r>
          </w:p>
          <w:p w:rsidR="00E83B98" w:rsidRPr="001E7A16" w:rsidRDefault="00E83B98" w:rsidP="00E83B98">
            <w:pPr>
              <w:jc w:val="both"/>
              <w:rPr>
                <w:sz w:val="22"/>
                <w:szCs w:val="22"/>
                <w:lang w:val="lv-LV" w:eastAsia="lv-LV"/>
              </w:rPr>
            </w:pPr>
            <w:r w:rsidRPr="001E7A16">
              <w:rPr>
                <w:sz w:val="22"/>
                <w:szCs w:val="22"/>
                <w:lang w:val="lv-LV" w:eastAsia="lv-LV"/>
              </w:rPr>
              <w:t xml:space="preserve"> </w:t>
            </w:r>
            <w:r w:rsidRPr="001E7A16">
              <w:rPr>
                <w:sz w:val="22"/>
                <w:szCs w:val="22"/>
                <w:lang w:val="lv-LV" w:eastAsia="lv-LV"/>
              </w:rPr>
              <w:tab/>
              <w:t>izteikt 10.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E83B98">
              <w:tc>
                <w:tcPr>
                  <w:tcW w:w="737" w:type="dxa"/>
                  <w:tcBorders>
                    <w:top w:val="single" w:sz="4" w:space="0" w:color="auto"/>
                    <w:left w:val="single" w:sz="4" w:space="0" w:color="auto"/>
                    <w:bottom w:val="single" w:sz="4" w:space="0" w:color="auto"/>
                    <w:right w:val="single" w:sz="4" w:space="0" w:color="auto"/>
                  </w:tcBorders>
                  <w:hideMark/>
                </w:tcPr>
                <w:p w:rsidR="00E83B98" w:rsidRPr="001E7A16" w:rsidRDefault="00E83B98" w:rsidP="00E83B98">
                  <w:pPr>
                    <w:jc w:val="both"/>
                    <w:rPr>
                      <w:sz w:val="22"/>
                      <w:szCs w:val="22"/>
                      <w:lang w:val="lv-LV" w:eastAsia="lv-LV"/>
                    </w:rPr>
                  </w:pPr>
                  <w:r w:rsidRPr="001E7A16">
                    <w:rPr>
                      <w:sz w:val="22"/>
                      <w:szCs w:val="22"/>
                      <w:lang w:val="lv-LV" w:eastAsia="lv-LV"/>
                    </w:rPr>
                    <w:t>"10.</w:t>
                  </w:r>
                </w:p>
              </w:tc>
              <w:tc>
                <w:tcPr>
                  <w:tcW w:w="1247" w:type="dxa"/>
                  <w:tcBorders>
                    <w:top w:val="single" w:sz="4" w:space="0" w:color="auto"/>
                    <w:left w:val="single" w:sz="4" w:space="0" w:color="auto"/>
                    <w:bottom w:val="single" w:sz="4" w:space="0" w:color="auto"/>
                    <w:right w:val="single" w:sz="4" w:space="0" w:color="auto"/>
                  </w:tcBorders>
                  <w:hideMark/>
                </w:tcPr>
                <w:p w:rsidR="00E83B98" w:rsidRPr="001E7A16" w:rsidRDefault="00E83B98" w:rsidP="00E83B98">
                  <w:pPr>
                    <w:jc w:val="both"/>
                    <w:rPr>
                      <w:sz w:val="22"/>
                      <w:szCs w:val="22"/>
                      <w:lang w:val="lv-LV" w:eastAsia="lv-LV"/>
                    </w:rPr>
                  </w:pPr>
                  <w:r w:rsidRPr="001E7A16">
                    <w:rPr>
                      <w:sz w:val="22"/>
                      <w:szCs w:val="22"/>
                      <w:lang w:val="lv-LV" w:eastAsia="lv-LV"/>
                    </w:rPr>
                    <w:t>7</w:t>
                  </w:r>
                </w:p>
              </w:tc>
              <w:tc>
                <w:tcPr>
                  <w:tcW w:w="1247" w:type="dxa"/>
                  <w:tcBorders>
                    <w:top w:val="single" w:sz="4" w:space="0" w:color="auto"/>
                    <w:left w:val="single" w:sz="4" w:space="0" w:color="auto"/>
                    <w:bottom w:val="single" w:sz="4" w:space="0" w:color="auto"/>
                    <w:right w:val="single" w:sz="4" w:space="0" w:color="auto"/>
                  </w:tcBorders>
                  <w:hideMark/>
                </w:tcPr>
                <w:p w:rsidR="00E83B98" w:rsidRPr="001E7A16" w:rsidRDefault="00E83B98" w:rsidP="00E83B98">
                  <w:pPr>
                    <w:jc w:val="both"/>
                    <w:rPr>
                      <w:sz w:val="22"/>
                      <w:szCs w:val="22"/>
                      <w:lang w:val="lv-LV" w:eastAsia="lv-LV"/>
                    </w:rPr>
                  </w:pPr>
                  <w:r w:rsidRPr="001E7A16">
                    <w:rPr>
                      <w:sz w:val="22"/>
                      <w:szCs w:val="22"/>
                      <w:lang w:val="lv-LV" w:eastAsia="lv-LV"/>
                    </w:rPr>
                    <w:t>15"</w:t>
                  </w:r>
                </w:p>
              </w:tc>
            </w:tr>
          </w:tbl>
          <w:p w:rsidR="00E83B98" w:rsidRPr="001E7A16" w:rsidRDefault="00E83B98"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p w:rsidR="000A347E" w:rsidRPr="001E7A16" w:rsidRDefault="000A347E"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974CE5" w:rsidRPr="001E7A16" w:rsidRDefault="00974CE5" w:rsidP="00974CE5">
                  <w:pPr>
                    <w:ind w:firstLine="301"/>
                    <w:jc w:val="center"/>
                    <w:rPr>
                      <w:bCs/>
                      <w:sz w:val="20"/>
                      <w:szCs w:val="20"/>
                    </w:rPr>
                  </w:pPr>
                  <w:r w:rsidRPr="001E7A16">
                    <w:rPr>
                      <w:bCs/>
                      <w:sz w:val="20"/>
                      <w:szCs w:val="20"/>
                    </w:rPr>
                    <w:t>24</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16</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11</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24.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"24.</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16</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12"</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974CE5" w:rsidRPr="001E7A16" w:rsidRDefault="00974CE5" w:rsidP="00974CE5">
                  <w:pPr>
                    <w:ind w:firstLine="301"/>
                    <w:jc w:val="center"/>
                    <w:rPr>
                      <w:bCs/>
                      <w:sz w:val="20"/>
                      <w:szCs w:val="20"/>
                    </w:rPr>
                  </w:pPr>
                  <w:r w:rsidRPr="001E7A16">
                    <w:rPr>
                      <w:bCs/>
                      <w:sz w:val="20"/>
                      <w:szCs w:val="20"/>
                    </w:rPr>
                    <w:t>36</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19.5</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12</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36.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"36.</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19.5</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13"</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974CE5" w:rsidRPr="001E7A16" w:rsidRDefault="00974CE5" w:rsidP="00974CE5">
                  <w:pPr>
                    <w:ind w:firstLine="301"/>
                    <w:jc w:val="center"/>
                    <w:rPr>
                      <w:bCs/>
                      <w:sz w:val="20"/>
                      <w:szCs w:val="20"/>
                    </w:rPr>
                  </w:pPr>
                  <w:r w:rsidRPr="001E7A16">
                    <w:rPr>
                      <w:bCs/>
                      <w:sz w:val="20"/>
                      <w:szCs w:val="20"/>
                    </w:rPr>
                    <w:t>43</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24</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11</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43.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"43.</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24</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12"</w:t>
                  </w:r>
                </w:p>
              </w:tc>
            </w:tr>
          </w:tbl>
          <w:p w:rsidR="00E83B98" w:rsidRPr="001E7A16" w:rsidRDefault="00E83B98" w:rsidP="00057C22">
            <w:pPr>
              <w:pStyle w:val="naisf"/>
              <w:spacing w:before="0" w:beforeAutospacing="0" w:after="0" w:afterAutospacing="0"/>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974CE5" w:rsidRPr="001E7A16" w:rsidRDefault="000E6F78" w:rsidP="00974CE5">
                  <w:pPr>
                    <w:ind w:firstLine="301"/>
                    <w:jc w:val="center"/>
                    <w:rPr>
                      <w:bCs/>
                      <w:sz w:val="20"/>
                      <w:szCs w:val="20"/>
                    </w:rPr>
                  </w:pPr>
                  <w:r w:rsidRPr="001E7A16">
                    <w:rPr>
                      <w:bCs/>
                      <w:sz w:val="20"/>
                      <w:szCs w:val="20"/>
                    </w:rPr>
                    <w:t>51</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0E6F78" w:rsidP="00974CE5">
                  <w:pPr>
                    <w:ind w:firstLine="301"/>
                    <w:jc w:val="center"/>
                    <w:rPr>
                      <w:bCs/>
                      <w:sz w:val="20"/>
                      <w:szCs w:val="20"/>
                    </w:rPr>
                  </w:pPr>
                  <w:r w:rsidRPr="001E7A16">
                    <w:rPr>
                      <w:bCs/>
                      <w:sz w:val="20"/>
                      <w:szCs w:val="20"/>
                    </w:rPr>
                    <w:t>28.3</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974CE5" w:rsidRPr="001E7A16" w:rsidRDefault="00974CE5" w:rsidP="00974CE5">
                  <w:pPr>
                    <w:ind w:firstLine="301"/>
                    <w:jc w:val="center"/>
                    <w:rPr>
                      <w:bCs/>
                      <w:sz w:val="20"/>
                      <w:szCs w:val="20"/>
                    </w:rPr>
                  </w:pPr>
                  <w:r w:rsidRPr="001E7A16">
                    <w:rPr>
                      <w:bCs/>
                      <w:sz w:val="20"/>
                      <w:szCs w:val="20"/>
                    </w:rPr>
                    <w:t>11</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51.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"51.</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28.3</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12"</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0E6F78" w:rsidRPr="001E7A16" w:rsidRDefault="000E6F78" w:rsidP="000E6F78">
                  <w:pPr>
                    <w:ind w:firstLine="301"/>
                    <w:jc w:val="center"/>
                    <w:rPr>
                      <w:bCs/>
                      <w:sz w:val="20"/>
                      <w:szCs w:val="20"/>
                    </w:rPr>
                  </w:pPr>
                  <w:r w:rsidRPr="001E7A16">
                    <w:rPr>
                      <w:bCs/>
                      <w:sz w:val="20"/>
                      <w:szCs w:val="20"/>
                    </w:rPr>
                    <w:t>60</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36</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14</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60.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"60.</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36</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15"</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0E6F78" w:rsidRPr="001E7A16" w:rsidRDefault="000E6F78" w:rsidP="000E6F78">
                  <w:pPr>
                    <w:ind w:firstLine="301"/>
                    <w:jc w:val="center"/>
                    <w:rPr>
                      <w:bCs/>
                      <w:sz w:val="20"/>
                      <w:szCs w:val="20"/>
                    </w:rPr>
                  </w:pPr>
                  <w:r w:rsidRPr="001E7A16">
                    <w:rPr>
                      <w:bCs/>
                      <w:sz w:val="20"/>
                      <w:szCs w:val="20"/>
                    </w:rPr>
                    <w:t>62</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38</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7</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62.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"62.</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38</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8"</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tbl>
            <w:tblPr>
              <w:tblW w:w="5000" w:type="pct"/>
              <w:jc w:val="center"/>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680"/>
              <w:gridCol w:w="1364"/>
              <w:gridCol w:w="1252"/>
            </w:tblGrid>
            <w:tr w:rsidR="001E7A16" w:rsidRPr="001E7A16" w:rsidTr="00841A9B">
              <w:trPr>
                <w:trHeight w:val="45"/>
                <w:tblCellSpacing w:w="15" w:type="dxa"/>
                <w:jc w:val="center"/>
              </w:trPr>
              <w:tc>
                <w:tcPr>
                  <w:tcW w:w="1000" w:type="pct"/>
                  <w:tcBorders>
                    <w:top w:val="outset" w:sz="6" w:space="0" w:color="C0C0C0"/>
                    <w:left w:val="outset" w:sz="6" w:space="0" w:color="C0C0C0"/>
                    <w:bottom w:val="outset" w:sz="6" w:space="0" w:color="C0C0C0"/>
                    <w:right w:val="outset" w:sz="6" w:space="0" w:color="C0C0C0"/>
                  </w:tcBorders>
                  <w:shd w:val="clear" w:color="auto" w:fill="FFFFFF"/>
                </w:tcPr>
                <w:p w:rsidR="000E6F78" w:rsidRPr="001E7A16" w:rsidRDefault="000E6F78" w:rsidP="000E6F78">
                  <w:pPr>
                    <w:ind w:firstLine="301"/>
                    <w:jc w:val="center"/>
                    <w:rPr>
                      <w:bCs/>
                      <w:sz w:val="20"/>
                      <w:szCs w:val="20"/>
                    </w:rPr>
                  </w:pPr>
                  <w:r w:rsidRPr="001E7A16">
                    <w:rPr>
                      <w:bCs/>
                      <w:sz w:val="20"/>
                      <w:szCs w:val="20"/>
                    </w:rPr>
                    <w:t>79</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53.1</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tcPr>
                <w:p w:rsidR="000E6F78" w:rsidRPr="001E7A16" w:rsidRDefault="000E6F78" w:rsidP="000E6F78">
                  <w:pPr>
                    <w:ind w:firstLine="301"/>
                    <w:jc w:val="center"/>
                    <w:rPr>
                      <w:bCs/>
                      <w:sz w:val="20"/>
                      <w:szCs w:val="20"/>
                    </w:rPr>
                  </w:pPr>
                  <w:r w:rsidRPr="001E7A16">
                    <w:rPr>
                      <w:bCs/>
                      <w:sz w:val="20"/>
                      <w:szCs w:val="20"/>
                    </w:rPr>
                    <w:t>13</w:t>
                  </w:r>
                </w:p>
              </w:tc>
            </w:tr>
          </w:tbl>
          <w:p w:rsidR="00E83B98" w:rsidRPr="001E7A16" w:rsidRDefault="00E83B98"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izteikt 79. punktu šādā redakcijā:</w:t>
            </w:r>
          </w:p>
          <w:tbl>
            <w:tblPr>
              <w:tblW w:w="3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247"/>
              <w:gridCol w:w="1247"/>
            </w:tblGrid>
            <w:tr w:rsidR="001E7A16" w:rsidRPr="001E7A16" w:rsidTr="00841A9B">
              <w:tc>
                <w:tcPr>
                  <w:tcW w:w="73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"79.</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53.1</w:t>
                  </w:r>
                </w:p>
              </w:tc>
              <w:tc>
                <w:tcPr>
                  <w:tcW w:w="1247" w:type="dxa"/>
                  <w:tcBorders>
                    <w:top w:val="single" w:sz="4" w:space="0" w:color="auto"/>
                    <w:left w:val="single" w:sz="4" w:space="0" w:color="auto"/>
                    <w:bottom w:val="single" w:sz="4" w:space="0" w:color="auto"/>
                    <w:right w:val="single" w:sz="4"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14"</w:t>
                  </w:r>
                </w:p>
              </w:tc>
            </w:tr>
          </w:tbl>
          <w:p w:rsidR="00E83B98" w:rsidRPr="001E7A16" w:rsidRDefault="00E83B98" w:rsidP="00841A9B">
            <w:pPr>
              <w:pStyle w:val="naisf"/>
              <w:spacing w:before="0" w:beforeAutospacing="0" w:after="0" w:afterAutospacing="0"/>
              <w:ind w:firstLine="567"/>
              <w:jc w:val="both"/>
              <w:rPr>
                <w:sz w:val="22"/>
                <w:szCs w:val="22"/>
              </w:rPr>
            </w:pPr>
          </w:p>
        </w:tc>
        <w:tc>
          <w:tcPr>
            <w:tcW w:w="556" w:type="dxa"/>
          </w:tcPr>
          <w:p w:rsidR="00E83B98" w:rsidRPr="001E7A16" w:rsidRDefault="00E83B98" w:rsidP="00841A9B">
            <w:pPr>
              <w:jc w:val="center"/>
              <w:rPr>
                <w:b/>
                <w:sz w:val="22"/>
                <w:szCs w:val="22"/>
                <w:lang w:val="lv-LV"/>
              </w:rPr>
            </w:pPr>
          </w:p>
        </w:tc>
        <w:tc>
          <w:tcPr>
            <w:tcW w:w="4048" w:type="dxa"/>
          </w:tcPr>
          <w:p w:rsidR="00E83B98" w:rsidRPr="001E7A16" w:rsidRDefault="00E83B98" w:rsidP="00841A9B">
            <w:pPr>
              <w:tabs>
                <w:tab w:val="left" w:pos="2816"/>
              </w:tabs>
              <w:ind w:firstLine="567"/>
              <w:jc w:val="both"/>
              <w:rPr>
                <w:b/>
                <w:sz w:val="22"/>
                <w:szCs w:val="22"/>
                <w:u w:val="single"/>
                <w:lang w:val="lv-LV"/>
              </w:rPr>
            </w:pPr>
          </w:p>
        </w:tc>
        <w:tc>
          <w:tcPr>
            <w:tcW w:w="1418" w:type="dxa"/>
          </w:tcPr>
          <w:p w:rsidR="00E83B98" w:rsidRPr="001E7A16" w:rsidRDefault="00E83B98" w:rsidP="00841A9B">
            <w:pPr>
              <w:ind w:firstLine="567"/>
              <w:jc w:val="both"/>
              <w:rPr>
                <w:sz w:val="22"/>
                <w:szCs w:val="22"/>
                <w:lang w:val="lv-LV"/>
              </w:rPr>
            </w:pPr>
          </w:p>
        </w:tc>
        <w:tc>
          <w:tcPr>
            <w:tcW w:w="1418" w:type="dxa"/>
          </w:tcPr>
          <w:p w:rsidR="00E83B98" w:rsidRPr="001E7A16" w:rsidRDefault="00E83B98" w:rsidP="00841A9B">
            <w:pPr>
              <w:ind w:firstLine="567"/>
              <w:jc w:val="both"/>
              <w:rPr>
                <w:sz w:val="22"/>
                <w:szCs w:val="22"/>
                <w:lang w:val="lv-LV"/>
              </w:rPr>
            </w:pPr>
          </w:p>
        </w:tc>
      </w:tr>
      <w:tr w:rsidR="001E7A16" w:rsidRPr="001E7A16" w:rsidTr="00841A9B">
        <w:tc>
          <w:tcPr>
            <w:tcW w:w="3528" w:type="dxa"/>
          </w:tcPr>
          <w:p w:rsidR="000E6F78" w:rsidRPr="001E7A16" w:rsidRDefault="000E6F78" w:rsidP="000A347E">
            <w:pPr>
              <w:jc w:val="right"/>
              <w:rPr>
                <w:sz w:val="22"/>
                <w:szCs w:val="22"/>
                <w:lang w:val="lv-LV"/>
              </w:rPr>
            </w:pPr>
            <w:r w:rsidRPr="001E7A16">
              <w:rPr>
                <w:sz w:val="22"/>
                <w:szCs w:val="22"/>
              </w:rPr>
              <w:t xml:space="preserve">Valsts un pašvaldību institūciju amatpersonu un </w:t>
            </w:r>
            <w:r w:rsidRPr="001E7A16">
              <w:rPr>
                <w:sz w:val="22"/>
                <w:szCs w:val="22"/>
              </w:rPr>
              <w:br/>
              <w:t xml:space="preserve">darbinieku atlīdzības likuma </w:t>
            </w:r>
            <w:r w:rsidRPr="001E7A16">
              <w:rPr>
                <w:sz w:val="22"/>
                <w:szCs w:val="22"/>
              </w:rPr>
              <w:br/>
            </w:r>
            <w:bookmarkStart w:id="3" w:name="piel3"/>
            <w:bookmarkEnd w:id="3"/>
            <w:r w:rsidRPr="001E7A16">
              <w:rPr>
                <w:sz w:val="22"/>
                <w:szCs w:val="22"/>
              </w:rPr>
              <w:t>3.pielikums</w:t>
            </w:r>
          </w:p>
          <w:p w:rsidR="000E6F78" w:rsidRPr="001E7A16" w:rsidRDefault="000E6F78" w:rsidP="000A347E">
            <w:pPr>
              <w:jc w:val="center"/>
              <w:rPr>
                <w:b/>
                <w:bCs/>
                <w:sz w:val="22"/>
                <w:szCs w:val="22"/>
              </w:rPr>
            </w:pPr>
            <w:bookmarkStart w:id="4" w:name="485064"/>
            <w:bookmarkEnd w:id="4"/>
            <w:r w:rsidRPr="001E7A16">
              <w:rPr>
                <w:b/>
                <w:bCs/>
                <w:sz w:val="22"/>
                <w:szCs w:val="22"/>
              </w:rPr>
              <w:t>Mēnešalgu grupas un to maksimālās mēnešalgas</w:t>
            </w:r>
          </w:p>
          <w:p w:rsidR="000E6F78" w:rsidRPr="001E7A16" w:rsidRDefault="000E6F78" w:rsidP="000E6F78">
            <w:pPr>
              <w:pStyle w:val="labojumupamats1"/>
              <w:spacing w:before="0" w:line="240" w:lineRule="auto"/>
              <w:ind w:firstLine="0"/>
              <w:rPr>
                <w:color w:val="auto"/>
                <w:sz w:val="22"/>
                <w:szCs w:val="22"/>
              </w:rPr>
            </w:pPr>
          </w:p>
          <w:tbl>
            <w:tblPr>
              <w:tblW w:w="43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20"/>
              <w:gridCol w:w="1871"/>
            </w:tblGrid>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center"/>
                  <w:hideMark/>
                </w:tcPr>
                <w:p w:rsidR="000E6F78" w:rsidRPr="001E7A16" w:rsidRDefault="000E6F78" w:rsidP="000E6F78">
                  <w:pPr>
                    <w:rPr>
                      <w:b/>
                      <w:bCs/>
                      <w:sz w:val="22"/>
                      <w:szCs w:val="22"/>
                    </w:rPr>
                  </w:pPr>
                  <w:r w:rsidRPr="001E7A16">
                    <w:rPr>
                      <w:b/>
                      <w:bCs/>
                      <w:sz w:val="22"/>
                      <w:szCs w:val="22"/>
                    </w:rPr>
                    <w:t>Mēnešalgu grupa</w:t>
                  </w:r>
                </w:p>
              </w:tc>
              <w:tc>
                <w:tcPr>
                  <w:tcW w:w="3158" w:type="pct"/>
                  <w:tcBorders>
                    <w:top w:val="outset" w:sz="6" w:space="0" w:color="auto"/>
                    <w:left w:val="outset" w:sz="6" w:space="0" w:color="auto"/>
                    <w:bottom w:val="outset" w:sz="6" w:space="0" w:color="auto"/>
                    <w:right w:val="outset" w:sz="6" w:space="0" w:color="auto"/>
                  </w:tcBorders>
                  <w:vAlign w:val="center"/>
                  <w:hideMark/>
                </w:tcPr>
                <w:p w:rsidR="000E6F78" w:rsidRPr="001E7A16" w:rsidRDefault="000E6F78" w:rsidP="000E6F78">
                  <w:pPr>
                    <w:rPr>
                      <w:b/>
                      <w:bCs/>
                      <w:sz w:val="22"/>
                      <w:szCs w:val="22"/>
                    </w:rPr>
                  </w:pPr>
                  <w:r w:rsidRPr="001E7A16">
                    <w:rPr>
                      <w:b/>
                      <w:bCs/>
                      <w:sz w:val="22"/>
                      <w:szCs w:val="22"/>
                    </w:rPr>
                    <w:t>Mēnešalgas maksimālais apmērs (</w:t>
                  </w:r>
                  <w:r w:rsidRPr="001E7A16">
                    <w:rPr>
                      <w:b/>
                      <w:bCs/>
                      <w:i/>
                      <w:iCs/>
                      <w:sz w:val="22"/>
                      <w:szCs w:val="22"/>
                    </w:rPr>
                    <w:t>euro</w:t>
                  </w:r>
                  <w:r w:rsidRPr="001E7A16">
                    <w:rPr>
                      <w:b/>
                      <w:bCs/>
                      <w:sz w:val="22"/>
                      <w:szCs w:val="22"/>
                    </w:rPr>
                    <w:t>)</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16</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2441</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15</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2353</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14</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2264</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13</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1917</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12</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1647</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11</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1382</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10</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1174</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9</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994</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8</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874</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7</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788</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6</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700</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5</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620</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4</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548</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3</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481</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2</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E6F78">
                  <w:pPr>
                    <w:rPr>
                      <w:sz w:val="22"/>
                      <w:szCs w:val="22"/>
                    </w:rPr>
                  </w:pPr>
                  <w:r w:rsidRPr="001E7A16">
                    <w:rPr>
                      <w:sz w:val="22"/>
                      <w:szCs w:val="22"/>
                    </w:rPr>
                    <w:t>ne vairāk par 420</w:t>
                  </w:r>
                </w:p>
              </w:tc>
            </w:tr>
            <w:tr w:rsidR="001E7A16" w:rsidRPr="001E7A16" w:rsidTr="000A347E">
              <w:trPr>
                <w:tblCellSpacing w:w="15" w:type="dxa"/>
              </w:trPr>
              <w:tc>
                <w:tcPr>
                  <w:tcW w:w="1686"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A347E">
                  <w:pPr>
                    <w:rPr>
                      <w:sz w:val="22"/>
                      <w:szCs w:val="22"/>
                    </w:rPr>
                  </w:pPr>
                  <w:r w:rsidRPr="001E7A16">
                    <w:rPr>
                      <w:sz w:val="22"/>
                      <w:szCs w:val="22"/>
                    </w:rPr>
                    <w:t>1</w:t>
                  </w:r>
                </w:p>
              </w:tc>
              <w:tc>
                <w:tcPr>
                  <w:tcW w:w="3158" w:type="pct"/>
                  <w:tcBorders>
                    <w:top w:val="outset" w:sz="6" w:space="0" w:color="auto"/>
                    <w:left w:val="outset" w:sz="6" w:space="0" w:color="auto"/>
                    <w:bottom w:val="outset" w:sz="6" w:space="0" w:color="auto"/>
                    <w:right w:val="outset" w:sz="6" w:space="0" w:color="auto"/>
                  </w:tcBorders>
                  <w:vAlign w:val="bottom"/>
                  <w:hideMark/>
                </w:tcPr>
                <w:p w:rsidR="000E6F78" w:rsidRPr="001E7A16" w:rsidRDefault="000E6F78" w:rsidP="000A347E">
                  <w:pPr>
                    <w:rPr>
                      <w:sz w:val="22"/>
                      <w:szCs w:val="22"/>
                    </w:rPr>
                  </w:pPr>
                  <w:r w:rsidRPr="001E7A16">
                    <w:rPr>
                      <w:sz w:val="22"/>
                      <w:szCs w:val="22"/>
                    </w:rPr>
                    <w:t>ne vairāk par 363</w:t>
                  </w:r>
                </w:p>
              </w:tc>
            </w:tr>
          </w:tbl>
          <w:p w:rsidR="00057C22" w:rsidRPr="001E7A16" w:rsidRDefault="00057C22" w:rsidP="00841A9B">
            <w:pPr>
              <w:ind w:firstLine="567"/>
              <w:jc w:val="both"/>
              <w:rPr>
                <w:sz w:val="22"/>
                <w:szCs w:val="22"/>
                <w:lang w:val="fr-FR"/>
              </w:rPr>
            </w:pPr>
          </w:p>
        </w:tc>
        <w:tc>
          <w:tcPr>
            <w:tcW w:w="3600" w:type="dxa"/>
          </w:tcPr>
          <w:p w:rsidR="00057C22" w:rsidRPr="001E7A16" w:rsidRDefault="00057C22" w:rsidP="00057C22">
            <w:pPr>
              <w:ind w:firstLine="567"/>
              <w:jc w:val="both"/>
              <w:rPr>
                <w:sz w:val="22"/>
                <w:szCs w:val="22"/>
                <w:lang w:val="lv-LV" w:eastAsia="lv-LV"/>
              </w:rPr>
            </w:pPr>
            <w:r w:rsidRPr="001E7A16">
              <w:rPr>
                <w:sz w:val="22"/>
                <w:szCs w:val="22"/>
                <w:lang w:val="lv-LV" w:eastAsia="lv-LV"/>
              </w:rPr>
              <w:t>5. Izteikt 3. pielikumu šādā redakcijā:</w:t>
            </w:r>
          </w:p>
          <w:p w:rsidR="00057C22" w:rsidRPr="001E7A16" w:rsidRDefault="00057C22" w:rsidP="00057C22">
            <w:pPr>
              <w:jc w:val="right"/>
              <w:rPr>
                <w:rFonts w:eastAsia="Calibri"/>
                <w:sz w:val="22"/>
                <w:szCs w:val="22"/>
                <w:lang w:val="lv-LV"/>
              </w:rPr>
            </w:pPr>
            <w:r w:rsidRPr="001E7A16">
              <w:rPr>
                <w:sz w:val="22"/>
                <w:szCs w:val="22"/>
                <w:lang w:val="lv-LV" w:eastAsia="lv-LV"/>
              </w:rPr>
              <w:t xml:space="preserve">"Valsts un </w:t>
            </w:r>
            <w:r w:rsidRPr="001E7A16">
              <w:rPr>
                <w:rFonts w:eastAsia="Calibri"/>
                <w:sz w:val="22"/>
                <w:szCs w:val="22"/>
                <w:lang w:val="lv-LV"/>
              </w:rPr>
              <w:t xml:space="preserve">pašvaldību institūciju </w:t>
            </w:r>
          </w:p>
          <w:p w:rsidR="00057C22" w:rsidRPr="001E7A16" w:rsidRDefault="00057C22" w:rsidP="00057C22">
            <w:pPr>
              <w:jc w:val="right"/>
              <w:rPr>
                <w:rFonts w:eastAsia="Calibri"/>
                <w:sz w:val="22"/>
                <w:szCs w:val="22"/>
                <w:lang w:val="lv-LV"/>
              </w:rPr>
            </w:pPr>
            <w:r w:rsidRPr="001E7A16">
              <w:rPr>
                <w:rFonts w:eastAsia="Calibri"/>
                <w:sz w:val="22"/>
                <w:szCs w:val="22"/>
                <w:lang w:val="lv-LV"/>
              </w:rPr>
              <w:t>amatpersonu un darbinieku atlīdzības</w:t>
            </w:r>
          </w:p>
          <w:p w:rsidR="00057C22" w:rsidRPr="001E7A16" w:rsidRDefault="00057C22" w:rsidP="00057C22">
            <w:pPr>
              <w:jc w:val="right"/>
              <w:rPr>
                <w:rFonts w:eastAsia="Calibri"/>
                <w:sz w:val="22"/>
                <w:szCs w:val="22"/>
                <w:lang w:val="lv-LV"/>
              </w:rPr>
            </w:pPr>
            <w:r w:rsidRPr="001E7A16">
              <w:rPr>
                <w:rFonts w:eastAsia="Calibri"/>
                <w:sz w:val="22"/>
                <w:szCs w:val="22"/>
                <w:lang w:val="lv-LV"/>
              </w:rPr>
              <w:t>likuma 3. pielikums</w:t>
            </w:r>
          </w:p>
          <w:p w:rsidR="00057C22" w:rsidRPr="001E7A16" w:rsidRDefault="00057C22" w:rsidP="00057C22">
            <w:pPr>
              <w:jc w:val="center"/>
              <w:rPr>
                <w:b/>
                <w:sz w:val="22"/>
                <w:szCs w:val="22"/>
                <w:lang w:val="lv-LV" w:eastAsia="lv-LV"/>
              </w:rPr>
            </w:pPr>
            <w:r w:rsidRPr="001E7A16">
              <w:rPr>
                <w:b/>
                <w:sz w:val="22"/>
                <w:szCs w:val="22"/>
                <w:lang w:val="lv-LV" w:eastAsia="lv-LV"/>
              </w:rPr>
              <w:br w:type="page"/>
              <w:t>Mēnešalgu grupas un to maksimālās mēnešalgas</w:t>
            </w:r>
          </w:p>
          <w:p w:rsidR="00057C22" w:rsidRPr="001E7A16" w:rsidRDefault="00057C22" w:rsidP="00057C22">
            <w:pPr>
              <w:jc w:val="both"/>
              <w:rPr>
                <w:b/>
                <w:sz w:val="22"/>
                <w:szCs w:val="22"/>
                <w:lang w:val="lv-LV" w:eastAsia="lv-LV"/>
              </w:rPr>
            </w:pPr>
          </w:p>
          <w:tbl>
            <w:tblPr>
              <w:tblW w:w="4435"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3"/>
              <w:gridCol w:w="889"/>
              <w:gridCol w:w="1755"/>
            </w:tblGrid>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Nr. </w:t>
                  </w:r>
                  <w:r w:rsidRPr="001E7A16">
                    <w:rPr>
                      <w:sz w:val="22"/>
                      <w:szCs w:val="22"/>
                      <w:lang w:val="lv-LV" w:eastAsia="lv-LV"/>
                    </w:rPr>
                    <w:br/>
                    <w:t>p. k.</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Mēnešalgu grupa</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Mēnešalgas maksimālais apmērs (</w:t>
                  </w:r>
                  <w:r w:rsidRPr="001E7A16">
                    <w:rPr>
                      <w:i/>
                      <w:sz w:val="22"/>
                      <w:szCs w:val="22"/>
                      <w:lang w:val="lv-LV" w:eastAsia="lv-LV"/>
                    </w:rPr>
                    <w:t>euro</w:t>
                  </w:r>
                  <w:r w:rsidRPr="001E7A16">
                    <w:rPr>
                      <w:sz w:val="22"/>
                      <w:szCs w:val="22"/>
                      <w:lang w:val="lv-LV" w:eastAsia="lv-LV"/>
                    </w:rPr>
                    <w:t>)</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16</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ne vairāk kā 2441</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2.</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15</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ne vairāk kā 2353</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3.</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14</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ne vairāk kā 2264</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4.</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13</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1917</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5.</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12</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1647</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6.</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11</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1382</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7.</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10</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1174</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8.</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9</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994</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9.</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8</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874</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10.</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7</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788</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11.</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6</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700</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12.</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5</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620</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13.</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4</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558</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14.</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3</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501</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15.</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2</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450</w:t>
                  </w:r>
                </w:p>
              </w:tc>
            </w:tr>
            <w:tr w:rsidR="001E7A16" w:rsidRPr="001E7A16" w:rsidTr="00057C22">
              <w:trPr>
                <w:jc w:val="center"/>
              </w:trPr>
              <w:tc>
                <w:tcPr>
                  <w:tcW w:w="575" w:type="pct"/>
                  <w:tcBorders>
                    <w:top w:val="outset" w:sz="6" w:space="0" w:color="auto"/>
                    <w:left w:val="outset" w:sz="6" w:space="0" w:color="auto"/>
                    <w:bottom w:val="outset" w:sz="6" w:space="0" w:color="auto"/>
                    <w:right w:val="outset" w:sz="6" w:space="0" w:color="auto"/>
                  </w:tcBorders>
                  <w:hideMark/>
                </w:tcPr>
                <w:p w:rsidR="00057C22" w:rsidRPr="001E7A16" w:rsidRDefault="00057C22" w:rsidP="00057C22">
                  <w:pPr>
                    <w:jc w:val="both"/>
                    <w:rPr>
                      <w:sz w:val="22"/>
                      <w:szCs w:val="22"/>
                      <w:lang w:val="lv-LV" w:eastAsia="lv-LV"/>
                    </w:rPr>
                  </w:pPr>
                  <w:r w:rsidRPr="001E7A16">
                    <w:rPr>
                      <w:sz w:val="22"/>
                      <w:szCs w:val="22"/>
                      <w:lang w:val="lv-LV" w:eastAsia="lv-LV"/>
                    </w:rPr>
                    <w:t>16.</w:t>
                  </w:r>
                </w:p>
              </w:tc>
              <w:tc>
                <w:tcPr>
                  <w:tcW w:w="1488"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1</w:t>
                  </w:r>
                </w:p>
              </w:tc>
              <w:tc>
                <w:tcPr>
                  <w:tcW w:w="2937" w:type="pct"/>
                  <w:tcBorders>
                    <w:top w:val="outset" w:sz="6" w:space="0" w:color="auto"/>
                    <w:left w:val="outset" w:sz="6" w:space="0" w:color="auto"/>
                    <w:bottom w:val="outset" w:sz="6" w:space="0" w:color="auto"/>
                    <w:right w:val="outset" w:sz="6" w:space="0" w:color="auto"/>
                  </w:tcBorders>
                  <w:vAlign w:val="center"/>
                  <w:hideMark/>
                </w:tcPr>
                <w:p w:rsidR="00057C22" w:rsidRPr="001E7A16" w:rsidRDefault="00057C22" w:rsidP="00057C22">
                  <w:pPr>
                    <w:jc w:val="both"/>
                    <w:rPr>
                      <w:sz w:val="22"/>
                      <w:szCs w:val="22"/>
                      <w:lang w:val="lv-LV" w:eastAsia="lv-LV"/>
                    </w:rPr>
                  </w:pPr>
                  <w:r w:rsidRPr="001E7A16">
                    <w:rPr>
                      <w:sz w:val="22"/>
                      <w:szCs w:val="22"/>
                      <w:lang w:val="lv-LV" w:eastAsia="lv-LV"/>
                    </w:rPr>
                    <w:t xml:space="preserve">ne vairāk kā </w:t>
                  </w:r>
                  <w:r w:rsidRPr="001E7A16">
                    <w:rPr>
                      <w:sz w:val="22"/>
                      <w:szCs w:val="22"/>
                      <w:lang w:val="en-AU" w:eastAsia="lv-LV"/>
                    </w:rPr>
                    <w:t>403</w:t>
                  </w:r>
                  <w:r w:rsidRPr="001E7A16">
                    <w:rPr>
                      <w:sz w:val="22"/>
                      <w:szCs w:val="22"/>
                      <w:lang w:val="lv-LV" w:eastAsia="lv-LV"/>
                    </w:rPr>
                    <w:t>"</w:t>
                  </w:r>
                </w:p>
              </w:tc>
            </w:tr>
          </w:tbl>
          <w:p w:rsidR="00057C22" w:rsidRPr="001E7A16" w:rsidRDefault="00057C22" w:rsidP="00057C22">
            <w:pPr>
              <w:pStyle w:val="naisf"/>
              <w:spacing w:before="0" w:beforeAutospacing="0" w:after="0" w:afterAutospacing="0"/>
              <w:ind w:firstLine="567"/>
              <w:jc w:val="both"/>
              <w:rPr>
                <w:sz w:val="22"/>
                <w:szCs w:val="22"/>
              </w:rPr>
            </w:pPr>
          </w:p>
        </w:tc>
        <w:tc>
          <w:tcPr>
            <w:tcW w:w="556" w:type="dxa"/>
          </w:tcPr>
          <w:p w:rsidR="00057C22" w:rsidRPr="001E7A16" w:rsidRDefault="00057C22" w:rsidP="00841A9B">
            <w:pPr>
              <w:jc w:val="center"/>
              <w:rPr>
                <w:b/>
                <w:sz w:val="22"/>
                <w:szCs w:val="22"/>
                <w:lang w:val="lv-LV"/>
              </w:rPr>
            </w:pPr>
          </w:p>
        </w:tc>
        <w:tc>
          <w:tcPr>
            <w:tcW w:w="4048" w:type="dxa"/>
          </w:tcPr>
          <w:p w:rsidR="00057C22" w:rsidRPr="001E7A16" w:rsidRDefault="00057C22" w:rsidP="00841A9B">
            <w:pPr>
              <w:tabs>
                <w:tab w:val="left" w:pos="2816"/>
              </w:tabs>
              <w:ind w:firstLine="567"/>
              <w:jc w:val="both"/>
              <w:rPr>
                <w:b/>
                <w:sz w:val="22"/>
                <w:szCs w:val="22"/>
                <w:u w:val="single"/>
                <w:lang w:val="lv-LV"/>
              </w:rPr>
            </w:pPr>
          </w:p>
        </w:tc>
        <w:tc>
          <w:tcPr>
            <w:tcW w:w="1418" w:type="dxa"/>
          </w:tcPr>
          <w:p w:rsidR="00057C22" w:rsidRPr="001E7A16" w:rsidRDefault="00057C22" w:rsidP="00841A9B">
            <w:pPr>
              <w:ind w:firstLine="567"/>
              <w:jc w:val="both"/>
              <w:rPr>
                <w:sz w:val="22"/>
                <w:szCs w:val="22"/>
                <w:lang w:val="lv-LV"/>
              </w:rPr>
            </w:pPr>
          </w:p>
        </w:tc>
        <w:tc>
          <w:tcPr>
            <w:tcW w:w="1418" w:type="dxa"/>
          </w:tcPr>
          <w:p w:rsidR="00057C22" w:rsidRPr="001E7A16" w:rsidRDefault="00057C22" w:rsidP="00841A9B">
            <w:pPr>
              <w:ind w:firstLine="567"/>
              <w:jc w:val="both"/>
              <w:rPr>
                <w:sz w:val="22"/>
                <w:szCs w:val="22"/>
                <w:lang w:val="lv-LV"/>
              </w:rPr>
            </w:pPr>
          </w:p>
        </w:tc>
      </w:tr>
      <w:tr w:rsidR="001E7A16" w:rsidRPr="002A221F" w:rsidTr="00841A9B">
        <w:tc>
          <w:tcPr>
            <w:tcW w:w="3528" w:type="dxa"/>
          </w:tcPr>
          <w:p w:rsidR="00057C22" w:rsidRPr="001E7A16" w:rsidRDefault="00057C22" w:rsidP="00841A9B">
            <w:pPr>
              <w:ind w:firstLine="567"/>
              <w:jc w:val="both"/>
              <w:rPr>
                <w:sz w:val="22"/>
                <w:szCs w:val="22"/>
                <w:lang w:val="fr-FR"/>
              </w:rPr>
            </w:pPr>
          </w:p>
        </w:tc>
        <w:tc>
          <w:tcPr>
            <w:tcW w:w="3600" w:type="dxa"/>
          </w:tcPr>
          <w:p w:rsidR="00057C22" w:rsidRPr="001E7A16" w:rsidRDefault="00057C22" w:rsidP="00057C22">
            <w:pPr>
              <w:pStyle w:val="naisf"/>
              <w:spacing w:before="0" w:beforeAutospacing="0" w:after="0" w:afterAutospacing="0"/>
              <w:ind w:firstLine="567"/>
              <w:jc w:val="both"/>
              <w:rPr>
                <w:sz w:val="22"/>
                <w:szCs w:val="22"/>
              </w:rPr>
            </w:pPr>
            <w:r w:rsidRPr="001E7A16">
              <w:rPr>
                <w:sz w:val="22"/>
                <w:szCs w:val="22"/>
              </w:rPr>
              <w:t>Likums stājas spēkā 2015. gada 1. janvārī.</w:t>
            </w:r>
          </w:p>
        </w:tc>
        <w:tc>
          <w:tcPr>
            <w:tcW w:w="556" w:type="dxa"/>
          </w:tcPr>
          <w:p w:rsidR="00057C22" w:rsidRPr="001E7A16" w:rsidRDefault="00057C22" w:rsidP="00841A9B">
            <w:pPr>
              <w:jc w:val="center"/>
              <w:rPr>
                <w:b/>
                <w:sz w:val="22"/>
                <w:szCs w:val="22"/>
                <w:lang w:val="lv-LV"/>
              </w:rPr>
            </w:pPr>
          </w:p>
        </w:tc>
        <w:tc>
          <w:tcPr>
            <w:tcW w:w="4048" w:type="dxa"/>
          </w:tcPr>
          <w:p w:rsidR="00057C22" w:rsidRPr="001E7A16" w:rsidRDefault="00057C22" w:rsidP="00841A9B">
            <w:pPr>
              <w:tabs>
                <w:tab w:val="left" w:pos="2816"/>
              </w:tabs>
              <w:ind w:firstLine="567"/>
              <w:jc w:val="both"/>
              <w:rPr>
                <w:b/>
                <w:sz w:val="22"/>
                <w:szCs w:val="22"/>
                <w:u w:val="single"/>
                <w:lang w:val="lv-LV"/>
              </w:rPr>
            </w:pPr>
          </w:p>
        </w:tc>
        <w:tc>
          <w:tcPr>
            <w:tcW w:w="1418" w:type="dxa"/>
          </w:tcPr>
          <w:p w:rsidR="00057C22" w:rsidRPr="001E7A16" w:rsidRDefault="00057C22" w:rsidP="00841A9B">
            <w:pPr>
              <w:ind w:firstLine="567"/>
              <w:jc w:val="both"/>
              <w:rPr>
                <w:sz w:val="22"/>
                <w:szCs w:val="22"/>
                <w:lang w:val="lv-LV"/>
              </w:rPr>
            </w:pPr>
          </w:p>
        </w:tc>
        <w:tc>
          <w:tcPr>
            <w:tcW w:w="1418" w:type="dxa"/>
          </w:tcPr>
          <w:p w:rsidR="00057C22" w:rsidRPr="001E7A16" w:rsidRDefault="00057C22" w:rsidP="00841A9B">
            <w:pPr>
              <w:ind w:firstLine="567"/>
              <w:jc w:val="both"/>
              <w:rPr>
                <w:sz w:val="22"/>
                <w:szCs w:val="22"/>
                <w:lang w:val="lv-LV"/>
              </w:rPr>
            </w:pPr>
          </w:p>
        </w:tc>
      </w:tr>
    </w:tbl>
    <w:p w:rsidR="00E83B98" w:rsidRPr="001E7A16" w:rsidRDefault="00E83B98" w:rsidP="00E83B98">
      <w:pPr>
        <w:rPr>
          <w:lang w:val="lv-LV"/>
        </w:rPr>
      </w:pPr>
      <w:bookmarkStart w:id="5" w:name="6156"/>
      <w:bookmarkEnd w:id="5"/>
    </w:p>
    <w:p w:rsidR="00AD5442" w:rsidRPr="001E7A16" w:rsidRDefault="00AD5442">
      <w:pPr>
        <w:rPr>
          <w:lang w:val="lv-LV"/>
        </w:rPr>
      </w:pPr>
    </w:p>
    <w:sectPr w:rsidR="00AD5442" w:rsidRPr="001E7A16" w:rsidSect="00DE7779">
      <w:footerReference w:type="even" r:id="rId10"/>
      <w:footerReference w:type="default" r:id="rId11"/>
      <w:footerReference w:type="first" r:id="rId12"/>
      <w:pgSz w:w="15840" w:h="12240" w:orient="landscape"/>
      <w:pgMar w:top="1134" w:right="851" w:bottom="1276"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38" w:rsidRDefault="00311C38">
      <w:r>
        <w:separator/>
      </w:r>
    </w:p>
  </w:endnote>
  <w:endnote w:type="continuationSeparator" w:id="0">
    <w:p w:rsidR="00311C38" w:rsidRDefault="00311C38">
      <w:r>
        <w:continuationSeparator/>
      </w:r>
    </w:p>
  </w:endnote>
  <w:endnote w:id="1">
    <w:p w:rsidR="00950875" w:rsidRPr="00086932" w:rsidRDefault="00950875" w:rsidP="00950875">
      <w:pPr>
        <w:ind w:firstLine="720"/>
        <w:jc w:val="both"/>
        <w:rPr>
          <w:sz w:val="20"/>
          <w:szCs w:val="20"/>
        </w:rPr>
      </w:pPr>
      <w:r>
        <w:rPr>
          <w:rStyle w:val="EndnoteReference"/>
        </w:rPr>
        <w:endnoteRef/>
      </w:r>
      <w:r>
        <w:t xml:space="preserve"> </w:t>
      </w:r>
      <w:r w:rsidRPr="00086932">
        <w:rPr>
          <w:sz w:val="20"/>
          <w:szCs w:val="20"/>
        </w:rPr>
        <w:t xml:space="preserve">Iesniegtos priekšlikumus pamatoju ar šādiem apsvērumiem. </w:t>
      </w:r>
      <w:r w:rsidRPr="00086932">
        <w:rPr>
          <w:b/>
          <w:sz w:val="20"/>
          <w:szCs w:val="20"/>
        </w:rPr>
        <w:t>Saskaņā ar likumu „Par sabiedrisko pakalpojumu regulatoriem”</w:t>
      </w:r>
      <w:r w:rsidRPr="00086932">
        <w:rPr>
          <w:sz w:val="20"/>
          <w:szCs w:val="20"/>
        </w:rPr>
        <w:t xml:space="preserve"> valsts ir izveidojusi regulēšanas iestādi (turpmāk – Regulators), kas izpildot likumā noteiktās funkcijas, nosaka regulējamo sabiedrisko pakalpojumu tarifus, savas kompetences ietvaros patstāvīgi pieņem lēmumus un izdod administratīvos aktus, kas ir saistoši konkrētiem sabiedrisko pakalpojumu sniedzējiem un lietotājiem, kā arī  pilda citas funkcijas, kas noteiktas regulējamo nozaru speciālajos likumos.</w:t>
      </w:r>
    </w:p>
    <w:p w:rsidR="00950875" w:rsidRPr="00086932" w:rsidRDefault="00950875" w:rsidP="00950875">
      <w:pPr>
        <w:ind w:firstLine="720"/>
        <w:jc w:val="both"/>
        <w:rPr>
          <w:sz w:val="20"/>
          <w:szCs w:val="20"/>
        </w:rPr>
      </w:pPr>
      <w:r w:rsidRPr="00086932">
        <w:rPr>
          <w:rFonts w:eastAsia="Calibri"/>
          <w:sz w:val="20"/>
          <w:szCs w:val="20"/>
        </w:rPr>
        <w:t xml:space="preserve">Likums „Par sabiedrisko pakalpojumu regulatoriem” nodrošina </w:t>
      </w:r>
      <w:r w:rsidRPr="00086932">
        <w:rPr>
          <w:sz w:val="20"/>
          <w:szCs w:val="20"/>
        </w:rPr>
        <w:t>Regulatora finansiālo (budžeta) autonomiju un patstāvību sava likumā apstiprinātā budžeta izpildē, paredzot, ka Regulatora darbību finansē no ieņēmumiem, kas gūti, iekasējot valsts nodevu par sabiedrisko pakalpojumu regulēšanu, ko maksā regulējamo nozaru sabiedrisko pakalpojumu sniedzēji un iemaksātā valsts nodeva par sabiedrisko pakalpojumu regulēšanu regulējamās nozarēs izmantojama vienīgi Regulatora darbības nodrošināšanai, tajā pat laikā Valsts un pašvaldību institūciju amatpersonu un darbinieku atlīdzības likums nosaka ierobežojumus Regulatora amatpersonu (darbinieku) mēnešalgas apmērām, piesaistot to nevis regulējamas nozarēs nodarbināto mēneša vidējai darba samaksai, bet visā valstī strādājošo mēneša vidējās darba samaksas apmēram.</w:t>
      </w:r>
    </w:p>
    <w:p w:rsidR="00950875" w:rsidRPr="00086932" w:rsidRDefault="00950875" w:rsidP="00950875">
      <w:pPr>
        <w:ind w:firstLine="720"/>
        <w:jc w:val="both"/>
        <w:rPr>
          <w:sz w:val="20"/>
          <w:szCs w:val="20"/>
        </w:rPr>
      </w:pPr>
      <w:r w:rsidRPr="00086932">
        <w:rPr>
          <w:sz w:val="20"/>
          <w:szCs w:val="20"/>
        </w:rPr>
        <w:t>Eiropas Parlamenta un Padomes Direktīvā 2009/72/EK par kopīgiem noteikumiem attiecībā uz elektroenerģijas iekšējo tirgu, ar ko atceļ Direktīvu 2003/54/EK (turpmāk - Direktīva 2009/72/EK) un -</w:t>
      </w:r>
      <w:r w:rsidRPr="00086932">
        <w:rPr>
          <w:sz w:val="20"/>
          <w:szCs w:val="20"/>
        </w:rPr>
        <w:tab/>
        <w:t xml:space="preserve">Eiropas Parlamenta un Padomes Direktīva 2009/73/EK par kopīgiem noteikumiem attiecībā uz dabasgāzes iekšējo tirgu un par Direktīvas 2003/55/EK atcelšanu (turpmāk - Direktīva 2009/73/EK) ir ietverts regulējums, kas nosaka paaugstinātas prasības dalībvalstīm nodrošināt minētājās direktīvās ietvertos principus attiecībā uz Regulatora finansiālo (budžeta) autonomiju, Regulatora patstāvību un neatkarību budžeta resursus izmantošanā un kvalificēta personāla piesaistīšanā. </w:t>
      </w:r>
    </w:p>
    <w:p w:rsidR="00950875" w:rsidRPr="00086932" w:rsidRDefault="00950875" w:rsidP="00950875">
      <w:pPr>
        <w:ind w:firstLine="720"/>
        <w:jc w:val="both"/>
        <w:rPr>
          <w:rFonts w:eastAsia="Calibri"/>
          <w:sz w:val="20"/>
          <w:szCs w:val="20"/>
        </w:rPr>
      </w:pPr>
      <w:r w:rsidRPr="00086932">
        <w:rPr>
          <w:rFonts w:eastAsia="Calibri"/>
          <w:sz w:val="20"/>
          <w:szCs w:val="20"/>
        </w:rPr>
        <w:t>Eiropas Parlamenta un Padomes 2009.gada 25.novembra Direktīvu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nosaka prasību dalībvalstīm nodrošināt Regulatoram pienācīgus finanšu resursus un cilvēkresursus tām uzticēto uzdevumu izpildei.</w:t>
      </w:r>
    </w:p>
    <w:p w:rsidR="00950875" w:rsidRPr="00086932" w:rsidRDefault="00950875" w:rsidP="00950875">
      <w:pPr>
        <w:ind w:firstLine="720"/>
        <w:jc w:val="both"/>
        <w:rPr>
          <w:sz w:val="20"/>
          <w:szCs w:val="20"/>
        </w:rPr>
      </w:pPr>
      <w:r w:rsidRPr="00086932">
        <w:rPr>
          <w:sz w:val="20"/>
          <w:szCs w:val="20"/>
        </w:rPr>
        <w:t>Lai varētu kvalitatīvi veikt ES tiesību aktos, likumā „Par sabiedrisko pakalpojumu regulatoriem”  un citos regulējamo nozaru tiesību aktos noteiktās funkcijas, kā arī ņemot vērā sabiedrisko pakalpojumu regulēšanas sarežģītību un nozīmīgo ietekmi uz tautsaimniecību, Regulatoram tiesību aktos noteikto funkciju izpildei ir jāpiesaista atbilstošs kvalificēts personāls ar pieredzi attiecīgajās jomās.</w:t>
      </w:r>
    </w:p>
    <w:p w:rsidR="00950875" w:rsidRPr="00086932" w:rsidRDefault="00950875" w:rsidP="00950875">
      <w:pPr>
        <w:ind w:firstLine="720"/>
        <w:jc w:val="both"/>
        <w:rPr>
          <w:sz w:val="20"/>
          <w:szCs w:val="20"/>
        </w:rPr>
      </w:pPr>
      <w:r w:rsidRPr="00086932">
        <w:rPr>
          <w:sz w:val="20"/>
          <w:szCs w:val="20"/>
        </w:rPr>
        <w:t xml:space="preserve">Kvalificēta personāla piesaiste ir būtisks priekšnosacījums tiesību aktos Regulatoram noteikto funkciju kvalitatīvai izpildei. Saglabājot Valsts un pašvaldību institūciju amatpersonu un darbinieku atlīdzības likumā noteikto Regulatora amatpersonu (darbinieku) mēnešalgas piesaisti Centrālās statistikas pārvaldes oficiālajā statistikas paziņojumā publicētajam valstī strādājošo aizpagājušā gada mēneša vidējās darba samaksas apmēram, neņemot vērā mēnešalgas apmēru regulējamās nozarēs,  Regulatora līdzšinējā kadru mainības tendence (t.i. 2009.gada darba tiesiskās attiecības ar regulatoru pēc darbinieka uzteikuma pārtrauca 4  darbinieki, 2010.gadā – 6 darbinieki, bet 2011.gadā – 17 darbinieki, 2012.gadā– 7 darbinieki, 2013.gadā– 11 darbinieki) rada bažas par Regulatora iespējām esošās atalgojuma sistēmas ietvaros piesaistīt un noturēt kvalificētu personālu. </w:t>
      </w:r>
    </w:p>
    <w:p w:rsidR="00950875" w:rsidRPr="00086932" w:rsidRDefault="00950875" w:rsidP="00950875">
      <w:pPr>
        <w:ind w:firstLine="720"/>
        <w:jc w:val="both"/>
        <w:rPr>
          <w:rFonts w:eastAsia="Calibri"/>
          <w:sz w:val="20"/>
          <w:szCs w:val="20"/>
        </w:rPr>
      </w:pPr>
      <w:r w:rsidRPr="00086932">
        <w:rPr>
          <w:rFonts w:eastAsia="Calibri"/>
          <w:sz w:val="20"/>
          <w:szCs w:val="20"/>
        </w:rPr>
        <w:t>SIA „Fontes Vadības konsultācijas” 2013.gada Latvijas Vispārējo atalgojuma pētījuma ietvaros</w:t>
      </w:r>
      <w:r w:rsidRPr="00086932">
        <w:rPr>
          <w:sz w:val="20"/>
          <w:szCs w:val="20"/>
        </w:rPr>
        <w:t xml:space="preserve"> pēc Regulatora pasūtījuma veiktais Regulatora amatu novērtējums apliecina, ka patreizējais  Regulatora mēnešalgas diapazons atbilstošas kvalifikācijas speciālistam ar atbilstošu pieredzi attiecīgajā nozarē atšķiras par 20-40% salīdzinājumā ar atbilstošas kvalifikācijas speciālista mēnešalgas diapazonu privātajā sektorā.</w:t>
      </w:r>
    </w:p>
    <w:p w:rsidR="00950875" w:rsidRPr="00086932" w:rsidRDefault="00950875" w:rsidP="00950875">
      <w:pPr>
        <w:ind w:firstLine="720"/>
        <w:jc w:val="both"/>
        <w:rPr>
          <w:sz w:val="20"/>
          <w:szCs w:val="20"/>
        </w:rPr>
      </w:pPr>
      <w:r w:rsidRPr="00086932">
        <w:rPr>
          <w:sz w:val="20"/>
          <w:szCs w:val="20"/>
        </w:rPr>
        <w:t xml:space="preserve">Regulatora amatpersonu (darbinieku) mēnešalgas maksimālo robežu piesaistot Centrālās statistikas pārvaldes oficiālajā statistikas paziņojumā publicētajiem datiem elektronisko sakaru un enerģētikas jomā (līdzīgi, ka Valsts un pašvaldību institūciju amatpersonu un darbinieku atlīdzības likums reglamentē Finanšu un kapitāla tirgus komisijas amatpersonu (darbinieku) atalgojuma piesaisti finanšu sektoram), būtiska nozīme ir arī piemērotajam koeficientam.  </w:t>
      </w:r>
    </w:p>
    <w:p w:rsidR="00950875" w:rsidRPr="00086932" w:rsidRDefault="00950875" w:rsidP="00950875">
      <w:pPr>
        <w:ind w:firstLine="720"/>
        <w:jc w:val="both"/>
        <w:rPr>
          <w:sz w:val="20"/>
          <w:szCs w:val="20"/>
        </w:rPr>
      </w:pPr>
      <w:r w:rsidRPr="00086932">
        <w:rPr>
          <w:sz w:val="20"/>
          <w:szCs w:val="20"/>
        </w:rPr>
        <w:t xml:space="preserve">Nosakot koeficienta apmēru ir jāņem vērā, ka Regulators regulējamās nozarēs veic lielāko valsts un privāto kapitālsabiedrību darbības regulēšanu, līdz ar to ir būtiski nodrošināt, ka Regulatora amatpersonu un darbinieku atalgojums būtu konkurētspējīgs ar atbilstošas kvalifikācijas darbinieku atalgojumu ne tikai valsts, bet arī privātajā sektorā, tādejādi mazinot kvalificēta Regulatora personāla pāreju uz regulējamiem komersantiem. </w:t>
      </w:r>
      <w:r w:rsidRPr="00086932">
        <w:rPr>
          <w:rFonts w:eastAsia="Calibri"/>
          <w:sz w:val="20"/>
          <w:szCs w:val="20"/>
        </w:rPr>
        <w:t>Ņemot vērā nepieciešamību piesaistīt atbilstīgus un pienācīgus cilvēkresursus, pieredzējušu speciālistu un vecāko ekspertu, kā arī attiecīgo struktūrvienību vadītāju atalgojumam jābūt salīdzināmam ar enerģētikas un elektronisko sakaru jomas komersantu piedāvāto atalgojumu.</w:t>
      </w:r>
    </w:p>
    <w:p w:rsidR="00950875" w:rsidRPr="00086932" w:rsidRDefault="00950875" w:rsidP="00950875">
      <w:pPr>
        <w:ind w:firstLine="720"/>
        <w:jc w:val="both"/>
        <w:rPr>
          <w:sz w:val="20"/>
          <w:szCs w:val="20"/>
        </w:rPr>
      </w:pPr>
      <w:r w:rsidRPr="00086932">
        <w:rPr>
          <w:sz w:val="20"/>
          <w:szCs w:val="20"/>
        </w:rPr>
        <w:t>Vienlaicīgi, nosakot Regulatora amatpersonu un darbinieku mēnešalgas maksimālo apmēru ir jāņem vērā Regulatora padomes locekļiem likumā „Par interešu konflikta novēršanu valsts amatpersonu darbībā” noteiktie komercdarbības  ierobežojumi, kas Regulatora padomes locekļiem 2 gadus pēc pilnvaru termiņa beigām liedz kļūt par dalībnieku, akcionāru, biedru vai ieņemt amatus tādā komercsabiedrībā, attiecībā uz kuru Regulatora padomes loceklis, pildot savus pienākumus, ir pieņēmis lēmumu, veicis uzraudzības, kontroles vai sodīšanas funkcijas. Ņemot vērā Regulatora padomes locekļa kvalifikāciju, nozares, kurās saskaņā ar likumu Regulatora padome pieņem lēmumus, un regulējamo uzņēmumu skaitu, kuri saskaņā ar normatīvajiem aktiem tiek regulēti, minētie ierobežojumi būtiski ietekmē padomes locekļa turpmāko karjeras attīstību.</w:t>
      </w:r>
    </w:p>
    <w:p w:rsidR="00950875" w:rsidRPr="00086932" w:rsidRDefault="00950875" w:rsidP="00950875">
      <w:pPr>
        <w:ind w:firstLine="720"/>
        <w:jc w:val="both"/>
        <w:rPr>
          <w:sz w:val="20"/>
          <w:szCs w:val="20"/>
        </w:rPr>
      </w:pPr>
      <w:r w:rsidRPr="00086932">
        <w:rPr>
          <w:sz w:val="20"/>
          <w:szCs w:val="20"/>
        </w:rPr>
        <w:t xml:space="preserve">Priekšlikumā ietvertie grozījumi Valsts un pašvaldību institūciju amatpersonu un darbinieku atlīdzības likumā (turpmāk – likumprojekts) paredz, ka Regulatora amatpersonu (darbinieku) mēnešalgu šīs institūcijas reglamentētajā kārtībā nosaka, ņemot vērā amata vērtību (atbildības līmeni un sarežģītību), konkrētās amatpersonas (darbinieka) individuālās kvalifikācijas un kompetenču novērtējumu, kā arī vidējo aritmētisko apmēru no Centrālās statistikas pārvaldes oficiālajā statistikas paziņojumā publicētā elektronisko sakaru un enerģētikas jomā strādājošo aizpagājušā gada mēneša vidējās darba samaksas apmēra, vienlaicīgi ņemot vērā valsts ekonomiskās attīstības ciklu un solidaritātes principu, t.i. atlīdzības maksimālos apmērus piesaistot ekonomiskās izaugsmes vai recesijas ciklam solidāri ar citām valsts institūcijām. </w:t>
      </w:r>
    </w:p>
    <w:p w:rsidR="00950875" w:rsidRPr="00086932" w:rsidRDefault="00950875" w:rsidP="00950875">
      <w:pPr>
        <w:ind w:firstLine="425"/>
        <w:jc w:val="both"/>
        <w:rPr>
          <w:sz w:val="20"/>
          <w:szCs w:val="20"/>
        </w:rPr>
      </w:pPr>
      <w:r w:rsidRPr="00086932">
        <w:rPr>
          <w:sz w:val="20"/>
          <w:szCs w:val="20"/>
        </w:rPr>
        <w:t>Likumprojektā paredzētā elektronisko sakaru un enerģētikas jomā strādājošo vidējo mēneša darba samaksa tiks iegūta no Centrālās statistikas pārvaldes publicētās informācijas saimniecisko darbību statistiskās klasifikācijas NACE 2.redakcijas divu zīmju līmenī.</w:t>
      </w:r>
    </w:p>
    <w:p w:rsidR="00950875" w:rsidRPr="00086932" w:rsidRDefault="00950875" w:rsidP="00950875">
      <w:pPr>
        <w:ind w:firstLine="720"/>
        <w:jc w:val="both"/>
        <w:rPr>
          <w:rFonts w:eastAsia="Calibri"/>
          <w:sz w:val="20"/>
          <w:szCs w:val="20"/>
        </w:rPr>
      </w:pPr>
      <w:r w:rsidRPr="00086932">
        <w:rPr>
          <w:sz w:val="20"/>
          <w:szCs w:val="20"/>
        </w:rPr>
        <w:t xml:space="preserve">Regulatora darbība tiek finansēta nevis no valsts budžeta dotācijām, bet gan no valsts nodevas, ko saskaņā ar likumu „Par sabiedrisko pakalpojumu regulatoriem” maksā visi regulējamo nozaru komersanti. Iemaksātā valsts nodeva par sabiedrisko pakalpojumu regulēšanu regulējamās nozarēs saskaņā ar likumu „Par sabiedrisko pakalpojumu regulatoriem” izmantojama vienīgi Regulatora darbības nodrošināšanai, līdz ar to </w:t>
      </w:r>
      <w:r w:rsidRPr="00086932">
        <w:rPr>
          <w:rFonts w:eastAsia="Calibri"/>
          <w:sz w:val="20"/>
          <w:szCs w:val="20"/>
        </w:rPr>
        <w:t>likumprojekta izpilde tiks nodrošināta Regulatora budžeta ietvaros, neradot fiskālu ietekmi uz valsts budžetu.</w:t>
      </w:r>
    </w:p>
    <w:p w:rsidR="00950875" w:rsidRPr="00086932" w:rsidRDefault="00950875" w:rsidP="00950875">
      <w:pPr>
        <w:pStyle w:val="EndnoteText"/>
      </w:pPr>
    </w:p>
  </w:endnote>
  <w:endnote w:id="2">
    <w:p w:rsidR="00086932" w:rsidRPr="009A5006" w:rsidRDefault="00086932" w:rsidP="00086932">
      <w:pPr>
        <w:ind w:firstLine="567"/>
        <w:jc w:val="both"/>
        <w:rPr>
          <w:sz w:val="20"/>
          <w:szCs w:val="20"/>
        </w:rPr>
      </w:pPr>
      <w:r>
        <w:rPr>
          <w:rStyle w:val="EndnoteReference"/>
        </w:rPr>
        <w:endnoteRef/>
      </w:r>
      <w:r>
        <w:t xml:space="preserve"> </w:t>
      </w:r>
      <w:r w:rsidRPr="00086932">
        <w:rPr>
          <w:b/>
          <w:sz w:val="20"/>
          <w:szCs w:val="20"/>
        </w:rPr>
        <w:t>Aizsardzības ministrija</w:t>
      </w:r>
      <w:r w:rsidRPr="009A5006">
        <w:rPr>
          <w:sz w:val="20"/>
          <w:szCs w:val="20"/>
        </w:rPr>
        <w:t xml:space="preserve"> ir sagatavojusi likumprojektu „Grozījums Valsts un pašvaldību institūciju amatpersonu un darbinieku atlīdzības likumā”, kas paredz, ka karavīriem, kuri ir absolvējuši virsnieku sagatavošanas militārās izglītības iestādi ārvalstīs, neiegūstot Latvijā atzītu augstāko izglītību, bet pēc pašu iniciatīvas ir uzsākuši studijas kādā no Latvijas civilajām augstākās izglītības iestādēm un 2014./2015.mācību gadā vēl mācās, mācību maksu no Aizsardzības ministrijai piešķirtajiem valsts budžeta līdzekļiem par augstākās izglītības iegūšanu sedz 100% apmērā.</w:t>
      </w:r>
    </w:p>
    <w:p w:rsidR="00086932" w:rsidRPr="009A5006" w:rsidRDefault="00086932" w:rsidP="00086932">
      <w:pPr>
        <w:ind w:firstLine="567"/>
        <w:jc w:val="both"/>
        <w:rPr>
          <w:sz w:val="20"/>
          <w:szCs w:val="20"/>
          <w:lang w:eastAsia="lv-LV"/>
        </w:rPr>
      </w:pPr>
      <w:r w:rsidRPr="009A5006">
        <w:rPr>
          <w:sz w:val="20"/>
          <w:szCs w:val="20"/>
          <w:lang w:eastAsia="lv-LV"/>
        </w:rPr>
        <w:t>Valsts un pašvaldību institūciju amatpersonu un darbinieku atlīdzības likuma 28.panta pirmā daļa nosaka, ka amatpersonai (darbiniekam) var kompensēt mācību maksu līdz 30 procentiem no gada mācību maksas, ja tā pēc institūcijas iniciatīvas vai savstarpējas vienošanās sekmīgi mācās valsts akreditētā augstākās izglītības iestādē vai ārvalsts mācību iestādē, kuras diplomi tiek atzīti Latvijā, lai iegūtu amata (dienesta) pienākumu izpildei nepieciešamās speciālās zināšanas.</w:t>
      </w:r>
    </w:p>
    <w:p w:rsidR="00086932" w:rsidRDefault="00086932" w:rsidP="00086932">
      <w:pPr>
        <w:ind w:firstLine="567"/>
        <w:jc w:val="both"/>
      </w:pPr>
      <w:r w:rsidRPr="009A5006">
        <w:rPr>
          <w:sz w:val="20"/>
          <w:szCs w:val="20"/>
          <w:lang w:eastAsia="lv-LV"/>
        </w:rPr>
        <w:t>Nacionālajos bruņotajos spēkos šobrīd dien 14 virsnieki, kuri ir absolvējušo virsnieku sagatavošanas militārās izglītības iestādi ārvalstīs, bet attiecīgās militārās izglītības iestādes izsniegtais diploms netiek atzīts Latvijā, līdz ar ko tiek ierobežota virsnieka iespējamā dienesta karjera Nacionālajos bruņotajos spēkos. Uz virsnieku sagatavošanas militārās izglītības iestādēm tika nosūtīti tikai paši labākie karavīri un viņu militārajā sagatavošanā ieguldīti ievērojami finanšu līdzekļi, līdz ar to ir svarīgi šos virsniekus noturēt dienestā. Noslēdzot līgumus par mācību maksas segšanu ar konkrētajiem virsniekiem, tiks ņemtas vērā Ministru kabineta 2010.gada 12.oktobra noteikumu Nr.953 „Kārtība, kādā profesionālā dienesta karavīru nosūta uz izglītības iestādi dienesta pienākumu izpildei nepieciešamās izglītības iegūšanai un sedz mācību izdevumus, kā arī šo izdevumu atmaksāšanas kārtība” noteiktās prasības par mācību izdevumu atmaksāšanas noteikumiem un kārtību.</w:t>
      </w:r>
      <w:r w:rsidRPr="009A5006">
        <w:t xml:space="preserve"> </w:t>
      </w:r>
    </w:p>
    <w:p w:rsidR="00086932" w:rsidRPr="009A5006" w:rsidRDefault="00086932" w:rsidP="00086932">
      <w:pPr>
        <w:ind w:firstLine="567"/>
        <w:jc w:val="both"/>
        <w:rPr>
          <w:sz w:val="20"/>
          <w:szCs w:val="20"/>
        </w:rPr>
      </w:pPr>
      <w:r w:rsidRPr="009A5006">
        <w:rPr>
          <w:sz w:val="20"/>
          <w:szCs w:val="20"/>
        </w:rPr>
        <w:t xml:space="preserve">Likumprojekta izpildei nepieciešami EUR 75815. Līdzekļi mācību maksas segšanai tiks segti no Aizsardzības ministrijai apakšprogrammā 22.10.00 „Starptautisko operāciju un Nacionālo bruņoto spēku personālsastāva centralizētais atalgojums” piešķirtajiem valsts budžeta līdzekļiem: 2015.gadā – EUR 59750, 2016.gadā – </w:t>
      </w:r>
      <w:r w:rsidRPr="009A5006">
        <w:rPr>
          <w:sz w:val="20"/>
          <w:szCs w:val="20"/>
        </w:rPr>
        <w:br/>
        <w:t xml:space="preserve">EUR 12125 un 2017.gadā – EUR 3940. </w:t>
      </w:r>
    </w:p>
    <w:p w:rsidR="00086932" w:rsidRPr="009A5006" w:rsidRDefault="00086932" w:rsidP="00086932">
      <w:pPr>
        <w:ind w:firstLine="567"/>
        <w:jc w:val="both"/>
        <w:rPr>
          <w:sz w:val="20"/>
          <w:szCs w:val="20"/>
        </w:rPr>
      </w:pPr>
      <w:r w:rsidRPr="009A5006">
        <w:rPr>
          <w:sz w:val="20"/>
          <w:szCs w:val="20"/>
        </w:rPr>
        <w:t xml:space="preserve">Likumprojekts ar 2014.gada 8.decembra vēstuli Nr.MV-N/2968 „Par grozījumiem Valsts un pašvaldību institūciju amatpersonu un darbinieku atlīdzības likumā” ir nosūtīts saskaņošanai Finanšu ministrijai. </w:t>
      </w:r>
    </w:p>
    <w:p w:rsidR="00086932" w:rsidRPr="00086932" w:rsidRDefault="000869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0A347E"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423" w:rsidRDefault="00814268"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0A347E"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268">
      <w:rPr>
        <w:rStyle w:val="PageNumber"/>
        <w:noProof/>
      </w:rPr>
      <w:t>7</w:t>
    </w:r>
    <w:r>
      <w:rPr>
        <w:rStyle w:val="PageNumber"/>
      </w:rPr>
      <w:fldChar w:fldCharType="end"/>
    </w:r>
  </w:p>
  <w:p w:rsidR="00C10423" w:rsidRPr="00DE7779" w:rsidRDefault="00814268" w:rsidP="00DE7779">
    <w:pPr>
      <w:pStyle w:val="Footer"/>
      <w:rPr>
        <w:sz w:val="18"/>
        <w:szCs w:val="18"/>
        <w:lang w:val="lv-LV"/>
      </w:rPr>
    </w:pPr>
  </w:p>
  <w:p w:rsidR="00C10423" w:rsidRDefault="00814268" w:rsidP="00630E45">
    <w:pPr>
      <w:pStyle w:val="Footer"/>
      <w:ind w:right="360"/>
    </w:pPr>
  </w:p>
  <w:p w:rsidR="00C10423" w:rsidRDefault="008142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423" w:rsidRDefault="00814268" w:rsidP="000F59A0">
    <w:pPr>
      <w:pStyle w:val="Footer"/>
      <w:ind w:right="360"/>
      <w:rPr>
        <w:sz w:val="18"/>
        <w:szCs w:val="18"/>
        <w:lang w:val="lv-LV"/>
      </w:rPr>
    </w:pPr>
  </w:p>
  <w:p w:rsidR="00C10423" w:rsidRDefault="00814268" w:rsidP="000F59A0">
    <w:pPr>
      <w:pStyle w:val="Footer"/>
      <w:ind w:right="360"/>
    </w:pPr>
  </w:p>
  <w:p w:rsidR="00C10423" w:rsidRPr="00DE7779" w:rsidRDefault="00814268">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38" w:rsidRDefault="00311C38">
      <w:r>
        <w:separator/>
      </w:r>
    </w:p>
  </w:footnote>
  <w:footnote w:type="continuationSeparator" w:id="0">
    <w:p w:rsidR="00311C38" w:rsidRDefault="0031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21BE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8"/>
    <w:rsid w:val="00057C22"/>
    <w:rsid w:val="00086932"/>
    <w:rsid w:val="000A347E"/>
    <w:rsid w:val="000E6F78"/>
    <w:rsid w:val="00190B24"/>
    <w:rsid w:val="001E7A16"/>
    <w:rsid w:val="00230235"/>
    <w:rsid w:val="002A221F"/>
    <w:rsid w:val="00311C38"/>
    <w:rsid w:val="00366E76"/>
    <w:rsid w:val="00473F5B"/>
    <w:rsid w:val="006E61DF"/>
    <w:rsid w:val="00814268"/>
    <w:rsid w:val="008643D6"/>
    <w:rsid w:val="00950875"/>
    <w:rsid w:val="00974CE5"/>
    <w:rsid w:val="009A5006"/>
    <w:rsid w:val="00AD5442"/>
    <w:rsid w:val="00B56F60"/>
    <w:rsid w:val="00E83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3C25-CA45-4D98-A9C8-140F566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98"/>
    <w:rPr>
      <w:rFonts w:eastAsia="Times New Roman" w:cs="Times New Roman"/>
      <w:szCs w:val="24"/>
      <w:lang w:val="en-GB"/>
    </w:rPr>
  </w:style>
  <w:style w:type="paragraph" w:styleId="Heading1">
    <w:name w:val="heading 1"/>
    <w:basedOn w:val="Normal"/>
    <w:next w:val="Normal"/>
    <w:link w:val="Heading1Char"/>
    <w:qFormat/>
    <w:rsid w:val="00E83B98"/>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B98"/>
    <w:rPr>
      <w:rFonts w:eastAsia="Times New Roman" w:cs="Times New Roman"/>
      <w:b/>
      <w:bCs/>
      <w:iCs/>
      <w:szCs w:val="24"/>
    </w:rPr>
  </w:style>
  <w:style w:type="paragraph" w:styleId="Title">
    <w:name w:val="Title"/>
    <w:basedOn w:val="Normal"/>
    <w:link w:val="TitleChar"/>
    <w:qFormat/>
    <w:rsid w:val="00E83B98"/>
    <w:pPr>
      <w:jc w:val="center"/>
    </w:pPr>
    <w:rPr>
      <w:b/>
      <w:szCs w:val="20"/>
      <w:lang w:val="lv-LV"/>
    </w:rPr>
  </w:style>
  <w:style w:type="character" w:customStyle="1" w:styleId="TitleChar">
    <w:name w:val="Title Char"/>
    <w:basedOn w:val="DefaultParagraphFont"/>
    <w:link w:val="Title"/>
    <w:rsid w:val="00E83B98"/>
    <w:rPr>
      <w:rFonts w:eastAsia="Times New Roman" w:cs="Times New Roman"/>
      <w:b/>
      <w:szCs w:val="20"/>
    </w:rPr>
  </w:style>
  <w:style w:type="paragraph" w:styleId="Footer">
    <w:name w:val="footer"/>
    <w:basedOn w:val="Normal"/>
    <w:link w:val="FooterChar"/>
    <w:rsid w:val="00E83B98"/>
    <w:pPr>
      <w:tabs>
        <w:tab w:val="center" w:pos="4320"/>
        <w:tab w:val="right" w:pos="8640"/>
      </w:tabs>
    </w:pPr>
  </w:style>
  <w:style w:type="character" w:customStyle="1" w:styleId="FooterChar">
    <w:name w:val="Footer Char"/>
    <w:basedOn w:val="DefaultParagraphFont"/>
    <w:link w:val="Footer"/>
    <w:rsid w:val="00E83B98"/>
    <w:rPr>
      <w:rFonts w:eastAsia="Times New Roman" w:cs="Times New Roman"/>
      <w:szCs w:val="24"/>
      <w:lang w:val="en-GB"/>
    </w:rPr>
  </w:style>
  <w:style w:type="character" w:styleId="PageNumber">
    <w:name w:val="page number"/>
    <w:basedOn w:val="DefaultParagraphFont"/>
    <w:rsid w:val="00E83B98"/>
  </w:style>
  <w:style w:type="paragraph" w:customStyle="1" w:styleId="naisf">
    <w:name w:val="naisf"/>
    <w:basedOn w:val="Normal"/>
    <w:uiPriority w:val="99"/>
    <w:rsid w:val="00E83B98"/>
    <w:pPr>
      <w:spacing w:before="100" w:beforeAutospacing="1" w:after="100" w:afterAutospacing="1"/>
    </w:pPr>
    <w:rPr>
      <w:lang w:val="lv-LV" w:eastAsia="lv-LV"/>
    </w:rPr>
  </w:style>
  <w:style w:type="paragraph" w:customStyle="1" w:styleId="tv2131">
    <w:name w:val="tv2131"/>
    <w:basedOn w:val="Normal"/>
    <w:rsid w:val="00E83B98"/>
    <w:pPr>
      <w:spacing w:line="360" w:lineRule="auto"/>
      <w:ind w:firstLine="300"/>
    </w:pPr>
    <w:rPr>
      <w:color w:val="414142"/>
      <w:sz w:val="20"/>
      <w:szCs w:val="20"/>
      <w:lang w:val="lv-LV" w:eastAsia="lv-LV"/>
    </w:rPr>
  </w:style>
  <w:style w:type="paragraph" w:customStyle="1" w:styleId="labojumupamats1">
    <w:name w:val="labojumu_pamats1"/>
    <w:basedOn w:val="Normal"/>
    <w:rsid w:val="000E6F78"/>
    <w:pPr>
      <w:spacing w:before="45" w:line="360" w:lineRule="auto"/>
      <w:ind w:firstLine="300"/>
    </w:pPr>
    <w:rPr>
      <w:i/>
      <w:iCs/>
      <w:color w:val="414142"/>
      <w:sz w:val="20"/>
      <w:szCs w:val="20"/>
      <w:lang w:val="lv-LV" w:eastAsia="lv-LV"/>
    </w:rPr>
  </w:style>
  <w:style w:type="paragraph" w:styleId="FootnoteText">
    <w:name w:val="footnote text"/>
    <w:basedOn w:val="Normal"/>
    <w:link w:val="FootnoteTextChar"/>
    <w:uiPriority w:val="99"/>
    <w:semiHidden/>
    <w:unhideWhenUsed/>
    <w:rsid w:val="009A5006"/>
    <w:rPr>
      <w:sz w:val="20"/>
      <w:szCs w:val="20"/>
    </w:rPr>
  </w:style>
  <w:style w:type="character" w:customStyle="1" w:styleId="FootnoteTextChar">
    <w:name w:val="Footnote Text Char"/>
    <w:basedOn w:val="DefaultParagraphFont"/>
    <w:link w:val="FootnoteText"/>
    <w:uiPriority w:val="99"/>
    <w:semiHidden/>
    <w:rsid w:val="009A5006"/>
    <w:rPr>
      <w:rFonts w:eastAsia="Times New Roman" w:cs="Times New Roman"/>
      <w:sz w:val="20"/>
      <w:szCs w:val="20"/>
      <w:lang w:val="en-GB"/>
    </w:rPr>
  </w:style>
  <w:style w:type="character" w:styleId="FootnoteReference">
    <w:name w:val="footnote reference"/>
    <w:basedOn w:val="DefaultParagraphFont"/>
    <w:uiPriority w:val="99"/>
    <w:semiHidden/>
    <w:unhideWhenUsed/>
    <w:rsid w:val="009A5006"/>
    <w:rPr>
      <w:vertAlign w:val="superscript"/>
    </w:rPr>
  </w:style>
  <w:style w:type="paragraph" w:customStyle="1" w:styleId="naiskr">
    <w:name w:val="naiskr"/>
    <w:basedOn w:val="Normal"/>
    <w:rsid w:val="00086932"/>
    <w:pPr>
      <w:spacing w:before="75" w:after="75"/>
    </w:pPr>
    <w:rPr>
      <w:lang w:val="lv-LV" w:eastAsia="lv-LV"/>
    </w:rPr>
  </w:style>
  <w:style w:type="paragraph" w:styleId="EndnoteText">
    <w:name w:val="endnote text"/>
    <w:basedOn w:val="Normal"/>
    <w:link w:val="EndnoteTextChar"/>
    <w:uiPriority w:val="99"/>
    <w:semiHidden/>
    <w:unhideWhenUsed/>
    <w:rsid w:val="00086932"/>
    <w:rPr>
      <w:sz w:val="20"/>
      <w:szCs w:val="20"/>
    </w:rPr>
  </w:style>
  <w:style w:type="character" w:customStyle="1" w:styleId="EndnoteTextChar">
    <w:name w:val="Endnote Text Char"/>
    <w:basedOn w:val="DefaultParagraphFont"/>
    <w:link w:val="EndnoteText"/>
    <w:uiPriority w:val="99"/>
    <w:semiHidden/>
    <w:rsid w:val="00086932"/>
    <w:rPr>
      <w:rFonts w:eastAsia="Times New Roman" w:cs="Times New Roman"/>
      <w:sz w:val="20"/>
      <w:szCs w:val="20"/>
      <w:lang w:val="en-GB"/>
    </w:rPr>
  </w:style>
  <w:style w:type="character" w:styleId="EndnoteReference">
    <w:name w:val="endnote reference"/>
    <w:basedOn w:val="DefaultParagraphFont"/>
    <w:uiPriority w:val="99"/>
    <w:semiHidden/>
    <w:unhideWhenUsed/>
    <w:rsid w:val="00086932"/>
    <w:rPr>
      <w:vertAlign w:val="superscript"/>
    </w:rPr>
  </w:style>
  <w:style w:type="paragraph" w:styleId="BalloonText">
    <w:name w:val="Balloon Text"/>
    <w:basedOn w:val="Normal"/>
    <w:link w:val="BalloonTextChar"/>
    <w:uiPriority w:val="99"/>
    <w:semiHidden/>
    <w:unhideWhenUsed/>
    <w:rsid w:val="001E7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830116">
      <w:bodyDiv w:val="1"/>
      <w:marLeft w:val="0"/>
      <w:marRight w:val="0"/>
      <w:marTop w:val="0"/>
      <w:marBottom w:val="0"/>
      <w:divBdr>
        <w:top w:val="none" w:sz="0" w:space="0" w:color="auto"/>
        <w:left w:val="none" w:sz="0" w:space="0" w:color="auto"/>
        <w:bottom w:val="none" w:sz="0" w:space="0" w:color="auto"/>
        <w:right w:val="none" w:sz="0" w:space="0" w:color="auto"/>
      </w:divBdr>
      <w:divsChild>
        <w:div w:id="1133408628">
          <w:marLeft w:val="0"/>
          <w:marRight w:val="0"/>
          <w:marTop w:val="0"/>
          <w:marBottom w:val="0"/>
          <w:divBdr>
            <w:top w:val="none" w:sz="0" w:space="0" w:color="auto"/>
            <w:left w:val="none" w:sz="0" w:space="0" w:color="auto"/>
            <w:bottom w:val="none" w:sz="0" w:space="0" w:color="auto"/>
            <w:right w:val="none" w:sz="0" w:space="0" w:color="auto"/>
          </w:divBdr>
          <w:divsChild>
            <w:div w:id="140313468">
              <w:marLeft w:val="0"/>
              <w:marRight w:val="0"/>
              <w:marTop w:val="0"/>
              <w:marBottom w:val="0"/>
              <w:divBdr>
                <w:top w:val="none" w:sz="0" w:space="0" w:color="auto"/>
                <w:left w:val="none" w:sz="0" w:space="0" w:color="auto"/>
                <w:bottom w:val="none" w:sz="0" w:space="0" w:color="auto"/>
                <w:right w:val="none" w:sz="0" w:space="0" w:color="auto"/>
              </w:divBdr>
              <w:divsChild>
                <w:div w:id="638076963">
                  <w:marLeft w:val="0"/>
                  <w:marRight w:val="0"/>
                  <w:marTop w:val="0"/>
                  <w:marBottom w:val="0"/>
                  <w:divBdr>
                    <w:top w:val="none" w:sz="0" w:space="0" w:color="auto"/>
                    <w:left w:val="none" w:sz="0" w:space="0" w:color="auto"/>
                    <w:bottom w:val="none" w:sz="0" w:space="0" w:color="auto"/>
                    <w:right w:val="none" w:sz="0" w:space="0" w:color="auto"/>
                  </w:divBdr>
                  <w:divsChild>
                    <w:div w:id="1850485614">
                      <w:marLeft w:val="0"/>
                      <w:marRight w:val="0"/>
                      <w:marTop w:val="0"/>
                      <w:marBottom w:val="0"/>
                      <w:divBdr>
                        <w:top w:val="none" w:sz="0" w:space="0" w:color="auto"/>
                        <w:left w:val="none" w:sz="0" w:space="0" w:color="auto"/>
                        <w:bottom w:val="none" w:sz="0" w:space="0" w:color="auto"/>
                        <w:right w:val="none" w:sz="0" w:space="0" w:color="auto"/>
                      </w:divBdr>
                      <w:divsChild>
                        <w:div w:id="873076054">
                          <w:marLeft w:val="0"/>
                          <w:marRight w:val="0"/>
                          <w:marTop w:val="0"/>
                          <w:marBottom w:val="0"/>
                          <w:divBdr>
                            <w:top w:val="none" w:sz="0" w:space="0" w:color="auto"/>
                            <w:left w:val="none" w:sz="0" w:space="0" w:color="auto"/>
                            <w:bottom w:val="none" w:sz="0" w:space="0" w:color="auto"/>
                            <w:right w:val="none" w:sz="0" w:space="0" w:color="auto"/>
                          </w:divBdr>
                          <w:divsChild>
                            <w:div w:id="408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463496">
      <w:bodyDiv w:val="1"/>
      <w:marLeft w:val="0"/>
      <w:marRight w:val="0"/>
      <w:marTop w:val="0"/>
      <w:marBottom w:val="0"/>
      <w:divBdr>
        <w:top w:val="none" w:sz="0" w:space="0" w:color="auto"/>
        <w:left w:val="none" w:sz="0" w:space="0" w:color="auto"/>
        <w:bottom w:val="none" w:sz="0" w:space="0" w:color="auto"/>
        <w:right w:val="none" w:sz="0" w:space="0" w:color="auto"/>
      </w:divBdr>
      <w:divsChild>
        <w:div w:id="1108424655">
          <w:marLeft w:val="0"/>
          <w:marRight w:val="0"/>
          <w:marTop w:val="0"/>
          <w:marBottom w:val="0"/>
          <w:divBdr>
            <w:top w:val="none" w:sz="0" w:space="0" w:color="auto"/>
            <w:left w:val="none" w:sz="0" w:space="0" w:color="auto"/>
            <w:bottom w:val="none" w:sz="0" w:space="0" w:color="auto"/>
            <w:right w:val="none" w:sz="0" w:space="0" w:color="auto"/>
          </w:divBdr>
          <w:divsChild>
            <w:div w:id="534998536">
              <w:marLeft w:val="0"/>
              <w:marRight w:val="0"/>
              <w:marTop w:val="0"/>
              <w:marBottom w:val="0"/>
              <w:divBdr>
                <w:top w:val="none" w:sz="0" w:space="0" w:color="auto"/>
                <w:left w:val="none" w:sz="0" w:space="0" w:color="auto"/>
                <w:bottom w:val="none" w:sz="0" w:space="0" w:color="auto"/>
                <w:right w:val="none" w:sz="0" w:space="0" w:color="auto"/>
              </w:divBdr>
              <w:divsChild>
                <w:div w:id="784933694">
                  <w:marLeft w:val="0"/>
                  <w:marRight w:val="0"/>
                  <w:marTop w:val="0"/>
                  <w:marBottom w:val="0"/>
                  <w:divBdr>
                    <w:top w:val="none" w:sz="0" w:space="0" w:color="auto"/>
                    <w:left w:val="none" w:sz="0" w:space="0" w:color="auto"/>
                    <w:bottom w:val="none" w:sz="0" w:space="0" w:color="auto"/>
                    <w:right w:val="none" w:sz="0" w:space="0" w:color="auto"/>
                  </w:divBdr>
                  <w:divsChild>
                    <w:div w:id="1916548261">
                      <w:marLeft w:val="0"/>
                      <w:marRight w:val="0"/>
                      <w:marTop w:val="0"/>
                      <w:marBottom w:val="0"/>
                      <w:divBdr>
                        <w:top w:val="none" w:sz="0" w:space="0" w:color="auto"/>
                        <w:left w:val="none" w:sz="0" w:space="0" w:color="auto"/>
                        <w:bottom w:val="none" w:sz="0" w:space="0" w:color="auto"/>
                        <w:right w:val="none" w:sz="0" w:space="0" w:color="auto"/>
                      </w:divBdr>
                      <w:divsChild>
                        <w:div w:id="624434689">
                          <w:marLeft w:val="0"/>
                          <w:marRight w:val="0"/>
                          <w:marTop w:val="0"/>
                          <w:marBottom w:val="0"/>
                          <w:divBdr>
                            <w:top w:val="none" w:sz="0" w:space="0" w:color="auto"/>
                            <w:left w:val="none" w:sz="0" w:space="0" w:color="auto"/>
                            <w:bottom w:val="none" w:sz="0" w:space="0" w:color="auto"/>
                            <w:right w:val="none" w:sz="0" w:space="0" w:color="auto"/>
                          </w:divBdr>
                          <w:divsChild>
                            <w:div w:id="1041785527">
                              <w:marLeft w:val="0"/>
                              <w:marRight w:val="0"/>
                              <w:marTop w:val="0"/>
                              <w:marBottom w:val="0"/>
                              <w:divBdr>
                                <w:top w:val="none" w:sz="0" w:space="0" w:color="auto"/>
                                <w:left w:val="none" w:sz="0" w:space="0" w:color="auto"/>
                                <w:bottom w:val="none" w:sz="0" w:space="0" w:color="auto"/>
                                <w:right w:val="none" w:sz="0" w:space="0" w:color="auto"/>
                              </w:divBdr>
                              <w:divsChild>
                                <w:div w:id="467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929407">
      <w:bodyDiv w:val="1"/>
      <w:marLeft w:val="0"/>
      <w:marRight w:val="0"/>
      <w:marTop w:val="0"/>
      <w:marBottom w:val="0"/>
      <w:divBdr>
        <w:top w:val="none" w:sz="0" w:space="0" w:color="auto"/>
        <w:left w:val="none" w:sz="0" w:space="0" w:color="auto"/>
        <w:bottom w:val="none" w:sz="0" w:space="0" w:color="auto"/>
        <w:right w:val="none" w:sz="0" w:space="0" w:color="auto"/>
      </w:divBdr>
      <w:divsChild>
        <w:div w:id="657850686">
          <w:marLeft w:val="0"/>
          <w:marRight w:val="0"/>
          <w:marTop w:val="0"/>
          <w:marBottom w:val="0"/>
          <w:divBdr>
            <w:top w:val="none" w:sz="0" w:space="0" w:color="auto"/>
            <w:left w:val="none" w:sz="0" w:space="0" w:color="auto"/>
            <w:bottom w:val="none" w:sz="0" w:space="0" w:color="auto"/>
            <w:right w:val="none" w:sz="0" w:space="0" w:color="auto"/>
          </w:divBdr>
          <w:divsChild>
            <w:div w:id="1798907978">
              <w:marLeft w:val="0"/>
              <w:marRight w:val="0"/>
              <w:marTop w:val="0"/>
              <w:marBottom w:val="0"/>
              <w:divBdr>
                <w:top w:val="none" w:sz="0" w:space="0" w:color="auto"/>
                <w:left w:val="none" w:sz="0" w:space="0" w:color="auto"/>
                <w:bottom w:val="none" w:sz="0" w:space="0" w:color="auto"/>
                <w:right w:val="none" w:sz="0" w:space="0" w:color="auto"/>
              </w:divBdr>
              <w:divsChild>
                <w:div w:id="1604458300">
                  <w:marLeft w:val="0"/>
                  <w:marRight w:val="0"/>
                  <w:marTop w:val="0"/>
                  <w:marBottom w:val="0"/>
                  <w:divBdr>
                    <w:top w:val="none" w:sz="0" w:space="0" w:color="auto"/>
                    <w:left w:val="none" w:sz="0" w:space="0" w:color="auto"/>
                    <w:bottom w:val="none" w:sz="0" w:space="0" w:color="auto"/>
                    <w:right w:val="none" w:sz="0" w:space="0" w:color="auto"/>
                  </w:divBdr>
                  <w:divsChild>
                    <w:div w:id="1097093328">
                      <w:marLeft w:val="0"/>
                      <w:marRight w:val="0"/>
                      <w:marTop w:val="0"/>
                      <w:marBottom w:val="0"/>
                      <w:divBdr>
                        <w:top w:val="none" w:sz="0" w:space="0" w:color="auto"/>
                        <w:left w:val="none" w:sz="0" w:space="0" w:color="auto"/>
                        <w:bottom w:val="none" w:sz="0" w:space="0" w:color="auto"/>
                        <w:right w:val="none" w:sz="0" w:space="0" w:color="auto"/>
                      </w:divBdr>
                      <w:divsChild>
                        <w:div w:id="1596090130">
                          <w:marLeft w:val="0"/>
                          <w:marRight w:val="0"/>
                          <w:marTop w:val="0"/>
                          <w:marBottom w:val="0"/>
                          <w:divBdr>
                            <w:top w:val="none" w:sz="0" w:space="0" w:color="auto"/>
                            <w:left w:val="none" w:sz="0" w:space="0" w:color="auto"/>
                            <w:bottom w:val="none" w:sz="0" w:space="0" w:color="auto"/>
                            <w:right w:val="none" w:sz="0" w:space="0" w:color="auto"/>
                          </w:divBdr>
                          <w:divsChild>
                            <w:div w:id="99807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8051">
      <w:bodyDiv w:val="1"/>
      <w:marLeft w:val="0"/>
      <w:marRight w:val="0"/>
      <w:marTop w:val="0"/>
      <w:marBottom w:val="0"/>
      <w:divBdr>
        <w:top w:val="none" w:sz="0" w:space="0" w:color="auto"/>
        <w:left w:val="none" w:sz="0" w:space="0" w:color="auto"/>
        <w:bottom w:val="none" w:sz="0" w:space="0" w:color="auto"/>
        <w:right w:val="none" w:sz="0" w:space="0" w:color="auto"/>
      </w:divBdr>
      <w:divsChild>
        <w:div w:id="2048875504">
          <w:marLeft w:val="0"/>
          <w:marRight w:val="0"/>
          <w:marTop w:val="0"/>
          <w:marBottom w:val="0"/>
          <w:divBdr>
            <w:top w:val="none" w:sz="0" w:space="0" w:color="auto"/>
            <w:left w:val="none" w:sz="0" w:space="0" w:color="auto"/>
            <w:bottom w:val="none" w:sz="0" w:space="0" w:color="auto"/>
            <w:right w:val="none" w:sz="0" w:space="0" w:color="auto"/>
          </w:divBdr>
          <w:divsChild>
            <w:div w:id="1115833809">
              <w:marLeft w:val="0"/>
              <w:marRight w:val="0"/>
              <w:marTop w:val="0"/>
              <w:marBottom w:val="0"/>
              <w:divBdr>
                <w:top w:val="none" w:sz="0" w:space="0" w:color="auto"/>
                <w:left w:val="none" w:sz="0" w:space="0" w:color="auto"/>
                <w:bottom w:val="none" w:sz="0" w:space="0" w:color="auto"/>
                <w:right w:val="none" w:sz="0" w:space="0" w:color="auto"/>
              </w:divBdr>
              <w:divsChild>
                <w:div w:id="1855611909">
                  <w:marLeft w:val="0"/>
                  <w:marRight w:val="0"/>
                  <w:marTop w:val="0"/>
                  <w:marBottom w:val="0"/>
                  <w:divBdr>
                    <w:top w:val="none" w:sz="0" w:space="0" w:color="auto"/>
                    <w:left w:val="none" w:sz="0" w:space="0" w:color="auto"/>
                    <w:bottom w:val="none" w:sz="0" w:space="0" w:color="auto"/>
                    <w:right w:val="none" w:sz="0" w:space="0" w:color="auto"/>
                  </w:divBdr>
                  <w:divsChild>
                    <w:div w:id="827867667">
                      <w:marLeft w:val="0"/>
                      <w:marRight w:val="0"/>
                      <w:marTop w:val="0"/>
                      <w:marBottom w:val="0"/>
                      <w:divBdr>
                        <w:top w:val="none" w:sz="0" w:space="0" w:color="auto"/>
                        <w:left w:val="none" w:sz="0" w:space="0" w:color="auto"/>
                        <w:bottom w:val="none" w:sz="0" w:space="0" w:color="auto"/>
                        <w:right w:val="none" w:sz="0" w:space="0" w:color="auto"/>
                      </w:divBdr>
                      <w:divsChild>
                        <w:div w:id="1519272239">
                          <w:marLeft w:val="0"/>
                          <w:marRight w:val="0"/>
                          <w:marTop w:val="0"/>
                          <w:marBottom w:val="0"/>
                          <w:divBdr>
                            <w:top w:val="none" w:sz="0" w:space="0" w:color="auto"/>
                            <w:left w:val="none" w:sz="0" w:space="0" w:color="auto"/>
                            <w:bottom w:val="none" w:sz="0" w:space="0" w:color="auto"/>
                            <w:right w:val="none" w:sz="0" w:space="0" w:color="auto"/>
                          </w:divBdr>
                          <w:divsChild>
                            <w:div w:id="34700840">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980187906">
      <w:bodyDiv w:val="1"/>
      <w:marLeft w:val="0"/>
      <w:marRight w:val="0"/>
      <w:marTop w:val="0"/>
      <w:marBottom w:val="0"/>
      <w:divBdr>
        <w:top w:val="none" w:sz="0" w:space="0" w:color="auto"/>
        <w:left w:val="none" w:sz="0" w:space="0" w:color="auto"/>
        <w:bottom w:val="none" w:sz="0" w:space="0" w:color="auto"/>
        <w:right w:val="none" w:sz="0" w:space="0" w:color="auto"/>
      </w:divBdr>
      <w:divsChild>
        <w:div w:id="58097251">
          <w:marLeft w:val="0"/>
          <w:marRight w:val="0"/>
          <w:marTop w:val="0"/>
          <w:marBottom w:val="0"/>
          <w:divBdr>
            <w:top w:val="none" w:sz="0" w:space="0" w:color="auto"/>
            <w:left w:val="none" w:sz="0" w:space="0" w:color="auto"/>
            <w:bottom w:val="none" w:sz="0" w:space="0" w:color="auto"/>
            <w:right w:val="none" w:sz="0" w:space="0" w:color="auto"/>
          </w:divBdr>
          <w:divsChild>
            <w:div w:id="4067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970">
      <w:bodyDiv w:val="1"/>
      <w:marLeft w:val="0"/>
      <w:marRight w:val="0"/>
      <w:marTop w:val="0"/>
      <w:marBottom w:val="0"/>
      <w:divBdr>
        <w:top w:val="none" w:sz="0" w:space="0" w:color="auto"/>
        <w:left w:val="none" w:sz="0" w:space="0" w:color="auto"/>
        <w:bottom w:val="none" w:sz="0" w:space="0" w:color="auto"/>
        <w:right w:val="none" w:sz="0" w:space="0" w:color="auto"/>
      </w:divBdr>
      <w:divsChild>
        <w:div w:id="2090106006">
          <w:marLeft w:val="0"/>
          <w:marRight w:val="0"/>
          <w:marTop w:val="0"/>
          <w:marBottom w:val="0"/>
          <w:divBdr>
            <w:top w:val="none" w:sz="0" w:space="0" w:color="auto"/>
            <w:left w:val="none" w:sz="0" w:space="0" w:color="auto"/>
            <w:bottom w:val="none" w:sz="0" w:space="0" w:color="auto"/>
            <w:right w:val="none" w:sz="0" w:space="0" w:color="auto"/>
          </w:divBdr>
          <w:divsChild>
            <w:div w:id="5178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3912">
      <w:bodyDiv w:val="1"/>
      <w:marLeft w:val="0"/>
      <w:marRight w:val="0"/>
      <w:marTop w:val="0"/>
      <w:marBottom w:val="0"/>
      <w:divBdr>
        <w:top w:val="none" w:sz="0" w:space="0" w:color="auto"/>
        <w:left w:val="none" w:sz="0" w:space="0" w:color="auto"/>
        <w:bottom w:val="none" w:sz="0" w:space="0" w:color="auto"/>
        <w:right w:val="none" w:sz="0" w:space="0" w:color="auto"/>
      </w:divBdr>
      <w:divsChild>
        <w:div w:id="1834947280">
          <w:marLeft w:val="0"/>
          <w:marRight w:val="0"/>
          <w:marTop w:val="0"/>
          <w:marBottom w:val="0"/>
          <w:divBdr>
            <w:top w:val="none" w:sz="0" w:space="0" w:color="auto"/>
            <w:left w:val="none" w:sz="0" w:space="0" w:color="auto"/>
            <w:bottom w:val="none" w:sz="0" w:space="0" w:color="auto"/>
            <w:right w:val="none" w:sz="0" w:space="0" w:color="auto"/>
          </w:divBdr>
          <w:divsChild>
            <w:div w:id="21432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8580">
      <w:bodyDiv w:val="1"/>
      <w:marLeft w:val="0"/>
      <w:marRight w:val="0"/>
      <w:marTop w:val="0"/>
      <w:marBottom w:val="0"/>
      <w:divBdr>
        <w:top w:val="none" w:sz="0" w:space="0" w:color="auto"/>
        <w:left w:val="none" w:sz="0" w:space="0" w:color="auto"/>
        <w:bottom w:val="none" w:sz="0" w:space="0" w:color="auto"/>
        <w:right w:val="none" w:sz="0" w:space="0" w:color="auto"/>
      </w:divBdr>
      <w:divsChild>
        <w:div w:id="1597396506">
          <w:marLeft w:val="0"/>
          <w:marRight w:val="0"/>
          <w:marTop w:val="0"/>
          <w:marBottom w:val="0"/>
          <w:divBdr>
            <w:top w:val="none" w:sz="0" w:space="0" w:color="auto"/>
            <w:left w:val="none" w:sz="0" w:space="0" w:color="auto"/>
            <w:bottom w:val="none" w:sz="0" w:space="0" w:color="auto"/>
            <w:right w:val="none" w:sz="0" w:space="0" w:color="auto"/>
          </w:divBdr>
          <w:divsChild>
            <w:div w:id="1234043796">
              <w:marLeft w:val="0"/>
              <w:marRight w:val="0"/>
              <w:marTop w:val="0"/>
              <w:marBottom w:val="0"/>
              <w:divBdr>
                <w:top w:val="none" w:sz="0" w:space="0" w:color="auto"/>
                <w:left w:val="none" w:sz="0" w:space="0" w:color="auto"/>
                <w:bottom w:val="none" w:sz="0" w:space="0" w:color="auto"/>
                <w:right w:val="none" w:sz="0" w:space="0" w:color="auto"/>
              </w:divBdr>
              <w:divsChild>
                <w:div w:id="1159152036">
                  <w:marLeft w:val="0"/>
                  <w:marRight w:val="0"/>
                  <w:marTop w:val="0"/>
                  <w:marBottom w:val="0"/>
                  <w:divBdr>
                    <w:top w:val="none" w:sz="0" w:space="0" w:color="auto"/>
                    <w:left w:val="none" w:sz="0" w:space="0" w:color="auto"/>
                    <w:bottom w:val="none" w:sz="0" w:space="0" w:color="auto"/>
                    <w:right w:val="none" w:sz="0" w:space="0" w:color="auto"/>
                  </w:divBdr>
                  <w:divsChild>
                    <w:div w:id="161356687">
                      <w:marLeft w:val="0"/>
                      <w:marRight w:val="0"/>
                      <w:marTop w:val="0"/>
                      <w:marBottom w:val="0"/>
                      <w:divBdr>
                        <w:top w:val="none" w:sz="0" w:space="0" w:color="auto"/>
                        <w:left w:val="none" w:sz="0" w:space="0" w:color="auto"/>
                        <w:bottom w:val="none" w:sz="0" w:space="0" w:color="auto"/>
                        <w:right w:val="none" w:sz="0" w:space="0" w:color="auto"/>
                      </w:divBdr>
                      <w:divsChild>
                        <w:div w:id="151072409">
                          <w:marLeft w:val="0"/>
                          <w:marRight w:val="0"/>
                          <w:marTop w:val="0"/>
                          <w:marBottom w:val="0"/>
                          <w:divBdr>
                            <w:top w:val="none" w:sz="0" w:space="0" w:color="auto"/>
                            <w:left w:val="none" w:sz="0" w:space="0" w:color="auto"/>
                            <w:bottom w:val="none" w:sz="0" w:space="0" w:color="auto"/>
                            <w:right w:val="none" w:sz="0" w:space="0" w:color="auto"/>
                          </w:divBdr>
                          <w:divsChild>
                            <w:div w:id="419983425">
                              <w:marLeft w:val="150"/>
                              <w:marRight w:val="150"/>
                              <w:marTop w:val="480"/>
                              <w:marBottom w:val="0"/>
                              <w:divBdr>
                                <w:top w:val="single" w:sz="6" w:space="28" w:color="D4D4D4"/>
                                <w:left w:val="none" w:sz="0" w:space="0" w:color="auto"/>
                                <w:bottom w:val="none" w:sz="0" w:space="0" w:color="auto"/>
                                <w:right w:val="none" w:sz="0" w:space="0" w:color="auto"/>
                              </w:divBdr>
                            </w:div>
                            <w:div w:id="98451964">
                              <w:marLeft w:val="0"/>
                              <w:marRight w:val="0"/>
                              <w:marTop w:val="400"/>
                              <w:marBottom w:val="0"/>
                              <w:divBdr>
                                <w:top w:val="none" w:sz="0" w:space="0" w:color="auto"/>
                                <w:left w:val="none" w:sz="0" w:space="0" w:color="auto"/>
                                <w:bottom w:val="none" w:sz="0" w:space="0" w:color="auto"/>
                                <w:right w:val="none" w:sz="0" w:space="0" w:color="auto"/>
                              </w:divBdr>
                            </w:div>
                            <w:div w:id="9667358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164508">
      <w:bodyDiv w:val="1"/>
      <w:marLeft w:val="0"/>
      <w:marRight w:val="0"/>
      <w:marTop w:val="0"/>
      <w:marBottom w:val="0"/>
      <w:divBdr>
        <w:top w:val="none" w:sz="0" w:space="0" w:color="auto"/>
        <w:left w:val="none" w:sz="0" w:space="0" w:color="auto"/>
        <w:bottom w:val="none" w:sz="0" w:space="0" w:color="auto"/>
        <w:right w:val="none" w:sz="0" w:space="0" w:color="auto"/>
      </w:divBdr>
      <w:divsChild>
        <w:div w:id="1132940039">
          <w:marLeft w:val="0"/>
          <w:marRight w:val="0"/>
          <w:marTop w:val="0"/>
          <w:marBottom w:val="0"/>
          <w:divBdr>
            <w:top w:val="none" w:sz="0" w:space="0" w:color="auto"/>
            <w:left w:val="none" w:sz="0" w:space="0" w:color="auto"/>
            <w:bottom w:val="none" w:sz="0" w:space="0" w:color="auto"/>
            <w:right w:val="none" w:sz="0" w:space="0" w:color="auto"/>
          </w:divBdr>
          <w:divsChild>
            <w:div w:id="2003391092">
              <w:marLeft w:val="0"/>
              <w:marRight w:val="0"/>
              <w:marTop w:val="0"/>
              <w:marBottom w:val="0"/>
              <w:divBdr>
                <w:top w:val="none" w:sz="0" w:space="0" w:color="auto"/>
                <w:left w:val="none" w:sz="0" w:space="0" w:color="auto"/>
                <w:bottom w:val="none" w:sz="0" w:space="0" w:color="auto"/>
                <w:right w:val="none" w:sz="0" w:space="0" w:color="auto"/>
              </w:divBdr>
              <w:divsChild>
                <w:div w:id="2069497416">
                  <w:marLeft w:val="0"/>
                  <w:marRight w:val="0"/>
                  <w:marTop w:val="0"/>
                  <w:marBottom w:val="0"/>
                  <w:divBdr>
                    <w:top w:val="none" w:sz="0" w:space="0" w:color="auto"/>
                    <w:left w:val="none" w:sz="0" w:space="0" w:color="auto"/>
                    <w:bottom w:val="none" w:sz="0" w:space="0" w:color="auto"/>
                    <w:right w:val="none" w:sz="0" w:space="0" w:color="auto"/>
                  </w:divBdr>
                  <w:divsChild>
                    <w:div w:id="2055353090">
                      <w:marLeft w:val="0"/>
                      <w:marRight w:val="0"/>
                      <w:marTop w:val="0"/>
                      <w:marBottom w:val="0"/>
                      <w:divBdr>
                        <w:top w:val="none" w:sz="0" w:space="0" w:color="auto"/>
                        <w:left w:val="none" w:sz="0" w:space="0" w:color="auto"/>
                        <w:bottom w:val="none" w:sz="0" w:space="0" w:color="auto"/>
                        <w:right w:val="none" w:sz="0" w:space="0" w:color="auto"/>
                      </w:divBdr>
                      <w:divsChild>
                        <w:div w:id="1856074507">
                          <w:marLeft w:val="0"/>
                          <w:marRight w:val="0"/>
                          <w:marTop w:val="0"/>
                          <w:marBottom w:val="0"/>
                          <w:divBdr>
                            <w:top w:val="none" w:sz="0" w:space="0" w:color="auto"/>
                            <w:left w:val="none" w:sz="0" w:space="0" w:color="auto"/>
                            <w:bottom w:val="none" w:sz="0" w:space="0" w:color="auto"/>
                            <w:right w:val="none" w:sz="0" w:space="0" w:color="auto"/>
                          </w:divBdr>
                          <w:divsChild>
                            <w:div w:id="4254241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69078">
      <w:bodyDiv w:val="1"/>
      <w:marLeft w:val="0"/>
      <w:marRight w:val="0"/>
      <w:marTop w:val="0"/>
      <w:marBottom w:val="0"/>
      <w:divBdr>
        <w:top w:val="none" w:sz="0" w:space="0" w:color="auto"/>
        <w:left w:val="none" w:sz="0" w:space="0" w:color="auto"/>
        <w:bottom w:val="none" w:sz="0" w:space="0" w:color="auto"/>
        <w:right w:val="none" w:sz="0" w:space="0" w:color="auto"/>
      </w:divBdr>
      <w:divsChild>
        <w:div w:id="322006923">
          <w:marLeft w:val="0"/>
          <w:marRight w:val="0"/>
          <w:marTop w:val="0"/>
          <w:marBottom w:val="0"/>
          <w:divBdr>
            <w:top w:val="none" w:sz="0" w:space="0" w:color="auto"/>
            <w:left w:val="none" w:sz="0" w:space="0" w:color="auto"/>
            <w:bottom w:val="none" w:sz="0" w:space="0" w:color="auto"/>
            <w:right w:val="none" w:sz="0" w:space="0" w:color="auto"/>
          </w:divBdr>
          <w:divsChild>
            <w:div w:id="636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9372">
      <w:bodyDiv w:val="1"/>
      <w:marLeft w:val="0"/>
      <w:marRight w:val="0"/>
      <w:marTop w:val="0"/>
      <w:marBottom w:val="0"/>
      <w:divBdr>
        <w:top w:val="none" w:sz="0" w:space="0" w:color="auto"/>
        <w:left w:val="none" w:sz="0" w:space="0" w:color="auto"/>
        <w:bottom w:val="none" w:sz="0" w:space="0" w:color="auto"/>
        <w:right w:val="none" w:sz="0" w:space="0" w:color="auto"/>
      </w:divBdr>
      <w:divsChild>
        <w:div w:id="1939673439">
          <w:marLeft w:val="0"/>
          <w:marRight w:val="0"/>
          <w:marTop w:val="0"/>
          <w:marBottom w:val="0"/>
          <w:divBdr>
            <w:top w:val="none" w:sz="0" w:space="0" w:color="auto"/>
            <w:left w:val="none" w:sz="0" w:space="0" w:color="auto"/>
            <w:bottom w:val="none" w:sz="0" w:space="0" w:color="auto"/>
            <w:right w:val="none" w:sz="0" w:space="0" w:color="auto"/>
          </w:divBdr>
          <w:divsChild>
            <w:div w:id="18027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915">
      <w:bodyDiv w:val="1"/>
      <w:marLeft w:val="0"/>
      <w:marRight w:val="0"/>
      <w:marTop w:val="0"/>
      <w:marBottom w:val="0"/>
      <w:divBdr>
        <w:top w:val="none" w:sz="0" w:space="0" w:color="auto"/>
        <w:left w:val="none" w:sz="0" w:space="0" w:color="auto"/>
        <w:bottom w:val="none" w:sz="0" w:space="0" w:color="auto"/>
        <w:right w:val="none" w:sz="0" w:space="0" w:color="auto"/>
      </w:divBdr>
      <w:divsChild>
        <w:div w:id="551815325">
          <w:marLeft w:val="0"/>
          <w:marRight w:val="0"/>
          <w:marTop w:val="0"/>
          <w:marBottom w:val="0"/>
          <w:divBdr>
            <w:top w:val="none" w:sz="0" w:space="0" w:color="auto"/>
            <w:left w:val="none" w:sz="0" w:space="0" w:color="auto"/>
            <w:bottom w:val="none" w:sz="0" w:space="0" w:color="auto"/>
            <w:right w:val="none" w:sz="0" w:space="0" w:color="auto"/>
          </w:divBdr>
          <w:divsChild>
            <w:div w:id="2106489028">
              <w:marLeft w:val="0"/>
              <w:marRight w:val="0"/>
              <w:marTop w:val="0"/>
              <w:marBottom w:val="0"/>
              <w:divBdr>
                <w:top w:val="none" w:sz="0" w:space="0" w:color="auto"/>
                <w:left w:val="none" w:sz="0" w:space="0" w:color="auto"/>
                <w:bottom w:val="none" w:sz="0" w:space="0" w:color="auto"/>
                <w:right w:val="none" w:sz="0" w:space="0" w:color="auto"/>
              </w:divBdr>
              <w:divsChild>
                <w:div w:id="1231116127">
                  <w:marLeft w:val="0"/>
                  <w:marRight w:val="0"/>
                  <w:marTop w:val="0"/>
                  <w:marBottom w:val="0"/>
                  <w:divBdr>
                    <w:top w:val="none" w:sz="0" w:space="0" w:color="auto"/>
                    <w:left w:val="none" w:sz="0" w:space="0" w:color="auto"/>
                    <w:bottom w:val="none" w:sz="0" w:space="0" w:color="auto"/>
                    <w:right w:val="none" w:sz="0" w:space="0" w:color="auto"/>
                  </w:divBdr>
                  <w:divsChild>
                    <w:div w:id="1370105670">
                      <w:marLeft w:val="0"/>
                      <w:marRight w:val="0"/>
                      <w:marTop w:val="0"/>
                      <w:marBottom w:val="0"/>
                      <w:divBdr>
                        <w:top w:val="none" w:sz="0" w:space="0" w:color="auto"/>
                        <w:left w:val="none" w:sz="0" w:space="0" w:color="auto"/>
                        <w:bottom w:val="none" w:sz="0" w:space="0" w:color="auto"/>
                        <w:right w:val="none" w:sz="0" w:space="0" w:color="auto"/>
                      </w:divBdr>
                      <w:divsChild>
                        <w:div w:id="1327368124">
                          <w:marLeft w:val="0"/>
                          <w:marRight w:val="0"/>
                          <w:marTop w:val="0"/>
                          <w:marBottom w:val="0"/>
                          <w:divBdr>
                            <w:top w:val="none" w:sz="0" w:space="0" w:color="auto"/>
                            <w:left w:val="none" w:sz="0" w:space="0" w:color="auto"/>
                            <w:bottom w:val="none" w:sz="0" w:space="0" w:color="auto"/>
                            <w:right w:val="none" w:sz="0" w:space="0" w:color="auto"/>
                          </w:divBdr>
                          <w:divsChild>
                            <w:div w:id="7818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45">
      <w:bodyDiv w:val="1"/>
      <w:marLeft w:val="0"/>
      <w:marRight w:val="0"/>
      <w:marTop w:val="0"/>
      <w:marBottom w:val="0"/>
      <w:divBdr>
        <w:top w:val="none" w:sz="0" w:space="0" w:color="auto"/>
        <w:left w:val="none" w:sz="0" w:space="0" w:color="auto"/>
        <w:bottom w:val="none" w:sz="0" w:space="0" w:color="auto"/>
        <w:right w:val="none" w:sz="0" w:space="0" w:color="auto"/>
      </w:divBdr>
      <w:divsChild>
        <w:div w:id="494564914">
          <w:marLeft w:val="0"/>
          <w:marRight w:val="0"/>
          <w:marTop w:val="0"/>
          <w:marBottom w:val="0"/>
          <w:divBdr>
            <w:top w:val="none" w:sz="0" w:space="0" w:color="auto"/>
            <w:left w:val="none" w:sz="0" w:space="0" w:color="auto"/>
            <w:bottom w:val="none" w:sz="0" w:space="0" w:color="auto"/>
            <w:right w:val="none" w:sz="0" w:space="0" w:color="auto"/>
          </w:divBdr>
          <w:divsChild>
            <w:div w:id="6587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365">
      <w:bodyDiv w:val="1"/>
      <w:marLeft w:val="0"/>
      <w:marRight w:val="0"/>
      <w:marTop w:val="0"/>
      <w:marBottom w:val="0"/>
      <w:divBdr>
        <w:top w:val="none" w:sz="0" w:space="0" w:color="auto"/>
        <w:left w:val="none" w:sz="0" w:space="0" w:color="auto"/>
        <w:bottom w:val="none" w:sz="0" w:space="0" w:color="auto"/>
        <w:right w:val="none" w:sz="0" w:space="0" w:color="auto"/>
      </w:divBdr>
      <w:divsChild>
        <w:div w:id="1048601233">
          <w:marLeft w:val="0"/>
          <w:marRight w:val="0"/>
          <w:marTop w:val="0"/>
          <w:marBottom w:val="0"/>
          <w:divBdr>
            <w:top w:val="none" w:sz="0" w:space="0" w:color="auto"/>
            <w:left w:val="none" w:sz="0" w:space="0" w:color="auto"/>
            <w:bottom w:val="none" w:sz="0" w:space="0" w:color="auto"/>
            <w:right w:val="none" w:sz="0" w:space="0" w:color="auto"/>
          </w:divBdr>
          <w:divsChild>
            <w:div w:id="7397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0333-grozijumi-valsts-un-pasvaldibu-instituciju-amatpersonu-un-darbinieku-atlidzibas-liku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02273-valsts-un-pasvaldibu-instituciju-amatpersonu-un-darbinieku-atlidzibas-likums/redakcijas-datums/2014/1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EF02-90DD-4581-BF4B-44C7DAC9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7710</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cp:lastPrinted>2014-12-13T10:49:00Z</cp:lastPrinted>
  <dcterms:created xsi:type="dcterms:W3CDTF">2014-12-13T11:07:00Z</dcterms:created>
  <dcterms:modified xsi:type="dcterms:W3CDTF">2014-12-13T11:07:00Z</dcterms:modified>
</cp:coreProperties>
</file>