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3836" w14:textId="77777777" w:rsidR="006F3FE9" w:rsidRPr="00DE4B2B" w:rsidRDefault="006F3FE9" w:rsidP="006F3FE9">
      <w:pPr>
        <w:jc w:val="center"/>
        <w:rPr>
          <w:b/>
          <w:sz w:val="28"/>
        </w:rPr>
      </w:pPr>
      <w:r w:rsidRPr="00DE4B2B">
        <w:rPr>
          <w:b/>
          <w:sz w:val="28"/>
        </w:rPr>
        <w:t>Ministru kabineta noteikumu projekta</w:t>
      </w:r>
    </w:p>
    <w:p w14:paraId="5F523837" w14:textId="18638845" w:rsidR="008C5649" w:rsidRPr="00DE4B2B" w:rsidRDefault="00DE4B2B" w:rsidP="00171CB8">
      <w:pPr>
        <w:jc w:val="center"/>
        <w:rPr>
          <w:b/>
          <w:sz w:val="28"/>
        </w:rPr>
      </w:pPr>
      <w:r>
        <w:rPr>
          <w:b/>
          <w:sz w:val="28"/>
        </w:rPr>
        <w:t>"</w:t>
      </w:r>
      <w:r w:rsidR="006F3FE9" w:rsidRPr="00DE4B2B">
        <w:rPr>
          <w:b/>
          <w:sz w:val="28"/>
        </w:rPr>
        <w:t>Grozījum</w:t>
      </w:r>
      <w:r w:rsidR="001F1E64" w:rsidRPr="00DE4B2B">
        <w:rPr>
          <w:b/>
          <w:sz w:val="28"/>
        </w:rPr>
        <w:t>s</w:t>
      </w:r>
      <w:r w:rsidR="006F3FE9" w:rsidRPr="00DE4B2B">
        <w:rPr>
          <w:b/>
          <w:sz w:val="28"/>
        </w:rPr>
        <w:t xml:space="preserve"> </w:t>
      </w:r>
      <w:r w:rsidR="00171CB8" w:rsidRPr="00DE4B2B">
        <w:rPr>
          <w:b/>
          <w:sz w:val="28"/>
        </w:rPr>
        <w:t>Ministru kabineta 2008</w:t>
      </w:r>
      <w:r>
        <w:rPr>
          <w:b/>
          <w:sz w:val="28"/>
        </w:rPr>
        <w:t>. g</w:t>
      </w:r>
      <w:r w:rsidR="00171CB8" w:rsidRPr="00DE4B2B">
        <w:rPr>
          <w:b/>
          <w:sz w:val="28"/>
        </w:rPr>
        <w:t>ada 25</w:t>
      </w:r>
      <w:r>
        <w:rPr>
          <w:b/>
          <w:sz w:val="28"/>
        </w:rPr>
        <w:t>. n</w:t>
      </w:r>
      <w:r w:rsidR="00171CB8" w:rsidRPr="00DE4B2B">
        <w:rPr>
          <w:b/>
          <w:sz w:val="28"/>
        </w:rPr>
        <w:t xml:space="preserve">ovembra noteikumos Nr.963 </w:t>
      </w:r>
      <w:r>
        <w:rPr>
          <w:b/>
          <w:sz w:val="28"/>
        </w:rPr>
        <w:t>"</w:t>
      </w:r>
      <w:r w:rsidR="00171CB8" w:rsidRPr="00DE4B2B">
        <w:rPr>
          <w:b/>
          <w:sz w:val="28"/>
        </w:rPr>
        <w:t xml:space="preserve">Noteikumi par darbības programmas </w:t>
      </w:r>
      <w:r>
        <w:rPr>
          <w:b/>
          <w:sz w:val="28"/>
        </w:rPr>
        <w:t>"</w:t>
      </w:r>
      <w:r w:rsidR="00171CB8" w:rsidRPr="00DE4B2B">
        <w:rPr>
          <w:b/>
          <w:sz w:val="28"/>
        </w:rPr>
        <w:t>Cilvēkresursi un nodarbinātība</w:t>
      </w:r>
      <w:r>
        <w:rPr>
          <w:b/>
          <w:sz w:val="28"/>
        </w:rPr>
        <w:t>"</w:t>
      </w:r>
      <w:r w:rsidR="00171CB8" w:rsidRPr="00DE4B2B">
        <w:rPr>
          <w:b/>
          <w:sz w:val="28"/>
        </w:rPr>
        <w:t xml:space="preserve"> papildinājuma 1.5.2.2.2</w:t>
      </w:r>
      <w:r>
        <w:rPr>
          <w:b/>
          <w:sz w:val="28"/>
        </w:rPr>
        <w:t>. a</w:t>
      </w:r>
      <w:r w:rsidR="00171CB8" w:rsidRPr="00DE4B2B">
        <w:rPr>
          <w:b/>
          <w:sz w:val="28"/>
        </w:rPr>
        <w:t xml:space="preserve">pakšaktivitāti </w:t>
      </w:r>
      <w:r>
        <w:rPr>
          <w:b/>
          <w:sz w:val="28"/>
        </w:rPr>
        <w:t>"</w:t>
      </w:r>
      <w:r w:rsidR="00171CB8" w:rsidRPr="00DE4B2B">
        <w:rPr>
          <w:b/>
          <w:sz w:val="28"/>
        </w:rPr>
        <w:t>Nevalstisko organizāciju administratīvās kapacitātes stiprināšana</w:t>
      </w:r>
      <w:r>
        <w:rPr>
          <w:b/>
          <w:sz w:val="28"/>
        </w:rPr>
        <w:t>"""</w:t>
      </w:r>
      <w:r w:rsidR="00171CB8" w:rsidRPr="00DE4B2B">
        <w:rPr>
          <w:b/>
          <w:sz w:val="28"/>
        </w:rPr>
        <w:t xml:space="preserve"> </w:t>
      </w:r>
      <w:r w:rsidR="00852042" w:rsidRPr="00DE4B2B">
        <w:rPr>
          <w:b/>
          <w:sz w:val="28"/>
        </w:rPr>
        <w:t>sākotnējā</w:t>
      </w:r>
      <w:r w:rsidR="002D3306" w:rsidRPr="00DE4B2B">
        <w:rPr>
          <w:b/>
          <w:sz w:val="28"/>
        </w:rPr>
        <w:t>s</w:t>
      </w:r>
      <w:r w:rsidR="00852042" w:rsidRPr="00DE4B2B">
        <w:rPr>
          <w:b/>
          <w:sz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DE4B2B">
          <w:rPr>
            <w:b/>
            <w:sz w:val="28"/>
          </w:rPr>
          <w:t>ziņojums</w:t>
        </w:r>
      </w:smartTag>
      <w:r w:rsidR="00852042" w:rsidRPr="00DE4B2B">
        <w:rPr>
          <w:b/>
          <w:sz w:val="28"/>
        </w:rPr>
        <w:t xml:space="preserve"> (anotācija)</w:t>
      </w:r>
    </w:p>
    <w:p w14:paraId="5F523838" w14:textId="77777777" w:rsidR="00481A81" w:rsidRPr="00A945EB" w:rsidRDefault="00481A81" w:rsidP="00171CB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97"/>
        <w:gridCol w:w="6808"/>
      </w:tblGrid>
      <w:tr w:rsidR="00A945EB" w:rsidRPr="00A945EB" w14:paraId="5F52383A" w14:textId="77777777">
        <w:tc>
          <w:tcPr>
            <w:tcW w:w="9365" w:type="dxa"/>
            <w:gridSpan w:val="3"/>
            <w:vAlign w:val="center"/>
          </w:tcPr>
          <w:p w14:paraId="5F523839" w14:textId="77777777" w:rsidR="00852042" w:rsidRPr="00A945EB" w:rsidRDefault="00852042" w:rsidP="006C4607">
            <w:pPr>
              <w:pStyle w:val="naisnod"/>
              <w:spacing w:before="0" w:after="0"/>
            </w:pPr>
            <w:r w:rsidRPr="00A945EB">
              <w:t>I</w:t>
            </w:r>
            <w:r w:rsidR="000941C5" w:rsidRPr="00A945EB">
              <w:t>.</w:t>
            </w:r>
            <w:r w:rsidRPr="00A945EB">
              <w:t xml:space="preserve"> Tiesību akta </w:t>
            </w:r>
            <w:r w:rsidR="002E3FF4" w:rsidRPr="00A945EB">
              <w:t xml:space="preserve">projekta </w:t>
            </w:r>
            <w:r w:rsidRPr="00A945EB">
              <w:t>izstrādes nepieciešamība</w:t>
            </w:r>
          </w:p>
        </w:tc>
      </w:tr>
      <w:tr w:rsidR="00A945EB" w:rsidRPr="00A945EB" w14:paraId="5F52383E" w14:textId="77777777" w:rsidTr="00D43950">
        <w:trPr>
          <w:trHeight w:val="630"/>
        </w:trPr>
        <w:tc>
          <w:tcPr>
            <w:tcW w:w="360" w:type="dxa"/>
          </w:tcPr>
          <w:p w14:paraId="5F52383B" w14:textId="77777777" w:rsidR="00262E2B" w:rsidRPr="00A945EB" w:rsidRDefault="00262E2B" w:rsidP="006C4607">
            <w:pPr>
              <w:pStyle w:val="naiskr"/>
              <w:spacing w:before="0" w:after="0"/>
            </w:pPr>
            <w:r w:rsidRPr="00A945EB">
              <w:t>1.</w:t>
            </w:r>
          </w:p>
        </w:tc>
        <w:tc>
          <w:tcPr>
            <w:tcW w:w="2197" w:type="dxa"/>
          </w:tcPr>
          <w:p w14:paraId="5F52383C" w14:textId="77777777" w:rsidR="00262E2B" w:rsidRPr="00A945EB" w:rsidRDefault="002D7F54" w:rsidP="006C4607">
            <w:pPr>
              <w:pStyle w:val="naiskr"/>
              <w:spacing w:before="0" w:after="0"/>
              <w:ind w:hanging="10"/>
            </w:pPr>
            <w:r w:rsidRPr="00A945EB">
              <w:t>Pamatojums</w:t>
            </w:r>
          </w:p>
        </w:tc>
        <w:tc>
          <w:tcPr>
            <w:tcW w:w="6808" w:type="dxa"/>
          </w:tcPr>
          <w:p w14:paraId="5F52383D" w14:textId="109FBF17" w:rsidR="00871D2C" w:rsidRPr="00A945EB" w:rsidRDefault="0014280E" w:rsidP="007F6C40">
            <w:pPr>
              <w:pStyle w:val="naiskr"/>
              <w:spacing w:before="0" w:after="0"/>
              <w:ind w:left="180" w:right="170" w:hanging="5"/>
              <w:jc w:val="both"/>
            </w:pPr>
            <w:r w:rsidRPr="00A945EB">
              <w:t xml:space="preserve">Noteikumu projekts </w:t>
            </w:r>
            <w:r w:rsidR="00DE4B2B">
              <w:t>"</w:t>
            </w:r>
            <w:r w:rsidR="007160C0" w:rsidRPr="00A945EB">
              <w:t>Grozījums Ministru kabineta 2008</w:t>
            </w:r>
            <w:r w:rsidR="00DE4B2B">
              <w:t>. g</w:t>
            </w:r>
            <w:r w:rsidR="007160C0" w:rsidRPr="00A945EB">
              <w:t>ada 25</w:t>
            </w:r>
            <w:r w:rsidR="00DE4B2B">
              <w:t>. n</w:t>
            </w:r>
            <w:r w:rsidR="007160C0" w:rsidRPr="00A945EB">
              <w:t>ovembra noteikumos Nr.</w:t>
            </w:r>
            <w:r w:rsidR="00DE4B2B">
              <w:t> </w:t>
            </w:r>
            <w:r w:rsidR="007160C0" w:rsidRPr="00A945EB">
              <w:t xml:space="preserve">963 </w:t>
            </w:r>
            <w:r w:rsidR="00DE4B2B">
              <w:t>"</w:t>
            </w:r>
            <w:r w:rsidR="007160C0" w:rsidRPr="00A945EB">
              <w:t xml:space="preserve">Noteikumi par darbības programmas </w:t>
            </w:r>
            <w:r w:rsidR="00DE4B2B">
              <w:t>"</w:t>
            </w:r>
            <w:r w:rsidR="007160C0" w:rsidRPr="00A945EB">
              <w:t>Cilvēkresursi un nodarbinātība</w:t>
            </w:r>
            <w:r w:rsidR="00DE4B2B">
              <w:t>"</w:t>
            </w:r>
            <w:r w:rsidR="007160C0" w:rsidRPr="00A945EB">
              <w:t xml:space="preserve"> papildinājuma 1.5.2.2.2</w:t>
            </w:r>
            <w:r w:rsidR="00DE4B2B">
              <w:t>. a</w:t>
            </w:r>
            <w:r w:rsidR="007160C0" w:rsidRPr="00A945EB">
              <w:t xml:space="preserve">pakšaktivitāti </w:t>
            </w:r>
            <w:r w:rsidR="00DE4B2B">
              <w:t>"</w:t>
            </w:r>
            <w:r w:rsidR="007160C0" w:rsidRPr="00A945EB">
              <w:t>Nevalstisko organizāciju administratīvās kapacitātes stiprināšana</w:t>
            </w:r>
            <w:r w:rsidR="00DE4B2B">
              <w:t>"""</w:t>
            </w:r>
            <w:r w:rsidR="007160C0" w:rsidRPr="00A945EB">
              <w:t xml:space="preserve"> </w:t>
            </w:r>
            <w:r w:rsidRPr="00A945EB">
              <w:t>(turpmāk – noteikumu projekts) sagatavots, lai 1.5.2.2.</w:t>
            </w:r>
            <w:r w:rsidR="007F6C40" w:rsidRPr="00A945EB">
              <w:t>2</w:t>
            </w:r>
            <w:r w:rsidR="00DE4B2B">
              <w:t>. a</w:t>
            </w:r>
            <w:r w:rsidRPr="00A945EB">
              <w:t xml:space="preserve">pakšaktivitātē </w:t>
            </w:r>
            <w:r w:rsidR="00DE4B2B">
              <w:t>"</w:t>
            </w:r>
            <w:r w:rsidR="007F6C40" w:rsidRPr="00A945EB">
              <w:t xml:space="preserve"> Nevalstisko organizāciju administratīvās kapacitātes stiprināšana </w:t>
            </w:r>
            <w:r w:rsidR="00DE4B2B">
              <w:t>"</w:t>
            </w:r>
            <w:r w:rsidR="007F6C40" w:rsidRPr="00A945EB">
              <w:t xml:space="preserve"> (turpmāk – 1.5.2.2.2</w:t>
            </w:r>
            <w:r w:rsidR="00DE4B2B">
              <w:t>. a</w:t>
            </w:r>
            <w:r w:rsidRPr="00A945EB">
              <w:t>pakšaktivitāte) izveidojušos finansējuma atlikumu pārdalītu Valsts kancelejas kā Eiropas Savienības fondu atbildīgās iestādes (turpmāk – Valsts kanceleja) administrētās 1.5.2.2.1</w:t>
            </w:r>
            <w:r w:rsidR="00DE4B2B">
              <w:t>. a</w:t>
            </w:r>
            <w:r w:rsidRPr="00A945EB">
              <w:t xml:space="preserve">pakšaktivitātes </w:t>
            </w:r>
            <w:r w:rsidR="00DE4B2B">
              <w:t>"</w:t>
            </w:r>
            <w:r w:rsidRPr="00A945EB">
              <w:t>Sociālo partneru administratīvās kapacitātes stiprināšana</w:t>
            </w:r>
            <w:r w:rsidR="00DE4B2B">
              <w:t>"</w:t>
            </w:r>
            <w:r w:rsidRPr="00A945EB">
              <w:t xml:space="preserve"> (turpmāk – 1.5.2.2.1</w:t>
            </w:r>
            <w:r w:rsidR="00DE4B2B">
              <w:t>. a</w:t>
            </w:r>
            <w:r w:rsidRPr="00A945EB">
              <w:t xml:space="preserve">pakšaktivitāte) projektu īstenošanai, sekmējot Darbības programmas </w:t>
            </w:r>
            <w:r w:rsidR="00DE4B2B">
              <w:t>"</w:t>
            </w:r>
            <w:r w:rsidRPr="00A945EB">
              <w:t>Cilvēkresursi un nodarbinātība</w:t>
            </w:r>
            <w:r w:rsidR="00DE4B2B">
              <w:t>"</w:t>
            </w:r>
            <w:r w:rsidRPr="00A945EB">
              <w:t xml:space="preserve"> papildinājumā (turpmāk – DPP) Valsts kancelejas administrētajās aktivitātēs un apakšaktivitātēs noteiktā finansējuma pilnīgu apguvi</w:t>
            </w:r>
          </w:p>
        </w:tc>
      </w:tr>
      <w:tr w:rsidR="00A945EB" w:rsidRPr="00A945EB" w14:paraId="5F523847" w14:textId="77777777" w:rsidTr="00D43950">
        <w:trPr>
          <w:trHeight w:val="472"/>
        </w:trPr>
        <w:tc>
          <w:tcPr>
            <w:tcW w:w="360" w:type="dxa"/>
          </w:tcPr>
          <w:p w14:paraId="5F52383F" w14:textId="77777777" w:rsidR="00262E2B" w:rsidRPr="00A945EB" w:rsidRDefault="00262E2B" w:rsidP="006C4607">
            <w:pPr>
              <w:pStyle w:val="naiskr"/>
              <w:spacing w:before="0" w:after="0"/>
            </w:pPr>
            <w:r w:rsidRPr="00A945EB">
              <w:t>2.</w:t>
            </w:r>
          </w:p>
        </w:tc>
        <w:tc>
          <w:tcPr>
            <w:tcW w:w="2197" w:type="dxa"/>
          </w:tcPr>
          <w:p w14:paraId="5F523840" w14:textId="77777777" w:rsidR="00262E2B" w:rsidRPr="00A945EB" w:rsidRDefault="001E022A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A945EB">
              <w:t>Pašreizējā situācija un problēmas, kuru risināšanai tiesību akta projekts izstrādāts, tiesiskā regulējuma mērķis un būtība</w:t>
            </w:r>
          </w:p>
        </w:tc>
        <w:tc>
          <w:tcPr>
            <w:tcW w:w="6808" w:type="dxa"/>
          </w:tcPr>
          <w:p w14:paraId="5F523841" w14:textId="011EB2A9" w:rsidR="008642A1" w:rsidRPr="00A945EB" w:rsidRDefault="008642A1" w:rsidP="00432DE4">
            <w:pPr>
              <w:ind w:left="124" w:right="146"/>
              <w:jc w:val="both"/>
            </w:pPr>
            <w:r w:rsidRPr="00A945EB">
              <w:t>1.5.2.2.2</w:t>
            </w:r>
            <w:r w:rsidR="00DE4B2B">
              <w:t>. a</w:t>
            </w:r>
            <w:r w:rsidRPr="00A945EB">
              <w:t>pakšaktivitātes īstenošanas termiņš ir 2014</w:t>
            </w:r>
            <w:r w:rsidR="00DE4B2B">
              <w:t>. g</w:t>
            </w:r>
            <w:r w:rsidRPr="00A945EB">
              <w:t>ada 31</w:t>
            </w:r>
            <w:r w:rsidR="00DE4B2B">
              <w:t>. d</w:t>
            </w:r>
            <w:r w:rsidRPr="00A945EB">
              <w:t xml:space="preserve">ecembris. Šobrīd tiek īstenoti beidzamie 8 projekti, kuri tika iesniegti </w:t>
            </w:r>
            <w:r w:rsidR="003A7E53" w:rsidRPr="00A945EB">
              <w:t>2012</w:t>
            </w:r>
            <w:r w:rsidR="00DE4B2B">
              <w:t>. g</w:t>
            </w:r>
            <w:r w:rsidR="003A7E53" w:rsidRPr="00A945EB">
              <w:t>ada 17</w:t>
            </w:r>
            <w:r w:rsidR="00DE4B2B">
              <w:t>. f</w:t>
            </w:r>
            <w:r w:rsidR="003A7E53" w:rsidRPr="00A945EB">
              <w:t>ebruārī izsludinātajā</w:t>
            </w:r>
            <w:r w:rsidR="007808C0" w:rsidRPr="00A945EB">
              <w:t xml:space="preserve"> pēdējā </w:t>
            </w:r>
            <w:r w:rsidRPr="00A945EB">
              <w:t>atklātās projektu iesniegumu atlases kārtā</w:t>
            </w:r>
            <w:r w:rsidR="003A7E53" w:rsidRPr="00A945EB">
              <w:t xml:space="preserve">. </w:t>
            </w:r>
            <w:r w:rsidR="00962987" w:rsidRPr="00A945EB">
              <w:t xml:space="preserve">Tika </w:t>
            </w:r>
            <w:r w:rsidR="007808C0" w:rsidRPr="00A945EB">
              <w:t xml:space="preserve">izsludinātas </w:t>
            </w:r>
            <w:r w:rsidR="00962987" w:rsidRPr="00A945EB">
              <w:t>visas paredzētās projektu iesniegumu atlases kārtas</w:t>
            </w:r>
            <w:r w:rsidR="004E6D20" w:rsidRPr="00A945EB">
              <w:t>,</w:t>
            </w:r>
            <w:r w:rsidR="00962987" w:rsidRPr="00A945EB">
              <w:t xml:space="preserve"> un j</w:t>
            </w:r>
            <w:r w:rsidRPr="00A945EB">
              <w:t xml:space="preserve">aunas projektu iesniegumu atlases nav paredzētas. </w:t>
            </w:r>
            <w:r w:rsidR="00962987" w:rsidRPr="00A945EB">
              <w:t>Š</w:t>
            </w:r>
            <w:r w:rsidR="000938A9" w:rsidRPr="00A945EB">
              <w:t>obrīd</w:t>
            </w:r>
            <w:r w:rsidRPr="00A945EB">
              <w:t xml:space="preserve"> apakšaktivitātē izveidojies </w:t>
            </w:r>
            <w:r w:rsidR="000938A9" w:rsidRPr="00A945EB">
              <w:t xml:space="preserve">Eiropas Sociālā </w:t>
            </w:r>
            <w:r w:rsidR="007808C0" w:rsidRPr="00A945EB">
              <w:t xml:space="preserve">fonda </w:t>
            </w:r>
            <w:r w:rsidRPr="00A945EB">
              <w:t>finansējuma atlikums 10</w:t>
            </w:r>
            <w:r w:rsidR="000938A9" w:rsidRPr="00A945EB">
              <w:t>0</w:t>
            </w:r>
            <w:r w:rsidR="00CB0F24" w:rsidRPr="00A945EB">
              <w:t> </w:t>
            </w:r>
            <w:r w:rsidR="000938A9" w:rsidRPr="00A945EB">
              <w:t>266</w:t>
            </w:r>
            <w:r w:rsidR="00836669">
              <w:t> </w:t>
            </w:r>
            <w:proofErr w:type="spellStart"/>
            <w:r w:rsidRPr="00A945EB">
              <w:rPr>
                <w:i/>
              </w:rPr>
              <w:t>euro</w:t>
            </w:r>
            <w:proofErr w:type="spellEnd"/>
            <w:r w:rsidR="003624B1" w:rsidRPr="00A945EB">
              <w:t xml:space="preserve"> (dati uz 17.03.2014)</w:t>
            </w:r>
            <w:r w:rsidR="00836669">
              <w:t>,</w:t>
            </w:r>
            <w:r w:rsidRPr="00A945EB">
              <w:t xml:space="preserve"> kas </w:t>
            </w:r>
            <w:r w:rsidR="007808C0" w:rsidRPr="00A945EB">
              <w:t xml:space="preserve">izveidojies </w:t>
            </w:r>
            <w:r w:rsidRPr="00A945EB">
              <w:t xml:space="preserve">no projektu attiecināmo izmaksu </w:t>
            </w:r>
            <w:proofErr w:type="spellStart"/>
            <w:r w:rsidRPr="00836669">
              <w:rPr>
                <w:i/>
              </w:rPr>
              <w:t>flat-rate</w:t>
            </w:r>
            <w:proofErr w:type="spellEnd"/>
            <w:r w:rsidRPr="00A945EB">
              <w:t xml:space="preserve"> korekcijām, atlikumiem no līdzekļiem neparedzētiem gadījumiem, neatbilstībām un izmaksu ekonomijas, kas radusies iepirkumu rezultātā.</w:t>
            </w:r>
            <w:r w:rsidR="00DD2BA0" w:rsidRPr="00A945EB">
              <w:t xml:space="preserve"> </w:t>
            </w:r>
            <w:r w:rsidR="0074026C" w:rsidRPr="00A945EB">
              <w:t>T</w:t>
            </w:r>
            <w:r w:rsidR="00DD2BA0" w:rsidRPr="00A945EB">
              <w:t>iks pārdalīts Eiropas Sociālā fonda finansējuma atlikums 86</w:t>
            </w:r>
            <w:r w:rsidR="00836669">
              <w:t> </w:t>
            </w:r>
            <w:r w:rsidR="00DD2BA0" w:rsidRPr="00A945EB">
              <w:t xml:space="preserve">901 </w:t>
            </w:r>
            <w:proofErr w:type="spellStart"/>
            <w:r w:rsidR="00DD2BA0" w:rsidRPr="00A945EB">
              <w:rPr>
                <w:i/>
              </w:rPr>
              <w:t>euro</w:t>
            </w:r>
            <w:proofErr w:type="spellEnd"/>
            <w:r w:rsidR="00836669">
              <w:t xml:space="preserve"> apmērā</w:t>
            </w:r>
            <w:r w:rsidR="00DD2BA0" w:rsidRPr="00A945EB">
              <w:rPr>
                <w:i/>
              </w:rPr>
              <w:t xml:space="preserve"> </w:t>
            </w:r>
            <w:r w:rsidR="00DD2BA0" w:rsidRPr="00A945EB">
              <w:t>(dati uz 22.01.2014).</w:t>
            </w:r>
          </w:p>
          <w:p w14:paraId="5F523842" w14:textId="75A849B5" w:rsidR="008642A1" w:rsidRPr="00A945EB" w:rsidRDefault="004E6D20" w:rsidP="00432DE4">
            <w:pPr>
              <w:ind w:left="124" w:right="146"/>
              <w:jc w:val="both"/>
            </w:pPr>
            <w:r w:rsidRPr="00A945EB">
              <w:t xml:space="preserve">Latvijas sociālajiem partneriem – Latvijas Darba devēju konfederācijai (turpmāk – LDDK) un Latvijas Brīvo arodbiedrību savienībai (turpmāk – LBAS) ir plānoti vairāki pasākumi Latvijas prezidentūras Eiropas Savienības Padomē mērķu sasniegšanai. Tā kā LDDK un LBAS šobrīd īsteno ierobežotas </w:t>
            </w:r>
            <w:r w:rsidR="007808C0" w:rsidRPr="00A945EB">
              <w:t xml:space="preserve">projektu iesnieguma </w:t>
            </w:r>
            <w:r w:rsidRPr="00A945EB">
              <w:t>atlases projektus 1.5.2.2.1</w:t>
            </w:r>
            <w:r w:rsidR="00DE4B2B">
              <w:t>. a</w:t>
            </w:r>
            <w:r w:rsidRPr="00A945EB">
              <w:t>pakšaktivitātē, Valsts kanceleja sadarbībā ar Latvijas prezidentūras Eiropas Savienības Padomē sekretariātu, sociālajiem partneriem un Sabiedrības integrācijas fondu kā Eiropas Savienības fondu sadarbības iestādi ir izvērtēju</w:t>
            </w:r>
            <w:r w:rsidR="00836669">
              <w:t>s</w:t>
            </w:r>
            <w:r w:rsidRPr="00A945EB">
              <w:t xml:space="preserve">i iespēju daļu no Latvijas prezidentūras Eiropas Savienības Padomē </w:t>
            </w:r>
            <w:r w:rsidRPr="00A945EB">
              <w:lastRenderedPageBreak/>
              <w:t>rīkotajiem pasākumiem īstenot LDDK un LBAS projektu ietvaros. Finanšu ministrijā kā Eiropas Savienības fondu vadošaj</w:t>
            </w:r>
            <w:r w:rsidR="007808C0" w:rsidRPr="00A945EB">
              <w:t>ā</w:t>
            </w:r>
            <w:r w:rsidRPr="00A945EB">
              <w:t xml:space="preserve"> iestād</w:t>
            </w:r>
            <w:r w:rsidR="007808C0" w:rsidRPr="00A945EB">
              <w:t>ē</w:t>
            </w:r>
            <w:r w:rsidRPr="00A945EB">
              <w:t xml:space="preserve"> ir iesniegta informācija un indikatīvais finansiālais aprēķins par plānotajiem pasākumiem, kurus varētu iekļaut LDDK un LBAS īstenotajos projektos un līdz ar to finansēt no Eiropas Sociālā fonda līdzekļiem.</w:t>
            </w:r>
          </w:p>
          <w:p w14:paraId="5F523843" w14:textId="025858CF" w:rsidR="009940F2" w:rsidRPr="00A945EB" w:rsidRDefault="009940F2" w:rsidP="00432DE4">
            <w:pPr>
              <w:ind w:left="124" w:right="146"/>
              <w:jc w:val="both"/>
            </w:pPr>
            <w:r w:rsidRPr="00A945EB">
              <w:t xml:space="preserve">Plānotie pasākumi </w:t>
            </w:r>
            <w:r w:rsidR="00836669">
              <w:t>–</w:t>
            </w:r>
            <w:r w:rsidRPr="00A945EB">
              <w:t xml:space="preserve"> Sociālo partneru forums </w:t>
            </w:r>
            <w:r w:rsidR="00DE4B2B">
              <w:t>"</w:t>
            </w:r>
            <w:r w:rsidRPr="00A945EB">
              <w:t>Sociālā dialoga loma ekonomiskās izaugsmes un kvalitatīvu darbavietu nodrošināšanā</w:t>
            </w:r>
            <w:r w:rsidR="00DE4B2B">
              <w:t>"</w:t>
            </w:r>
            <w:r w:rsidRPr="00A945EB">
              <w:t xml:space="preserve">, Starptautiska konference </w:t>
            </w:r>
            <w:r w:rsidR="00DE4B2B">
              <w:t>"</w:t>
            </w:r>
            <w:r w:rsidRPr="00A945EB">
              <w:t>Uzņēmējdarbība reģionos Eiropas Savienības konkurētspējas stiprināšanai</w:t>
            </w:r>
            <w:r w:rsidR="00DE4B2B">
              <w:t>"</w:t>
            </w:r>
            <w:r w:rsidRPr="00A945EB">
              <w:t xml:space="preserve">, Starptautiska konference </w:t>
            </w:r>
            <w:r w:rsidR="00DE4B2B">
              <w:t>"</w:t>
            </w:r>
            <w:r w:rsidRPr="00A945EB">
              <w:t>Arodbiedrību loma ilgtspējīgas izaugsmes un cienīgu darbavie</w:t>
            </w:r>
            <w:r w:rsidR="00F46511" w:rsidRPr="00A945EB">
              <w:t>tu izveidē</w:t>
            </w:r>
            <w:r w:rsidR="00DE4B2B">
              <w:t>"</w:t>
            </w:r>
            <w:r w:rsidR="00F46511" w:rsidRPr="00A945EB">
              <w:t>,</w:t>
            </w:r>
            <w:r w:rsidRPr="00A945EB">
              <w:t xml:space="preserve"> Baltijas vals</w:t>
            </w:r>
            <w:r w:rsidR="00F46511" w:rsidRPr="00A945EB">
              <w:t>tu arodbiedrību jauniešu forums</w:t>
            </w:r>
            <w:r w:rsidRPr="00A945EB">
              <w:t xml:space="preserve"> </w:t>
            </w:r>
            <w:r w:rsidR="00DE4B2B">
              <w:t>"</w:t>
            </w:r>
            <w:r w:rsidRPr="00A945EB">
              <w:t>Baltijas arodbiedrību jauniešu līdzdalības stiprināšana lēmumu pieņemša</w:t>
            </w:r>
            <w:r w:rsidR="00F46511" w:rsidRPr="00A945EB">
              <w:t>nā Eiropas un nacionālā līmenī</w:t>
            </w:r>
            <w:r w:rsidR="00DE4B2B">
              <w:t>"</w:t>
            </w:r>
            <w:r w:rsidR="00F46511" w:rsidRPr="00A945EB">
              <w:t xml:space="preserve">, kā arī administratīvās kapacitātes celšanas pasākumu kopums </w:t>
            </w:r>
            <w:r w:rsidR="00DE4B2B">
              <w:t>"</w:t>
            </w:r>
            <w:r w:rsidR="00F46511" w:rsidRPr="00A945EB">
              <w:t>Ekspertīze Latvijas prezidentūras Eiropas Savienības Padomē 2015</w:t>
            </w:r>
            <w:r w:rsidR="00DE4B2B">
              <w:t>. g</w:t>
            </w:r>
            <w:r w:rsidR="00F46511" w:rsidRPr="00A945EB">
              <w:t>adā jautājumos</w:t>
            </w:r>
            <w:r w:rsidR="00DE4B2B">
              <w:t>"</w:t>
            </w:r>
            <w:r w:rsidR="00F46511" w:rsidRPr="00A945EB">
              <w:t>.</w:t>
            </w:r>
          </w:p>
          <w:p w14:paraId="5F523844" w14:textId="3062C660" w:rsidR="008D51A1" w:rsidRPr="00A945EB" w:rsidRDefault="00A13818" w:rsidP="008D51A1">
            <w:pPr>
              <w:ind w:left="124" w:right="146"/>
              <w:jc w:val="both"/>
            </w:pPr>
            <w:r w:rsidRPr="00A945EB">
              <w:t>Ņemot vērā iepriekš minēto</w:t>
            </w:r>
            <w:r w:rsidR="008D51A1" w:rsidRPr="00A945EB">
              <w:t>, lai nodrošinātu efektīvu DPP noteiktā finansējuma apguvi, Valsts kanceleja ierosina 1.5.2.2.</w:t>
            </w:r>
            <w:r w:rsidR="00B53616" w:rsidRPr="00A945EB">
              <w:t>2</w:t>
            </w:r>
            <w:r w:rsidR="00DE4B2B">
              <w:t>. a</w:t>
            </w:r>
            <w:r w:rsidR="008D51A1" w:rsidRPr="00A945EB">
              <w:t>pakš</w:t>
            </w:r>
            <w:r w:rsidR="00836669">
              <w:softHyphen/>
            </w:r>
            <w:r w:rsidR="008D51A1" w:rsidRPr="00A945EB">
              <w:t>aktivitātē atbrīvoto finansējumu pārdalīt uz 1.5.2.2.1</w:t>
            </w:r>
            <w:r w:rsidR="00DE4B2B">
              <w:t>. a</w:t>
            </w:r>
            <w:r w:rsidR="008D51A1" w:rsidRPr="00A945EB">
              <w:t>pakš</w:t>
            </w:r>
            <w:r w:rsidR="00836669">
              <w:softHyphen/>
            </w:r>
            <w:r w:rsidR="008D51A1" w:rsidRPr="00A945EB">
              <w:t>aktivitāti.</w:t>
            </w:r>
          </w:p>
          <w:p w14:paraId="5F523845" w14:textId="406D741D" w:rsidR="00E5065E" w:rsidRPr="00A945EB" w:rsidRDefault="008D51A1" w:rsidP="00E5065E">
            <w:pPr>
              <w:ind w:left="124" w:right="146"/>
              <w:jc w:val="both"/>
            </w:pPr>
            <w:r w:rsidRPr="00A945EB">
              <w:t xml:space="preserve">Noteikumu projekts paredz </w:t>
            </w:r>
            <w:r w:rsidR="00836669">
              <w:t>izdarīt</w:t>
            </w:r>
            <w:r w:rsidRPr="00A945EB">
              <w:t xml:space="preserve"> grozījumu</w:t>
            </w:r>
            <w:r w:rsidR="00254E5F" w:rsidRPr="00A945EB">
              <w:t xml:space="preserve"> Ministru kabineta 2008</w:t>
            </w:r>
            <w:r w:rsidR="00DE4B2B">
              <w:t>. g</w:t>
            </w:r>
            <w:r w:rsidR="00254E5F" w:rsidRPr="00A945EB">
              <w:t>ada 25</w:t>
            </w:r>
            <w:r w:rsidR="00DE4B2B">
              <w:t>. n</w:t>
            </w:r>
            <w:r w:rsidR="00254E5F" w:rsidRPr="00A945EB">
              <w:t>ovembra noteikumos Nr.</w:t>
            </w:r>
            <w:r w:rsidR="00DE4B2B">
              <w:t> </w:t>
            </w:r>
            <w:r w:rsidR="00254E5F" w:rsidRPr="00A945EB">
              <w:t xml:space="preserve">963 </w:t>
            </w:r>
            <w:r w:rsidR="00DE4B2B">
              <w:t>"</w:t>
            </w:r>
            <w:r w:rsidR="00254E5F" w:rsidRPr="00A945EB">
              <w:t xml:space="preserve">Noteikumi par darbības programmas </w:t>
            </w:r>
            <w:r w:rsidR="00DE4B2B">
              <w:t>"</w:t>
            </w:r>
            <w:r w:rsidR="00254E5F" w:rsidRPr="00A945EB">
              <w:t>Cilvēkresursi un nodarbinātība</w:t>
            </w:r>
            <w:r w:rsidR="00DE4B2B">
              <w:t>"</w:t>
            </w:r>
            <w:r w:rsidR="00254E5F" w:rsidRPr="00A945EB">
              <w:t xml:space="preserve"> papildinājuma 1.5.2.2.2</w:t>
            </w:r>
            <w:r w:rsidR="00DE4B2B">
              <w:t>. a</w:t>
            </w:r>
            <w:r w:rsidR="00254E5F" w:rsidRPr="00A945EB">
              <w:t xml:space="preserve">pakšaktivitāti </w:t>
            </w:r>
            <w:r w:rsidR="00DE4B2B">
              <w:t>"</w:t>
            </w:r>
            <w:r w:rsidR="00254E5F" w:rsidRPr="00A945EB">
              <w:t>Nevalstisko organizāciju administratīvās kapacitātes stiprināšana</w:t>
            </w:r>
            <w:r w:rsidR="00DE4B2B">
              <w:t>""</w:t>
            </w:r>
            <w:r w:rsidR="00254E5F" w:rsidRPr="00A945EB">
              <w:t xml:space="preserve">, </w:t>
            </w:r>
            <w:r w:rsidRPr="00A945EB">
              <w:t xml:space="preserve">samazinot kopējās attiecināmās izmaksas no </w:t>
            </w:r>
            <w:r w:rsidR="00726301" w:rsidRPr="00A945EB">
              <w:t xml:space="preserve">3 676 994 </w:t>
            </w:r>
            <w:proofErr w:type="spellStart"/>
            <w:r w:rsidR="00726301" w:rsidRPr="00A945EB">
              <w:rPr>
                <w:i/>
              </w:rPr>
              <w:t>euro</w:t>
            </w:r>
            <w:proofErr w:type="spellEnd"/>
            <w:r w:rsidRPr="00A945EB">
              <w:t xml:space="preserve"> uz </w:t>
            </w:r>
            <w:r w:rsidR="00726301" w:rsidRPr="00A945EB">
              <w:t>3</w:t>
            </w:r>
            <w:r w:rsidRPr="00A945EB">
              <w:t xml:space="preserve"> 5</w:t>
            </w:r>
            <w:r w:rsidR="00726301" w:rsidRPr="00A945EB">
              <w:t>82 </w:t>
            </w:r>
            <w:r w:rsidRPr="00A945EB">
              <w:t>8</w:t>
            </w:r>
            <w:r w:rsidR="00726301" w:rsidRPr="00A945EB">
              <w:t xml:space="preserve">94 </w:t>
            </w:r>
            <w:proofErr w:type="spellStart"/>
            <w:r w:rsidRPr="00A945EB">
              <w:rPr>
                <w:i/>
              </w:rPr>
              <w:t>euro</w:t>
            </w:r>
            <w:proofErr w:type="spellEnd"/>
            <w:r w:rsidR="000B1845" w:rsidRPr="00A945EB">
              <w:t xml:space="preserve">, kā arī attiecīgi mainot Eiropas Sociālā fonda finansējumu no </w:t>
            </w:r>
            <w:r w:rsidR="008E4278" w:rsidRPr="00A945EB">
              <w:t>3 395</w:t>
            </w:r>
            <w:r w:rsidR="00836669">
              <w:t> </w:t>
            </w:r>
            <w:r w:rsidR="008E4278" w:rsidRPr="00A945EB">
              <w:t>753</w:t>
            </w:r>
            <w:r w:rsidR="00836669">
              <w:t> </w:t>
            </w:r>
            <w:proofErr w:type="spellStart"/>
            <w:r w:rsidR="000B1845" w:rsidRPr="00A945EB">
              <w:rPr>
                <w:i/>
              </w:rPr>
              <w:t>euro</w:t>
            </w:r>
            <w:proofErr w:type="spellEnd"/>
            <w:r w:rsidR="000B1845" w:rsidRPr="00A945EB">
              <w:t xml:space="preserve"> uz 3 </w:t>
            </w:r>
            <w:r w:rsidR="008E4278" w:rsidRPr="00A945EB">
              <w:t>308</w:t>
            </w:r>
            <w:r w:rsidR="000B1845" w:rsidRPr="00A945EB">
              <w:t xml:space="preserve"> </w:t>
            </w:r>
            <w:r w:rsidR="008E4278" w:rsidRPr="00A945EB">
              <w:t>852</w:t>
            </w:r>
            <w:r w:rsidR="000B1845" w:rsidRPr="00A945EB">
              <w:t xml:space="preserve"> </w:t>
            </w:r>
            <w:proofErr w:type="spellStart"/>
            <w:r w:rsidR="000B1845" w:rsidRPr="00A945EB">
              <w:rPr>
                <w:i/>
              </w:rPr>
              <w:t>euro</w:t>
            </w:r>
            <w:proofErr w:type="spellEnd"/>
            <w:r w:rsidR="000B1845" w:rsidRPr="00A945EB">
              <w:t xml:space="preserve"> un privāto finansējumu no </w:t>
            </w:r>
            <w:r w:rsidR="008E4278" w:rsidRPr="00A945EB">
              <w:t>281</w:t>
            </w:r>
            <w:r w:rsidR="00836669">
              <w:t> </w:t>
            </w:r>
            <w:r w:rsidR="008E4278" w:rsidRPr="00A945EB">
              <w:t>2</w:t>
            </w:r>
            <w:r w:rsidR="000B1845" w:rsidRPr="00A945EB">
              <w:t>4</w:t>
            </w:r>
            <w:r w:rsidR="008E4278" w:rsidRPr="00A945EB">
              <w:t>1</w:t>
            </w:r>
            <w:r w:rsidR="000B1845" w:rsidRPr="00A945EB">
              <w:t xml:space="preserve"> </w:t>
            </w:r>
            <w:proofErr w:type="spellStart"/>
            <w:r w:rsidR="000B1845" w:rsidRPr="00A945EB">
              <w:rPr>
                <w:i/>
              </w:rPr>
              <w:t>euro</w:t>
            </w:r>
            <w:proofErr w:type="spellEnd"/>
            <w:r w:rsidR="000B1845" w:rsidRPr="00A945EB">
              <w:t xml:space="preserve"> uz </w:t>
            </w:r>
            <w:r w:rsidR="008E4278" w:rsidRPr="00A945EB">
              <w:t>2</w:t>
            </w:r>
            <w:r w:rsidR="000B1845" w:rsidRPr="00A945EB">
              <w:t>7</w:t>
            </w:r>
            <w:r w:rsidR="008E4278" w:rsidRPr="00A945EB">
              <w:t>4</w:t>
            </w:r>
            <w:r w:rsidR="000B1845" w:rsidRPr="00A945EB">
              <w:t xml:space="preserve"> </w:t>
            </w:r>
            <w:r w:rsidR="008E4278" w:rsidRPr="00A945EB">
              <w:t>0</w:t>
            </w:r>
            <w:r w:rsidR="000B1845" w:rsidRPr="00A945EB">
              <w:t>4</w:t>
            </w:r>
            <w:r w:rsidR="008E4278" w:rsidRPr="00A945EB">
              <w:t>2</w:t>
            </w:r>
            <w:r w:rsidR="000B1845" w:rsidRPr="00A945EB">
              <w:t xml:space="preserve"> </w:t>
            </w:r>
            <w:proofErr w:type="spellStart"/>
            <w:r w:rsidR="000B1845" w:rsidRPr="00A945EB">
              <w:rPr>
                <w:i/>
              </w:rPr>
              <w:t>euro</w:t>
            </w:r>
            <w:proofErr w:type="spellEnd"/>
            <w:r w:rsidR="000B1845" w:rsidRPr="00A945EB">
              <w:t>.</w:t>
            </w:r>
          </w:p>
          <w:p w14:paraId="5F523846" w14:textId="420C5C4B" w:rsidR="008509EF" w:rsidRPr="00A945EB" w:rsidRDefault="00E5065E" w:rsidP="00E5065E">
            <w:pPr>
              <w:ind w:left="124" w:right="146"/>
              <w:jc w:val="both"/>
            </w:pPr>
            <w:r w:rsidRPr="00A945EB">
              <w:t>DPP noteiktā 1.5.2</w:t>
            </w:r>
            <w:r w:rsidR="00DE4B2B">
              <w:t>. p</w:t>
            </w:r>
            <w:r w:rsidRPr="00A945EB">
              <w:t xml:space="preserve">asākumu </w:t>
            </w:r>
            <w:r w:rsidR="00DE4B2B">
              <w:t>"</w:t>
            </w:r>
            <w:r w:rsidRPr="00A945EB">
              <w:t>Cilvēkresursu kapacitātes stiprināšana</w:t>
            </w:r>
            <w:r w:rsidR="00DE4B2B">
              <w:t>"</w:t>
            </w:r>
            <w:r w:rsidRPr="00A945EB">
              <w:t xml:space="preserve"> Eiropas Sociālā fonda, valsts budžeta un privātā finansējuma procentuālās likmes paliek nemainīgas</w:t>
            </w:r>
          </w:p>
        </w:tc>
      </w:tr>
      <w:tr w:rsidR="00A945EB" w:rsidRPr="00A945EB" w14:paraId="5F52384B" w14:textId="77777777" w:rsidTr="00D43950">
        <w:trPr>
          <w:trHeight w:val="476"/>
        </w:trPr>
        <w:tc>
          <w:tcPr>
            <w:tcW w:w="360" w:type="dxa"/>
          </w:tcPr>
          <w:p w14:paraId="5F523848" w14:textId="77777777" w:rsidR="00262E2B" w:rsidRPr="00A945EB" w:rsidRDefault="00577816" w:rsidP="006C4607">
            <w:pPr>
              <w:pStyle w:val="naiskr"/>
              <w:spacing w:before="0" w:after="0"/>
            </w:pPr>
            <w:r w:rsidRPr="00A945EB">
              <w:lastRenderedPageBreak/>
              <w:t>3</w:t>
            </w:r>
            <w:r w:rsidR="00262E2B" w:rsidRPr="00A945EB">
              <w:t>.</w:t>
            </w:r>
          </w:p>
        </w:tc>
        <w:tc>
          <w:tcPr>
            <w:tcW w:w="2197" w:type="dxa"/>
          </w:tcPr>
          <w:p w14:paraId="5F523849" w14:textId="77777777" w:rsidR="00262E2B" w:rsidRPr="00A945EB" w:rsidRDefault="001A4066" w:rsidP="006C4607">
            <w:pPr>
              <w:pStyle w:val="naiskr"/>
              <w:spacing w:before="0" w:after="0"/>
            </w:pPr>
            <w:r w:rsidRPr="00A945EB">
              <w:t>Projekta i</w:t>
            </w:r>
            <w:r w:rsidR="00262E2B" w:rsidRPr="00A945EB">
              <w:t>zstrād</w:t>
            </w:r>
            <w:r w:rsidR="00420870" w:rsidRPr="00A945EB">
              <w:t xml:space="preserve">ē </w:t>
            </w:r>
            <w:r w:rsidR="00262E2B" w:rsidRPr="00A945EB">
              <w:t>iesaistītās institūcijas</w:t>
            </w:r>
          </w:p>
        </w:tc>
        <w:tc>
          <w:tcPr>
            <w:tcW w:w="6808" w:type="dxa"/>
          </w:tcPr>
          <w:p w14:paraId="5F52384A" w14:textId="77777777" w:rsidR="00262E2B" w:rsidRPr="00A945EB" w:rsidRDefault="002D664B" w:rsidP="00306013">
            <w:pPr>
              <w:pStyle w:val="naiskr"/>
              <w:spacing w:before="0" w:after="0"/>
              <w:ind w:left="180" w:right="180"/>
              <w:jc w:val="both"/>
            </w:pPr>
            <w:r w:rsidRPr="00A945EB">
              <w:rPr>
                <w:iCs/>
              </w:rPr>
              <w:t xml:space="preserve">Valsts kancelejas Eiropas Savienības struktūrfondu departaments </w:t>
            </w:r>
          </w:p>
        </w:tc>
      </w:tr>
      <w:tr w:rsidR="00A945EB" w:rsidRPr="00A945EB" w14:paraId="5F52384F" w14:textId="77777777" w:rsidTr="00D43950">
        <w:tc>
          <w:tcPr>
            <w:tcW w:w="360" w:type="dxa"/>
          </w:tcPr>
          <w:p w14:paraId="5F52384C" w14:textId="77777777" w:rsidR="00262E2B" w:rsidRPr="00A945EB" w:rsidRDefault="00262E2B" w:rsidP="006C4607">
            <w:pPr>
              <w:pStyle w:val="naiskr"/>
              <w:spacing w:before="0" w:after="0"/>
            </w:pPr>
            <w:r w:rsidRPr="00A945EB">
              <w:t>7.</w:t>
            </w:r>
          </w:p>
        </w:tc>
        <w:tc>
          <w:tcPr>
            <w:tcW w:w="2197" w:type="dxa"/>
          </w:tcPr>
          <w:p w14:paraId="5F52384D" w14:textId="77777777" w:rsidR="00262E2B" w:rsidRPr="00A945EB" w:rsidRDefault="00262E2B" w:rsidP="006C4607">
            <w:pPr>
              <w:pStyle w:val="naiskr"/>
              <w:spacing w:before="0" w:after="0"/>
            </w:pPr>
            <w:r w:rsidRPr="00A945EB">
              <w:t>Cita informācija</w:t>
            </w:r>
          </w:p>
        </w:tc>
        <w:tc>
          <w:tcPr>
            <w:tcW w:w="6808" w:type="dxa"/>
          </w:tcPr>
          <w:p w14:paraId="5F52384E" w14:textId="77777777" w:rsidR="00262E2B" w:rsidRPr="00A945EB" w:rsidRDefault="00262E2B" w:rsidP="00306013">
            <w:pPr>
              <w:pStyle w:val="naiskr"/>
              <w:spacing w:before="0" w:after="0"/>
              <w:ind w:left="180"/>
            </w:pPr>
            <w:r w:rsidRPr="00A945EB">
              <w:t>Nav</w:t>
            </w:r>
          </w:p>
        </w:tc>
      </w:tr>
      <w:tr w:rsidR="00A945EB" w:rsidRPr="00A945EB" w14:paraId="5F523851" w14:textId="77777777">
        <w:tc>
          <w:tcPr>
            <w:tcW w:w="9365" w:type="dxa"/>
            <w:gridSpan w:val="3"/>
          </w:tcPr>
          <w:p w14:paraId="5F523850" w14:textId="6F3D8854" w:rsidR="00CD18E4" w:rsidRPr="00A945EB" w:rsidRDefault="00CD18E4" w:rsidP="00A8305D">
            <w:pPr>
              <w:pStyle w:val="naiskr"/>
              <w:spacing w:before="0" w:after="0"/>
              <w:ind w:left="180"/>
              <w:jc w:val="center"/>
            </w:pPr>
            <w:r w:rsidRPr="00A945EB">
              <w:t>Anotācijas</w:t>
            </w:r>
            <w:r w:rsidR="001C0534" w:rsidRPr="00A945EB">
              <w:t xml:space="preserve"> II un III </w:t>
            </w:r>
            <w:r w:rsidRPr="00A945EB">
              <w:t xml:space="preserve">sadaļa – </w:t>
            </w:r>
            <w:r w:rsidR="00A8305D" w:rsidRPr="00A945EB">
              <w:t>projekts šīs jomas neskar</w:t>
            </w:r>
          </w:p>
        </w:tc>
      </w:tr>
    </w:tbl>
    <w:p w14:paraId="5F523852" w14:textId="77777777" w:rsidR="000C1F89" w:rsidRPr="00A945EB" w:rsidRDefault="000C1F89" w:rsidP="006C4607">
      <w:pPr>
        <w:pStyle w:val="naiskr"/>
        <w:tabs>
          <w:tab w:val="left" w:pos="2628"/>
        </w:tabs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487"/>
        <w:gridCol w:w="6344"/>
      </w:tblGrid>
      <w:tr w:rsidR="00A945EB" w:rsidRPr="00A945EB" w14:paraId="5F523854" w14:textId="77777777" w:rsidTr="004E6885">
        <w:trPr>
          <w:trHeight w:val="553"/>
        </w:trPr>
        <w:tc>
          <w:tcPr>
            <w:tcW w:w="9287" w:type="dxa"/>
            <w:gridSpan w:val="3"/>
            <w:vAlign w:val="center"/>
          </w:tcPr>
          <w:p w14:paraId="5F523853" w14:textId="77777777" w:rsidR="000C1F89" w:rsidRPr="00A945EB" w:rsidRDefault="000C1F89" w:rsidP="004E6885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A945EB">
              <w:rPr>
                <w:b/>
                <w:lang w:bidi="lo-LA"/>
              </w:rPr>
              <w:t>IV. Tiesību akta projekta ietekme uz spēkā esošo tiesību normu sistēmu</w:t>
            </w:r>
          </w:p>
        </w:tc>
      </w:tr>
      <w:tr w:rsidR="00A945EB" w:rsidRPr="00A945EB" w14:paraId="5F523858" w14:textId="77777777" w:rsidTr="001521CC">
        <w:tc>
          <w:tcPr>
            <w:tcW w:w="456" w:type="dxa"/>
          </w:tcPr>
          <w:p w14:paraId="5F523855" w14:textId="77777777" w:rsidR="000C1F89" w:rsidRPr="00A945EB" w:rsidRDefault="000C1F89" w:rsidP="004E6885">
            <w:pPr>
              <w:spacing w:before="100" w:beforeAutospacing="1" w:after="100" w:afterAutospacing="1"/>
              <w:rPr>
                <w:lang w:bidi="lo-LA"/>
              </w:rPr>
            </w:pPr>
            <w:r w:rsidRPr="00A945EB">
              <w:rPr>
                <w:lang w:bidi="lo-LA"/>
              </w:rPr>
              <w:t> 1.</w:t>
            </w:r>
          </w:p>
        </w:tc>
        <w:tc>
          <w:tcPr>
            <w:tcW w:w="2487" w:type="dxa"/>
          </w:tcPr>
          <w:p w14:paraId="5F523856" w14:textId="77777777" w:rsidR="000C1F89" w:rsidRPr="00A945EB" w:rsidRDefault="000C1F89" w:rsidP="004E6885">
            <w:pPr>
              <w:spacing w:before="100" w:beforeAutospacing="1" w:after="100" w:afterAutospacing="1"/>
              <w:rPr>
                <w:lang w:bidi="lo-LA"/>
              </w:rPr>
            </w:pPr>
            <w:r w:rsidRPr="00A945EB">
              <w:rPr>
                <w:lang w:bidi="lo-LA"/>
              </w:rPr>
              <w:t>Nepieciešamie saistītie tiesību aktu projekti</w:t>
            </w:r>
          </w:p>
        </w:tc>
        <w:tc>
          <w:tcPr>
            <w:tcW w:w="6344" w:type="dxa"/>
            <w:vAlign w:val="center"/>
          </w:tcPr>
          <w:p w14:paraId="5F523857" w14:textId="26A3EB9D" w:rsidR="002245C0" w:rsidRPr="00A945EB" w:rsidRDefault="00903235" w:rsidP="00F642E5">
            <w:pPr>
              <w:pStyle w:val="NormalWeb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945EB">
              <w:t>Nepieciešams veikt grozījumu DPP (apstiprināts ar Ministru kabineta 2008</w:t>
            </w:r>
            <w:r w:rsidR="00DE4B2B">
              <w:t>. g</w:t>
            </w:r>
            <w:r w:rsidRPr="00A945EB">
              <w:t>ada 9</w:t>
            </w:r>
            <w:r w:rsidR="00DE4B2B">
              <w:t>. a</w:t>
            </w:r>
            <w:r w:rsidRPr="00A945EB">
              <w:t xml:space="preserve">prīļa rīkojumu Nr.197 </w:t>
            </w:r>
            <w:r w:rsidR="00DE4B2B">
              <w:t>"</w:t>
            </w:r>
            <w:r w:rsidRPr="00A945EB">
              <w:t xml:space="preserve">Par darbības programmas </w:t>
            </w:r>
            <w:r w:rsidR="00DE4B2B">
              <w:t>"</w:t>
            </w:r>
            <w:r w:rsidRPr="00A945EB">
              <w:t>Cilvēkresursi un nodarbinātība</w:t>
            </w:r>
            <w:r w:rsidR="00DE4B2B">
              <w:t>"</w:t>
            </w:r>
            <w:r w:rsidRPr="00A945EB">
              <w:t xml:space="preserve"> papildinājuma apstiprināšanu</w:t>
            </w:r>
            <w:r w:rsidR="00DE4B2B">
              <w:t>"</w:t>
            </w:r>
            <w:r w:rsidRPr="00A945EB">
              <w:t>), precizējot 1.5.2.2.1., 1.5.2.2.2. un 1.5.2.2.3</w:t>
            </w:r>
            <w:r w:rsidR="00DE4B2B">
              <w:t>. a</w:t>
            </w:r>
            <w:r w:rsidRPr="00A945EB">
              <w:t>pakšaktivitātes finansējumu. Noteikumu projekts izskatāms Ministru kabinetā vienlaicīgi ar grozījumu DPP</w:t>
            </w:r>
            <w:r w:rsidR="00F642E5" w:rsidRPr="00A945EB">
              <w:t xml:space="preserve"> un</w:t>
            </w:r>
            <w:r w:rsidRPr="00A945EB">
              <w:t xml:space="preserve"> grozījumu Ministru kabineta 2008</w:t>
            </w:r>
            <w:r w:rsidR="00DE4B2B">
              <w:t>. g</w:t>
            </w:r>
            <w:r w:rsidRPr="00A945EB">
              <w:t>ada 2</w:t>
            </w:r>
            <w:r w:rsidR="00DE4B2B">
              <w:t>. j</w:t>
            </w:r>
            <w:r w:rsidRPr="00A945EB">
              <w:t xml:space="preserve">ūnija noteikumos Nr.396 </w:t>
            </w:r>
            <w:r w:rsidR="00DE4B2B">
              <w:t>"</w:t>
            </w:r>
            <w:r w:rsidRPr="00A945EB">
              <w:t xml:space="preserve">Noteikumi par darbības programmas </w:t>
            </w:r>
            <w:r w:rsidR="00DE4B2B">
              <w:t>"</w:t>
            </w:r>
            <w:r w:rsidRPr="00A945EB">
              <w:t>Cilvēkresursi un nodarbinātība</w:t>
            </w:r>
            <w:r w:rsidR="00DE4B2B">
              <w:t>"</w:t>
            </w:r>
            <w:r w:rsidRPr="00A945EB">
              <w:t xml:space="preserve"> papildinājuma apakšaktivitāti </w:t>
            </w:r>
            <w:r w:rsidR="00DE4B2B">
              <w:t>"</w:t>
            </w:r>
            <w:r w:rsidRPr="00A945EB">
              <w:t>Sociālo partneru administratīvās kapacitātes stiprināšana</w:t>
            </w:r>
            <w:r w:rsidR="00DE4B2B">
              <w:t>""</w:t>
            </w:r>
          </w:p>
        </w:tc>
      </w:tr>
      <w:tr w:rsidR="00A945EB" w:rsidRPr="00A945EB" w14:paraId="5F52385C" w14:textId="77777777" w:rsidTr="001521CC">
        <w:tc>
          <w:tcPr>
            <w:tcW w:w="456" w:type="dxa"/>
          </w:tcPr>
          <w:p w14:paraId="5F523859" w14:textId="28529D25" w:rsidR="00EF17F4" w:rsidRPr="00A945EB" w:rsidRDefault="00EF17F4" w:rsidP="00F35745">
            <w:r w:rsidRPr="00A945EB">
              <w:lastRenderedPageBreak/>
              <w:t>3.</w:t>
            </w:r>
          </w:p>
        </w:tc>
        <w:tc>
          <w:tcPr>
            <w:tcW w:w="2487" w:type="dxa"/>
          </w:tcPr>
          <w:p w14:paraId="5F52385A" w14:textId="77777777" w:rsidR="00EF17F4" w:rsidRPr="00A945EB" w:rsidRDefault="00EF17F4" w:rsidP="00EF17F4">
            <w:r w:rsidRPr="00A945EB">
              <w:t>Atbildīgā institūcija</w:t>
            </w:r>
          </w:p>
        </w:tc>
        <w:tc>
          <w:tcPr>
            <w:tcW w:w="6344" w:type="dxa"/>
          </w:tcPr>
          <w:p w14:paraId="5F52385B" w14:textId="77777777" w:rsidR="00EF17F4" w:rsidRPr="00A945EB" w:rsidRDefault="00EF17F4" w:rsidP="00F35745">
            <w:r w:rsidRPr="00A945EB">
              <w:t xml:space="preserve">Valsts kancelejas Eiropas Savienības struktūrfondu departaments </w:t>
            </w:r>
          </w:p>
        </w:tc>
      </w:tr>
      <w:tr w:rsidR="00A945EB" w:rsidRPr="00A945EB" w14:paraId="5F523860" w14:textId="77777777" w:rsidTr="001521CC">
        <w:tc>
          <w:tcPr>
            <w:tcW w:w="456" w:type="dxa"/>
          </w:tcPr>
          <w:p w14:paraId="5F52385D" w14:textId="77777777" w:rsidR="000C1F89" w:rsidRPr="00A945EB" w:rsidRDefault="000C1F89" w:rsidP="004E6885">
            <w:pPr>
              <w:spacing w:before="100" w:beforeAutospacing="1" w:after="100" w:afterAutospacing="1"/>
              <w:rPr>
                <w:lang w:bidi="lo-LA"/>
              </w:rPr>
            </w:pPr>
            <w:r w:rsidRPr="00A945EB">
              <w:rPr>
                <w:lang w:bidi="lo-LA"/>
              </w:rPr>
              <w:t> 2.</w:t>
            </w:r>
          </w:p>
        </w:tc>
        <w:tc>
          <w:tcPr>
            <w:tcW w:w="2487" w:type="dxa"/>
          </w:tcPr>
          <w:p w14:paraId="5F52385E" w14:textId="77777777" w:rsidR="000C1F89" w:rsidRPr="00A945EB" w:rsidRDefault="000C1F89" w:rsidP="004E6885">
            <w:pPr>
              <w:spacing w:before="100" w:beforeAutospacing="1" w:after="100" w:afterAutospacing="1"/>
              <w:rPr>
                <w:lang w:bidi="lo-LA"/>
              </w:rPr>
            </w:pPr>
            <w:r w:rsidRPr="00A945EB">
              <w:rPr>
                <w:lang w:bidi="lo-LA"/>
              </w:rPr>
              <w:t>Cita informācija</w:t>
            </w:r>
          </w:p>
        </w:tc>
        <w:tc>
          <w:tcPr>
            <w:tcW w:w="6344" w:type="dxa"/>
            <w:vAlign w:val="center"/>
          </w:tcPr>
          <w:p w14:paraId="5F52385F" w14:textId="77777777" w:rsidR="000C1F89" w:rsidRPr="00A945EB" w:rsidRDefault="000C1F89" w:rsidP="004E6885">
            <w:pPr>
              <w:autoSpaceDE w:val="0"/>
              <w:autoSpaceDN w:val="0"/>
              <w:adjustRightInd w:val="0"/>
              <w:jc w:val="both"/>
            </w:pPr>
            <w:r w:rsidRPr="00A945EB">
              <w:t>Nav</w:t>
            </w:r>
          </w:p>
        </w:tc>
      </w:tr>
      <w:tr w:rsidR="000C1F89" w:rsidRPr="00A945EB" w14:paraId="5F523862" w14:textId="77777777" w:rsidTr="004E6885">
        <w:tc>
          <w:tcPr>
            <w:tcW w:w="9287" w:type="dxa"/>
            <w:gridSpan w:val="3"/>
          </w:tcPr>
          <w:p w14:paraId="5F523861" w14:textId="0AC9E93A" w:rsidR="000C1F89" w:rsidRPr="00A945EB" w:rsidRDefault="000C1F89" w:rsidP="00A83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45EB">
              <w:t xml:space="preserve">Anotācijas V, VI, un VII sadaļa – </w:t>
            </w:r>
            <w:r w:rsidR="00A8305D" w:rsidRPr="00A945EB">
              <w:t>projekts šīs jomas neskar</w:t>
            </w:r>
          </w:p>
        </w:tc>
      </w:tr>
    </w:tbl>
    <w:p w14:paraId="5F523863" w14:textId="77777777" w:rsidR="000C1F89" w:rsidRDefault="000C1F89" w:rsidP="006C4607">
      <w:pPr>
        <w:pStyle w:val="naiskr"/>
        <w:tabs>
          <w:tab w:val="left" w:pos="2628"/>
        </w:tabs>
        <w:spacing w:before="0" w:after="0"/>
        <w:rPr>
          <w:sz w:val="28"/>
          <w:szCs w:val="28"/>
        </w:rPr>
      </w:pPr>
    </w:p>
    <w:p w14:paraId="16A8A468" w14:textId="77777777" w:rsidR="00DE4B2B" w:rsidRPr="00DE4B2B" w:rsidRDefault="00DE4B2B" w:rsidP="006C4607">
      <w:pPr>
        <w:pStyle w:val="naiskr"/>
        <w:tabs>
          <w:tab w:val="left" w:pos="2628"/>
        </w:tabs>
        <w:spacing w:before="0" w:after="0"/>
        <w:rPr>
          <w:sz w:val="28"/>
          <w:szCs w:val="28"/>
        </w:rPr>
      </w:pPr>
    </w:p>
    <w:p w14:paraId="5F523864" w14:textId="77777777" w:rsidR="000C1F89" w:rsidRPr="00DE4B2B" w:rsidRDefault="000C1F89" w:rsidP="006C4607">
      <w:pPr>
        <w:pStyle w:val="naiskr"/>
        <w:tabs>
          <w:tab w:val="left" w:pos="2628"/>
        </w:tabs>
        <w:spacing w:before="0" w:after="0"/>
        <w:rPr>
          <w:i/>
          <w:sz w:val="28"/>
          <w:szCs w:val="28"/>
        </w:rPr>
      </w:pPr>
    </w:p>
    <w:p w14:paraId="0821E05A" w14:textId="77777777" w:rsidR="00DE4B2B" w:rsidRDefault="00DE4B2B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5F523865" w14:textId="79172636" w:rsidR="00395C6B" w:rsidRPr="00DE4B2B" w:rsidRDefault="00395C6B" w:rsidP="00395C6B">
      <w:pPr>
        <w:pStyle w:val="Signature"/>
        <w:widowControl/>
        <w:tabs>
          <w:tab w:val="left" w:pos="6820"/>
        </w:tabs>
        <w:spacing w:before="0"/>
        <w:ind w:firstLine="0"/>
        <w:rPr>
          <w:sz w:val="28"/>
          <w:szCs w:val="28"/>
          <w:lang w:val="lv-LV"/>
        </w:rPr>
      </w:pPr>
    </w:p>
    <w:p w14:paraId="5F523866" w14:textId="77777777" w:rsidR="00395C6B" w:rsidRPr="00DE4B2B" w:rsidRDefault="00395C6B" w:rsidP="00395C6B">
      <w:pPr>
        <w:pStyle w:val="EnvelopeReturn"/>
        <w:spacing w:before="0"/>
        <w:rPr>
          <w:sz w:val="28"/>
          <w:szCs w:val="28"/>
          <w:lang w:val="lv-LV"/>
        </w:rPr>
      </w:pPr>
    </w:p>
    <w:p w14:paraId="5F523867" w14:textId="77777777" w:rsidR="00395C6B" w:rsidRPr="00DE4B2B" w:rsidRDefault="00395C6B" w:rsidP="00395C6B">
      <w:pPr>
        <w:pStyle w:val="EnvelopeReturn"/>
        <w:spacing w:before="0"/>
        <w:rPr>
          <w:sz w:val="28"/>
          <w:szCs w:val="28"/>
          <w:lang w:val="lv-LV"/>
        </w:rPr>
      </w:pPr>
    </w:p>
    <w:p w14:paraId="3A1A304F" w14:textId="77777777" w:rsidR="00D43950" w:rsidRPr="00DE4B2B" w:rsidRDefault="00395C6B" w:rsidP="00DE4B2B">
      <w:pPr>
        <w:pStyle w:val="Signature"/>
        <w:widowControl/>
        <w:tabs>
          <w:tab w:val="left" w:pos="6820"/>
        </w:tabs>
        <w:spacing w:before="0"/>
        <w:ind w:firstLine="709"/>
        <w:rPr>
          <w:sz w:val="28"/>
          <w:szCs w:val="28"/>
          <w:lang w:val="lv-LV"/>
        </w:rPr>
      </w:pPr>
      <w:r w:rsidRPr="00DE4B2B">
        <w:rPr>
          <w:sz w:val="28"/>
          <w:szCs w:val="28"/>
          <w:lang w:val="lv-LV"/>
        </w:rPr>
        <w:t xml:space="preserve">Vizē: </w:t>
      </w:r>
    </w:p>
    <w:p w14:paraId="5F523868" w14:textId="270C4E7B" w:rsidR="00395C6B" w:rsidRPr="00DE4B2B" w:rsidRDefault="00395C6B" w:rsidP="00DE4B2B">
      <w:pPr>
        <w:pStyle w:val="Signature"/>
        <w:widowControl/>
        <w:tabs>
          <w:tab w:val="left" w:pos="6820"/>
        </w:tabs>
        <w:spacing w:before="0"/>
        <w:ind w:firstLine="709"/>
        <w:rPr>
          <w:sz w:val="28"/>
          <w:szCs w:val="28"/>
          <w:lang w:val="lv-LV"/>
        </w:rPr>
      </w:pPr>
      <w:r w:rsidRPr="00DE4B2B">
        <w:rPr>
          <w:sz w:val="28"/>
          <w:szCs w:val="28"/>
          <w:lang w:val="lv-LV"/>
        </w:rPr>
        <w:t>Valsts kancelejas direktore</w:t>
      </w:r>
      <w:r w:rsidRPr="00DE4B2B">
        <w:rPr>
          <w:sz w:val="28"/>
          <w:szCs w:val="28"/>
          <w:u w:val="single"/>
          <w:lang w:val="lv-LV"/>
        </w:rPr>
        <w:tab/>
      </w:r>
      <w:r w:rsidR="003600AF" w:rsidRPr="00DE4B2B">
        <w:rPr>
          <w:sz w:val="28"/>
          <w:szCs w:val="28"/>
          <w:lang w:val="lv-LV"/>
        </w:rPr>
        <w:t>E</w:t>
      </w:r>
      <w:r w:rsidR="00DE4B2B">
        <w:rPr>
          <w:sz w:val="28"/>
          <w:szCs w:val="28"/>
          <w:lang w:val="lv-LV"/>
        </w:rPr>
        <w:t>lita D</w:t>
      </w:r>
      <w:r w:rsidR="003600AF" w:rsidRPr="00DE4B2B">
        <w:rPr>
          <w:sz w:val="28"/>
          <w:szCs w:val="28"/>
          <w:lang w:val="lv-LV"/>
        </w:rPr>
        <w:t>reimane</w:t>
      </w:r>
    </w:p>
    <w:p w14:paraId="5F523869" w14:textId="77777777" w:rsidR="00721B5C" w:rsidRPr="00DE4B2B" w:rsidRDefault="00721B5C" w:rsidP="00395C6B">
      <w:pPr>
        <w:jc w:val="both"/>
        <w:rPr>
          <w:sz w:val="28"/>
          <w:szCs w:val="28"/>
        </w:rPr>
      </w:pPr>
    </w:p>
    <w:p w14:paraId="5F52386A" w14:textId="77777777" w:rsidR="00507528" w:rsidRPr="00DE4B2B" w:rsidRDefault="00507528" w:rsidP="00395C6B">
      <w:pPr>
        <w:jc w:val="both"/>
        <w:rPr>
          <w:sz w:val="28"/>
          <w:szCs w:val="28"/>
        </w:rPr>
      </w:pPr>
    </w:p>
    <w:p w14:paraId="5F52386B" w14:textId="77777777" w:rsidR="00395C6B" w:rsidRPr="00A945EB" w:rsidRDefault="00BA42B8" w:rsidP="00395C6B">
      <w:pPr>
        <w:jc w:val="both"/>
      </w:pPr>
      <w:r w:rsidRPr="00A945EB">
        <w:fldChar w:fldCharType="begin"/>
      </w:r>
      <w:r w:rsidR="00395C6B" w:rsidRPr="00A945EB">
        <w:instrText xml:space="preserve"> TIME  \@ "yyyy.MM.dd. H:mm"  \* MERGEFORMAT </w:instrText>
      </w:r>
      <w:r w:rsidRPr="00A945EB">
        <w:fldChar w:fldCharType="separate"/>
      </w:r>
      <w:r w:rsidR="00836669">
        <w:rPr>
          <w:noProof/>
        </w:rPr>
        <w:t>2014.04.16. 16:42</w:t>
      </w:r>
      <w:r w:rsidRPr="00A945EB">
        <w:fldChar w:fldCharType="end"/>
      </w:r>
    </w:p>
    <w:p w14:paraId="5F52386C" w14:textId="4A636557" w:rsidR="00395C6B" w:rsidRPr="00A945EB" w:rsidRDefault="00DE4B2B" w:rsidP="00395C6B">
      <w:pPr>
        <w:jc w:val="both"/>
      </w:pPr>
      <w:r>
        <w:t>6</w:t>
      </w:r>
      <w:r w:rsidR="00836669">
        <w:t>77</w:t>
      </w:r>
      <w:bookmarkStart w:id="0" w:name="_GoBack"/>
      <w:bookmarkEnd w:id="0"/>
    </w:p>
    <w:p w14:paraId="5F52386D" w14:textId="7F0511A3" w:rsidR="00AF5348" w:rsidRPr="00A945EB" w:rsidRDefault="00A37F4F" w:rsidP="00AF5348">
      <w:pPr>
        <w:jc w:val="both"/>
      </w:pPr>
      <w:r w:rsidRPr="00A945EB">
        <w:t>Garkalne</w:t>
      </w:r>
      <w:r w:rsidR="000E4EDC" w:rsidRPr="00A945EB">
        <w:t>,</w:t>
      </w:r>
      <w:r w:rsidR="00D8614D" w:rsidRPr="00A945EB">
        <w:t xml:space="preserve"> 670829</w:t>
      </w:r>
      <w:r w:rsidRPr="00A945EB">
        <w:t>50</w:t>
      </w:r>
    </w:p>
    <w:p w14:paraId="5F52386E" w14:textId="043513D6" w:rsidR="00AF5348" w:rsidRPr="00A945EB" w:rsidRDefault="00836669" w:rsidP="00AF5348">
      <w:pPr>
        <w:jc w:val="both"/>
      </w:pPr>
      <w:hyperlink r:id="rId9" w:history="1">
        <w:r w:rsidRPr="00C95AF3">
          <w:rPr>
            <w:rStyle w:val="Hyperlink"/>
          </w:rPr>
          <w:t>Maruta.garkalne@mk.gov.lv</w:t>
        </w:r>
      </w:hyperlink>
      <w:r w:rsidR="00F920BE" w:rsidRPr="00A945EB">
        <w:t xml:space="preserve"> </w:t>
      </w:r>
    </w:p>
    <w:p w14:paraId="5F52386F" w14:textId="77777777" w:rsidR="00871D2C" w:rsidRPr="00A945EB" w:rsidRDefault="00871D2C" w:rsidP="00AF5348">
      <w:pPr>
        <w:jc w:val="both"/>
      </w:pPr>
    </w:p>
    <w:sectPr w:rsidR="00871D2C" w:rsidRPr="00A945EB" w:rsidSect="00DE4B2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3872" w14:textId="77777777" w:rsidR="00567037" w:rsidRDefault="00567037">
      <w:r>
        <w:separator/>
      </w:r>
    </w:p>
  </w:endnote>
  <w:endnote w:type="continuationSeparator" w:id="0">
    <w:p w14:paraId="5F523873" w14:textId="77777777" w:rsidR="00567037" w:rsidRDefault="0056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VAGRounded TL"/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1FB9B" w14:textId="77777777" w:rsidR="00DE4B2B" w:rsidRPr="00DE4B2B" w:rsidRDefault="00DE4B2B" w:rsidP="00DE4B2B">
    <w:pPr>
      <w:spacing w:after="120"/>
      <w:jc w:val="both"/>
      <w:rPr>
        <w:sz w:val="16"/>
      </w:rPr>
    </w:pPr>
    <w:r w:rsidRPr="00DE4B2B">
      <w:rPr>
        <w:sz w:val="16"/>
      </w:rPr>
      <w:fldChar w:fldCharType="begin"/>
    </w:r>
    <w:r w:rsidRPr="00DE4B2B">
      <w:rPr>
        <w:sz w:val="16"/>
      </w:rPr>
      <w:instrText xml:space="preserve"> FILENAME  \* MERGEFORMAT </w:instrText>
    </w:r>
    <w:r w:rsidRPr="00DE4B2B">
      <w:rPr>
        <w:sz w:val="16"/>
      </w:rPr>
      <w:fldChar w:fldCharType="separate"/>
    </w:r>
    <w:r w:rsidR="00836669">
      <w:rPr>
        <w:noProof/>
        <w:sz w:val="16"/>
      </w:rPr>
      <w:t>MKAnot_groz963_3103201420140415170559</w:t>
    </w:r>
    <w:r w:rsidRPr="00DE4B2B">
      <w:rPr>
        <w:sz w:val="16"/>
      </w:rPr>
      <w:fldChar w:fldCharType="end"/>
    </w:r>
    <w:r>
      <w:rPr>
        <w:sz w:val="16"/>
      </w:rPr>
      <w:t xml:space="preserve"> </w:t>
    </w:r>
    <w:r>
      <w:rPr>
        <w:sz w:val="20"/>
        <w:szCs w:val="20"/>
      </w:rPr>
      <w:t xml:space="preserve">Ministru kabineta noteikumu projekts </w:t>
    </w:r>
    <w:r w:rsidRPr="00856AF3">
      <w:rPr>
        <w:sz w:val="20"/>
        <w:szCs w:val="20"/>
      </w:rPr>
      <w:t>"Grozījum</w:t>
    </w:r>
    <w:r>
      <w:rPr>
        <w:sz w:val="20"/>
        <w:szCs w:val="20"/>
      </w:rPr>
      <w:t>s</w:t>
    </w:r>
    <w:r w:rsidRPr="00856AF3">
      <w:rPr>
        <w:sz w:val="20"/>
        <w:szCs w:val="20"/>
      </w:rPr>
      <w:t xml:space="preserve"> Ministru kabineta 2008.gada 25.novembra noteikumos Nr.963 "Noteikumi par darbības programmas "Cilvēkresursi un nodarbinātība" papildinājuma 1.5.2.2.2.apakšaktivitāti "Nevalstisko organizāciju administratīvās kapacitātes stiprināšana""</w:t>
    </w:r>
    <w:r>
      <w:rPr>
        <w:sz w:val="20"/>
        <w:szCs w:val="20"/>
      </w:rPr>
      <w:t xml:space="preserve"> (24278)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387D" w14:textId="6F83AEFA" w:rsidR="00567037" w:rsidRPr="00DE4B2B" w:rsidRDefault="00DE4B2B" w:rsidP="00DE4B2B">
    <w:pPr>
      <w:spacing w:after="120"/>
      <w:jc w:val="both"/>
      <w:rPr>
        <w:sz w:val="16"/>
      </w:rPr>
    </w:pPr>
    <w:r w:rsidRPr="00DE4B2B">
      <w:rPr>
        <w:sz w:val="16"/>
      </w:rPr>
      <w:fldChar w:fldCharType="begin"/>
    </w:r>
    <w:r w:rsidRPr="00DE4B2B">
      <w:rPr>
        <w:sz w:val="16"/>
      </w:rPr>
      <w:instrText xml:space="preserve"> FILENAME  \* MERGEFORMAT </w:instrText>
    </w:r>
    <w:r w:rsidRPr="00DE4B2B">
      <w:rPr>
        <w:sz w:val="16"/>
      </w:rPr>
      <w:fldChar w:fldCharType="separate"/>
    </w:r>
    <w:r w:rsidR="00836669">
      <w:rPr>
        <w:noProof/>
        <w:sz w:val="16"/>
      </w:rPr>
      <w:t>MKAnot_groz963_3103201420140415170559</w:t>
    </w:r>
    <w:r w:rsidRPr="00DE4B2B">
      <w:rPr>
        <w:sz w:val="16"/>
      </w:rPr>
      <w:fldChar w:fldCharType="end"/>
    </w:r>
    <w:r>
      <w:rPr>
        <w:sz w:val="16"/>
      </w:rPr>
      <w:t xml:space="preserve"> </w:t>
    </w:r>
    <w:r>
      <w:rPr>
        <w:sz w:val="20"/>
        <w:szCs w:val="20"/>
      </w:rPr>
      <w:t xml:space="preserve">Ministru kabineta noteikumu projekts </w:t>
    </w:r>
    <w:r w:rsidRPr="00856AF3">
      <w:rPr>
        <w:sz w:val="20"/>
        <w:szCs w:val="20"/>
      </w:rPr>
      <w:t>"Grozījum</w:t>
    </w:r>
    <w:r>
      <w:rPr>
        <w:sz w:val="20"/>
        <w:szCs w:val="20"/>
      </w:rPr>
      <w:t>s</w:t>
    </w:r>
    <w:r w:rsidRPr="00856AF3">
      <w:rPr>
        <w:sz w:val="20"/>
        <w:szCs w:val="20"/>
      </w:rPr>
      <w:t xml:space="preserve"> Ministru kabineta 2008.gada 25.novembra noteikumos Nr.963 "Noteikumi par darbības programmas "Cilvēkresursi un nodarbinātība" papildinājuma 1.5.2.2.2.apakšaktivitāti "Nevalstisko organizāciju administratīvās kapacitātes stiprināšana""</w:t>
    </w:r>
    <w:r>
      <w:rPr>
        <w:sz w:val="20"/>
        <w:szCs w:val="20"/>
      </w:rPr>
      <w:t xml:space="preserve"> (24278)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23870" w14:textId="77777777" w:rsidR="00567037" w:rsidRDefault="00567037">
      <w:r>
        <w:separator/>
      </w:r>
    </w:p>
  </w:footnote>
  <w:footnote w:type="continuationSeparator" w:id="0">
    <w:p w14:paraId="5F523871" w14:textId="77777777" w:rsidR="00567037" w:rsidRDefault="0056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3874" w14:textId="77777777" w:rsidR="00567037" w:rsidRDefault="0056703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23875" w14:textId="77777777" w:rsidR="00567037" w:rsidRDefault="00567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3876" w14:textId="77777777" w:rsidR="00567037" w:rsidRDefault="0056703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66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523877" w14:textId="77777777" w:rsidR="00567037" w:rsidRDefault="00567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8583A"/>
    <w:multiLevelType w:val="hybridMultilevel"/>
    <w:tmpl w:val="AD865A30"/>
    <w:lvl w:ilvl="0" w:tplc="3FD67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A0E8C"/>
    <w:multiLevelType w:val="multilevel"/>
    <w:tmpl w:val="C03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29073A"/>
    <w:multiLevelType w:val="hybridMultilevel"/>
    <w:tmpl w:val="EE3040FE"/>
    <w:lvl w:ilvl="0" w:tplc="3FD67F12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>
    <w:nsid w:val="6AD96420"/>
    <w:multiLevelType w:val="hybridMultilevel"/>
    <w:tmpl w:val="C030A4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10798"/>
    <w:rsid w:val="00011D24"/>
    <w:rsid w:val="00013DA8"/>
    <w:rsid w:val="00013FF4"/>
    <w:rsid w:val="00014A55"/>
    <w:rsid w:val="00020148"/>
    <w:rsid w:val="00020FE1"/>
    <w:rsid w:val="00022E02"/>
    <w:rsid w:val="00022E13"/>
    <w:rsid w:val="000230E8"/>
    <w:rsid w:val="000255E3"/>
    <w:rsid w:val="00026FB5"/>
    <w:rsid w:val="00032388"/>
    <w:rsid w:val="00035CE2"/>
    <w:rsid w:val="0004200C"/>
    <w:rsid w:val="00047245"/>
    <w:rsid w:val="00051234"/>
    <w:rsid w:val="00052A60"/>
    <w:rsid w:val="0005553B"/>
    <w:rsid w:val="000604D2"/>
    <w:rsid w:val="00061116"/>
    <w:rsid w:val="000723A5"/>
    <w:rsid w:val="00073F41"/>
    <w:rsid w:val="00084E8D"/>
    <w:rsid w:val="0009005E"/>
    <w:rsid w:val="000938A9"/>
    <w:rsid w:val="000941C5"/>
    <w:rsid w:val="000A6451"/>
    <w:rsid w:val="000A67D7"/>
    <w:rsid w:val="000A70B1"/>
    <w:rsid w:val="000A7E25"/>
    <w:rsid w:val="000B064E"/>
    <w:rsid w:val="000B1845"/>
    <w:rsid w:val="000B69CF"/>
    <w:rsid w:val="000C1F89"/>
    <w:rsid w:val="000C31D0"/>
    <w:rsid w:val="000C326F"/>
    <w:rsid w:val="000C3952"/>
    <w:rsid w:val="000C790C"/>
    <w:rsid w:val="000D538F"/>
    <w:rsid w:val="000D6697"/>
    <w:rsid w:val="000D6F8B"/>
    <w:rsid w:val="000E4EDC"/>
    <w:rsid w:val="000F0018"/>
    <w:rsid w:val="000F061D"/>
    <w:rsid w:val="000F3455"/>
    <w:rsid w:val="000F4794"/>
    <w:rsid w:val="000F77EA"/>
    <w:rsid w:val="00103480"/>
    <w:rsid w:val="00103527"/>
    <w:rsid w:val="00112735"/>
    <w:rsid w:val="0011467F"/>
    <w:rsid w:val="00117FA9"/>
    <w:rsid w:val="0012323C"/>
    <w:rsid w:val="00124F12"/>
    <w:rsid w:val="001341D0"/>
    <w:rsid w:val="001351A3"/>
    <w:rsid w:val="0014280E"/>
    <w:rsid w:val="00144E3A"/>
    <w:rsid w:val="0015060C"/>
    <w:rsid w:val="001521CC"/>
    <w:rsid w:val="00153BAC"/>
    <w:rsid w:val="0016018A"/>
    <w:rsid w:val="00161F0E"/>
    <w:rsid w:val="00163A28"/>
    <w:rsid w:val="00170498"/>
    <w:rsid w:val="00170E2A"/>
    <w:rsid w:val="00171CB8"/>
    <w:rsid w:val="00172C81"/>
    <w:rsid w:val="00173F0B"/>
    <w:rsid w:val="00177394"/>
    <w:rsid w:val="00182C18"/>
    <w:rsid w:val="00183CC2"/>
    <w:rsid w:val="00186F19"/>
    <w:rsid w:val="001900E4"/>
    <w:rsid w:val="001906AF"/>
    <w:rsid w:val="00190F88"/>
    <w:rsid w:val="00197E8A"/>
    <w:rsid w:val="001A4066"/>
    <w:rsid w:val="001A6AE4"/>
    <w:rsid w:val="001B01FD"/>
    <w:rsid w:val="001B1DD7"/>
    <w:rsid w:val="001B4A71"/>
    <w:rsid w:val="001B68A0"/>
    <w:rsid w:val="001C0534"/>
    <w:rsid w:val="001D5B54"/>
    <w:rsid w:val="001E022A"/>
    <w:rsid w:val="001E09E3"/>
    <w:rsid w:val="001E1DBF"/>
    <w:rsid w:val="001E4639"/>
    <w:rsid w:val="001E4A7D"/>
    <w:rsid w:val="001F1E64"/>
    <w:rsid w:val="001F4285"/>
    <w:rsid w:val="001F43A8"/>
    <w:rsid w:val="001F5CD6"/>
    <w:rsid w:val="001F5E84"/>
    <w:rsid w:val="00200759"/>
    <w:rsid w:val="00203BC8"/>
    <w:rsid w:val="0021263D"/>
    <w:rsid w:val="00213F0C"/>
    <w:rsid w:val="00214094"/>
    <w:rsid w:val="0021592D"/>
    <w:rsid w:val="002218DD"/>
    <w:rsid w:val="00222D76"/>
    <w:rsid w:val="00223EB1"/>
    <w:rsid w:val="002245C0"/>
    <w:rsid w:val="00224CA0"/>
    <w:rsid w:val="00231344"/>
    <w:rsid w:val="00231E7E"/>
    <w:rsid w:val="0023436E"/>
    <w:rsid w:val="002347C0"/>
    <w:rsid w:val="00237B27"/>
    <w:rsid w:val="00241A6C"/>
    <w:rsid w:val="00242B0C"/>
    <w:rsid w:val="00242D2B"/>
    <w:rsid w:val="002507B3"/>
    <w:rsid w:val="00254247"/>
    <w:rsid w:val="00254E5F"/>
    <w:rsid w:val="002607D6"/>
    <w:rsid w:val="00262E2B"/>
    <w:rsid w:val="002703D7"/>
    <w:rsid w:val="00270429"/>
    <w:rsid w:val="002723E9"/>
    <w:rsid w:val="00273319"/>
    <w:rsid w:val="00277929"/>
    <w:rsid w:val="00283B82"/>
    <w:rsid w:val="00284506"/>
    <w:rsid w:val="002846E9"/>
    <w:rsid w:val="00284C34"/>
    <w:rsid w:val="00287EF4"/>
    <w:rsid w:val="0029066C"/>
    <w:rsid w:val="002951F3"/>
    <w:rsid w:val="002A15C5"/>
    <w:rsid w:val="002A1DE6"/>
    <w:rsid w:val="002A32CD"/>
    <w:rsid w:val="002A4F15"/>
    <w:rsid w:val="002B50DB"/>
    <w:rsid w:val="002C0238"/>
    <w:rsid w:val="002C12AB"/>
    <w:rsid w:val="002C3A89"/>
    <w:rsid w:val="002C7CAC"/>
    <w:rsid w:val="002D20F5"/>
    <w:rsid w:val="002D3306"/>
    <w:rsid w:val="002D48AA"/>
    <w:rsid w:val="002D664B"/>
    <w:rsid w:val="002D7BAA"/>
    <w:rsid w:val="002D7F54"/>
    <w:rsid w:val="002E3A0A"/>
    <w:rsid w:val="002E3FF4"/>
    <w:rsid w:val="002E5BE7"/>
    <w:rsid w:val="002F78C8"/>
    <w:rsid w:val="00301CF3"/>
    <w:rsid w:val="00301ECC"/>
    <w:rsid w:val="00302811"/>
    <w:rsid w:val="003051FF"/>
    <w:rsid w:val="00306013"/>
    <w:rsid w:val="0032715C"/>
    <w:rsid w:val="00337CA5"/>
    <w:rsid w:val="00343395"/>
    <w:rsid w:val="0034421F"/>
    <w:rsid w:val="00355DB5"/>
    <w:rsid w:val="003600AF"/>
    <w:rsid w:val="00360F83"/>
    <w:rsid w:val="00362478"/>
    <w:rsid w:val="003624B1"/>
    <w:rsid w:val="0037568F"/>
    <w:rsid w:val="00375B25"/>
    <w:rsid w:val="00380780"/>
    <w:rsid w:val="0039185A"/>
    <w:rsid w:val="00391B35"/>
    <w:rsid w:val="00394DC2"/>
    <w:rsid w:val="00395221"/>
    <w:rsid w:val="00395C6B"/>
    <w:rsid w:val="00396542"/>
    <w:rsid w:val="0039685B"/>
    <w:rsid w:val="003A31A6"/>
    <w:rsid w:val="003A4AFF"/>
    <w:rsid w:val="003A5A8F"/>
    <w:rsid w:val="003A6077"/>
    <w:rsid w:val="003A60C3"/>
    <w:rsid w:val="003A7E53"/>
    <w:rsid w:val="003A7F0C"/>
    <w:rsid w:val="003A7F79"/>
    <w:rsid w:val="003B1EE5"/>
    <w:rsid w:val="003B4C17"/>
    <w:rsid w:val="003B5AF0"/>
    <w:rsid w:val="003B5F1D"/>
    <w:rsid w:val="003B6404"/>
    <w:rsid w:val="003B77D8"/>
    <w:rsid w:val="003C3A1A"/>
    <w:rsid w:val="003C449B"/>
    <w:rsid w:val="003D15FE"/>
    <w:rsid w:val="003D21FF"/>
    <w:rsid w:val="003D59DF"/>
    <w:rsid w:val="003D7C14"/>
    <w:rsid w:val="003E1195"/>
    <w:rsid w:val="003E688B"/>
    <w:rsid w:val="003F004D"/>
    <w:rsid w:val="003F0112"/>
    <w:rsid w:val="003F071A"/>
    <w:rsid w:val="003F15C8"/>
    <w:rsid w:val="003F160B"/>
    <w:rsid w:val="003F4B91"/>
    <w:rsid w:val="003F6918"/>
    <w:rsid w:val="003F72E1"/>
    <w:rsid w:val="00400032"/>
    <w:rsid w:val="004000E6"/>
    <w:rsid w:val="0040042F"/>
    <w:rsid w:val="0040080B"/>
    <w:rsid w:val="00400B5B"/>
    <w:rsid w:val="004022EC"/>
    <w:rsid w:val="00405A00"/>
    <w:rsid w:val="0041131D"/>
    <w:rsid w:val="0041293C"/>
    <w:rsid w:val="00420870"/>
    <w:rsid w:val="004232F1"/>
    <w:rsid w:val="0042496F"/>
    <w:rsid w:val="0043237B"/>
    <w:rsid w:val="00432DE4"/>
    <w:rsid w:val="004336F3"/>
    <w:rsid w:val="00434EB3"/>
    <w:rsid w:val="0043791B"/>
    <w:rsid w:val="00441483"/>
    <w:rsid w:val="00441BCB"/>
    <w:rsid w:val="00447DA8"/>
    <w:rsid w:val="0045176A"/>
    <w:rsid w:val="00451813"/>
    <w:rsid w:val="0045212B"/>
    <w:rsid w:val="00453A0B"/>
    <w:rsid w:val="004541F4"/>
    <w:rsid w:val="00456332"/>
    <w:rsid w:val="00461826"/>
    <w:rsid w:val="00461963"/>
    <w:rsid w:val="004667AB"/>
    <w:rsid w:val="00476869"/>
    <w:rsid w:val="004800F9"/>
    <w:rsid w:val="00481A81"/>
    <w:rsid w:val="0049134A"/>
    <w:rsid w:val="004A20D1"/>
    <w:rsid w:val="004A58CB"/>
    <w:rsid w:val="004A72B3"/>
    <w:rsid w:val="004B1795"/>
    <w:rsid w:val="004B33AA"/>
    <w:rsid w:val="004B450F"/>
    <w:rsid w:val="004B56DD"/>
    <w:rsid w:val="004B5FE6"/>
    <w:rsid w:val="004C020F"/>
    <w:rsid w:val="004C1AFD"/>
    <w:rsid w:val="004C4F97"/>
    <w:rsid w:val="004C558B"/>
    <w:rsid w:val="004C63A1"/>
    <w:rsid w:val="004C7709"/>
    <w:rsid w:val="004D2CDD"/>
    <w:rsid w:val="004E6885"/>
    <w:rsid w:val="004E6D20"/>
    <w:rsid w:val="004F1A74"/>
    <w:rsid w:val="004F1F88"/>
    <w:rsid w:val="004F3F7C"/>
    <w:rsid w:val="004F5F1B"/>
    <w:rsid w:val="004F756A"/>
    <w:rsid w:val="00502374"/>
    <w:rsid w:val="005060A1"/>
    <w:rsid w:val="00507528"/>
    <w:rsid w:val="00511BBC"/>
    <w:rsid w:val="00516072"/>
    <w:rsid w:val="005174E9"/>
    <w:rsid w:val="0053110A"/>
    <w:rsid w:val="005332EC"/>
    <w:rsid w:val="00534418"/>
    <w:rsid w:val="005353AB"/>
    <w:rsid w:val="005529EF"/>
    <w:rsid w:val="0055582C"/>
    <w:rsid w:val="005560BC"/>
    <w:rsid w:val="005573BE"/>
    <w:rsid w:val="00561357"/>
    <w:rsid w:val="00566552"/>
    <w:rsid w:val="00566DFD"/>
    <w:rsid w:val="00567037"/>
    <w:rsid w:val="00571126"/>
    <w:rsid w:val="00571F2B"/>
    <w:rsid w:val="00572700"/>
    <w:rsid w:val="00576604"/>
    <w:rsid w:val="00577816"/>
    <w:rsid w:val="00580468"/>
    <w:rsid w:val="0058603B"/>
    <w:rsid w:val="00586724"/>
    <w:rsid w:val="00591F51"/>
    <w:rsid w:val="0059431B"/>
    <w:rsid w:val="00594B47"/>
    <w:rsid w:val="005A18A3"/>
    <w:rsid w:val="005A1CD9"/>
    <w:rsid w:val="005A2F78"/>
    <w:rsid w:val="005A3927"/>
    <w:rsid w:val="005A39CC"/>
    <w:rsid w:val="005B4730"/>
    <w:rsid w:val="005B625C"/>
    <w:rsid w:val="005B638F"/>
    <w:rsid w:val="005D30FE"/>
    <w:rsid w:val="005E05D7"/>
    <w:rsid w:val="005E41E7"/>
    <w:rsid w:val="005E450F"/>
    <w:rsid w:val="005E555A"/>
    <w:rsid w:val="005F12AE"/>
    <w:rsid w:val="005F5D1C"/>
    <w:rsid w:val="005F6CC7"/>
    <w:rsid w:val="005F6DC9"/>
    <w:rsid w:val="00604FE4"/>
    <w:rsid w:val="00621426"/>
    <w:rsid w:val="0062298A"/>
    <w:rsid w:val="00626514"/>
    <w:rsid w:val="00626589"/>
    <w:rsid w:val="006274DE"/>
    <w:rsid w:val="00632A24"/>
    <w:rsid w:val="006339A0"/>
    <w:rsid w:val="00640099"/>
    <w:rsid w:val="006413A8"/>
    <w:rsid w:val="00642E56"/>
    <w:rsid w:val="00651E00"/>
    <w:rsid w:val="00655364"/>
    <w:rsid w:val="006618E8"/>
    <w:rsid w:val="00664A46"/>
    <w:rsid w:val="00673AB7"/>
    <w:rsid w:val="00674572"/>
    <w:rsid w:val="00676A4D"/>
    <w:rsid w:val="00676DA6"/>
    <w:rsid w:val="006862EF"/>
    <w:rsid w:val="00687763"/>
    <w:rsid w:val="00690C2E"/>
    <w:rsid w:val="00692B0D"/>
    <w:rsid w:val="00693E0E"/>
    <w:rsid w:val="006A1AE3"/>
    <w:rsid w:val="006A21B7"/>
    <w:rsid w:val="006A240D"/>
    <w:rsid w:val="006A523D"/>
    <w:rsid w:val="006A6229"/>
    <w:rsid w:val="006B00C9"/>
    <w:rsid w:val="006B3753"/>
    <w:rsid w:val="006C0913"/>
    <w:rsid w:val="006C1337"/>
    <w:rsid w:val="006C1EDA"/>
    <w:rsid w:val="006C30E1"/>
    <w:rsid w:val="006C4607"/>
    <w:rsid w:val="006D1ABE"/>
    <w:rsid w:val="006D315C"/>
    <w:rsid w:val="006D3383"/>
    <w:rsid w:val="006D48F1"/>
    <w:rsid w:val="006D72C5"/>
    <w:rsid w:val="006E2B65"/>
    <w:rsid w:val="006E2DA5"/>
    <w:rsid w:val="006E5A55"/>
    <w:rsid w:val="006E6F31"/>
    <w:rsid w:val="006F3FE9"/>
    <w:rsid w:val="006F45BE"/>
    <w:rsid w:val="006F49FF"/>
    <w:rsid w:val="007004FC"/>
    <w:rsid w:val="00706670"/>
    <w:rsid w:val="00711644"/>
    <w:rsid w:val="0071175C"/>
    <w:rsid w:val="007160C0"/>
    <w:rsid w:val="00721B5C"/>
    <w:rsid w:val="0072417C"/>
    <w:rsid w:val="00726301"/>
    <w:rsid w:val="00733DA2"/>
    <w:rsid w:val="00734450"/>
    <w:rsid w:val="007375E8"/>
    <w:rsid w:val="0074026C"/>
    <w:rsid w:val="00745F67"/>
    <w:rsid w:val="00746AD6"/>
    <w:rsid w:val="0075039E"/>
    <w:rsid w:val="00752D9D"/>
    <w:rsid w:val="00754784"/>
    <w:rsid w:val="00757C6E"/>
    <w:rsid w:val="00762BDA"/>
    <w:rsid w:val="00774F4F"/>
    <w:rsid w:val="00775278"/>
    <w:rsid w:val="007755F3"/>
    <w:rsid w:val="007805FD"/>
    <w:rsid w:val="007808C0"/>
    <w:rsid w:val="00783F26"/>
    <w:rsid w:val="00784422"/>
    <w:rsid w:val="00784A70"/>
    <w:rsid w:val="007A3707"/>
    <w:rsid w:val="007A3D3C"/>
    <w:rsid w:val="007A4B3B"/>
    <w:rsid w:val="007B3680"/>
    <w:rsid w:val="007B3B54"/>
    <w:rsid w:val="007B3FA0"/>
    <w:rsid w:val="007B5761"/>
    <w:rsid w:val="007C0F2C"/>
    <w:rsid w:val="007C2BCC"/>
    <w:rsid w:val="007C4EF0"/>
    <w:rsid w:val="007C5DE1"/>
    <w:rsid w:val="007C7827"/>
    <w:rsid w:val="007D099D"/>
    <w:rsid w:val="007D0C29"/>
    <w:rsid w:val="007D3721"/>
    <w:rsid w:val="007D4A16"/>
    <w:rsid w:val="007D5996"/>
    <w:rsid w:val="007E0C6B"/>
    <w:rsid w:val="007E2664"/>
    <w:rsid w:val="007E3ABF"/>
    <w:rsid w:val="007E3E06"/>
    <w:rsid w:val="007E5BFA"/>
    <w:rsid w:val="007E6689"/>
    <w:rsid w:val="007E731C"/>
    <w:rsid w:val="007F0A03"/>
    <w:rsid w:val="007F212D"/>
    <w:rsid w:val="007F6C40"/>
    <w:rsid w:val="007F731A"/>
    <w:rsid w:val="00810040"/>
    <w:rsid w:val="00810696"/>
    <w:rsid w:val="0082023A"/>
    <w:rsid w:val="008211A0"/>
    <w:rsid w:val="00821A7A"/>
    <w:rsid w:val="008253F8"/>
    <w:rsid w:val="008325E4"/>
    <w:rsid w:val="00832A2B"/>
    <w:rsid w:val="00836669"/>
    <w:rsid w:val="008427DD"/>
    <w:rsid w:val="00842C5E"/>
    <w:rsid w:val="00843758"/>
    <w:rsid w:val="00845811"/>
    <w:rsid w:val="00846994"/>
    <w:rsid w:val="00847653"/>
    <w:rsid w:val="00850451"/>
    <w:rsid w:val="008509EF"/>
    <w:rsid w:val="00850F77"/>
    <w:rsid w:val="00852042"/>
    <w:rsid w:val="008534C9"/>
    <w:rsid w:val="008539E1"/>
    <w:rsid w:val="0085599D"/>
    <w:rsid w:val="00856AF3"/>
    <w:rsid w:val="00856C56"/>
    <w:rsid w:val="008625F3"/>
    <w:rsid w:val="008642A1"/>
    <w:rsid w:val="00865B04"/>
    <w:rsid w:val="00866CB1"/>
    <w:rsid w:val="008673C7"/>
    <w:rsid w:val="00871D2C"/>
    <w:rsid w:val="00871F96"/>
    <w:rsid w:val="0087510C"/>
    <w:rsid w:val="00883D55"/>
    <w:rsid w:val="00893256"/>
    <w:rsid w:val="00894398"/>
    <w:rsid w:val="00894544"/>
    <w:rsid w:val="00894DA5"/>
    <w:rsid w:val="00896ACF"/>
    <w:rsid w:val="0089738E"/>
    <w:rsid w:val="008A40FA"/>
    <w:rsid w:val="008B2545"/>
    <w:rsid w:val="008B5FDB"/>
    <w:rsid w:val="008B690F"/>
    <w:rsid w:val="008C50F4"/>
    <w:rsid w:val="008C5649"/>
    <w:rsid w:val="008D51A1"/>
    <w:rsid w:val="008D68CD"/>
    <w:rsid w:val="008E1006"/>
    <w:rsid w:val="008E2AA7"/>
    <w:rsid w:val="008E4278"/>
    <w:rsid w:val="008E44A2"/>
    <w:rsid w:val="008E697D"/>
    <w:rsid w:val="00901AA4"/>
    <w:rsid w:val="00903235"/>
    <w:rsid w:val="00903263"/>
    <w:rsid w:val="009046F2"/>
    <w:rsid w:val="00906A21"/>
    <w:rsid w:val="009079C3"/>
    <w:rsid w:val="00910462"/>
    <w:rsid w:val="00915045"/>
    <w:rsid w:val="00915AB1"/>
    <w:rsid w:val="00917532"/>
    <w:rsid w:val="009235BA"/>
    <w:rsid w:val="00924023"/>
    <w:rsid w:val="00924841"/>
    <w:rsid w:val="00924CE2"/>
    <w:rsid w:val="00925B9F"/>
    <w:rsid w:val="00931AED"/>
    <w:rsid w:val="009327A1"/>
    <w:rsid w:val="009329FF"/>
    <w:rsid w:val="0094282F"/>
    <w:rsid w:val="009476A3"/>
    <w:rsid w:val="00947E3F"/>
    <w:rsid w:val="009501B6"/>
    <w:rsid w:val="00950394"/>
    <w:rsid w:val="009506BA"/>
    <w:rsid w:val="00951F82"/>
    <w:rsid w:val="0095334F"/>
    <w:rsid w:val="009533ED"/>
    <w:rsid w:val="00955C78"/>
    <w:rsid w:val="009560A3"/>
    <w:rsid w:val="00960921"/>
    <w:rsid w:val="00962268"/>
    <w:rsid w:val="00962987"/>
    <w:rsid w:val="00963EB0"/>
    <w:rsid w:val="0096407C"/>
    <w:rsid w:val="009644BC"/>
    <w:rsid w:val="00965897"/>
    <w:rsid w:val="0096765C"/>
    <w:rsid w:val="00970B72"/>
    <w:rsid w:val="009727E4"/>
    <w:rsid w:val="0098379F"/>
    <w:rsid w:val="00984545"/>
    <w:rsid w:val="009850C4"/>
    <w:rsid w:val="00985703"/>
    <w:rsid w:val="009934C5"/>
    <w:rsid w:val="00993904"/>
    <w:rsid w:val="009940F2"/>
    <w:rsid w:val="00994AC8"/>
    <w:rsid w:val="00994C0F"/>
    <w:rsid w:val="009B22D7"/>
    <w:rsid w:val="009B4D66"/>
    <w:rsid w:val="009B72ED"/>
    <w:rsid w:val="009C307A"/>
    <w:rsid w:val="009C550B"/>
    <w:rsid w:val="009C6DEB"/>
    <w:rsid w:val="009D6504"/>
    <w:rsid w:val="009D7EB7"/>
    <w:rsid w:val="009E0AB2"/>
    <w:rsid w:val="009E12D7"/>
    <w:rsid w:val="009E661A"/>
    <w:rsid w:val="009F5732"/>
    <w:rsid w:val="009F77F2"/>
    <w:rsid w:val="00A06291"/>
    <w:rsid w:val="00A06781"/>
    <w:rsid w:val="00A074C3"/>
    <w:rsid w:val="00A1161C"/>
    <w:rsid w:val="00A13818"/>
    <w:rsid w:val="00A1509C"/>
    <w:rsid w:val="00A3274B"/>
    <w:rsid w:val="00A33891"/>
    <w:rsid w:val="00A34260"/>
    <w:rsid w:val="00A35E61"/>
    <w:rsid w:val="00A37F4F"/>
    <w:rsid w:val="00A41FB3"/>
    <w:rsid w:val="00A54115"/>
    <w:rsid w:val="00A566F7"/>
    <w:rsid w:val="00A62219"/>
    <w:rsid w:val="00A70CFD"/>
    <w:rsid w:val="00A720D3"/>
    <w:rsid w:val="00A72278"/>
    <w:rsid w:val="00A72A0B"/>
    <w:rsid w:val="00A75E1F"/>
    <w:rsid w:val="00A81E42"/>
    <w:rsid w:val="00A8305D"/>
    <w:rsid w:val="00A864FE"/>
    <w:rsid w:val="00A869A5"/>
    <w:rsid w:val="00A86A2C"/>
    <w:rsid w:val="00A86F41"/>
    <w:rsid w:val="00A87D04"/>
    <w:rsid w:val="00A908A1"/>
    <w:rsid w:val="00A945EB"/>
    <w:rsid w:val="00A950C5"/>
    <w:rsid w:val="00AA1D25"/>
    <w:rsid w:val="00AB2937"/>
    <w:rsid w:val="00AB2B1A"/>
    <w:rsid w:val="00AB397F"/>
    <w:rsid w:val="00AB5832"/>
    <w:rsid w:val="00AC51F2"/>
    <w:rsid w:val="00AE5066"/>
    <w:rsid w:val="00AE5E24"/>
    <w:rsid w:val="00AE61B7"/>
    <w:rsid w:val="00AE6CBA"/>
    <w:rsid w:val="00AE79AD"/>
    <w:rsid w:val="00AF23F1"/>
    <w:rsid w:val="00AF35E4"/>
    <w:rsid w:val="00AF5348"/>
    <w:rsid w:val="00AF5CDE"/>
    <w:rsid w:val="00AF608B"/>
    <w:rsid w:val="00B07F11"/>
    <w:rsid w:val="00B11A57"/>
    <w:rsid w:val="00B1286B"/>
    <w:rsid w:val="00B211C3"/>
    <w:rsid w:val="00B25597"/>
    <w:rsid w:val="00B267B9"/>
    <w:rsid w:val="00B27CD6"/>
    <w:rsid w:val="00B320C6"/>
    <w:rsid w:val="00B3276F"/>
    <w:rsid w:val="00B33E09"/>
    <w:rsid w:val="00B42F75"/>
    <w:rsid w:val="00B4359D"/>
    <w:rsid w:val="00B50708"/>
    <w:rsid w:val="00B50C68"/>
    <w:rsid w:val="00B51293"/>
    <w:rsid w:val="00B52B1E"/>
    <w:rsid w:val="00B53616"/>
    <w:rsid w:val="00B55481"/>
    <w:rsid w:val="00B566EB"/>
    <w:rsid w:val="00B56C32"/>
    <w:rsid w:val="00B57ACF"/>
    <w:rsid w:val="00B62588"/>
    <w:rsid w:val="00B6304A"/>
    <w:rsid w:val="00B6305B"/>
    <w:rsid w:val="00B63AB7"/>
    <w:rsid w:val="00B64BB1"/>
    <w:rsid w:val="00B66305"/>
    <w:rsid w:val="00B67D81"/>
    <w:rsid w:val="00B72755"/>
    <w:rsid w:val="00B73166"/>
    <w:rsid w:val="00B737D0"/>
    <w:rsid w:val="00B80DB9"/>
    <w:rsid w:val="00B8104E"/>
    <w:rsid w:val="00B81FBC"/>
    <w:rsid w:val="00B8426C"/>
    <w:rsid w:val="00B91B8D"/>
    <w:rsid w:val="00B94E90"/>
    <w:rsid w:val="00BA1141"/>
    <w:rsid w:val="00BA2D96"/>
    <w:rsid w:val="00BA2E63"/>
    <w:rsid w:val="00BA42B8"/>
    <w:rsid w:val="00BA5722"/>
    <w:rsid w:val="00BB0A82"/>
    <w:rsid w:val="00BB0E46"/>
    <w:rsid w:val="00BB4DC7"/>
    <w:rsid w:val="00BB6FE9"/>
    <w:rsid w:val="00BB7C94"/>
    <w:rsid w:val="00BC0A9D"/>
    <w:rsid w:val="00BC2FEB"/>
    <w:rsid w:val="00BC65B7"/>
    <w:rsid w:val="00BC7FA0"/>
    <w:rsid w:val="00BE7E05"/>
    <w:rsid w:val="00BF212B"/>
    <w:rsid w:val="00BF40ED"/>
    <w:rsid w:val="00BF5557"/>
    <w:rsid w:val="00BF5BC2"/>
    <w:rsid w:val="00BF75C1"/>
    <w:rsid w:val="00C10671"/>
    <w:rsid w:val="00C1133D"/>
    <w:rsid w:val="00C12A47"/>
    <w:rsid w:val="00C142BE"/>
    <w:rsid w:val="00C15FB4"/>
    <w:rsid w:val="00C21E8A"/>
    <w:rsid w:val="00C21FBA"/>
    <w:rsid w:val="00C22AA6"/>
    <w:rsid w:val="00C24FE9"/>
    <w:rsid w:val="00C27A08"/>
    <w:rsid w:val="00C3017B"/>
    <w:rsid w:val="00C31312"/>
    <w:rsid w:val="00C326C6"/>
    <w:rsid w:val="00C35295"/>
    <w:rsid w:val="00C36ADD"/>
    <w:rsid w:val="00C36E74"/>
    <w:rsid w:val="00C37A61"/>
    <w:rsid w:val="00C40595"/>
    <w:rsid w:val="00C41621"/>
    <w:rsid w:val="00C449FA"/>
    <w:rsid w:val="00C5384F"/>
    <w:rsid w:val="00C55233"/>
    <w:rsid w:val="00C56964"/>
    <w:rsid w:val="00C6360A"/>
    <w:rsid w:val="00C637D0"/>
    <w:rsid w:val="00C656D5"/>
    <w:rsid w:val="00C67103"/>
    <w:rsid w:val="00C71BB9"/>
    <w:rsid w:val="00C80EEE"/>
    <w:rsid w:val="00C864F6"/>
    <w:rsid w:val="00C86797"/>
    <w:rsid w:val="00C9297C"/>
    <w:rsid w:val="00C94C28"/>
    <w:rsid w:val="00CA025B"/>
    <w:rsid w:val="00CA13DD"/>
    <w:rsid w:val="00CA6FBF"/>
    <w:rsid w:val="00CB0247"/>
    <w:rsid w:val="00CB0F24"/>
    <w:rsid w:val="00CB1BE6"/>
    <w:rsid w:val="00CB3440"/>
    <w:rsid w:val="00CC1692"/>
    <w:rsid w:val="00CD138B"/>
    <w:rsid w:val="00CD18E4"/>
    <w:rsid w:val="00CD3E31"/>
    <w:rsid w:val="00CD408F"/>
    <w:rsid w:val="00CD74A3"/>
    <w:rsid w:val="00CE0527"/>
    <w:rsid w:val="00CE1575"/>
    <w:rsid w:val="00CE5B23"/>
    <w:rsid w:val="00CF40EC"/>
    <w:rsid w:val="00CF70AD"/>
    <w:rsid w:val="00CF7729"/>
    <w:rsid w:val="00D00059"/>
    <w:rsid w:val="00D05C24"/>
    <w:rsid w:val="00D107FA"/>
    <w:rsid w:val="00D12275"/>
    <w:rsid w:val="00D12766"/>
    <w:rsid w:val="00D177C0"/>
    <w:rsid w:val="00D20FF4"/>
    <w:rsid w:val="00D24D2C"/>
    <w:rsid w:val="00D259A0"/>
    <w:rsid w:val="00D25DBC"/>
    <w:rsid w:val="00D2758C"/>
    <w:rsid w:val="00D35881"/>
    <w:rsid w:val="00D37892"/>
    <w:rsid w:val="00D43950"/>
    <w:rsid w:val="00D5162D"/>
    <w:rsid w:val="00D549B2"/>
    <w:rsid w:val="00D570D8"/>
    <w:rsid w:val="00D62137"/>
    <w:rsid w:val="00D72DD9"/>
    <w:rsid w:val="00D73DDD"/>
    <w:rsid w:val="00D8614D"/>
    <w:rsid w:val="00DA434A"/>
    <w:rsid w:val="00DA7DA5"/>
    <w:rsid w:val="00DB073B"/>
    <w:rsid w:val="00DB78F0"/>
    <w:rsid w:val="00DC2E43"/>
    <w:rsid w:val="00DD095C"/>
    <w:rsid w:val="00DD1020"/>
    <w:rsid w:val="00DD1330"/>
    <w:rsid w:val="00DD2860"/>
    <w:rsid w:val="00DD2BA0"/>
    <w:rsid w:val="00DD5200"/>
    <w:rsid w:val="00DE0B83"/>
    <w:rsid w:val="00DE1A81"/>
    <w:rsid w:val="00DE1B21"/>
    <w:rsid w:val="00DE1C13"/>
    <w:rsid w:val="00DE32B2"/>
    <w:rsid w:val="00DE4B2B"/>
    <w:rsid w:val="00DE4E10"/>
    <w:rsid w:val="00DE5C25"/>
    <w:rsid w:val="00DF6337"/>
    <w:rsid w:val="00E0036E"/>
    <w:rsid w:val="00E01089"/>
    <w:rsid w:val="00E02ABF"/>
    <w:rsid w:val="00E10380"/>
    <w:rsid w:val="00E14995"/>
    <w:rsid w:val="00E16C7A"/>
    <w:rsid w:val="00E179CD"/>
    <w:rsid w:val="00E20978"/>
    <w:rsid w:val="00E23E8D"/>
    <w:rsid w:val="00E24FA3"/>
    <w:rsid w:val="00E31B6E"/>
    <w:rsid w:val="00E31BAB"/>
    <w:rsid w:val="00E37F98"/>
    <w:rsid w:val="00E421DF"/>
    <w:rsid w:val="00E46559"/>
    <w:rsid w:val="00E5065E"/>
    <w:rsid w:val="00E50939"/>
    <w:rsid w:val="00E53B56"/>
    <w:rsid w:val="00E56DC6"/>
    <w:rsid w:val="00E641A8"/>
    <w:rsid w:val="00E6670C"/>
    <w:rsid w:val="00E70640"/>
    <w:rsid w:val="00E718C8"/>
    <w:rsid w:val="00E72FF5"/>
    <w:rsid w:val="00E776E8"/>
    <w:rsid w:val="00E92C1F"/>
    <w:rsid w:val="00E95D4B"/>
    <w:rsid w:val="00EA6E11"/>
    <w:rsid w:val="00EB199F"/>
    <w:rsid w:val="00EB64DE"/>
    <w:rsid w:val="00EC23F7"/>
    <w:rsid w:val="00EC3271"/>
    <w:rsid w:val="00EC4BD8"/>
    <w:rsid w:val="00EC63EB"/>
    <w:rsid w:val="00ED3BB1"/>
    <w:rsid w:val="00ED412F"/>
    <w:rsid w:val="00EE56B0"/>
    <w:rsid w:val="00EE633A"/>
    <w:rsid w:val="00EF17F4"/>
    <w:rsid w:val="00EF1FB4"/>
    <w:rsid w:val="00EF36B2"/>
    <w:rsid w:val="00EF6E0E"/>
    <w:rsid w:val="00F201EC"/>
    <w:rsid w:val="00F208A9"/>
    <w:rsid w:val="00F278A5"/>
    <w:rsid w:val="00F34024"/>
    <w:rsid w:val="00F411EF"/>
    <w:rsid w:val="00F41D75"/>
    <w:rsid w:val="00F46511"/>
    <w:rsid w:val="00F5121F"/>
    <w:rsid w:val="00F5139D"/>
    <w:rsid w:val="00F5465B"/>
    <w:rsid w:val="00F63DAC"/>
    <w:rsid w:val="00F642E5"/>
    <w:rsid w:val="00F71321"/>
    <w:rsid w:val="00F7262E"/>
    <w:rsid w:val="00F729EC"/>
    <w:rsid w:val="00F7454F"/>
    <w:rsid w:val="00F766A7"/>
    <w:rsid w:val="00F77988"/>
    <w:rsid w:val="00F77F48"/>
    <w:rsid w:val="00F80188"/>
    <w:rsid w:val="00F80E2C"/>
    <w:rsid w:val="00F83966"/>
    <w:rsid w:val="00F87BEC"/>
    <w:rsid w:val="00F920BE"/>
    <w:rsid w:val="00F92B43"/>
    <w:rsid w:val="00F93646"/>
    <w:rsid w:val="00FB30F1"/>
    <w:rsid w:val="00FB53E7"/>
    <w:rsid w:val="00FD2411"/>
    <w:rsid w:val="00FE01DB"/>
    <w:rsid w:val="00FE1BC9"/>
    <w:rsid w:val="00FE495B"/>
    <w:rsid w:val="00FE7E16"/>
    <w:rsid w:val="00FF0C70"/>
    <w:rsid w:val="00FF57B5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F52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3FE9"/>
    <w:rPr>
      <w:sz w:val="24"/>
      <w:szCs w:val="24"/>
      <w:lang w:val="lv-LV" w:eastAsia="lv-LV" w:bidi="ar-SA"/>
    </w:rPr>
  </w:style>
  <w:style w:type="paragraph" w:styleId="Signature">
    <w:name w:val="Signature"/>
    <w:basedOn w:val="Normal"/>
    <w:next w:val="EnvelopeReturn"/>
    <w:link w:val="SignatureChar"/>
    <w:rsid w:val="00395C6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395C6B"/>
    <w:rPr>
      <w:sz w:val="26"/>
      <w:lang w:val="en-AU" w:eastAsia="en-US" w:bidi="ar-SA"/>
    </w:rPr>
  </w:style>
  <w:style w:type="paragraph" w:styleId="EnvelopeReturn">
    <w:name w:val="envelope return"/>
    <w:basedOn w:val="Normal"/>
    <w:rsid w:val="00395C6B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spelle">
    <w:name w:val="spelle"/>
    <w:basedOn w:val="DefaultParagraphFont"/>
    <w:rsid w:val="00604FE4"/>
  </w:style>
  <w:style w:type="paragraph" w:customStyle="1" w:styleId="Default">
    <w:name w:val="Default"/>
    <w:rsid w:val="00932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64A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3FE9"/>
    <w:rPr>
      <w:sz w:val="24"/>
      <w:szCs w:val="24"/>
      <w:lang w:val="lv-LV" w:eastAsia="lv-LV" w:bidi="ar-SA"/>
    </w:rPr>
  </w:style>
  <w:style w:type="paragraph" w:styleId="Signature">
    <w:name w:val="Signature"/>
    <w:basedOn w:val="Normal"/>
    <w:next w:val="EnvelopeReturn"/>
    <w:link w:val="SignatureChar"/>
    <w:rsid w:val="00395C6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395C6B"/>
    <w:rPr>
      <w:sz w:val="26"/>
      <w:lang w:val="en-AU" w:eastAsia="en-US" w:bidi="ar-SA"/>
    </w:rPr>
  </w:style>
  <w:style w:type="paragraph" w:styleId="EnvelopeReturn">
    <w:name w:val="envelope return"/>
    <w:basedOn w:val="Normal"/>
    <w:rsid w:val="00395C6B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spelle">
    <w:name w:val="spelle"/>
    <w:basedOn w:val="DefaultParagraphFont"/>
    <w:rsid w:val="00604FE4"/>
  </w:style>
  <w:style w:type="paragraph" w:customStyle="1" w:styleId="Default">
    <w:name w:val="Default"/>
    <w:rsid w:val="00932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64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uta.garkalne@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855E-FC0C-4EB9-B81A-09BDC77A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Manager>Solvita Gulbe</Manager>
  <Company>Valsts kanceleja, ES struktūrfondu departaments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MK noteikumu anotācija</dc:subject>
  <dc:creator>Zane Fridrihsberga</dc:creator>
  <dc:description>67082913_x000d_
zane.fridrihsberga@mk.gov.lv</dc:description>
  <cp:lastModifiedBy>Sandra Liniņa</cp:lastModifiedBy>
  <cp:revision>66</cp:revision>
  <cp:lastPrinted>2014-04-16T13:42:00Z</cp:lastPrinted>
  <dcterms:created xsi:type="dcterms:W3CDTF">2014-03-20T07:45:00Z</dcterms:created>
  <dcterms:modified xsi:type="dcterms:W3CDTF">2014-04-16T13:42:00Z</dcterms:modified>
</cp:coreProperties>
</file>