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17" w:rsidRPr="00685B17" w:rsidRDefault="00685B17" w:rsidP="004A7CF1">
      <w:pPr>
        <w:spacing w:after="0" w:line="240" w:lineRule="auto"/>
        <w:jc w:val="both"/>
        <w:rPr>
          <w:rFonts w:ascii="Times New Roman" w:eastAsia="Times New Roman" w:hAnsi="Times New Roman" w:cs="Times New Roman"/>
          <w:b/>
          <w:sz w:val="24"/>
          <w:szCs w:val="24"/>
          <w:lang w:val="lv-LV" w:eastAsia="lv-LV"/>
        </w:rPr>
      </w:pPr>
      <w:bookmarkStart w:id="0" w:name="OLE_LINK1"/>
      <w:bookmarkStart w:id="1" w:name="OLE_LINK2"/>
    </w:p>
    <w:p w:rsidR="00685B17" w:rsidRPr="00685B17" w:rsidRDefault="00685B17" w:rsidP="00685B17">
      <w:pPr>
        <w:spacing w:after="0" w:line="240" w:lineRule="auto"/>
        <w:jc w:val="center"/>
        <w:rPr>
          <w:rFonts w:ascii="Times New Roman" w:eastAsia="Times New Roman" w:hAnsi="Times New Roman" w:cs="Times New Roman"/>
          <w:b/>
          <w:sz w:val="24"/>
          <w:szCs w:val="24"/>
          <w:lang w:val="lv-LV" w:eastAsia="lv-LV"/>
        </w:rPr>
      </w:pPr>
    </w:p>
    <w:p w:rsidR="00685B17" w:rsidRPr="00685B17" w:rsidRDefault="00685B17" w:rsidP="00685B17">
      <w:pPr>
        <w:spacing w:after="0" w:line="240" w:lineRule="auto"/>
        <w:jc w:val="center"/>
        <w:rPr>
          <w:rFonts w:ascii="Times New Roman" w:eastAsia="Times New Roman" w:hAnsi="Times New Roman" w:cs="Times New Roman"/>
          <w:b/>
          <w:sz w:val="24"/>
          <w:szCs w:val="24"/>
          <w:lang w:val="lv-LV" w:eastAsia="lv-LV"/>
        </w:rPr>
      </w:pPr>
      <w:r w:rsidRPr="00685B17">
        <w:rPr>
          <w:rFonts w:ascii="Times New Roman" w:eastAsia="Times New Roman" w:hAnsi="Times New Roman" w:cs="Times New Roman"/>
          <w:b/>
          <w:sz w:val="24"/>
          <w:szCs w:val="24"/>
          <w:lang w:val="lv-LV" w:eastAsia="lv-LV"/>
        </w:rPr>
        <w:t>LATVIJAS REPUBLIKAS MINISTRU KABINETS</w:t>
      </w:r>
    </w:p>
    <w:p w:rsidR="00685B17" w:rsidRPr="00685B17" w:rsidRDefault="00685B17" w:rsidP="00685B17">
      <w:pPr>
        <w:spacing w:after="0" w:line="240" w:lineRule="auto"/>
        <w:ind w:right="-142"/>
        <w:rPr>
          <w:rFonts w:ascii="Times New Roman" w:eastAsia="Times New Roman" w:hAnsi="Times New Roman" w:cs="Times New Roman"/>
          <w:sz w:val="24"/>
          <w:szCs w:val="24"/>
          <w:lang w:val="lv-LV" w:eastAsia="lv-LV"/>
        </w:rPr>
      </w:pPr>
    </w:p>
    <w:p w:rsidR="00685B17" w:rsidRPr="00685B17" w:rsidRDefault="00685B17" w:rsidP="00685B17">
      <w:pPr>
        <w:tabs>
          <w:tab w:val="left" w:pos="-90"/>
          <w:tab w:val="left" w:pos="6096"/>
        </w:tabs>
        <w:spacing w:after="0" w:line="240" w:lineRule="auto"/>
        <w:rPr>
          <w:rFonts w:ascii="Times New Roman" w:eastAsia="Times New Roman" w:hAnsi="Times New Roman" w:cs="Times New Roman"/>
          <w:sz w:val="24"/>
          <w:szCs w:val="24"/>
          <w:lang w:val="lv-LV" w:eastAsia="lv-LV"/>
        </w:rPr>
      </w:pPr>
    </w:p>
    <w:p w:rsidR="00685B17" w:rsidRPr="00685B17" w:rsidRDefault="00685B17" w:rsidP="00685B17">
      <w:pPr>
        <w:tabs>
          <w:tab w:val="left" w:pos="6480"/>
        </w:tabs>
        <w:spacing w:after="0" w:line="240" w:lineRule="auto"/>
        <w:rPr>
          <w:rFonts w:ascii="Times New Roman" w:eastAsia="Times New Roman" w:hAnsi="Times New Roman" w:cs="Times New Roman"/>
          <w:sz w:val="24"/>
          <w:szCs w:val="24"/>
          <w:lang w:val="lv-LV" w:eastAsia="lv-LV"/>
        </w:rPr>
      </w:pPr>
      <w:r w:rsidRPr="00685B17">
        <w:rPr>
          <w:rFonts w:ascii="Times New Roman" w:eastAsia="Times New Roman" w:hAnsi="Times New Roman" w:cs="Times New Roman"/>
          <w:sz w:val="24"/>
          <w:szCs w:val="24"/>
          <w:lang w:val="lv-LV" w:eastAsia="lv-LV"/>
        </w:rPr>
        <w:t>201</w:t>
      </w:r>
      <w:r w:rsidR="00FC6818">
        <w:rPr>
          <w:rFonts w:ascii="Times New Roman" w:eastAsia="Times New Roman" w:hAnsi="Times New Roman" w:cs="Times New Roman"/>
          <w:sz w:val="24"/>
          <w:szCs w:val="24"/>
          <w:lang w:val="lv-LV" w:eastAsia="lv-LV"/>
        </w:rPr>
        <w:t>4</w:t>
      </w:r>
      <w:r w:rsidRPr="00685B17">
        <w:rPr>
          <w:rFonts w:ascii="Times New Roman" w:eastAsia="Times New Roman" w:hAnsi="Times New Roman" w:cs="Times New Roman"/>
          <w:sz w:val="24"/>
          <w:szCs w:val="24"/>
          <w:lang w:val="lv-LV" w:eastAsia="lv-LV"/>
        </w:rPr>
        <w:t>.gada ___._________</w:t>
      </w:r>
      <w:r w:rsidRPr="00685B17">
        <w:rPr>
          <w:rFonts w:ascii="Times New Roman" w:eastAsia="Times New Roman" w:hAnsi="Times New Roman" w:cs="Times New Roman"/>
          <w:sz w:val="24"/>
          <w:szCs w:val="24"/>
          <w:lang w:val="lv-LV" w:eastAsia="lv-LV"/>
        </w:rPr>
        <w:tab/>
        <w:t xml:space="preserve">      </w:t>
      </w:r>
      <w:smartTag w:uri="schemas-tilde-lv/tildestengine" w:element="veidnes">
        <w:smartTagPr>
          <w:attr w:name="id" w:val="-1"/>
          <w:attr w:name="baseform" w:val="Rīkojums"/>
          <w:attr w:name="text" w:val="Rīkojums"/>
        </w:smartTagPr>
        <w:r w:rsidRPr="00685B17">
          <w:rPr>
            <w:rFonts w:ascii="Times New Roman" w:eastAsia="Times New Roman" w:hAnsi="Times New Roman" w:cs="Times New Roman"/>
            <w:sz w:val="24"/>
            <w:szCs w:val="24"/>
            <w:lang w:val="lv-LV" w:eastAsia="lv-LV"/>
          </w:rPr>
          <w:t>Rīkojums</w:t>
        </w:r>
      </w:smartTag>
      <w:r w:rsidRPr="00685B17">
        <w:rPr>
          <w:rFonts w:ascii="Times New Roman" w:eastAsia="Times New Roman" w:hAnsi="Times New Roman" w:cs="Times New Roman"/>
          <w:sz w:val="24"/>
          <w:szCs w:val="24"/>
          <w:lang w:val="lv-LV" w:eastAsia="lv-LV"/>
        </w:rPr>
        <w:t xml:space="preserve"> Nr.____</w:t>
      </w:r>
    </w:p>
    <w:p w:rsidR="00685B17" w:rsidRPr="00685B17" w:rsidRDefault="00685B17" w:rsidP="00685B17">
      <w:pPr>
        <w:tabs>
          <w:tab w:val="left" w:pos="6480"/>
        </w:tabs>
        <w:spacing w:after="0" w:line="240" w:lineRule="auto"/>
        <w:jc w:val="both"/>
        <w:rPr>
          <w:rFonts w:ascii="Times New Roman" w:eastAsia="Times New Roman" w:hAnsi="Times New Roman" w:cs="Times New Roman"/>
          <w:sz w:val="24"/>
          <w:szCs w:val="24"/>
          <w:lang w:val="lv-LV" w:eastAsia="lv-LV"/>
        </w:rPr>
      </w:pPr>
      <w:r w:rsidRPr="00685B17">
        <w:rPr>
          <w:rFonts w:ascii="Times New Roman" w:eastAsia="Times New Roman" w:hAnsi="Times New Roman" w:cs="Times New Roman"/>
          <w:sz w:val="24"/>
          <w:szCs w:val="24"/>
          <w:lang w:val="lv-LV" w:eastAsia="lv-LV"/>
        </w:rPr>
        <w:t>Rīgā</w:t>
      </w:r>
      <w:r w:rsidRPr="00685B17">
        <w:rPr>
          <w:rFonts w:ascii="Times New Roman" w:eastAsia="Times New Roman" w:hAnsi="Times New Roman" w:cs="Times New Roman"/>
          <w:sz w:val="24"/>
          <w:szCs w:val="24"/>
          <w:lang w:val="lv-LV" w:eastAsia="lv-LV"/>
        </w:rPr>
        <w:tab/>
        <w:t xml:space="preserve">     (prot. Nr.__, ___.§)</w:t>
      </w:r>
    </w:p>
    <w:p w:rsidR="00685B17" w:rsidRPr="00685B17" w:rsidRDefault="00685B17" w:rsidP="00685B17">
      <w:pPr>
        <w:spacing w:after="0" w:line="240" w:lineRule="auto"/>
        <w:jc w:val="center"/>
        <w:rPr>
          <w:rFonts w:ascii="Times New Roman" w:eastAsia="Times New Roman" w:hAnsi="Times New Roman" w:cs="Times New Roman"/>
          <w:b/>
          <w:sz w:val="24"/>
          <w:szCs w:val="24"/>
          <w:lang w:val="lv-LV" w:eastAsia="lv-LV"/>
        </w:rPr>
      </w:pPr>
    </w:p>
    <w:bookmarkEnd w:id="0"/>
    <w:bookmarkEnd w:id="1"/>
    <w:p w:rsidR="00685B17" w:rsidRPr="00685B17" w:rsidRDefault="00685B17" w:rsidP="00685B17">
      <w:pPr>
        <w:spacing w:after="0" w:line="240" w:lineRule="auto"/>
        <w:ind w:right="680"/>
        <w:jc w:val="center"/>
        <w:rPr>
          <w:rFonts w:ascii="Times New Roman" w:eastAsia="Times New Roman" w:hAnsi="Times New Roman" w:cs="Times New Roman"/>
          <w:b/>
          <w:sz w:val="24"/>
          <w:szCs w:val="24"/>
          <w:lang w:val="lv-LV" w:eastAsia="lv-LV"/>
        </w:rPr>
      </w:pPr>
    </w:p>
    <w:p w:rsidR="00685B17" w:rsidRPr="00685B17" w:rsidRDefault="00EB313C" w:rsidP="002A255F">
      <w:pPr>
        <w:spacing w:after="40" w:line="240" w:lineRule="auto"/>
        <w:ind w:right="680"/>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8"/>
          <w:szCs w:val="24"/>
          <w:lang w:val="lv-LV" w:eastAsia="lv-LV"/>
        </w:rPr>
        <w:t xml:space="preserve">Grozījumi </w:t>
      </w:r>
      <w:r w:rsidR="00685B17" w:rsidRPr="00685B17">
        <w:rPr>
          <w:rFonts w:ascii="Times New Roman" w:eastAsia="Times New Roman" w:hAnsi="Times New Roman" w:cs="Times New Roman"/>
          <w:b/>
          <w:bCs/>
          <w:sz w:val="28"/>
          <w:szCs w:val="24"/>
          <w:lang w:val="lv-LV" w:eastAsia="lv-LV"/>
        </w:rPr>
        <w:t>Finanšu sektora attīstības plān</w:t>
      </w:r>
      <w:r w:rsidR="00CA64C0">
        <w:rPr>
          <w:rFonts w:ascii="Times New Roman" w:eastAsia="Times New Roman" w:hAnsi="Times New Roman" w:cs="Times New Roman"/>
          <w:b/>
          <w:bCs/>
          <w:sz w:val="28"/>
          <w:szCs w:val="24"/>
          <w:lang w:val="lv-LV" w:eastAsia="lv-LV"/>
        </w:rPr>
        <w:t>ā</w:t>
      </w:r>
      <w:r w:rsidR="00685B17" w:rsidRPr="00685B17">
        <w:rPr>
          <w:rFonts w:ascii="Times New Roman" w:eastAsia="Times New Roman" w:hAnsi="Times New Roman" w:cs="Times New Roman"/>
          <w:b/>
          <w:bCs/>
          <w:sz w:val="28"/>
          <w:szCs w:val="24"/>
          <w:lang w:val="lv-LV" w:eastAsia="lv-LV"/>
        </w:rPr>
        <w:t xml:space="preserve"> 2014.–2016.gadam</w:t>
      </w:r>
    </w:p>
    <w:p w:rsidR="00685B17" w:rsidRPr="00685B17" w:rsidRDefault="00685B17" w:rsidP="00685B17">
      <w:pPr>
        <w:spacing w:after="40" w:line="240" w:lineRule="auto"/>
        <w:ind w:left="720"/>
        <w:jc w:val="both"/>
        <w:rPr>
          <w:rFonts w:ascii="Times New Roman" w:eastAsia="Times New Roman" w:hAnsi="Times New Roman" w:cs="Times New Roman"/>
          <w:sz w:val="24"/>
          <w:szCs w:val="24"/>
          <w:lang w:val="lv-LV"/>
        </w:rPr>
      </w:pPr>
    </w:p>
    <w:p w:rsidR="00CA64C0" w:rsidRDefault="00CA64C0" w:rsidP="00CA64C0">
      <w:pPr>
        <w:spacing w:after="120" w:line="240" w:lineRule="auto"/>
        <w:jc w:val="both"/>
        <w:rPr>
          <w:rFonts w:ascii="Times New Roman" w:eastAsia="Times New Roman" w:hAnsi="Times New Roman" w:cs="Times New Roman"/>
          <w:sz w:val="28"/>
          <w:szCs w:val="28"/>
          <w:lang w:val="lv-LV" w:eastAsia="lv-LV"/>
        </w:rPr>
      </w:pPr>
    </w:p>
    <w:p w:rsidR="002A255F" w:rsidRDefault="00370107" w:rsidP="009E10BA">
      <w:pPr>
        <w:pStyle w:val="ListParagraph"/>
        <w:numPr>
          <w:ilvl w:val="0"/>
          <w:numId w:val="4"/>
        </w:numPr>
        <w:spacing w:after="120" w:line="240" w:lineRule="auto"/>
        <w:jc w:val="both"/>
        <w:rPr>
          <w:rFonts w:ascii="Times New Roman" w:eastAsia="Times New Roman" w:hAnsi="Times New Roman" w:cs="Times New Roman"/>
          <w:sz w:val="28"/>
          <w:szCs w:val="28"/>
          <w:lang w:val="lv-LV" w:eastAsia="lv-LV"/>
        </w:rPr>
      </w:pPr>
      <w:r w:rsidRPr="002A255F">
        <w:rPr>
          <w:rFonts w:ascii="Times New Roman" w:eastAsia="Times New Roman" w:hAnsi="Times New Roman" w:cs="Times New Roman"/>
          <w:sz w:val="28"/>
          <w:szCs w:val="28"/>
          <w:lang w:val="lv-LV" w:eastAsia="lv-LV"/>
        </w:rPr>
        <w:t xml:space="preserve">Izdarīt </w:t>
      </w:r>
      <w:r w:rsidR="00CA64C0" w:rsidRPr="002A255F">
        <w:rPr>
          <w:rFonts w:ascii="Times New Roman" w:eastAsia="Times New Roman" w:hAnsi="Times New Roman" w:cs="Times New Roman"/>
          <w:sz w:val="28"/>
          <w:szCs w:val="28"/>
          <w:lang w:val="lv-LV" w:eastAsia="lv-LV"/>
        </w:rPr>
        <w:t xml:space="preserve"> </w:t>
      </w:r>
      <w:r w:rsidR="00685B17" w:rsidRPr="002A255F">
        <w:rPr>
          <w:rFonts w:ascii="Times New Roman" w:eastAsia="Times New Roman" w:hAnsi="Times New Roman" w:cs="Times New Roman"/>
          <w:sz w:val="28"/>
          <w:szCs w:val="28"/>
          <w:lang w:val="lv-LV" w:eastAsia="lv-LV"/>
        </w:rPr>
        <w:t>Finanšu sektora attīstības plān</w:t>
      </w:r>
      <w:r w:rsidR="00CA64C0" w:rsidRPr="002A255F">
        <w:rPr>
          <w:rFonts w:ascii="Times New Roman" w:eastAsia="Times New Roman" w:hAnsi="Times New Roman" w:cs="Times New Roman"/>
          <w:sz w:val="28"/>
          <w:szCs w:val="28"/>
          <w:lang w:val="lv-LV" w:eastAsia="lv-LV"/>
        </w:rPr>
        <w:t>ā</w:t>
      </w:r>
      <w:r w:rsidR="00685B17" w:rsidRPr="002A255F">
        <w:rPr>
          <w:rFonts w:ascii="Times New Roman" w:eastAsia="Times New Roman" w:hAnsi="Times New Roman" w:cs="Times New Roman"/>
          <w:sz w:val="28"/>
          <w:szCs w:val="28"/>
          <w:lang w:val="lv-LV" w:eastAsia="lv-LV"/>
        </w:rPr>
        <w:t xml:space="preserve"> 2014.–2016.gadam</w:t>
      </w:r>
      <w:r w:rsidR="00FC08E7" w:rsidRPr="002A255F">
        <w:rPr>
          <w:rFonts w:ascii="Times New Roman" w:eastAsia="Times New Roman" w:hAnsi="Times New Roman" w:cs="Times New Roman"/>
          <w:sz w:val="28"/>
          <w:szCs w:val="28"/>
          <w:lang w:val="lv-LV" w:eastAsia="lv-LV"/>
        </w:rPr>
        <w:t xml:space="preserve"> (</w:t>
      </w:r>
      <w:r w:rsidRPr="002A255F">
        <w:rPr>
          <w:rFonts w:ascii="Times New Roman" w:eastAsia="Times New Roman" w:hAnsi="Times New Roman" w:cs="Times New Roman"/>
          <w:sz w:val="28"/>
          <w:szCs w:val="28"/>
          <w:lang w:val="lv-LV" w:eastAsia="lv-LV"/>
        </w:rPr>
        <w:t>apstiprināt</w:t>
      </w:r>
      <w:r w:rsidR="00FC08E7" w:rsidRPr="002A255F">
        <w:rPr>
          <w:rFonts w:ascii="Times New Roman" w:eastAsia="Times New Roman" w:hAnsi="Times New Roman" w:cs="Times New Roman"/>
          <w:sz w:val="28"/>
          <w:szCs w:val="28"/>
          <w:lang w:val="lv-LV" w:eastAsia="lv-LV"/>
        </w:rPr>
        <w:t>s</w:t>
      </w:r>
      <w:r w:rsidRPr="002A255F">
        <w:rPr>
          <w:rFonts w:ascii="Times New Roman" w:eastAsia="Times New Roman" w:hAnsi="Times New Roman" w:cs="Times New Roman"/>
          <w:sz w:val="28"/>
          <w:szCs w:val="28"/>
          <w:lang w:val="lv-LV" w:eastAsia="lv-LV"/>
        </w:rPr>
        <w:t xml:space="preserve"> ar Ministru kabineta</w:t>
      </w:r>
      <w:r w:rsidR="0051473E" w:rsidRPr="0051473E">
        <w:t xml:space="preserve"> </w:t>
      </w:r>
      <w:r w:rsidR="00FC08E7" w:rsidRPr="002A255F">
        <w:rPr>
          <w:rFonts w:ascii="Times New Roman" w:eastAsia="Times New Roman" w:hAnsi="Times New Roman" w:cs="Times New Roman"/>
          <w:sz w:val="28"/>
          <w:szCs w:val="28"/>
          <w:lang w:val="lv-LV" w:eastAsia="lv-LV"/>
        </w:rPr>
        <w:t>š.g.</w:t>
      </w:r>
      <w:r w:rsidR="0051473E" w:rsidRPr="002A255F">
        <w:rPr>
          <w:rFonts w:ascii="Times New Roman" w:eastAsia="Times New Roman" w:hAnsi="Times New Roman" w:cs="Times New Roman"/>
          <w:sz w:val="28"/>
          <w:szCs w:val="28"/>
          <w:lang w:val="lv-LV" w:eastAsia="lv-LV"/>
        </w:rPr>
        <w:t xml:space="preserve"> 31. mart</w:t>
      </w:r>
      <w:r w:rsidRPr="002A255F">
        <w:rPr>
          <w:rFonts w:ascii="Times New Roman" w:eastAsia="Times New Roman" w:hAnsi="Times New Roman" w:cs="Times New Roman"/>
          <w:sz w:val="28"/>
          <w:szCs w:val="28"/>
          <w:lang w:val="lv-LV" w:eastAsia="lv-LV"/>
        </w:rPr>
        <w:t>a r</w:t>
      </w:r>
      <w:r w:rsidR="0051473E" w:rsidRPr="002A255F">
        <w:rPr>
          <w:rFonts w:ascii="Times New Roman" w:eastAsia="Times New Roman" w:hAnsi="Times New Roman" w:cs="Times New Roman"/>
          <w:sz w:val="28"/>
          <w:szCs w:val="28"/>
          <w:lang w:val="lv-LV" w:eastAsia="lv-LV"/>
        </w:rPr>
        <w:t>īkojum</w:t>
      </w:r>
      <w:r w:rsidRPr="002A255F">
        <w:rPr>
          <w:rFonts w:ascii="Times New Roman" w:eastAsia="Times New Roman" w:hAnsi="Times New Roman" w:cs="Times New Roman"/>
          <w:sz w:val="28"/>
          <w:szCs w:val="28"/>
          <w:lang w:val="lv-LV" w:eastAsia="lv-LV"/>
        </w:rPr>
        <w:t>u</w:t>
      </w:r>
      <w:r w:rsidR="0051473E" w:rsidRPr="002A255F">
        <w:rPr>
          <w:rFonts w:ascii="Times New Roman" w:eastAsia="Times New Roman" w:hAnsi="Times New Roman" w:cs="Times New Roman"/>
          <w:sz w:val="28"/>
          <w:szCs w:val="28"/>
          <w:lang w:val="lv-LV" w:eastAsia="lv-LV"/>
        </w:rPr>
        <w:t xml:space="preserve"> Nr. 139</w:t>
      </w:r>
      <w:r w:rsidR="0008043C" w:rsidRPr="002A255F">
        <w:rPr>
          <w:rFonts w:ascii="Times New Roman" w:eastAsia="Times New Roman" w:hAnsi="Times New Roman" w:cs="Times New Roman"/>
          <w:sz w:val="28"/>
          <w:szCs w:val="28"/>
          <w:lang w:val="lv-LV" w:eastAsia="lv-LV"/>
        </w:rPr>
        <w:t xml:space="preserve"> (prot.Nr.18 22.§)</w:t>
      </w:r>
      <w:r w:rsidR="00FC08E7" w:rsidRPr="002A255F">
        <w:rPr>
          <w:rFonts w:ascii="Times New Roman" w:eastAsia="Times New Roman" w:hAnsi="Times New Roman" w:cs="Times New Roman"/>
          <w:sz w:val="28"/>
          <w:szCs w:val="28"/>
          <w:lang w:val="lv-LV" w:eastAsia="lv-LV"/>
        </w:rPr>
        <w:t xml:space="preserve"> “Par Finanšu sektora attīstības plānu 2014.–2016. gadam”</w:t>
      </w:r>
      <w:r w:rsidR="002A255F" w:rsidRPr="002A255F">
        <w:rPr>
          <w:rFonts w:ascii="Times New Roman" w:eastAsia="Times New Roman" w:hAnsi="Times New Roman" w:cs="Times New Roman"/>
          <w:sz w:val="28"/>
          <w:szCs w:val="28"/>
          <w:lang w:val="lv-LV" w:eastAsia="lv-LV"/>
        </w:rPr>
        <w:t xml:space="preserve"> (Latvijas Vēstnesis, 2014, </w:t>
      </w:r>
      <w:r w:rsidR="002B683B">
        <w:rPr>
          <w:rFonts w:ascii="Times New Roman" w:eastAsia="Times New Roman" w:hAnsi="Times New Roman" w:cs="Times New Roman"/>
          <w:sz w:val="28"/>
          <w:szCs w:val="28"/>
          <w:lang w:val="lv-LV" w:eastAsia="lv-LV"/>
        </w:rPr>
        <w:t xml:space="preserve">66 </w:t>
      </w:r>
      <w:r w:rsidR="002A255F" w:rsidRPr="002A255F">
        <w:rPr>
          <w:rFonts w:ascii="Times New Roman" w:eastAsia="Times New Roman" w:hAnsi="Times New Roman" w:cs="Times New Roman"/>
          <w:sz w:val="28"/>
          <w:szCs w:val="28"/>
          <w:lang w:val="lv-LV" w:eastAsia="lv-LV"/>
        </w:rPr>
        <w:t>nr.)</w:t>
      </w:r>
      <w:r w:rsidR="00FC08E7" w:rsidRPr="002A255F">
        <w:rPr>
          <w:rFonts w:ascii="Times New Roman" w:eastAsia="Times New Roman" w:hAnsi="Times New Roman" w:cs="Times New Roman"/>
          <w:sz w:val="28"/>
          <w:szCs w:val="28"/>
          <w:lang w:val="lv-LV" w:eastAsia="lv-LV"/>
        </w:rPr>
        <w:t xml:space="preserve">) (turpmāk – plāns) </w:t>
      </w:r>
      <w:r w:rsidR="002A255F" w:rsidRPr="002A255F">
        <w:rPr>
          <w:rFonts w:ascii="Times New Roman" w:eastAsia="Times New Roman" w:hAnsi="Times New Roman" w:cs="Times New Roman"/>
          <w:sz w:val="28"/>
          <w:szCs w:val="28"/>
          <w:lang w:val="lv-LV" w:eastAsia="lv-LV"/>
        </w:rPr>
        <w:t xml:space="preserve">šādus </w:t>
      </w:r>
      <w:r w:rsidR="00FC08E7" w:rsidRPr="002A255F">
        <w:rPr>
          <w:rFonts w:ascii="Times New Roman" w:eastAsia="Times New Roman" w:hAnsi="Times New Roman" w:cs="Times New Roman"/>
          <w:sz w:val="28"/>
          <w:szCs w:val="28"/>
          <w:lang w:val="lv-LV" w:eastAsia="lv-LV"/>
        </w:rPr>
        <w:t>grozījumu</w:t>
      </w:r>
      <w:r w:rsidR="00EB313C" w:rsidRPr="002A255F">
        <w:rPr>
          <w:rFonts w:ascii="Times New Roman" w:eastAsia="Times New Roman" w:hAnsi="Times New Roman" w:cs="Times New Roman"/>
          <w:sz w:val="28"/>
          <w:szCs w:val="28"/>
          <w:lang w:val="lv-LV" w:eastAsia="lv-LV"/>
        </w:rPr>
        <w:t>s</w:t>
      </w:r>
      <w:r w:rsidR="002A255F">
        <w:rPr>
          <w:rFonts w:ascii="Times New Roman" w:eastAsia="Times New Roman" w:hAnsi="Times New Roman" w:cs="Times New Roman"/>
          <w:sz w:val="28"/>
          <w:szCs w:val="28"/>
          <w:lang w:val="lv-LV" w:eastAsia="lv-LV"/>
        </w:rPr>
        <w:t>:</w:t>
      </w:r>
    </w:p>
    <w:p w:rsidR="00DB05BB" w:rsidRDefault="002A255F" w:rsidP="00DB05BB">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izteikt pielikuma “Finanšu sektora attīstības plānā 2014.-2016.gadam paredzētie pasākumi” 2.sadaļas “Kapitāla tirgus”</w:t>
      </w:r>
      <w:r w:rsidR="00DB05BB">
        <w:rPr>
          <w:rFonts w:ascii="Times New Roman" w:eastAsia="Times New Roman" w:hAnsi="Times New Roman" w:cs="Times New Roman"/>
          <w:sz w:val="28"/>
          <w:szCs w:val="28"/>
          <w:lang w:val="lv-LV" w:eastAsia="lv-LV"/>
        </w:rPr>
        <w:t xml:space="preserve"> rīcības virzienu mērķa sasniegšanai 2.1. “Caurskatāma valsts kapitāla daļu atsavināšana” šādā redakcijā:</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73"/>
        <w:gridCol w:w="1464"/>
        <w:gridCol w:w="2365"/>
        <w:gridCol w:w="1416"/>
      </w:tblGrid>
      <w:tr w:rsidR="003209A9" w:rsidTr="009A163D">
        <w:tc>
          <w:tcPr>
            <w:tcW w:w="1349" w:type="pct"/>
            <w:tcBorders>
              <w:top w:val="single" w:sz="4" w:space="0" w:color="auto"/>
              <w:left w:val="single" w:sz="4" w:space="0" w:color="auto"/>
              <w:bottom w:val="single" w:sz="4" w:space="0" w:color="auto"/>
              <w:right w:val="single" w:sz="4" w:space="0" w:color="auto"/>
            </w:tcBorders>
          </w:tcPr>
          <w:p w:rsidR="00DB05BB" w:rsidRPr="00DB05BB" w:rsidRDefault="00DB05BB" w:rsidP="00D0646F">
            <w:pPr>
              <w:spacing w:after="120" w:line="240" w:lineRule="auto"/>
              <w:jc w:val="both"/>
              <w:rPr>
                <w:rFonts w:ascii="Times New Roman" w:eastAsia="Calibri" w:hAnsi="Times New Roman" w:cs="Times New Roman"/>
                <w:bCs/>
                <w:color w:val="000000"/>
                <w:sz w:val="24"/>
                <w:szCs w:val="24"/>
                <w:lang w:val="lv-LV"/>
              </w:rPr>
            </w:pPr>
            <w:r w:rsidRPr="00D0646F">
              <w:rPr>
                <w:rFonts w:ascii="Times New Roman" w:hAnsi="Times New Roman"/>
                <w:color w:val="000000"/>
                <w:sz w:val="24"/>
                <w:szCs w:val="24"/>
              </w:rPr>
              <w:t>2.1.</w:t>
            </w:r>
            <w:r w:rsidRPr="00D0646F">
              <w:rPr>
                <w:rFonts w:ascii="Times New Roman" w:hAnsi="Times New Roman"/>
                <w:color w:val="000000"/>
                <w:sz w:val="24"/>
                <w:szCs w:val="24"/>
              </w:rPr>
              <w:tab/>
              <w:t>Caurskatāma valsts kapitāla daļu atsavināšana</w:t>
            </w:r>
          </w:p>
        </w:tc>
        <w:tc>
          <w:tcPr>
            <w:tcW w:w="713" w:type="pct"/>
            <w:tcBorders>
              <w:top w:val="single" w:sz="4" w:space="0" w:color="auto"/>
              <w:left w:val="single" w:sz="4" w:space="0" w:color="auto"/>
              <w:bottom w:val="single" w:sz="4" w:space="0" w:color="auto"/>
              <w:right w:val="single" w:sz="4" w:space="0" w:color="auto"/>
            </w:tcBorders>
          </w:tcPr>
          <w:p w:rsidR="00DB05BB" w:rsidRPr="000E3EB3" w:rsidRDefault="00DB05BB" w:rsidP="00A00573">
            <w:pPr>
              <w:spacing w:after="12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Pastāvīgi</w:t>
            </w:r>
            <w:proofErr w:type="spellEnd"/>
          </w:p>
        </w:tc>
        <w:tc>
          <w:tcPr>
            <w:tcW w:w="820" w:type="pct"/>
            <w:tcBorders>
              <w:top w:val="single" w:sz="4" w:space="0" w:color="auto"/>
              <w:left w:val="single" w:sz="4" w:space="0" w:color="auto"/>
              <w:bottom w:val="single" w:sz="4" w:space="0" w:color="auto"/>
              <w:right w:val="single" w:sz="4" w:space="0" w:color="auto"/>
            </w:tcBorders>
          </w:tcPr>
          <w:p w:rsidR="00DB05BB" w:rsidRPr="000E3EB3" w:rsidRDefault="00DB05BB" w:rsidP="00A00573">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Ministrijas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valsts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kapitāla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daļu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turētājas</w:t>
            </w:r>
            <w:proofErr w:type="spellEnd"/>
            <w:r>
              <w:rPr>
                <w:rFonts w:ascii="Times New Roman" w:hAnsi="Times New Roman"/>
                <w:color w:val="000000"/>
                <w:sz w:val="24"/>
                <w:szCs w:val="24"/>
              </w:rPr>
              <w:t>.</w:t>
            </w:r>
          </w:p>
        </w:tc>
        <w:tc>
          <w:tcPr>
            <w:tcW w:w="1325" w:type="pct"/>
            <w:tcBorders>
              <w:top w:val="single" w:sz="4" w:space="0" w:color="auto"/>
              <w:left w:val="single" w:sz="4" w:space="0" w:color="auto"/>
              <w:bottom w:val="single" w:sz="4" w:space="0" w:color="auto"/>
              <w:right w:val="single" w:sz="4" w:space="0" w:color="auto"/>
            </w:tcBorders>
          </w:tcPr>
          <w:p w:rsidR="00DB05BB" w:rsidRDefault="00DB05BB" w:rsidP="00DB05BB">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204290">
              <w:rPr>
                <w:rFonts w:ascii="Times New Roman" w:hAnsi="Times New Roman"/>
                <w:color w:val="000000"/>
                <w:sz w:val="24"/>
                <w:szCs w:val="24"/>
              </w:rPr>
              <w:t xml:space="preserve">Saskaņā </w:t>
            </w:r>
            <w:proofErr w:type="spellStart"/>
            <w:r w:rsidRPr="00204290">
              <w:rPr>
                <w:rFonts w:ascii="Times New Roman" w:hAnsi="Times New Roman"/>
                <w:color w:val="000000"/>
                <w:sz w:val="24"/>
                <w:szCs w:val="24"/>
              </w:rPr>
              <w:t>ar</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Ministru</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kabineta</w:t>
            </w:r>
            <w:proofErr w:type="spellEnd"/>
            <w:r w:rsidRPr="00204290">
              <w:rPr>
                <w:rFonts w:ascii="Times New Roman" w:hAnsi="Times New Roman"/>
                <w:color w:val="000000"/>
                <w:sz w:val="24"/>
                <w:szCs w:val="24"/>
              </w:rPr>
              <w:t xml:space="preserve"> 2013.gada 11.jūnija </w:t>
            </w:r>
            <w:proofErr w:type="spellStart"/>
            <w:r w:rsidRPr="00204290">
              <w:rPr>
                <w:rFonts w:ascii="Times New Roman" w:hAnsi="Times New Roman"/>
                <w:color w:val="000000"/>
                <w:sz w:val="24"/>
                <w:szCs w:val="24"/>
              </w:rPr>
              <w:t>sēdē</w:t>
            </w:r>
            <w:proofErr w:type="spellEnd"/>
            <w:r w:rsidRPr="00204290">
              <w:rPr>
                <w:rFonts w:ascii="Times New Roman" w:hAnsi="Times New Roman"/>
                <w:color w:val="000000"/>
                <w:sz w:val="24"/>
                <w:szCs w:val="24"/>
              </w:rPr>
              <w:t xml:space="preserve"> (prot.Nr.34 37.§) </w:t>
            </w:r>
            <w:proofErr w:type="spellStart"/>
            <w:r w:rsidRPr="00204290">
              <w:rPr>
                <w:rFonts w:ascii="Times New Roman" w:hAnsi="Times New Roman"/>
                <w:color w:val="000000"/>
                <w:sz w:val="24"/>
                <w:szCs w:val="24"/>
              </w:rPr>
              <w:t>lemto</w:t>
            </w:r>
            <w:proofErr w:type="spellEnd"/>
            <w:r w:rsidRPr="00204290">
              <w:rPr>
                <w:rFonts w:ascii="Times New Roman" w:hAnsi="Times New Roman"/>
                <w:color w:val="000000"/>
                <w:sz w:val="24"/>
                <w:szCs w:val="24"/>
              </w:rPr>
              <w:t xml:space="preserve"> un </w:t>
            </w:r>
            <w:proofErr w:type="spellStart"/>
            <w:r w:rsidRPr="00204290">
              <w:rPr>
                <w:rFonts w:ascii="Times New Roman" w:hAnsi="Times New Roman"/>
                <w:color w:val="000000"/>
                <w:sz w:val="24"/>
                <w:szCs w:val="24"/>
              </w:rPr>
              <w:t>informatīvā</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ziņojuma</w:t>
            </w:r>
            <w:proofErr w:type="spellEnd"/>
            <w:r w:rsidRPr="00204290">
              <w:rPr>
                <w:rFonts w:ascii="Times New Roman" w:hAnsi="Times New Roman"/>
                <w:color w:val="000000"/>
                <w:sz w:val="24"/>
                <w:szCs w:val="24"/>
              </w:rPr>
              <w:t xml:space="preserve"> "Par </w:t>
            </w:r>
            <w:proofErr w:type="spellStart"/>
            <w:r w:rsidRPr="00204290">
              <w:rPr>
                <w:rFonts w:ascii="Times New Roman" w:hAnsi="Times New Roman"/>
                <w:color w:val="000000"/>
                <w:sz w:val="24"/>
                <w:szCs w:val="24"/>
              </w:rPr>
              <w:t>valsts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līdzdalības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kapitālsabiedrībās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izvērtēšanu</w:t>
            </w:r>
            <w:proofErr w:type="spellEnd"/>
            <w:r w:rsidRPr="00204290">
              <w:rPr>
                <w:rFonts w:ascii="Times New Roman" w:hAnsi="Times New Roman"/>
                <w:color w:val="000000"/>
                <w:sz w:val="24"/>
                <w:szCs w:val="24"/>
              </w:rPr>
              <w:t xml:space="preserve"> un </w:t>
            </w:r>
            <w:proofErr w:type="spellStart"/>
            <w:r w:rsidRPr="00204290">
              <w:rPr>
                <w:rFonts w:ascii="Times New Roman" w:hAnsi="Times New Roman"/>
                <w:color w:val="000000"/>
                <w:sz w:val="24"/>
                <w:szCs w:val="24"/>
              </w:rPr>
              <w:t>ar</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Ministru</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prezidenta</w:t>
            </w:r>
            <w:proofErr w:type="spellEnd"/>
            <w:r w:rsidRPr="00204290">
              <w:rPr>
                <w:rFonts w:ascii="Times New Roman" w:hAnsi="Times New Roman"/>
                <w:color w:val="000000"/>
                <w:sz w:val="24"/>
                <w:szCs w:val="24"/>
              </w:rPr>
              <w:t xml:space="preserve"> 2012.gada 19.jūnija </w:t>
            </w:r>
            <w:proofErr w:type="spellStart"/>
            <w:r w:rsidRPr="00204290">
              <w:rPr>
                <w:rFonts w:ascii="Times New Roman" w:hAnsi="Times New Roman"/>
                <w:color w:val="000000"/>
                <w:sz w:val="24"/>
                <w:szCs w:val="24"/>
              </w:rPr>
              <w:t>rīkojumu</w:t>
            </w:r>
            <w:proofErr w:type="spellEnd"/>
            <w:r w:rsidRPr="00204290">
              <w:rPr>
                <w:rFonts w:ascii="Times New Roman" w:hAnsi="Times New Roman"/>
                <w:color w:val="000000"/>
                <w:sz w:val="24"/>
                <w:szCs w:val="24"/>
              </w:rPr>
              <w:t xml:space="preserve"> Nr.233 </w:t>
            </w:r>
            <w:proofErr w:type="spellStart"/>
            <w:r w:rsidRPr="00204290">
              <w:rPr>
                <w:rFonts w:ascii="Times New Roman" w:hAnsi="Times New Roman"/>
                <w:color w:val="000000"/>
                <w:sz w:val="24"/>
                <w:szCs w:val="24"/>
              </w:rPr>
              <w:t>izveidotās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darba</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grupas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priekšlikumiem</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turpmākai</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rīcībai</w:t>
            </w:r>
            <w:proofErr w:type="spellEnd"/>
            <w:r w:rsidRPr="00204290">
              <w:rPr>
                <w:rFonts w:ascii="Times New Roman" w:hAnsi="Times New Roman"/>
                <w:color w:val="000000"/>
                <w:sz w:val="24"/>
                <w:szCs w:val="24"/>
              </w:rPr>
              <w:t xml:space="preserve">" 5.pielikumā </w:t>
            </w:r>
            <w:proofErr w:type="spellStart"/>
            <w:r w:rsidRPr="00204290">
              <w:rPr>
                <w:rFonts w:ascii="Times New Roman" w:hAnsi="Times New Roman"/>
                <w:color w:val="000000"/>
                <w:sz w:val="24"/>
                <w:szCs w:val="24"/>
              </w:rPr>
              <w:t>doto</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uzdevumu</w:t>
            </w:r>
            <w:proofErr w:type="spellEnd"/>
            <w:r w:rsidRPr="00204290">
              <w:rPr>
                <w:rFonts w:ascii="Times New Roman" w:hAnsi="Times New Roman"/>
                <w:color w:val="000000"/>
                <w:sz w:val="24"/>
                <w:szCs w:val="24"/>
              </w:rPr>
              <w:t xml:space="preserve"> Nr.4 un Nr.5 </w:t>
            </w:r>
            <w:proofErr w:type="spellStart"/>
            <w:r w:rsidRPr="00204290">
              <w:rPr>
                <w:rFonts w:ascii="Times New Roman" w:hAnsi="Times New Roman"/>
                <w:color w:val="000000"/>
                <w:sz w:val="24"/>
                <w:szCs w:val="24"/>
              </w:rPr>
              <w:t>ministrijām</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līdz</w:t>
            </w:r>
            <w:proofErr w:type="spellEnd"/>
            <w:r w:rsidRPr="00204290">
              <w:rPr>
                <w:rFonts w:ascii="Times New Roman" w:hAnsi="Times New Roman"/>
                <w:color w:val="000000"/>
                <w:sz w:val="24"/>
                <w:szCs w:val="24"/>
              </w:rPr>
              <w:t xml:space="preserve"> </w:t>
            </w:r>
            <w:r>
              <w:rPr>
                <w:rFonts w:ascii="Times New Roman" w:hAnsi="Times New Roman"/>
                <w:color w:val="000000"/>
                <w:sz w:val="24"/>
                <w:szCs w:val="24"/>
              </w:rPr>
              <w:t>2013.gada</w:t>
            </w:r>
            <w:r w:rsidRPr="00204290">
              <w:rPr>
                <w:rFonts w:ascii="Times New Roman" w:hAnsi="Times New Roman"/>
                <w:color w:val="000000"/>
                <w:sz w:val="24"/>
                <w:szCs w:val="24"/>
              </w:rPr>
              <w:t xml:space="preserve"> 31.decembrim </w:t>
            </w:r>
            <w:proofErr w:type="spellStart"/>
            <w:r w:rsidRPr="00204290">
              <w:rPr>
                <w:rFonts w:ascii="Times New Roman" w:hAnsi="Times New Roman"/>
                <w:color w:val="000000"/>
                <w:sz w:val="24"/>
                <w:szCs w:val="24"/>
              </w:rPr>
              <w:t>ir</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jāiesniedz</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vērtējums</w:t>
            </w:r>
            <w:proofErr w:type="spellEnd"/>
            <w:r w:rsidRPr="00204290">
              <w:rPr>
                <w:rFonts w:ascii="Times New Roman" w:hAnsi="Times New Roman"/>
                <w:color w:val="000000"/>
                <w:sz w:val="24"/>
                <w:szCs w:val="24"/>
              </w:rPr>
              <w:t xml:space="preserve"> par </w:t>
            </w:r>
            <w:proofErr w:type="spellStart"/>
            <w:r w:rsidRPr="00204290">
              <w:rPr>
                <w:rFonts w:ascii="Times New Roman" w:hAnsi="Times New Roman"/>
                <w:color w:val="000000"/>
                <w:sz w:val="24"/>
                <w:szCs w:val="24"/>
              </w:rPr>
              <w:t>iespēju</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atsavināt</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valstij</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piederošās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lastRenderedPageBreak/>
              <w:t>kapitāla</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daļas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akcijas</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kapitālsabiedrībā</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kurā</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tā</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ir</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kapitāla</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daļu</w:t>
            </w:r>
            <w:proofErr w:type="spellEnd"/>
            <w:r w:rsidRPr="00204290">
              <w:rPr>
                <w:rFonts w:ascii="Times New Roman" w:hAnsi="Times New Roman"/>
                <w:color w:val="000000"/>
                <w:sz w:val="24"/>
                <w:szCs w:val="24"/>
              </w:rPr>
              <w:t xml:space="preserve"> </w:t>
            </w:r>
            <w:proofErr w:type="spellStart"/>
            <w:r w:rsidRPr="00204290">
              <w:rPr>
                <w:rFonts w:ascii="Times New Roman" w:hAnsi="Times New Roman"/>
                <w:color w:val="000000"/>
                <w:sz w:val="24"/>
                <w:szCs w:val="24"/>
              </w:rPr>
              <w:t>turētāja</w:t>
            </w:r>
            <w:proofErr w:type="spellEnd"/>
            <w:r w:rsidRPr="00204290">
              <w:rPr>
                <w:rFonts w:ascii="Times New Roman" w:hAnsi="Times New Roman"/>
                <w:color w:val="000000"/>
                <w:sz w:val="24"/>
                <w:szCs w:val="24"/>
              </w:rPr>
              <w:t>.</w:t>
            </w:r>
          </w:p>
          <w:p w:rsidR="00DB05BB" w:rsidRPr="00DB05BB" w:rsidRDefault="00DB05BB" w:rsidP="00A00573">
            <w:pPr>
              <w:spacing w:before="120" w:after="0" w:line="240" w:lineRule="auto"/>
              <w:jc w:val="both"/>
              <w:rPr>
                <w:rFonts w:ascii="Times New Roman" w:eastAsia="Times New Roman" w:hAnsi="Times New Roman" w:cs="Calibri"/>
                <w:sz w:val="24"/>
                <w:szCs w:val="24"/>
                <w:lang w:val="lv-LV" w:eastAsia="lv-LV"/>
              </w:rPr>
            </w:pPr>
            <w:r w:rsidRPr="00DB05BB">
              <w:rPr>
                <w:rFonts w:ascii="Times New Roman" w:eastAsia="Times New Roman" w:hAnsi="Times New Roman" w:cs="Calibri"/>
                <w:sz w:val="24"/>
                <w:szCs w:val="24"/>
                <w:lang w:val="lv-LV" w:eastAsia="lv-LV"/>
              </w:rPr>
              <w:t xml:space="preserve">2. Ja valstij pilnībā vai daļēji piederošas kapitālsabiedrības atbilst vismaz diviem no šādiem kritērijiem vidējais darbinieku skaits iepriekšējā finanšu gadā 250 vai vairāk, tās aktīvu kopsumma pārsniedz 43 000 000 </w:t>
            </w:r>
            <w:proofErr w:type="spellStart"/>
            <w:r w:rsidRPr="00DB05BB">
              <w:rPr>
                <w:rFonts w:ascii="Times New Roman" w:eastAsia="Times New Roman" w:hAnsi="Times New Roman" w:cs="Calibri"/>
                <w:sz w:val="24"/>
                <w:szCs w:val="24"/>
                <w:lang w:val="lv-LV" w:eastAsia="lv-LV"/>
              </w:rPr>
              <w:t>euro</w:t>
            </w:r>
            <w:proofErr w:type="spellEnd"/>
            <w:r w:rsidRPr="00DB05BB">
              <w:rPr>
                <w:rFonts w:ascii="Times New Roman" w:eastAsia="Times New Roman" w:hAnsi="Times New Roman" w:cs="Calibri"/>
                <w:sz w:val="24"/>
                <w:szCs w:val="24"/>
                <w:lang w:val="lv-LV" w:eastAsia="lv-LV"/>
              </w:rPr>
              <w:t xml:space="preserve">, gada tīrais apgrozījums pārsniedz 50 000 000 </w:t>
            </w:r>
            <w:proofErr w:type="spellStart"/>
            <w:r w:rsidRPr="00DB05BB">
              <w:rPr>
                <w:rFonts w:ascii="Times New Roman" w:eastAsia="Times New Roman" w:hAnsi="Times New Roman" w:cs="Calibri"/>
                <w:sz w:val="24"/>
                <w:szCs w:val="24"/>
                <w:lang w:val="lv-LV" w:eastAsia="lv-LV"/>
              </w:rPr>
              <w:t>euro</w:t>
            </w:r>
            <w:proofErr w:type="spellEnd"/>
            <w:r w:rsidRPr="00DB05BB">
              <w:rPr>
                <w:rFonts w:ascii="Times New Roman" w:eastAsia="Times New Roman" w:hAnsi="Times New Roman" w:cs="Calibri"/>
                <w:sz w:val="24"/>
                <w:szCs w:val="24"/>
                <w:lang w:val="lv-LV" w:eastAsia="lv-LV"/>
              </w:rPr>
              <w:t xml:space="preserve"> obligāti kā vienu no iespējām piedāvāt Ministru kabinetam noteikt nosacījumu, ka atsavināmās daļas (akcijas) tiek atsavinātas publiskajā piedāvājumā vai kotējot biržā.  *</w:t>
            </w:r>
          </w:p>
          <w:p w:rsidR="00DB05BB" w:rsidRPr="00DB05BB" w:rsidRDefault="002F25A6" w:rsidP="00A00573">
            <w:pPr>
              <w:spacing w:before="120" w:after="0" w:line="240" w:lineRule="auto"/>
              <w:jc w:val="both"/>
              <w:rPr>
                <w:rFonts w:ascii="Times New Roman" w:eastAsia="Times New Roman" w:hAnsi="Times New Roman" w:cs="Calibri"/>
                <w:sz w:val="24"/>
                <w:szCs w:val="24"/>
                <w:lang w:val="lv-LV" w:eastAsia="lv-LV"/>
              </w:rPr>
            </w:pPr>
            <w:r>
              <w:rPr>
                <w:rFonts w:ascii="Times New Roman" w:eastAsia="Times New Roman" w:hAnsi="Times New Roman" w:cs="Calibri"/>
                <w:sz w:val="24"/>
                <w:szCs w:val="24"/>
                <w:lang w:val="lv-LV" w:eastAsia="lv-LV"/>
              </w:rPr>
              <w:t>3.</w:t>
            </w:r>
            <w:r w:rsidR="00DB05BB" w:rsidRPr="00DB05BB">
              <w:rPr>
                <w:rFonts w:ascii="Times New Roman" w:eastAsia="Times New Roman" w:hAnsi="Times New Roman" w:cs="Calibri"/>
                <w:sz w:val="24"/>
                <w:szCs w:val="24"/>
                <w:lang w:val="lv-LV" w:eastAsia="lv-LV"/>
              </w:rPr>
              <w:t xml:space="preserve">Lai izvērtētu valstij pilnībā vai daļēji piederošu kapitālsabiedrību pārdošanas procesa organizēšanas vēlamo modeli, kā vienu no atlases kritērijiem konsultantam noteikt iepriekšēju pieredzi un spēju veikt publiskas kotācijas lietderības </w:t>
            </w:r>
            <w:proofErr w:type="spellStart"/>
            <w:r w:rsidR="00DB05BB" w:rsidRPr="00DB05BB">
              <w:rPr>
                <w:rFonts w:ascii="Times New Roman" w:eastAsia="Times New Roman" w:hAnsi="Times New Roman" w:cs="Calibri"/>
                <w:sz w:val="24"/>
                <w:szCs w:val="24"/>
                <w:lang w:val="lv-LV" w:eastAsia="lv-LV"/>
              </w:rPr>
              <w:t>izvērtējumu</w:t>
            </w:r>
            <w:proofErr w:type="spellEnd"/>
            <w:r w:rsidR="00DB05BB" w:rsidRPr="00DB05BB">
              <w:rPr>
                <w:rFonts w:ascii="Times New Roman" w:eastAsia="Times New Roman" w:hAnsi="Times New Roman" w:cs="Calibri"/>
                <w:sz w:val="24"/>
                <w:szCs w:val="24"/>
                <w:lang w:val="lv-LV" w:eastAsia="lv-LV"/>
              </w:rPr>
              <w:t>.</w:t>
            </w:r>
          </w:p>
          <w:p w:rsidR="00DB05BB" w:rsidRPr="00DB05BB" w:rsidRDefault="00DB05BB" w:rsidP="00A00573">
            <w:pPr>
              <w:spacing w:before="120" w:after="0" w:line="240" w:lineRule="auto"/>
              <w:jc w:val="both"/>
              <w:rPr>
                <w:rFonts w:ascii="Times New Roman" w:eastAsia="Times New Roman" w:hAnsi="Times New Roman" w:cs="Calibri"/>
                <w:sz w:val="24"/>
                <w:szCs w:val="24"/>
                <w:lang w:val="lv-LV" w:eastAsia="lv-LV"/>
              </w:rPr>
            </w:pPr>
            <w:r w:rsidRPr="00DB05BB">
              <w:rPr>
                <w:rFonts w:ascii="Times New Roman" w:eastAsia="Times New Roman" w:hAnsi="Times New Roman" w:cs="Calibri"/>
                <w:sz w:val="24"/>
                <w:szCs w:val="24"/>
                <w:lang w:val="lv-LV" w:eastAsia="lv-LV"/>
              </w:rPr>
              <w:t xml:space="preserve">Ja tiek secināts, ka kapitāla daļu atsavināšanas procesā publiskā piedāvājuma alternatīva būtu lietderīga, piesaistot konsultantu valstij pilnībā vai daļēji </w:t>
            </w:r>
            <w:r w:rsidRPr="00DB05BB">
              <w:rPr>
                <w:rFonts w:ascii="Times New Roman" w:eastAsia="Times New Roman" w:hAnsi="Times New Roman" w:cs="Calibri"/>
                <w:sz w:val="24"/>
                <w:szCs w:val="24"/>
                <w:lang w:val="lv-LV" w:eastAsia="lv-LV"/>
              </w:rPr>
              <w:lastRenderedPageBreak/>
              <w:t>piederošu kapitālsabiedrību pārdošanas procesa organizēšanai, kā vienu no atlases kritērijiem konsultantam noteikt iepriekšēju pieredzi un spēju veikt sākotnējo publisko piedāvājumu, organizējot kapitālsabiedrību pārdošanu publiskajā piedāvājumā un kotējot biržā.</w:t>
            </w:r>
          </w:p>
          <w:p w:rsidR="00DB05BB" w:rsidRPr="00F903DC" w:rsidRDefault="00DB05BB" w:rsidP="00DB05BB">
            <w:pPr>
              <w:spacing w:before="120" w:after="0" w:line="240" w:lineRule="auto"/>
              <w:jc w:val="both"/>
              <w:rPr>
                <w:rFonts w:ascii="Times New Roman" w:eastAsia="Times New Roman" w:hAnsi="Times New Roman" w:cs="Calibri"/>
                <w:color w:val="000000"/>
                <w:sz w:val="24"/>
                <w:szCs w:val="24"/>
                <w:lang w:val="lv-LV" w:eastAsia="lv-LV"/>
              </w:rPr>
            </w:pPr>
            <w:r>
              <w:rPr>
                <w:rFonts w:ascii="Times New Roman" w:eastAsia="Times New Roman" w:hAnsi="Times New Roman" w:cs="Calibri"/>
                <w:color w:val="000000"/>
                <w:sz w:val="24"/>
                <w:szCs w:val="24"/>
                <w:lang w:val="lv-LV" w:eastAsia="lv-LV"/>
              </w:rPr>
              <w:t>*</w:t>
            </w:r>
            <w:r w:rsidRPr="00F903DC">
              <w:rPr>
                <w:rFonts w:ascii="Times New Roman" w:eastAsia="Times New Roman" w:hAnsi="Times New Roman" w:cs="Calibri"/>
                <w:color w:val="000000"/>
                <w:sz w:val="24"/>
                <w:szCs w:val="24"/>
                <w:lang w:val="lv-LV" w:eastAsia="lv-LV"/>
              </w:rPr>
              <w:t xml:space="preserve">Kritēriji noteikti atbilstoši Finanšu instrumentu tirgus likumam: </w:t>
            </w:r>
          </w:p>
          <w:p w:rsidR="00DB05BB" w:rsidRPr="00F903DC" w:rsidRDefault="00DB05BB" w:rsidP="00DB05BB">
            <w:pPr>
              <w:spacing w:before="120" w:after="0" w:line="240" w:lineRule="auto"/>
              <w:jc w:val="both"/>
              <w:rPr>
                <w:rFonts w:ascii="Times New Roman" w:eastAsia="Times New Roman" w:hAnsi="Times New Roman" w:cs="Calibri"/>
                <w:color w:val="000000"/>
                <w:sz w:val="24"/>
                <w:szCs w:val="24"/>
                <w:lang w:val="lv-LV" w:eastAsia="lv-LV"/>
              </w:rPr>
            </w:pPr>
            <w:r w:rsidRPr="00F903DC">
              <w:rPr>
                <w:rFonts w:ascii="Times New Roman" w:eastAsia="Times New Roman" w:hAnsi="Times New Roman" w:cs="Calibri"/>
                <w:color w:val="000000"/>
                <w:sz w:val="24"/>
                <w:szCs w:val="24"/>
                <w:lang w:val="lv-LV" w:eastAsia="lv-LV"/>
              </w:rPr>
              <w:t xml:space="preserve">1.pants. 33) mazie un vidējie komersanti — komersanti, kas saskaņā ar to individuālajiem gada pārskatiem vai konsolidētajiem gada pārskatiem atbilst vismaz diviem no šādiem trim kritērijiem: </w:t>
            </w:r>
          </w:p>
          <w:p w:rsidR="00DB05BB" w:rsidRPr="00F903DC" w:rsidRDefault="00DB05BB" w:rsidP="00DB05BB">
            <w:pPr>
              <w:spacing w:before="120" w:after="0" w:line="240" w:lineRule="auto"/>
              <w:jc w:val="both"/>
              <w:rPr>
                <w:rFonts w:ascii="Times New Roman" w:eastAsia="Times New Roman" w:hAnsi="Times New Roman" w:cs="Calibri"/>
                <w:color w:val="000000"/>
                <w:sz w:val="24"/>
                <w:szCs w:val="24"/>
                <w:lang w:val="lv-LV" w:eastAsia="lv-LV"/>
              </w:rPr>
            </w:pPr>
            <w:r w:rsidRPr="00F903DC">
              <w:rPr>
                <w:rFonts w:ascii="Times New Roman" w:eastAsia="Times New Roman" w:hAnsi="Times New Roman" w:cs="Calibri"/>
                <w:color w:val="000000"/>
                <w:sz w:val="24"/>
                <w:szCs w:val="24"/>
                <w:lang w:val="lv-LV" w:eastAsia="lv-LV"/>
              </w:rPr>
              <w:t xml:space="preserve">a) vidējais darbinieku skaits finansiālajā gadā ir mazāks par 250, </w:t>
            </w:r>
          </w:p>
          <w:p w:rsidR="00DB05BB" w:rsidRPr="00F903DC" w:rsidRDefault="00DB05BB" w:rsidP="00DB05BB">
            <w:pPr>
              <w:spacing w:before="120" w:after="0" w:line="240" w:lineRule="auto"/>
              <w:jc w:val="both"/>
              <w:rPr>
                <w:rFonts w:ascii="Times New Roman" w:eastAsia="Times New Roman" w:hAnsi="Times New Roman" w:cs="Calibri"/>
                <w:color w:val="000000"/>
                <w:sz w:val="24"/>
                <w:szCs w:val="24"/>
                <w:lang w:val="lv-LV" w:eastAsia="lv-LV"/>
              </w:rPr>
            </w:pPr>
            <w:r w:rsidRPr="00F903DC">
              <w:rPr>
                <w:rFonts w:ascii="Times New Roman" w:eastAsia="Times New Roman" w:hAnsi="Times New Roman" w:cs="Calibri"/>
                <w:color w:val="000000"/>
                <w:sz w:val="24"/>
                <w:szCs w:val="24"/>
                <w:lang w:val="lv-LV" w:eastAsia="lv-LV"/>
              </w:rPr>
              <w:t xml:space="preserve">b) aktīvu kopsumma nepārsniedz 43 000 000 </w:t>
            </w:r>
            <w:proofErr w:type="spellStart"/>
            <w:r w:rsidRPr="00F903DC">
              <w:rPr>
                <w:rFonts w:ascii="Times New Roman" w:eastAsia="Times New Roman" w:hAnsi="Times New Roman" w:cs="Calibri"/>
                <w:color w:val="000000"/>
                <w:sz w:val="24"/>
                <w:szCs w:val="24"/>
                <w:lang w:val="lv-LV" w:eastAsia="lv-LV"/>
              </w:rPr>
              <w:t>euro</w:t>
            </w:r>
            <w:proofErr w:type="spellEnd"/>
            <w:r w:rsidRPr="00F903DC">
              <w:rPr>
                <w:rFonts w:ascii="Times New Roman" w:eastAsia="Times New Roman" w:hAnsi="Times New Roman" w:cs="Calibri"/>
                <w:color w:val="000000"/>
                <w:sz w:val="24"/>
                <w:szCs w:val="24"/>
                <w:lang w:val="lv-LV" w:eastAsia="lv-LV"/>
              </w:rPr>
              <w:t xml:space="preserve">, </w:t>
            </w:r>
          </w:p>
          <w:p w:rsidR="00DB05BB" w:rsidRDefault="00DB05BB" w:rsidP="00DB05BB">
            <w:pPr>
              <w:rPr>
                <w:rFonts w:ascii="Times New Roman" w:eastAsia="Times New Roman" w:hAnsi="Times New Roman" w:cs="Calibri"/>
                <w:color w:val="000000"/>
                <w:sz w:val="24"/>
                <w:szCs w:val="24"/>
                <w:lang w:val="lv-LV" w:eastAsia="lv-LV"/>
              </w:rPr>
            </w:pPr>
            <w:r w:rsidRPr="00F903DC">
              <w:rPr>
                <w:rFonts w:ascii="Times New Roman" w:eastAsia="Times New Roman" w:hAnsi="Times New Roman" w:cs="Calibri"/>
                <w:color w:val="000000"/>
                <w:sz w:val="24"/>
                <w:szCs w:val="24"/>
                <w:lang w:val="lv-LV" w:eastAsia="lv-LV"/>
              </w:rPr>
              <w:t xml:space="preserve">c) gada tīrais apgrozījums nepārsniedz 50 000 000 </w:t>
            </w:r>
            <w:proofErr w:type="spellStart"/>
            <w:r w:rsidRPr="00F903DC">
              <w:rPr>
                <w:rFonts w:ascii="Times New Roman" w:eastAsia="Times New Roman" w:hAnsi="Times New Roman" w:cs="Calibri"/>
                <w:color w:val="000000"/>
                <w:sz w:val="24"/>
                <w:szCs w:val="24"/>
                <w:lang w:val="lv-LV" w:eastAsia="lv-LV"/>
              </w:rPr>
              <w:t>euro</w:t>
            </w:r>
            <w:proofErr w:type="spellEnd"/>
            <w:r>
              <w:rPr>
                <w:rFonts w:ascii="Times New Roman" w:eastAsia="Times New Roman" w:hAnsi="Times New Roman" w:cs="Calibri"/>
                <w:color w:val="000000"/>
                <w:sz w:val="24"/>
                <w:szCs w:val="24"/>
                <w:lang w:val="lv-LV" w:eastAsia="lv-LV"/>
              </w:rPr>
              <w:t>.</w:t>
            </w:r>
          </w:p>
          <w:p w:rsidR="00DB05BB" w:rsidRPr="005A2D99" w:rsidRDefault="00DB05BB" w:rsidP="00A00573">
            <w:pPr>
              <w:spacing w:before="120" w:after="0" w:line="240" w:lineRule="auto"/>
              <w:jc w:val="both"/>
              <w:rPr>
                <w:rFonts w:ascii="Times New Roman" w:eastAsia="Times New Roman" w:hAnsi="Times New Roman" w:cs="Calibri"/>
                <w:color w:val="000000"/>
                <w:sz w:val="24"/>
                <w:szCs w:val="24"/>
                <w:lang w:val="lv-LV" w:eastAsia="lv-LV"/>
              </w:rPr>
            </w:pPr>
          </w:p>
        </w:tc>
        <w:tc>
          <w:tcPr>
            <w:tcW w:w="794" w:type="pct"/>
            <w:tcBorders>
              <w:top w:val="single" w:sz="4" w:space="0" w:color="auto"/>
              <w:left w:val="single" w:sz="4" w:space="0" w:color="auto"/>
              <w:bottom w:val="single" w:sz="4" w:space="0" w:color="auto"/>
              <w:right w:val="single" w:sz="4" w:space="0" w:color="auto"/>
            </w:tcBorders>
          </w:tcPr>
          <w:p w:rsidR="00DB05BB" w:rsidRDefault="00DB05BB" w:rsidP="00D0646F">
            <w:pPr>
              <w:spacing w:after="120" w:line="240" w:lineRule="auto"/>
              <w:jc w:val="both"/>
              <w:rPr>
                <w:rFonts w:ascii="Times New Roman" w:eastAsia="Times New Roman" w:hAnsi="Times New Roman" w:cs="Calibri"/>
                <w:color w:val="000000"/>
                <w:sz w:val="24"/>
                <w:szCs w:val="24"/>
                <w:lang w:val="lv-LV" w:eastAsia="lv-LV"/>
              </w:rPr>
            </w:pPr>
            <w:r w:rsidRPr="00D0646F">
              <w:rPr>
                <w:rFonts w:ascii="Times New Roman" w:hAnsi="Times New Roman"/>
                <w:color w:val="000000"/>
                <w:sz w:val="24"/>
                <w:szCs w:val="24"/>
              </w:rPr>
              <w:lastRenderedPageBreak/>
              <w:t>Funkciju izpilde tiek nodrošināta ikgadēji piešķirto valsts budžeta līdzekļu ietvaros.</w:t>
            </w:r>
          </w:p>
        </w:tc>
      </w:tr>
    </w:tbl>
    <w:p w:rsidR="00DB05BB" w:rsidRPr="00DB05BB" w:rsidRDefault="00DB05BB" w:rsidP="00DB05BB">
      <w:pPr>
        <w:spacing w:after="120" w:line="240" w:lineRule="auto"/>
        <w:ind w:left="720"/>
        <w:jc w:val="both"/>
        <w:rPr>
          <w:rFonts w:ascii="Times New Roman" w:eastAsia="Times New Roman" w:hAnsi="Times New Roman" w:cs="Times New Roman"/>
          <w:sz w:val="28"/>
          <w:szCs w:val="28"/>
          <w:lang w:val="lv-LV" w:eastAsia="lv-LV"/>
        </w:rPr>
      </w:pPr>
    </w:p>
    <w:p w:rsidR="002F25A6" w:rsidRDefault="002F25A6" w:rsidP="002F25A6">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izteikt pielikuma “Finanšu sektora attīstības plānā 2014.-2016.gadam paredzētie pasākumi” 2.sadaļas “Kapitāla tirgus” </w:t>
      </w:r>
      <w:r>
        <w:rPr>
          <w:rFonts w:ascii="Times New Roman" w:eastAsia="Times New Roman" w:hAnsi="Times New Roman" w:cs="Times New Roman"/>
          <w:sz w:val="28"/>
          <w:szCs w:val="28"/>
          <w:lang w:val="lv-LV" w:eastAsia="lv-LV"/>
        </w:rPr>
        <w:lastRenderedPageBreak/>
        <w:t>rīcības virzienu mērķa sasniegšanai 2.3. “Korporatīvo parāda vērtspapīru popularizēšana” šādā redakcijā:</w:t>
      </w:r>
    </w:p>
    <w:tbl>
      <w:tblPr>
        <w:tblW w:w="52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417"/>
        <w:gridCol w:w="1274"/>
        <w:gridCol w:w="2410"/>
        <w:gridCol w:w="1274"/>
      </w:tblGrid>
      <w:tr w:rsidR="003209A9" w:rsidRPr="00C4265B" w:rsidTr="009A163D">
        <w:tc>
          <w:tcPr>
            <w:tcW w:w="1373" w:type="pct"/>
            <w:tcBorders>
              <w:top w:val="single" w:sz="4" w:space="0" w:color="auto"/>
              <w:left w:val="single" w:sz="4" w:space="0" w:color="auto"/>
              <w:bottom w:val="dashed" w:sz="4" w:space="0" w:color="auto"/>
              <w:right w:val="single" w:sz="4" w:space="0" w:color="auto"/>
            </w:tcBorders>
          </w:tcPr>
          <w:p w:rsidR="003209A9" w:rsidRPr="00B1681F" w:rsidRDefault="003209A9" w:rsidP="00A00573">
            <w:pPr>
              <w:spacing w:after="120" w:line="240" w:lineRule="auto"/>
              <w:jc w:val="both"/>
              <w:rPr>
                <w:rFonts w:ascii="Times New Roman" w:hAnsi="Times New Roman"/>
                <w:sz w:val="24"/>
                <w:szCs w:val="24"/>
              </w:rPr>
            </w:pPr>
            <w:r w:rsidRPr="00B1681F">
              <w:rPr>
                <w:rFonts w:ascii="Times New Roman" w:hAnsi="Times New Roman"/>
                <w:sz w:val="24"/>
                <w:szCs w:val="24"/>
              </w:rPr>
              <w:t xml:space="preserve">2.3.Korporatīvo </w:t>
            </w:r>
            <w:proofErr w:type="spellStart"/>
            <w:r w:rsidRPr="00B1681F">
              <w:rPr>
                <w:rFonts w:ascii="Times New Roman" w:hAnsi="Times New Roman"/>
                <w:sz w:val="24"/>
                <w:szCs w:val="24"/>
              </w:rPr>
              <w:t>parāda</w:t>
            </w:r>
            <w:proofErr w:type="spellEnd"/>
            <w:r w:rsidRPr="00B1681F">
              <w:rPr>
                <w:rFonts w:ascii="Times New Roman" w:hAnsi="Times New Roman"/>
                <w:sz w:val="24"/>
                <w:szCs w:val="24"/>
              </w:rPr>
              <w:t xml:space="preserve"> </w:t>
            </w:r>
            <w:proofErr w:type="spellStart"/>
            <w:r w:rsidRPr="00B1681F">
              <w:rPr>
                <w:rFonts w:ascii="Times New Roman" w:hAnsi="Times New Roman"/>
                <w:sz w:val="24"/>
                <w:szCs w:val="24"/>
              </w:rPr>
              <w:t>vērtspapīru</w:t>
            </w:r>
            <w:proofErr w:type="spellEnd"/>
            <w:r w:rsidRPr="00B1681F">
              <w:rPr>
                <w:rFonts w:ascii="Times New Roman" w:hAnsi="Times New Roman"/>
                <w:sz w:val="24"/>
                <w:szCs w:val="24"/>
              </w:rPr>
              <w:t xml:space="preserve"> </w:t>
            </w:r>
            <w:proofErr w:type="spellStart"/>
            <w:r w:rsidRPr="00B1681F">
              <w:rPr>
                <w:rFonts w:ascii="Times New Roman" w:hAnsi="Times New Roman"/>
                <w:sz w:val="24"/>
                <w:szCs w:val="24"/>
              </w:rPr>
              <w:t>popularizēšana</w:t>
            </w:r>
            <w:proofErr w:type="spellEnd"/>
          </w:p>
          <w:p w:rsidR="003209A9" w:rsidRPr="00D411AE" w:rsidRDefault="003209A9" w:rsidP="00A00573">
            <w:pPr>
              <w:spacing w:after="120" w:line="240" w:lineRule="auto"/>
              <w:jc w:val="both"/>
              <w:rPr>
                <w:rFonts w:ascii="Times New Roman" w:hAnsi="Times New Roman"/>
                <w:b/>
                <w:i/>
                <w:sz w:val="24"/>
                <w:szCs w:val="24"/>
              </w:rPr>
            </w:pPr>
            <w:r w:rsidRPr="00D411AE">
              <w:rPr>
                <w:rFonts w:ascii="Times New Roman" w:hAnsi="Times New Roman"/>
                <w:i/>
                <w:sz w:val="24"/>
                <w:szCs w:val="24"/>
              </w:rPr>
              <w:t xml:space="preserve">Lai </w:t>
            </w:r>
            <w:proofErr w:type="spellStart"/>
            <w:r w:rsidRPr="00D411AE">
              <w:rPr>
                <w:rFonts w:ascii="Times New Roman" w:hAnsi="Times New Roman"/>
                <w:i/>
                <w:sz w:val="24"/>
                <w:szCs w:val="24"/>
              </w:rPr>
              <w:t>veicinātu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uzņēmumu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piekļuvi</w:t>
            </w:r>
            <w:proofErr w:type="spellEnd"/>
            <w:r w:rsidRPr="00D411AE">
              <w:rPr>
                <w:rFonts w:ascii="Times New Roman" w:hAnsi="Times New Roman"/>
                <w:i/>
                <w:sz w:val="24"/>
                <w:szCs w:val="24"/>
              </w:rPr>
              <w:t xml:space="preserve"> to </w:t>
            </w:r>
            <w:proofErr w:type="spellStart"/>
            <w:r w:rsidRPr="00D411AE">
              <w:rPr>
                <w:rFonts w:ascii="Times New Roman" w:hAnsi="Times New Roman"/>
                <w:i/>
                <w:sz w:val="24"/>
                <w:szCs w:val="24"/>
              </w:rPr>
              <w:t>darbības</w:t>
            </w:r>
            <w:proofErr w:type="spellEnd"/>
            <w:r w:rsidRPr="00D411AE">
              <w:rPr>
                <w:rFonts w:ascii="Times New Roman" w:hAnsi="Times New Roman"/>
                <w:i/>
                <w:sz w:val="24"/>
                <w:szCs w:val="24"/>
              </w:rPr>
              <w:t xml:space="preserve"> un </w:t>
            </w:r>
            <w:proofErr w:type="spellStart"/>
            <w:r w:rsidRPr="00D411AE">
              <w:rPr>
                <w:rFonts w:ascii="Times New Roman" w:hAnsi="Times New Roman"/>
                <w:i/>
                <w:sz w:val="24"/>
                <w:szCs w:val="24"/>
              </w:rPr>
              <w:t>attīstības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nepieciešamajam</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finansējumam</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mazinātu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uzņēmējdarbības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atkarību</w:t>
            </w:r>
            <w:proofErr w:type="spellEnd"/>
            <w:r w:rsidRPr="00D411AE">
              <w:rPr>
                <w:rFonts w:ascii="Times New Roman" w:hAnsi="Times New Roman"/>
                <w:i/>
                <w:sz w:val="24"/>
                <w:szCs w:val="24"/>
              </w:rPr>
              <w:t xml:space="preserve"> no </w:t>
            </w:r>
            <w:proofErr w:type="spellStart"/>
            <w:r w:rsidRPr="00D411AE">
              <w:rPr>
                <w:rFonts w:ascii="Times New Roman" w:hAnsi="Times New Roman"/>
                <w:i/>
                <w:sz w:val="24"/>
                <w:szCs w:val="24"/>
              </w:rPr>
              <w:t>kredītiestāžu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kreditēšanas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pakalpojumiem</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kā</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dominējošā</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finansējuma</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avota</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lai</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veicinātu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korporatīvās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pārvaldības</w:t>
            </w:r>
            <w:proofErr w:type="spellEnd"/>
            <w:r w:rsidRPr="00D411AE">
              <w:rPr>
                <w:rFonts w:ascii="Times New Roman" w:hAnsi="Times New Roman"/>
                <w:i/>
                <w:sz w:val="24"/>
                <w:szCs w:val="24"/>
              </w:rPr>
              <w:t xml:space="preserve"> un </w:t>
            </w:r>
            <w:proofErr w:type="spellStart"/>
            <w:r w:rsidRPr="00D411AE">
              <w:rPr>
                <w:rFonts w:ascii="Times New Roman" w:hAnsi="Times New Roman"/>
                <w:i/>
                <w:sz w:val="24"/>
                <w:szCs w:val="24"/>
              </w:rPr>
              <w:t>caurskatāmības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labās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prakses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izplatību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kā</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arī</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lai</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veicinātu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vietējo</w:t>
            </w:r>
            <w:proofErr w:type="spellEnd"/>
            <w:r w:rsidRPr="00D411AE">
              <w:rPr>
                <w:rFonts w:ascii="Times New Roman" w:hAnsi="Times New Roman"/>
                <w:i/>
                <w:sz w:val="24"/>
                <w:szCs w:val="24"/>
              </w:rPr>
              <w:t xml:space="preserve"> un </w:t>
            </w:r>
            <w:proofErr w:type="spellStart"/>
            <w:r w:rsidRPr="00D411AE">
              <w:rPr>
                <w:rFonts w:ascii="Times New Roman" w:hAnsi="Times New Roman"/>
                <w:i/>
                <w:sz w:val="24"/>
                <w:szCs w:val="24"/>
              </w:rPr>
              <w:t>ārvalstu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investoru</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bāzes</w:t>
            </w:r>
            <w:proofErr w:type="spellEnd"/>
            <w:r w:rsidRPr="00D411AE">
              <w:rPr>
                <w:rFonts w:ascii="Times New Roman" w:hAnsi="Times New Roman"/>
                <w:i/>
                <w:sz w:val="24"/>
                <w:szCs w:val="24"/>
              </w:rPr>
              <w:t xml:space="preserve"> </w:t>
            </w:r>
            <w:proofErr w:type="spellStart"/>
            <w:r w:rsidRPr="00D411AE">
              <w:rPr>
                <w:rFonts w:ascii="Times New Roman" w:hAnsi="Times New Roman"/>
                <w:i/>
                <w:sz w:val="24"/>
                <w:szCs w:val="24"/>
              </w:rPr>
              <w:t>attīstību</w:t>
            </w:r>
            <w:proofErr w:type="spellEnd"/>
          </w:p>
        </w:tc>
        <w:tc>
          <w:tcPr>
            <w:tcW w:w="805" w:type="pct"/>
            <w:tcBorders>
              <w:top w:val="single" w:sz="4" w:space="0" w:color="auto"/>
              <w:left w:val="single" w:sz="4" w:space="0" w:color="auto"/>
              <w:bottom w:val="dashed" w:sz="4" w:space="0" w:color="auto"/>
              <w:right w:val="single" w:sz="4" w:space="0" w:color="auto"/>
            </w:tcBorders>
          </w:tcPr>
          <w:p w:rsidR="003209A9" w:rsidRDefault="003209A9" w:rsidP="00A00573">
            <w:pPr>
              <w:spacing w:after="120" w:line="240" w:lineRule="auto"/>
              <w:jc w:val="both"/>
              <w:rPr>
                <w:rFonts w:ascii="Times New Roman" w:hAnsi="Times New Roman"/>
                <w:color w:val="000000"/>
                <w:sz w:val="24"/>
                <w:szCs w:val="24"/>
              </w:rPr>
            </w:pPr>
          </w:p>
        </w:tc>
        <w:tc>
          <w:tcPr>
            <w:tcW w:w="725" w:type="pct"/>
            <w:tcBorders>
              <w:top w:val="single" w:sz="4" w:space="0" w:color="auto"/>
              <w:left w:val="single" w:sz="4" w:space="0" w:color="auto"/>
              <w:bottom w:val="dashed" w:sz="4" w:space="0" w:color="auto"/>
              <w:right w:val="single" w:sz="4" w:space="0" w:color="auto"/>
            </w:tcBorders>
          </w:tcPr>
          <w:p w:rsidR="003209A9" w:rsidRDefault="003209A9" w:rsidP="00A00573">
            <w:pPr>
              <w:spacing w:after="120" w:line="240" w:lineRule="auto"/>
              <w:jc w:val="both"/>
              <w:rPr>
                <w:rFonts w:ascii="Times New Roman" w:hAnsi="Times New Roman"/>
                <w:color w:val="000000"/>
                <w:sz w:val="24"/>
                <w:szCs w:val="24"/>
              </w:rPr>
            </w:pPr>
          </w:p>
        </w:tc>
        <w:tc>
          <w:tcPr>
            <w:tcW w:w="1371" w:type="pct"/>
            <w:tcBorders>
              <w:top w:val="single" w:sz="4" w:space="0" w:color="auto"/>
              <w:left w:val="single" w:sz="4" w:space="0" w:color="auto"/>
              <w:bottom w:val="dashed" w:sz="4" w:space="0" w:color="auto"/>
              <w:right w:val="single" w:sz="4" w:space="0" w:color="auto"/>
            </w:tcBorders>
          </w:tcPr>
          <w:p w:rsidR="003209A9" w:rsidRPr="008342BB" w:rsidRDefault="003209A9" w:rsidP="00A00573">
            <w:pPr>
              <w:spacing w:after="120" w:line="240" w:lineRule="auto"/>
              <w:jc w:val="both"/>
              <w:rPr>
                <w:rFonts w:ascii="Times New Roman" w:hAnsi="Times New Roman"/>
                <w:color w:val="000000"/>
                <w:sz w:val="24"/>
                <w:szCs w:val="24"/>
              </w:rPr>
            </w:pPr>
          </w:p>
        </w:tc>
        <w:tc>
          <w:tcPr>
            <w:tcW w:w="726" w:type="pct"/>
            <w:tcBorders>
              <w:top w:val="single" w:sz="4" w:space="0" w:color="auto"/>
              <w:left w:val="single" w:sz="4" w:space="0" w:color="auto"/>
              <w:bottom w:val="dashed" w:sz="4" w:space="0" w:color="auto"/>
              <w:right w:val="single" w:sz="4" w:space="0" w:color="auto"/>
            </w:tcBorders>
          </w:tcPr>
          <w:p w:rsidR="003209A9" w:rsidRPr="00C4265B" w:rsidRDefault="003209A9" w:rsidP="00A00573">
            <w:pPr>
              <w:pStyle w:val="CommentText"/>
              <w:spacing w:after="120" w:line="240" w:lineRule="auto"/>
              <w:jc w:val="both"/>
              <w:rPr>
                <w:rFonts w:ascii="Times New Roman" w:eastAsia="Times New Roman" w:hAnsi="Times New Roman"/>
                <w:color w:val="000000"/>
                <w:sz w:val="28"/>
                <w:szCs w:val="28"/>
                <w:lang w:eastAsia="lv-LV"/>
              </w:rPr>
            </w:pPr>
          </w:p>
        </w:tc>
      </w:tr>
      <w:tr w:rsidR="003209A9" w:rsidRPr="00F84505" w:rsidTr="009A163D">
        <w:tc>
          <w:tcPr>
            <w:tcW w:w="1373" w:type="pct"/>
            <w:tcBorders>
              <w:top w:val="dashed" w:sz="4" w:space="0" w:color="auto"/>
              <w:left w:val="single" w:sz="4" w:space="0" w:color="auto"/>
              <w:bottom w:val="dashed" w:sz="4" w:space="0" w:color="auto"/>
              <w:right w:val="single" w:sz="4" w:space="0" w:color="auto"/>
            </w:tcBorders>
          </w:tcPr>
          <w:p w:rsidR="003209A9" w:rsidRPr="00C46CB6" w:rsidRDefault="003209A9" w:rsidP="00A00573">
            <w:pPr>
              <w:spacing w:after="120" w:line="240" w:lineRule="auto"/>
              <w:jc w:val="both"/>
              <w:rPr>
                <w:rFonts w:ascii="Times New Roman" w:hAnsi="Times New Roman"/>
                <w:sz w:val="24"/>
                <w:szCs w:val="24"/>
              </w:rPr>
            </w:pPr>
            <w:proofErr w:type="spellStart"/>
            <w:r>
              <w:rPr>
                <w:rFonts w:ascii="Times New Roman" w:hAnsi="Times New Roman"/>
                <w:sz w:val="24"/>
                <w:szCs w:val="24"/>
              </w:rPr>
              <w:t>Rīcībai</w:t>
            </w:r>
            <w:proofErr w:type="spellEnd"/>
            <w:r>
              <w:rPr>
                <w:rFonts w:ascii="Times New Roman" w:hAnsi="Times New Roman"/>
                <w:sz w:val="24"/>
                <w:szCs w:val="24"/>
              </w:rPr>
              <w:t>:</w:t>
            </w:r>
          </w:p>
          <w:p w:rsidR="003209A9" w:rsidRDefault="003209A9" w:rsidP="00A00573">
            <w:pPr>
              <w:spacing w:after="120" w:line="240" w:lineRule="auto"/>
              <w:jc w:val="both"/>
              <w:rPr>
                <w:rFonts w:ascii="Times New Roman" w:hAnsi="Times New Roman"/>
                <w:sz w:val="24"/>
                <w:szCs w:val="24"/>
              </w:rPr>
            </w:pPr>
            <w:r>
              <w:rPr>
                <w:rFonts w:ascii="Times New Roman" w:hAnsi="Times New Roman"/>
                <w:sz w:val="24"/>
                <w:szCs w:val="24"/>
              </w:rPr>
              <w:t xml:space="preserve">(1) </w:t>
            </w:r>
            <w:proofErr w:type="spellStart"/>
            <w:r w:rsidRPr="00C46CB6">
              <w:rPr>
                <w:rFonts w:ascii="Times New Roman" w:hAnsi="Times New Roman"/>
                <w:sz w:val="24"/>
                <w:szCs w:val="24"/>
              </w:rPr>
              <w:t>Popularizēt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publiski</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aktīvi</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informēt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gan</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plašā</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sabiedrībā</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gan</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uzņēmēju</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potenciālo</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investoru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lokā</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esošās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iespējas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korporatīvo</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parāda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vērtspapīru</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citu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vērtspapīru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ar</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fiksētu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ienākumu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izmantošanai</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kā</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alternatīvu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saimnieciskās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darbības</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attīstības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finansējuma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avotu</w:t>
            </w:r>
            <w:proofErr w:type="spellEnd"/>
            <w:r w:rsidRPr="00C46CB6">
              <w:rPr>
                <w:rFonts w:ascii="Times New Roman" w:hAnsi="Times New Roman"/>
                <w:sz w:val="24"/>
                <w:szCs w:val="24"/>
              </w:rPr>
              <w:t>.</w:t>
            </w:r>
          </w:p>
        </w:tc>
        <w:tc>
          <w:tcPr>
            <w:tcW w:w="805" w:type="pct"/>
            <w:tcBorders>
              <w:top w:val="dashed" w:sz="4" w:space="0" w:color="auto"/>
              <w:left w:val="single" w:sz="4" w:space="0" w:color="auto"/>
              <w:bottom w:val="dashed" w:sz="4" w:space="0" w:color="auto"/>
              <w:right w:val="single" w:sz="4" w:space="0" w:color="auto"/>
            </w:tcBorders>
          </w:tcPr>
          <w:p w:rsidR="003209A9" w:rsidRDefault="003209A9" w:rsidP="00A00573">
            <w:pPr>
              <w:spacing w:after="12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Pastāvīgi</w:t>
            </w:r>
            <w:proofErr w:type="spellEnd"/>
          </w:p>
        </w:tc>
        <w:tc>
          <w:tcPr>
            <w:tcW w:w="725" w:type="pct"/>
            <w:tcBorders>
              <w:top w:val="dashed" w:sz="4" w:space="0" w:color="auto"/>
              <w:left w:val="single" w:sz="4" w:space="0" w:color="auto"/>
              <w:bottom w:val="dashed" w:sz="4" w:space="0" w:color="auto"/>
              <w:right w:val="single" w:sz="4" w:space="0" w:color="auto"/>
            </w:tcBorders>
          </w:tcPr>
          <w:p w:rsidR="003209A9" w:rsidRDefault="003209A9" w:rsidP="00A20766">
            <w:pPr>
              <w:spacing w:after="120" w:line="240" w:lineRule="auto"/>
              <w:jc w:val="both"/>
              <w:rPr>
                <w:rFonts w:ascii="Times New Roman" w:hAnsi="Times New Roman"/>
                <w:color w:val="000000"/>
                <w:sz w:val="24"/>
                <w:szCs w:val="24"/>
              </w:rPr>
            </w:pPr>
            <w:r>
              <w:rPr>
                <w:rFonts w:ascii="Times New Roman" w:hAnsi="Times New Roman"/>
                <w:color w:val="000000"/>
                <w:sz w:val="24"/>
                <w:szCs w:val="24"/>
              </w:rPr>
              <w:t>EM, FM</w:t>
            </w:r>
            <w:r w:rsidR="003F03AD">
              <w:rPr>
                <w:rFonts w:ascii="Times New Roman" w:hAnsi="Times New Roman"/>
                <w:color w:val="000000"/>
                <w:sz w:val="24"/>
                <w:szCs w:val="24"/>
              </w:rPr>
              <w:t>, N</w:t>
            </w:r>
            <w:r w:rsidR="00A20766">
              <w:rPr>
                <w:rFonts w:ascii="Times New Roman" w:hAnsi="Times New Roman"/>
                <w:color w:val="000000"/>
                <w:sz w:val="24"/>
                <w:szCs w:val="24"/>
              </w:rPr>
              <w:t>asdaq</w:t>
            </w:r>
            <w:r w:rsidR="003F03AD">
              <w:rPr>
                <w:rFonts w:ascii="Times New Roman" w:hAnsi="Times New Roman"/>
                <w:color w:val="000000"/>
                <w:sz w:val="24"/>
                <w:szCs w:val="24"/>
              </w:rPr>
              <w:t xml:space="preserve"> OMX Riga</w:t>
            </w:r>
          </w:p>
        </w:tc>
        <w:tc>
          <w:tcPr>
            <w:tcW w:w="1371" w:type="pct"/>
            <w:tcBorders>
              <w:top w:val="dashed" w:sz="4" w:space="0" w:color="auto"/>
              <w:left w:val="single" w:sz="4" w:space="0" w:color="auto"/>
              <w:bottom w:val="dashed" w:sz="4" w:space="0" w:color="auto"/>
              <w:right w:val="single" w:sz="4" w:space="0" w:color="auto"/>
            </w:tcBorders>
          </w:tcPr>
          <w:p w:rsidR="003209A9" w:rsidRPr="000F46D5" w:rsidRDefault="000F46D5" w:rsidP="000F46D5">
            <w:pPr>
              <w:spacing w:after="120" w:line="240" w:lineRule="auto"/>
              <w:jc w:val="both"/>
              <w:rPr>
                <w:rFonts w:ascii="Times New Roman" w:hAnsi="Times New Roman"/>
                <w:color w:val="000000"/>
                <w:sz w:val="24"/>
                <w:szCs w:val="24"/>
                <w:vertAlign w:val="superscript"/>
              </w:rPr>
            </w:pPr>
            <w:r>
              <w:rPr>
                <w:rFonts w:ascii="Times New Roman" w:hAnsi="Times New Roman"/>
                <w:color w:val="000000"/>
                <w:sz w:val="24"/>
                <w:szCs w:val="24"/>
              </w:rPr>
              <w:t>1.</w:t>
            </w:r>
            <w:r w:rsidR="003209A9" w:rsidRPr="000F46D5">
              <w:rPr>
                <w:rFonts w:ascii="Times New Roman" w:hAnsi="Times New Roman"/>
                <w:color w:val="000000"/>
                <w:sz w:val="24"/>
                <w:szCs w:val="24"/>
              </w:rPr>
              <w:t xml:space="preserve">Izvērtēt </w:t>
            </w:r>
            <w:proofErr w:type="spellStart"/>
            <w:r w:rsidR="003209A9" w:rsidRPr="000F46D5">
              <w:rPr>
                <w:rFonts w:ascii="Times New Roman" w:hAnsi="Times New Roman"/>
                <w:color w:val="000000"/>
                <w:sz w:val="24"/>
                <w:szCs w:val="24"/>
              </w:rPr>
              <w:t>iespējas</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popularizēt</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korporatīvo</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parāda</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vērtspapīru</w:t>
            </w:r>
            <w:proofErr w:type="spellEnd"/>
            <w:r w:rsidR="003209A9" w:rsidRPr="000F46D5">
              <w:rPr>
                <w:rFonts w:ascii="Times New Roman" w:hAnsi="Times New Roman"/>
                <w:color w:val="000000"/>
                <w:sz w:val="24"/>
                <w:szCs w:val="24"/>
              </w:rPr>
              <w:t xml:space="preserve"> un </w:t>
            </w:r>
            <w:proofErr w:type="spellStart"/>
            <w:r w:rsidR="003209A9" w:rsidRPr="000F46D5">
              <w:rPr>
                <w:rFonts w:ascii="Times New Roman" w:hAnsi="Times New Roman"/>
                <w:color w:val="000000"/>
                <w:sz w:val="24"/>
                <w:szCs w:val="24"/>
              </w:rPr>
              <w:t>citu</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vērtspapīru</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ar</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fiksētu</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ienākumu</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izmantošanai</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kā</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alternatīvu</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saimnieciskās</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darbības</w:t>
            </w:r>
            <w:proofErr w:type="spellEnd"/>
            <w:r w:rsidR="003209A9" w:rsidRPr="000F46D5">
              <w:rPr>
                <w:rFonts w:ascii="Times New Roman" w:hAnsi="Times New Roman"/>
                <w:color w:val="000000"/>
                <w:sz w:val="24"/>
                <w:szCs w:val="24"/>
              </w:rPr>
              <w:t xml:space="preserve"> un </w:t>
            </w:r>
            <w:proofErr w:type="spellStart"/>
            <w:r w:rsidR="003209A9" w:rsidRPr="000F46D5">
              <w:rPr>
                <w:rFonts w:ascii="Times New Roman" w:hAnsi="Times New Roman"/>
                <w:color w:val="000000"/>
                <w:sz w:val="24"/>
                <w:szCs w:val="24"/>
              </w:rPr>
              <w:t>attīstības</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finansējuma</w:t>
            </w:r>
            <w:proofErr w:type="spellEnd"/>
            <w:r w:rsidR="003209A9" w:rsidRPr="000F46D5">
              <w:rPr>
                <w:rFonts w:ascii="Times New Roman" w:hAnsi="Times New Roman"/>
                <w:color w:val="000000"/>
                <w:sz w:val="24"/>
                <w:szCs w:val="24"/>
              </w:rPr>
              <w:t xml:space="preserve"> </w:t>
            </w:r>
            <w:proofErr w:type="spellStart"/>
            <w:r w:rsidR="003209A9" w:rsidRPr="000F46D5">
              <w:rPr>
                <w:rFonts w:ascii="Times New Roman" w:hAnsi="Times New Roman"/>
                <w:color w:val="000000"/>
                <w:sz w:val="24"/>
                <w:szCs w:val="24"/>
              </w:rPr>
              <w:t>avotu.</w:t>
            </w:r>
            <w:r w:rsidR="003209A9" w:rsidRPr="000F46D5">
              <w:rPr>
                <w:rFonts w:ascii="Times New Roman" w:hAnsi="Times New Roman"/>
                <w:color w:val="000000"/>
                <w:sz w:val="24"/>
                <w:szCs w:val="24"/>
                <w:vertAlign w:val="superscript"/>
              </w:rPr>
              <w:t>i</w:t>
            </w:r>
            <w:proofErr w:type="spellEnd"/>
          </w:p>
          <w:p w:rsidR="000F46D5" w:rsidRDefault="000F46D5" w:rsidP="00A00573">
            <w:pPr>
              <w:spacing w:after="120" w:line="240" w:lineRule="auto"/>
              <w:jc w:val="both"/>
              <w:rPr>
                <w:rFonts w:ascii="Times New Roman" w:hAnsi="Times New Roman"/>
                <w:color w:val="000000"/>
                <w:sz w:val="24"/>
                <w:szCs w:val="24"/>
                <w:vertAlign w:val="superscript"/>
              </w:rPr>
            </w:pPr>
          </w:p>
          <w:p w:rsidR="000F46D5" w:rsidRDefault="000F46D5" w:rsidP="00A00573">
            <w:pPr>
              <w:spacing w:after="120" w:line="240" w:lineRule="auto"/>
              <w:jc w:val="both"/>
              <w:rPr>
                <w:rFonts w:ascii="Times New Roman" w:hAnsi="Times New Roman"/>
                <w:color w:val="000000"/>
                <w:sz w:val="24"/>
                <w:szCs w:val="24"/>
                <w:vertAlign w:val="superscript"/>
              </w:rPr>
            </w:pPr>
          </w:p>
          <w:p w:rsidR="000F46D5" w:rsidRPr="000F46D5" w:rsidRDefault="000F46D5" w:rsidP="000F46D5">
            <w:pPr>
              <w:spacing w:before="120" w:after="0" w:line="240" w:lineRule="auto"/>
              <w:jc w:val="both"/>
              <w:rPr>
                <w:rFonts w:ascii="Times New Roman" w:hAnsi="Times New Roman"/>
                <w:color w:val="000000"/>
                <w:sz w:val="24"/>
                <w:szCs w:val="24"/>
              </w:rPr>
            </w:pPr>
            <w:r w:rsidRPr="000F46D5">
              <w:rPr>
                <w:rFonts w:ascii="Times New Roman" w:eastAsia="Times New Roman" w:hAnsi="Times New Roman" w:cs="Calibri"/>
                <w:color w:val="000000"/>
                <w:sz w:val="24"/>
                <w:szCs w:val="24"/>
                <w:lang w:val="lv-LV" w:eastAsia="lv-LV"/>
              </w:rPr>
              <w:t>2.</w:t>
            </w:r>
            <w:proofErr w:type="spellStart"/>
            <w:r w:rsidRPr="000F46D5">
              <w:rPr>
                <w:rFonts w:ascii="Times New Roman" w:hAnsi="Times New Roman"/>
                <w:color w:val="000000"/>
                <w:sz w:val="24"/>
                <w:szCs w:val="24"/>
              </w:rPr>
              <w:t>Jaunizveidojamaja</w:t>
            </w:r>
            <w:r>
              <w:rPr>
                <w:rFonts w:ascii="Times New Roman" w:hAnsi="Times New Roman"/>
                <w:color w:val="000000"/>
                <w:sz w:val="24"/>
                <w:szCs w:val="24"/>
              </w:rPr>
              <w:t>m</w:t>
            </w:r>
            <w:proofErr w:type="spellEnd"/>
            <w:r w:rsidRPr="000F46D5">
              <w:rPr>
                <w:rFonts w:ascii="Times New Roman" w:hAnsi="Times New Roman"/>
                <w:color w:val="000000"/>
                <w:sz w:val="24"/>
                <w:szCs w:val="24"/>
              </w:rPr>
              <w:t xml:space="preserve"> Valsts </w:t>
            </w:r>
            <w:proofErr w:type="spellStart"/>
            <w:r w:rsidRPr="000F46D5">
              <w:rPr>
                <w:rFonts w:ascii="Times New Roman" w:hAnsi="Times New Roman"/>
                <w:color w:val="000000"/>
                <w:sz w:val="24"/>
                <w:szCs w:val="24"/>
              </w:rPr>
              <w:t>kapitāla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daļu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pārvaldes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birojam</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kopā</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ar</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valsts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kapitāla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daļu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turētājiem</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līdz</w:t>
            </w:r>
            <w:proofErr w:type="spellEnd"/>
            <w:r w:rsidRPr="000F46D5">
              <w:rPr>
                <w:rFonts w:ascii="Times New Roman" w:hAnsi="Times New Roman"/>
                <w:color w:val="000000"/>
                <w:sz w:val="24"/>
                <w:szCs w:val="24"/>
              </w:rPr>
              <w:t xml:space="preserve"> 2015.gada 31.decembrim </w:t>
            </w:r>
            <w:proofErr w:type="spellStart"/>
            <w:r w:rsidRPr="000F46D5">
              <w:rPr>
                <w:rFonts w:ascii="Times New Roman" w:hAnsi="Times New Roman"/>
                <w:color w:val="000000"/>
                <w:sz w:val="24"/>
                <w:szCs w:val="24"/>
              </w:rPr>
              <w:t>izvērtēt</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valsts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kapitālsabiedrību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lastRenderedPageBreak/>
              <w:t>saistības</w:t>
            </w:r>
            <w:proofErr w:type="spellEnd"/>
            <w:r w:rsidRPr="000F46D5">
              <w:rPr>
                <w:rFonts w:ascii="Times New Roman" w:hAnsi="Times New Roman"/>
                <w:color w:val="000000"/>
                <w:sz w:val="24"/>
                <w:szCs w:val="24"/>
              </w:rPr>
              <w:t xml:space="preserve"> un </w:t>
            </w:r>
            <w:proofErr w:type="spellStart"/>
            <w:r w:rsidRPr="000F46D5">
              <w:rPr>
                <w:rFonts w:ascii="Times New Roman" w:hAnsi="Times New Roman"/>
                <w:color w:val="000000"/>
                <w:sz w:val="24"/>
                <w:szCs w:val="24"/>
              </w:rPr>
              <w:t>iespējas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dažādot</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finansējuma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avotu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izmantošanu</w:t>
            </w:r>
            <w:proofErr w:type="spellEnd"/>
            <w:r w:rsidRPr="000F46D5">
              <w:rPr>
                <w:rFonts w:ascii="Times New Roman" w:hAnsi="Times New Roman"/>
                <w:color w:val="000000"/>
                <w:sz w:val="24"/>
                <w:szCs w:val="24"/>
              </w:rPr>
              <w:t xml:space="preserve">, tai </w:t>
            </w:r>
            <w:proofErr w:type="spellStart"/>
            <w:r w:rsidRPr="000F46D5">
              <w:rPr>
                <w:rFonts w:ascii="Times New Roman" w:hAnsi="Times New Roman"/>
                <w:color w:val="000000"/>
                <w:sz w:val="24"/>
                <w:szCs w:val="24"/>
              </w:rPr>
              <w:t>skaitā</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izmantojot</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parāda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vērtspapīru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emisiju</w:t>
            </w:r>
            <w:proofErr w:type="spellEnd"/>
            <w:r w:rsidRPr="000F46D5">
              <w:rPr>
                <w:rFonts w:ascii="Times New Roman" w:hAnsi="Times New Roman"/>
                <w:color w:val="000000"/>
                <w:sz w:val="24"/>
                <w:szCs w:val="24"/>
              </w:rPr>
              <w:t>.**</w:t>
            </w:r>
          </w:p>
          <w:p w:rsidR="000F46D5" w:rsidRPr="000F46D5" w:rsidRDefault="000F46D5" w:rsidP="000F46D5">
            <w:pPr>
              <w:spacing w:before="120" w:after="0" w:line="240" w:lineRule="auto"/>
              <w:jc w:val="both"/>
              <w:rPr>
                <w:rFonts w:ascii="Times New Roman" w:hAnsi="Times New Roman"/>
                <w:color w:val="000000"/>
                <w:sz w:val="24"/>
                <w:szCs w:val="24"/>
              </w:rPr>
            </w:pPr>
          </w:p>
          <w:p w:rsidR="000F46D5" w:rsidRPr="008342BB" w:rsidRDefault="000F46D5" w:rsidP="000F46D5">
            <w:pPr>
              <w:spacing w:after="120" w:line="240" w:lineRule="auto"/>
              <w:jc w:val="both"/>
              <w:rPr>
                <w:rFonts w:ascii="Times New Roman" w:hAnsi="Times New Roman"/>
                <w:color w:val="000000"/>
                <w:sz w:val="24"/>
                <w:szCs w:val="24"/>
              </w:rPr>
            </w:pPr>
            <w:r w:rsidRPr="000F46D5">
              <w:rPr>
                <w:rFonts w:ascii="Times New Roman" w:hAnsi="Times New Roman"/>
                <w:color w:val="000000"/>
                <w:sz w:val="24"/>
                <w:szCs w:val="24"/>
              </w:rPr>
              <w:t xml:space="preserve">**Ja </w:t>
            </w:r>
            <w:proofErr w:type="spellStart"/>
            <w:r w:rsidRPr="000F46D5">
              <w:rPr>
                <w:rFonts w:ascii="Times New Roman" w:hAnsi="Times New Roman"/>
                <w:color w:val="000000"/>
                <w:sz w:val="24"/>
                <w:szCs w:val="24"/>
              </w:rPr>
              <w:t>līdz</w:t>
            </w:r>
            <w:proofErr w:type="spellEnd"/>
            <w:r w:rsidRPr="000F46D5">
              <w:rPr>
                <w:rFonts w:ascii="Times New Roman" w:hAnsi="Times New Roman"/>
                <w:color w:val="000000"/>
                <w:sz w:val="24"/>
                <w:szCs w:val="24"/>
              </w:rPr>
              <w:t xml:space="preserve"> 2014.gada 31.decembrim </w:t>
            </w:r>
            <w:proofErr w:type="spellStart"/>
            <w:r w:rsidRPr="000F46D5">
              <w:rPr>
                <w:rFonts w:ascii="Times New Roman" w:hAnsi="Times New Roman"/>
                <w:color w:val="000000"/>
                <w:sz w:val="24"/>
                <w:szCs w:val="24"/>
              </w:rPr>
              <w:t>nav</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izveidots</w:t>
            </w:r>
            <w:proofErr w:type="spellEnd"/>
            <w:r w:rsidRPr="000F46D5">
              <w:rPr>
                <w:rFonts w:ascii="Times New Roman" w:hAnsi="Times New Roman"/>
                <w:color w:val="000000"/>
                <w:sz w:val="24"/>
                <w:szCs w:val="24"/>
              </w:rPr>
              <w:t xml:space="preserve"> Valsts </w:t>
            </w:r>
            <w:proofErr w:type="spellStart"/>
            <w:r w:rsidRPr="000F46D5">
              <w:rPr>
                <w:rFonts w:ascii="Times New Roman" w:hAnsi="Times New Roman"/>
                <w:color w:val="000000"/>
                <w:sz w:val="24"/>
                <w:szCs w:val="24"/>
              </w:rPr>
              <w:t>kapitāla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daļu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pārvaldes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birojs</w:t>
            </w:r>
            <w:proofErr w:type="spellEnd"/>
            <w:r w:rsidRPr="000F46D5">
              <w:rPr>
                <w:rFonts w:ascii="Times New Roman" w:hAnsi="Times New Roman"/>
                <w:color w:val="000000"/>
                <w:sz w:val="24"/>
                <w:szCs w:val="24"/>
              </w:rPr>
              <w:t xml:space="preserve">, tad </w:t>
            </w:r>
            <w:proofErr w:type="spellStart"/>
            <w:r w:rsidRPr="000F46D5">
              <w:rPr>
                <w:rFonts w:ascii="Times New Roman" w:hAnsi="Times New Roman"/>
                <w:color w:val="000000"/>
                <w:sz w:val="24"/>
                <w:szCs w:val="24"/>
              </w:rPr>
              <w:t>šo</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uzdevumu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veikt</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valsts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kapitāla</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daļu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turētājiem</w:t>
            </w:r>
            <w:proofErr w:type="spellEnd"/>
            <w:r w:rsidRPr="000F46D5">
              <w:rPr>
                <w:rFonts w:ascii="Times New Roman" w:hAnsi="Times New Roman"/>
                <w:color w:val="000000"/>
                <w:sz w:val="24"/>
                <w:szCs w:val="24"/>
              </w:rPr>
              <w:t>.</w:t>
            </w:r>
          </w:p>
        </w:tc>
        <w:tc>
          <w:tcPr>
            <w:tcW w:w="726" w:type="pct"/>
            <w:tcBorders>
              <w:top w:val="dashed" w:sz="4" w:space="0" w:color="auto"/>
              <w:left w:val="single" w:sz="4" w:space="0" w:color="auto"/>
              <w:bottom w:val="dashed" w:sz="4" w:space="0" w:color="auto"/>
              <w:right w:val="single" w:sz="4" w:space="0" w:color="auto"/>
            </w:tcBorders>
          </w:tcPr>
          <w:p w:rsidR="003209A9" w:rsidRPr="00C860A3" w:rsidRDefault="003209A9" w:rsidP="00A20766">
            <w:pPr>
              <w:pStyle w:val="CommentText"/>
              <w:spacing w:after="120" w:line="240" w:lineRule="auto"/>
              <w:jc w:val="both"/>
              <w:rPr>
                <w:rFonts w:ascii="Times New Roman" w:eastAsia="Times New Roman" w:hAnsi="Times New Roman"/>
                <w:color w:val="000000"/>
                <w:sz w:val="24"/>
                <w:szCs w:val="24"/>
                <w:lang w:eastAsia="lv-LV"/>
              </w:rPr>
            </w:pPr>
            <w:r w:rsidRPr="00C860A3">
              <w:rPr>
                <w:rFonts w:ascii="Times New Roman" w:eastAsia="Times New Roman" w:hAnsi="Times New Roman"/>
                <w:color w:val="000000"/>
                <w:sz w:val="24"/>
                <w:szCs w:val="24"/>
                <w:lang w:eastAsia="lv-LV"/>
              </w:rPr>
              <w:lastRenderedPageBreak/>
              <w:t>EM, FM</w:t>
            </w:r>
            <w:r w:rsidR="003F03AD" w:rsidRPr="00C860A3">
              <w:rPr>
                <w:rFonts w:ascii="Times New Roman" w:eastAsia="Times New Roman" w:hAnsi="Times New Roman"/>
                <w:color w:val="000000"/>
                <w:sz w:val="24"/>
                <w:szCs w:val="24"/>
                <w:lang w:eastAsia="lv-LV"/>
              </w:rPr>
              <w:t>,</w:t>
            </w:r>
            <w:r w:rsidR="003F03AD" w:rsidRPr="00C860A3">
              <w:rPr>
                <w:rFonts w:ascii="Times New Roman" w:hAnsi="Times New Roman"/>
                <w:color w:val="000000"/>
                <w:sz w:val="24"/>
                <w:szCs w:val="24"/>
              </w:rPr>
              <w:t xml:space="preserve"> </w:t>
            </w:r>
            <w:proofErr w:type="spellStart"/>
            <w:r w:rsidR="003F03AD" w:rsidRPr="00C860A3">
              <w:rPr>
                <w:rFonts w:ascii="Times New Roman" w:hAnsi="Times New Roman"/>
                <w:color w:val="000000"/>
                <w:sz w:val="24"/>
                <w:szCs w:val="24"/>
              </w:rPr>
              <w:t>N</w:t>
            </w:r>
            <w:r w:rsidR="00A20766" w:rsidRPr="00C860A3">
              <w:rPr>
                <w:rFonts w:ascii="Times New Roman" w:hAnsi="Times New Roman"/>
                <w:color w:val="000000"/>
                <w:sz w:val="24"/>
                <w:szCs w:val="24"/>
              </w:rPr>
              <w:t>asdaq</w:t>
            </w:r>
            <w:proofErr w:type="spellEnd"/>
            <w:r w:rsidR="003F03AD" w:rsidRPr="00C860A3">
              <w:rPr>
                <w:rFonts w:ascii="Times New Roman" w:hAnsi="Times New Roman"/>
                <w:color w:val="000000"/>
                <w:sz w:val="24"/>
                <w:szCs w:val="24"/>
              </w:rPr>
              <w:t xml:space="preserve"> OMX </w:t>
            </w:r>
            <w:proofErr w:type="spellStart"/>
            <w:r w:rsidR="003F03AD" w:rsidRPr="00C860A3">
              <w:rPr>
                <w:rFonts w:ascii="Times New Roman" w:hAnsi="Times New Roman"/>
                <w:color w:val="000000"/>
                <w:sz w:val="24"/>
                <w:szCs w:val="24"/>
              </w:rPr>
              <w:t>Riga</w:t>
            </w:r>
            <w:proofErr w:type="spellEnd"/>
            <w:r w:rsidR="003F03AD" w:rsidRPr="00C860A3">
              <w:rPr>
                <w:rFonts w:ascii="Times New Roman" w:eastAsia="Times New Roman" w:hAnsi="Times New Roman"/>
                <w:color w:val="000000"/>
                <w:sz w:val="24"/>
                <w:szCs w:val="24"/>
                <w:lang w:eastAsia="lv-LV"/>
              </w:rPr>
              <w:t xml:space="preserve"> </w:t>
            </w:r>
            <w:r w:rsidRPr="00C860A3">
              <w:rPr>
                <w:rFonts w:ascii="Times New Roman" w:eastAsia="Times New Roman" w:hAnsi="Times New Roman"/>
                <w:color w:val="000000"/>
                <w:sz w:val="24"/>
                <w:szCs w:val="24"/>
                <w:lang w:eastAsia="lv-LV"/>
              </w:rPr>
              <w:t xml:space="preserve"> budžeta ietvaros.</w:t>
            </w:r>
          </w:p>
        </w:tc>
      </w:tr>
      <w:tr w:rsidR="003209A9" w:rsidRPr="00C67B75" w:rsidTr="009A163D">
        <w:tc>
          <w:tcPr>
            <w:tcW w:w="1373" w:type="pct"/>
            <w:tcBorders>
              <w:top w:val="dashed" w:sz="4" w:space="0" w:color="auto"/>
              <w:left w:val="single" w:sz="4" w:space="0" w:color="auto"/>
              <w:bottom w:val="dashed" w:sz="4" w:space="0" w:color="auto"/>
              <w:right w:val="single" w:sz="4" w:space="0" w:color="auto"/>
            </w:tcBorders>
          </w:tcPr>
          <w:p w:rsidR="003209A9" w:rsidRDefault="003209A9" w:rsidP="003209A9">
            <w:pPr>
              <w:spacing w:after="120" w:line="240" w:lineRule="auto"/>
              <w:rPr>
                <w:rFonts w:ascii="Times New Roman" w:hAnsi="Times New Roman"/>
                <w:sz w:val="24"/>
                <w:szCs w:val="24"/>
              </w:rPr>
            </w:pPr>
            <w:r>
              <w:rPr>
                <w:rFonts w:ascii="Times New Roman" w:hAnsi="Times New Roman"/>
                <w:sz w:val="24"/>
                <w:szCs w:val="24"/>
              </w:rPr>
              <w:lastRenderedPageBreak/>
              <w:t xml:space="preserve">(2) </w:t>
            </w:r>
            <w:proofErr w:type="spellStart"/>
            <w:r w:rsidRPr="00C46CB6">
              <w:rPr>
                <w:rFonts w:ascii="Times New Roman" w:hAnsi="Times New Roman"/>
                <w:sz w:val="24"/>
                <w:szCs w:val="24"/>
              </w:rPr>
              <w:t>Rosināt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finanšu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tirgus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dalībniekus</w:t>
            </w:r>
            <w:proofErr w:type="spellEnd"/>
            <w:r w:rsidRPr="00C46CB6">
              <w:rPr>
                <w:rFonts w:ascii="Times New Roman" w:hAnsi="Times New Roman"/>
                <w:sz w:val="24"/>
                <w:szCs w:val="24"/>
              </w:rPr>
              <w:t>, t</w:t>
            </w:r>
            <w:r>
              <w:rPr>
                <w:rFonts w:ascii="Times New Roman" w:hAnsi="Times New Roman"/>
                <w:sz w:val="24"/>
                <w:szCs w:val="24"/>
              </w:rPr>
              <w:t>.</w:t>
            </w:r>
            <w:r w:rsidRPr="00C46CB6">
              <w:rPr>
                <w:rFonts w:ascii="Times New Roman" w:hAnsi="Times New Roman"/>
                <w:sz w:val="24"/>
                <w:szCs w:val="24"/>
              </w:rPr>
              <w:t xml:space="preserve"> sk., </w:t>
            </w:r>
            <w:proofErr w:type="spellStart"/>
            <w:r w:rsidRPr="00C46CB6">
              <w:rPr>
                <w:rFonts w:ascii="Times New Roman" w:hAnsi="Times New Roman"/>
                <w:sz w:val="24"/>
                <w:szCs w:val="24"/>
              </w:rPr>
              <w:t>kredītiestādes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diversificēt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savus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finansējuma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piesaistes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avotus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piemēram</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izvērtējot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iekšzemes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finanšu</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kapitāla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tirgus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sniegtās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iespējas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aktīvu</w:t>
            </w:r>
            <w:proofErr w:type="spellEnd"/>
            <w:r w:rsidRPr="00C46CB6">
              <w:rPr>
                <w:rFonts w:ascii="Times New Roman" w:hAnsi="Times New Roman"/>
                <w:sz w:val="24"/>
                <w:szCs w:val="24"/>
              </w:rPr>
              <w:t>/</w:t>
            </w:r>
            <w:proofErr w:type="spellStart"/>
            <w:r w:rsidRPr="00C46CB6">
              <w:rPr>
                <w:rFonts w:ascii="Times New Roman" w:hAnsi="Times New Roman"/>
                <w:sz w:val="24"/>
                <w:szCs w:val="24"/>
              </w:rPr>
              <w:t>pasīvu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termiņstruktūras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pielāgošanai</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mērķorientētu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vai</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vispārēju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likviditātes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vadības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vajadzību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īstenošanai</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izmantojot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parāda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vērtspapīru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emisiju</w:t>
            </w:r>
            <w:proofErr w:type="spellEnd"/>
            <w:r w:rsidRPr="00C46CB6">
              <w:rPr>
                <w:rFonts w:ascii="Times New Roman" w:hAnsi="Times New Roman"/>
                <w:sz w:val="24"/>
                <w:szCs w:val="24"/>
              </w:rPr>
              <w:t>.</w:t>
            </w:r>
          </w:p>
        </w:tc>
        <w:tc>
          <w:tcPr>
            <w:tcW w:w="806" w:type="pct"/>
            <w:tcBorders>
              <w:top w:val="dashed" w:sz="4" w:space="0" w:color="auto"/>
              <w:left w:val="single" w:sz="4" w:space="0" w:color="auto"/>
              <w:bottom w:val="dashed" w:sz="4" w:space="0" w:color="auto"/>
              <w:right w:val="single" w:sz="4" w:space="0" w:color="auto"/>
            </w:tcBorders>
          </w:tcPr>
          <w:p w:rsidR="003209A9" w:rsidRDefault="003209A9" w:rsidP="00A00573">
            <w:pPr>
              <w:spacing w:after="12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Pastāvīgi</w:t>
            </w:r>
            <w:proofErr w:type="spellEnd"/>
          </w:p>
        </w:tc>
        <w:tc>
          <w:tcPr>
            <w:tcW w:w="725" w:type="pct"/>
            <w:tcBorders>
              <w:top w:val="dashed" w:sz="4" w:space="0" w:color="auto"/>
              <w:left w:val="single" w:sz="4" w:space="0" w:color="auto"/>
              <w:bottom w:val="dashed" w:sz="4" w:space="0" w:color="auto"/>
              <w:right w:val="single" w:sz="4" w:space="0" w:color="auto"/>
            </w:tcBorders>
          </w:tcPr>
          <w:p w:rsidR="003209A9" w:rsidRDefault="003209A9" w:rsidP="003F03AD">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LKA, EM </w:t>
            </w:r>
          </w:p>
        </w:tc>
        <w:tc>
          <w:tcPr>
            <w:tcW w:w="1371" w:type="pct"/>
            <w:tcBorders>
              <w:top w:val="dashed" w:sz="4" w:space="0" w:color="auto"/>
              <w:left w:val="single" w:sz="4" w:space="0" w:color="auto"/>
              <w:bottom w:val="dashed" w:sz="4" w:space="0" w:color="auto"/>
              <w:right w:val="single" w:sz="4" w:space="0" w:color="auto"/>
            </w:tcBorders>
          </w:tcPr>
          <w:p w:rsidR="003209A9" w:rsidRDefault="003209A9" w:rsidP="00A00573">
            <w:pPr>
              <w:spacing w:after="120" w:line="240" w:lineRule="auto"/>
              <w:jc w:val="both"/>
              <w:rPr>
                <w:rFonts w:ascii="Times New Roman" w:hAnsi="Times New Roman"/>
                <w:color w:val="000000"/>
                <w:sz w:val="24"/>
                <w:szCs w:val="24"/>
                <w:vertAlign w:val="superscript"/>
              </w:rPr>
            </w:pPr>
            <w:proofErr w:type="spellStart"/>
            <w:r>
              <w:rPr>
                <w:rFonts w:ascii="Times New Roman" w:hAnsi="Times New Roman"/>
                <w:color w:val="000000"/>
                <w:sz w:val="24"/>
                <w:szCs w:val="24"/>
              </w:rPr>
              <w:t>Izvērtēt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iespējas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rosināt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finanšu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tirgus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dalībniekus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izmantot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parāda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vērtspapīru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emisiju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Konkrētas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tiešās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darbības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izstrādātas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sadarbībā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nozari.</w:t>
            </w:r>
            <w:r>
              <w:rPr>
                <w:rFonts w:ascii="Times New Roman" w:hAnsi="Times New Roman"/>
                <w:color w:val="000000"/>
                <w:sz w:val="24"/>
                <w:szCs w:val="24"/>
                <w:vertAlign w:val="superscript"/>
              </w:rPr>
              <w:t>i</w:t>
            </w:r>
            <w:proofErr w:type="spellEnd"/>
          </w:p>
          <w:p w:rsidR="003209A9" w:rsidRDefault="003209A9" w:rsidP="00A00573">
            <w:pPr>
              <w:spacing w:after="120" w:line="240" w:lineRule="auto"/>
              <w:jc w:val="both"/>
              <w:rPr>
                <w:rFonts w:ascii="Times New Roman" w:hAnsi="Times New Roman"/>
                <w:color w:val="000000"/>
                <w:sz w:val="24"/>
                <w:szCs w:val="24"/>
                <w:vertAlign w:val="superscript"/>
              </w:rPr>
            </w:pPr>
          </w:p>
          <w:p w:rsidR="003209A9" w:rsidRDefault="003209A9" w:rsidP="00A00573">
            <w:pPr>
              <w:spacing w:after="120" w:line="240" w:lineRule="auto"/>
              <w:jc w:val="both"/>
              <w:rPr>
                <w:rFonts w:ascii="Times New Roman" w:hAnsi="Times New Roman"/>
                <w:color w:val="000000"/>
                <w:sz w:val="24"/>
                <w:szCs w:val="24"/>
                <w:vertAlign w:val="superscript"/>
              </w:rPr>
            </w:pPr>
          </w:p>
          <w:p w:rsidR="003209A9" w:rsidRDefault="003209A9" w:rsidP="00A00573">
            <w:pPr>
              <w:spacing w:after="120" w:line="240" w:lineRule="auto"/>
              <w:jc w:val="both"/>
              <w:rPr>
                <w:rFonts w:ascii="Times New Roman" w:hAnsi="Times New Roman"/>
                <w:color w:val="000000"/>
                <w:sz w:val="24"/>
                <w:szCs w:val="24"/>
                <w:vertAlign w:val="superscript"/>
              </w:rPr>
            </w:pPr>
          </w:p>
          <w:p w:rsidR="003209A9" w:rsidRDefault="003209A9" w:rsidP="00A00573">
            <w:pPr>
              <w:spacing w:after="120" w:line="240" w:lineRule="auto"/>
              <w:jc w:val="both"/>
              <w:rPr>
                <w:rFonts w:ascii="Times New Roman" w:hAnsi="Times New Roman"/>
                <w:color w:val="000000"/>
                <w:sz w:val="24"/>
                <w:szCs w:val="24"/>
                <w:vertAlign w:val="superscript"/>
              </w:rPr>
            </w:pPr>
          </w:p>
          <w:p w:rsidR="003209A9" w:rsidRDefault="003209A9" w:rsidP="00A00573">
            <w:pPr>
              <w:spacing w:after="120" w:line="240" w:lineRule="auto"/>
              <w:jc w:val="both"/>
              <w:rPr>
                <w:rFonts w:ascii="Times New Roman" w:hAnsi="Times New Roman"/>
                <w:color w:val="000000"/>
                <w:sz w:val="24"/>
                <w:szCs w:val="24"/>
                <w:vertAlign w:val="superscript"/>
              </w:rPr>
            </w:pPr>
          </w:p>
          <w:p w:rsidR="003209A9" w:rsidRPr="003209A9" w:rsidRDefault="003209A9" w:rsidP="00A00573">
            <w:pPr>
              <w:spacing w:after="120" w:line="240" w:lineRule="auto"/>
              <w:jc w:val="both"/>
              <w:rPr>
                <w:rFonts w:ascii="Times New Roman" w:hAnsi="Times New Roman"/>
                <w:color w:val="000000"/>
                <w:sz w:val="24"/>
                <w:szCs w:val="24"/>
                <w:vertAlign w:val="superscript"/>
              </w:rPr>
            </w:pPr>
            <w:proofErr w:type="spellStart"/>
            <w:r w:rsidRPr="000F46D5">
              <w:rPr>
                <w:rFonts w:ascii="Times New Roman" w:hAnsi="Times New Roman"/>
                <w:color w:val="000000"/>
                <w:sz w:val="24"/>
                <w:szCs w:val="24"/>
              </w:rPr>
              <w:t>Pasākums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ir</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definēts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kā</w:t>
            </w:r>
            <w:proofErr w:type="spellEnd"/>
            <w:r w:rsidRPr="000F46D5">
              <w:rPr>
                <w:rFonts w:ascii="Times New Roman" w:hAnsi="Times New Roman"/>
                <w:color w:val="000000"/>
                <w:sz w:val="24"/>
                <w:szCs w:val="24"/>
              </w:rPr>
              <w:t xml:space="preserve"> process, </w:t>
            </w:r>
            <w:proofErr w:type="spellStart"/>
            <w:r w:rsidRPr="000F46D5">
              <w:rPr>
                <w:rFonts w:ascii="Times New Roman" w:hAnsi="Times New Roman"/>
                <w:color w:val="000000"/>
                <w:sz w:val="24"/>
                <w:szCs w:val="24"/>
              </w:rPr>
              <w:t>tādēļ</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tiešās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darbības</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rezultātu</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plānā</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nevar</w:t>
            </w:r>
            <w:proofErr w:type="spellEnd"/>
            <w:r w:rsidRPr="000F46D5">
              <w:rPr>
                <w:rFonts w:ascii="Times New Roman" w:hAnsi="Times New Roman"/>
                <w:color w:val="000000"/>
                <w:sz w:val="24"/>
                <w:szCs w:val="24"/>
              </w:rPr>
              <w:t xml:space="preserve"> </w:t>
            </w:r>
            <w:proofErr w:type="spellStart"/>
            <w:r w:rsidRPr="000F46D5">
              <w:rPr>
                <w:rFonts w:ascii="Times New Roman" w:hAnsi="Times New Roman"/>
                <w:color w:val="000000"/>
                <w:sz w:val="24"/>
                <w:szCs w:val="24"/>
              </w:rPr>
              <w:t>definēt</w:t>
            </w:r>
            <w:proofErr w:type="spellEnd"/>
          </w:p>
        </w:tc>
        <w:tc>
          <w:tcPr>
            <w:tcW w:w="726" w:type="pct"/>
            <w:tcBorders>
              <w:top w:val="dashed" w:sz="4" w:space="0" w:color="auto"/>
              <w:left w:val="single" w:sz="4" w:space="0" w:color="auto"/>
              <w:bottom w:val="dashed" w:sz="4" w:space="0" w:color="auto"/>
              <w:right w:val="single" w:sz="4" w:space="0" w:color="auto"/>
            </w:tcBorders>
          </w:tcPr>
          <w:p w:rsidR="003209A9" w:rsidRPr="00C860A3" w:rsidRDefault="003209A9" w:rsidP="00A00573">
            <w:pPr>
              <w:pStyle w:val="CommentText"/>
              <w:spacing w:after="120" w:line="240" w:lineRule="auto"/>
              <w:jc w:val="both"/>
              <w:rPr>
                <w:rFonts w:ascii="Times New Roman" w:eastAsia="Times New Roman" w:hAnsi="Times New Roman"/>
                <w:color w:val="000000"/>
                <w:sz w:val="24"/>
                <w:szCs w:val="24"/>
                <w:lang w:eastAsia="lv-LV"/>
              </w:rPr>
            </w:pPr>
            <w:r w:rsidRPr="00C860A3">
              <w:rPr>
                <w:rFonts w:ascii="Times New Roman" w:eastAsia="Times New Roman" w:hAnsi="Times New Roman"/>
                <w:color w:val="000000"/>
                <w:sz w:val="24"/>
                <w:szCs w:val="24"/>
                <w:lang w:eastAsia="lv-LV"/>
              </w:rPr>
              <w:t>LKA, EM budžeta ietvaros.</w:t>
            </w:r>
          </w:p>
        </w:tc>
      </w:tr>
      <w:tr w:rsidR="003209A9" w:rsidRPr="00C67B75" w:rsidTr="009A163D">
        <w:tc>
          <w:tcPr>
            <w:tcW w:w="1373" w:type="pct"/>
            <w:tcBorders>
              <w:top w:val="dashed" w:sz="4" w:space="0" w:color="auto"/>
              <w:left w:val="single" w:sz="4" w:space="0" w:color="auto"/>
              <w:bottom w:val="single" w:sz="4" w:space="0" w:color="auto"/>
              <w:right w:val="single" w:sz="4" w:space="0" w:color="auto"/>
            </w:tcBorders>
          </w:tcPr>
          <w:p w:rsidR="003209A9" w:rsidRPr="00C46CB6" w:rsidRDefault="003209A9" w:rsidP="00A00573">
            <w:pPr>
              <w:spacing w:after="12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Pārskatīt</w:t>
            </w:r>
            <w:proofErr w:type="spellEnd"/>
            <w:r>
              <w:rPr>
                <w:rFonts w:ascii="Times New Roman" w:hAnsi="Times New Roman"/>
                <w:sz w:val="24"/>
                <w:szCs w:val="24"/>
              </w:rPr>
              <w:t xml:space="preserve"> </w:t>
            </w:r>
            <w:proofErr w:type="spellStart"/>
            <w:r>
              <w:rPr>
                <w:rFonts w:ascii="Times New Roman" w:hAnsi="Times New Roman"/>
                <w:sz w:val="24"/>
                <w:szCs w:val="24"/>
              </w:rPr>
              <w:t>regulējumu</w:t>
            </w:r>
            <w:proofErr w:type="spellEnd"/>
            <w:r>
              <w:rPr>
                <w:rFonts w:ascii="Times New Roman" w:hAnsi="Times New Roman"/>
                <w:sz w:val="24"/>
                <w:szCs w:val="24"/>
              </w:rPr>
              <w:t xml:space="preserve"> par </w:t>
            </w:r>
            <w:proofErr w:type="spellStart"/>
            <w:r w:rsidRPr="00C46CB6">
              <w:rPr>
                <w:rFonts w:ascii="Times New Roman" w:hAnsi="Times New Roman"/>
                <w:sz w:val="24"/>
                <w:szCs w:val="24"/>
              </w:rPr>
              <w:t>Hipotekāro</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ķīlu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zīmju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likuma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normu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aktualitāti</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atbilstību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fiksēta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ienākuma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parāda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vērtspapīru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tirgus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attīstības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potenciālam</w:t>
            </w:r>
            <w:proofErr w:type="spellEnd"/>
            <w:r w:rsidRPr="00C46CB6">
              <w:rPr>
                <w:rFonts w:ascii="Times New Roman" w:hAnsi="Times New Roman"/>
                <w:sz w:val="24"/>
                <w:szCs w:val="24"/>
              </w:rPr>
              <w:t>.</w:t>
            </w:r>
          </w:p>
        </w:tc>
        <w:tc>
          <w:tcPr>
            <w:tcW w:w="806" w:type="pct"/>
            <w:tcBorders>
              <w:top w:val="dashed" w:sz="4" w:space="0" w:color="auto"/>
              <w:left w:val="single" w:sz="4" w:space="0" w:color="auto"/>
              <w:bottom w:val="single" w:sz="4" w:space="0" w:color="auto"/>
              <w:right w:val="single" w:sz="4" w:space="0" w:color="auto"/>
            </w:tcBorders>
          </w:tcPr>
          <w:p w:rsidR="003209A9" w:rsidRPr="000E3EB3" w:rsidRDefault="009A163D" w:rsidP="009A163D">
            <w:pPr>
              <w:spacing w:after="120" w:line="240" w:lineRule="auto"/>
              <w:jc w:val="both"/>
              <w:rPr>
                <w:rFonts w:ascii="Times New Roman" w:hAnsi="Times New Roman"/>
                <w:color w:val="000000"/>
                <w:sz w:val="24"/>
                <w:szCs w:val="24"/>
              </w:rPr>
            </w:pPr>
            <w:r w:rsidRPr="00AC11DE">
              <w:rPr>
                <w:rFonts w:ascii="Times New Roman" w:hAnsi="Times New Roman"/>
                <w:color w:val="000000"/>
                <w:sz w:val="24"/>
                <w:szCs w:val="24"/>
              </w:rPr>
              <w:t>31</w:t>
            </w:r>
            <w:r w:rsidR="003209A9" w:rsidRPr="00AC11DE">
              <w:rPr>
                <w:rFonts w:ascii="Times New Roman" w:hAnsi="Times New Roman"/>
                <w:color w:val="000000"/>
                <w:sz w:val="24"/>
                <w:szCs w:val="24"/>
              </w:rPr>
              <w:t>.</w:t>
            </w:r>
            <w:r w:rsidRPr="00AC11DE">
              <w:rPr>
                <w:rFonts w:ascii="Times New Roman" w:hAnsi="Times New Roman"/>
                <w:color w:val="000000"/>
                <w:sz w:val="24"/>
                <w:szCs w:val="24"/>
              </w:rPr>
              <w:t>12</w:t>
            </w:r>
            <w:r w:rsidR="003209A9" w:rsidRPr="00AC11DE">
              <w:rPr>
                <w:rFonts w:ascii="Times New Roman" w:hAnsi="Times New Roman"/>
                <w:color w:val="000000"/>
                <w:sz w:val="24"/>
                <w:szCs w:val="24"/>
              </w:rPr>
              <w:t>.2015.</w:t>
            </w:r>
          </w:p>
        </w:tc>
        <w:tc>
          <w:tcPr>
            <w:tcW w:w="725" w:type="pct"/>
            <w:tcBorders>
              <w:top w:val="dashed" w:sz="4" w:space="0" w:color="auto"/>
              <w:left w:val="single" w:sz="4" w:space="0" w:color="auto"/>
              <w:bottom w:val="single" w:sz="4" w:space="0" w:color="auto"/>
              <w:right w:val="single" w:sz="4" w:space="0" w:color="auto"/>
            </w:tcBorders>
          </w:tcPr>
          <w:p w:rsidR="003209A9" w:rsidRPr="000E3EB3" w:rsidRDefault="003209A9" w:rsidP="00A00573">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FM, </w:t>
            </w:r>
            <w:r w:rsidRPr="00EA3531">
              <w:rPr>
                <w:rFonts w:ascii="Times New Roman" w:hAnsi="Times New Roman"/>
                <w:color w:val="000000"/>
                <w:sz w:val="24"/>
                <w:szCs w:val="24"/>
              </w:rPr>
              <w:t>FKTK</w:t>
            </w:r>
          </w:p>
        </w:tc>
        <w:tc>
          <w:tcPr>
            <w:tcW w:w="1371" w:type="pct"/>
            <w:tcBorders>
              <w:top w:val="dashed" w:sz="4" w:space="0" w:color="auto"/>
              <w:left w:val="single" w:sz="4" w:space="0" w:color="auto"/>
              <w:bottom w:val="single" w:sz="4" w:space="0" w:color="auto"/>
              <w:right w:val="single" w:sz="4" w:space="0" w:color="auto"/>
            </w:tcBorders>
          </w:tcPr>
          <w:p w:rsidR="003209A9" w:rsidRPr="008342BB" w:rsidRDefault="003209A9" w:rsidP="00A00573">
            <w:pPr>
              <w:spacing w:after="120" w:line="240" w:lineRule="auto"/>
              <w:jc w:val="both"/>
              <w:rPr>
                <w:rFonts w:ascii="Times New Roman" w:hAnsi="Times New Roman"/>
                <w:color w:val="000000"/>
                <w:sz w:val="24"/>
                <w:szCs w:val="24"/>
              </w:rPr>
            </w:pPr>
            <w:proofErr w:type="spellStart"/>
            <w:r w:rsidRPr="00C46CB6">
              <w:rPr>
                <w:rFonts w:ascii="Times New Roman" w:hAnsi="Times New Roman"/>
                <w:sz w:val="24"/>
                <w:szCs w:val="24"/>
              </w:rPr>
              <w:t>Izvērtēt</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Hipotekāro</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ķīlu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zīmju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likuma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normu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aktualitāti</w:t>
            </w:r>
            <w:proofErr w:type="spellEnd"/>
            <w:r w:rsidRPr="00C46CB6">
              <w:rPr>
                <w:rFonts w:ascii="Times New Roman" w:hAnsi="Times New Roman"/>
                <w:sz w:val="24"/>
                <w:szCs w:val="24"/>
              </w:rPr>
              <w:t xml:space="preserve"> un </w:t>
            </w:r>
            <w:proofErr w:type="spellStart"/>
            <w:r w:rsidRPr="00C46CB6">
              <w:rPr>
                <w:rFonts w:ascii="Times New Roman" w:hAnsi="Times New Roman"/>
                <w:sz w:val="24"/>
                <w:szCs w:val="24"/>
              </w:rPr>
              <w:t>atbilstību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fiksēta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ienākuma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parāda</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vērtspapīru</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tirgus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attīstības</w:t>
            </w:r>
            <w:proofErr w:type="spellEnd"/>
            <w:r w:rsidRPr="00C46CB6">
              <w:rPr>
                <w:rFonts w:ascii="Times New Roman" w:hAnsi="Times New Roman"/>
                <w:sz w:val="24"/>
                <w:szCs w:val="24"/>
              </w:rPr>
              <w:t xml:space="preserve"> </w:t>
            </w:r>
            <w:proofErr w:type="spellStart"/>
            <w:r w:rsidRPr="00C46CB6">
              <w:rPr>
                <w:rFonts w:ascii="Times New Roman" w:hAnsi="Times New Roman"/>
                <w:sz w:val="24"/>
                <w:szCs w:val="24"/>
              </w:rPr>
              <w:t>potenciālam</w:t>
            </w:r>
            <w:proofErr w:type="spellEnd"/>
            <w:r w:rsidRPr="00C46CB6">
              <w:rPr>
                <w:rFonts w:ascii="Times New Roman" w:hAnsi="Times New Roman"/>
                <w:sz w:val="24"/>
                <w:szCs w:val="24"/>
              </w:rPr>
              <w:t>.</w:t>
            </w:r>
          </w:p>
        </w:tc>
        <w:tc>
          <w:tcPr>
            <w:tcW w:w="726" w:type="pct"/>
            <w:tcBorders>
              <w:top w:val="dashed" w:sz="4" w:space="0" w:color="auto"/>
              <w:left w:val="single" w:sz="4" w:space="0" w:color="auto"/>
              <w:bottom w:val="single" w:sz="4" w:space="0" w:color="auto"/>
              <w:right w:val="single" w:sz="4" w:space="0" w:color="auto"/>
            </w:tcBorders>
          </w:tcPr>
          <w:p w:rsidR="003209A9" w:rsidRPr="00C860A3" w:rsidRDefault="003209A9" w:rsidP="00A00573">
            <w:pPr>
              <w:pStyle w:val="CommentText"/>
              <w:spacing w:after="120" w:line="240" w:lineRule="auto"/>
              <w:jc w:val="both"/>
              <w:rPr>
                <w:rFonts w:ascii="Times New Roman" w:eastAsia="Times New Roman" w:hAnsi="Times New Roman"/>
                <w:color w:val="000000"/>
                <w:sz w:val="24"/>
                <w:szCs w:val="24"/>
                <w:lang w:eastAsia="lv-LV"/>
              </w:rPr>
            </w:pPr>
            <w:r w:rsidRPr="00C860A3">
              <w:rPr>
                <w:rFonts w:ascii="Times New Roman" w:eastAsia="Times New Roman" w:hAnsi="Times New Roman"/>
                <w:color w:val="000000"/>
                <w:sz w:val="24"/>
                <w:szCs w:val="24"/>
                <w:lang w:eastAsia="lv-LV"/>
              </w:rPr>
              <w:t>FM, FKTK budžeta ietvaros.</w:t>
            </w:r>
          </w:p>
        </w:tc>
      </w:tr>
    </w:tbl>
    <w:p w:rsidR="002A255F" w:rsidRPr="002F25A6" w:rsidRDefault="002A255F" w:rsidP="002F25A6">
      <w:pPr>
        <w:spacing w:after="120" w:line="240" w:lineRule="auto"/>
        <w:jc w:val="both"/>
        <w:rPr>
          <w:rFonts w:ascii="Times New Roman" w:eastAsia="Times New Roman" w:hAnsi="Times New Roman" w:cs="Times New Roman"/>
          <w:sz w:val="28"/>
          <w:szCs w:val="28"/>
          <w:lang w:val="lv-LV" w:eastAsia="lv-LV"/>
        </w:rPr>
      </w:pPr>
    </w:p>
    <w:p w:rsidR="00AB72F7" w:rsidRPr="00AB72F7" w:rsidRDefault="00AB72F7" w:rsidP="00AB72F7">
      <w:pPr>
        <w:spacing w:after="120" w:line="240" w:lineRule="auto"/>
        <w:jc w:val="both"/>
        <w:rPr>
          <w:rFonts w:ascii="Times New Roman" w:eastAsia="Times New Roman" w:hAnsi="Times New Roman" w:cs="Times New Roman"/>
          <w:sz w:val="28"/>
          <w:szCs w:val="28"/>
          <w:lang w:val="lv-LV" w:eastAsia="lv-LV"/>
        </w:rPr>
      </w:pPr>
    </w:p>
    <w:p w:rsidR="00AB72F7" w:rsidRDefault="00AB72F7" w:rsidP="00AB72F7">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 xml:space="preserve">aizstāt </w:t>
      </w:r>
      <w:r w:rsidRPr="00AB72F7">
        <w:rPr>
          <w:rFonts w:ascii="Times New Roman" w:eastAsia="Times New Roman" w:hAnsi="Times New Roman" w:cs="Times New Roman"/>
          <w:sz w:val="28"/>
          <w:szCs w:val="28"/>
          <w:lang w:val="lv-LV" w:eastAsia="lv-LV"/>
        </w:rPr>
        <w:t xml:space="preserve">pielikuma “Finanšu sektora attīstības plānā 2014.-2016.gadam paredzētie pasākumi” </w:t>
      </w:r>
      <w:r>
        <w:rPr>
          <w:rFonts w:ascii="Times New Roman" w:eastAsia="Times New Roman" w:hAnsi="Times New Roman" w:cs="Times New Roman"/>
          <w:sz w:val="28"/>
          <w:szCs w:val="28"/>
          <w:lang w:val="lv-LV" w:eastAsia="lv-LV"/>
        </w:rPr>
        <w:t>3</w:t>
      </w:r>
      <w:r w:rsidRPr="00AB72F7">
        <w:rPr>
          <w:rFonts w:ascii="Times New Roman" w:eastAsia="Times New Roman" w:hAnsi="Times New Roman" w:cs="Times New Roman"/>
          <w:sz w:val="28"/>
          <w:szCs w:val="28"/>
          <w:lang w:val="lv-LV" w:eastAsia="lv-LV"/>
        </w:rPr>
        <w:t>.sadaļ</w:t>
      </w:r>
      <w:r>
        <w:rPr>
          <w:rFonts w:ascii="Times New Roman" w:eastAsia="Times New Roman" w:hAnsi="Times New Roman" w:cs="Times New Roman"/>
          <w:sz w:val="28"/>
          <w:szCs w:val="28"/>
          <w:lang w:val="lv-LV" w:eastAsia="lv-LV"/>
        </w:rPr>
        <w:t>as</w:t>
      </w:r>
      <w:r w:rsidRPr="00AB72F7">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Tiesu sistēma</w:t>
      </w:r>
      <w:r w:rsidRPr="00AB72F7">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xml:space="preserve"> nosaukumu ar nosaukumu “Tiesu sistēma un administratīvā sloga samazināšana”.</w:t>
      </w:r>
    </w:p>
    <w:p w:rsidR="003B725B" w:rsidRPr="003B725B" w:rsidRDefault="003B725B" w:rsidP="003B725B">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izslēgt</w:t>
      </w:r>
      <w:r w:rsidRPr="003B725B">
        <w:rPr>
          <w:rFonts w:ascii="Times New Roman" w:eastAsia="Times New Roman" w:hAnsi="Times New Roman" w:cs="Times New Roman"/>
          <w:sz w:val="28"/>
          <w:szCs w:val="28"/>
          <w:lang w:val="lv-LV" w:eastAsia="lv-LV"/>
        </w:rPr>
        <w:t xml:space="preserve"> pielikuma “Finanšu sektora attīstības plānā 2014.-2016.gadam paredzētie pasākumi” 3.sadaļ</w:t>
      </w:r>
      <w:r>
        <w:rPr>
          <w:rFonts w:ascii="Times New Roman" w:eastAsia="Times New Roman" w:hAnsi="Times New Roman" w:cs="Times New Roman"/>
          <w:sz w:val="28"/>
          <w:szCs w:val="28"/>
          <w:lang w:val="lv-LV" w:eastAsia="lv-LV"/>
        </w:rPr>
        <w:t>as</w:t>
      </w:r>
      <w:r w:rsidRPr="003B725B">
        <w:rPr>
          <w:rFonts w:ascii="Times New Roman" w:eastAsia="Times New Roman" w:hAnsi="Times New Roman" w:cs="Times New Roman"/>
          <w:sz w:val="28"/>
          <w:szCs w:val="28"/>
          <w:lang w:val="lv-LV" w:eastAsia="lv-LV"/>
        </w:rPr>
        <w:t xml:space="preserve"> “Tiesu sistēma un administratīvā sloga mazināšana” rīcības virzienu mērķa sasniegšanai 3.</w:t>
      </w:r>
      <w:r>
        <w:rPr>
          <w:rFonts w:ascii="Times New Roman" w:eastAsia="Times New Roman" w:hAnsi="Times New Roman" w:cs="Times New Roman"/>
          <w:sz w:val="28"/>
          <w:szCs w:val="28"/>
          <w:lang w:val="lv-LV" w:eastAsia="lv-LV"/>
        </w:rPr>
        <w:t>4</w:t>
      </w:r>
      <w:r w:rsidRPr="003B725B">
        <w:rPr>
          <w:rFonts w:ascii="Times New Roman" w:eastAsia="Times New Roman" w:hAnsi="Times New Roman" w:cs="Times New Roman"/>
          <w:sz w:val="28"/>
          <w:szCs w:val="28"/>
          <w:lang w:val="lv-LV" w:eastAsia="lv-LV"/>
        </w:rPr>
        <w:t>. “Ieguldītāju (akcionāru) tiesību aizsardzības pilnveidošana un stiprināšana”</w:t>
      </w:r>
      <w:r>
        <w:rPr>
          <w:rFonts w:ascii="Times New Roman" w:eastAsia="Times New Roman" w:hAnsi="Times New Roman" w:cs="Times New Roman"/>
          <w:sz w:val="28"/>
          <w:szCs w:val="28"/>
          <w:lang w:val="lv-LV" w:eastAsia="lv-LV"/>
        </w:rPr>
        <w:t>.</w:t>
      </w:r>
    </w:p>
    <w:p w:rsidR="00006A6F" w:rsidRPr="00006A6F" w:rsidRDefault="00AB72F7" w:rsidP="00006A6F">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sidRPr="00AB72F7">
        <w:rPr>
          <w:rFonts w:ascii="Times New Roman" w:eastAsia="Times New Roman" w:hAnsi="Times New Roman" w:cs="Times New Roman"/>
          <w:sz w:val="28"/>
          <w:szCs w:val="28"/>
          <w:lang w:val="lv-LV" w:eastAsia="lv-LV"/>
        </w:rPr>
        <w:t xml:space="preserve">papildināt pielikuma “Finanšu sektora attīstības plānā 2014.-2016.gadam paredzētie pasākumi” </w:t>
      </w:r>
      <w:r w:rsidR="00006A6F">
        <w:rPr>
          <w:rFonts w:ascii="Times New Roman" w:eastAsia="Times New Roman" w:hAnsi="Times New Roman" w:cs="Times New Roman"/>
          <w:sz w:val="28"/>
          <w:szCs w:val="28"/>
          <w:lang w:val="lv-LV" w:eastAsia="lv-LV"/>
        </w:rPr>
        <w:t>3</w:t>
      </w:r>
      <w:r w:rsidRPr="00AB72F7">
        <w:rPr>
          <w:rFonts w:ascii="Times New Roman" w:eastAsia="Times New Roman" w:hAnsi="Times New Roman" w:cs="Times New Roman"/>
          <w:sz w:val="28"/>
          <w:szCs w:val="28"/>
          <w:lang w:val="lv-LV" w:eastAsia="lv-LV"/>
        </w:rPr>
        <w:t>.sadaļu “</w:t>
      </w:r>
      <w:r w:rsidR="00006A6F">
        <w:rPr>
          <w:rFonts w:ascii="Times New Roman" w:eastAsia="Times New Roman" w:hAnsi="Times New Roman" w:cs="Times New Roman"/>
          <w:sz w:val="28"/>
          <w:szCs w:val="28"/>
          <w:lang w:val="lv-LV" w:eastAsia="lv-LV"/>
        </w:rPr>
        <w:t>Tiesu sistēma</w:t>
      </w:r>
      <w:r w:rsidR="00294E66">
        <w:rPr>
          <w:rFonts w:ascii="Times New Roman" w:eastAsia="Times New Roman" w:hAnsi="Times New Roman" w:cs="Times New Roman"/>
          <w:sz w:val="28"/>
          <w:szCs w:val="28"/>
          <w:lang w:val="lv-LV" w:eastAsia="lv-LV"/>
        </w:rPr>
        <w:t xml:space="preserve"> un administratīvā sloga mazināšana</w:t>
      </w:r>
      <w:r w:rsidRPr="00AB72F7">
        <w:rPr>
          <w:rFonts w:ascii="Times New Roman" w:eastAsia="Times New Roman" w:hAnsi="Times New Roman" w:cs="Times New Roman"/>
          <w:sz w:val="28"/>
          <w:szCs w:val="28"/>
          <w:lang w:val="lv-LV" w:eastAsia="lv-LV"/>
        </w:rPr>
        <w:t xml:space="preserve">” ar rīcības virzienu mērķa sasniegšanai </w:t>
      </w:r>
      <w:r w:rsidR="00006A6F">
        <w:rPr>
          <w:rFonts w:ascii="Times New Roman" w:eastAsia="Times New Roman" w:hAnsi="Times New Roman" w:cs="Times New Roman"/>
          <w:sz w:val="28"/>
          <w:szCs w:val="28"/>
          <w:lang w:val="lv-LV" w:eastAsia="lv-LV"/>
        </w:rPr>
        <w:t>3</w:t>
      </w:r>
      <w:r w:rsidRPr="00AB72F7">
        <w:rPr>
          <w:rFonts w:ascii="Times New Roman" w:eastAsia="Times New Roman" w:hAnsi="Times New Roman" w:cs="Times New Roman"/>
          <w:sz w:val="28"/>
          <w:szCs w:val="28"/>
          <w:lang w:val="lv-LV" w:eastAsia="lv-LV"/>
        </w:rPr>
        <w:t>.</w:t>
      </w:r>
      <w:r w:rsidR="00006A6F">
        <w:rPr>
          <w:rFonts w:ascii="Times New Roman" w:eastAsia="Times New Roman" w:hAnsi="Times New Roman" w:cs="Times New Roman"/>
          <w:sz w:val="28"/>
          <w:szCs w:val="28"/>
          <w:lang w:val="lv-LV" w:eastAsia="lv-LV"/>
        </w:rPr>
        <w:t>5</w:t>
      </w:r>
      <w:r w:rsidRPr="00AB72F7">
        <w:rPr>
          <w:rFonts w:ascii="Times New Roman" w:eastAsia="Times New Roman" w:hAnsi="Times New Roman" w:cs="Times New Roman"/>
          <w:sz w:val="28"/>
          <w:szCs w:val="28"/>
          <w:lang w:val="lv-LV" w:eastAsia="lv-LV"/>
        </w:rPr>
        <w:t>. “</w:t>
      </w:r>
      <w:r w:rsidR="00006A6F" w:rsidRPr="00006A6F">
        <w:rPr>
          <w:rFonts w:ascii="Times New Roman" w:eastAsia="Times New Roman" w:hAnsi="Times New Roman" w:cs="Times New Roman"/>
          <w:sz w:val="28"/>
          <w:szCs w:val="28"/>
          <w:lang w:val="lv-LV" w:eastAsia="lv-LV"/>
        </w:rPr>
        <w:t>Nodokļu konvencijās noteikto atvieglojumu piemērošanas procedūras vienkāršošana”</w:t>
      </w:r>
      <w:r w:rsidR="00006A6F">
        <w:rPr>
          <w:rFonts w:ascii="Times New Roman" w:eastAsia="Times New Roman" w:hAnsi="Times New Roman" w:cs="Times New Roman"/>
          <w:sz w:val="28"/>
          <w:szCs w:val="28"/>
          <w:lang w:val="lv-LV" w:eastAsia="lv-LV"/>
        </w:rPr>
        <w:t>:</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558"/>
        <w:gridCol w:w="1135"/>
        <w:gridCol w:w="2208"/>
        <w:gridCol w:w="1477"/>
      </w:tblGrid>
      <w:tr w:rsidR="00006A6F" w:rsidRPr="00FA05DA" w:rsidTr="00935C40">
        <w:tc>
          <w:tcPr>
            <w:tcW w:w="1369" w:type="pct"/>
          </w:tcPr>
          <w:p w:rsidR="00006A6F" w:rsidRPr="00D0646F" w:rsidRDefault="00006A6F" w:rsidP="00D0646F">
            <w:pPr>
              <w:spacing w:after="120" w:line="240" w:lineRule="auto"/>
              <w:rPr>
                <w:rFonts w:ascii="Times New Roman" w:hAnsi="Times New Roman"/>
                <w:sz w:val="24"/>
                <w:szCs w:val="24"/>
              </w:rPr>
            </w:pPr>
            <w:r w:rsidRPr="00D0646F">
              <w:rPr>
                <w:rFonts w:ascii="Times New Roman" w:hAnsi="Times New Roman"/>
                <w:sz w:val="24"/>
                <w:szCs w:val="24"/>
              </w:rPr>
              <w:t>3.5.Nodokļu konvencijās noteikto atvieglojumu piemērošanas procedūras vienkāršošana</w:t>
            </w:r>
          </w:p>
          <w:p w:rsidR="00006A6F" w:rsidRPr="00D0646F" w:rsidRDefault="00006A6F" w:rsidP="00D0646F">
            <w:pPr>
              <w:spacing w:after="120" w:line="240" w:lineRule="auto"/>
              <w:rPr>
                <w:rFonts w:ascii="Times New Roman" w:hAnsi="Times New Roman"/>
                <w:sz w:val="24"/>
                <w:szCs w:val="24"/>
              </w:rPr>
            </w:pPr>
            <w:r w:rsidRPr="00D0646F">
              <w:rPr>
                <w:rFonts w:ascii="Times New Roman" w:hAnsi="Times New Roman"/>
                <w:sz w:val="24"/>
                <w:szCs w:val="24"/>
              </w:rPr>
              <w:t>Rīcībai:</w:t>
            </w:r>
          </w:p>
          <w:p w:rsidR="00006A6F" w:rsidRPr="00006A6F" w:rsidRDefault="00006A6F" w:rsidP="00D0646F">
            <w:pPr>
              <w:spacing w:after="120" w:line="240" w:lineRule="auto"/>
              <w:rPr>
                <w:rFonts w:ascii="Times New Roman" w:hAnsi="Times New Roman" w:cs="Times New Roman"/>
                <w:sz w:val="24"/>
                <w:szCs w:val="24"/>
                <w:lang w:val="lv-LV"/>
              </w:rPr>
            </w:pPr>
            <w:r w:rsidRPr="00D0646F">
              <w:rPr>
                <w:rFonts w:ascii="Times New Roman" w:hAnsi="Times New Roman"/>
                <w:sz w:val="24"/>
                <w:szCs w:val="24"/>
              </w:rPr>
              <w:t>Jāsamazina administratīvais slogs, paredzot ka rezidences apliecība ir ienākuma izmaksātāja rīcībā ne vēlāk kā taksācijas gada pārskata iesniegšanas brīdī (nevis maksājuma izdarīšanas brīdī).</w:t>
            </w:r>
            <w:r w:rsidRPr="00006A6F">
              <w:rPr>
                <w:rFonts w:ascii="Times New Roman" w:hAnsi="Times New Roman" w:cs="Times New Roman"/>
                <w:sz w:val="24"/>
                <w:szCs w:val="24"/>
                <w:lang w:val="lv-LV"/>
              </w:rPr>
              <w:t xml:space="preserve"> </w:t>
            </w:r>
          </w:p>
        </w:tc>
        <w:tc>
          <w:tcPr>
            <w:tcW w:w="887" w:type="pct"/>
            <w:tcBorders>
              <w:top w:val="single" w:sz="4" w:space="0" w:color="auto"/>
              <w:left w:val="single" w:sz="4" w:space="0" w:color="auto"/>
              <w:bottom w:val="single" w:sz="4" w:space="0" w:color="auto"/>
              <w:right w:val="single" w:sz="4" w:space="0" w:color="auto"/>
            </w:tcBorders>
          </w:tcPr>
          <w:p w:rsidR="00006A6F" w:rsidRPr="00D0646F" w:rsidRDefault="00B07306" w:rsidP="00D0646F">
            <w:pPr>
              <w:spacing w:after="120" w:line="240" w:lineRule="auto"/>
              <w:rPr>
                <w:rFonts w:ascii="Times New Roman" w:hAnsi="Times New Roman"/>
                <w:sz w:val="24"/>
                <w:szCs w:val="24"/>
              </w:rPr>
            </w:pPr>
            <w:r>
              <w:rPr>
                <w:rFonts w:ascii="Times New Roman" w:hAnsi="Times New Roman"/>
                <w:sz w:val="24"/>
                <w:szCs w:val="24"/>
              </w:rPr>
              <w:t xml:space="preserve"> 31.12.2014</w:t>
            </w:r>
            <w:r w:rsidR="00556C84">
              <w:rPr>
                <w:rFonts w:ascii="Times New Roman" w:hAnsi="Times New Roman"/>
                <w:sz w:val="24"/>
                <w:szCs w:val="24"/>
              </w:rPr>
              <w:t>.</w:t>
            </w:r>
          </w:p>
        </w:tc>
        <w:tc>
          <w:tcPr>
            <w:tcW w:w="646" w:type="pct"/>
            <w:tcBorders>
              <w:top w:val="single" w:sz="4" w:space="0" w:color="auto"/>
              <w:left w:val="single" w:sz="4" w:space="0" w:color="auto"/>
              <w:bottom w:val="single" w:sz="4" w:space="0" w:color="auto"/>
              <w:right w:val="single" w:sz="4" w:space="0" w:color="auto"/>
            </w:tcBorders>
          </w:tcPr>
          <w:p w:rsidR="00006A6F" w:rsidRPr="00D0646F" w:rsidRDefault="00006A6F" w:rsidP="00D0646F">
            <w:pPr>
              <w:spacing w:after="120" w:line="240" w:lineRule="auto"/>
              <w:rPr>
                <w:rFonts w:ascii="Times New Roman" w:hAnsi="Times New Roman"/>
                <w:sz w:val="24"/>
                <w:szCs w:val="24"/>
              </w:rPr>
            </w:pPr>
            <w:r w:rsidRPr="00D0646F">
              <w:rPr>
                <w:rFonts w:ascii="Times New Roman" w:hAnsi="Times New Roman"/>
                <w:sz w:val="24"/>
                <w:szCs w:val="24"/>
              </w:rPr>
              <w:t>FM</w:t>
            </w:r>
          </w:p>
        </w:tc>
        <w:tc>
          <w:tcPr>
            <w:tcW w:w="1257" w:type="pct"/>
            <w:tcBorders>
              <w:top w:val="single" w:sz="4" w:space="0" w:color="auto"/>
              <w:left w:val="single" w:sz="4" w:space="0" w:color="auto"/>
              <w:bottom w:val="single" w:sz="4" w:space="0" w:color="auto"/>
              <w:right w:val="single" w:sz="4" w:space="0" w:color="auto"/>
            </w:tcBorders>
          </w:tcPr>
          <w:p w:rsidR="00006A6F" w:rsidRPr="00D0646F" w:rsidRDefault="00006A6F" w:rsidP="00D0646F">
            <w:pPr>
              <w:spacing w:after="120"/>
              <w:rPr>
                <w:rFonts w:ascii="Times New Roman" w:hAnsi="Times New Roman"/>
                <w:sz w:val="24"/>
                <w:szCs w:val="24"/>
              </w:rPr>
            </w:pPr>
            <w:proofErr w:type="spellStart"/>
            <w:r w:rsidRPr="00D0646F">
              <w:rPr>
                <w:rFonts w:ascii="Times New Roman" w:hAnsi="Times New Roman"/>
                <w:sz w:val="24"/>
                <w:szCs w:val="24"/>
              </w:rPr>
              <w:t>Izstrādāt</w:t>
            </w:r>
            <w:proofErr w:type="spellEnd"/>
            <w:r w:rsidRPr="00D0646F">
              <w:rPr>
                <w:rFonts w:ascii="Times New Roman" w:hAnsi="Times New Roman"/>
                <w:sz w:val="24"/>
                <w:szCs w:val="24"/>
              </w:rPr>
              <w:t xml:space="preserve"> </w:t>
            </w:r>
            <w:r w:rsidR="00B07306">
              <w:rPr>
                <w:rFonts w:ascii="Times New Roman" w:hAnsi="Times New Roman"/>
                <w:sz w:val="24"/>
                <w:szCs w:val="24"/>
              </w:rPr>
              <w:t xml:space="preserve">un </w:t>
            </w:r>
            <w:proofErr w:type="spellStart"/>
            <w:r w:rsidR="00B07306">
              <w:rPr>
                <w:rFonts w:ascii="Times New Roman" w:hAnsi="Times New Roman"/>
                <w:sz w:val="24"/>
                <w:szCs w:val="24"/>
              </w:rPr>
              <w:t>iesniegt</w:t>
            </w:r>
            <w:proofErr w:type="spellEnd"/>
            <w:r w:rsidR="00B07306">
              <w:rPr>
                <w:rFonts w:ascii="Times New Roman" w:hAnsi="Times New Roman"/>
                <w:sz w:val="24"/>
                <w:szCs w:val="24"/>
              </w:rPr>
              <w:t xml:space="preserve"> MK </w:t>
            </w:r>
            <w:proofErr w:type="spellStart"/>
            <w:r w:rsidRPr="00D0646F">
              <w:rPr>
                <w:rFonts w:ascii="Times New Roman" w:hAnsi="Times New Roman"/>
                <w:sz w:val="24"/>
                <w:szCs w:val="24"/>
              </w:rPr>
              <w:t>grozījumus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Ministru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kabineta</w:t>
            </w:r>
            <w:proofErr w:type="spellEnd"/>
            <w:r w:rsidRPr="00D0646F">
              <w:rPr>
                <w:rFonts w:ascii="Times New Roman" w:hAnsi="Times New Roman"/>
                <w:sz w:val="24"/>
                <w:szCs w:val="24"/>
              </w:rPr>
              <w:t xml:space="preserve"> 2001.gada 30.aprīļa </w:t>
            </w:r>
            <w:proofErr w:type="spellStart"/>
            <w:r w:rsidRPr="00D0646F">
              <w:rPr>
                <w:rFonts w:ascii="Times New Roman" w:hAnsi="Times New Roman"/>
                <w:sz w:val="24"/>
                <w:szCs w:val="24"/>
              </w:rPr>
              <w:t>noteikumos</w:t>
            </w:r>
            <w:proofErr w:type="spellEnd"/>
            <w:r w:rsidRPr="00D0646F">
              <w:rPr>
                <w:rFonts w:ascii="Times New Roman" w:hAnsi="Times New Roman"/>
                <w:sz w:val="24"/>
                <w:szCs w:val="24"/>
              </w:rPr>
              <w:t xml:space="preserve"> Nr.178 “</w:t>
            </w:r>
            <w:proofErr w:type="spellStart"/>
            <w:r w:rsidRPr="00D0646F">
              <w:rPr>
                <w:rFonts w:ascii="Times New Roman" w:hAnsi="Times New Roman"/>
                <w:sz w:val="24"/>
                <w:szCs w:val="24"/>
              </w:rPr>
              <w:t>Kārtība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kādā</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piemērojami</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starptautiskajos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līgumos</w:t>
            </w:r>
            <w:proofErr w:type="spellEnd"/>
            <w:r w:rsidRPr="00D0646F">
              <w:rPr>
                <w:rFonts w:ascii="Times New Roman" w:hAnsi="Times New Roman"/>
                <w:sz w:val="24"/>
                <w:szCs w:val="24"/>
              </w:rPr>
              <w:t xml:space="preserve"> par </w:t>
            </w:r>
            <w:proofErr w:type="spellStart"/>
            <w:r w:rsidRPr="00D0646F">
              <w:rPr>
                <w:rFonts w:ascii="Times New Roman" w:hAnsi="Times New Roman"/>
                <w:sz w:val="24"/>
                <w:szCs w:val="24"/>
              </w:rPr>
              <w:t>nodokļu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dubultās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uzlikšanas</w:t>
            </w:r>
            <w:proofErr w:type="spellEnd"/>
            <w:r w:rsidRPr="00D0646F">
              <w:rPr>
                <w:rFonts w:ascii="Times New Roman" w:hAnsi="Times New Roman"/>
                <w:sz w:val="24"/>
                <w:szCs w:val="24"/>
              </w:rPr>
              <w:t xml:space="preserve"> un </w:t>
            </w:r>
            <w:proofErr w:type="spellStart"/>
            <w:r w:rsidRPr="00D0646F">
              <w:rPr>
                <w:rFonts w:ascii="Times New Roman" w:hAnsi="Times New Roman"/>
                <w:sz w:val="24"/>
                <w:szCs w:val="24"/>
              </w:rPr>
              <w:t>nodokļu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nemaksāšanas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novēršanu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noteiktie</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nodokļu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atvieglojumi</w:t>
            </w:r>
            <w:proofErr w:type="spellEnd"/>
            <w:r w:rsidR="009A163D">
              <w:rPr>
                <w:rFonts w:ascii="Times New Roman" w:hAnsi="Times New Roman"/>
                <w:sz w:val="24"/>
                <w:szCs w:val="24"/>
              </w:rPr>
              <w:t>.</w:t>
            </w:r>
            <w:r w:rsidRPr="00D0646F">
              <w:rPr>
                <w:rFonts w:ascii="Times New Roman" w:hAnsi="Times New Roman"/>
                <w:sz w:val="24"/>
                <w:szCs w:val="24"/>
              </w:rPr>
              <w:t xml:space="preserve">” </w:t>
            </w:r>
          </w:p>
        </w:tc>
        <w:tc>
          <w:tcPr>
            <w:tcW w:w="841" w:type="pct"/>
            <w:tcBorders>
              <w:top w:val="single" w:sz="4" w:space="0" w:color="auto"/>
              <w:left w:val="single" w:sz="4" w:space="0" w:color="auto"/>
              <w:bottom w:val="single" w:sz="4" w:space="0" w:color="auto"/>
              <w:right w:val="single" w:sz="4" w:space="0" w:color="auto"/>
            </w:tcBorders>
          </w:tcPr>
          <w:p w:rsidR="00006A6F" w:rsidRPr="00D0646F" w:rsidRDefault="00006A6F" w:rsidP="00D0646F">
            <w:pPr>
              <w:spacing w:after="120" w:line="240" w:lineRule="auto"/>
              <w:rPr>
                <w:rFonts w:ascii="Times New Roman" w:hAnsi="Times New Roman"/>
                <w:sz w:val="24"/>
                <w:szCs w:val="24"/>
              </w:rPr>
            </w:pPr>
            <w:r w:rsidRPr="00D0646F">
              <w:rPr>
                <w:rFonts w:ascii="Times New Roman" w:hAnsi="Times New Roman"/>
                <w:sz w:val="24"/>
                <w:szCs w:val="24"/>
              </w:rPr>
              <w:t xml:space="preserve">FM </w:t>
            </w:r>
            <w:proofErr w:type="spellStart"/>
            <w:r w:rsidRPr="00D0646F">
              <w:rPr>
                <w:rFonts w:ascii="Times New Roman" w:hAnsi="Times New Roman"/>
                <w:sz w:val="24"/>
                <w:szCs w:val="24"/>
              </w:rPr>
              <w:t>budžeta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ietvaros</w:t>
            </w:r>
            <w:proofErr w:type="spellEnd"/>
            <w:r w:rsidR="00EE3082">
              <w:rPr>
                <w:rFonts w:ascii="Times New Roman" w:hAnsi="Times New Roman"/>
                <w:sz w:val="24"/>
                <w:szCs w:val="24"/>
              </w:rPr>
              <w:t>.</w:t>
            </w:r>
          </w:p>
        </w:tc>
      </w:tr>
    </w:tbl>
    <w:p w:rsidR="00AB72F7" w:rsidRPr="00006A6F" w:rsidRDefault="00AB72F7" w:rsidP="00006A6F">
      <w:pPr>
        <w:spacing w:after="120" w:line="240" w:lineRule="auto"/>
        <w:jc w:val="both"/>
        <w:rPr>
          <w:rFonts w:ascii="Times New Roman" w:eastAsia="Times New Roman" w:hAnsi="Times New Roman" w:cs="Times New Roman"/>
          <w:sz w:val="28"/>
          <w:szCs w:val="28"/>
          <w:lang w:val="lv-LV" w:eastAsia="lv-LV"/>
        </w:rPr>
      </w:pPr>
    </w:p>
    <w:p w:rsidR="00006A6F" w:rsidRDefault="004517B6" w:rsidP="00006A6F">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izteikt</w:t>
      </w:r>
      <w:r w:rsidR="00006A6F" w:rsidRPr="00AB72F7">
        <w:rPr>
          <w:rFonts w:ascii="Times New Roman" w:eastAsia="Times New Roman" w:hAnsi="Times New Roman" w:cs="Times New Roman"/>
          <w:sz w:val="28"/>
          <w:szCs w:val="28"/>
          <w:lang w:val="lv-LV" w:eastAsia="lv-LV"/>
        </w:rPr>
        <w:t xml:space="preserve"> pielikuma “Finanšu sektora attīstības plānā 2014.-2016.gadam paredzētie pasākumi” </w:t>
      </w:r>
      <w:r>
        <w:rPr>
          <w:rFonts w:ascii="Times New Roman" w:eastAsia="Times New Roman" w:hAnsi="Times New Roman" w:cs="Times New Roman"/>
          <w:sz w:val="28"/>
          <w:szCs w:val="28"/>
          <w:lang w:val="lv-LV" w:eastAsia="lv-LV"/>
        </w:rPr>
        <w:t>5</w:t>
      </w:r>
      <w:r w:rsidR="00006A6F" w:rsidRPr="00AB72F7">
        <w:rPr>
          <w:rFonts w:ascii="Times New Roman" w:eastAsia="Times New Roman" w:hAnsi="Times New Roman" w:cs="Times New Roman"/>
          <w:sz w:val="28"/>
          <w:szCs w:val="28"/>
          <w:lang w:val="lv-LV" w:eastAsia="lv-LV"/>
        </w:rPr>
        <w:t>.sadaļ</w:t>
      </w:r>
      <w:r>
        <w:rPr>
          <w:rFonts w:ascii="Times New Roman" w:eastAsia="Times New Roman" w:hAnsi="Times New Roman" w:cs="Times New Roman"/>
          <w:sz w:val="28"/>
          <w:szCs w:val="28"/>
          <w:lang w:val="lv-LV" w:eastAsia="lv-LV"/>
        </w:rPr>
        <w:t>as</w:t>
      </w:r>
      <w:r w:rsidR="00006A6F" w:rsidRPr="00AB72F7">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Alternatīvie finansējuma veidi</w:t>
      </w:r>
      <w:r w:rsidR="00006A6F" w:rsidRPr="00AB72F7">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rīcības virzienu mērķa sasniegšanai 5.1. “</w:t>
      </w:r>
      <w:r w:rsidRPr="004517B6">
        <w:rPr>
          <w:rFonts w:ascii="Times New Roman" w:eastAsia="Times New Roman" w:hAnsi="Times New Roman" w:cs="Times New Roman"/>
          <w:sz w:val="28"/>
          <w:szCs w:val="28"/>
          <w:lang w:val="lv-LV" w:eastAsia="lv-LV"/>
        </w:rPr>
        <w:t>Riska kapitāla nozares attīstība”</w:t>
      </w:r>
      <w:r>
        <w:rPr>
          <w:rFonts w:ascii="Times New Roman" w:eastAsia="Times New Roman" w:hAnsi="Times New Roman" w:cs="Times New Roman"/>
          <w:sz w:val="28"/>
          <w:szCs w:val="28"/>
          <w:lang w:val="lv-LV" w:eastAsia="lv-LV"/>
        </w:rPr>
        <w:t xml:space="preserve"> šādā redakcijā</w:t>
      </w:r>
      <w:r w:rsidR="00006A6F">
        <w:rPr>
          <w:rFonts w:ascii="Times New Roman" w:eastAsia="Times New Roman" w:hAnsi="Times New Roman" w:cs="Times New Roman"/>
          <w:sz w:val="28"/>
          <w:szCs w:val="28"/>
          <w:lang w:val="lv-LV" w:eastAsia="lv-LV"/>
        </w:rPr>
        <w:t>:</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177"/>
        <w:gridCol w:w="2166"/>
        <w:gridCol w:w="1336"/>
      </w:tblGrid>
      <w:tr w:rsidR="00935C40" w:rsidRPr="00DA37EA" w:rsidTr="00935C40">
        <w:tc>
          <w:tcPr>
            <w:tcW w:w="1391" w:type="pct"/>
            <w:tcBorders>
              <w:top w:val="single" w:sz="4" w:space="0" w:color="auto"/>
              <w:left w:val="single" w:sz="4" w:space="0" w:color="auto"/>
              <w:bottom w:val="single" w:sz="4" w:space="0" w:color="auto"/>
              <w:right w:val="single" w:sz="4" w:space="0" w:color="auto"/>
            </w:tcBorders>
            <w:shd w:val="clear" w:color="auto" w:fill="FFFFFF" w:themeFill="background1"/>
          </w:tcPr>
          <w:p w:rsidR="00935C40" w:rsidRPr="00D0646F" w:rsidRDefault="00935C40" w:rsidP="00D0646F">
            <w:pPr>
              <w:spacing w:after="120" w:line="240" w:lineRule="auto"/>
              <w:rPr>
                <w:rFonts w:ascii="Times New Roman" w:hAnsi="Times New Roman"/>
                <w:sz w:val="24"/>
                <w:szCs w:val="24"/>
              </w:rPr>
            </w:pPr>
            <w:r w:rsidRPr="00D0646F">
              <w:rPr>
                <w:rFonts w:ascii="Times New Roman" w:hAnsi="Times New Roman"/>
                <w:sz w:val="24"/>
                <w:szCs w:val="24"/>
              </w:rPr>
              <w:t xml:space="preserve">5.1. Riska kapitāla nozares attīstība. </w:t>
            </w:r>
          </w:p>
          <w:p w:rsidR="00935C40" w:rsidRPr="00D0646F" w:rsidRDefault="00935C40" w:rsidP="00D0646F">
            <w:pPr>
              <w:pStyle w:val="ListParagraph"/>
              <w:spacing w:after="120" w:line="240" w:lineRule="auto"/>
              <w:ind w:left="0"/>
              <w:rPr>
                <w:rFonts w:ascii="Times New Roman" w:hAnsi="Times New Roman"/>
                <w:i/>
                <w:sz w:val="24"/>
                <w:szCs w:val="24"/>
              </w:rPr>
            </w:pPr>
            <w:r w:rsidRPr="00D0646F">
              <w:rPr>
                <w:rFonts w:ascii="Times New Roman" w:hAnsi="Times New Roman"/>
                <w:i/>
                <w:sz w:val="24"/>
                <w:szCs w:val="24"/>
              </w:rPr>
              <w:t xml:space="preserve">Riska kapitāla ieguldījuma mērķis ir jaunā uzņēmuma straujākas izaugsmes un attīstības veicināšana. Riska </w:t>
            </w:r>
            <w:r w:rsidRPr="00D0646F">
              <w:rPr>
                <w:rFonts w:ascii="Times New Roman" w:hAnsi="Times New Roman"/>
                <w:i/>
                <w:sz w:val="24"/>
                <w:szCs w:val="24"/>
              </w:rPr>
              <w:lastRenderedPageBreak/>
              <w:t>investīciju objekti ir uzņēmumi ar augstu straujas izaugsmes potenciālu un nest ievērojamu peļņu attiecībā uz projektā investēto kapitālu.</w:t>
            </w:r>
          </w:p>
          <w:p w:rsidR="00935C40" w:rsidRPr="00D0646F" w:rsidRDefault="00935C40" w:rsidP="00D0646F">
            <w:pPr>
              <w:pStyle w:val="ListParagraph"/>
              <w:spacing w:after="120" w:line="240" w:lineRule="auto"/>
              <w:ind w:left="0"/>
              <w:rPr>
                <w:rFonts w:ascii="Times New Roman" w:hAnsi="Times New Roman"/>
                <w:sz w:val="24"/>
                <w:szCs w:val="24"/>
              </w:rPr>
            </w:pPr>
          </w:p>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Rīcībai:</w:t>
            </w:r>
          </w:p>
          <w:p w:rsidR="00935C40" w:rsidRPr="00D0646F" w:rsidRDefault="00935C40" w:rsidP="00D0646F">
            <w:pPr>
              <w:pStyle w:val="ListParagraph"/>
              <w:spacing w:after="120" w:line="240" w:lineRule="auto"/>
              <w:ind w:left="0"/>
              <w:rPr>
                <w:rFonts w:ascii="Times New Roman" w:hAnsi="Times New Roman"/>
                <w:sz w:val="24"/>
                <w:szCs w:val="24"/>
              </w:rPr>
            </w:pPr>
          </w:p>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Ir jānodrošina publiskais finansējums jaunu riska kapitāla fondu izveidei (īpaši ar fokusu uz agrīnas stadijas uzņēmumiem), kas veicinās jaunu riska kapitāla fondu vadības komandu izveidi, gan privāto līdzekļu investīcijas straujas izaugsmes un augsti tehnoloģiskos uzņēmumos.</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rsidR="00935C40" w:rsidRPr="00D0646F" w:rsidRDefault="00935C40" w:rsidP="00D0646F">
            <w:pPr>
              <w:spacing w:after="120" w:line="240" w:lineRule="auto"/>
              <w:rPr>
                <w:rFonts w:ascii="Times New Roman" w:hAnsi="Times New Roman"/>
                <w:sz w:val="24"/>
                <w:szCs w:val="24"/>
              </w:rPr>
            </w:pPr>
            <w:r w:rsidRPr="00D0646F">
              <w:rPr>
                <w:rFonts w:ascii="Times New Roman" w:hAnsi="Times New Roman"/>
                <w:sz w:val="24"/>
                <w:szCs w:val="24"/>
              </w:rPr>
              <w:lastRenderedPageBreak/>
              <w:t xml:space="preserve">1. </w:t>
            </w:r>
            <w:r w:rsidR="009A163D">
              <w:rPr>
                <w:rFonts w:ascii="Times New Roman" w:hAnsi="Times New Roman"/>
                <w:sz w:val="24"/>
                <w:szCs w:val="24"/>
              </w:rPr>
              <w:t>31.12.2015.</w:t>
            </w:r>
          </w:p>
          <w:p w:rsidR="009A163D" w:rsidRDefault="00935C40" w:rsidP="009A163D">
            <w:pPr>
              <w:spacing w:after="120" w:line="240" w:lineRule="auto"/>
              <w:rPr>
                <w:rFonts w:ascii="Times New Roman" w:hAnsi="Times New Roman"/>
                <w:sz w:val="24"/>
                <w:szCs w:val="24"/>
              </w:rPr>
            </w:pPr>
            <w:r w:rsidRPr="00D0646F">
              <w:rPr>
                <w:rFonts w:ascii="Times New Roman" w:hAnsi="Times New Roman"/>
                <w:sz w:val="24"/>
                <w:szCs w:val="24"/>
              </w:rPr>
              <w:t xml:space="preserve">2. </w:t>
            </w:r>
          </w:p>
          <w:p w:rsidR="00935C40" w:rsidRPr="00D0646F" w:rsidRDefault="009A163D" w:rsidP="009A163D">
            <w:pPr>
              <w:spacing w:after="120" w:line="240" w:lineRule="auto"/>
              <w:rPr>
                <w:rFonts w:ascii="Times New Roman" w:hAnsi="Times New Roman"/>
                <w:sz w:val="24"/>
                <w:szCs w:val="24"/>
              </w:rPr>
            </w:pPr>
            <w:r>
              <w:rPr>
                <w:rFonts w:ascii="Times New Roman" w:hAnsi="Times New Roman"/>
                <w:sz w:val="24"/>
                <w:szCs w:val="24"/>
              </w:rPr>
              <w:t>31.12</w:t>
            </w:r>
            <w:r w:rsidR="00935C40" w:rsidRPr="00D0646F">
              <w:rPr>
                <w:rFonts w:ascii="Times New Roman" w:hAnsi="Times New Roman"/>
                <w:sz w:val="24"/>
                <w:szCs w:val="24"/>
              </w:rPr>
              <w:t>.201</w:t>
            </w:r>
            <w:r>
              <w:rPr>
                <w:rFonts w:ascii="Times New Roman" w:hAnsi="Times New Roman"/>
                <w:sz w:val="24"/>
                <w:szCs w:val="24"/>
              </w:rPr>
              <w:t>5.</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tcPr>
          <w:p w:rsidR="00935C40" w:rsidRPr="00D0646F" w:rsidRDefault="00935C40" w:rsidP="00D0646F">
            <w:pPr>
              <w:spacing w:after="120" w:line="240" w:lineRule="auto"/>
              <w:rPr>
                <w:rFonts w:ascii="Times New Roman" w:hAnsi="Times New Roman"/>
                <w:sz w:val="24"/>
                <w:szCs w:val="24"/>
              </w:rPr>
            </w:pPr>
            <w:r w:rsidRPr="00D0646F">
              <w:rPr>
                <w:rFonts w:ascii="Times New Roman" w:hAnsi="Times New Roman"/>
                <w:sz w:val="24"/>
                <w:szCs w:val="24"/>
              </w:rPr>
              <w:t>EM, AFI, FM</w:t>
            </w:r>
          </w:p>
        </w:tc>
        <w:tc>
          <w:tcPr>
            <w:tcW w:w="1253" w:type="pct"/>
            <w:tcBorders>
              <w:top w:val="single" w:sz="4" w:space="0" w:color="auto"/>
              <w:left w:val="single" w:sz="4" w:space="0" w:color="auto"/>
              <w:bottom w:val="single" w:sz="4" w:space="0" w:color="auto"/>
              <w:right w:val="single" w:sz="4" w:space="0" w:color="auto"/>
            </w:tcBorders>
            <w:shd w:val="clear" w:color="auto" w:fill="FFFFFF" w:themeFill="background1"/>
          </w:tcPr>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1. Apstiprināta valsts atbalsta programma.</w:t>
            </w:r>
          </w:p>
          <w:p w:rsidR="00935C40" w:rsidRPr="00D0646F" w:rsidRDefault="00935C40" w:rsidP="00D0646F">
            <w:pPr>
              <w:spacing w:after="120" w:line="240" w:lineRule="auto"/>
              <w:rPr>
                <w:rFonts w:ascii="Times New Roman" w:hAnsi="Times New Roman"/>
                <w:sz w:val="24"/>
                <w:szCs w:val="24"/>
              </w:rPr>
            </w:pPr>
            <w:r w:rsidRPr="00D0646F">
              <w:rPr>
                <w:rFonts w:ascii="Times New Roman" w:hAnsi="Times New Roman"/>
                <w:sz w:val="24"/>
                <w:szCs w:val="24"/>
              </w:rPr>
              <w:t xml:space="preserve">2. Veikta riska kapitāla fondu vadības komandu atlase. </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tcPr>
          <w:p w:rsidR="00935C40" w:rsidRPr="00D0646F" w:rsidRDefault="00935C40" w:rsidP="00D0646F">
            <w:pPr>
              <w:spacing w:after="120" w:line="240" w:lineRule="auto"/>
              <w:rPr>
                <w:rFonts w:ascii="Times New Roman" w:hAnsi="Times New Roman"/>
                <w:sz w:val="24"/>
                <w:szCs w:val="24"/>
              </w:rPr>
            </w:pPr>
            <w:r w:rsidRPr="00D0646F">
              <w:rPr>
                <w:rFonts w:ascii="Times New Roman" w:hAnsi="Times New Roman"/>
                <w:sz w:val="24"/>
                <w:szCs w:val="24"/>
              </w:rPr>
              <w:t xml:space="preserve">2014.-2020.gada </w:t>
            </w:r>
            <w:proofErr w:type="spellStart"/>
            <w:r w:rsidRPr="00D0646F">
              <w:rPr>
                <w:rFonts w:ascii="Times New Roman" w:hAnsi="Times New Roman"/>
                <w:sz w:val="24"/>
                <w:szCs w:val="24"/>
              </w:rPr>
              <w:t>Eiropas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Savienības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struktūrfondu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plānošanas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periodā</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lastRenderedPageBreak/>
              <w:t>finanšu</w:t>
            </w:r>
            <w:proofErr w:type="spellEnd"/>
            <w:r w:rsidRPr="00D0646F">
              <w:rPr>
                <w:rFonts w:ascii="Times New Roman" w:hAnsi="Times New Roman"/>
                <w:sz w:val="24"/>
                <w:szCs w:val="24"/>
              </w:rPr>
              <w:t xml:space="preserve"> </w:t>
            </w:r>
            <w:r w:rsidR="00EE3082">
              <w:rPr>
                <w:rFonts w:ascii="Times New Roman" w:hAnsi="Times New Roman"/>
                <w:sz w:val="24"/>
                <w:szCs w:val="24"/>
              </w:rPr>
              <w:t>instrument-</w:t>
            </w:r>
            <w:proofErr w:type="spellStart"/>
            <w:r w:rsidRPr="00D0646F">
              <w:rPr>
                <w:rFonts w:ascii="Times New Roman" w:hAnsi="Times New Roman"/>
                <w:sz w:val="24"/>
                <w:szCs w:val="24"/>
              </w:rPr>
              <w:t>tiem</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plānotais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finansē</w:t>
            </w:r>
            <w:r w:rsidR="00EE3082">
              <w:rPr>
                <w:rFonts w:ascii="Times New Roman" w:hAnsi="Times New Roman"/>
                <w:sz w:val="24"/>
                <w:szCs w:val="24"/>
              </w:rPr>
              <w:t>-</w:t>
            </w:r>
            <w:r w:rsidRPr="00D0646F">
              <w:rPr>
                <w:rFonts w:ascii="Times New Roman" w:hAnsi="Times New Roman"/>
                <w:sz w:val="24"/>
                <w:szCs w:val="24"/>
              </w:rPr>
              <w:t>jums</w:t>
            </w:r>
            <w:proofErr w:type="spellEnd"/>
            <w:r w:rsidRPr="00D0646F">
              <w:rPr>
                <w:rFonts w:ascii="Times New Roman" w:hAnsi="Times New Roman"/>
                <w:sz w:val="24"/>
                <w:szCs w:val="24"/>
              </w:rPr>
              <w:t>.</w:t>
            </w:r>
          </w:p>
        </w:tc>
      </w:tr>
    </w:tbl>
    <w:p w:rsidR="004517B6" w:rsidRPr="004517B6" w:rsidRDefault="004517B6" w:rsidP="004517B6">
      <w:pPr>
        <w:spacing w:after="120" w:line="240" w:lineRule="auto"/>
        <w:jc w:val="both"/>
        <w:rPr>
          <w:rFonts w:ascii="Times New Roman" w:eastAsia="Times New Roman" w:hAnsi="Times New Roman" w:cs="Times New Roman"/>
          <w:sz w:val="28"/>
          <w:szCs w:val="28"/>
          <w:lang w:val="lv-LV" w:eastAsia="lv-LV"/>
        </w:rPr>
      </w:pPr>
    </w:p>
    <w:p w:rsidR="002A255F" w:rsidRPr="004517B6" w:rsidRDefault="002A255F" w:rsidP="004517B6">
      <w:pPr>
        <w:spacing w:after="120" w:line="240" w:lineRule="auto"/>
        <w:jc w:val="both"/>
        <w:rPr>
          <w:rFonts w:ascii="Times New Roman" w:eastAsia="Times New Roman" w:hAnsi="Times New Roman" w:cs="Times New Roman"/>
          <w:sz w:val="28"/>
          <w:szCs w:val="28"/>
          <w:lang w:val="lv-LV" w:eastAsia="lv-LV"/>
        </w:rPr>
      </w:pPr>
    </w:p>
    <w:p w:rsidR="00935C40" w:rsidRDefault="00935C40" w:rsidP="00935C40">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sidRPr="00935C40">
        <w:rPr>
          <w:rFonts w:ascii="Times New Roman" w:eastAsia="Times New Roman" w:hAnsi="Times New Roman" w:cs="Times New Roman"/>
          <w:sz w:val="28"/>
          <w:szCs w:val="28"/>
          <w:lang w:val="lv-LV" w:eastAsia="lv-LV"/>
        </w:rPr>
        <w:t xml:space="preserve">papildināt pielikuma “Finanšu sektora attīstības plānā 2014.-2016.gadam paredzētie pasākumi” 5.sadaļas “Alternatīvie finansējuma veidi” </w:t>
      </w:r>
      <w:r>
        <w:rPr>
          <w:rFonts w:ascii="Times New Roman" w:eastAsia="Times New Roman" w:hAnsi="Times New Roman" w:cs="Times New Roman"/>
          <w:sz w:val="28"/>
          <w:szCs w:val="28"/>
          <w:lang w:val="lv-LV" w:eastAsia="lv-LV"/>
        </w:rPr>
        <w:t xml:space="preserve">ar </w:t>
      </w:r>
      <w:r w:rsidRPr="00935C40">
        <w:rPr>
          <w:rFonts w:ascii="Times New Roman" w:eastAsia="Times New Roman" w:hAnsi="Times New Roman" w:cs="Times New Roman"/>
          <w:sz w:val="28"/>
          <w:szCs w:val="28"/>
          <w:lang w:val="lv-LV" w:eastAsia="lv-LV"/>
        </w:rPr>
        <w:t>rīcības virzienu mērķa sasniegšanai 5.5. “Izstrādāt neitrālu nodokļu regulējumu alternatīvajiem ieguldījumu fondiem, lai efektīvā nodokļu likme (slogs) nemazinātos, salīdzinot ar regulējumu kāds bija 2013.gadā” šādā redakcijā:</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177"/>
        <w:gridCol w:w="2225"/>
        <w:gridCol w:w="1277"/>
      </w:tblGrid>
      <w:tr w:rsidR="00935C40" w:rsidRPr="00935C40" w:rsidTr="00935C40">
        <w:tc>
          <w:tcPr>
            <w:tcW w:w="1391" w:type="pct"/>
          </w:tcPr>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5.5. Izstrādāt neitrālu nodokļu regulējumu alternatīvajiem ieguldījumu fondiem, lai efektīvā nodokļu likme (slogs) nemazinātos, salīdzinot ar regulējumu kāds bija 2013.gadā.  </w:t>
            </w:r>
          </w:p>
        </w:tc>
        <w:tc>
          <w:tcPr>
            <w:tcW w:w="902" w:type="pct"/>
            <w:tcBorders>
              <w:top w:val="single" w:sz="4" w:space="0" w:color="auto"/>
              <w:left w:val="single" w:sz="4" w:space="0" w:color="auto"/>
              <w:bottom w:val="single" w:sz="4" w:space="0" w:color="auto"/>
              <w:right w:val="single" w:sz="4" w:space="0" w:color="auto"/>
            </w:tcBorders>
          </w:tcPr>
          <w:p w:rsidR="00935C40" w:rsidRPr="00D0646F" w:rsidRDefault="009A163D" w:rsidP="00D0646F">
            <w:pPr>
              <w:pStyle w:val="ListParagraph"/>
              <w:spacing w:after="120" w:line="240" w:lineRule="auto"/>
              <w:ind w:left="0"/>
              <w:rPr>
                <w:rFonts w:ascii="Times New Roman" w:hAnsi="Times New Roman"/>
                <w:sz w:val="24"/>
                <w:szCs w:val="24"/>
              </w:rPr>
            </w:pPr>
            <w:r>
              <w:rPr>
                <w:rFonts w:ascii="Times New Roman" w:hAnsi="Times New Roman"/>
                <w:sz w:val="24"/>
                <w:szCs w:val="24"/>
              </w:rPr>
              <w:t>31.12.2014.</w:t>
            </w:r>
          </w:p>
        </w:tc>
        <w:tc>
          <w:tcPr>
            <w:tcW w:w="681" w:type="pct"/>
            <w:tcBorders>
              <w:top w:val="single" w:sz="4" w:space="0" w:color="auto"/>
              <w:left w:val="single" w:sz="4" w:space="0" w:color="auto"/>
              <w:bottom w:val="single" w:sz="4" w:space="0" w:color="auto"/>
              <w:right w:val="single" w:sz="4" w:space="0" w:color="auto"/>
            </w:tcBorders>
          </w:tcPr>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FM</w:t>
            </w:r>
          </w:p>
        </w:tc>
        <w:tc>
          <w:tcPr>
            <w:tcW w:w="1287" w:type="pct"/>
            <w:tcBorders>
              <w:top w:val="single" w:sz="4" w:space="0" w:color="auto"/>
              <w:left w:val="single" w:sz="4" w:space="0" w:color="auto"/>
              <w:bottom w:val="single" w:sz="4" w:space="0" w:color="auto"/>
              <w:right w:val="single" w:sz="4" w:space="0" w:color="auto"/>
            </w:tcBorders>
          </w:tcPr>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Sagatavot grozījumus nodokļu normatīvajos aktos, paredzot neitrālu nodokļu režīmu alternatīvajiem ieguldījumu fondiem.</w:t>
            </w:r>
          </w:p>
        </w:tc>
        <w:tc>
          <w:tcPr>
            <w:tcW w:w="739" w:type="pct"/>
            <w:tcBorders>
              <w:top w:val="single" w:sz="4" w:space="0" w:color="auto"/>
              <w:left w:val="single" w:sz="4" w:space="0" w:color="auto"/>
              <w:bottom w:val="single" w:sz="4" w:space="0" w:color="auto"/>
              <w:right w:val="single" w:sz="4" w:space="0" w:color="auto"/>
            </w:tcBorders>
          </w:tcPr>
          <w:p w:rsidR="00935C40" w:rsidRPr="00D0646F" w:rsidRDefault="00935C40"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FM budžeta ietvaros</w:t>
            </w:r>
            <w:r w:rsidR="00EE3082">
              <w:rPr>
                <w:rFonts w:ascii="Times New Roman" w:hAnsi="Times New Roman"/>
                <w:sz w:val="24"/>
                <w:szCs w:val="24"/>
              </w:rPr>
              <w:t>.</w:t>
            </w:r>
          </w:p>
        </w:tc>
      </w:tr>
    </w:tbl>
    <w:p w:rsidR="00935C40" w:rsidRDefault="00935C40" w:rsidP="00935C40">
      <w:pPr>
        <w:spacing w:after="120" w:line="240" w:lineRule="auto"/>
        <w:jc w:val="both"/>
        <w:rPr>
          <w:rFonts w:ascii="Times New Roman" w:eastAsia="Times New Roman" w:hAnsi="Times New Roman" w:cs="Times New Roman"/>
          <w:sz w:val="28"/>
          <w:szCs w:val="28"/>
          <w:lang w:val="lv-LV" w:eastAsia="lv-LV"/>
        </w:rPr>
      </w:pPr>
    </w:p>
    <w:p w:rsidR="003F03AD" w:rsidRPr="00935C40" w:rsidRDefault="003F03AD" w:rsidP="00935C40">
      <w:pPr>
        <w:spacing w:after="120" w:line="240" w:lineRule="auto"/>
        <w:jc w:val="both"/>
        <w:rPr>
          <w:rFonts w:ascii="Times New Roman" w:eastAsia="Times New Roman" w:hAnsi="Times New Roman" w:cs="Times New Roman"/>
          <w:sz w:val="28"/>
          <w:szCs w:val="28"/>
          <w:lang w:val="lv-LV" w:eastAsia="lv-LV"/>
        </w:rPr>
      </w:pPr>
    </w:p>
    <w:p w:rsidR="00935C40" w:rsidRDefault="00935C40" w:rsidP="00935C40">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sidRPr="00935C40">
        <w:rPr>
          <w:rFonts w:ascii="Times New Roman" w:eastAsia="Times New Roman" w:hAnsi="Times New Roman" w:cs="Times New Roman"/>
          <w:sz w:val="28"/>
          <w:szCs w:val="28"/>
          <w:lang w:val="lv-LV" w:eastAsia="lv-LV"/>
        </w:rPr>
        <w:t xml:space="preserve">papildināt pielikuma “Finanšu sektora attīstības plānā 2014.-2016.gadam paredzētie pasākumi” </w:t>
      </w:r>
      <w:r w:rsidR="00B1681F">
        <w:rPr>
          <w:rFonts w:ascii="Times New Roman" w:eastAsia="Times New Roman" w:hAnsi="Times New Roman" w:cs="Times New Roman"/>
          <w:sz w:val="28"/>
          <w:szCs w:val="28"/>
          <w:lang w:val="lv-LV" w:eastAsia="lv-LV"/>
        </w:rPr>
        <w:t>6</w:t>
      </w:r>
      <w:r w:rsidRPr="00935C40">
        <w:rPr>
          <w:rFonts w:ascii="Times New Roman" w:eastAsia="Times New Roman" w:hAnsi="Times New Roman" w:cs="Times New Roman"/>
          <w:sz w:val="28"/>
          <w:szCs w:val="28"/>
          <w:lang w:val="lv-LV" w:eastAsia="lv-LV"/>
        </w:rPr>
        <w:t>.sadaļas “</w:t>
      </w:r>
      <w:r w:rsidR="00B1681F">
        <w:rPr>
          <w:rFonts w:ascii="Times New Roman" w:eastAsia="Times New Roman" w:hAnsi="Times New Roman" w:cs="Times New Roman"/>
          <w:sz w:val="28"/>
          <w:szCs w:val="28"/>
          <w:lang w:val="lv-LV" w:eastAsia="lv-LV"/>
        </w:rPr>
        <w:t xml:space="preserve">Finanšu </w:t>
      </w:r>
      <w:proofErr w:type="spellStart"/>
      <w:r w:rsidR="00B1681F">
        <w:rPr>
          <w:rFonts w:ascii="Times New Roman" w:eastAsia="Times New Roman" w:hAnsi="Times New Roman" w:cs="Times New Roman"/>
          <w:sz w:val="28"/>
          <w:szCs w:val="28"/>
          <w:lang w:val="lv-LV" w:eastAsia="lv-LV"/>
        </w:rPr>
        <w:t>pratība</w:t>
      </w:r>
      <w:proofErr w:type="spellEnd"/>
      <w:r w:rsidRPr="00935C40">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ar </w:t>
      </w:r>
      <w:r w:rsidRPr="00935C40">
        <w:rPr>
          <w:rFonts w:ascii="Times New Roman" w:eastAsia="Times New Roman" w:hAnsi="Times New Roman" w:cs="Times New Roman"/>
          <w:sz w:val="28"/>
          <w:szCs w:val="28"/>
          <w:lang w:val="lv-LV" w:eastAsia="lv-LV"/>
        </w:rPr>
        <w:t xml:space="preserve">rīcības virzienu mērķa sasniegšanai </w:t>
      </w:r>
      <w:r w:rsidR="00B1681F">
        <w:rPr>
          <w:rFonts w:ascii="Times New Roman" w:eastAsia="Times New Roman" w:hAnsi="Times New Roman" w:cs="Times New Roman"/>
          <w:sz w:val="28"/>
          <w:szCs w:val="28"/>
          <w:lang w:val="lv-LV" w:eastAsia="lv-LV"/>
        </w:rPr>
        <w:t>6</w:t>
      </w:r>
      <w:r w:rsidRPr="00935C40">
        <w:rPr>
          <w:rFonts w:ascii="Times New Roman" w:eastAsia="Times New Roman" w:hAnsi="Times New Roman" w:cs="Times New Roman"/>
          <w:sz w:val="28"/>
          <w:szCs w:val="28"/>
          <w:lang w:val="lv-LV" w:eastAsia="lv-LV"/>
        </w:rPr>
        <w:t>.</w:t>
      </w:r>
      <w:r w:rsidR="00B1681F">
        <w:rPr>
          <w:rFonts w:ascii="Times New Roman" w:eastAsia="Times New Roman" w:hAnsi="Times New Roman" w:cs="Times New Roman"/>
          <w:sz w:val="28"/>
          <w:szCs w:val="28"/>
          <w:lang w:val="lv-LV" w:eastAsia="lv-LV"/>
        </w:rPr>
        <w:t>3</w:t>
      </w:r>
      <w:r w:rsidRPr="00935C40">
        <w:rPr>
          <w:rFonts w:ascii="Times New Roman" w:eastAsia="Times New Roman" w:hAnsi="Times New Roman" w:cs="Times New Roman"/>
          <w:sz w:val="28"/>
          <w:szCs w:val="28"/>
          <w:lang w:val="lv-LV" w:eastAsia="lv-LV"/>
        </w:rPr>
        <w:t>. “</w:t>
      </w:r>
      <w:r w:rsidR="00B1681F">
        <w:rPr>
          <w:rFonts w:ascii="Times New Roman" w:eastAsia="Times New Roman" w:hAnsi="Times New Roman" w:cs="Times New Roman"/>
          <w:sz w:val="28"/>
          <w:szCs w:val="28"/>
          <w:lang w:val="lv-LV" w:eastAsia="lv-LV"/>
        </w:rPr>
        <w:t>Riska kapitāla pārvaldības atbalsts</w:t>
      </w:r>
      <w:r w:rsidRPr="00935C40">
        <w:rPr>
          <w:rFonts w:ascii="Times New Roman" w:eastAsia="Times New Roman" w:hAnsi="Times New Roman" w:cs="Times New Roman"/>
          <w:sz w:val="28"/>
          <w:szCs w:val="28"/>
          <w:lang w:val="lv-LV" w:eastAsia="lv-LV"/>
        </w:rPr>
        <w:t>” šādā redakcijā:</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177"/>
        <w:gridCol w:w="2166"/>
        <w:gridCol w:w="1336"/>
      </w:tblGrid>
      <w:tr w:rsidR="00B1681F" w:rsidRPr="00B1681F" w:rsidTr="00B1681F">
        <w:tc>
          <w:tcPr>
            <w:tcW w:w="1391" w:type="pct"/>
            <w:tcBorders>
              <w:bottom w:val="dashSmallGap" w:sz="4" w:space="0" w:color="auto"/>
            </w:tcBorders>
          </w:tcPr>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6.3. Riska kapitāla pārvaldības atbalsts</w:t>
            </w: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Rīcībai:</w:t>
            </w:r>
          </w:p>
          <w:p w:rsidR="00F858FF" w:rsidRPr="00D0646F" w:rsidRDefault="00F858FF" w:rsidP="00D0646F">
            <w:pPr>
              <w:pStyle w:val="ListParagraph"/>
              <w:spacing w:after="120" w:line="240" w:lineRule="auto"/>
              <w:ind w:left="0"/>
              <w:rPr>
                <w:rFonts w:ascii="Times New Roman" w:hAnsi="Times New Roman"/>
                <w:sz w:val="24"/>
                <w:szCs w:val="24"/>
              </w:rPr>
            </w:pP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 (1) Atbalstīt riska kapitāla pārvaldnieku apmācību par riska kapitāla pārvaldības jautājumiem </w:t>
            </w:r>
          </w:p>
          <w:p w:rsidR="00B1681F" w:rsidRPr="00D0646F" w:rsidRDefault="00B1681F" w:rsidP="00D0646F">
            <w:pPr>
              <w:pStyle w:val="ListParagraph"/>
              <w:spacing w:after="120" w:line="240" w:lineRule="auto"/>
              <w:ind w:left="0"/>
              <w:rPr>
                <w:rFonts w:ascii="Times New Roman" w:hAnsi="Times New Roman"/>
                <w:sz w:val="24"/>
                <w:szCs w:val="24"/>
              </w:rPr>
            </w:pPr>
          </w:p>
        </w:tc>
        <w:tc>
          <w:tcPr>
            <w:tcW w:w="902" w:type="pct"/>
            <w:tcBorders>
              <w:top w:val="single" w:sz="4" w:space="0" w:color="auto"/>
              <w:left w:val="single" w:sz="4" w:space="0" w:color="auto"/>
              <w:bottom w:val="dashSmallGap" w:sz="4" w:space="0" w:color="auto"/>
              <w:right w:val="single" w:sz="4" w:space="0" w:color="auto"/>
            </w:tcBorders>
          </w:tcPr>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31.12.2015</w:t>
            </w:r>
            <w:r w:rsidR="009A163D">
              <w:rPr>
                <w:rFonts w:ascii="Times New Roman" w:hAnsi="Times New Roman"/>
                <w:sz w:val="24"/>
                <w:szCs w:val="24"/>
              </w:rPr>
              <w:t>.</w:t>
            </w:r>
          </w:p>
        </w:tc>
        <w:tc>
          <w:tcPr>
            <w:tcW w:w="681" w:type="pct"/>
            <w:tcBorders>
              <w:top w:val="single" w:sz="4" w:space="0" w:color="auto"/>
              <w:left w:val="single" w:sz="4" w:space="0" w:color="auto"/>
              <w:bottom w:val="dashSmallGap" w:sz="4" w:space="0" w:color="auto"/>
              <w:right w:val="single" w:sz="4" w:space="0" w:color="auto"/>
            </w:tcBorders>
          </w:tcPr>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EM, AFI, FM</w:t>
            </w:r>
          </w:p>
        </w:tc>
        <w:tc>
          <w:tcPr>
            <w:tcW w:w="1253" w:type="pct"/>
            <w:tcBorders>
              <w:bottom w:val="dashSmallGap" w:sz="4" w:space="0" w:color="auto"/>
            </w:tcBorders>
          </w:tcPr>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C860A3" w:rsidRPr="00D0646F" w:rsidRDefault="00C860A3" w:rsidP="00D0646F">
            <w:pPr>
              <w:pStyle w:val="ListParagraph"/>
              <w:spacing w:after="120" w:line="240" w:lineRule="auto"/>
              <w:ind w:left="0"/>
              <w:rPr>
                <w:rFonts w:ascii="Times New Roman" w:hAnsi="Times New Roman"/>
                <w:sz w:val="24"/>
                <w:szCs w:val="24"/>
              </w:rPr>
            </w:pP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Izstrādāt  riska kapitāla pārvaldnieku apmācības pasākumus.</w:t>
            </w:r>
          </w:p>
          <w:p w:rsidR="00B1681F" w:rsidRPr="00D0646F" w:rsidRDefault="00B1681F" w:rsidP="00D0646F">
            <w:pPr>
              <w:pStyle w:val="ListParagraph"/>
              <w:spacing w:after="120" w:line="240" w:lineRule="auto"/>
              <w:ind w:left="0"/>
              <w:rPr>
                <w:rFonts w:ascii="Times New Roman" w:hAnsi="Times New Roman"/>
                <w:sz w:val="24"/>
                <w:szCs w:val="24"/>
              </w:rPr>
            </w:pPr>
          </w:p>
        </w:tc>
        <w:tc>
          <w:tcPr>
            <w:tcW w:w="773" w:type="pct"/>
            <w:tcBorders>
              <w:top w:val="single" w:sz="4" w:space="0" w:color="auto"/>
              <w:left w:val="single" w:sz="4" w:space="0" w:color="auto"/>
              <w:bottom w:val="dashSmallGap" w:sz="4" w:space="0" w:color="auto"/>
              <w:right w:val="single" w:sz="4" w:space="0" w:color="auto"/>
            </w:tcBorders>
          </w:tcPr>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F858FF" w:rsidRPr="00D0646F" w:rsidRDefault="00F858FF" w:rsidP="00D0646F">
            <w:pPr>
              <w:pStyle w:val="ListParagraph"/>
              <w:spacing w:after="120" w:line="240" w:lineRule="auto"/>
              <w:ind w:left="0"/>
              <w:rPr>
                <w:rFonts w:ascii="Times New Roman" w:hAnsi="Times New Roman"/>
                <w:sz w:val="24"/>
                <w:szCs w:val="24"/>
              </w:rPr>
            </w:pP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1) </w:t>
            </w:r>
            <w:proofErr w:type="spellStart"/>
            <w:r w:rsidRPr="00D0646F">
              <w:rPr>
                <w:rFonts w:ascii="Times New Roman" w:hAnsi="Times New Roman"/>
                <w:sz w:val="24"/>
                <w:szCs w:val="24"/>
              </w:rPr>
              <w:t>Eiropas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Savienības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struktūr</w:t>
            </w:r>
            <w:r w:rsidR="00D0646F">
              <w:rPr>
                <w:rFonts w:ascii="Times New Roman" w:hAnsi="Times New Roman"/>
                <w:sz w:val="24"/>
                <w:szCs w:val="24"/>
              </w:rPr>
              <w:t>-</w:t>
            </w:r>
            <w:r w:rsidRPr="00D0646F">
              <w:rPr>
                <w:rFonts w:ascii="Times New Roman" w:hAnsi="Times New Roman"/>
                <w:sz w:val="24"/>
                <w:szCs w:val="24"/>
              </w:rPr>
              <w:t>fondu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programmu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finansē</w:t>
            </w:r>
            <w:r w:rsidR="00D0646F">
              <w:rPr>
                <w:rFonts w:ascii="Times New Roman" w:hAnsi="Times New Roman"/>
                <w:sz w:val="24"/>
                <w:szCs w:val="24"/>
              </w:rPr>
              <w:t>-</w:t>
            </w:r>
            <w:r w:rsidRPr="00D0646F">
              <w:rPr>
                <w:rFonts w:ascii="Times New Roman" w:hAnsi="Times New Roman"/>
                <w:sz w:val="24"/>
                <w:szCs w:val="24"/>
              </w:rPr>
              <w:t>jums</w:t>
            </w:r>
            <w:proofErr w:type="spellEnd"/>
            <w:r w:rsidRPr="00D0646F">
              <w:rPr>
                <w:rFonts w:ascii="Times New Roman" w:hAnsi="Times New Roman"/>
                <w:sz w:val="24"/>
                <w:szCs w:val="24"/>
              </w:rPr>
              <w:t xml:space="preserve"> 2014</w:t>
            </w:r>
            <w:proofErr w:type="gramStart"/>
            <w:r w:rsidRPr="00D0646F">
              <w:rPr>
                <w:rFonts w:ascii="Times New Roman" w:hAnsi="Times New Roman"/>
                <w:sz w:val="24"/>
                <w:szCs w:val="24"/>
              </w:rPr>
              <w:t>.-</w:t>
            </w:r>
            <w:proofErr w:type="gramEnd"/>
            <w:r w:rsidRPr="00D0646F">
              <w:rPr>
                <w:rFonts w:ascii="Times New Roman" w:hAnsi="Times New Roman"/>
                <w:sz w:val="24"/>
                <w:szCs w:val="24"/>
              </w:rPr>
              <w:t xml:space="preserve"> 2020.g. plānošanas periodā. </w:t>
            </w:r>
          </w:p>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2) </w:t>
            </w:r>
            <w:proofErr w:type="spellStart"/>
            <w:r w:rsidRPr="00D0646F">
              <w:rPr>
                <w:rFonts w:ascii="Times New Roman" w:hAnsi="Times New Roman"/>
                <w:sz w:val="24"/>
                <w:szCs w:val="24"/>
              </w:rPr>
              <w:t>E</w:t>
            </w:r>
            <w:r w:rsidR="00D0646F">
              <w:rPr>
                <w:rFonts w:ascii="Times New Roman" w:hAnsi="Times New Roman"/>
                <w:sz w:val="24"/>
                <w:szCs w:val="24"/>
              </w:rPr>
              <w:t>iropas</w:t>
            </w:r>
            <w:proofErr w:type="spellEnd"/>
            <w:r w:rsidR="00D0646F">
              <w:rPr>
                <w:rFonts w:ascii="Times New Roman" w:hAnsi="Times New Roman"/>
                <w:sz w:val="24"/>
                <w:szCs w:val="24"/>
              </w:rPr>
              <w:t xml:space="preserve"> </w:t>
            </w:r>
            <w:proofErr w:type="spellStart"/>
            <w:r w:rsidRPr="00D0646F">
              <w:rPr>
                <w:rFonts w:ascii="Times New Roman" w:hAnsi="Times New Roman"/>
                <w:sz w:val="24"/>
                <w:szCs w:val="24"/>
              </w:rPr>
              <w:t>R</w:t>
            </w:r>
            <w:r w:rsidR="00D0646F">
              <w:rPr>
                <w:rFonts w:ascii="Times New Roman" w:hAnsi="Times New Roman"/>
                <w:sz w:val="24"/>
                <w:szCs w:val="24"/>
              </w:rPr>
              <w:t>ekon-strukcijas</w:t>
            </w:r>
            <w:proofErr w:type="spellEnd"/>
            <w:r w:rsidR="00D0646F">
              <w:rPr>
                <w:rFonts w:ascii="Times New Roman" w:hAnsi="Times New Roman"/>
                <w:sz w:val="24"/>
                <w:szCs w:val="24"/>
              </w:rPr>
              <w:t xml:space="preserve"> un </w:t>
            </w:r>
            <w:proofErr w:type="spellStart"/>
            <w:r w:rsidR="00D0646F">
              <w:rPr>
                <w:rFonts w:ascii="Times New Roman" w:hAnsi="Times New Roman"/>
                <w:sz w:val="24"/>
                <w:szCs w:val="24"/>
              </w:rPr>
              <w:t>attīstības</w:t>
            </w:r>
            <w:proofErr w:type="spellEnd"/>
            <w:r w:rsidR="00D0646F">
              <w:rPr>
                <w:rFonts w:ascii="Times New Roman" w:hAnsi="Times New Roman"/>
                <w:sz w:val="24"/>
                <w:szCs w:val="24"/>
              </w:rPr>
              <w:t xml:space="preserve"> </w:t>
            </w:r>
            <w:proofErr w:type="spellStart"/>
            <w:r w:rsidR="00D0646F">
              <w:rPr>
                <w:rFonts w:ascii="Times New Roman" w:hAnsi="Times New Roman"/>
                <w:sz w:val="24"/>
                <w:szCs w:val="24"/>
              </w:rPr>
              <w:t>bankas</w:t>
            </w:r>
            <w:proofErr w:type="spellEnd"/>
            <w:r w:rsidR="00D0646F">
              <w:rPr>
                <w:rFonts w:ascii="Times New Roman" w:hAnsi="Times New Roman"/>
                <w:sz w:val="24"/>
                <w:szCs w:val="24"/>
              </w:rPr>
              <w:t xml:space="preserve"> (ERAB) </w:t>
            </w:r>
            <w:proofErr w:type="spellStart"/>
            <w:r w:rsidRPr="00D0646F">
              <w:rPr>
                <w:rFonts w:ascii="Times New Roman" w:hAnsi="Times New Roman"/>
                <w:sz w:val="24"/>
                <w:szCs w:val="24"/>
              </w:rPr>
              <w:t>tehniskās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palīdzības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projektu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ietvaros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Latvijai</w:t>
            </w:r>
            <w:proofErr w:type="spellEnd"/>
            <w:r w:rsidRPr="00D0646F">
              <w:rPr>
                <w:rFonts w:ascii="Times New Roman" w:hAnsi="Times New Roman"/>
                <w:sz w:val="24"/>
                <w:szCs w:val="24"/>
              </w:rPr>
              <w:t>.</w:t>
            </w:r>
          </w:p>
        </w:tc>
      </w:tr>
      <w:tr w:rsidR="00B1681F" w:rsidRPr="00B1681F" w:rsidTr="00B1681F">
        <w:tc>
          <w:tcPr>
            <w:tcW w:w="1391" w:type="pct"/>
            <w:tcBorders>
              <w:top w:val="dashSmallGap" w:sz="4" w:space="0" w:color="auto"/>
            </w:tcBorders>
          </w:tcPr>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(2) Veicināt profesionālu riska kapitāla pārvaldīšanas komandu izveidošanos un attīstību</w:t>
            </w:r>
          </w:p>
        </w:tc>
        <w:tc>
          <w:tcPr>
            <w:tcW w:w="902" w:type="pct"/>
            <w:tcBorders>
              <w:top w:val="dashSmallGap" w:sz="4" w:space="0" w:color="auto"/>
              <w:left w:val="single" w:sz="4" w:space="0" w:color="auto"/>
              <w:bottom w:val="single" w:sz="4" w:space="0" w:color="auto"/>
              <w:right w:val="single" w:sz="4" w:space="0" w:color="auto"/>
            </w:tcBorders>
          </w:tcPr>
          <w:p w:rsidR="00B1681F" w:rsidRPr="00D0646F" w:rsidRDefault="00B1681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31.12.2015</w:t>
            </w:r>
            <w:r w:rsidR="009A163D">
              <w:rPr>
                <w:rFonts w:ascii="Times New Roman" w:hAnsi="Times New Roman"/>
                <w:sz w:val="24"/>
                <w:szCs w:val="24"/>
              </w:rPr>
              <w:t>.</w:t>
            </w:r>
          </w:p>
        </w:tc>
        <w:tc>
          <w:tcPr>
            <w:tcW w:w="681" w:type="pct"/>
            <w:tcBorders>
              <w:top w:val="dashSmallGap" w:sz="4" w:space="0" w:color="auto"/>
              <w:left w:val="single" w:sz="4" w:space="0" w:color="auto"/>
              <w:bottom w:val="single" w:sz="4" w:space="0" w:color="auto"/>
              <w:right w:val="single" w:sz="4" w:space="0" w:color="auto"/>
            </w:tcBorders>
          </w:tcPr>
          <w:p w:rsidR="00B1681F" w:rsidRPr="00D0646F" w:rsidRDefault="00B1681F" w:rsidP="00556C84">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EM, AFI, FM</w:t>
            </w:r>
          </w:p>
        </w:tc>
        <w:tc>
          <w:tcPr>
            <w:tcW w:w="1253" w:type="pct"/>
            <w:tcBorders>
              <w:top w:val="dashSmallGap" w:sz="4" w:space="0" w:color="auto"/>
            </w:tcBorders>
          </w:tcPr>
          <w:p w:rsidR="00B1681F" w:rsidRPr="00D0646F" w:rsidRDefault="00B1681F" w:rsidP="00D0646F">
            <w:pPr>
              <w:pStyle w:val="ListParagraph"/>
              <w:spacing w:after="120" w:line="240" w:lineRule="auto"/>
              <w:ind w:left="0"/>
              <w:rPr>
                <w:rFonts w:ascii="Times New Roman" w:hAnsi="Times New Roman"/>
                <w:sz w:val="24"/>
                <w:szCs w:val="24"/>
              </w:rPr>
            </w:pPr>
            <w:proofErr w:type="spellStart"/>
            <w:r w:rsidRPr="00D0646F">
              <w:rPr>
                <w:rFonts w:ascii="Times New Roman" w:hAnsi="Times New Roman"/>
                <w:sz w:val="24"/>
                <w:szCs w:val="24"/>
              </w:rPr>
              <w:t>Izstrādāt</w:t>
            </w:r>
            <w:proofErr w:type="spellEnd"/>
            <w:r w:rsidRPr="00D0646F">
              <w:rPr>
                <w:rFonts w:ascii="Times New Roman" w:hAnsi="Times New Roman"/>
                <w:sz w:val="24"/>
                <w:szCs w:val="24"/>
              </w:rPr>
              <w:t xml:space="preserve"> </w:t>
            </w:r>
            <w:proofErr w:type="spellStart"/>
            <w:r w:rsidR="00F858FF" w:rsidRPr="00D0646F">
              <w:rPr>
                <w:rFonts w:ascii="Times New Roman" w:hAnsi="Times New Roman"/>
                <w:sz w:val="24"/>
                <w:szCs w:val="24"/>
              </w:rPr>
              <w:t>programmu</w:t>
            </w:r>
            <w:proofErr w:type="spellEnd"/>
            <w:r w:rsidR="00F858FF" w:rsidRPr="00D0646F">
              <w:rPr>
                <w:rFonts w:ascii="Times New Roman" w:hAnsi="Times New Roman"/>
                <w:sz w:val="24"/>
                <w:szCs w:val="24"/>
              </w:rPr>
              <w:t xml:space="preserve"> </w:t>
            </w:r>
            <w:proofErr w:type="spellStart"/>
            <w:r w:rsidR="00F858FF" w:rsidRPr="00D0646F">
              <w:rPr>
                <w:rFonts w:ascii="Times New Roman" w:hAnsi="Times New Roman"/>
                <w:sz w:val="24"/>
                <w:szCs w:val="24"/>
              </w:rPr>
              <w:t>atbalsta</w:t>
            </w:r>
            <w:proofErr w:type="spellEnd"/>
            <w:r w:rsidR="00F858FF" w:rsidRPr="00D0646F">
              <w:rPr>
                <w:rFonts w:ascii="Times New Roman" w:hAnsi="Times New Roman"/>
                <w:sz w:val="24"/>
                <w:szCs w:val="24"/>
              </w:rPr>
              <w:t xml:space="preserve"> </w:t>
            </w:r>
            <w:proofErr w:type="spellStart"/>
            <w:r w:rsidR="00F858FF" w:rsidRPr="00D0646F">
              <w:rPr>
                <w:rFonts w:ascii="Times New Roman" w:hAnsi="Times New Roman"/>
                <w:sz w:val="24"/>
                <w:szCs w:val="24"/>
              </w:rPr>
              <w:t>pasākumiem</w:t>
            </w:r>
            <w:proofErr w:type="spellEnd"/>
            <w:r w:rsidR="00F858FF" w:rsidRPr="00D0646F">
              <w:rPr>
                <w:rFonts w:ascii="Times New Roman" w:hAnsi="Times New Roman"/>
                <w:sz w:val="24"/>
                <w:szCs w:val="24"/>
              </w:rPr>
              <w:t xml:space="preserve"> </w:t>
            </w:r>
            <w:proofErr w:type="spellStart"/>
            <w:r w:rsidRPr="00D0646F">
              <w:rPr>
                <w:rFonts w:ascii="Times New Roman" w:hAnsi="Times New Roman"/>
                <w:sz w:val="24"/>
                <w:szCs w:val="24"/>
              </w:rPr>
              <w:t>profesionālu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riska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kapitāla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pārvaldīšanas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komandu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izveidošan</w:t>
            </w:r>
            <w:r w:rsidR="00F858FF" w:rsidRPr="00D0646F">
              <w:rPr>
                <w:rFonts w:ascii="Times New Roman" w:hAnsi="Times New Roman"/>
                <w:sz w:val="24"/>
                <w:szCs w:val="24"/>
              </w:rPr>
              <w:t>ai</w:t>
            </w:r>
            <w:proofErr w:type="spellEnd"/>
            <w:r w:rsidRPr="00D0646F">
              <w:rPr>
                <w:rFonts w:ascii="Times New Roman" w:hAnsi="Times New Roman"/>
                <w:sz w:val="24"/>
                <w:szCs w:val="24"/>
              </w:rPr>
              <w:t xml:space="preserve"> un </w:t>
            </w:r>
            <w:proofErr w:type="spellStart"/>
            <w:r w:rsidRPr="00D0646F">
              <w:rPr>
                <w:rFonts w:ascii="Times New Roman" w:hAnsi="Times New Roman"/>
                <w:sz w:val="24"/>
                <w:szCs w:val="24"/>
              </w:rPr>
              <w:t>attīstīb</w:t>
            </w:r>
            <w:r w:rsidR="00F858FF" w:rsidRPr="00D0646F">
              <w:rPr>
                <w:rFonts w:ascii="Times New Roman" w:hAnsi="Times New Roman"/>
                <w:sz w:val="24"/>
                <w:szCs w:val="24"/>
              </w:rPr>
              <w:t>as</w:t>
            </w:r>
            <w:proofErr w:type="spellEnd"/>
            <w:r w:rsidR="00F858FF" w:rsidRPr="00D0646F">
              <w:rPr>
                <w:rFonts w:ascii="Times New Roman" w:hAnsi="Times New Roman"/>
                <w:sz w:val="24"/>
                <w:szCs w:val="24"/>
              </w:rPr>
              <w:t xml:space="preserve"> </w:t>
            </w:r>
            <w:proofErr w:type="spellStart"/>
            <w:r w:rsidR="00F858FF" w:rsidRPr="00D0646F">
              <w:rPr>
                <w:rFonts w:ascii="Times New Roman" w:hAnsi="Times New Roman"/>
                <w:sz w:val="24"/>
                <w:szCs w:val="24"/>
              </w:rPr>
              <w:t>veicināšanai</w:t>
            </w:r>
            <w:proofErr w:type="spellEnd"/>
            <w:r w:rsidRPr="00D0646F">
              <w:rPr>
                <w:rFonts w:ascii="Times New Roman" w:hAnsi="Times New Roman"/>
                <w:sz w:val="24"/>
                <w:szCs w:val="24"/>
              </w:rPr>
              <w:t xml:space="preserve">. </w:t>
            </w:r>
          </w:p>
          <w:p w:rsidR="00B1681F" w:rsidRPr="00D0646F" w:rsidRDefault="00B1681F" w:rsidP="00D0646F">
            <w:pPr>
              <w:pStyle w:val="ListParagraph"/>
              <w:spacing w:after="120" w:line="240" w:lineRule="auto"/>
              <w:ind w:left="0"/>
              <w:rPr>
                <w:rFonts w:ascii="Times New Roman" w:hAnsi="Times New Roman"/>
                <w:sz w:val="24"/>
                <w:szCs w:val="24"/>
              </w:rPr>
            </w:pPr>
          </w:p>
        </w:tc>
        <w:tc>
          <w:tcPr>
            <w:tcW w:w="773" w:type="pct"/>
            <w:tcBorders>
              <w:top w:val="dashSmallGap" w:sz="4" w:space="0" w:color="auto"/>
              <w:left w:val="single" w:sz="4" w:space="0" w:color="auto"/>
              <w:bottom w:val="single" w:sz="4" w:space="0" w:color="auto"/>
              <w:right w:val="single" w:sz="4" w:space="0" w:color="auto"/>
            </w:tcBorders>
          </w:tcPr>
          <w:p w:rsidR="00D0646F" w:rsidRPr="00D0646F" w:rsidRDefault="00D0646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1) </w:t>
            </w:r>
            <w:proofErr w:type="spellStart"/>
            <w:r w:rsidRPr="00D0646F">
              <w:rPr>
                <w:rFonts w:ascii="Times New Roman" w:hAnsi="Times New Roman"/>
                <w:sz w:val="24"/>
                <w:szCs w:val="24"/>
              </w:rPr>
              <w:t>Eiropas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Savienības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struktūr</w:t>
            </w:r>
            <w:r>
              <w:rPr>
                <w:rFonts w:ascii="Times New Roman" w:hAnsi="Times New Roman"/>
                <w:sz w:val="24"/>
                <w:szCs w:val="24"/>
              </w:rPr>
              <w:t>-</w:t>
            </w:r>
            <w:r w:rsidRPr="00D0646F">
              <w:rPr>
                <w:rFonts w:ascii="Times New Roman" w:hAnsi="Times New Roman"/>
                <w:sz w:val="24"/>
                <w:szCs w:val="24"/>
              </w:rPr>
              <w:t>fondu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programmu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finansē</w:t>
            </w:r>
            <w:r>
              <w:rPr>
                <w:rFonts w:ascii="Times New Roman" w:hAnsi="Times New Roman"/>
                <w:sz w:val="24"/>
                <w:szCs w:val="24"/>
              </w:rPr>
              <w:t>-</w:t>
            </w:r>
            <w:r w:rsidRPr="00D0646F">
              <w:rPr>
                <w:rFonts w:ascii="Times New Roman" w:hAnsi="Times New Roman"/>
                <w:sz w:val="24"/>
                <w:szCs w:val="24"/>
              </w:rPr>
              <w:t>jums</w:t>
            </w:r>
            <w:proofErr w:type="spellEnd"/>
            <w:r w:rsidRPr="00D0646F">
              <w:rPr>
                <w:rFonts w:ascii="Times New Roman" w:hAnsi="Times New Roman"/>
                <w:sz w:val="24"/>
                <w:szCs w:val="24"/>
              </w:rPr>
              <w:t xml:space="preserve"> 2014</w:t>
            </w:r>
            <w:proofErr w:type="gramStart"/>
            <w:r w:rsidRPr="00D0646F">
              <w:rPr>
                <w:rFonts w:ascii="Times New Roman" w:hAnsi="Times New Roman"/>
                <w:sz w:val="24"/>
                <w:szCs w:val="24"/>
              </w:rPr>
              <w:t>.-</w:t>
            </w:r>
            <w:proofErr w:type="gramEnd"/>
            <w:r w:rsidRPr="00D0646F">
              <w:rPr>
                <w:rFonts w:ascii="Times New Roman" w:hAnsi="Times New Roman"/>
                <w:sz w:val="24"/>
                <w:szCs w:val="24"/>
              </w:rPr>
              <w:t xml:space="preserve"> 2020.g. </w:t>
            </w:r>
            <w:proofErr w:type="spellStart"/>
            <w:r w:rsidRPr="00D0646F">
              <w:rPr>
                <w:rFonts w:ascii="Times New Roman" w:hAnsi="Times New Roman"/>
                <w:sz w:val="24"/>
                <w:szCs w:val="24"/>
              </w:rPr>
              <w:t>plānošanas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periodā</w:t>
            </w:r>
            <w:proofErr w:type="spellEnd"/>
            <w:r w:rsidRPr="00D0646F">
              <w:rPr>
                <w:rFonts w:ascii="Times New Roman" w:hAnsi="Times New Roman"/>
                <w:sz w:val="24"/>
                <w:szCs w:val="24"/>
              </w:rPr>
              <w:t xml:space="preserve">. </w:t>
            </w:r>
          </w:p>
          <w:p w:rsidR="00B1681F" w:rsidRPr="00D0646F" w:rsidRDefault="00D0646F"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2) ERAB </w:t>
            </w:r>
            <w:proofErr w:type="spellStart"/>
            <w:r w:rsidRPr="00D0646F">
              <w:rPr>
                <w:rFonts w:ascii="Times New Roman" w:hAnsi="Times New Roman"/>
                <w:sz w:val="24"/>
                <w:szCs w:val="24"/>
              </w:rPr>
              <w:t>tehniskās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palīdzības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projektu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lastRenderedPageBreak/>
              <w:t>ietvaros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Latvijai</w:t>
            </w:r>
            <w:proofErr w:type="spellEnd"/>
            <w:r w:rsidRPr="00D0646F">
              <w:rPr>
                <w:rFonts w:ascii="Times New Roman" w:hAnsi="Times New Roman"/>
                <w:sz w:val="24"/>
                <w:szCs w:val="24"/>
              </w:rPr>
              <w:t>.</w:t>
            </w:r>
          </w:p>
        </w:tc>
      </w:tr>
    </w:tbl>
    <w:p w:rsidR="002A255F" w:rsidRDefault="002A255F" w:rsidP="00B1681F">
      <w:pPr>
        <w:spacing w:after="120" w:line="240" w:lineRule="auto"/>
        <w:jc w:val="both"/>
        <w:rPr>
          <w:rFonts w:ascii="Times New Roman" w:eastAsia="Times New Roman" w:hAnsi="Times New Roman" w:cs="Times New Roman"/>
          <w:sz w:val="28"/>
          <w:szCs w:val="28"/>
          <w:lang w:val="lv-LV" w:eastAsia="lv-LV"/>
        </w:rPr>
      </w:pPr>
    </w:p>
    <w:p w:rsidR="00D0646F" w:rsidRDefault="00D0646F" w:rsidP="00B1681F">
      <w:pPr>
        <w:spacing w:after="120" w:line="240" w:lineRule="auto"/>
        <w:jc w:val="both"/>
        <w:rPr>
          <w:rFonts w:ascii="Times New Roman" w:eastAsia="Times New Roman" w:hAnsi="Times New Roman" w:cs="Times New Roman"/>
          <w:sz w:val="28"/>
          <w:szCs w:val="28"/>
          <w:lang w:val="lv-LV" w:eastAsia="lv-LV"/>
        </w:rPr>
      </w:pPr>
    </w:p>
    <w:p w:rsidR="00F858FF" w:rsidRDefault="00F858FF" w:rsidP="00294E66">
      <w:pPr>
        <w:pStyle w:val="ListParagraph"/>
        <w:numPr>
          <w:ilvl w:val="1"/>
          <w:numId w:val="4"/>
        </w:numPr>
        <w:spacing w:after="120" w:line="240" w:lineRule="auto"/>
        <w:jc w:val="both"/>
        <w:rPr>
          <w:rFonts w:ascii="Times New Roman" w:eastAsia="Times New Roman" w:hAnsi="Times New Roman" w:cs="Times New Roman"/>
          <w:sz w:val="28"/>
          <w:szCs w:val="28"/>
          <w:lang w:val="lv-LV" w:eastAsia="lv-LV"/>
        </w:rPr>
      </w:pPr>
      <w:r w:rsidRPr="00935C40">
        <w:rPr>
          <w:rFonts w:ascii="Times New Roman" w:eastAsia="Times New Roman" w:hAnsi="Times New Roman" w:cs="Times New Roman"/>
          <w:sz w:val="28"/>
          <w:szCs w:val="28"/>
          <w:lang w:val="lv-LV" w:eastAsia="lv-LV"/>
        </w:rPr>
        <w:t xml:space="preserve">papildināt pielikuma “Finanšu sektora attīstības plānā 2014.-2016.gadam paredzētie pasākumi” </w:t>
      </w:r>
      <w:r>
        <w:rPr>
          <w:rFonts w:ascii="Times New Roman" w:eastAsia="Times New Roman" w:hAnsi="Times New Roman" w:cs="Times New Roman"/>
          <w:sz w:val="28"/>
          <w:szCs w:val="28"/>
          <w:lang w:val="lv-LV" w:eastAsia="lv-LV"/>
        </w:rPr>
        <w:t>ar 7</w:t>
      </w:r>
      <w:r w:rsidRPr="00935C40">
        <w:rPr>
          <w:rFonts w:ascii="Times New Roman" w:eastAsia="Times New Roman" w:hAnsi="Times New Roman" w:cs="Times New Roman"/>
          <w:sz w:val="28"/>
          <w:szCs w:val="28"/>
          <w:lang w:val="lv-LV" w:eastAsia="lv-LV"/>
        </w:rPr>
        <w:t>.sadaļ</w:t>
      </w:r>
      <w:r>
        <w:rPr>
          <w:rFonts w:ascii="Times New Roman" w:eastAsia="Times New Roman" w:hAnsi="Times New Roman" w:cs="Times New Roman"/>
          <w:sz w:val="28"/>
          <w:szCs w:val="28"/>
          <w:lang w:val="lv-LV" w:eastAsia="lv-LV"/>
        </w:rPr>
        <w:t>u</w:t>
      </w:r>
      <w:r w:rsidRPr="00935C40">
        <w:rPr>
          <w:rFonts w:ascii="Times New Roman" w:eastAsia="Times New Roman" w:hAnsi="Times New Roman" w:cs="Times New Roman"/>
          <w:sz w:val="28"/>
          <w:szCs w:val="28"/>
          <w:lang w:val="lv-LV" w:eastAsia="lv-LV"/>
        </w:rPr>
        <w:t xml:space="preserve"> “</w:t>
      </w:r>
      <w:r w:rsidR="00484D07">
        <w:rPr>
          <w:rFonts w:ascii="Times New Roman" w:eastAsia="Times New Roman" w:hAnsi="Times New Roman" w:cs="Times New Roman"/>
          <w:sz w:val="28"/>
          <w:szCs w:val="28"/>
          <w:lang w:val="lv-LV" w:eastAsia="lv-LV"/>
        </w:rPr>
        <w:t>Apdrošināšanas sektors</w:t>
      </w:r>
      <w:r w:rsidRPr="00935C40">
        <w:rPr>
          <w:rFonts w:ascii="Times New Roman" w:eastAsia="Times New Roman" w:hAnsi="Times New Roman" w:cs="Times New Roman"/>
          <w:sz w:val="28"/>
          <w:szCs w:val="28"/>
          <w:lang w:val="lv-LV" w:eastAsia="lv-LV"/>
        </w:rPr>
        <w:t>”</w:t>
      </w:r>
      <w:r w:rsidR="00294E66">
        <w:rPr>
          <w:rFonts w:ascii="Times New Roman" w:eastAsia="Times New Roman" w:hAnsi="Times New Roman" w:cs="Times New Roman"/>
          <w:sz w:val="28"/>
          <w:szCs w:val="28"/>
          <w:lang w:val="lv-LV" w:eastAsia="lv-LV"/>
        </w:rPr>
        <w:t xml:space="preserve">, kas ietver </w:t>
      </w:r>
      <w:r w:rsidRPr="00935C40">
        <w:rPr>
          <w:rFonts w:ascii="Times New Roman" w:eastAsia="Times New Roman" w:hAnsi="Times New Roman" w:cs="Times New Roman"/>
          <w:sz w:val="28"/>
          <w:szCs w:val="28"/>
          <w:lang w:val="lv-LV" w:eastAsia="lv-LV"/>
        </w:rPr>
        <w:t xml:space="preserve">rīcības virzienu mērķa sasniegšanai </w:t>
      </w:r>
      <w:r w:rsidR="00294E66">
        <w:rPr>
          <w:rFonts w:ascii="Times New Roman" w:eastAsia="Times New Roman" w:hAnsi="Times New Roman" w:cs="Times New Roman"/>
          <w:sz w:val="28"/>
          <w:szCs w:val="28"/>
          <w:lang w:val="lv-LV" w:eastAsia="lv-LV"/>
        </w:rPr>
        <w:t>7</w:t>
      </w:r>
      <w:r w:rsidRPr="00935C40">
        <w:rPr>
          <w:rFonts w:ascii="Times New Roman" w:eastAsia="Times New Roman" w:hAnsi="Times New Roman" w:cs="Times New Roman"/>
          <w:sz w:val="28"/>
          <w:szCs w:val="28"/>
          <w:lang w:val="lv-LV" w:eastAsia="lv-LV"/>
        </w:rPr>
        <w:t>.</w:t>
      </w:r>
      <w:r w:rsidR="00294E66">
        <w:rPr>
          <w:rFonts w:ascii="Times New Roman" w:eastAsia="Times New Roman" w:hAnsi="Times New Roman" w:cs="Times New Roman"/>
          <w:sz w:val="28"/>
          <w:szCs w:val="28"/>
          <w:lang w:val="lv-LV" w:eastAsia="lv-LV"/>
        </w:rPr>
        <w:t>1</w:t>
      </w:r>
      <w:r w:rsidRPr="00935C40">
        <w:rPr>
          <w:rFonts w:ascii="Times New Roman" w:eastAsia="Times New Roman" w:hAnsi="Times New Roman" w:cs="Times New Roman"/>
          <w:sz w:val="28"/>
          <w:szCs w:val="28"/>
          <w:lang w:val="lv-LV" w:eastAsia="lv-LV"/>
        </w:rPr>
        <w:t>. “</w:t>
      </w:r>
      <w:r w:rsidR="00294E66" w:rsidRPr="00294E66">
        <w:rPr>
          <w:rFonts w:ascii="Times New Roman" w:eastAsia="Times New Roman" w:hAnsi="Times New Roman" w:cs="Times New Roman"/>
          <w:sz w:val="28"/>
          <w:szCs w:val="28"/>
          <w:lang w:val="lv-LV" w:eastAsia="lv-LV"/>
        </w:rPr>
        <w:t>Paplašināt to profesiju klāstu, kurām ir obligātā civiltiesiskās atbildības apdrošināšana</w:t>
      </w:r>
      <w:r w:rsidRPr="00935C40">
        <w:rPr>
          <w:rFonts w:ascii="Times New Roman" w:eastAsia="Times New Roman" w:hAnsi="Times New Roman" w:cs="Times New Roman"/>
          <w:sz w:val="28"/>
          <w:szCs w:val="28"/>
          <w:lang w:val="lv-LV" w:eastAsia="lv-LV"/>
        </w:rPr>
        <w:t>”</w:t>
      </w:r>
      <w:r w:rsidR="00294E66">
        <w:rPr>
          <w:rFonts w:ascii="Times New Roman" w:eastAsia="Times New Roman" w:hAnsi="Times New Roman" w:cs="Times New Roman"/>
          <w:sz w:val="28"/>
          <w:szCs w:val="28"/>
          <w:lang w:val="lv-LV" w:eastAsia="lv-LV"/>
        </w:rPr>
        <w:t>, 7.2.</w:t>
      </w:r>
      <w:r w:rsidRPr="00935C40">
        <w:rPr>
          <w:rFonts w:ascii="Times New Roman" w:eastAsia="Times New Roman" w:hAnsi="Times New Roman" w:cs="Times New Roman"/>
          <w:sz w:val="28"/>
          <w:szCs w:val="28"/>
          <w:lang w:val="lv-LV" w:eastAsia="lv-LV"/>
        </w:rPr>
        <w:t xml:space="preserve"> </w:t>
      </w:r>
      <w:r w:rsidR="00294E66">
        <w:rPr>
          <w:rFonts w:ascii="Times New Roman" w:eastAsia="Times New Roman" w:hAnsi="Times New Roman" w:cs="Times New Roman"/>
          <w:sz w:val="28"/>
          <w:szCs w:val="28"/>
          <w:lang w:val="lv-LV" w:eastAsia="lv-LV"/>
        </w:rPr>
        <w:t>“</w:t>
      </w:r>
      <w:r w:rsidR="00294E66" w:rsidRPr="00294E66">
        <w:rPr>
          <w:rFonts w:ascii="Times New Roman" w:eastAsia="Times New Roman" w:hAnsi="Times New Roman" w:cs="Times New Roman"/>
          <w:sz w:val="28"/>
          <w:szCs w:val="28"/>
          <w:lang w:val="lv-LV" w:eastAsia="lv-LV"/>
        </w:rPr>
        <w:t>Paplašināt to profesiju klāstu, kurām ir obligāta nelaimes gadījumu apdrošināšana</w:t>
      </w:r>
      <w:r w:rsidR="00294E66">
        <w:rPr>
          <w:rFonts w:ascii="Times New Roman" w:eastAsia="Times New Roman" w:hAnsi="Times New Roman" w:cs="Times New Roman"/>
          <w:sz w:val="28"/>
          <w:szCs w:val="28"/>
          <w:lang w:val="lv-LV" w:eastAsia="lv-LV"/>
        </w:rPr>
        <w:t>”, 7.3.</w:t>
      </w:r>
      <w:r w:rsidR="00294E66">
        <w:t xml:space="preserve"> </w:t>
      </w:r>
      <w:r w:rsidR="00294E66">
        <w:rPr>
          <w:rFonts w:ascii="Times New Roman" w:hAnsi="Times New Roman" w:cs="Times New Roman"/>
          <w:sz w:val="28"/>
          <w:szCs w:val="28"/>
        </w:rPr>
        <w:t>“</w:t>
      </w:r>
      <w:r w:rsidR="00294E66" w:rsidRPr="00294E66">
        <w:rPr>
          <w:rFonts w:ascii="Times New Roman" w:eastAsia="Times New Roman" w:hAnsi="Times New Roman" w:cs="Times New Roman"/>
          <w:sz w:val="28"/>
          <w:szCs w:val="28"/>
          <w:lang w:val="lv-LV" w:eastAsia="lv-LV"/>
        </w:rPr>
        <w:t xml:space="preserve">Paaugstināt limitus atsevišķos obligātās civiltiesiskās </w:t>
      </w:r>
      <w:proofErr w:type="gramStart"/>
      <w:r w:rsidR="00294E66" w:rsidRPr="00294E66">
        <w:rPr>
          <w:rFonts w:ascii="Times New Roman" w:eastAsia="Times New Roman" w:hAnsi="Times New Roman" w:cs="Times New Roman"/>
          <w:sz w:val="28"/>
          <w:szCs w:val="28"/>
          <w:lang w:val="lv-LV" w:eastAsia="lv-LV"/>
        </w:rPr>
        <w:t>atbildības  apdrošināšanas</w:t>
      </w:r>
      <w:proofErr w:type="gramEnd"/>
      <w:r w:rsidR="00294E66" w:rsidRPr="00294E66">
        <w:rPr>
          <w:rFonts w:ascii="Times New Roman" w:eastAsia="Times New Roman" w:hAnsi="Times New Roman" w:cs="Times New Roman"/>
          <w:sz w:val="28"/>
          <w:szCs w:val="28"/>
          <w:lang w:val="lv-LV" w:eastAsia="lv-LV"/>
        </w:rPr>
        <w:t xml:space="preserve"> veidos</w:t>
      </w:r>
      <w:r w:rsidR="00294E66">
        <w:rPr>
          <w:rFonts w:ascii="Times New Roman" w:eastAsia="Times New Roman" w:hAnsi="Times New Roman" w:cs="Times New Roman"/>
          <w:sz w:val="28"/>
          <w:szCs w:val="28"/>
          <w:lang w:val="lv-LV" w:eastAsia="lv-LV"/>
        </w:rPr>
        <w:t>” un 7.4.</w:t>
      </w:r>
      <w:r w:rsidR="00294E66">
        <w:t xml:space="preserve"> </w:t>
      </w:r>
      <w:r w:rsidR="00294E66">
        <w:rPr>
          <w:rFonts w:ascii="Times New Roman" w:hAnsi="Times New Roman" w:cs="Times New Roman"/>
          <w:sz w:val="28"/>
          <w:szCs w:val="28"/>
        </w:rPr>
        <w:t>“</w:t>
      </w:r>
      <w:r w:rsidR="00294E66" w:rsidRPr="00294E66">
        <w:rPr>
          <w:rFonts w:ascii="Times New Roman" w:eastAsia="Times New Roman" w:hAnsi="Times New Roman" w:cs="Times New Roman"/>
          <w:sz w:val="28"/>
          <w:szCs w:val="28"/>
          <w:lang w:val="lv-LV" w:eastAsia="lv-LV"/>
        </w:rPr>
        <w:t>Obligāto apdrošināšanas veidu sistēmas sakārtošana, efektīva vadība</w:t>
      </w:r>
      <w:r w:rsidR="00294E66">
        <w:rPr>
          <w:rFonts w:ascii="Times New Roman" w:eastAsia="Times New Roman" w:hAnsi="Times New Roman" w:cs="Times New Roman"/>
          <w:sz w:val="28"/>
          <w:szCs w:val="28"/>
          <w:lang w:val="lv-LV" w:eastAsia="lv-LV"/>
        </w:rPr>
        <w:t>”</w:t>
      </w:r>
      <w:r w:rsidR="00294E66" w:rsidRPr="00294E66">
        <w:rPr>
          <w:rFonts w:ascii="Times New Roman" w:eastAsia="Times New Roman" w:hAnsi="Times New Roman" w:cs="Times New Roman"/>
          <w:sz w:val="28"/>
          <w:szCs w:val="28"/>
          <w:lang w:val="lv-LV" w:eastAsia="lv-LV"/>
        </w:rPr>
        <w:t xml:space="preserve"> </w:t>
      </w:r>
      <w:r w:rsidRPr="00935C40">
        <w:rPr>
          <w:rFonts w:ascii="Times New Roman" w:eastAsia="Times New Roman" w:hAnsi="Times New Roman" w:cs="Times New Roman"/>
          <w:sz w:val="28"/>
          <w:szCs w:val="28"/>
          <w:lang w:val="lv-LV" w:eastAsia="lv-LV"/>
        </w:rPr>
        <w:t>šādā redakcijā</w:t>
      </w:r>
      <w:r w:rsidR="00294E66">
        <w:rPr>
          <w:rFonts w:ascii="Times New Roman" w:eastAsia="Times New Roman" w:hAnsi="Times New Roman" w:cs="Times New Roman"/>
          <w:sz w:val="28"/>
          <w:szCs w:val="28"/>
          <w:lang w:val="lv-LV" w:eastAsia="lv-LV"/>
        </w:rPr>
        <w:t xml:space="preserve"> </w:t>
      </w:r>
      <w:r w:rsidRPr="00935C40">
        <w:rPr>
          <w:rFonts w:ascii="Times New Roman" w:eastAsia="Times New Roman" w:hAnsi="Times New Roman" w:cs="Times New Roman"/>
          <w:sz w:val="28"/>
          <w:szCs w:val="28"/>
          <w:lang w:val="lv-LV" w:eastAsia="lv-LV"/>
        </w:rPr>
        <w:t>:</w:t>
      </w:r>
    </w:p>
    <w:p w:rsidR="00D0646F" w:rsidRDefault="00D0646F" w:rsidP="00D0646F">
      <w:pPr>
        <w:pStyle w:val="ListParagraph"/>
        <w:spacing w:after="120" w:line="240" w:lineRule="auto"/>
        <w:ind w:left="1440"/>
        <w:jc w:val="both"/>
        <w:rPr>
          <w:rFonts w:ascii="Times New Roman" w:eastAsia="Times New Roman" w:hAnsi="Times New Roman" w:cs="Times New Roman"/>
          <w:sz w:val="28"/>
          <w:szCs w:val="28"/>
          <w:lang w:val="lv-LV" w:eastAsia="lv-LV"/>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276"/>
        <w:gridCol w:w="2126"/>
        <w:gridCol w:w="1277"/>
      </w:tblGrid>
      <w:tr w:rsidR="002843E7" w:rsidRPr="00F858FF" w:rsidTr="002843E7">
        <w:tc>
          <w:tcPr>
            <w:tcW w:w="4261" w:type="pct"/>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843E7" w:rsidRPr="00F858FF" w:rsidRDefault="002843E7" w:rsidP="00F858FF">
            <w:pPr>
              <w:spacing w:before="120" w:after="120" w:line="240" w:lineRule="auto"/>
              <w:jc w:val="center"/>
              <w:rPr>
                <w:rFonts w:ascii="Times New Roman" w:eastAsia="Times New Roman" w:hAnsi="Times New Roman" w:cs="Times New Roman"/>
                <w:bCs/>
                <w:color w:val="000000"/>
                <w:sz w:val="28"/>
                <w:szCs w:val="28"/>
                <w:lang w:val="lv-LV" w:eastAsia="lv-LV"/>
              </w:rPr>
            </w:pPr>
            <w:r w:rsidRPr="00F858FF">
              <w:rPr>
                <w:rFonts w:ascii="Times New Roman" w:eastAsia="Times New Roman" w:hAnsi="Times New Roman" w:cs="Times New Roman"/>
                <w:bCs/>
                <w:color w:val="000000"/>
                <w:sz w:val="28"/>
                <w:szCs w:val="28"/>
                <w:lang w:val="lv-LV" w:eastAsia="lv-LV"/>
              </w:rPr>
              <w:t>7. Apdrošināšanas sektors</w:t>
            </w:r>
          </w:p>
        </w:tc>
        <w:tc>
          <w:tcPr>
            <w:tcW w:w="73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2843E7" w:rsidRPr="00F858FF" w:rsidRDefault="002843E7" w:rsidP="00F858FF">
            <w:pPr>
              <w:spacing w:before="120" w:after="120" w:line="240" w:lineRule="auto"/>
              <w:jc w:val="center"/>
              <w:rPr>
                <w:rFonts w:ascii="Times New Roman" w:eastAsia="Times New Roman" w:hAnsi="Times New Roman" w:cs="Times New Roman"/>
                <w:bCs/>
                <w:color w:val="000000"/>
                <w:sz w:val="28"/>
                <w:szCs w:val="28"/>
                <w:lang w:val="lv-LV" w:eastAsia="lv-LV"/>
              </w:rPr>
            </w:pPr>
          </w:p>
        </w:tc>
      </w:tr>
      <w:tr w:rsidR="002843E7" w:rsidRPr="002843E7" w:rsidTr="002843E7">
        <w:tc>
          <w:tcPr>
            <w:tcW w:w="1391"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7.1. </w:t>
            </w:r>
            <w:proofErr w:type="spellStart"/>
            <w:r w:rsidRPr="00D0646F">
              <w:rPr>
                <w:rFonts w:ascii="Times New Roman" w:hAnsi="Times New Roman"/>
                <w:sz w:val="24"/>
                <w:szCs w:val="24"/>
              </w:rPr>
              <w:t>Paplašināt</w:t>
            </w:r>
            <w:proofErr w:type="spellEnd"/>
            <w:r w:rsidRPr="00D0646F">
              <w:rPr>
                <w:rFonts w:ascii="Times New Roman" w:hAnsi="Times New Roman"/>
                <w:sz w:val="24"/>
                <w:szCs w:val="24"/>
              </w:rPr>
              <w:t xml:space="preserve"> to </w:t>
            </w:r>
            <w:proofErr w:type="spellStart"/>
            <w:r w:rsidRPr="00D0646F">
              <w:rPr>
                <w:rFonts w:ascii="Times New Roman" w:hAnsi="Times New Roman"/>
                <w:sz w:val="24"/>
                <w:szCs w:val="24"/>
              </w:rPr>
              <w:t>profesiju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klāstu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kurām</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ir</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obligātā</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civiltiesiskās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atbildības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apdrošināšana</w:t>
            </w:r>
            <w:proofErr w:type="spellEnd"/>
            <w:r w:rsidR="00D0646F">
              <w:rPr>
                <w:rFonts w:ascii="Times New Roman" w:hAnsi="Times New Roman"/>
                <w:sz w:val="24"/>
                <w:szCs w:val="24"/>
              </w:rPr>
              <w:t xml:space="preserve"> </w:t>
            </w:r>
            <w:r w:rsidR="00D0646F" w:rsidRPr="00D0646F">
              <w:rPr>
                <w:rFonts w:ascii="Times New Roman" w:hAnsi="Times New Roman"/>
                <w:sz w:val="24"/>
                <w:szCs w:val="24"/>
              </w:rPr>
              <w:t>(</w:t>
            </w:r>
            <w:proofErr w:type="spellStart"/>
            <w:r w:rsidR="00D0646F" w:rsidRPr="00D0646F">
              <w:rPr>
                <w:rFonts w:ascii="Times New Roman" w:hAnsi="Times New Roman"/>
                <w:sz w:val="24"/>
                <w:szCs w:val="24"/>
              </w:rPr>
              <w:t>turpmāk</w:t>
            </w:r>
            <w:proofErr w:type="spellEnd"/>
            <w:r w:rsidR="00D0646F" w:rsidRPr="00D0646F">
              <w:rPr>
                <w:rFonts w:ascii="Times New Roman" w:hAnsi="Times New Roman"/>
                <w:sz w:val="24"/>
                <w:szCs w:val="24"/>
              </w:rPr>
              <w:t>- CTA).</w:t>
            </w:r>
          </w:p>
          <w:p w:rsidR="00D0646F" w:rsidRDefault="00D0646F" w:rsidP="00D0646F">
            <w:pPr>
              <w:pStyle w:val="ListParagraph"/>
              <w:spacing w:after="120" w:line="240" w:lineRule="auto"/>
              <w:ind w:left="0"/>
              <w:rPr>
                <w:rFonts w:ascii="Times New Roman" w:hAnsi="Times New Roman"/>
                <w:i/>
                <w:sz w:val="24"/>
                <w:szCs w:val="24"/>
              </w:rPr>
            </w:pPr>
          </w:p>
          <w:p w:rsidR="002843E7" w:rsidRPr="00D0646F" w:rsidRDefault="002843E7" w:rsidP="00D0646F">
            <w:pPr>
              <w:pStyle w:val="ListParagraph"/>
              <w:spacing w:after="120" w:line="240" w:lineRule="auto"/>
              <w:ind w:left="0"/>
              <w:rPr>
                <w:rFonts w:ascii="Times New Roman" w:hAnsi="Times New Roman"/>
                <w:i/>
                <w:sz w:val="24"/>
                <w:szCs w:val="24"/>
              </w:rPr>
            </w:pPr>
            <w:proofErr w:type="spellStart"/>
            <w:r w:rsidRPr="00D0646F">
              <w:rPr>
                <w:rFonts w:ascii="Times New Roman" w:hAnsi="Times New Roman"/>
                <w:i/>
                <w:sz w:val="24"/>
                <w:szCs w:val="24"/>
              </w:rPr>
              <w:t>Apdrošināšanas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nozarei</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jāveicina</w:t>
            </w:r>
            <w:proofErr w:type="spellEnd"/>
            <w:r w:rsidRPr="00D0646F">
              <w:rPr>
                <w:rFonts w:ascii="Times New Roman" w:hAnsi="Times New Roman"/>
                <w:i/>
                <w:sz w:val="24"/>
                <w:szCs w:val="24"/>
              </w:rPr>
              <w:t xml:space="preserve"> augstāka drošības sajūta dažādos uzņēmējdarbības sektoros, kā arī privātpersonu ikdienā. Šeit var runāt arī par obligātajām apdrošināšanām. </w:t>
            </w:r>
            <w:proofErr w:type="spellStart"/>
            <w:r w:rsidRPr="00D0646F">
              <w:rPr>
                <w:rFonts w:ascii="Times New Roman" w:hAnsi="Times New Roman"/>
                <w:i/>
                <w:sz w:val="24"/>
                <w:szCs w:val="24"/>
              </w:rPr>
              <w:t>Piemēram</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namu</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apsaimniekotāju</w:t>
            </w:r>
            <w:proofErr w:type="spellEnd"/>
            <w:r w:rsidRPr="00D0646F">
              <w:rPr>
                <w:rFonts w:ascii="Times New Roman" w:hAnsi="Times New Roman"/>
                <w:i/>
                <w:sz w:val="24"/>
                <w:szCs w:val="24"/>
              </w:rPr>
              <w:t xml:space="preserve"> CTA, </w:t>
            </w:r>
            <w:proofErr w:type="spellStart"/>
            <w:r w:rsidRPr="00D0646F">
              <w:rPr>
                <w:rFonts w:ascii="Times New Roman" w:hAnsi="Times New Roman"/>
                <w:i/>
                <w:sz w:val="24"/>
                <w:szCs w:val="24"/>
              </w:rPr>
              <w:t>ceļu</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uzturētāju</w:t>
            </w:r>
            <w:proofErr w:type="spellEnd"/>
            <w:r w:rsidRPr="00D0646F">
              <w:rPr>
                <w:rFonts w:ascii="Times New Roman" w:hAnsi="Times New Roman"/>
                <w:i/>
                <w:sz w:val="24"/>
                <w:szCs w:val="24"/>
              </w:rPr>
              <w:t xml:space="preserve"> CTA </w:t>
            </w:r>
            <w:proofErr w:type="spellStart"/>
            <w:r w:rsidRPr="00D0646F">
              <w:rPr>
                <w:rFonts w:ascii="Times New Roman" w:hAnsi="Times New Roman"/>
                <w:i/>
                <w:sz w:val="24"/>
                <w:szCs w:val="24"/>
              </w:rPr>
              <w:t>apdrošināšana</w:t>
            </w:r>
            <w:proofErr w:type="spellEnd"/>
            <w:r w:rsidRPr="00D0646F">
              <w:rPr>
                <w:rFonts w:ascii="Times New Roman" w:hAnsi="Times New Roman"/>
                <w:i/>
                <w:sz w:val="24"/>
                <w:szCs w:val="24"/>
              </w:rPr>
              <w:t xml:space="preserve">. Ja nav CTA apdrošināšanas, nevar uzņemties atbildību, piemēram, par ceļiem (lielāka atbildība un vienkāršāks regresa </w:t>
            </w:r>
            <w:r w:rsidRPr="00D0646F">
              <w:rPr>
                <w:rFonts w:ascii="Times New Roman" w:hAnsi="Times New Roman"/>
                <w:i/>
                <w:sz w:val="24"/>
                <w:szCs w:val="24"/>
              </w:rPr>
              <w:lastRenderedPageBreak/>
              <w:t>process pret ceļu uzturētājiem).</w:t>
            </w:r>
          </w:p>
          <w:p w:rsidR="002843E7" w:rsidRPr="00D0646F" w:rsidRDefault="002843E7" w:rsidP="00D0646F">
            <w:pPr>
              <w:pStyle w:val="ListParagraph"/>
              <w:spacing w:after="120" w:line="240" w:lineRule="auto"/>
              <w:ind w:left="0"/>
              <w:rPr>
                <w:rFonts w:ascii="Times New Roman" w:hAnsi="Times New Roman"/>
                <w:sz w:val="24"/>
                <w:szCs w:val="24"/>
              </w:rPr>
            </w:pPr>
          </w:p>
          <w:p w:rsidR="00DA3AF1"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Rīcībai: </w:t>
            </w:r>
          </w:p>
          <w:p w:rsidR="002843E7" w:rsidRPr="00D0646F" w:rsidRDefault="00DA3AF1"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I</w:t>
            </w:r>
            <w:r w:rsidR="002843E7" w:rsidRPr="00D0646F">
              <w:rPr>
                <w:rFonts w:ascii="Times New Roman" w:hAnsi="Times New Roman"/>
                <w:sz w:val="24"/>
                <w:szCs w:val="24"/>
              </w:rPr>
              <w:t>zstrādāt grozījumus esošajā tiesiskajā regulējumā, paredzot paplašināt to profesiju klāstu, kam piemērojama obligātā civiltiesiskās atbildības  apdrošināšana.</w:t>
            </w:r>
          </w:p>
        </w:tc>
        <w:tc>
          <w:tcPr>
            <w:tcW w:w="902"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lastRenderedPageBreak/>
              <w:t>31.12.2016</w:t>
            </w:r>
            <w:r w:rsidR="009A163D">
              <w:rPr>
                <w:rFonts w:ascii="Times New Roman" w:hAnsi="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Latvijas </w:t>
            </w:r>
            <w:proofErr w:type="spellStart"/>
            <w:r w:rsidRPr="00D0646F">
              <w:rPr>
                <w:rFonts w:ascii="Times New Roman" w:hAnsi="Times New Roman"/>
                <w:sz w:val="24"/>
                <w:szCs w:val="24"/>
              </w:rPr>
              <w:t>Apdrošinātāju</w:t>
            </w:r>
            <w:proofErr w:type="spellEnd"/>
            <w:r w:rsidRPr="00D0646F">
              <w:rPr>
                <w:rFonts w:ascii="Times New Roman" w:hAnsi="Times New Roman"/>
                <w:sz w:val="24"/>
                <w:szCs w:val="24"/>
              </w:rPr>
              <w:t xml:space="preserve"> asociācija (</w:t>
            </w:r>
            <w:proofErr w:type="spellStart"/>
            <w:r w:rsidRPr="00D0646F">
              <w:rPr>
                <w:rFonts w:ascii="Times New Roman" w:hAnsi="Times New Roman"/>
                <w:sz w:val="24"/>
                <w:szCs w:val="24"/>
              </w:rPr>
              <w:t>turpmāk</w:t>
            </w:r>
            <w:proofErr w:type="spellEnd"/>
            <w:r w:rsidRPr="00D0646F">
              <w:rPr>
                <w:rFonts w:ascii="Times New Roman" w:hAnsi="Times New Roman"/>
                <w:sz w:val="24"/>
                <w:szCs w:val="24"/>
              </w:rPr>
              <w:t>- LAA), FM</w:t>
            </w:r>
          </w:p>
        </w:tc>
        <w:tc>
          <w:tcPr>
            <w:tcW w:w="1230"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LAA turpināt jautājuma izpēti.  Izpētē izvērtēt jautājumus par pašreizējo situāciju (statistiku, problemātiskajām nozarēm). </w:t>
            </w:r>
            <w:r w:rsidR="00DA3AF1" w:rsidRPr="00D0646F">
              <w:rPr>
                <w:rFonts w:ascii="Times New Roman" w:hAnsi="Times New Roman"/>
                <w:sz w:val="24"/>
                <w:szCs w:val="24"/>
              </w:rPr>
              <w:t>Saskaņot ar atbildīgajām valsts pārvaldes iestādēm.</w:t>
            </w:r>
          </w:p>
        </w:tc>
        <w:tc>
          <w:tcPr>
            <w:tcW w:w="739" w:type="pct"/>
            <w:tcBorders>
              <w:top w:val="single" w:sz="4" w:space="0" w:color="auto"/>
              <w:left w:val="single" w:sz="4" w:space="0" w:color="auto"/>
              <w:bottom w:val="single" w:sz="4" w:space="0" w:color="auto"/>
              <w:right w:val="single" w:sz="4" w:space="0" w:color="auto"/>
            </w:tcBorders>
          </w:tcPr>
          <w:p w:rsidR="002843E7" w:rsidRPr="00D0646F" w:rsidRDefault="00484D0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budžeta ietvaros.</w:t>
            </w:r>
          </w:p>
        </w:tc>
      </w:tr>
      <w:tr w:rsidR="002843E7" w:rsidRPr="002843E7" w:rsidTr="002843E7">
        <w:tc>
          <w:tcPr>
            <w:tcW w:w="1391"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lastRenderedPageBreak/>
              <w:t xml:space="preserve">7.2. Paplašināt to </w:t>
            </w:r>
            <w:proofErr w:type="spellStart"/>
            <w:r w:rsidRPr="00D0646F">
              <w:rPr>
                <w:rFonts w:ascii="Times New Roman" w:hAnsi="Times New Roman"/>
                <w:sz w:val="24"/>
                <w:szCs w:val="24"/>
              </w:rPr>
              <w:t>profesiju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klāstu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kurām</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ir</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obligāta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nelaimes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gadījumu</w:t>
            </w:r>
            <w:proofErr w:type="spellEnd"/>
            <w:r w:rsidR="006A066D">
              <w:rPr>
                <w:rFonts w:ascii="Times New Roman" w:hAnsi="Times New Roman"/>
                <w:sz w:val="24"/>
                <w:szCs w:val="24"/>
              </w:rPr>
              <w:t xml:space="preserve"> </w:t>
            </w:r>
            <w:proofErr w:type="spellStart"/>
            <w:r w:rsidR="006A066D">
              <w:rPr>
                <w:rFonts w:ascii="Times New Roman" w:hAnsi="Times New Roman"/>
                <w:sz w:val="24"/>
                <w:szCs w:val="24"/>
              </w:rPr>
              <w:t>papildus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apdrošināšana</w:t>
            </w:r>
            <w:proofErr w:type="spellEnd"/>
          </w:p>
          <w:p w:rsidR="00D0646F" w:rsidRDefault="00D0646F" w:rsidP="00D0646F">
            <w:pPr>
              <w:pStyle w:val="ListParagraph"/>
              <w:spacing w:after="120" w:line="240" w:lineRule="auto"/>
              <w:ind w:left="0"/>
              <w:rPr>
                <w:rFonts w:ascii="Times New Roman" w:hAnsi="Times New Roman"/>
                <w:sz w:val="24"/>
                <w:szCs w:val="24"/>
              </w:rPr>
            </w:pPr>
          </w:p>
          <w:p w:rsidR="002843E7" w:rsidRDefault="002843E7" w:rsidP="00D0646F">
            <w:pPr>
              <w:pStyle w:val="ListParagraph"/>
              <w:spacing w:after="120" w:line="240" w:lineRule="auto"/>
              <w:ind w:left="0"/>
              <w:rPr>
                <w:rFonts w:ascii="Times New Roman" w:hAnsi="Times New Roman"/>
                <w:i/>
                <w:sz w:val="24"/>
                <w:szCs w:val="24"/>
              </w:rPr>
            </w:pPr>
            <w:proofErr w:type="spellStart"/>
            <w:r w:rsidRPr="00D0646F">
              <w:rPr>
                <w:rFonts w:ascii="Times New Roman" w:hAnsi="Times New Roman"/>
                <w:i/>
                <w:sz w:val="24"/>
                <w:szCs w:val="24"/>
              </w:rPr>
              <w:t>Latvijā</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vien</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dažas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profesijas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kurās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nelaimes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gadījumu</w:t>
            </w:r>
            <w:proofErr w:type="spellEnd"/>
            <w:r w:rsidR="006A066D">
              <w:rPr>
                <w:rFonts w:ascii="Times New Roman" w:hAnsi="Times New Roman"/>
                <w:i/>
                <w:sz w:val="24"/>
                <w:szCs w:val="24"/>
              </w:rPr>
              <w:t xml:space="preserve"> </w:t>
            </w:r>
            <w:proofErr w:type="spellStart"/>
            <w:r w:rsidR="006A066D">
              <w:rPr>
                <w:rFonts w:ascii="Times New Roman" w:hAnsi="Times New Roman"/>
                <w:i/>
                <w:sz w:val="24"/>
                <w:szCs w:val="24"/>
              </w:rPr>
              <w:t>papildus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apdrošināšana</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obligāta</w:t>
            </w:r>
            <w:proofErr w:type="spellEnd"/>
            <w:r w:rsidRPr="00D0646F">
              <w:rPr>
                <w:rFonts w:ascii="Times New Roman" w:hAnsi="Times New Roman"/>
                <w:i/>
                <w:sz w:val="24"/>
                <w:szCs w:val="24"/>
              </w:rPr>
              <w:t xml:space="preserve">. Apdrošināšanas nozarei ir jāveicina augstāka drošības sajūta dažādos uzņēmējdarbības un valsts nodarbinātības sektoros, kā arī privātpersonu ikdienā. </w:t>
            </w:r>
            <w:proofErr w:type="spellStart"/>
            <w:r w:rsidRPr="00D0646F">
              <w:rPr>
                <w:rFonts w:ascii="Times New Roman" w:hAnsi="Times New Roman"/>
                <w:i/>
                <w:sz w:val="24"/>
                <w:szCs w:val="24"/>
              </w:rPr>
              <w:t>Jāstimulē</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arī</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obligātā</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nelaimes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gadījumu</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apdrošināšana</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atsevišķās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profesijās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piemēram</w:t>
            </w:r>
            <w:proofErr w:type="spellEnd"/>
            <w:r w:rsidRPr="00D0646F">
              <w:rPr>
                <w:rFonts w:ascii="Times New Roman" w:hAnsi="Times New Roman"/>
                <w:i/>
                <w:sz w:val="24"/>
                <w:szCs w:val="24"/>
              </w:rPr>
              <w:t xml:space="preserve">, Valsts </w:t>
            </w:r>
            <w:proofErr w:type="spellStart"/>
            <w:r w:rsidRPr="00D0646F">
              <w:rPr>
                <w:rFonts w:ascii="Times New Roman" w:hAnsi="Times New Roman"/>
                <w:i/>
                <w:sz w:val="24"/>
                <w:szCs w:val="24"/>
              </w:rPr>
              <w:t>ugunsdzēsības</w:t>
            </w:r>
            <w:proofErr w:type="spellEnd"/>
            <w:r w:rsidRPr="00D0646F">
              <w:rPr>
                <w:rFonts w:ascii="Times New Roman" w:hAnsi="Times New Roman"/>
                <w:i/>
                <w:sz w:val="24"/>
                <w:szCs w:val="24"/>
              </w:rPr>
              <w:t xml:space="preserve"> un </w:t>
            </w:r>
            <w:proofErr w:type="spellStart"/>
            <w:r w:rsidRPr="00D0646F">
              <w:rPr>
                <w:rFonts w:ascii="Times New Roman" w:hAnsi="Times New Roman"/>
                <w:i/>
                <w:sz w:val="24"/>
                <w:szCs w:val="24"/>
              </w:rPr>
              <w:t>glābšanas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dienesta</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policijas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vai</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militārie</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darbinieki</w:t>
            </w:r>
            <w:proofErr w:type="spellEnd"/>
            <w:r w:rsidRPr="00D0646F">
              <w:rPr>
                <w:rFonts w:ascii="Times New Roman" w:hAnsi="Times New Roman"/>
                <w:i/>
                <w:sz w:val="24"/>
                <w:szCs w:val="24"/>
              </w:rPr>
              <w:t>.</w:t>
            </w:r>
          </w:p>
          <w:p w:rsidR="00D0646F" w:rsidRPr="00D0646F" w:rsidRDefault="00D0646F" w:rsidP="00D0646F">
            <w:pPr>
              <w:pStyle w:val="ListParagraph"/>
              <w:spacing w:after="120" w:line="240" w:lineRule="auto"/>
              <w:ind w:left="0"/>
              <w:rPr>
                <w:rFonts w:ascii="Times New Roman" w:hAnsi="Times New Roman"/>
                <w:i/>
                <w:sz w:val="24"/>
                <w:szCs w:val="24"/>
              </w:rPr>
            </w:pPr>
          </w:p>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Rīcībai: </w:t>
            </w:r>
          </w:p>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Izstrādāt grozījumus esošajā tiesiskajā regulējumā, paredzot paplašināt to profesiju </w:t>
            </w:r>
            <w:proofErr w:type="spellStart"/>
            <w:r w:rsidRPr="00D0646F">
              <w:rPr>
                <w:rFonts w:ascii="Times New Roman" w:hAnsi="Times New Roman"/>
                <w:sz w:val="24"/>
                <w:szCs w:val="24"/>
              </w:rPr>
              <w:t>klāstu</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kam</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lastRenderedPageBreak/>
              <w:t>piemērojama</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obligātā</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nelaimes</w:t>
            </w:r>
            <w:proofErr w:type="spellEnd"/>
            <w:r w:rsidRPr="00D0646F">
              <w:rPr>
                <w:rFonts w:ascii="Times New Roman" w:hAnsi="Times New Roman"/>
                <w:sz w:val="24"/>
                <w:szCs w:val="24"/>
              </w:rPr>
              <w:t xml:space="preserve"> </w:t>
            </w:r>
            <w:proofErr w:type="spellStart"/>
            <w:r w:rsidRPr="00D0646F">
              <w:rPr>
                <w:rFonts w:ascii="Times New Roman" w:hAnsi="Times New Roman"/>
                <w:sz w:val="24"/>
                <w:szCs w:val="24"/>
              </w:rPr>
              <w:t>gadījumu</w:t>
            </w:r>
            <w:proofErr w:type="spellEnd"/>
            <w:r w:rsidRPr="00D0646F">
              <w:rPr>
                <w:rFonts w:ascii="Times New Roman" w:hAnsi="Times New Roman"/>
                <w:sz w:val="24"/>
                <w:szCs w:val="24"/>
              </w:rPr>
              <w:t xml:space="preserve"> </w:t>
            </w:r>
            <w:proofErr w:type="spellStart"/>
            <w:r w:rsidR="006A066D">
              <w:rPr>
                <w:rFonts w:ascii="Times New Roman" w:hAnsi="Times New Roman"/>
                <w:sz w:val="24"/>
                <w:szCs w:val="24"/>
              </w:rPr>
              <w:t>papildus</w:t>
            </w:r>
            <w:proofErr w:type="spellEnd"/>
            <w:r w:rsidR="006A066D">
              <w:rPr>
                <w:rFonts w:ascii="Times New Roman" w:hAnsi="Times New Roman"/>
                <w:sz w:val="24"/>
                <w:szCs w:val="24"/>
              </w:rPr>
              <w:t xml:space="preserve"> </w:t>
            </w:r>
            <w:proofErr w:type="spellStart"/>
            <w:r w:rsidRPr="00D0646F">
              <w:rPr>
                <w:rFonts w:ascii="Times New Roman" w:hAnsi="Times New Roman"/>
                <w:sz w:val="24"/>
                <w:szCs w:val="24"/>
              </w:rPr>
              <w:t>apdrošināšana</w:t>
            </w:r>
            <w:proofErr w:type="spellEnd"/>
            <w:r w:rsidRPr="00D0646F">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lastRenderedPageBreak/>
              <w:t>31.12.2016</w:t>
            </w:r>
            <w:r w:rsidR="009A163D">
              <w:rPr>
                <w:rFonts w:ascii="Times New Roman" w:hAnsi="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FM</w:t>
            </w:r>
          </w:p>
        </w:tc>
        <w:tc>
          <w:tcPr>
            <w:tcW w:w="1230"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LAA turpināt jautājuma izpēti. Izpētē izvērtēt jautājumus par pašreizējo situāciju (statistiku, problemātiskajām nozarēm). Saskaņot ar </w:t>
            </w:r>
            <w:r w:rsidR="00DA3AF1" w:rsidRPr="00D0646F">
              <w:rPr>
                <w:rFonts w:ascii="Times New Roman" w:hAnsi="Times New Roman"/>
                <w:sz w:val="24"/>
                <w:szCs w:val="24"/>
              </w:rPr>
              <w:t>atbildīgajām valsts pārvaldes iestādēm.</w:t>
            </w:r>
          </w:p>
        </w:tc>
        <w:tc>
          <w:tcPr>
            <w:tcW w:w="739" w:type="pct"/>
            <w:tcBorders>
              <w:top w:val="single" w:sz="4" w:space="0" w:color="auto"/>
              <w:left w:val="single" w:sz="4" w:space="0" w:color="auto"/>
              <w:bottom w:val="single" w:sz="4" w:space="0" w:color="auto"/>
              <w:right w:val="single" w:sz="4" w:space="0" w:color="auto"/>
            </w:tcBorders>
          </w:tcPr>
          <w:p w:rsidR="002843E7" w:rsidRPr="00D0646F" w:rsidRDefault="00484D0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budžeta ietvaros.</w:t>
            </w:r>
          </w:p>
        </w:tc>
      </w:tr>
      <w:tr w:rsidR="002843E7" w:rsidRPr="002843E7" w:rsidTr="002843E7">
        <w:tc>
          <w:tcPr>
            <w:tcW w:w="1391"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lastRenderedPageBreak/>
              <w:t>7.3.Paaugstināt limitus atsevišķos obligātās civiltiesiskās atbildības  apdrošināšanas veidos</w:t>
            </w:r>
            <w:r w:rsidR="00DA3AF1" w:rsidRPr="00D0646F">
              <w:rPr>
                <w:rFonts w:ascii="Times New Roman" w:hAnsi="Times New Roman"/>
                <w:sz w:val="24"/>
                <w:szCs w:val="24"/>
              </w:rPr>
              <w:t>.</w:t>
            </w:r>
          </w:p>
          <w:p w:rsidR="002843E7" w:rsidRPr="00D0646F" w:rsidRDefault="002843E7" w:rsidP="00D0646F">
            <w:pPr>
              <w:pStyle w:val="ListParagraph"/>
              <w:spacing w:after="120" w:line="240" w:lineRule="auto"/>
              <w:ind w:left="0"/>
              <w:rPr>
                <w:rFonts w:ascii="Times New Roman" w:hAnsi="Times New Roman"/>
                <w:i/>
                <w:sz w:val="24"/>
                <w:szCs w:val="24"/>
              </w:rPr>
            </w:pPr>
            <w:r w:rsidRPr="00D0646F">
              <w:rPr>
                <w:rFonts w:ascii="Times New Roman" w:hAnsi="Times New Roman"/>
                <w:i/>
                <w:sz w:val="24"/>
                <w:szCs w:val="24"/>
              </w:rPr>
              <w:t xml:space="preserve">Apdrošināšanas nozarei jāveicina augstāka drošības sajūta dažādos uzņēmējdarbības sektoros, kā arī privātpersonu ikdienā. Pārskatīt obligātās apdrošināšanas summu limitus – būvuzņēmēja CTA limits 14 228 euro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gaužām</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mazs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piemēram</w:t>
            </w:r>
            <w:proofErr w:type="spellEnd"/>
            <w:r w:rsidRPr="00D0646F">
              <w:rPr>
                <w:rFonts w:ascii="Times New Roman" w:hAnsi="Times New Roman"/>
                <w:i/>
                <w:sz w:val="24"/>
                <w:szCs w:val="24"/>
              </w:rPr>
              <w:t xml:space="preserve">, Rīgas pils ugunsgrēka, Zolitūdes traģēdijas u.c. gadījumos. </w:t>
            </w:r>
            <w:proofErr w:type="spellStart"/>
            <w:r w:rsidRPr="00D0646F">
              <w:rPr>
                <w:rFonts w:ascii="Times New Roman" w:hAnsi="Times New Roman"/>
                <w:i/>
                <w:sz w:val="24"/>
                <w:szCs w:val="24"/>
              </w:rPr>
              <w:t>Farmaceitu</w:t>
            </w:r>
            <w:proofErr w:type="spellEnd"/>
            <w:r w:rsidRPr="00D0646F">
              <w:rPr>
                <w:rFonts w:ascii="Times New Roman" w:hAnsi="Times New Roman"/>
                <w:i/>
                <w:sz w:val="24"/>
                <w:szCs w:val="24"/>
              </w:rPr>
              <w:t xml:space="preserve"> CTA limits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1422 euro. </w:t>
            </w:r>
            <w:proofErr w:type="spellStart"/>
            <w:r w:rsidRPr="00D0646F">
              <w:rPr>
                <w:rFonts w:ascii="Times New Roman" w:hAnsi="Times New Roman"/>
                <w:i/>
                <w:sz w:val="24"/>
                <w:szCs w:val="24"/>
              </w:rPr>
              <w:t>Pasākumu</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organizatoru</w:t>
            </w:r>
            <w:proofErr w:type="spellEnd"/>
            <w:r w:rsidRPr="00D0646F">
              <w:rPr>
                <w:rFonts w:ascii="Times New Roman" w:hAnsi="Times New Roman"/>
                <w:i/>
                <w:sz w:val="24"/>
                <w:szCs w:val="24"/>
              </w:rPr>
              <w:t xml:space="preserve"> CTA limits </w:t>
            </w:r>
            <w:proofErr w:type="spellStart"/>
            <w:r w:rsidRPr="00D0646F">
              <w:rPr>
                <w:rFonts w:ascii="Times New Roman" w:hAnsi="Times New Roman"/>
                <w:i/>
                <w:sz w:val="24"/>
                <w:szCs w:val="24"/>
              </w:rPr>
              <w:t>ir</w:t>
            </w:r>
            <w:proofErr w:type="spellEnd"/>
            <w:r w:rsidRPr="00D0646F">
              <w:rPr>
                <w:rFonts w:ascii="Times New Roman" w:hAnsi="Times New Roman"/>
                <w:i/>
                <w:sz w:val="24"/>
                <w:szCs w:val="24"/>
              </w:rPr>
              <w:t xml:space="preserve"> 14 228 euro.</w:t>
            </w:r>
          </w:p>
          <w:p w:rsidR="00D0646F" w:rsidRDefault="00D0646F" w:rsidP="00D0646F">
            <w:pPr>
              <w:pStyle w:val="ListParagraph"/>
              <w:spacing w:after="120" w:line="240" w:lineRule="auto"/>
              <w:ind w:left="0"/>
              <w:rPr>
                <w:rFonts w:ascii="Times New Roman" w:hAnsi="Times New Roman"/>
                <w:sz w:val="24"/>
                <w:szCs w:val="24"/>
              </w:rPr>
            </w:pPr>
          </w:p>
          <w:p w:rsidR="002843E7" w:rsidRPr="00D0646F" w:rsidRDefault="002843E7" w:rsidP="00D0646F">
            <w:pPr>
              <w:pStyle w:val="ListParagraph"/>
              <w:spacing w:after="120" w:line="240" w:lineRule="auto"/>
              <w:ind w:left="0"/>
              <w:rPr>
                <w:rFonts w:ascii="Times New Roman" w:hAnsi="Times New Roman"/>
                <w:sz w:val="24"/>
                <w:szCs w:val="24"/>
              </w:rPr>
            </w:pPr>
            <w:proofErr w:type="spellStart"/>
            <w:r w:rsidRPr="00D0646F">
              <w:rPr>
                <w:rFonts w:ascii="Times New Roman" w:hAnsi="Times New Roman"/>
                <w:sz w:val="24"/>
                <w:szCs w:val="24"/>
              </w:rPr>
              <w:t>Rīcībai</w:t>
            </w:r>
            <w:proofErr w:type="spellEnd"/>
            <w:r w:rsidRPr="00D0646F">
              <w:rPr>
                <w:rFonts w:ascii="Times New Roman" w:hAnsi="Times New Roman"/>
                <w:sz w:val="24"/>
                <w:szCs w:val="24"/>
              </w:rPr>
              <w:t xml:space="preserve">: </w:t>
            </w:r>
          </w:p>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Izstrādāt grozījumus esošajā tiesiskajā regulējumā, paredzot paaugstināt limitus atsevišķos obligātās civiltiesiskās atbildības apdrošināšanas veidos.</w:t>
            </w:r>
          </w:p>
        </w:tc>
        <w:tc>
          <w:tcPr>
            <w:tcW w:w="902"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31.12.2016</w:t>
            </w:r>
            <w:r w:rsidR="009A163D">
              <w:rPr>
                <w:rFonts w:ascii="Times New Roman" w:hAnsi="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FM</w:t>
            </w:r>
          </w:p>
        </w:tc>
        <w:tc>
          <w:tcPr>
            <w:tcW w:w="1230"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LAA turpināt jautājuma izpēti. Izpētē izvērtēt jautājumus par pašreizējo situāciju (statistiku, problemātiskajām nozarēm). </w:t>
            </w:r>
            <w:r w:rsidR="00F23DAE" w:rsidRPr="00D0646F">
              <w:rPr>
                <w:rFonts w:ascii="Times New Roman" w:hAnsi="Times New Roman"/>
                <w:sz w:val="24"/>
                <w:szCs w:val="24"/>
              </w:rPr>
              <w:t>Saskaņot ar atbildīgajām valsts pārvaldes iestādēm.</w:t>
            </w:r>
          </w:p>
        </w:tc>
        <w:tc>
          <w:tcPr>
            <w:tcW w:w="739" w:type="pct"/>
            <w:tcBorders>
              <w:top w:val="single" w:sz="4" w:space="0" w:color="auto"/>
              <w:left w:val="single" w:sz="4" w:space="0" w:color="auto"/>
              <w:bottom w:val="single" w:sz="4" w:space="0" w:color="auto"/>
              <w:right w:val="single" w:sz="4" w:space="0" w:color="auto"/>
            </w:tcBorders>
          </w:tcPr>
          <w:p w:rsidR="002843E7" w:rsidRPr="002843E7" w:rsidRDefault="00484D07" w:rsidP="00D0646F">
            <w:pPr>
              <w:pStyle w:val="ListParagraph"/>
              <w:spacing w:after="120" w:line="240" w:lineRule="auto"/>
              <w:ind w:left="0"/>
              <w:rPr>
                <w:rFonts w:ascii="Times New Roman" w:eastAsia="Times New Roman" w:hAnsi="Times New Roman" w:cs="Calibri"/>
                <w:color w:val="000000"/>
                <w:sz w:val="24"/>
                <w:szCs w:val="24"/>
                <w:lang w:val="lv-LV" w:eastAsia="lv-LV"/>
              </w:rPr>
            </w:pPr>
            <w:r w:rsidRPr="00D0646F">
              <w:rPr>
                <w:rFonts w:ascii="Times New Roman" w:hAnsi="Times New Roman"/>
                <w:sz w:val="24"/>
                <w:szCs w:val="24"/>
              </w:rPr>
              <w:t>LAA budžeta ietvaros.</w:t>
            </w:r>
          </w:p>
        </w:tc>
      </w:tr>
      <w:tr w:rsidR="002843E7" w:rsidRPr="002843E7" w:rsidTr="002843E7">
        <w:tc>
          <w:tcPr>
            <w:tcW w:w="1391" w:type="pct"/>
          </w:tcPr>
          <w:p w:rsidR="002843E7" w:rsidRPr="00D0646F" w:rsidRDefault="002843E7" w:rsidP="00D0646F">
            <w:pPr>
              <w:pStyle w:val="ListParagraph"/>
              <w:spacing w:after="120" w:line="240" w:lineRule="auto"/>
              <w:ind w:left="0"/>
              <w:rPr>
                <w:rFonts w:ascii="Times New Roman" w:hAnsi="Times New Roman"/>
                <w:i/>
                <w:sz w:val="24"/>
                <w:szCs w:val="24"/>
              </w:rPr>
            </w:pPr>
            <w:r w:rsidRPr="00D0646F">
              <w:rPr>
                <w:rFonts w:ascii="Times New Roman" w:hAnsi="Times New Roman"/>
                <w:i/>
                <w:sz w:val="24"/>
                <w:szCs w:val="24"/>
              </w:rPr>
              <w:t xml:space="preserve">7.4. </w:t>
            </w:r>
            <w:proofErr w:type="spellStart"/>
            <w:r w:rsidRPr="00D0646F">
              <w:rPr>
                <w:rFonts w:ascii="Times New Roman" w:hAnsi="Times New Roman"/>
                <w:i/>
                <w:sz w:val="24"/>
                <w:szCs w:val="24"/>
              </w:rPr>
              <w:t>Obligāto</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apdrošināšanas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veidu</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sistēmas</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sakārtošana</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efektīva</w:t>
            </w:r>
            <w:proofErr w:type="spellEnd"/>
            <w:r w:rsidRPr="00D0646F">
              <w:rPr>
                <w:rFonts w:ascii="Times New Roman" w:hAnsi="Times New Roman"/>
                <w:i/>
                <w:sz w:val="24"/>
                <w:szCs w:val="24"/>
              </w:rPr>
              <w:t xml:space="preserve"> </w:t>
            </w:r>
            <w:proofErr w:type="spellStart"/>
            <w:r w:rsidRPr="00D0646F">
              <w:rPr>
                <w:rFonts w:ascii="Times New Roman" w:hAnsi="Times New Roman"/>
                <w:i/>
                <w:sz w:val="24"/>
                <w:szCs w:val="24"/>
              </w:rPr>
              <w:t>vadība</w:t>
            </w:r>
            <w:proofErr w:type="spellEnd"/>
          </w:p>
          <w:p w:rsidR="00D0646F" w:rsidRPr="00D0646F" w:rsidRDefault="00D0646F" w:rsidP="00D0646F">
            <w:pPr>
              <w:pStyle w:val="ListParagraph"/>
              <w:spacing w:after="120" w:line="240" w:lineRule="auto"/>
              <w:ind w:left="0"/>
              <w:rPr>
                <w:rFonts w:ascii="Times New Roman" w:hAnsi="Times New Roman"/>
                <w:i/>
                <w:sz w:val="24"/>
                <w:szCs w:val="24"/>
              </w:rPr>
            </w:pPr>
          </w:p>
          <w:p w:rsidR="002843E7" w:rsidRPr="00D0646F" w:rsidRDefault="002843E7" w:rsidP="00D0646F">
            <w:pPr>
              <w:pStyle w:val="ListParagraph"/>
              <w:spacing w:after="120" w:line="240" w:lineRule="auto"/>
              <w:ind w:left="0"/>
              <w:rPr>
                <w:rFonts w:ascii="Times New Roman" w:hAnsi="Times New Roman"/>
                <w:i/>
                <w:sz w:val="24"/>
                <w:szCs w:val="24"/>
              </w:rPr>
            </w:pPr>
            <w:r w:rsidRPr="00D0646F">
              <w:rPr>
                <w:rFonts w:ascii="Times New Roman" w:hAnsi="Times New Roman"/>
                <w:i/>
                <w:sz w:val="24"/>
                <w:szCs w:val="24"/>
              </w:rPr>
              <w:t xml:space="preserve">Šobrīd pastāv vairāk nekā 30 „nelieli” </w:t>
            </w:r>
            <w:r w:rsidRPr="00D0646F">
              <w:rPr>
                <w:rFonts w:ascii="Times New Roman" w:hAnsi="Times New Roman"/>
                <w:i/>
                <w:sz w:val="24"/>
                <w:szCs w:val="24"/>
              </w:rPr>
              <w:lastRenderedPageBreak/>
              <w:t>obligātie profesionālie apdrošināšanas veidi, kuros nenotiek praktiski nekāda kontrole un/vai uzskaite. Nepieciešams izveidot centralizētu obligāto apdrošināšanas veidu uzraudzības un kontroles sistēmu.</w:t>
            </w:r>
          </w:p>
          <w:p w:rsidR="00D0646F" w:rsidRDefault="00D0646F" w:rsidP="00D0646F">
            <w:pPr>
              <w:pStyle w:val="ListParagraph"/>
              <w:spacing w:after="120" w:line="240" w:lineRule="auto"/>
              <w:ind w:left="0"/>
              <w:rPr>
                <w:rFonts w:ascii="Times New Roman" w:hAnsi="Times New Roman"/>
                <w:sz w:val="24"/>
                <w:szCs w:val="24"/>
              </w:rPr>
            </w:pPr>
          </w:p>
          <w:p w:rsidR="002843E7" w:rsidRPr="00D0646F" w:rsidRDefault="002843E7" w:rsidP="00D0646F">
            <w:pPr>
              <w:pStyle w:val="ListParagraph"/>
              <w:spacing w:after="120" w:line="240" w:lineRule="auto"/>
              <w:ind w:left="0"/>
              <w:rPr>
                <w:rFonts w:ascii="Times New Roman" w:hAnsi="Times New Roman"/>
                <w:sz w:val="24"/>
                <w:szCs w:val="24"/>
              </w:rPr>
            </w:pPr>
            <w:proofErr w:type="spellStart"/>
            <w:r w:rsidRPr="00D0646F">
              <w:rPr>
                <w:rFonts w:ascii="Times New Roman" w:hAnsi="Times New Roman"/>
                <w:sz w:val="24"/>
                <w:szCs w:val="24"/>
              </w:rPr>
              <w:t>Rīcībai</w:t>
            </w:r>
            <w:proofErr w:type="spellEnd"/>
            <w:r w:rsidRPr="00D0646F">
              <w:rPr>
                <w:rFonts w:ascii="Times New Roman" w:hAnsi="Times New Roman"/>
                <w:sz w:val="24"/>
                <w:szCs w:val="24"/>
              </w:rPr>
              <w:t xml:space="preserve">: </w:t>
            </w:r>
          </w:p>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Izstrādāt grozījumus esošajā tiesiskajā regulējumā, paredzot centralizētu obligāto apdrošināšanas veidu uzskaiti un kontroli</w:t>
            </w:r>
          </w:p>
          <w:p w:rsidR="002843E7" w:rsidRPr="00D0646F" w:rsidRDefault="002843E7" w:rsidP="00D0646F">
            <w:pPr>
              <w:pStyle w:val="ListParagraph"/>
              <w:spacing w:after="120" w:line="240" w:lineRule="auto"/>
              <w:ind w:left="0"/>
              <w:rPr>
                <w:rFonts w:ascii="Times New Roman" w:hAnsi="Times New Roman"/>
                <w:sz w:val="24"/>
                <w:szCs w:val="24"/>
              </w:rPr>
            </w:pPr>
          </w:p>
        </w:tc>
        <w:tc>
          <w:tcPr>
            <w:tcW w:w="902"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lastRenderedPageBreak/>
              <w:t>31.12.2016</w:t>
            </w:r>
            <w:r w:rsidR="009A163D">
              <w:rPr>
                <w:rFonts w:ascii="Times New Roman" w:hAnsi="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2843E7" w:rsidRPr="00D0646F" w:rsidRDefault="002843E7" w:rsidP="00556C84">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FM</w:t>
            </w:r>
          </w:p>
        </w:tc>
        <w:tc>
          <w:tcPr>
            <w:tcW w:w="1230" w:type="pct"/>
            <w:tcBorders>
              <w:top w:val="single" w:sz="4" w:space="0" w:color="auto"/>
              <w:left w:val="single" w:sz="4" w:space="0" w:color="auto"/>
              <w:bottom w:val="single" w:sz="4" w:space="0" w:color="auto"/>
              <w:right w:val="single" w:sz="4" w:space="0" w:color="auto"/>
            </w:tcBorders>
          </w:tcPr>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LAA turpināt jautājuma izpēti.</w:t>
            </w:r>
          </w:p>
          <w:p w:rsidR="002843E7" w:rsidRPr="00D0646F" w:rsidRDefault="002843E7" w:rsidP="00D0646F">
            <w:pPr>
              <w:pStyle w:val="ListParagraph"/>
              <w:spacing w:after="120" w:line="240" w:lineRule="auto"/>
              <w:ind w:left="0"/>
              <w:rPr>
                <w:rFonts w:ascii="Times New Roman" w:hAnsi="Times New Roman"/>
                <w:sz w:val="24"/>
                <w:szCs w:val="24"/>
              </w:rPr>
            </w:pPr>
            <w:r w:rsidRPr="00D0646F">
              <w:rPr>
                <w:rFonts w:ascii="Times New Roman" w:hAnsi="Times New Roman"/>
                <w:sz w:val="24"/>
                <w:szCs w:val="24"/>
              </w:rPr>
              <w:t xml:space="preserve">Izvērtēt iespējas centralizēti veikt obligāto apdrošināšanas veidu uzskaiti un </w:t>
            </w:r>
            <w:r w:rsidRPr="00D0646F">
              <w:rPr>
                <w:rFonts w:ascii="Times New Roman" w:hAnsi="Times New Roman"/>
                <w:sz w:val="24"/>
                <w:szCs w:val="24"/>
              </w:rPr>
              <w:lastRenderedPageBreak/>
              <w:t>kontroli un iespējamos risinājuma modeļus.</w:t>
            </w:r>
          </w:p>
        </w:tc>
        <w:tc>
          <w:tcPr>
            <w:tcW w:w="739" w:type="pct"/>
            <w:tcBorders>
              <w:top w:val="single" w:sz="4" w:space="0" w:color="auto"/>
              <w:left w:val="single" w:sz="4" w:space="0" w:color="auto"/>
              <w:bottom w:val="single" w:sz="4" w:space="0" w:color="auto"/>
              <w:right w:val="single" w:sz="4" w:space="0" w:color="auto"/>
            </w:tcBorders>
          </w:tcPr>
          <w:p w:rsidR="002843E7" w:rsidRPr="002843E7" w:rsidRDefault="00484D07" w:rsidP="00D0646F">
            <w:pPr>
              <w:pStyle w:val="ListParagraph"/>
              <w:spacing w:after="120" w:line="240" w:lineRule="auto"/>
              <w:ind w:left="0"/>
              <w:rPr>
                <w:rFonts w:ascii="Times New Roman" w:eastAsia="Calibri" w:hAnsi="Times New Roman" w:cs="Times New Roman"/>
                <w:sz w:val="24"/>
                <w:szCs w:val="24"/>
                <w:lang w:val="lv-LV"/>
              </w:rPr>
            </w:pPr>
            <w:r w:rsidRPr="00D0646F">
              <w:rPr>
                <w:rFonts w:ascii="Times New Roman" w:hAnsi="Times New Roman"/>
                <w:sz w:val="24"/>
                <w:szCs w:val="24"/>
              </w:rPr>
              <w:lastRenderedPageBreak/>
              <w:t>LAA budžeta ietvaros.</w:t>
            </w:r>
          </w:p>
        </w:tc>
      </w:tr>
    </w:tbl>
    <w:p w:rsidR="00F858FF" w:rsidRPr="00F858FF" w:rsidRDefault="00F858FF" w:rsidP="00B1681F">
      <w:pPr>
        <w:spacing w:after="120" w:line="240" w:lineRule="auto"/>
        <w:jc w:val="both"/>
        <w:rPr>
          <w:rFonts w:ascii="Times New Roman" w:eastAsia="Times New Roman" w:hAnsi="Times New Roman" w:cs="Times New Roman"/>
          <w:sz w:val="28"/>
          <w:szCs w:val="28"/>
          <w:lang w:val="lv-LV" w:eastAsia="lv-LV"/>
        </w:rPr>
      </w:pPr>
    </w:p>
    <w:p w:rsidR="00FC08E7" w:rsidRPr="002843E7" w:rsidRDefault="00FC08E7" w:rsidP="002843E7">
      <w:pPr>
        <w:pStyle w:val="ListParagraph"/>
        <w:numPr>
          <w:ilvl w:val="0"/>
          <w:numId w:val="4"/>
        </w:numPr>
        <w:spacing w:after="120" w:line="240" w:lineRule="auto"/>
        <w:jc w:val="both"/>
        <w:rPr>
          <w:rFonts w:ascii="Times New Roman" w:eastAsia="Times New Roman" w:hAnsi="Times New Roman" w:cs="Times New Roman"/>
          <w:sz w:val="28"/>
          <w:szCs w:val="28"/>
          <w:lang w:val="lv-LV" w:eastAsia="lv-LV"/>
        </w:rPr>
      </w:pPr>
      <w:r w:rsidRPr="002843E7">
        <w:rPr>
          <w:rFonts w:ascii="Times New Roman" w:eastAsia="Times New Roman" w:hAnsi="Times New Roman" w:cs="Times New Roman"/>
          <w:sz w:val="28"/>
          <w:szCs w:val="28"/>
          <w:lang w:val="lv-LV" w:eastAsia="lv-LV"/>
        </w:rPr>
        <w:t>Finanšu ministrijai nedēļas laikā iesniegt precizēto plānu Valsts kancelejā.</w:t>
      </w:r>
    </w:p>
    <w:p w:rsidR="00685B17" w:rsidRDefault="00685B17" w:rsidP="00685B17">
      <w:pPr>
        <w:tabs>
          <w:tab w:val="right" w:pos="9072"/>
        </w:tabs>
        <w:snapToGrid w:val="0"/>
        <w:spacing w:after="0" w:line="240" w:lineRule="auto"/>
        <w:jc w:val="both"/>
        <w:rPr>
          <w:rFonts w:ascii="Times New Roman" w:eastAsia="Times New Roman" w:hAnsi="Times New Roman" w:cs="Times New Roman"/>
          <w:sz w:val="24"/>
          <w:szCs w:val="24"/>
          <w:lang w:val="lv-LV"/>
        </w:rPr>
      </w:pPr>
    </w:p>
    <w:p w:rsidR="00D0646F" w:rsidRDefault="00D0646F" w:rsidP="00685B17">
      <w:pPr>
        <w:tabs>
          <w:tab w:val="right" w:pos="9072"/>
        </w:tabs>
        <w:snapToGrid w:val="0"/>
        <w:spacing w:after="0" w:line="240" w:lineRule="auto"/>
        <w:jc w:val="both"/>
        <w:rPr>
          <w:rFonts w:ascii="Times New Roman" w:eastAsia="Times New Roman" w:hAnsi="Times New Roman" w:cs="Times New Roman"/>
          <w:sz w:val="24"/>
          <w:szCs w:val="24"/>
          <w:lang w:val="lv-LV"/>
        </w:rPr>
      </w:pPr>
    </w:p>
    <w:p w:rsidR="00D0646F" w:rsidRDefault="00D0646F" w:rsidP="00685B17">
      <w:pPr>
        <w:tabs>
          <w:tab w:val="right" w:pos="9072"/>
        </w:tabs>
        <w:snapToGrid w:val="0"/>
        <w:spacing w:after="0" w:line="240" w:lineRule="auto"/>
        <w:jc w:val="both"/>
        <w:rPr>
          <w:rFonts w:ascii="Times New Roman" w:eastAsia="Times New Roman" w:hAnsi="Times New Roman" w:cs="Times New Roman"/>
          <w:sz w:val="24"/>
          <w:szCs w:val="24"/>
          <w:lang w:val="lv-LV"/>
        </w:rPr>
      </w:pPr>
    </w:p>
    <w:p w:rsidR="00DA3AF1" w:rsidRDefault="00DA3AF1" w:rsidP="00685B17">
      <w:pPr>
        <w:tabs>
          <w:tab w:val="right" w:pos="9072"/>
        </w:tabs>
        <w:snapToGrid w:val="0"/>
        <w:spacing w:after="0" w:line="240" w:lineRule="auto"/>
        <w:jc w:val="both"/>
        <w:rPr>
          <w:rFonts w:ascii="Times New Roman" w:eastAsia="Times New Roman" w:hAnsi="Times New Roman" w:cs="Times New Roman"/>
          <w:sz w:val="28"/>
          <w:szCs w:val="24"/>
          <w:lang w:val="lv-LV"/>
        </w:rPr>
      </w:pPr>
    </w:p>
    <w:p w:rsidR="00685B17" w:rsidRPr="00685B17" w:rsidRDefault="00685B17" w:rsidP="00685B17">
      <w:pPr>
        <w:tabs>
          <w:tab w:val="right" w:pos="9072"/>
        </w:tabs>
        <w:snapToGrid w:val="0"/>
        <w:spacing w:after="0" w:line="240" w:lineRule="auto"/>
        <w:jc w:val="both"/>
        <w:rPr>
          <w:rFonts w:ascii="Times New Roman" w:eastAsia="Times New Roman" w:hAnsi="Times New Roman" w:cs="Times New Roman"/>
          <w:sz w:val="28"/>
          <w:szCs w:val="24"/>
          <w:lang w:val="lv-LV"/>
        </w:rPr>
      </w:pPr>
      <w:r w:rsidRPr="00685B17">
        <w:rPr>
          <w:rFonts w:ascii="Times New Roman" w:eastAsia="Times New Roman" w:hAnsi="Times New Roman" w:cs="Times New Roman"/>
          <w:sz w:val="28"/>
          <w:szCs w:val="24"/>
          <w:lang w:val="lv-LV"/>
        </w:rPr>
        <w:t>Ministru prezident</w:t>
      </w:r>
      <w:r w:rsidR="000965A8">
        <w:rPr>
          <w:rFonts w:ascii="Times New Roman" w:eastAsia="Times New Roman" w:hAnsi="Times New Roman" w:cs="Times New Roman"/>
          <w:sz w:val="28"/>
          <w:szCs w:val="24"/>
          <w:lang w:val="lv-LV"/>
        </w:rPr>
        <w:t>e</w:t>
      </w:r>
      <w:r w:rsidRPr="00685B17">
        <w:rPr>
          <w:rFonts w:ascii="Times New Roman" w:eastAsia="Times New Roman" w:hAnsi="Times New Roman" w:cs="Times New Roman"/>
          <w:sz w:val="28"/>
          <w:szCs w:val="24"/>
          <w:lang w:val="lv-LV"/>
        </w:rPr>
        <w:tab/>
      </w:r>
      <w:r w:rsidR="000965A8">
        <w:rPr>
          <w:rFonts w:ascii="Times New Roman" w:eastAsia="Times New Roman" w:hAnsi="Times New Roman" w:cs="Times New Roman"/>
          <w:sz w:val="28"/>
          <w:szCs w:val="24"/>
          <w:lang w:val="lv-LV"/>
        </w:rPr>
        <w:t>L</w:t>
      </w:r>
      <w:r w:rsidRPr="00685B17">
        <w:rPr>
          <w:rFonts w:ascii="Times New Roman" w:eastAsia="Times New Roman" w:hAnsi="Times New Roman" w:cs="Times New Roman"/>
          <w:sz w:val="28"/>
          <w:szCs w:val="24"/>
          <w:lang w:val="lv-LV"/>
        </w:rPr>
        <w:t>.</w:t>
      </w:r>
      <w:r w:rsidR="000965A8">
        <w:rPr>
          <w:rFonts w:ascii="Times New Roman" w:eastAsia="Times New Roman" w:hAnsi="Times New Roman" w:cs="Times New Roman"/>
          <w:sz w:val="28"/>
          <w:szCs w:val="24"/>
          <w:lang w:val="lv-LV"/>
        </w:rPr>
        <w:t xml:space="preserve"> Straujuma</w:t>
      </w:r>
    </w:p>
    <w:p w:rsidR="00685B17" w:rsidRPr="00685B17" w:rsidRDefault="00685B17" w:rsidP="00685B17">
      <w:pPr>
        <w:tabs>
          <w:tab w:val="left" w:pos="6804"/>
        </w:tabs>
        <w:spacing w:after="0" w:line="240" w:lineRule="auto"/>
        <w:jc w:val="both"/>
        <w:rPr>
          <w:rFonts w:ascii="Times New Roman" w:eastAsia="Times New Roman" w:hAnsi="Times New Roman" w:cs="Times New Roman"/>
          <w:sz w:val="28"/>
          <w:szCs w:val="24"/>
          <w:lang w:val="lv-LV" w:eastAsia="lv-LV"/>
        </w:rPr>
      </w:pPr>
    </w:p>
    <w:p w:rsidR="00DA3AF1" w:rsidRDefault="00DA3AF1" w:rsidP="00685B17">
      <w:pPr>
        <w:tabs>
          <w:tab w:val="left" w:pos="7200"/>
          <w:tab w:val="right" w:pos="9072"/>
        </w:tabs>
        <w:snapToGrid w:val="0"/>
        <w:spacing w:after="0" w:line="240" w:lineRule="auto"/>
        <w:jc w:val="both"/>
        <w:rPr>
          <w:rFonts w:ascii="Times New Roman" w:eastAsia="Times New Roman" w:hAnsi="Times New Roman" w:cs="Times New Roman"/>
          <w:sz w:val="28"/>
          <w:szCs w:val="24"/>
          <w:lang w:val="lv-LV"/>
        </w:rPr>
      </w:pPr>
    </w:p>
    <w:p w:rsidR="00F7449A" w:rsidRPr="00F7449A" w:rsidRDefault="00F7449A" w:rsidP="00F7449A">
      <w:pPr>
        <w:tabs>
          <w:tab w:val="left" w:pos="7200"/>
          <w:tab w:val="right" w:pos="9072"/>
        </w:tabs>
        <w:snapToGrid w:val="0"/>
        <w:spacing w:after="0" w:line="240" w:lineRule="auto"/>
        <w:jc w:val="both"/>
        <w:rPr>
          <w:rFonts w:ascii="Times New Roman" w:eastAsia="Times New Roman" w:hAnsi="Times New Roman" w:cs="Times New Roman"/>
          <w:sz w:val="28"/>
          <w:szCs w:val="24"/>
          <w:lang w:val="lv-LV"/>
        </w:rPr>
      </w:pPr>
      <w:bookmarkStart w:id="2" w:name="_GoBack"/>
      <w:r>
        <w:rPr>
          <w:rFonts w:ascii="Times New Roman" w:eastAsia="Times New Roman" w:hAnsi="Times New Roman" w:cs="Times New Roman"/>
          <w:sz w:val="28"/>
          <w:szCs w:val="24"/>
          <w:lang w:val="lv-LV"/>
        </w:rPr>
        <w:t>F</w:t>
      </w:r>
      <w:r w:rsidRPr="00F7449A">
        <w:rPr>
          <w:rFonts w:ascii="Times New Roman" w:eastAsia="Times New Roman" w:hAnsi="Times New Roman" w:cs="Times New Roman"/>
          <w:sz w:val="28"/>
          <w:szCs w:val="24"/>
          <w:lang w:val="lv-LV"/>
        </w:rPr>
        <w:t xml:space="preserve">inanšu ministra vietā -   </w:t>
      </w:r>
    </w:p>
    <w:p w:rsidR="00685B17" w:rsidRPr="00685B17" w:rsidRDefault="00F7449A" w:rsidP="00F7449A">
      <w:pPr>
        <w:tabs>
          <w:tab w:val="left" w:pos="7200"/>
          <w:tab w:val="right" w:pos="9072"/>
        </w:tabs>
        <w:snapToGrid w:val="0"/>
        <w:spacing w:after="0" w:line="240" w:lineRule="auto"/>
        <w:jc w:val="both"/>
        <w:rPr>
          <w:rFonts w:ascii="Times New Roman" w:eastAsia="Times New Roman" w:hAnsi="Times New Roman" w:cs="Times New Roman"/>
          <w:sz w:val="28"/>
          <w:szCs w:val="24"/>
          <w:lang w:val="lv-LV"/>
        </w:rPr>
      </w:pPr>
      <w:r>
        <w:rPr>
          <w:rFonts w:ascii="Times New Roman" w:eastAsia="Times New Roman" w:hAnsi="Times New Roman" w:cs="Times New Roman"/>
          <w:sz w:val="28"/>
          <w:szCs w:val="24"/>
          <w:lang w:val="lv-LV"/>
        </w:rPr>
        <w:t>S</w:t>
      </w:r>
      <w:r w:rsidRPr="00F7449A">
        <w:rPr>
          <w:rFonts w:ascii="Times New Roman" w:eastAsia="Times New Roman" w:hAnsi="Times New Roman" w:cs="Times New Roman"/>
          <w:sz w:val="28"/>
          <w:szCs w:val="24"/>
          <w:lang w:val="lv-LV"/>
        </w:rPr>
        <w:t xml:space="preserve">atiksmes ministrs                       </w:t>
      </w:r>
      <w:r>
        <w:rPr>
          <w:rFonts w:ascii="Times New Roman" w:eastAsia="Times New Roman" w:hAnsi="Times New Roman" w:cs="Times New Roman"/>
          <w:sz w:val="28"/>
          <w:szCs w:val="24"/>
          <w:lang w:val="lv-LV"/>
        </w:rPr>
        <w:t xml:space="preserve">                                                  </w:t>
      </w:r>
      <w:r w:rsidRPr="00F7449A">
        <w:rPr>
          <w:rFonts w:ascii="Times New Roman" w:eastAsia="Times New Roman" w:hAnsi="Times New Roman" w:cs="Times New Roman"/>
          <w:sz w:val="28"/>
          <w:szCs w:val="24"/>
          <w:lang w:val="lv-LV"/>
        </w:rPr>
        <w:t xml:space="preserve">  </w:t>
      </w:r>
      <w:proofErr w:type="spellStart"/>
      <w:r w:rsidRPr="00F7449A">
        <w:rPr>
          <w:rFonts w:ascii="Times New Roman" w:eastAsia="Times New Roman" w:hAnsi="Times New Roman" w:cs="Times New Roman"/>
          <w:sz w:val="28"/>
          <w:szCs w:val="24"/>
          <w:lang w:val="lv-LV"/>
        </w:rPr>
        <w:t>A.Matīss</w:t>
      </w:r>
      <w:bookmarkEnd w:id="2"/>
      <w:proofErr w:type="spellEnd"/>
      <w:r w:rsidRPr="00F7449A">
        <w:rPr>
          <w:rFonts w:ascii="Times New Roman" w:eastAsia="Times New Roman" w:hAnsi="Times New Roman" w:cs="Times New Roman"/>
          <w:sz w:val="28"/>
          <w:szCs w:val="24"/>
          <w:lang w:val="lv-LV"/>
        </w:rPr>
        <w:tab/>
      </w:r>
    </w:p>
    <w:p w:rsidR="00685B17" w:rsidRDefault="00685B17" w:rsidP="00685B17">
      <w:pPr>
        <w:spacing w:after="0" w:line="240" w:lineRule="auto"/>
        <w:rPr>
          <w:rFonts w:ascii="Times New Roman" w:eastAsia="Times New Roman" w:hAnsi="Times New Roman" w:cs="Times New Roman"/>
          <w:sz w:val="24"/>
          <w:szCs w:val="24"/>
          <w:lang w:val="lv-LV" w:eastAsia="lv-LV"/>
        </w:rPr>
      </w:pPr>
    </w:p>
    <w:p w:rsidR="0049307D" w:rsidRPr="0049307D" w:rsidRDefault="0049307D" w:rsidP="0049307D">
      <w:pPr>
        <w:tabs>
          <w:tab w:val="left" w:pos="7200"/>
          <w:tab w:val="right" w:pos="9072"/>
        </w:tabs>
        <w:snapToGrid w:val="0"/>
        <w:spacing w:after="0" w:line="240" w:lineRule="auto"/>
        <w:jc w:val="both"/>
        <w:rPr>
          <w:rFonts w:ascii="Times New Roman" w:eastAsia="Times New Roman" w:hAnsi="Times New Roman" w:cs="Times New Roman"/>
          <w:sz w:val="28"/>
          <w:szCs w:val="24"/>
          <w:lang w:val="lv-LV"/>
        </w:rPr>
      </w:pPr>
      <w:r w:rsidRPr="0049307D">
        <w:rPr>
          <w:rFonts w:ascii="Times New Roman" w:eastAsia="Times New Roman" w:hAnsi="Times New Roman" w:cs="Times New Roman"/>
          <w:sz w:val="28"/>
          <w:szCs w:val="24"/>
          <w:lang w:val="lv-LV"/>
        </w:rPr>
        <w:t xml:space="preserve">Vīza: Valsts sekretāre             </w:t>
      </w:r>
      <w:r>
        <w:rPr>
          <w:rFonts w:ascii="Times New Roman" w:eastAsia="Times New Roman" w:hAnsi="Times New Roman" w:cs="Times New Roman"/>
          <w:sz w:val="28"/>
          <w:szCs w:val="24"/>
          <w:lang w:val="lv-LV"/>
        </w:rPr>
        <w:t xml:space="preserve">                                              </w:t>
      </w:r>
      <w:r w:rsidR="00312966">
        <w:rPr>
          <w:rFonts w:ascii="Times New Roman" w:eastAsia="Times New Roman" w:hAnsi="Times New Roman" w:cs="Times New Roman"/>
          <w:sz w:val="28"/>
          <w:szCs w:val="24"/>
          <w:lang w:val="lv-LV"/>
        </w:rPr>
        <w:t xml:space="preserve">            </w:t>
      </w:r>
      <w:proofErr w:type="spellStart"/>
      <w:r w:rsidR="00312966">
        <w:rPr>
          <w:rFonts w:ascii="Times New Roman" w:eastAsia="Times New Roman" w:hAnsi="Times New Roman" w:cs="Times New Roman"/>
          <w:sz w:val="28"/>
          <w:szCs w:val="24"/>
          <w:lang w:val="lv-LV"/>
        </w:rPr>
        <w:t>B</w:t>
      </w:r>
      <w:r w:rsidRPr="0049307D">
        <w:rPr>
          <w:rFonts w:ascii="Times New Roman" w:eastAsia="Times New Roman" w:hAnsi="Times New Roman" w:cs="Times New Roman"/>
          <w:sz w:val="28"/>
          <w:szCs w:val="24"/>
          <w:lang w:val="lv-LV"/>
        </w:rPr>
        <w:t>.</w:t>
      </w:r>
      <w:r w:rsidR="00312966">
        <w:rPr>
          <w:rFonts w:ascii="Times New Roman" w:eastAsia="Times New Roman" w:hAnsi="Times New Roman" w:cs="Times New Roman"/>
          <w:sz w:val="28"/>
          <w:szCs w:val="24"/>
          <w:lang w:val="lv-LV"/>
        </w:rPr>
        <w:t>Bāne</w:t>
      </w:r>
      <w:proofErr w:type="spellEnd"/>
    </w:p>
    <w:p w:rsidR="0049307D" w:rsidRPr="0049307D" w:rsidRDefault="0049307D" w:rsidP="0049307D">
      <w:pPr>
        <w:tabs>
          <w:tab w:val="left" w:pos="7200"/>
          <w:tab w:val="right" w:pos="9072"/>
        </w:tabs>
        <w:snapToGrid w:val="0"/>
        <w:spacing w:after="0" w:line="240" w:lineRule="auto"/>
        <w:jc w:val="both"/>
        <w:rPr>
          <w:rFonts w:ascii="Times New Roman" w:eastAsia="Times New Roman" w:hAnsi="Times New Roman" w:cs="Times New Roman"/>
          <w:sz w:val="28"/>
          <w:szCs w:val="24"/>
          <w:lang w:val="lv-LV"/>
        </w:rPr>
      </w:pPr>
    </w:p>
    <w:p w:rsidR="00E846FD" w:rsidRDefault="00E846FD" w:rsidP="00685B17">
      <w:pPr>
        <w:spacing w:after="0" w:line="240" w:lineRule="auto"/>
        <w:rPr>
          <w:rFonts w:ascii="Times New Roman" w:eastAsia="Times New Roman" w:hAnsi="Times New Roman" w:cs="Times New Roman"/>
          <w:sz w:val="24"/>
          <w:szCs w:val="24"/>
          <w:lang w:val="lv-LV" w:eastAsia="lv-LV"/>
        </w:rPr>
      </w:pPr>
    </w:p>
    <w:p w:rsidR="00E846FD" w:rsidRDefault="00E846FD" w:rsidP="00685B17">
      <w:pPr>
        <w:spacing w:after="0" w:line="240" w:lineRule="auto"/>
        <w:rPr>
          <w:rFonts w:ascii="Times New Roman" w:eastAsia="Times New Roman" w:hAnsi="Times New Roman" w:cs="Times New Roman"/>
          <w:sz w:val="24"/>
          <w:szCs w:val="24"/>
          <w:lang w:val="lv-LV" w:eastAsia="lv-LV"/>
        </w:rPr>
      </w:pPr>
    </w:p>
    <w:p w:rsidR="00685B17" w:rsidRPr="00685B17" w:rsidRDefault="00685B17" w:rsidP="00685B17">
      <w:pPr>
        <w:spacing w:after="0" w:line="240" w:lineRule="auto"/>
        <w:rPr>
          <w:rFonts w:ascii="Times New Roman" w:eastAsia="Times New Roman" w:hAnsi="Times New Roman" w:cs="Times New Roman"/>
          <w:sz w:val="24"/>
          <w:szCs w:val="24"/>
          <w:lang w:val="lv-LV" w:eastAsia="lv-LV"/>
        </w:rPr>
      </w:pPr>
    </w:p>
    <w:p w:rsidR="00685B17" w:rsidRPr="00685B17" w:rsidRDefault="00E40C7C" w:rsidP="00685B17">
      <w:pPr>
        <w:spacing w:after="0" w:line="240" w:lineRule="auto"/>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2</w:t>
      </w:r>
      <w:r w:rsidR="003B725B">
        <w:rPr>
          <w:rFonts w:ascii="Times New Roman" w:eastAsia="Times New Roman" w:hAnsi="Times New Roman" w:cs="Times New Roman"/>
          <w:lang w:val="lv-LV" w:eastAsia="lv-LV"/>
        </w:rPr>
        <w:t>8</w:t>
      </w:r>
      <w:r w:rsidR="00CA64C0">
        <w:rPr>
          <w:rFonts w:ascii="Times New Roman" w:eastAsia="Times New Roman" w:hAnsi="Times New Roman" w:cs="Times New Roman"/>
          <w:lang w:val="lv-LV" w:eastAsia="lv-LV"/>
        </w:rPr>
        <w:t>.08.</w:t>
      </w:r>
      <w:r w:rsidR="00FC6818">
        <w:rPr>
          <w:rFonts w:ascii="Times New Roman" w:eastAsia="Times New Roman" w:hAnsi="Times New Roman" w:cs="Times New Roman"/>
          <w:lang w:val="lv-LV" w:eastAsia="lv-LV"/>
        </w:rPr>
        <w:t>2014</w:t>
      </w:r>
      <w:r w:rsidR="00685B17" w:rsidRPr="00685B17">
        <w:rPr>
          <w:rFonts w:ascii="Times New Roman" w:eastAsia="Times New Roman" w:hAnsi="Times New Roman" w:cs="Times New Roman"/>
          <w:lang w:val="lv-LV" w:eastAsia="lv-LV"/>
        </w:rPr>
        <w:t xml:space="preserve">.  </w:t>
      </w:r>
      <w:r w:rsidR="006E665A">
        <w:rPr>
          <w:rFonts w:ascii="Times New Roman" w:eastAsia="Times New Roman" w:hAnsi="Times New Roman" w:cs="Times New Roman"/>
          <w:lang w:val="lv-LV" w:eastAsia="lv-LV"/>
        </w:rPr>
        <w:t>1</w:t>
      </w:r>
      <w:r w:rsidR="002A255F">
        <w:rPr>
          <w:rFonts w:ascii="Times New Roman" w:eastAsia="Times New Roman" w:hAnsi="Times New Roman" w:cs="Times New Roman"/>
          <w:lang w:val="lv-LV" w:eastAsia="lv-LV"/>
        </w:rPr>
        <w:t>5</w:t>
      </w:r>
      <w:r w:rsidR="00685B17" w:rsidRPr="00685B17">
        <w:rPr>
          <w:rFonts w:ascii="Times New Roman" w:eastAsia="Times New Roman" w:hAnsi="Times New Roman" w:cs="Times New Roman"/>
          <w:lang w:val="lv-LV" w:eastAsia="lv-LV"/>
        </w:rPr>
        <w:t>:</w:t>
      </w:r>
      <w:r w:rsidR="00477BEF">
        <w:rPr>
          <w:rFonts w:ascii="Times New Roman" w:eastAsia="Times New Roman" w:hAnsi="Times New Roman" w:cs="Times New Roman"/>
          <w:lang w:val="lv-LV" w:eastAsia="lv-LV"/>
        </w:rPr>
        <w:t>00</w:t>
      </w:r>
    </w:p>
    <w:p w:rsidR="002A255F" w:rsidRDefault="00DA3AF1" w:rsidP="00685B17">
      <w:pPr>
        <w:spacing w:after="0" w:line="240" w:lineRule="auto"/>
        <w:rPr>
          <w:rFonts w:ascii="Times New Roman" w:eastAsia="Times New Roman" w:hAnsi="Times New Roman" w:cs="Times New Roman"/>
          <w:lang w:val="lv-LV" w:eastAsia="lv-LV"/>
        </w:rPr>
      </w:pPr>
      <w:bookmarkStart w:id="3" w:name="OLE_LINK7"/>
      <w:bookmarkStart w:id="4" w:name="OLE_LINK8"/>
      <w:bookmarkStart w:id="5" w:name="OLE_LINK11"/>
      <w:bookmarkStart w:id="6" w:name="OLE_LINK12"/>
      <w:r>
        <w:rPr>
          <w:rFonts w:ascii="Times New Roman" w:eastAsia="Times New Roman" w:hAnsi="Times New Roman" w:cs="Times New Roman"/>
          <w:lang w:val="lv-LV" w:eastAsia="lv-LV"/>
        </w:rPr>
        <w:t>1</w:t>
      </w:r>
      <w:r w:rsidR="003B725B">
        <w:rPr>
          <w:rFonts w:ascii="Times New Roman" w:eastAsia="Times New Roman" w:hAnsi="Times New Roman" w:cs="Times New Roman"/>
          <w:lang w:val="lv-LV" w:eastAsia="lv-LV"/>
        </w:rPr>
        <w:t>60</w:t>
      </w:r>
      <w:r w:rsidR="00357AB7">
        <w:rPr>
          <w:rFonts w:ascii="Times New Roman" w:eastAsia="Times New Roman" w:hAnsi="Times New Roman" w:cs="Times New Roman"/>
          <w:lang w:val="lv-LV" w:eastAsia="lv-LV"/>
        </w:rPr>
        <w:t>8</w:t>
      </w:r>
    </w:p>
    <w:p w:rsidR="00685B17" w:rsidRPr="00685B17" w:rsidRDefault="00685B17" w:rsidP="00685B17">
      <w:pPr>
        <w:spacing w:after="0" w:line="240" w:lineRule="auto"/>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Tiesnieks</w:t>
      </w:r>
    </w:p>
    <w:p w:rsidR="00685B17" w:rsidRDefault="00685B17" w:rsidP="007A14CB">
      <w:pPr>
        <w:spacing w:after="0" w:line="240" w:lineRule="auto"/>
        <w:rPr>
          <w:rFonts w:ascii="Times New Roman" w:eastAsia="Times New Roman" w:hAnsi="Times New Roman" w:cs="Times New Roman"/>
          <w:lang w:val="lv-LV" w:eastAsia="lv-LV"/>
        </w:rPr>
      </w:pPr>
      <w:r w:rsidRPr="00685B17">
        <w:rPr>
          <w:rFonts w:ascii="Times New Roman" w:eastAsia="Times New Roman" w:hAnsi="Times New Roman" w:cs="Times New Roman"/>
          <w:lang w:val="lv-LV" w:eastAsia="lv-LV"/>
        </w:rPr>
        <w:t>670</w:t>
      </w:r>
      <w:bookmarkEnd w:id="3"/>
      <w:bookmarkEnd w:id="4"/>
      <w:r w:rsidRPr="00685B17">
        <w:rPr>
          <w:rFonts w:ascii="Times New Roman" w:eastAsia="Times New Roman" w:hAnsi="Times New Roman" w:cs="Times New Roman"/>
          <w:lang w:val="lv-LV" w:eastAsia="lv-LV"/>
        </w:rPr>
        <w:t>9</w:t>
      </w:r>
      <w:bookmarkEnd w:id="5"/>
      <w:bookmarkEnd w:id="6"/>
      <w:r w:rsidRPr="00685B17">
        <w:rPr>
          <w:rFonts w:ascii="Times New Roman" w:eastAsia="Times New Roman" w:hAnsi="Times New Roman" w:cs="Times New Roman"/>
          <w:lang w:val="lv-LV" w:eastAsia="lv-LV"/>
        </w:rPr>
        <w:t>5</w:t>
      </w:r>
      <w:r>
        <w:rPr>
          <w:rFonts w:ascii="Times New Roman" w:eastAsia="Times New Roman" w:hAnsi="Times New Roman" w:cs="Times New Roman"/>
          <w:lang w:val="lv-LV" w:eastAsia="lv-LV"/>
        </w:rPr>
        <w:t>667</w:t>
      </w:r>
      <w:r w:rsidRPr="00685B17">
        <w:rPr>
          <w:rFonts w:ascii="Times New Roman" w:eastAsia="Times New Roman" w:hAnsi="Times New Roman" w:cs="Times New Roman"/>
          <w:lang w:val="lv-LV" w:eastAsia="lv-LV"/>
        </w:rPr>
        <w:t xml:space="preserve">, </w:t>
      </w:r>
      <w:hyperlink r:id="rId7" w:history="1">
        <w:r w:rsidR="00484D07" w:rsidRPr="00DA1F05">
          <w:rPr>
            <w:rStyle w:val="Hyperlink"/>
            <w:rFonts w:ascii="Times New Roman" w:eastAsia="Times New Roman" w:hAnsi="Times New Roman" w:cs="Times New Roman"/>
            <w:lang w:val="lv-LV" w:eastAsia="lv-LV"/>
          </w:rPr>
          <w:t>Imants.Tiesnieks@fm.gov.lv</w:t>
        </w:r>
      </w:hyperlink>
    </w:p>
    <w:p w:rsidR="00484D07" w:rsidRDefault="00484D07" w:rsidP="007A14CB">
      <w:pPr>
        <w:spacing w:after="0" w:line="240" w:lineRule="auto"/>
        <w:rPr>
          <w:rFonts w:ascii="Times New Roman" w:eastAsia="Times New Roman" w:hAnsi="Times New Roman" w:cs="Times New Roman"/>
          <w:lang w:val="lv-LV" w:eastAsia="lv-LV"/>
        </w:rPr>
      </w:pPr>
    </w:p>
    <w:p w:rsidR="00484D07" w:rsidRPr="00484D07" w:rsidRDefault="00484D07" w:rsidP="00484D07">
      <w:pPr>
        <w:spacing w:after="0" w:line="240" w:lineRule="auto"/>
        <w:rPr>
          <w:rFonts w:ascii="Times New Roman" w:eastAsia="Times New Roman" w:hAnsi="Times New Roman" w:cs="Times New Roman"/>
          <w:lang w:val="lv-LV" w:eastAsia="lv-LV"/>
        </w:rPr>
      </w:pPr>
      <w:r w:rsidRPr="00484D07">
        <w:rPr>
          <w:rFonts w:ascii="Times New Roman" w:eastAsia="Times New Roman" w:hAnsi="Times New Roman" w:cs="Times New Roman"/>
          <w:lang w:val="lv-LV" w:eastAsia="lv-LV"/>
        </w:rPr>
        <w:t xml:space="preserve">Dina Buse </w:t>
      </w:r>
    </w:p>
    <w:p w:rsidR="00484D07" w:rsidRDefault="00484D07" w:rsidP="00484D07">
      <w:pPr>
        <w:spacing w:after="0" w:line="240" w:lineRule="auto"/>
        <w:rPr>
          <w:rFonts w:ascii="Times New Roman" w:eastAsia="Times New Roman" w:hAnsi="Times New Roman" w:cs="Times New Roman"/>
          <w:lang w:val="lv-LV" w:eastAsia="lv-LV"/>
        </w:rPr>
      </w:pPr>
      <w:r w:rsidRPr="00484D07">
        <w:rPr>
          <w:rFonts w:ascii="Times New Roman" w:eastAsia="Times New Roman" w:hAnsi="Times New Roman" w:cs="Times New Roman"/>
          <w:lang w:val="lv-LV" w:eastAsia="lv-LV"/>
        </w:rPr>
        <w:t xml:space="preserve">67095535: e-pasts: </w:t>
      </w:r>
      <w:hyperlink r:id="rId8" w:history="1">
        <w:r w:rsidRPr="00DA1F05">
          <w:rPr>
            <w:rStyle w:val="Hyperlink"/>
            <w:rFonts w:ascii="Times New Roman" w:eastAsia="Times New Roman" w:hAnsi="Times New Roman" w:cs="Times New Roman"/>
            <w:lang w:val="lv-LV" w:eastAsia="lv-LV"/>
          </w:rPr>
          <w:t>Dina.Buse@fm.gov.lv</w:t>
        </w:r>
      </w:hyperlink>
    </w:p>
    <w:p w:rsidR="00484D07" w:rsidRPr="00484D07" w:rsidRDefault="00484D07" w:rsidP="00484D07">
      <w:pPr>
        <w:spacing w:after="0" w:line="240" w:lineRule="auto"/>
        <w:rPr>
          <w:rFonts w:ascii="Times New Roman" w:eastAsia="Times New Roman" w:hAnsi="Times New Roman" w:cs="Times New Roman"/>
          <w:lang w:val="lv-LV" w:eastAsia="lv-LV"/>
        </w:rPr>
      </w:pPr>
    </w:p>
    <w:sectPr w:rsidR="00484D07" w:rsidRPr="00484D0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0D" w:rsidRDefault="00EF150D" w:rsidP="008B6411">
      <w:pPr>
        <w:spacing w:after="0" w:line="240" w:lineRule="auto"/>
      </w:pPr>
      <w:r>
        <w:separator/>
      </w:r>
    </w:p>
  </w:endnote>
  <w:endnote w:type="continuationSeparator" w:id="0">
    <w:p w:rsidR="00EF150D" w:rsidRDefault="00EF150D" w:rsidP="008B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5B" w:rsidRDefault="003B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11" w:rsidRDefault="008B6411">
    <w:pPr>
      <w:pStyle w:val="Footer"/>
    </w:pPr>
    <w:r w:rsidRPr="008B6411">
      <w:rPr>
        <w:rFonts w:ascii="Times New Roman" w:hAnsi="Times New Roman" w:cs="Times New Roman"/>
      </w:rPr>
      <w:t>MKR</w:t>
    </w:r>
    <w:r w:rsidR="0041549C">
      <w:rPr>
        <w:rFonts w:ascii="Times New Roman" w:hAnsi="Times New Roman" w:cs="Times New Roman"/>
      </w:rPr>
      <w:t>i</w:t>
    </w:r>
    <w:r w:rsidRPr="008B6411">
      <w:rPr>
        <w:rFonts w:ascii="Times New Roman" w:hAnsi="Times New Roman" w:cs="Times New Roman"/>
      </w:rPr>
      <w:t>k_</w:t>
    </w:r>
    <w:r w:rsidR="00BA3C97">
      <w:rPr>
        <w:rFonts w:ascii="Times New Roman" w:hAnsi="Times New Roman" w:cs="Times New Roman"/>
      </w:rPr>
      <w:t>2</w:t>
    </w:r>
    <w:r w:rsidR="003B725B">
      <w:rPr>
        <w:rFonts w:ascii="Times New Roman" w:hAnsi="Times New Roman" w:cs="Times New Roman"/>
      </w:rPr>
      <w:t>8</w:t>
    </w:r>
    <w:r w:rsidR="00CA64C0">
      <w:rPr>
        <w:rFonts w:ascii="Times New Roman" w:hAnsi="Times New Roman" w:cs="Times New Roman"/>
      </w:rPr>
      <w:t>08</w:t>
    </w:r>
    <w:r w:rsidR="00FC6818">
      <w:rPr>
        <w:rFonts w:ascii="Times New Roman" w:hAnsi="Times New Roman" w:cs="Times New Roman"/>
      </w:rPr>
      <w:t>14</w:t>
    </w:r>
    <w:r w:rsidRPr="008B6411">
      <w:rPr>
        <w:rFonts w:ascii="Times New Roman" w:hAnsi="Times New Roman" w:cs="Times New Roman"/>
      </w:rPr>
      <w:t>_FSAP</w:t>
    </w:r>
    <w:r w:rsidR="0008043C">
      <w:rPr>
        <w:rFonts w:ascii="Times New Roman" w:hAnsi="Times New Roman" w:cs="Times New Roman"/>
      </w:rPr>
      <w:t>_grozijumi</w:t>
    </w:r>
    <w:r w:rsidRPr="008B6411">
      <w:rPr>
        <w:rFonts w:ascii="Times New Roman" w:hAnsi="Times New Roman" w:cs="Times New Roman"/>
      </w:rPr>
      <w:t xml:space="preserve">; </w:t>
    </w:r>
    <w:proofErr w:type="spellStart"/>
    <w:r w:rsidR="00D52C27">
      <w:rPr>
        <w:rFonts w:ascii="Times New Roman" w:hAnsi="Times New Roman" w:cs="Times New Roman"/>
      </w:rPr>
      <w:t>Grozījumi</w:t>
    </w:r>
    <w:proofErr w:type="spellEnd"/>
    <w:r w:rsidR="00D52C27">
      <w:rPr>
        <w:rFonts w:ascii="Times New Roman" w:hAnsi="Times New Roman" w:cs="Times New Roman"/>
      </w:rPr>
      <w:t xml:space="preserve"> </w:t>
    </w:r>
    <w:r w:rsidR="00CA64C0">
      <w:rPr>
        <w:rFonts w:ascii="Times New Roman" w:hAnsi="Times New Roman" w:cs="Times New Roman"/>
      </w:rPr>
      <w:t>F</w:t>
    </w:r>
    <w:r w:rsidRPr="008B6411">
      <w:rPr>
        <w:rFonts w:ascii="Times New Roman" w:hAnsi="Times New Roman" w:cs="Times New Roman"/>
      </w:rPr>
      <w:t xml:space="preserve">inanšu </w:t>
    </w:r>
    <w:proofErr w:type="spellStart"/>
    <w:r w:rsidRPr="008B6411">
      <w:rPr>
        <w:rFonts w:ascii="Times New Roman" w:hAnsi="Times New Roman" w:cs="Times New Roman"/>
      </w:rPr>
      <w:t>sektora</w:t>
    </w:r>
    <w:proofErr w:type="spellEnd"/>
    <w:r w:rsidRPr="008B6411">
      <w:rPr>
        <w:rFonts w:ascii="Times New Roman" w:hAnsi="Times New Roman" w:cs="Times New Roman"/>
      </w:rPr>
      <w:t xml:space="preserve"> </w:t>
    </w:r>
    <w:proofErr w:type="spellStart"/>
    <w:r w:rsidRPr="008B6411">
      <w:rPr>
        <w:rFonts w:ascii="Times New Roman" w:hAnsi="Times New Roman" w:cs="Times New Roman"/>
      </w:rPr>
      <w:t>attīstības</w:t>
    </w:r>
    <w:proofErr w:type="spellEnd"/>
    <w:r w:rsidRPr="008B6411">
      <w:rPr>
        <w:rFonts w:ascii="Times New Roman" w:hAnsi="Times New Roman" w:cs="Times New Roman"/>
      </w:rPr>
      <w:t xml:space="preserve"> </w:t>
    </w:r>
    <w:proofErr w:type="spellStart"/>
    <w:r w:rsidRPr="008B6411">
      <w:rPr>
        <w:rFonts w:ascii="Times New Roman" w:hAnsi="Times New Roman" w:cs="Times New Roman"/>
      </w:rPr>
      <w:t>plān</w:t>
    </w:r>
    <w:r w:rsidR="00CA64C0">
      <w:rPr>
        <w:rFonts w:ascii="Times New Roman" w:hAnsi="Times New Roman" w:cs="Times New Roman"/>
      </w:rPr>
      <w:t>ā</w:t>
    </w:r>
    <w:proofErr w:type="spellEnd"/>
    <w:r w:rsidRPr="008B6411">
      <w:rPr>
        <w:rFonts w:ascii="Times New Roman" w:hAnsi="Times New Roman" w:cs="Times New Roman"/>
      </w:rPr>
      <w:t xml:space="preserve"> 2014.-2016.</w:t>
    </w:r>
    <w:r>
      <w:rPr>
        <w:rFonts w:ascii="Times New Roman" w:hAnsi="Times New Roman" w:cs="Times New Roman"/>
      </w:rPr>
      <w:t xml:space="preserve"> </w:t>
    </w:r>
    <w:proofErr w:type="spellStart"/>
    <w:proofErr w:type="gramStart"/>
    <w:r w:rsidR="00CA64C0">
      <w:rPr>
        <w:rFonts w:ascii="Times New Roman" w:hAnsi="Times New Roman" w:cs="Times New Roman"/>
      </w:rPr>
      <w:t>g</w:t>
    </w:r>
    <w:r w:rsidRPr="008B6411">
      <w:rPr>
        <w:rFonts w:ascii="Times New Roman" w:hAnsi="Times New Roman" w:cs="Times New Roman"/>
      </w:rPr>
      <w:t>adam</w:t>
    </w:r>
    <w:proofErr w:type="spellEnd"/>
    <w:proofErr w:type="gramEnd"/>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5B" w:rsidRDefault="003B7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0D" w:rsidRDefault="00EF150D" w:rsidP="008B6411">
      <w:pPr>
        <w:spacing w:after="0" w:line="240" w:lineRule="auto"/>
      </w:pPr>
      <w:r>
        <w:separator/>
      </w:r>
    </w:p>
  </w:footnote>
  <w:footnote w:type="continuationSeparator" w:id="0">
    <w:p w:rsidR="00EF150D" w:rsidRDefault="00EF150D" w:rsidP="008B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5B" w:rsidRDefault="003B7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48305"/>
      <w:docPartObj>
        <w:docPartGallery w:val="Page Numbers (Top of Page)"/>
        <w:docPartUnique/>
      </w:docPartObj>
    </w:sdtPr>
    <w:sdtEndPr>
      <w:rPr>
        <w:noProof/>
      </w:rPr>
    </w:sdtEndPr>
    <w:sdtContent>
      <w:p w:rsidR="00D16C6B" w:rsidRDefault="00D16C6B">
        <w:pPr>
          <w:pStyle w:val="Header"/>
          <w:jc w:val="center"/>
        </w:pPr>
        <w:r>
          <w:fldChar w:fldCharType="begin"/>
        </w:r>
        <w:r>
          <w:instrText xml:space="preserve"> PAGE   \* MERGEFORMAT </w:instrText>
        </w:r>
        <w:r>
          <w:fldChar w:fldCharType="separate"/>
        </w:r>
        <w:r w:rsidR="00F7449A">
          <w:rPr>
            <w:noProof/>
          </w:rPr>
          <w:t>11</w:t>
        </w:r>
        <w:r>
          <w:rPr>
            <w:noProof/>
          </w:rPr>
          <w:fldChar w:fldCharType="end"/>
        </w:r>
      </w:p>
    </w:sdtContent>
  </w:sdt>
  <w:p w:rsidR="008B6411" w:rsidRDefault="008B6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5B" w:rsidRDefault="003B7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D41"/>
    <w:multiLevelType w:val="hybridMultilevel"/>
    <w:tmpl w:val="71125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44EBF"/>
    <w:multiLevelType w:val="hybridMultilevel"/>
    <w:tmpl w:val="DD744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A57F16"/>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6BE795A"/>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951427B"/>
    <w:multiLevelType w:val="hybridMultilevel"/>
    <w:tmpl w:val="75B88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E252F"/>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BC9469F"/>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AAF4FB2"/>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2BB5EE8"/>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9274FEC"/>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E190911"/>
    <w:multiLevelType w:val="hybridMultilevel"/>
    <w:tmpl w:val="59604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496A68"/>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E2F2DE4"/>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3"/>
  </w:num>
  <w:num w:numId="5">
    <w:abstractNumId w:val="9"/>
  </w:num>
  <w:num w:numId="6">
    <w:abstractNumId w:val="10"/>
  </w:num>
  <w:num w:numId="7">
    <w:abstractNumId w:val="5"/>
  </w:num>
  <w:num w:numId="8">
    <w:abstractNumId w:val="7"/>
  </w:num>
  <w:num w:numId="9">
    <w:abstractNumId w:val="11"/>
  </w:num>
  <w:num w:numId="10">
    <w:abstractNumId w:val="8"/>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4"/>
    <w:rsid w:val="000069A5"/>
    <w:rsid w:val="00006A6F"/>
    <w:rsid w:val="00014EAD"/>
    <w:rsid w:val="00033A0C"/>
    <w:rsid w:val="00070641"/>
    <w:rsid w:val="00073E8C"/>
    <w:rsid w:val="0008043C"/>
    <w:rsid w:val="00095F5B"/>
    <w:rsid w:val="000965A8"/>
    <w:rsid w:val="000E625A"/>
    <w:rsid w:val="000F46D5"/>
    <w:rsid w:val="00110538"/>
    <w:rsid w:val="00143983"/>
    <w:rsid w:val="00155E07"/>
    <w:rsid w:val="001909B4"/>
    <w:rsid w:val="0020587A"/>
    <w:rsid w:val="00213C9B"/>
    <w:rsid w:val="00266C7E"/>
    <w:rsid w:val="002843E7"/>
    <w:rsid w:val="00294E66"/>
    <w:rsid w:val="00296838"/>
    <w:rsid w:val="002A255F"/>
    <w:rsid w:val="002B45CE"/>
    <w:rsid w:val="002B683B"/>
    <w:rsid w:val="002C696A"/>
    <w:rsid w:val="002E5747"/>
    <w:rsid w:val="002E6327"/>
    <w:rsid w:val="002E6A6F"/>
    <w:rsid w:val="002F25A6"/>
    <w:rsid w:val="00312966"/>
    <w:rsid w:val="003209A9"/>
    <w:rsid w:val="0035487C"/>
    <w:rsid w:val="00357AB7"/>
    <w:rsid w:val="00370107"/>
    <w:rsid w:val="00380F9F"/>
    <w:rsid w:val="003878F1"/>
    <w:rsid w:val="003A16F5"/>
    <w:rsid w:val="003B725B"/>
    <w:rsid w:val="003E09CD"/>
    <w:rsid w:val="003F03AD"/>
    <w:rsid w:val="00410DAE"/>
    <w:rsid w:val="00414D1E"/>
    <w:rsid w:val="0041549C"/>
    <w:rsid w:val="00434B04"/>
    <w:rsid w:val="004517B6"/>
    <w:rsid w:val="00452A52"/>
    <w:rsid w:val="004655DE"/>
    <w:rsid w:val="00477BEF"/>
    <w:rsid w:val="004830BA"/>
    <w:rsid w:val="00484D07"/>
    <w:rsid w:val="0049307D"/>
    <w:rsid w:val="004956C9"/>
    <w:rsid w:val="004A7CF1"/>
    <w:rsid w:val="004D29CD"/>
    <w:rsid w:val="004D6154"/>
    <w:rsid w:val="0051473E"/>
    <w:rsid w:val="005224F0"/>
    <w:rsid w:val="00525886"/>
    <w:rsid w:val="0052749A"/>
    <w:rsid w:val="00545135"/>
    <w:rsid w:val="00556C84"/>
    <w:rsid w:val="00563566"/>
    <w:rsid w:val="00583E1F"/>
    <w:rsid w:val="00597A90"/>
    <w:rsid w:val="005E4BAC"/>
    <w:rsid w:val="00606E19"/>
    <w:rsid w:val="00624184"/>
    <w:rsid w:val="00650F90"/>
    <w:rsid w:val="0065101D"/>
    <w:rsid w:val="00685B17"/>
    <w:rsid w:val="006916E5"/>
    <w:rsid w:val="006A066D"/>
    <w:rsid w:val="006A65BB"/>
    <w:rsid w:val="006C2CF1"/>
    <w:rsid w:val="006E665A"/>
    <w:rsid w:val="00730194"/>
    <w:rsid w:val="007530AB"/>
    <w:rsid w:val="0076182E"/>
    <w:rsid w:val="007771E2"/>
    <w:rsid w:val="00782920"/>
    <w:rsid w:val="007A14CB"/>
    <w:rsid w:val="007A3988"/>
    <w:rsid w:val="007D4D55"/>
    <w:rsid w:val="007D6B93"/>
    <w:rsid w:val="007F5C1A"/>
    <w:rsid w:val="00806535"/>
    <w:rsid w:val="00861131"/>
    <w:rsid w:val="008738AF"/>
    <w:rsid w:val="008B6411"/>
    <w:rsid w:val="008D749C"/>
    <w:rsid w:val="00924945"/>
    <w:rsid w:val="00935C40"/>
    <w:rsid w:val="0094019A"/>
    <w:rsid w:val="00951426"/>
    <w:rsid w:val="00992630"/>
    <w:rsid w:val="009A163D"/>
    <w:rsid w:val="009A3503"/>
    <w:rsid w:val="009F210E"/>
    <w:rsid w:val="009F524B"/>
    <w:rsid w:val="00A07032"/>
    <w:rsid w:val="00A14D87"/>
    <w:rsid w:val="00A20766"/>
    <w:rsid w:val="00A86D92"/>
    <w:rsid w:val="00AA072B"/>
    <w:rsid w:val="00AB72F7"/>
    <w:rsid w:val="00AC11DE"/>
    <w:rsid w:val="00AF1A92"/>
    <w:rsid w:val="00B07306"/>
    <w:rsid w:val="00B1681F"/>
    <w:rsid w:val="00B56D13"/>
    <w:rsid w:val="00B73ACB"/>
    <w:rsid w:val="00B75640"/>
    <w:rsid w:val="00B9631F"/>
    <w:rsid w:val="00BA3C97"/>
    <w:rsid w:val="00BF26B0"/>
    <w:rsid w:val="00C3207E"/>
    <w:rsid w:val="00C50555"/>
    <w:rsid w:val="00C70D08"/>
    <w:rsid w:val="00C80E02"/>
    <w:rsid w:val="00C860A3"/>
    <w:rsid w:val="00CA64C0"/>
    <w:rsid w:val="00CB5E89"/>
    <w:rsid w:val="00D0646F"/>
    <w:rsid w:val="00D16C6B"/>
    <w:rsid w:val="00D33CDF"/>
    <w:rsid w:val="00D52C27"/>
    <w:rsid w:val="00D649C1"/>
    <w:rsid w:val="00D64B86"/>
    <w:rsid w:val="00DA3AF1"/>
    <w:rsid w:val="00DB05BB"/>
    <w:rsid w:val="00DB0F12"/>
    <w:rsid w:val="00DB319F"/>
    <w:rsid w:val="00DF715F"/>
    <w:rsid w:val="00E32BB4"/>
    <w:rsid w:val="00E40C7C"/>
    <w:rsid w:val="00E4438B"/>
    <w:rsid w:val="00E7519C"/>
    <w:rsid w:val="00E846FD"/>
    <w:rsid w:val="00E84833"/>
    <w:rsid w:val="00EB1180"/>
    <w:rsid w:val="00EB313C"/>
    <w:rsid w:val="00EB5292"/>
    <w:rsid w:val="00EE3082"/>
    <w:rsid w:val="00EF150D"/>
    <w:rsid w:val="00F11E8E"/>
    <w:rsid w:val="00F14B5F"/>
    <w:rsid w:val="00F23DAE"/>
    <w:rsid w:val="00F269FF"/>
    <w:rsid w:val="00F6161C"/>
    <w:rsid w:val="00F7244A"/>
    <w:rsid w:val="00F7449A"/>
    <w:rsid w:val="00F858FF"/>
    <w:rsid w:val="00FB3445"/>
    <w:rsid w:val="00FB3C2A"/>
    <w:rsid w:val="00FC08E7"/>
    <w:rsid w:val="00FC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40F47FC-B1D4-4D87-B935-28DEFFA7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B4"/>
    <w:pPr>
      <w:ind w:left="720"/>
      <w:contextualSpacing/>
    </w:pPr>
  </w:style>
  <w:style w:type="paragraph" w:styleId="Header">
    <w:name w:val="header"/>
    <w:basedOn w:val="Normal"/>
    <w:link w:val="HeaderChar"/>
    <w:uiPriority w:val="99"/>
    <w:unhideWhenUsed/>
    <w:rsid w:val="008B64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411"/>
  </w:style>
  <w:style w:type="paragraph" w:styleId="Footer">
    <w:name w:val="footer"/>
    <w:basedOn w:val="Normal"/>
    <w:link w:val="FooterChar"/>
    <w:uiPriority w:val="99"/>
    <w:unhideWhenUsed/>
    <w:rsid w:val="008B64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411"/>
  </w:style>
  <w:style w:type="paragraph" w:styleId="BalloonText">
    <w:name w:val="Balloon Text"/>
    <w:basedOn w:val="Normal"/>
    <w:link w:val="BalloonTextChar"/>
    <w:uiPriority w:val="99"/>
    <w:semiHidden/>
    <w:unhideWhenUsed/>
    <w:rsid w:val="00F1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8E"/>
    <w:rPr>
      <w:rFonts w:ascii="Segoe UI" w:hAnsi="Segoe UI" w:cs="Segoe UI"/>
      <w:sz w:val="18"/>
      <w:szCs w:val="18"/>
    </w:rPr>
  </w:style>
  <w:style w:type="character" w:customStyle="1" w:styleId="CommentTextChar">
    <w:name w:val="Comment Text Char"/>
    <w:aliases w:val="Char3 Char"/>
    <w:basedOn w:val="DefaultParagraphFont"/>
    <w:link w:val="CommentText"/>
    <w:locked/>
    <w:rsid w:val="003209A9"/>
    <w:rPr>
      <w:rFonts w:ascii="Calibri" w:hAnsi="Calibri" w:cs="Calibri"/>
      <w:lang w:val="lv-LV"/>
    </w:rPr>
  </w:style>
  <w:style w:type="paragraph" w:styleId="CommentText">
    <w:name w:val="annotation text"/>
    <w:aliases w:val="Char3"/>
    <w:basedOn w:val="Normal"/>
    <w:link w:val="CommentTextChar"/>
    <w:unhideWhenUsed/>
    <w:rsid w:val="003209A9"/>
    <w:pPr>
      <w:spacing w:after="200" w:line="276" w:lineRule="auto"/>
    </w:pPr>
    <w:rPr>
      <w:rFonts w:ascii="Calibri" w:hAnsi="Calibri" w:cs="Calibri"/>
      <w:lang w:val="lv-LV"/>
    </w:rPr>
  </w:style>
  <w:style w:type="character" w:customStyle="1" w:styleId="CommentTextChar1">
    <w:name w:val="Comment Text Char1"/>
    <w:basedOn w:val="DefaultParagraphFont"/>
    <w:uiPriority w:val="99"/>
    <w:semiHidden/>
    <w:rsid w:val="003209A9"/>
    <w:rPr>
      <w:sz w:val="20"/>
      <w:szCs w:val="20"/>
    </w:rPr>
  </w:style>
  <w:style w:type="character" w:styleId="Hyperlink">
    <w:name w:val="Hyperlink"/>
    <w:basedOn w:val="DefaultParagraphFont"/>
    <w:uiPriority w:val="99"/>
    <w:unhideWhenUsed/>
    <w:rsid w:val="00484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Buse@f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mants.Tiesnieks@f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MKRik_180814_FSAP_grozijumi; Grozījumi Finanšu sektora attīstības plānā 2014.-2016. gadam</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MKRik_180814_FSAP_grozijumi; Grozījumi Finanšu sektora attīstības plānā 2014.-2016. gadam</dc:title>
  <dc:subject/>
  <dc:creator>Tiesnieks Imants</dc:creator>
  <cp:keywords/>
  <dc:description/>
  <cp:lastModifiedBy>Tiesnieks Imants</cp:lastModifiedBy>
  <cp:revision>6</cp:revision>
  <cp:lastPrinted>2014-09-01T08:15:00Z</cp:lastPrinted>
  <dcterms:created xsi:type="dcterms:W3CDTF">2014-08-28T06:01:00Z</dcterms:created>
  <dcterms:modified xsi:type="dcterms:W3CDTF">2014-09-01T08:16:00Z</dcterms:modified>
</cp:coreProperties>
</file>