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9DE78" w14:textId="77777777" w:rsidR="00EA5E16" w:rsidRPr="00F54951" w:rsidRDefault="00F65F1E" w:rsidP="00F54951">
      <w:pPr>
        <w:tabs>
          <w:tab w:val="left" w:pos="7560"/>
        </w:tabs>
        <w:jc w:val="center"/>
        <w:rPr>
          <w:b/>
          <w:bCs/>
        </w:rPr>
      </w:pPr>
      <w:r w:rsidRPr="00BE7CE5">
        <w:rPr>
          <w:b/>
          <w:lang w:eastAsia="lv-LV"/>
        </w:rPr>
        <w:t xml:space="preserve">Ministru kabineta instrukcijas projekta </w:t>
      </w:r>
      <w:bookmarkStart w:id="0" w:name="OLE_LINK3"/>
      <w:bookmarkStart w:id="1" w:name="OLE_LINK4"/>
      <w:r w:rsidR="000148C2">
        <w:rPr>
          <w:b/>
          <w:lang w:eastAsia="lv-LV"/>
        </w:rPr>
        <w:t>„</w:t>
      </w:r>
      <w:r w:rsidR="00F54951" w:rsidRPr="009046E5">
        <w:rPr>
          <w:b/>
        </w:rPr>
        <w:t xml:space="preserve">Grozījumi Ministru kabineta 2013.gada 2.jūlija instrukcijā Nr.7 </w:t>
      </w:r>
      <w:bookmarkEnd w:id="0"/>
      <w:bookmarkEnd w:id="1"/>
      <w:r w:rsidR="00F54951">
        <w:rPr>
          <w:b/>
          <w:bCs/>
        </w:rPr>
        <w:t>„</w:t>
      </w:r>
      <w:r w:rsidR="00F54951" w:rsidRPr="009046E5">
        <w:rPr>
          <w:b/>
          <w:bCs/>
        </w:rPr>
        <w:t>Ārvalstu finanšu instrumentu finansētu civiltiesisku līgumu izstrādes un slēgšanas instrukcija valsts tiešās pārvaldes iestādēs</w:t>
      </w:r>
      <w:r w:rsidR="00F54951">
        <w:rPr>
          <w:b/>
          <w:bCs/>
        </w:rPr>
        <w:t>”</w:t>
      </w:r>
      <w:r w:rsidRPr="00BE7CE5">
        <w:rPr>
          <w:b/>
          <w:lang w:eastAsia="lv-LV"/>
        </w:rPr>
        <w:t xml:space="preserve">” </w:t>
      </w:r>
      <w:r w:rsidR="00EA5E16" w:rsidRPr="00BE7CE5">
        <w:rPr>
          <w:b/>
          <w:lang w:eastAsia="lv-LV"/>
        </w:rPr>
        <w:t>sākotnējās ietekmes novērtējuma ziņojums (anotācija)</w:t>
      </w:r>
    </w:p>
    <w:p w14:paraId="2499DE79" w14:textId="77777777" w:rsidR="00EA5E16" w:rsidRPr="00EA5E16" w:rsidRDefault="00EA5E16" w:rsidP="00EA5E16">
      <w:pPr>
        <w:jc w:val="center"/>
        <w:rPr>
          <w:rFonts w:eastAsia="Times New Roman" w:cs="Times New Roman"/>
          <w:b/>
          <w:bCs/>
          <w:sz w:val="16"/>
          <w:szCs w:val="16"/>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5918"/>
      </w:tblGrid>
      <w:tr w:rsidR="00EA5E16" w:rsidRPr="00520485" w14:paraId="2499DE7B" w14:textId="77777777" w:rsidTr="00AA3252">
        <w:tc>
          <w:tcPr>
            <w:tcW w:w="9179" w:type="dxa"/>
            <w:gridSpan w:val="3"/>
          </w:tcPr>
          <w:p w14:paraId="2499DE7A" w14:textId="77777777" w:rsidR="00EA5E16" w:rsidRPr="00520485" w:rsidRDefault="00EA5E16" w:rsidP="00EA5E16">
            <w:pPr>
              <w:jc w:val="center"/>
              <w:rPr>
                <w:rFonts w:eastAsia="Times New Roman" w:cs="Times New Roman"/>
                <w:szCs w:val="24"/>
                <w:lang w:eastAsia="lv-LV"/>
              </w:rPr>
            </w:pPr>
            <w:r w:rsidRPr="00520485">
              <w:rPr>
                <w:rFonts w:eastAsia="Times New Roman" w:cs="Times New Roman"/>
                <w:b/>
                <w:bCs/>
                <w:szCs w:val="24"/>
                <w:lang w:eastAsia="lv-LV"/>
              </w:rPr>
              <w:t>I. Tiesību akta projekta izstrādes nepieciešamība</w:t>
            </w:r>
          </w:p>
        </w:tc>
      </w:tr>
      <w:tr w:rsidR="00EA5E16" w:rsidRPr="00520485" w14:paraId="2499DE7F" w14:textId="77777777" w:rsidTr="00AA3252">
        <w:trPr>
          <w:trHeight w:val="1944"/>
        </w:trPr>
        <w:tc>
          <w:tcPr>
            <w:tcW w:w="426" w:type="dxa"/>
          </w:tcPr>
          <w:p w14:paraId="2499DE7C" w14:textId="77777777" w:rsidR="00EA5E16" w:rsidRPr="00520485" w:rsidRDefault="00EA5E16" w:rsidP="00AA3252">
            <w:pPr>
              <w:pStyle w:val="naisnod"/>
              <w:spacing w:before="0" w:after="0"/>
              <w:ind w:left="34" w:right="-8"/>
              <w:jc w:val="both"/>
            </w:pPr>
            <w:r w:rsidRPr="00520485">
              <w:t>1.</w:t>
            </w:r>
          </w:p>
        </w:tc>
        <w:tc>
          <w:tcPr>
            <w:tcW w:w="2835" w:type="dxa"/>
          </w:tcPr>
          <w:p w14:paraId="2499DE7D" w14:textId="77777777" w:rsidR="00EA5E16" w:rsidRPr="00520485" w:rsidRDefault="00EA5E16" w:rsidP="00EA5E16">
            <w:pPr>
              <w:jc w:val="both"/>
              <w:rPr>
                <w:rFonts w:eastAsia="Times New Roman" w:cs="Times New Roman"/>
                <w:szCs w:val="24"/>
                <w:lang w:eastAsia="lv-LV"/>
              </w:rPr>
            </w:pPr>
            <w:r w:rsidRPr="00520485">
              <w:rPr>
                <w:rFonts w:eastAsia="Times New Roman" w:cs="Times New Roman"/>
                <w:szCs w:val="24"/>
                <w:lang w:eastAsia="lv-LV"/>
              </w:rPr>
              <w:t>Pamatojums</w:t>
            </w:r>
          </w:p>
        </w:tc>
        <w:tc>
          <w:tcPr>
            <w:tcW w:w="5918" w:type="dxa"/>
          </w:tcPr>
          <w:p w14:paraId="2499DE7E" w14:textId="79496FBE" w:rsidR="00EA5E16" w:rsidRPr="00520485" w:rsidRDefault="00B56785" w:rsidP="000D27F2">
            <w:pPr>
              <w:tabs>
                <w:tab w:val="left" w:pos="459"/>
              </w:tabs>
              <w:jc w:val="both"/>
              <w:rPr>
                <w:rFonts w:eastAsia="Times New Roman" w:cs="Times New Roman"/>
                <w:szCs w:val="24"/>
                <w:lang w:eastAsia="lv-LV"/>
              </w:rPr>
            </w:pPr>
            <w:r w:rsidRPr="00B56785">
              <w:rPr>
                <w:rFonts w:eastAsia="Times New Roman" w:cs="Times New Roman"/>
                <w:bCs/>
                <w:iCs/>
                <w:szCs w:val="24"/>
                <w:lang w:eastAsia="lv-LV"/>
              </w:rPr>
              <w:t>Ministru kabineta instrukcijas projekt</w:t>
            </w:r>
            <w:r>
              <w:rPr>
                <w:rFonts w:eastAsia="Times New Roman" w:cs="Times New Roman"/>
                <w:bCs/>
                <w:iCs/>
                <w:szCs w:val="24"/>
                <w:lang w:eastAsia="lv-LV"/>
              </w:rPr>
              <w:t>s</w:t>
            </w:r>
            <w:r w:rsidRPr="00B56785">
              <w:rPr>
                <w:rFonts w:eastAsia="Times New Roman" w:cs="Times New Roman"/>
                <w:bCs/>
                <w:iCs/>
                <w:szCs w:val="24"/>
                <w:lang w:eastAsia="lv-LV"/>
              </w:rPr>
              <w:t xml:space="preserve"> „Grozījumi Ministru kabineta 2013.gada 2.jūlija instrukcijā Nr.7 „Ārvalstu finanšu instrumentu finansētu civiltiesisku līgumu izstrādes un slēgšanas instrukcija valsts tiešās pārvaldes iestādēs””</w:t>
            </w:r>
            <w:r>
              <w:rPr>
                <w:rFonts w:eastAsia="Times New Roman" w:cs="Times New Roman"/>
                <w:bCs/>
                <w:iCs/>
                <w:szCs w:val="24"/>
                <w:lang w:eastAsia="lv-LV"/>
              </w:rPr>
              <w:t xml:space="preserve"> (turpmāk - i</w:t>
            </w:r>
            <w:r w:rsidR="00EF0DD2" w:rsidRPr="00EF0DD2">
              <w:rPr>
                <w:rFonts w:eastAsia="Times New Roman" w:cs="Times New Roman"/>
                <w:bCs/>
                <w:iCs/>
                <w:szCs w:val="24"/>
                <w:lang w:eastAsia="lv-LV"/>
              </w:rPr>
              <w:t>nstrukcijas projekts</w:t>
            </w:r>
            <w:r>
              <w:rPr>
                <w:rFonts w:eastAsia="Times New Roman" w:cs="Times New Roman"/>
                <w:bCs/>
                <w:iCs/>
                <w:szCs w:val="24"/>
                <w:lang w:eastAsia="lv-LV"/>
              </w:rPr>
              <w:t>)</w:t>
            </w:r>
            <w:r w:rsidR="00EF0DD2" w:rsidRPr="00EF0DD2">
              <w:rPr>
                <w:rFonts w:eastAsia="Times New Roman" w:cs="Times New Roman"/>
                <w:bCs/>
                <w:iCs/>
                <w:szCs w:val="24"/>
                <w:lang w:eastAsia="lv-LV"/>
              </w:rPr>
              <w:t xml:space="preserve"> izstrādāts, lai novērstu</w:t>
            </w:r>
            <w:r w:rsidR="00EF0DD2">
              <w:rPr>
                <w:rFonts w:eastAsia="Times New Roman" w:cs="Times New Roman"/>
                <w:bCs/>
                <w:iCs/>
                <w:szCs w:val="24"/>
                <w:lang w:eastAsia="lv-LV"/>
              </w:rPr>
              <w:t xml:space="preserve"> konstatētās problēmas </w:t>
            </w:r>
            <w:r w:rsidR="00B97ACD">
              <w:rPr>
                <w:rFonts w:eastAsia="Times New Roman" w:cs="Times New Roman"/>
                <w:bCs/>
                <w:iCs/>
                <w:szCs w:val="24"/>
                <w:lang w:eastAsia="lv-LV"/>
              </w:rPr>
              <w:t xml:space="preserve">instrukcijas </w:t>
            </w:r>
            <w:r w:rsidR="004F7FC2">
              <w:rPr>
                <w:rFonts w:eastAsia="Times New Roman" w:cs="Times New Roman"/>
                <w:bCs/>
                <w:iCs/>
                <w:szCs w:val="24"/>
                <w:lang w:eastAsia="lv-LV"/>
              </w:rPr>
              <w:t>piemērošanas</w:t>
            </w:r>
            <w:r w:rsidR="00B97ACD">
              <w:rPr>
                <w:rFonts w:eastAsia="Times New Roman" w:cs="Times New Roman"/>
                <w:bCs/>
                <w:iCs/>
                <w:szCs w:val="24"/>
                <w:lang w:eastAsia="lv-LV"/>
              </w:rPr>
              <w:t xml:space="preserve"> procesā.</w:t>
            </w:r>
            <w:r w:rsidR="004B241C">
              <w:rPr>
                <w:rFonts w:eastAsia="Times New Roman" w:cs="Times New Roman"/>
                <w:bCs/>
                <w:iCs/>
                <w:szCs w:val="24"/>
                <w:lang w:eastAsia="lv-LV"/>
              </w:rPr>
              <w:t xml:space="preserve"> </w:t>
            </w:r>
            <w:r w:rsidR="00C16273">
              <w:rPr>
                <w:rFonts w:eastAsia="Times New Roman" w:cs="Times New Roman"/>
                <w:bCs/>
                <w:iCs/>
                <w:szCs w:val="24"/>
                <w:lang w:eastAsia="lv-LV"/>
              </w:rPr>
              <w:t xml:space="preserve">Finanšu ministrijā </w:t>
            </w:r>
            <w:r w:rsidR="004B241C">
              <w:rPr>
                <w:color w:val="000000"/>
                <w:szCs w:val="24"/>
              </w:rPr>
              <w:t>2014.gada 5.jūnija</w:t>
            </w:r>
            <w:r w:rsidR="004B241C">
              <w:rPr>
                <w:b/>
                <w:bCs/>
                <w:color w:val="000000"/>
                <w:szCs w:val="24"/>
              </w:rPr>
              <w:t xml:space="preserve"> </w:t>
            </w:r>
            <w:r w:rsidR="004B241C">
              <w:rPr>
                <w:color w:val="000000"/>
                <w:szCs w:val="24"/>
              </w:rPr>
              <w:t>sanāksmē par 2007.-2013.gada plānošanas perioda ES fondu un citu ārvalstu finanšu instrumentu jautājumiem tika izteikts aicinājum</w:t>
            </w:r>
            <w:r w:rsidR="008779F3">
              <w:rPr>
                <w:color w:val="000000"/>
                <w:szCs w:val="24"/>
              </w:rPr>
              <w:t>s</w:t>
            </w:r>
            <w:r w:rsidR="004B241C">
              <w:rPr>
                <w:color w:val="000000"/>
                <w:szCs w:val="24"/>
              </w:rPr>
              <w:t xml:space="preserve"> iestādēm sniegt </w:t>
            </w:r>
            <w:r>
              <w:rPr>
                <w:color w:val="000000"/>
                <w:szCs w:val="24"/>
              </w:rPr>
              <w:t>priekšlikumus</w:t>
            </w:r>
            <w:r w:rsidR="004B241C">
              <w:rPr>
                <w:color w:val="000000"/>
                <w:szCs w:val="24"/>
              </w:rPr>
              <w:t xml:space="preserve"> Ministru kabineta 2013.gada 2.jūlija instrukcij</w:t>
            </w:r>
            <w:r w:rsidR="000D27F2">
              <w:rPr>
                <w:color w:val="000000"/>
                <w:szCs w:val="24"/>
              </w:rPr>
              <w:t>as</w:t>
            </w:r>
            <w:bookmarkStart w:id="2" w:name="_GoBack"/>
            <w:bookmarkEnd w:id="2"/>
            <w:r w:rsidR="004B241C">
              <w:rPr>
                <w:color w:val="000000"/>
                <w:szCs w:val="24"/>
              </w:rPr>
              <w:t xml:space="preserve"> Nr.7 „Ārvalstu finanšu instrumentu finansētu civiltiesisku līgumu izstrādes un slēgšanas instrukcija valsts tiešās pārvaldes iestādēs” </w:t>
            </w:r>
            <w:r w:rsidR="004B241C" w:rsidRPr="00520485">
              <w:rPr>
                <w:rFonts w:eastAsia="Times New Roman" w:cs="Times New Roman"/>
                <w:bCs/>
                <w:iCs/>
                <w:szCs w:val="24"/>
                <w:lang w:eastAsia="lv-LV"/>
              </w:rPr>
              <w:t>(turpmāk – instrukcija Nr.7)</w:t>
            </w:r>
            <w:r>
              <w:rPr>
                <w:rFonts w:eastAsia="Times New Roman" w:cs="Times New Roman"/>
                <w:bCs/>
                <w:iCs/>
                <w:szCs w:val="24"/>
                <w:lang w:eastAsia="lv-LV"/>
              </w:rPr>
              <w:t xml:space="preserve"> grozījumiem</w:t>
            </w:r>
            <w:r w:rsidR="004B241C">
              <w:rPr>
                <w:rFonts w:eastAsia="Times New Roman" w:cs="Times New Roman"/>
                <w:bCs/>
                <w:iCs/>
                <w:szCs w:val="24"/>
                <w:lang w:eastAsia="lv-LV"/>
              </w:rPr>
              <w:t>.</w:t>
            </w:r>
          </w:p>
        </w:tc>
      </w:tr>
      <w:tr w:rsidR="00EA5E16" w:rsidRPr="00520485" w14:paraId="2499DE98" w14:textId="77777777" w:rsidTr="00AA3252">
        <w:tc>
          <w:tcPr>
            <w:tcW w:w="426" w:type="dxa"/>
          </w:tcPr>
          <w:p w14:paraId="2499DE80" w14:textId="77777777" w:rsidR="00EA5E16" w:rsidRPr="00520485" w:rsidRDefault="00EA5E16" w:rsidP="00AA3252">
            <w:pPr>
              <w:pStyle w:val="naisnod"/>
              <w:spacing w:before="0" w:after="0"/>
              <w:ind w:left="34" w:right="-8"/>
              <w:jc w:val="both"/>
            </w:pPr>
            <w:r w:rsidRPr="00520485">
              <w:t>2.</w:t>
            </w:r>
          </w:p>
        </w:tc>
        <w:tc>
          <w:tcPr>
            <w:tcW w:w="2835" w:type="dxa"/>
          </w:tcPr>
          <w:p w14:paraId="2499DE81" w14:textId="77777777" w:rsidR="00EA5E16" w:rsidRPr="00520485" w:rsidRDefault="002E5954" w:rsidP="00EA5E16">
            <w:pPr>
              <w:rPr>
                <w:rFonts w:eastAsia="Times New Roman" w:cs="Times New Roman"/>
                <w:szCs w:val="24"/>
                <w:lang w:eastAsia="lv-LV"/>
              </w:rPr>
            </w:pPr>
            <w:r w:rsidRPr="002E5954">
              <w:rPr>
                <w:rFonts w:eastAsia="Times New Roman" w:cs="Times New Roman"/>
                <w:szCs w:val="24"/>
                <w:lang w:eastAsia="lv-LV"/>
              </w:rPr>
              <w:t>Pašreizējā situācija un problēmas, kuru risināšanai tiesību akta projekts izstrādāts, tiesiskā regulējuma mērķis un būtība</w:t>
            </w:r>
          </w:p>
        </w:tc>
        <w:tc>
          <w:tcPr>
            <w:tcW w:w="5918" w:type="dxa"/>
          </w:tcPr>
          <w:p w14:paraId="2499DE82" w14:textId="56A4AE50" w:rsidR="00B97ACD" w:rsidRDefault="005433B6" w:rsidP="00B97ACD">
            <w:pPr>
              <w:tabs>
                <w:tab w:val="left" w:pos="459"/>
              </w:tabs>
              <w:jc w:val="both"/>
              <w:rPr>
                <w:rFonts w:eastAsia="Times New Roman" w:cs="Times New Roman"/>
                <w:bCs/>
                <w:iCs/>
                <w:szCs w:val="24"/>
                <w:lang w:eastAsia="lv-LV"/>
              </w:rPr>
            </w:pPr>
            <w:r>
              <w:rPr>
                <w:rFonts w:eastAsia="Times New Roman" w:cs="Times New Roman"/>
                <w:bCs/>
                <w:iCs/>
                <w:szCs w:val="24"/>
                <w:lang w:eastAsia="lv-LV"/>
              </w:rPr>
              <w:t xml:space="preserve">Atbilstoši institūciju sniegtajiem </w:t>
            </w:r>
            <w:r w:rsidR="00AD28F6">
              <w:rPr>
                <w:rFonts w:eastAsia="Times New Roman" w:cs="Times New Roman"/>
                <w:bCs/>
                <w:iCs/>
                <w:szCs w:val="24"/>
                <w:lang w:eastAsia="lv-LV"/>
              </w:rPr>
              <w:t>priekšlikumiem</w:t>
            </w:r>
            <w:r>
              <w:rPr>
                <w:rFonts w:eastAsia="Times New Roman" w:cs="Times New Roman"/>
                <w:bCs/>
                <w:iCs/>
                <w:szCs w:val="24"/>
                <w:lang w:eastAsia="lv-LV"/>
              </w:rPr>
              <w:t xml:space="preserve"> š</w:t>
            </w:r>
            <w:r w:rsidR="00B12023" w:rsidRPr="00520485">
              <w:rPr>
                <w:rFonts w:eastAsia="Times New Roman" w:cs="Times New Roman"/>
                <w:bCs/>
                <w:iCs/>
                <w:szCs w:val="24"/>
                <w:lang w:eastAsia="lv-LV"/>
              </w:rPr>
              <w:t>obrīd</w:t>
            </w:r>
            <w:r w:rsidR="00F54951" w:rsidRPr="00520485">
              <w:rPr>
                <w:rFonts w:eastAsia="Times New Roman" w:cs="Times New Roman"/>
                <w:bCs/>
                <w:iCs/>
                <w:szCs w:val="24"/>
                <w:lang w:eastAsia="lv-LV"/>
              </w:rPr>
              <w:t xml:space="preserve"> instrukcija</w:t>
            </w:r>
            <w:r w:rsidR="008779F3">
              <w:rPr>
                <w:rFonts w:eastAsia="Times New Roman" w:cs="Times New Roman"/>
                <w:bCs/>
                <w:iCs/>
                <w:szCs w:val="24"/>
                <w:lang w:eastAsia="lv-LV"/>
              </w:rPr>
              <w:t>s</w:t>
            </w:r>
            <w:r w:rsidR="00F54951" w:rsidRPr="00520485">
              <w:rPr>
                <w:rFonts w:eastAsia="Times New Roman" w:cs="Times New Roman"/>
                <w:bCs/>
                <w:iCs/>
                <w:szCs w:val="24"/>
                <w:lang w:eastAsia="lv-LV"/>
              </w:rPr>
              <w:t xml:space="preserve"> Nr.7</w:t>
            </w:r>
            <w:r w:rsidR="002F7D85" w:rsidRPr="00520485">
              <w:rPr>
                <w:rFonts w:eastAsia="Times New Roman" w:cs="Times New Roman"/>
                <w:bCs/>
                <w:iCs/>
                <w:szCs w:val="24"/>
                <w:lang w:eastAsia="lv-LV"/>
              </w:rPr>
              <w:t xml:space="preserve"> </w:t>
            </w:r>
            <w:r w:rsidR="00F53A4C">
              <w:rPr>
                <w:rFonts w:eastAsia="Times New Roman" w:cs="Times New Roman"/>
                <w:bCs/>
                <w:iCs/>
                <w:szCs w:val="24"/>
                <w:lang w:eastAsia="lv-LV"/>
              </w:rPr>
              <w:t xml:space="preserve">piemērošanas procesā </w:t>
            </w:r>
            <w:r w:rsidR="00B97ACD">
              <w:rPr>
                <w:rFonts w:eastAsia="Times New Roman" w:cs="Times New Roman"/>
                <w:bCs/>
                <w:iCs/>
                <w:szCs w:val="24"/>
                <w:lang w:eastAsia="lv-LV"/>
              </w:rPr>
              <w:t>konstatētas sekojošas problēmas:</w:t>
            </w:r>
          </w:p>
          <w:p w14:paraId="2499DE83" w14:textId="77777777" w:rsidR="00B97ACD" w:rsidRPr="00520485" w:rsidRDefault="00B97ACD" w:rsidP="00B97ACD">
            <w:pPr>
              <w:tabs>
                <w:tab w:val="left" w:pos="459"/>
              </w:tabs>
              <w:jc w:val="both"/>
              <w:rPr>
                <w:rFonts w:eastAsia="Times New Roman" w:cs="Times New Roman"/>
                <w:bCs/>
                <w:iCs/>
                <w:szCs w:val="24"/>
                <w:lang w:eastAsia="lv-LV"/>
              </w:rPr>
            </w:pPr>
          </w:p>
          <w:p w14:paraId="17829CE3"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1) Ņemot vērā instrukcijā Nr.7 ietverto detalizēto regulējumu un ar to saistītos sarežģījumus, atsevišķu instrukcijas normu obligātai piemērošanai paredzēts noteikt līgumcenas sliekšņus atbilstoši Publisko iepirkumu likuma 8.panta otrajā daļā paredzētajiem sliekšņiem. Tādējādi tiks atvieglota līgumslēgšanas procedūra starp komersantiem un valsts pārvaldes institūcijām, ja līgumcena ir zem instrukcijas projekta 1.1 punktā paredzamajiem sliekšņiem.</w:t>
            </w:r>
          </w:p>
          <w:p w14:paraId="08C9673E"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 xml:space="preserve">2) Instrukcijas nr.7 2.12. daļas nosacījumu par līguma izpildes apturēšanu uz laiku iekļaušana līgumos sadārdzina piedāvājumus, jo pretendentiem savos piedāvājumos jāierēķina iespējamo dīkstāvju izmaksas. </w:t>
            </w:r>
          </w:p>
          <w:p w14:paraId="318A6089"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 xml:space="preserve">3) Atbilstoši instrukcijas Nr.7 17.punktam, valsts tiešās pārvaldes iestādēm ir pienākums līgumos, kurus finansē no ārvalstu finanšu instrumentu līdzekļiem, ietvert šajā punktā minētos noteikumus un tiesību aizsardzības līdzekļus. Tomēr praksē ir situācijas, kurās valsts tiešās pārvaldes iestāde kā struktūrfondu finansējuma saņēmēja, slēdz līgumus ar starptautiskām organizācijām (piemēram, Pasaules Banka, Ekonomiskās sadarbības un attīstības organizācija), kurām ir savi līgumu noteikumi, kuri neatbilst instrukcijas Nr.7 prasībām. Lai arī instrukcijas Nr.7 7. un 8.punkts pieļauj līgumu izstrādē izmantot vispāratzītas līgumu veidlapas, tomēr šīs instrukcijas </w:t>
            </w:r>
            <w:r w:rsidRPr="001F73C2">
              <w:rPr>
                <w:rFonts w:eastAsia="Times New Roman" w:cs="Times New Roman"/>
                <w:bCs/>
                <w:iCs/>
                <w:szCs w:val="24"/>
                <w:lang w:eastAsia="lv-LV"/>
              </w:rPr>
              <w:lastRenderedPageBreak/>
              <w:t>normas neatbrīvo iestādes no pienākuma ievērot instrukcijas prasības attiecībā uz līgumā ietveramajiem noteikumiem, tiesību aizsardzības līdzekļiem. Līdz ar to, ja valsts tiešās pārvaldes iestādei ir nepieciešams noslēgt līgumu ar starptautisko organizāciju un starptautiskā organizācija piekrīt noslēgt līgumu tikai tādu, kādu tā piedāvā, bet tas neatbilst instrukcijas Nr.7 prasībām, iestādei nav iespēju šādu līgumu noslēgt. Lai atvieglotu līgumu noslēgšanas procesu ar starptautiskām organizācijām, nepieciešams veikt grozījumus instrukcijā Nr.7, paredzot elastīgāku regulējumu un sniedzot izvēles iespēju līguma satura noteikšanā.</w:t>
            </w:r>
          </w:p>
          <w:p w14:paraId="24A6254A"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4) Atbilstoši instrukcijas Nr.7 89.3.apakšpunkta nosacījumiem līgumā paredz piegādātāja pienākumu saņemt pasūtītāja iepriekšēju piekrišanu tiesiskās aizsardzības procesa pieteikuma iesniegšanai un tiesiskās aizsardzības procesa plāna apstiprināšanai, ja līguma izpilde ir ilgāka par diviem gadiem un līguma cena pārsniedz 42 000 euro. Atbilstoši Maksātnespējas likuma 42.panta trešajai daļai tiesiskās aizsardzības procesa pasākumu plāns ir saskaņots, ja to atbalsta nodrošinātie kreditori, kuru galvenie prasījumi kopumā veido divas trešdaļas no kopējās nodrošināto kreditoru galveno prasījumu summas, vai nenodrošinātie kreditori, kuru galvenie prasījumi kopumā veido vairāk nekā pusi no kopējās nenodrošināto kreditoru galveno prasījumu summas. Līdz ar to piegādātāja tiesiskās aizsardzības plāna apstiprināšanai nav nepieciešama pircēja piekrišana, ja vien pircējs nav attiecīgais kreditors. Šajā gadījumā pastāv pretruna starp Maksātnespējas likuma, kas ir ārējs normatīvs akts, tiesību normām un instrukcijas, kas ir iekšējs normatīvs akts, tiesību normām. Ņemot vērā iepriekš minēto, nepieciešams novērst šo pretrunu, svītrojot instrukcijas Nr.7 89.3. apakšpunktu, kā arī 177.5.apakšpunktu</w:t>
            </w:r>
          </w:p>
          <w:p w14:paraId="14F1403B"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5) Pastāv neskaidrības ar Instrukcijas Nr.7 98.1.apakšpunkta piemērošanu vispārīgo vienošanos gadījumā, ko nepieciešams novērst, nepārprotami nosakot, ka šī norma nav attiecinām uz vispārīgo vienošanos. Proti, vispārīgās vienošanās dalībniekiem nav pienākuma sniegt nodrošinājumu 98.1.apakšpuntkā paredzētajā kārtībā līdz brīdim, kamēr tiek noslēgts konkrēts atsevišķs līgums, respektīvi, 98.1.apakšpunktā iekļautais nosacījums par avansa nodrošinājumu ir attiecināms tikai uz atsevišķiem iepirkumu līgumiem, kas slēgti vispārīgās vienošanās ietvaros.</w:t>
            </w:r>
          </w:p>
          <w:p w14:paraId="0639E1B1"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 xml:space="preserve">6) 72.1. apakšpunktā minēto apstākļu iestāšanos </w:t>
            </w:r>
            <w:proofErr w:type="gramStart"/>
            <w:r w:rsidRPr="001F73C2">
              <w:rPr>
                <w:rFonts w:eastAsia="Times New Roman" w:cs="Times New Roman"/>
                <w:bCs/>
                <w:iCs/>
                <w:szCs w:val="24"/>
                <w:lang w:eastAsia="lv-LV"/>
              </w:rPr>
              <w:t>(</w:t>
            </w:r>
            <w:proofErr w:type="gramEnd"/>
            <w:r w:rsidRPr="001F73C2">
              <w:rPr>
                <w:rFonts w:eastAsia="Times New Roman" w:cs="Times New Roman"/>
                <w:bCs/>
                <w:iCs/>
                <w:szCs w:val="24"/>
                <w:lang w:eastAsia="lv-LV"/>
              </w:rPr>
              <w:t xml:space="preserve">piegādātājs ir mikrouzņēmums, individuālais komersants vai fiziska persona, kas reģistrēta kā saimnieciskās darbības veicējs Valsts ieņēmumu dienestā (izņemot </w:t>
            </w:r>
            <w:r w:rsidRPr="001F73C2">
              <w:rPr>
                <w:rFonts w:eastAsia="Times New Roman" w:cs="Times New Roman"/>
                <w:bCs/>
                <w:iCs/>
                <w:szCs w:val="24"/>
                <w:lang w:eastAsia="lv-LV"/>
              </w:rPr>
              <w:lastRenderedPageBreak/>
              <w:t>profesionālās darbības veicējus) pasūtītājs nevar zināt brīdī, kad tiek izsludināts iepirkums un sagatavots līguma projekts, līdz ar to, ja līguma slēgšanas laikā tiek mainīti nosacījumi attiecībā uz avansa maksājumiem atbilstoši instrukcijas nr.7 prasībām, tad pastāv risks, ka šādi grozījumi var tikt atzīti par būtiskiem publisko iepirkumu reglamentējošo normatīvo aktu izpratnē. Instrukcijas projekts paredz precizēt attiecīgo normu, pieļaujot 20% avansa maksājumu visiem pretendentiem, nešķirojot tos pēc juridiskā statusa. Vienlaikus paredzēts redakcionāli precizēt 72.punktu, apvienojot visus apakšpunktus.</w:t>
            </w:r>
          </w:p>
          <w:p w14:paraId="7593F700"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 xml:space="preserve">7) Ņemot vērā, ka instrukcijas Nr.7 98.punktā ietvertā norma par nodrošinājuma nosacījumu iekļaušanu līgumā apgrūtina līgumslēgšanas procesu un nesamērīgi sadārdzina piedāvājumus, ir paredzēts risināt šo situāciju, nosakot līgumcenas sliekšņus atbilstoši Publisko iepirkumu likuma 8.panta otrajā daļā paredzētajiem sliekšņiem 8.panta pirmajā daļā minētajām iepirkuma procedūrām, kuru pārsniedzot piemērojama šī norma. </w:t>
            </w:r>
          </w:p>
          <w:p w14:paraId="4877A194"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108.punkts paredz pasūtītājam iespēju aizstāt līguma izpildījuma nodrošinājumu ar 108.1. vai 108.2.apakšpunktā paredzētajiem līdzekļiem, liedzot iespēju šos līdzekļus piemērot vienlaikus ar līguma izpildījuma nodrošinājumu. Grozījumu projekts paredz 108.punktā aizstāt vārdu „aizstāt” ar vārdu „papildināt”, tādējādi ļaujot līgumā paredzēt nodrošinājumu vienlaikus ar 108.1. vai 108.2.apakšpunktā paredzētajiem līdzekļiem.</w:t>
            </w:r>
          </w:p>
          <w:p w14:paraId="307E77DE"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Ņemot vērā nepieciešamību paredzēt skaidru regulējumu instrukcijā, kā arī izvairīties no iestādēm nelabvēlīgu normu iekļaušanas līgumprojektos un to, ka līgumprojekta sagatavošanas brīdī nav iespējams izvērtēt nākamā piegādātāja kredītspēju, paredzēts precizēt 108.1.apakšpunktu.</w:t>
            </w:r>
          </w:p>
          <w:p w14:paraId="7EC955F6"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Nepieciešams precizēt 108.2.apakšpunktu, paredzot, ka līguma izpildījuma nodrošinājumu var aizstāt ar līguma cenas daļas ieturējumu līdz līguma saistību, nevis galvojuma saistību pilnīgai izpildei.</w:t>
            </w:r>
          </w:p>
          <w:p w14:paraId="0CF3C82A"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 xml:space="preserve">8) 109.punktā un 110. punktā atsauces uz 107.1. un 107.2 apakšpunktiem nav korektas, tādēļ instrukcijas projekts paredz tās precizēt, veicot attiecīgus labojumus. </w:t>
            </w:r>
          </w:p>
          <w:p w14:paraId="7F52A83B"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9) Ņemot vērā 110.punkta kontekstu un interpretāciju, 110.punktā atsauce uz 107.2.apakšpunktu aizstājama ar atsauci uz 108.2.apakšpunktu. Vienlaikus paredzēts salāgot terminoloģiju 110.1. un 110.2. apakšpunktā.</w:t>
            </w:r>
          </w:p>
          <w:p w14:paraId="210CC962"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10) 111.punktā formulējums ir pārāk vispārīgs, jo neviennozīmīgi saprotami ir vārdi „visus no līguma izrietošos pienākumus”. Pašreizējā situācijā nav skaidrs, vai ja tiek pieprasīts avansa nodrošinājums, tad var paredzēt kārtību avansa dzēšanai un pēc avansa dzēšanas pieļaujams, ka spēku zaudē avansa nodrošinājums. Tādēļ instrukcijas projekts paredz šo normu precizēt un norādīt, ka nodrošinājums paliek spēkā un ir realizējams līdz brīdim, kad piegādātājs ir izpildījis visus ar attiecīgo nodrošinājumu saistītos no līguma izrietošos pienākumus.</w:t>
            </w:r>
          </w:p>
          <w:p w14:paraId="02968873"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11) 125.punktā minētā prasība par neatkarīga eksperta vai mediatora iesaisti ir formulēta pārāk plaši un nav viennozīmīgi skaidrs, kādos gadījumos tā piemērojama. Tādēļ nepieciešams veikt grozījumus, kas paredz skaidru nosacījumu, ka neatkarīga eksperta vai mediatora iesaiste ar līguma izpildījumu saistītu jautājumu risināšanā, paredzama nepieciešamības gadījumā.</w:t>
            </w:r>
          </w:p>
          <w:p w14:paraId="63FD6111"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12) 127.3. apakšpunktā ievērtā prasība pasūtītājam līgumā paredzēt tiesības apturēt līguma izpildi uz ārvalstu finanšu instrumenta vadībā iesaistītas iestādes pārbaudes laiku ir pārāk vispārīga. Šī iemesla dēļ pretendentiem savos piedāvājumos jāparedz iespējamo dīkstāvju izmaksas. Ņemot vērā apstākli, ka pārbaudes notiek regulāri un šādu nosacījumu iekļaušana sadārdzina piedāvājumus, instrukcijas projekts paredz veikt grozījumus, svītrojot šādu normu no instrukcijas nr.7.</w:t>
            </w:r>
          </w:p>
          <w:p w14:paraId="0A81B959"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13) 129.2. apakšpunkts paredz nosacījumu, kas prasa galvojuma un garantija iekļaušanu piegādes līgumā, ja prece tiek pirkta vai pielāgota īpašam mērķim. Tomēr nav skaidrs kā interpretēt terminu „īpašs mērķis”, kas apgrūtina šīs normas piemērošanu. Tādēļ instrukcijas projekts paredz nepārprotamu nosacījumu, ka līgumā ar preces iegādes līgumcenu vienādu ar vai lielāku par 134 000 euro, kas atbilst ES publisko iepirkumu slieksnim, iekļaujams galvojums un garantija.</w:t>
            </w:r>
          </w:p>
          <w:p w14:paraId="2DB05297"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14) 172.punkts paredz piegādātāja pienākumu maksāt Civillikumā noteiktos likumiskos procentus, ja līdzēji līgumā nav vienojušies par citu piemērojamo normatīvo aktu vai procentu likmi, ja pasūtītājam tiek atmaksāta jebkāda naudas summa, tai skaitā izmaksātais avanss. Ņemot vērā apstākli, ka piegādātājs var nebūt guvis labumu no atmaksājamās summas, kas bijusi tā rīcībā, kā arī summas atmaksas pienākums var būt radies pasūtītāja iniciatīvas vai vainas dēļ, paredzēts grozīt 172.punktā ietverto imperatīvo normu, nosakot, ka līgumā var paredzēt prasību, ka piegādātājs maksā Civillikumā noteiktos likumiskos procentus, ja līdzēji līgumā nav vienojušies par citu piemērojamo normatīvo aktu vai procentu likmi.</w:t>
            </w:r>
          </w:p>
          <w:p w14:paraId="605D3ABA"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 xml:space="preserve">18) Pašreizējais 178.2.apakšpunktā noteiktais regulējums paredz, ka līgums tiek izbeigts obligātā kārtā līguma izmaksu 100% korekciju apmērā gadījumā. Lai izvairītos no imperatīvas normas, instrukcijā Nr.7 paredzēts noteikt, ka līgumā ietveramas pasūtītāja tiesības atkāpties no līguma, ja piemērota līguma izmaksu korekcija 100 % apmērā. </w:t>
            </w:r>
          </w:p>
          <w:p w14:paraId="73A2E389" w14:textId="77777777" w:rsidR="001F73C2" w:rsidRPr="001F73C2" w:rsidRDefault="001F73C2" w:rsidP="001F73C2">
            <w:pPr>
              <w:tabs>
                <w:tab w:val="left" w:pos="459"/>
              </w:tabs>
              <w:jc w:val="both"/>
              <w:rPr>
                <w:rFonts w:eastAsia="Times New Roman" w:cs="Times New Roman"/>
                <w:bCs/>
                <w:iCs/>
                <w:szCs w:val="24"/>
                <w:lang w:eastAsia="lv-LV"/>
              </w:rPr>
            </w:pPr>
            <w:r w:rsidRPr="001F73C2">
              <w:rPr>
                <w:rFonts w:eastAsia="Times New Roman" w:cs="Times New Roman"/>
                <w:bCs/>
                <w:iCs/>
                <w:szCs w:val="24"/>
                <w:lang w:eastAsia="lv-LV"/>
              </w:rPr>
              <w:t>15) Atbilstoši Ministru kabineta 2010.gada 10.augusta noteikumu Nr.740 “Kārtība, kādā ziņo par ES struktūrfondu un Kohēzijas fonda ieviešanā konstatētajām neatbilstībām, pieņem lēmumu par piešķirtā finansējuma izlietojumu un atgūst neatbilstošos izdevumus” (turpmāk – MK noteikumi Nr.740) 2.1.apakšpunktam jebkurš Latvijas Republikas vai ES tiesību akta pārkāpums, kas atbilst Padomes 2006.gada 11.jūlija Regulas (EK) Nr. 1083/2006, ar ko paredz vispārīgus noteikumus par Eiropas Reģionālās attīstības fondu, Eiropas Sociālo fondu un Kohēzijas fondu un atceļ Regulu (EK) Nr. 1260/1999, 2.panta 7.punktam, ir uzskatāms par neatbilstību. Saskaņā ar MK noteikumu Nr.740 6.punktu ES fondu vadībā iesaistītā iestāde, kas noslēgusi līgumu par ES fonda projekta īstenošanu, var pieņemt lēmumu par neatbilstoši veikto izdevumu atgūšanu, kas radušies neatbilstības rezultātā.</w:t>
            </w:r>
          </w:p>
          <w:p w14:paraId="2499DE97" w14:textId="4AFFE32C" w:rsidR="00ED7BC0" w:rsidRPr="003C05BE" w:rsidRDefault="001F73C2" w:rsidP="001F73C2">
            <w:pPr>
              <w:spacing w:after="120"/>
              <w:jc w:val="both"/>
            </w:pPr>
            <w:r w:rsidRPr="001F73C2">
              <w:rPr>
                <w:rFonts w:eastAsia="Times New Roman" w:cs="Times New Roman"/>
                <w:bCs/>
                <w:iCs/>
                <w:szCs w:val="24"/>
                <w:lang w:eastAsia="lv-LV"/>
              </w:rPr>
              <w:t>Līdz ar to var rasties situācijas, kurās lēmums par neatbilstoši veikto izdevumu atgūšanu var tikt pieņemts tad, ja finansējuma saņēmējs (valsts tiešās pārvaldes iestāde) ir pārkāpis kādu no Instrukcijas normām. Tādēļ norādāms, ka instrukcija Nr.7 normu formāls pārkāpums bez faktiskas vai potenciālās finansiālās ietekmes nav uzskatāms par neatbilstību un finanšu korekcija nav piemērojama.</w:t>
            </w:r>
          </w:p>
        </w:tc>
      </w:tr>
      <w:tr w:rsidR="00EA5E16" w:rsidRPr="00520485" w14:paraId="2499DE9C" w14:textId="77777777" w:rsidTr="00AA3252">
        <w:tc>
          <w:tcPr>
            <w:tcW w:w="426" w:type="dxa"/>
          </w:tcPr>
          <w:p w14:paraId="2499DE99" w14:textId="77777777" w:rsidR="00EA5E16" w:rsidRPr="00520485" w:rsidRDefault="00EA5E16" w:rsidP="00AA3252">
            <w:pPr>
              <w:pStyle w:val="naisnod"/>
              <w:spacing w:before="0" w:after="0"/>
              <w:ind w:left="34" w:right="-8"/>
              <w:jc w:val="both"/>
            </w:pPr>
            <w:r w:rsidRPr="00520485">
              <w:lastRenderedPageBreak/>
              <w:t>3.</w:t>
            </w:r>
          </w:p>
        </w:tc>
        <w:tc>
          <w:tcPr>
            <w:tcW w:w="2835" w:type="dxa"/>
          </w:tcPr>
          <w:p w14:paraId="2499DE9A" w14:textId="77777777" w:rsidR="00EA5E16" w:rsidRPr="00520485" w:rsidRDefault="00613DAF" w:rsidP="00EA5E16">
            <w:pPr>
              <w:rPr>
                <w:rFonts w:eastAsia="Times New Roman" w:cs="Times New Roman"/>
                <w:szCs w:val="24"/>
                <w:lang w:eastAsia="lv-LV"/>
              </w:rPr>
            </w:pPr>
            <w:r w:rsidRPr="00613DAF">
              <w:rPr>
                <w:rFonts w:eastAsia="Times New Roman" w:cs="Times New Roman"/>
                <w:szCs w:val="24"/>
                <w:lang w:eastAsia="lv-LV"/>
              </w:rPr>
              <w:t>Projekta izstrādē iesaistītās institūcijas</w:t>
            </w:r>
          </w:p>
        </w:tc>
        <w:tc>
          <w:tcPr>
            <w:tcW w:w="5918" w:type="dxa"/>
          </w:tcPr>
          <w:p w14:paraId="2499DE9B" w14:textId="77777777" w:rsidR="00EA5E16" w:rsidRPr="00520485" w:rsidRDefault="00C16273" w:rsidP="00EA5E16">
            <w:pPr>
              <w:jc w:val="both"/>
              <w:rPr>
                <w:rFonts w:eastAsia="Times New Roman" w:cs="Times New Roman"/>
                <w:szCs w:val="24"/>
                <w:lang w:eastAsia="lv-LV"/>
              </w:rPr>
            </w:pPr>
            <w:r w:rsidRPr="00C16273">
              <w:rPr>
                <w:rFonts w:eastAsia="Times New Roman" w:cs="Times New Roman"/>
                <w:szCs w:val="24"/>
                <w:lang w:eastAsia="lv-LV"/>
              </w:rPr>
              <w:t>Valsts kancelejas Eiropas Savienības struktūrfondu departaments</w:t>
            </w:r>
          </w:p>
        </w:tc>
      </w:tr>
      <w:tr w:rsidR="00EA5E16" w:rsidRPr="00520485" w14:paraId="2499DEA0" w14:textId="77777777" w:rsidTr="00AA3252">
        <w:tc>
          <w:tcPr>
            <w:tcW w:w="426" w:type="dxa"/>
          </w:tcPr>
          <w:p w14:paraId="2499DE9D" w14:textId="77777777" w:rsidR="00EA5E16" w:rsidRPr="00520485" w:rsidRDefault="00EA5E16" w:rsidP="00AA3252">
            <w:pPr>
              <w:pStyle w:val="naisnod"/>
              <w:spacing w:before="0" w:after="0"/>
              <w:ind w:left="34" w:right="-8"/>
              <w:jc w:val="both"/>
            </w:pPr>
            <w:r w:rsidRPr="00520485">
              <w:t>4.</w:t>
            </w:r>
          </w:p>
        </w:tc>
        <w:tc>
          <w:tcPr>
            <w:tcW w:w="2835" w:type="dxa"/>
          </w:tcPr>
          <w:p w14:paraId="2499DE9E" w14:textId="77777777" w:rsidR="00EA5E16" w:rsidRPr="001C020C" w:rsidRDefault="00613DAF" w:rsidP="00EA5E16">
            <w:pPr>
              <w:rPr>
                <w:rFonts w:eastAsia="Times New Roman" w:cs="Times New Roman"/>
                <w:szCs w:val="24"/>
                <w:lang w:eastAsia="lv-LV"/>
              </w:rPr>
            </w:pPr>
            <w:r w:rsidRPr="00613DAF">
              <w:rPr>
                <w:rFonts w:eastAsia="Times New Roman" w:cs="Times New Roman"/>
                <w:szCs w:val="24"/>
                <w:lang w:eastAsia="lv-LV"/>
              </w:rPr>
              <w:t>Cita informācija</w:t>
            </w:r>
          </w:p>
        </w:tc>
        <w:tc>
          <w:tcPr>
            <w:tcW w:w="5918" w:type="dxa"/>
          </w:tcPr>
          <w:p w14:paraId="2499DE9F" w14:textId="77777777" w:rsidR="00D203EF" w:rsidRPr="0057504B" w:rsidRDefault="00C16273" w:rsidP="00EC72CE">
            <w:pPr>
              <w:pStyle w:val="Nobeigums"/>
              <w:ind w:right="81"/>
              <w:jc w:val="both"/>
              <w:rPr>
                <w:szCs w:val="23"/>
                <w:lang w:val="lv-LV" w:eastAsia="ru-RU"/>
              </w:rPr>
            </w:pPr>
            <w:r w:rsidRPr="001C020C">
              <w:rPr>
                <w:lang w:val="lv-LV"/>
              </w:rPr>
              <w:t>Nav</w:t>
            </w:r>
          </w:p>
        </w:tc>
      </w:tr>
    </w:tbl>
    <w:p w14:paraId="2499DEA1" w14:textId="77777777" w:rsidR="00613DAF" w:rsidRDefault="00613DAF" w:rsidP="007328C2">
      <w:pPr>
        <w:spacing w:before="60" w:after="60"/>
        <w:jc w:val="both"/>
        <w:outlineLvl w:val="3"/>
        <w:rPr>
          <w:b/>
        </w:rPr>
      </w:pPr>
    </w:p>
    <w:tbl>
      <w:tblPr>
        <w:tblpPr w:leftFromText="180" w:rightFromText="180" w:vertAnchor="text" w:horzAnchor="margin" w:tblpXSpec="center" w:tblpY="11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44"/>
        <w:gridCol w:w="6081"/>
      </w:tblGrid>
      <w:tr w:rsidR="00613DAF" w:rsidRPr="00DD49B6" w14:paraId="2499DEA4" w14:textId="77777777" w:rsidTr="00077964">
        <w:trPr>
          <w:trHeight w:val="556"/>
        </w:trPr>
        <w:tc>
          <w:tcPr>
            <w:tcW w:w="9356" w:type="dxa"/>
            <w:gridSpan w:val="3"/>
            <w:vAlign w:val="center"/>
          </w:tcPr>
          <w:p w14:paraId="2499DEA2" w14:textId="77777777" w:rsidR="00613DAF" w:rsidRPr="00DD49B6" w:rsidRDefault="00613DAF" w:rsidP="00077964">
            <w:pPr>
              <w:pStyle w:val="naisnod"/>
              <w:spacing w:before="0" w:after="0"/>
              <w:ind w:left="57" w:right="57"/>
              <w:rPr>
                <w:b w:val="0"/>
              </w:rPr>
            </w:pPr>
            <w:r w:rsidRPr="00DD49B6">
              <w:t>II. Tiesību akta projekta ietekme uz sabiedrību, tautsaimniecības attīstību</w:t>
            </w:r>
          </w:p>
          <w:p w14:paraId="2499DEA3" w14:textId="77777777" w:rsidR="00613DAF" w:rsidRPr="00DD49B6" w:rsidRDefault="00613DAF" w:rsidP="00077964">
            <w:pPr>
              <w:pStyle w:val="naisnod"/>
              <w:spacing w:before="0" w:after="0"/>
              <w:ind w:left="57" w:right="57"/>
              <w:rPr>
                <w:b w:val="0"/>
              </w:rPr>
            </w:pPr>
            <w:r w:rsidRPr="00DD49B6">
              <w:t>un administratīvo slogu</w:t>
            </w:r>
          </w:p>
        </w:tc>
      </w:tr>
      <w:tr w:rsidR="00613DAF" w:rsidRPr="00DD49B6" w14:paraId="2499DEA8" w14:textId="77777777" w:rsidTr="000A6CBA">
        <w:trPr>
          <w:trHeight w:val="467"/>
        </w:trPr>
        <w:tc>
          <w:tcPr>
            <w:tcW w:w="431" w:type="dxa"/>
          </w:tcPr>
          <w:p w14:paraId="2499DEA5" w14:textId="77777777" w:rsidR="00613DAF" w:rsidRPr="00DD49B6" w:rsidRDefault="00613DAF" w:rsidP="00AA3252">
            <w:pPr>
              <w:pStyle w:val="naisnod"/>
              <w:spacing w:before="0" w:after="0"/>
              <w:ind w:left="57" w:right="57"/>
              <w:jc w:val="both"/>
            </w:pPr>
            <w:r w:rsidRPr="00DD49B6">
              <w:t>1.</w:t>
            </w:r>
          </w:p>
        </w:tc>
        <w:tc>
          <w:tcPr>
            <w:tcW w:w="2844" w:type="dxa"/>
          </w:tcPr>
          <w:p w14:paraId="2499DEA6" w14:textId="77777777" w:rsidR="00613DAF" w:rsidRPr="00DD49B6" w:rsidRDefault="00613DAF" w:rsidP="00077964">
            <w:pPr>
              <w:pStyle w:val="naiskr"/>
              <w:spacing w:before="0" w:after="0"/>
              <w:ind w:left="57" w:right="57"/>
            </w:pPr>
            <w:r w:rsidRPr="00DD49B6">
              <w:t>Sabiedrības mērķgrupas, kuras tiesiskais regulējums ietekmē vai varētu ietekmēt</w:t>
            </w:r>
          </w:p>
        </w:tc>
        <w:tc>
          <w:tcPr>
            <w:tcW w:w="6081" w:type="dxa"/>
          </w:tcPr>
          <w:p w14:paraId="2499DEA7" w14:textId="06C00BEE" w:rsidR="00613DAF" w:rsidRPr="00DD49B6" w:rsidRDefault="00035924" w:rsidP="008779F3">
            <w:pPr>
              <w:shd w:val="clear" w:color="auto" w:fill="FFFFFF"/>
              <w:ind w:left="57" w:right="57"/>
              <w:jc w:val="both"/>
            </w:pPr>
            <w:bookmarkStart w:id="3" w:name="p21"/>
            <w:bookmarkEnd w:id="3"/>
            <w:r>
              <w:t xml:space="preserve">Instrukcijas projektā iekļautas tiesību normas, kas </w:t>
            </w:r>
            <w:r w:rsidR="003C1570">
              <w:t>tieši ietekmē valsts tiešās pārvaldes iestādes, kas slēdz ā</w:t>
            </w:r>
            <w:r w:rsidR="003C1570" w:rsidRPr="003C1570">
              <w:t>rvalstu finanšu instrumentu finansētu</w:t>
            </w:r>
            <w:r w:rsidR="003C1570">
              <w:t>s</w:t>
            </w:r>
            <w:r w:rsidR="003C1570" w:rsidRPr="003C1570">
              <w:t xml:space="preserve"> civiltiesisku</w:t>
            </w:r>
            <w:r w:rsidR="003C1570">
              <w:t>s</w:t>
            </w:r>
            <w:r w:rsidR="003C1570" w:rsidRPr="003C1570">
              <w:t xml:space="preserve"> līgumu</w:t>
            </w:r>
            <w:r w:rsidR="003C1570">
              <w:t>s.</w:t>
            </w:r>
            <w:r w:rsidR="006050D9">
              <w:t xml:space="preserve"> Projektā paredzētais regulējums pakārtoti ietekmēs</w:t>
            </w:r>
            <w:r w:rsidR="0004758B">
              <w:t xml:space="preserve"> subjektus, ar kuriem valsts tiešās pārvaldes iestādes slēdz ā</w:t>
            </w:r>
            <w:r w:rsidR="0004758B" w:rsidRPr="003C1570">
              <w:t>rvalstu finanšu instrumentu finansētu</w:t>
            </w:r>
            <w:r w:rsidR="0004758B">
              <w:t>s</w:t>
            </w:r>
            <w:r w:rsidR="0004758B" w:rsidRPr="003C1570">
              <w:t xml:space="preserve"> civiltiesisku</w:t>
            </w:r>
            <w:r w:rsidR="0004758B">
              <w:t>s</w:t>
            </w:r>
            <w:r w:rsidR="0004758B" w:rsidRPr="003C1570">
              <w:t xml:space="preserve"> līgumu</w:t>
            </w:r>
            <w:r w:rsidR="0004758B">
              <w:t>s.</w:t>
            </w:r>
          </w:p>
        </w:tc>
      </w:tr>
      <w:tr w:rsidR="00613DAF" w:rsidRPr="00DD49B6" w14:paraId="2499DEAC" w14:textId="77777777" w:rsidTr="000A6CBA">
        <w:trPr>
          <w:trHeight w:val="523"/>
        </w:trPr>
        <w:tc>
          <w:tcPr>
            <w:tcW w:w="431" w:type="dxa"/>
          </w:tcPr>
          <w:p w14:paraId="2499DEA9" w14:textId="77777777" w:rsidR="00613DAF" w:rsidRPr="00DD49B6" w:rsidRDefault="00035924" w:rsidP="00AA3252">
            <w:pPr>
              <w:pStyle w:val="naisnod"/>
              <w:spacing w:before="0" w:after="0"/>
              <w:ind w:left="57" w:right="57"/>
              <w:jc w:val="both"/>
            </w:pPr>
            <w:r>
              <w:t xml:space="preserve"> </w:t>
            </w:r>
          </w:p>
        </w:tc>
        <w:tc>
          <w:tcPr>
            <w:tcW w:w="2844" w:type="dxa"/>
          </w:tcPr>
          <w:p w14:paraId="2499DEAA" w14:textId="77777777" w:rsidR="00613DAF" w:rsidRPr="00DD49B6" w:rsidRDefault="00613DAF" w:rsidP="00077964">
            <w:pPr>
              <w:pStyle w:val="naiskr"/>
              <w:spacing w:before="0" w:after="0"/>
              <w:ind w:left="57" w:right="57"/>
            </w:pPr>
            <w:r w:rsidRPr="00DD49B6">
              <w:t>Tiesiskā regulējuma ietekme uz tautsaimniecību un administratīvo slogu</w:t>
            </w:r>
          </w:p>
        </w:tc>
        <w:tc>
          <w:tcPr>
            <w:tcW w:w="6081" w:type="dxa"/>
          </w:tcPr>
          <w:p w14:paraId="2499DEAB" w14:textId="77777777" w:rsidR="00613DAF" w:rsidRPr="0004758B" w:rsidRDefault="00C16273" w:rsidP="001D19E1">
            <w:pPr>
              <w:tabs>
                <w:tab w:val="left" w:pos="459"/>
              </w:tabs>
              <w:jc w:val="both"/>
              <w:rPr>
                <w:rFonts w:eastAsia="Times New Roman" w:cs="Times New Roman"/>
                <w:bCs/>
                <w:iCs/>
                <w:szCs w:val="24"/>
                <w:lang w:eastAsia="lv-LV"/>
              </w:rPr>
            </w:pPr>
            <w:r>
              <w:t xml:space="preserve">Tiks atvieglota līgumslēgšanas procedūra starp komersantiem un valsts </w:t>
            </w:r>
            <w:r w:rsidR="001D19E1">
              <w:t xml:space="preserve">tiešās </w:t>
            </w:r>
            <w:r>
              <w:t>pārvaldes institūcijām,</w:t>
            </w:r>
            <w:r w:rsidR="00450089">
              <w:t xml:space="preserve"> ja līgumcena ir zem instrukcijas projekta 1.</w:t>
            </w:r>
            <w:r w:rsidR="00450089" w:rsidRPr="00A91FEA">
              <w:rPr>
                <w:vertAlign w:val="superscript"/>
              </w:rPr>
              <w:t>1</w:t>
            </w:r>
            <w:r w:rsidR="00A91FEA">
              <w:rPr>
                <w:vertAlign w:val="superscript"/>
              </w:rPr>
              <w:t xml:space="preserve"> </w:t>
            </w:r>
            <w:r w:rsidR="00450089">
              <w:t xml:space="preserve">punktā paredzamajiem sliekšņiem. Tāpat paredzēts atvieglot līgumu slēgšanas procesu ar starptautiskajām organizācijām. </w:t>
            </w:r>
            <w:r w:rsidR="0004758B">
              <w:t xml:space="preserve">Instrukcijas projekta 3. punktā ietvertie grozījumi </w:t>
            </w:r>
            <w:r w:rsidR="0004758B" w:rsidRPr="0039021F">
              <w:rPr>
                <w:rFonts w:eastAsia="Times New Roman" w:cs="Times New Roman"/>
                <w:bCs/>
                <w:iCs/>
                <w:szCs w:val="24"/>
                <w:lang w:eastAsia="lv-LV"/>
              </w:rPr>
              <w:t xml:space="preserve">pieļauj 20% avansa maksājumu visiem pretendentiem, </w:t>
            </w:r>
            <w:r w:rsidR="0004758B">
              <w:rPr>
                <w:rFonts w:eastAsia="Times New Roman" w:cs="Times New Roman"/>
                <w:bCs/>
                <w:iCs/>
                <w:szCs w:val="24"/>
                <w:lang w:eastAsia="lv-LV"/>
              </w:rPr>
              <w:t>tādējādi nodrošinot visiem</w:t>
            </w:r>
            <w:r w:rsidR="004F7FC2">
              <w:rPr>
                <w:rFonts w:eastAsia="Times New Roman" w:cs="Times New Roman"/>
                <w:bCs/>
                <w:iCs/>
                <w:szCs w:val="24"/>
                <w:lang w:eastAsia="lv-LV"/>
              </w:rPr>
              <w:t xml:space="preserve"> komersantiem</w:t>
            </w:r>
            <w:r w:rsidR="0004758B">
              <w:rPr>
                <w:rFonts w:eastAsia="Times New Roman" w:cs="Times New Roman"/>
                <w:bCs/>
                <w:iCs/>
                <w:szCs w:val="24"/>
                <w:lang w:eastAsia="lv-LV"/>
              </w:rPr>
              <w:t xml:space="preserve"> vienlīdzīgas iespējas saņemt avansa maksājumu,</w:t>
            </w:r>
            <w:r w:rsidR="0004758B" w:rsidRPr="0039021F">
              <w:rPr>
                <w:rFonts w:eastAsia="Times New Roman" w:cs="Times New Roman"/>
                <w:bCs/>
                <w:iCs/>
                <w:szCs w:val="24"/>
                <w:lang w:eastAsia="lv-LV"/>
              </w:rPr>
              <w:t xml:space="preserve"> nešķi</w:t>
            </w:r>
            <w:r w:rsidR="0004758B">
              <w:rPr>
                <w:rFonts w:eastAsia="Times New Roman" w:cs="Times New Roman"/>
                <w:bCs/>
                <w:iCs/>
                <w:szCs w:val="24"/>
                <w:lang w:eastAsia="lv-LV"/>
              </w:rPr>
              <w:t>rojot tos pēc juridiskā statusa</w:t>
            </w:r>
            <w:r w:rsidR="00DA6CFB">
              <w:rPr>
                <w:rFonts w:eastAsia="Times New Roman" w:cs="Times New Roman"/>
                <w:bCs/>
                <w:iCs/>
                <w:szCs w:val="24"/>
                <w:lang w:eastAsia="lv-LV"/>
              </w:rPr>
              <w:t>. Vienlaikus instrukcijas projekts paredz novērst atsevišķas neskaidrības</w:t>
            </w:r>
            <w:r w:rsidR="00645090">
              <w:rPr>
                <w:rFonts w:eastAsia="Times New Roman" w:cs="Times New Roman"/>
                <w:bCs/>
                <w:iCs/>
                <w:szCs w:val="24"/>
                <w:lang w:eastAsia="lv-LV"/>
              </w:rPr>
              <w:t xml:space="preserve">, kas saistītas ar normu interpretāciju un to </w:t>
            </w:r>
            <w:r w:rsidR="00253B9D">
              <w:rPr>
                <w:rFonts w:eastAsia="Times New Roman" w:cs="Times New Roman"/>
                <w:bCs/>
                <w:iCs/>
                <w:szCs w:val="24"/>
                <w:lang w:eastAsia="lv-LV"/>
              </w:rPr>
              <w:t>piemērošanu</w:t>
            </w:r>
            <w:r w:rsidR="00645090">
              <w:rPr>
                <w:rFonts w:eastAsia="Times New Roman" w:cs="Times New Roman"/>
                <w:bCs/>
                <w:iCs/>
                <w:szCs w:val="24"/>
                <w:lang w:eastAsia="lv-LV"/>
              </w:rPr>
              <w:t>.</w:t>
            </w:r>
          </w:p>
        </w:tc>
      </w:tr>
      <w:tr w:rsidR="00613DAF" w:rsidRPr="00DD49B6" w14:paraId="2499DEB0" w14:textId="77777777" w:rsidTr="000A6CBA">
        <w:trPr>
          <w:trHeight w:val="523"/>
        </w:trPr>
        <w:tc>
          <w:tcPr>
            <w:tcW w:w="431" w:type="dxa"/>
          </w:tcPr>
          <w:p w14:paraId="2499DEAD" w14:textId="77777777" w:rsidR="00613DAF" w:rsidRPr="00DD49B6" w:rsidRDefault="00613DAF" w:rsidP="00AA3252">
            <w:pPr>
              <w:pStyle w:val="naisnod"/>
              <w:spacing w:before="0" w:after="0"/>
              <w:ind w:left="57" w:right="57"/>
              <w:jc w:val="both"/>
            </w:pPr>
            <w:r w:rsidRPr="00DD49B6">
              <w:t>3.</w:t>
            </w:r>
          </w:p>
        </w:tc>
        <w:tc>
          <w:tcPr>
            <w:tcW w:w="2844" w:type="dxa"/>
          </w:tcPr>
          <w:p w14:paraId="2499DEAE" w14:textId="77777777" w:rsidR="00613DAF" w:rsidRPr="00DD49B6" w:rsidRDefault="00613DAF" w:rsidP="00077964">
            <w:pPr>
              <w:pStyle w:val="naiskr"/>
              <w:spacing w:before="0" w:after="0"/>
              <w:ind w:left="57" w:right="57"/>
            </w:pPr>
            <w:r w:rsidRPr="00DD49B6">
              <w:t>Administratīvo izmaksu monetārs novērtējums</w:t>
            </w:r>
          </w:p>
        </w:tc>
        <w:tc>
          <w:tcPr>
            <w:tcW w:w="6081" w:type="dxa"/>
          </w:tcPr>
          <w:p w14:paraId="2499DEAF" w14:textId="77777777" w:rsidR="00613DAF" w:rsidRPr="00DD49B6" w:rsidRDefault="00613DAF" w:rsidP="00077964">
            <w:pPr>
              <w:shd w:val="clear" w:color="auto" w:fill="FFFFFF"/>
              <w:ind w:left="57" w:right="57"/>
            </w:pPr>
            <w:r>
              <w:t>Nav</w:t>
            </w:r>
          </w:p>
        </w:tc>
      </w:tr>
      <w:tr w:rsidR="00613DAF" w:rsidRPr="00DD49B6" w14:paraId="2499DEB4" w14:textId="77777777" w:rsidTr="000A6CBA">
        <w:trPr>
          <w:trHeight w:val="357"/>
        </w:trPr>
        <w:tc>
          <w:tcPr>
            <w:tcW w:w="431" w:type="dxa"/>
          </w:tcPr>
          <w:p w14:paraId="2499DEB1" w14:textId="77777777" w:rsidR="00613DAF" w:rsidRPr="00DD49B6" w:rsidRDefault="00613DAF" w:rsidP="00AA3252">
            <w:pPr>
              <w:pStyle w:val="naisnod"/>
              <w:spacing w:before="0" w:after="0"/>
              <w:ind w:left="57" w:right="57"/>
              <w:jc w:val="both"/>
            </w:pPr>
            <w:r w:rsidRPr="00DD49B6">
              <w:t>4.</w:t>
            </w:r>
          </w:p>
        </w:tc>
        <w:tc>
          <w:tcPr>
            <w:tcW w:w="2844" w:type="dxa"/>
          </w:tcPr>
          <w:p w14:paraId="2499DEB2" w14:textId="77777777" w:rsidR="00613DAF" w:rsidRPr="00DD49B6" w:rsidRDefault="00613DAF" w:rsidP="00077964">
            <w:pPr>
              <w:pStyle w:val="naiskr"/>
              <w:spacing w:before="0" w:after="0"/>
              <w:ind w:left="57" w:right="57"/>
            </w:pPr>
            <w:r w:rsidRPr="00DD49B6">
              <w:t>Cita informācija</w:t>
            </w:r>
          </w:p>
        </w:tc>
        <w:tc>
          <w:tcPr>
            <w:tcW w:w="6081" w:type="dxa"/>
          </w:tcPr>
          <w:p w14:paraId="2499DEB3" w14:textId="77777777" w:rsidR="00613DAF" w:rsidRPr="00DD49B6" w:rsidRDefault="00613DAF" w:rsidP="00077964">
            <w:pPr>
              <w:shd w:val="clear" w:color="auto" w:fill="FFFFFF"/>
              <w:ind w:left="57" w:right="57"/>
            </w:pPr>
            <w:r>
              <w:t>Nav</w:t>
            </w:r>
          </w:p>
        </w:tc>
      </w:tr>
    </w:tbl>
    <w:p w14:paraId="2499DEB5" w14:textId="77777777" w:rsidR="00613DAF" w:rsidRDefault="00613DAF" w:rsidP="00613DAF">
      <w:pPr>
        <w:spacing w:before="60" w:after="60"/>
        <w:ind w:firstLine="374"/>
        <w:jc w:val="both"/>
        <w:outlineLvl w:val="3"/>
        <w:rPr>
          <w:b/>
        </w:rPr>
      </w:pPr>
    </w:p>
    <w:p w14:paraId="2499DEB6" w14:textId="77777777" w:rsidR="00613DAF" w:rsidRDefault="00613DAF" w:rsidP="00613DAF">
      <w:pPr>
        <w:spacing w:before="60" w:after="60"/>
        <w:ind w:firstLine="374"/>
        <w:jc w:val="both"/>
        <w:outlineLvl w:val="3"/>
        <w:rPr>
          <w:b/>
        </w:rPr>
      </w:pPr>
    </w:p>
    <w:tbl>
      <w:tblPr>
        <w:tblW w:w="9355"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7"/>
        <w:gridCol w:w="2835"/>
        <w:gridCol w:w="6093"/>
      </w:tblGrid>
      <w:tr w:rsidR="00613DAF" w:rsidRPr="00DD49B6" w14:paraId="2499DEB8" w14:textId="77777777" w:rsidTr="00E86B9F">
        <w:trPr>
          <w:trHeight w:val="381"/>
          <w:jc w:val="center"/>
        </w:trPr>
        <w:tc>
          <w:tcPr>
            <w:tcW w:w="9355" w:type="dxa"/>
            <w:gridSpan w:val="3"/>
            <w:vAlign w:val="center"/>
          </w:tcPr>
          <w:p w14:paraId="2499DEB7" w14:textId="77777777" w:rsidR="00613DAF" w:rsidRPr="00DD49B6" w:rsidRDefault="00613DAF" w:rsidP="00077964">
            <w:pPr>
              <w:pStyle w:val="naisnod"/>
              <w:spacing w:before="0" w:after="0"/>
              <w:ind w:left="57" w:right="57"/>
            </w:pPr>
            <w:r w:rsidRPr="00DD49B6">
              <w:t>VII. Tiesību akta projekta izpildes nodrošināšana un tās ietekme uz institūcijām</w:t>
            </w:r>
          </w:p>
        </w:tc>
      </w:tr>
      <w:tr w:rsidR="00613DAF" w:rsidRPr="00DD49B6" w14:paraId="2499DEBC" w14:textId="77777777" w:rsidTr="00E86B9F">
        <w:trPr>
          <w:trHeight w:val="427"/>
          <w:jc w:val="center"/>
        </w:trPr>
        <w:tc>
          <w:tcPr>
            <w:tcW w:w="427" w:type="dxa"/>
          </w:tcPr>
          <w:p w14:paraId="2499DEB9" w14:textId="77777777" w:rsidR="00613DAF" w:rsidRPr="00DD49B6" w:rsidRDefault="00613DAF" w:rsidP="00077964">
            <w:pPr>
              <w:pStyle w:val="naisnod"/>
              <w:spacing w:before="0" w:after="0"/>
              <w:ind w:left="57" w:right="57"/>
              <w:jc w:val="both"/>
            </w:pPr>
            <w:r w:rsidRPr="00DD49B6">
              <w:t>1.</w:t>
            </w:r>
          </w:p>
        </w:tc>
        <w:tc>
          <w:tcPr>
            <w:tcW w:w="2835" w:type="dxa"/>
          </w:tcPr>
          <w:p w14:paraId="2499DEBA" w14:textId="77777777" w:rsidR="00613DAF" w:rsidRPr="00DD49B6" w:rsidRDefault="00613DAF" w:rsidP="00DA6CFB">
            <w:pPr>
              <w:pStyle w:val="naisf"/>
              <w:spacing w:before="0" w:after="0"/>
              <w:ind w:left="57" w:right="57" w:firstLine="0"/>
            </w:pPr>
            <w:r w:rsidRPr="00DD49B6">
              <w:t>Projekta izpildē iesaistītās institūcijas</w:t>
            </w:r>
          </w:p>
        </w:tc>
        <w:tc>
          <w:tcPr>
            <w:tcW w:w="6093" w:type="dxa"/>
          </w:tcPr>
          <w:p w14:paraId="2499DEBB" w14:textId="77777777" w:rsidR="00613DAF" w:rsidRPr="00A35DEF" w:rsidRDefault="003B793D" w:rsidP="000A6CBA">
            <w:pPr>
              <w:shd w:val="clear" w:color="auto" w:fill="FFFFFF"/>
              <w:jc w:val="both"/>
            </w:pPr>
            <w:bookmarkStart w:id="4" w:name="p66"/>
            <w:bookmarkStart w:id="5" w:name="p67"/>
            <w:bookmarkStart w:id="6" w:name="p68"/>
            <w:bookmarkStart w:id="7" w:name="p69"/>
            <w:bookmarkEnd w:id="4"/>
            <w:bookmarkEnd w:id="5"/>
            <w:bookmarkEnd w:id="6"/>
            <w:bookmarkEnd w:id="7"/>
            <w:r w:rsidRPr="003B793D">
              <w:t>Valsts tiešās pārvaldes iestādes, kuras izstrādā un slēdz civiltiesiskus līgumus, kuru izpildi finansē ārvalstu finanšu instrumenti, kas minēti instrukcijas</w:t>
            </w:r>
            <w:r>
              <w:t xml:space="preserve"> nr.7</w:t>
            </w:r>
            <w:r w:rsidRPr="003B793D">
              <w:t xml:space="preserve"> 1.punktā</w:t>
            </w:r>
          </w:p>
        </w:tc>
      </w:tr>
      <w:tr w:rsidR="00613DAF" w:rsidRPr="00DD49B6" w14:paraId="2499DEC1" w14:textId="77777777" w:rsidTr="00E86B9F">
        <w:trPr>
          <w:trHeight w:val="463"/>
          <w:jc w:val="center"/>
        </w:trPr>
        <w:tc>
          <w:tcPr>
            <w:tcW w:w="427" w:type="dxa"/>
          </w:tcPr>
          <w:p w14:paraId="2499DEBD" w14:textId="77777777" w:rsidR="00613DAF" w:rsidRPr="00DD49B6" w:rsidRDefault="00613DAF" w:rsidP="00077964">
            <w:pPr>
              <w:pStyle w:val="naisnod"/>
              <w:spacing w:before="0" w:after="0"/>
              <w:ind w:left="57" w:right="57"/>
              <w:jc w:val="both"/>
            </w:pPr>
            <w:r w:rsidRPr="00DD49B6">
              <w:t>2.</w:t>
            </w:r>
          </w:p>
        </w:tc>
        <w:tc>
          <w:tcPr>
            <w:tcW w:w="2835" w:type="dxa"/>
          </w:tcPr>
          <w:p w14:paraId="2499DEBE" w14:textId="77777777" w:rsidR="00613DAF" w:rsidRPr="00DD49B6" w:rsidRDefault="00613DAF" w:rsidP="00DA6CFB">
            <w:pPr>
              <w:pStyle w:val="naisf"/>
              <w:spacing w:before="0" w:after="0"/>
              <w:ind w:left="57" w:right="57" w:firstLine="0"/>
            </w:pPr>
            <w:r w:rsidRPr="00DD49B6">
              <w:t>Projekta izpildes iet</w:t>
            </w:r>
            <w:r>
              <w:t>ekme uz pār</w:t>
            </w:r>
            <w:r>
              <w:softHyphen/>
              <w:t xml:space="preserve">valdes funkcijām un </w:t>
            </w:r>
            <w:r w:rsidRPr="00DD49B6">
              <w:t>institucionālo struktūru.</w:t>
            </w:r>
          </w:p>
          <w:p w14:paraId="2499DEBF" w14:textId="77777777" w:rsidR="00613DAF" w:rsidRPr="00DD49B6" w:rsidRDefault="00613DAF" w:rsidP="00DA6CFB">
            <w:pPr>
              <w:pStyle w:val="naisf"/>
              <w:spacing w:before="0" w:after="0"/>
              <w:ind w:left="57" w:right="57" w:firstLine="0"/>
            </w:pPr>
            <w:r w:rsidRPr="00DD49B6">
              <w:t>Jaunu institūciju izveide, esošu institūciju likvidācija vai reorga</w:t>
            </w:r>
            <w:r>
              <w:softHyphen/>
            </w:r>
            <w:r w:rsidRPr="00DD49B6">
              <w:t>nizācija, to ietekme uz institūcijas cilvēkresursiem.</w:t>
            </w:r>
          </w:p>
        </w:tc>
        <w:tc>
          <w:tcPr>
            <w:tcW w:w="6093" w:type="dxa"/>
          </w:tcPr>
          <w:p w14:paraId="2499DEC0" w14:textId="77777777" w:rsidR="00613DAF" w:rsidRPr="00DD49B6" w:rsidRDefault="00AA3252" w:rsidP="00077964">
            <w:pPr>
              <w:shd w:val="clear" w:color="auto" w:fill="FFFFFF"/>
              <w:jc w:val="both"/>
            </w:pPr>
            <w:r w:rsidRPr="00AA3252">
              <w:t>Pārvaldes funkciju apjomu projekts neietekmē, projekts neparedz likvidēt esošās institūcijas vai tās reorganizēt.</w:t>
            </w:r>
          </w:p>
        </w:tc>
      </w:tr>
      <w:tr w:rsidR="00613DAF" w:rsidRPr="00DD49B6" w14:paraId="2499DEC5" w14:textId="77777777" w:rsidTr="00E86B9F">
        <w:trPr>
          <w:trHeight w:val="402"/>
          <w:jc w:val="center"/>
        </w:trPr>
        <w:tc>
          <w:tcPr>
            <w:tcW w:w="427" w:type="dxa"/>
            <w:tcBorders>
              <w:top w:val="single" w:sz="4" w:space="0" w:color="auto"/>
              <w:left w:val="single" w:sz="4" w:space="0" w:color="auto"/>
              <w:bottom w:val="single" w:sz="4" w:space="0" w:color="auto"/>
              <w:right w:val="single" w:sz="4" w:space="0" w:color="auto"/>
            </w:tcBorders>
          </w:tcPr>
          <w:p w14:paraId="2499DEC2" w14:textId="77777777" w:rsidR="00613DAF" w:rsidRPr="00DD49B6" w:rsidRDefault="00613DAF" w:rsidP="00077964">
            <w:pPr>
              <w:pStyle w:val="naisnod"/>
              <w:spacing w:before="0" w:after="0"/>
              <w:ind w:left="57" w:right="57"/>
              <w:jc w:val="both"/>
            </w:pPr>
            <w:r w:rsidRPr="00DD49B6">
              <w:t>3.</w:t>
            </w:r>
          </w:p>
        </w:tc>
        <w:tc>
          <w:tcPr>
            <w:tcW w:w="2835" w:type="dxa"/>
            <w:tcBorders>
              <w:top w:val="single" w:sz="4" w:space="0" w:color="auto"/>
              <w:left w:val="single" w:sz="4" w:space="0" w:color="auto"/>
              <w:bottom w:val="single" w:sz="4" w:space="0" w:color="auto"/>
              <w:right w:val="single" w:sz="4" w:space="0" w:color="auto"/>
            </w:tcBorders>
          </w:tcPr>
          <w:p w14:paraId="2499DEC3" w14:textId="77777777" w:rsidR="00613DAF" w:rsidRPr="00DD49B6" w:rsidRDefault="00613DAF" w:rsidP="00DA6CFB">
            <w:pPr>
              <w:pStyle w:val="naisf"/>
              <w:spacing w:before="0" w:after="0"/>
              <w:ind w:right="57" w:firstLine="0"/>
            </w:pPr>
            <w:r w:rsidRPr="00DD49B6">
              <w:t>Cita informācija</w:t>
            </w:r>
          </w:p>
        </w:tc>
        <w:tc>
          <w:tcPr>
            <w:tcW w:w="6093" w:type="dxa"/>
            <w:tcBorders>
              <w:top w:val="single" w:sz="4" w:space="0" w:color="auto"/>
              <w:left w:val="single" w:sz="4" w:space="0" w:color="auto"/>
              <w:bottom w:val="single" w:sz="4" w:space="0" w:color="auto"/>
              <w:right w:val="single" w:sz="4" w:space="0" w:color="auto"/>
            </w:tcBorders>
          </w:tcPr>
          <w:p w14:paraId="2499DEC4" w14:textId="77777777" w:rsidR="00613DAF" w:rsidRPr="00DD49B6" w:rsidRDefault="00613DAF" w:rsidP="00077964">
            <w:pPr>
              <w:ind w:left="57" w:right="57"/>
              <w:jc w:val="both"/>
            </w:pPr>
            <w:r w:rsidRPr="00DD49B6">
              <w:t>Nav</w:t>
            </w:r>
          </w:p>
        </w:tc>
      </w:tr>
    </w:tbl>
    <w:p w14:paraId="2499DEC6" w14:textId="77777777" w:rsidR="00613DAF" w:rsidRDefault="00613DAF" w:rsidP="00613DAF">
      <w:pPr>
        <w:spacing w:before="60" w:after="60"/>
        <w:ind w:firstLine="374"/>
        <w:jc w:val="both"/>
        <w:outlineLvl w:val="3"/>
        <w:rPr>
          <w:b/>
        </w:rPr>
      </w:pPr>
    </w:p>
    <w:p w14:paraId="2499DEC7" w14:textId="77777777" w:rsidR="007A2D8A" w:rsidRPr="00520485" w:rsidRDefault="007A2D8A" w:rsidP="00DD6FCB">
      <w:pPr>
        <w:pStyle w:val="NormalWeb"/>
        <w:spacing w:before="240"/>
        <w:ind w:firstLine="567"/>
      </w:pPr>
      <w:r w:rsidRPr="00520485">
        <w:t>Projekts neskar a</w:t>
      </w:r>
      <w:r w:rsidR="00E323BF" w:rsidRPr="00520485">
        <w:t>notācijas III</w:t>
      </w:r>
      <w:r w:rsidR="000148C2">
        <w:t xml:space="preserve">, IV, V </w:t>
      </w:r>
      <w:r w:rsidR="00E323BF" w:rsidRPr="00520485">
        <w:t xml:space="preserve">un </w:t>
      </w:r>
      <w:r w:rsidRPr="00520485">
        <w:t>V</w:t>
      </w:r>
      <w:r w:rsidR="000148C2">
        <w:t>I</w:t>
      </w:r>
      <w:r w:rsidRPr="00520485">
        <w:t xml:space="preserve"> sadaļā minētās jomas.</w:t>
      </w:r>
    </w:p>
    <w:p w14:paraId="2499DEC8" w14:textId="77777777" w:rsidR="007A2D8A" w:rsidRPr="00520485" w:rsidRDefault="007A2D8A" w:rsidP="007A2D8A">
      <w:pPr>
        <w:pStyle w:val="NormalWeb"/>
      </w:pPr>
    </w:p>
    <w:p w14:paraId="2499DEC9" w14:textId="77777777" w:rsidR="00A91FEA" w:rsidRDefault="00A91FEA" w:rsidP="00D72AC2">
      <w:pPr>
        <w:pStyle w:val="Signature"/>
        <w:widowControl/>
        <w:tabs>
          <w:tab w:val="left" w:pos="6820"/>
        </w:tabs>
        <w:spacing w:before="0"/>
        <w:ind w:firstLine="0"/>
        <w:rPr>
          <w:sz w:val="24"/>
          <w:szCs w:val="24"/>
          <w:lang w:val="lv-LV"/>
        </w:rPr>
      </w:pPr>
    </w:p>
    <w:p w14:paraId="2499DECA" w14:textId="77777777" w:rsidR="00D72AC2" w:rsidRPr="00384DED" w:rsidRDefault="00D72AC2" w:rsidP="00D72AC2">
      <w:pPr>
        <w:pStyle w:val="Signature"/>
        <w:widowControl/>
        <w:tabs>
          <w:tab w:val="left" w:pos="6820"/>
        </w:tabs>
        <w:spacing w:before="0"/>
        <w:ind w:firstLine="0"/>
        <w:rPr>
          <w:sz w:val="24"/>
          <w:szCs w:val="24"/>
          <w:lang w:val="lv-LV"/>
        </w:rPr>
      </w:pPr>
      <w:r w:rsidRPr="00384DED">
        <w:rPr>
          <w:sz w:val="24"/>
          <w:szCs w:val="24"/>
          <w:lang w:val="lv-LV"/>
        </w:rPr>
        <w:t>Ministru prezident</w:t>
      </w:r>
      <w:r w:rsidR="00A91FEA">
        <w:rPr>
          <w:sz w:val="24"/>
          <w:szCs w:val="24"/>
          <w:lang w:val="lv-LV"/>
        </w:rPr>
        <w:t>e</w:t>
      </w:r>
      <w:r w:rsidRPr="00384DED">
        <w:rPr>
          <w:sz w:val="24"/>
          <w:szCs w:val="24"/>
          <w:lang w:val="lv-LV"/>
        </w:rPr>
        <w:tab/>
        <w:t>L.Straujuma</w:t>
      </w:r>
    </w:p>
    <w:p w14:paraId="2499DECB" w14:textId="77777777" w:rsidR="00D72AC2" w:rsidRPr="00384DED" w:rsidRDefault="00D72AC2" w:rsidP="00D72AC2">
      <w:pPr>
        <w:pStyle w:val="EnvelopeReturn"/>
      </w:pPr>
    </w:p>
    <w:p w14:paraId="2499DECC" w14:textId="77777777" w:rsidR="00A91FEA" w:rsidRDefault="00A91FEA" w:rsidP="00D72AC2">
      <w:pPr>
        <w:pStyle w:val="Signature"/>
        <w:widowControl/>
        <w:tabs>
          <w:tab w:val="left" w:pos="6820"/>
        </w:tabs>
        <w:spacing w:before="0"/>
        <w:ind w:firstLine="0"/>
        <w:rPr>
          <w:sz w:val="24"/>
          <w:szCs w:val="24"/>
          <w:lang w:val="lv-LV"/>
        </w:rPr>
      </w:pPr>
    </w:p>
    <w:p w14:paraId="2499DECD" w14:textId="77777777" w:rsidR="00D72AC2" w:rsidRPr="00384DED" w:rsidRDefault="00D72AC2" w:rsidP="00D72AC2">
      <w:pPr>
        <w:pStyle w:val="Signature"/>
        <w:widowControl/>
        <w:tabs>
          <w:tab w:val="left" w:pos="6820"/>
        </w:tabs>
        <w:spacing w:before="0"/>
        <w:ind w:firstLine="0"/>
        <w:rPr>
          <w:sz w:val="24"/>
          <w:szCs w:val="24"/>
          <w:lang w:val="lv-LV"/>
        </w:rPr>
      </w:pPr>
      <w:r w:rsidRPr="00384DED">
        <w:rPr>
          <w:sz w:val="24"/>
          <w:szCs w:val="24"/>
          <w:lang w:val="lv-LV"/>
        </w:rPr>
        <w:t>Vizē: Valsts kancelejas direktore</w:t>
      </w:r>
      <w:r w:rsidRPr="00384DED">
        <w:rPr>
          <w:sz w:val="24"/>
          <w:szCs w:val="24"/>
          <w:lang w:val="lv-LV"/>
        </w:rPr>
        <w:tab/>
        <w:t>E.Dreimane</w:t>
      </w:r>
    </w:p>
    <w:p w14:paraId="2499DECE" w14:textId="77777777" w:rsidR="00D72AC2" w:rsidRDefault="00D72AC2" w:rsidP="00BB2495">
      <w:pPr>
        <w:tabs>
          <w:tab w:val="center" w:pos="4153"/>
          <w:tab w:val="right" w:pos="8306"/>
        </w:tabs>
        <w:rPr>
          <w:sz w:val="18"/>
          <w:szCs w:val="20"/>
        </w:rPr>
      </w:pPr>
    </w:p>
    <w:p w14:paraId="2499DECF" w14:textId="77777777" w:rsidR="00D72AC2" w:rsidRDefault="00D72AC2" w:rsidP="00BB2495">
      <w:pPr>
        <w:tabs>
          <w:tab w:val="center" w:pos="4153"/>
          <w:tab w:val="right" w:pos="8306"/>
        </w:tabs>
        <w:rPr>
          <w:sz w:val="18"/>
          <w:szCs w:val="20"/>
        </w:rPr>
      </w:pPr>
    </w:p>
    <w:p w14:paraId="2499DED0" w14:textId="77777777" w:rsidR="00600DB2" w:rsidRPr="00307AB0" w:rsidRDefault="00600DB2" w:rsidP="00600DB2">
      <w:pPr>
        <w:jc w:val="both"/>
        <w:rPr>
          <w:color w:val="000000"/>
          <w:sz w:val="18"/>
        </w:rPr>
      </w:pPr>
      <w:r w:rsidRPr="00307AB0">
        <w:rPr>
          <w:color w:val="000000"/>
          <w:sz w:val="18"/>
        </w:rPr>
        <w:fldChar w:fldCharType="begin"/>
      </w:r>
      <w:r w:rsidRPr="00307AB0">
        <w:rPr>
          <w:color w:val="000000"/>
          <w:sz w:val="18"/>
        </w:rPr>
        <w:instrText xml:space="preserve"> TIME  \@ "yyyy.MM.dd. H:mm"  \* MERGEFORMAT </w:instrText>
      </w:r>
      <w:r w:rsidRPr="00307AB0">
        <w:rPr>
          <w:color w:val="000000"/>
          <w:sz w:val="18"/>
        </w:rPr>
        <w:fldChar w:fldCharType="separate"/>
      </w:r>
      <w:r w:rsidR="000D27F2">
        <w:rPr>
          <w:noProof/>
          <w:color w:val="000000"/>
          <w:sz w:val="18"/>
        </w:rPr>
        <w:t>2014.11.25. 10:39</w:t>
      </w:r>
      <w:r w:rsidRPr="00307AB0">
        <w:rPr>
          <w:color w:val="000000"/>
          <w:sz w:val="18"/>
        </w:rPr>
        <w:fldChar w:fldCharType="end"/>
      </w:r>
    </w:p>
    <w:p w14:paraId="2499DED1" w14:textId="77777777" w:rsidR="00BB2495" w:rsidRPr="00E26451" w:rsidRDefault="009F62B3" w:rsidP="00BB2495">
      <w:pPr>
        <w:tabs>
          <w:tab w:val="center" w:pos="4153"/>
          <w:tab w:val="right" w:pos="8306"/>
        </w:tabs>
        <w:rPr>
          <w:sz w:val="18"/>
          <w:szCs w:val="20"/>
        </w:rPr>
      </w:pPr>
      <w:r>
        <w:rPr>
          <w:sz w:val="18"/>
          <w:szCs w:val="20"/>
        </w:rPr>
        <w:fldChar w:fldCharType="begin"/>
      </w:r>
      <w:r>
        <w:rPr>
          <w:sz w:val="18"/>
          <w:szCs w:val="20"/>
        </w:rPr>
        <w:instrText xml:space="preserve"> NUMWORDS   \* MERGEFORMAT </w:instrText>
      </w:r>
      <w:r>
        <w:rPr>
          <w:sz w:val="18"/>
          <w:szCs w:val="20"/>
        </w:rPr>
        <w:fldChar w:fldCharType="separate"/>
      </w:r>
      <w:r w:rsidR="00F73548">
        <w:rPr>
          <w:noProof/>
          <w:sz w:val="18"/>
          <w:szCs w:val="20"/>
        </w:rPr>
        <w:t>1698</w:t>
      </w:r>
      <w:r>
        <w:rPr>
          <w:sz w:val="18"/>
          <w:szCs w:val="20"/>
        </w:rPr>
        <w:fldChar w:fldCharType="end"/>
      </w:r>
    </w:p>
    <w:p w14:paraId="2499DED2" w14:textId="77777777" w:rsidR="00BB2495" w:rsidRPr="00E26451" w:rsidRDefault="00BB2495" w:rsidP="00BB2495">
      <w:pPr>
        <w:tabs>
          <w:tab w:val="center" w:pos="4153"/>
          <w:tab w:val="right" w:pos="8306"/>
        </w:tabs>
        <w:rPr>
          <w:sz w:val="18"/>
          <w:szCs w:val="20"/>
        </w:rPr>
      </w:pPr>
      <w:r w:rsidRPr="00E26451">
        <w:rPr>
          <w:sz w:val="18"/>
          <w:szCs w:val="20"/>
        </w:rPr>
        <w:t>Edgars Rezebergs, 67082913</w:t>
      </w:r>
    </w:p>
    <w:p w14:paraId="2499DED3" w14:textId="77777777" w:rsidR="00231E12" w:rsidRPr="00E26451" w:rsidRDefault="00BB2495" w:rsidP="00943895">
      <w:pPr>
        <w:tabs>
          <w:tab w:val="center" w:pos="4153"/>
          <w:tab w:val="right" w:pos="8306"/>
        </w:tabs>
        <w:rPr>
          <w:rFonts w:eastAsia="Times New Roman" w:cs="Times New Roman"/>
          <w:color w:val="000000"/>
          <w:sz w:val="16"/>
          <w:szCs w:val="18"/>
          <w:lang w:eastAsia="lv-LV"/>
        </w:rPr>
      </w:pPr>
      <w:r w:rsidRPr="00E26451">
        <w:rPr>
          <w:sz w:val="18"/>
          <w:szCs w:val="20"/>
        </w:rPr>
        <w:t>E-pasts: edgars.rezebergs@mk.gov.lv</w:t>
      </w:r>
      <w:r w:rsidR="00903497">
        <w:rPr>
          <w:sz w:val="18"/>
          <w:szCs w:val="20"/>
        </w:rPr>
        <w:t xml:space="preserve"> </w:t>
      </w:r>
    </w:p>
    <w:sectPr w:rsidR="00231E12" w:rsidRPr="00E26451" w:rsidSect="00715B16">
      <w:headerReference w:type="default" r:id="rId9"/>
      <w:footerReference w:type="default" r:id="rId10"/>
      <w:footerReference w:type="firs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9DED6" w14:textId="77777777" w:rsidR="005B5B19" w:rsidRDefault="005B5B19">
      <w:r>
        <w:separator/>
      </w:r>
    </w:p>
  </w:endnote>
  <w:endnote w:type="continuationSeparator" w:id="0">
    <w:p w14:paraId="2499DED7" w14:textId="77777777" w:rsidR="005B5B19" w:rsidRDefault="005B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DED9" w14:textId="77777777" w:rsidR="00BE00A5" w:rsidRPr="00BE00A5" w:rsidRDefault="00BE00A5" w:rsidP="00BE00A5">
    <w:pPr>
      <w:jc w:val="both"/>
      <w:rPr>
        <w:bCs/>
        <w:sz w:val="16"/>
        <w:szCs w:val="16"/>
      </w:rPr>
    </w:pPr>
    <w:r w:rsidRPr="00BE00A5">
      <w:rPr>
        <w:sz w:val="16"/>
        <w:szCs w:val="16"/>
      </w:rPr>
      <w:fldChar w:fldCharType="begin"/>
    </w:r>
    <w:r w:rsidRPr="00BE00A5">
      <w:rPr>
        <w:sz w:val="16"/>
        <w:szCs w:val="16"/>
      </w:rPr>
      <w:instrText xml:space="preserve"> FILENAME   \* MERGEFORMAT </w:instrText>
    </w:r>
    <w:r w:rsidRPr="00BE00A5">
      <w:rPr>
        <w:sz w:val="16"/>
        <w:szCs w:val="16"/>
      </w:rPr>
      <w:fldChar w:fldCharType="separate"/>
    </w:r>
    <w:r w:rsidR="00F73548">
      <w:rPr>
        <w:noProof/>
        <w:sz w:val="16"/>
        <w:szCs w:val="16"/>
      </w:rPr>
      <w:t>MKinstr_Nr7_anot_2210201420141104163408</w:t>
    </w:r>
    <w:r w:rsidRPr="00BE00A5">
      <w:rPr>
        <w:sz w:val="16"/>
        <w:szCs w:val="16"/>
      </w:rPr>
      <w:fldChar w:fldCharType="end"/>
    </w:r>
    <w:r w:rsidRPr="00BE00A5">
      <w:rPr>
        <w:sz w:val="16"/>
        <w:szCs w:val="16"/>
      </w:rPr>
      <w:t xml:space="preserve">; Ministru kabineta instrukcijas projekta </w:t>
    </w:r>
    <w:r w:rsidR="000148C2">
      <w:rPr>
        <w:sz w:val="16"/>
        <w:szCs w:val="16"/>
      </w:rPr>
      <w:t>„</w:t>
    </w:r>
    <w:r w:rsidRPr="00BE00A5">
      <w:rPr>
        <w:sz w:val="16"/>
        <w:szCs w:val="16"/>
      </w:rPr>
      <w:t>Grozījumi Ministru kabineta 2013.gada 2.jūlija instrukcijā Nr.7 „Ārvalstu finanšu instrumentu finansētu civiltiesisku līgumu izstrādes un slēgšanas instrukcija valsts tiešās pārvaldes iestādēs””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DEDA" w14:textId="77777777" w:rsidR="004A187E" w:rsidRPr="00DA6CFB" w:rsidRDefault="00EA5E16" w:rsidP="004A187E">
    <w:pPr>
      <w:jc w:val="both"/>
      <w:rPr>
        <w:noProof/>
        <w:sz w:val="16"/>
        <w:szCs w:val="16"/>
      </w:rPr>
    </w:pPr>
    <w:r w:rsidRPr="00BE00A5">
      <w:rPr>
        <w:sz w:val="16"/>
        <w:szCs w:val="16"/>
      </w:rPr>
      <w:fldChar w:fldCharType="begin"/>
    </w:r>
    <w:r w:rsidRPr="00BE00A5">
      <w:rPr>
        <w:sz w:val="16"/>
        <w:szCs w:val="16"/>
      </w:rPr>
      <w:instrText xml:space="preserve"> FILENAME   \* MERGEFORMAT </w:instrText>
    </w:r>
    <w:r w:rsidRPr="00BE00A5">
      <w:rPr>
        <w:sz w:val="16"/>
        <w:szCs w:val="16"/>
      </w:rPr>
      <w:fldChar w:fldCharType="separate"/>
    </w:r>
    <w:r w:rsidR="00F73548">
      <w:rPr>
        <w:noProof/>
        <w:sz w:val="16"/>
        <w:szCs w:val="16"/>
      </w:rPr>
      <w:t>MKinstr_Nr7_anot_2210201420141104163408</w:t>
    </w:r>
    <w:r w:rsidRPr="00BE00A5">
      <w:rPr>
        <w:sz w:val="16"/>
        <w:szCs w:val="16"/>
      </w:rPr>
      <w:fldChar w:fldCharType="end"/>
    </w:r>
    <w:r w:rsidR="00DA6CFB">
      <w:rPr>
        <w:sz w:val="16"/>
        <w:szCs w:val="16"/>
      </w:rPr>
      <w:t>4</w:t>
    </w:r>
    <w:r w:rsidRPr="00BE00A5">
      <w:rPr>
        <w:sz w:val="16"/>
        <w:szCs w:val="16"/>
      </w:rPr>
      <w:t xml:space="preserve">; </w:t>
    </w:r>
    <w:r w:rsidR="00BE00A5" w:rsidRPr="00BE00A5">
      <w:rPr>
        <w:sz w:val="16"/>
        <w:szCs w:val="16"/>
      </w:rPr>
      <w:t xml:space="preserve">Ministru kabineta instrukcijas projekta </w:t>
    </w:r>
    <w:r w:rsidR="000148C2">
      <w:rPr>
        <w:sz w:val="16"/>
        <w:szCs w:val="16"/>
      </w:rPr>
      <w:t>„</w:t>
    </w:r>
    <w:r w:rsidR="00BE00A5" w:rsidRPr="00BE00A5">
      <w:rPr>
        <w:sz w:val="16"/>
        <w:szCs w:val="16"/>
      </w:rPr>
      <w:t>Grozījumi Ministru kabineta 2013.gada 2.jūlija instrukcijā Nr.7 „Ārvalstu finanšu instrumentu finansētu civiltiesisku līgumu izstrādes un slēgšanas instrukcija valsts tiešās pārvaldes iestādēs””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9DED4" w14:textId="77777777" w:rsidR="005B5B19" w:rsidRDefault="005B5B19">
      <w:r>
        <w:separator/>
      </w:r>
    </w:p>
  </w:footnote>
  <w:footnote w:type="continuationSeparator" w:id="0">
    <w:p w14:paraId="2499DED5" w14:textId="77777777" w:rsidR="005B5B19" w:rsidRDefault="005B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DED8" w14:textId="77777777" w:rsidR="004A187E" w:rsidRDefault="00EA5E16" w:rsidP="004A187E">
    <w:pPr>
      <w:pStyle w:val="Header"/>
      <w:jc w:val="center"/>
    </w:pPr>
    <w:r>
      <w:rPr>
        <w:rStyle w:val="PageNumber"/>
      </w:rPr>
      <w:fldChar w:fldCharType="begin"/>
    </w:r>
    <w:r>
      <w:rPr>
        <w:rStyle w:val="PageNumber"/>
      </w:rPr>
      <w:instrText xml:space="preserve"> PAGE </w:instrText>
    </w:r>
    <w:r>
      <w:rPr>
        <w:rStyle w:val="PageNumber"/>
      </w:rPr>
      <w:fldChar w:fldCharType="separate"/>
    </w:r>
    <w:r w:rsidR="000D27F2">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1C"/>
    <w:multiLevelType w:val="hybridMultilevel"/>
    <w:tmpl w:val="48F41D28"/>
    <w:lvl w:ilvl="0" w:tplc="04260011">
      <w:start w:val="1"/>
      <w:numFmt w:val="decimal"/>
      <w:lvlText w:val="%1)"/>
      <w:lvlJc w:val="left"/>
      <w:pPr>
        <w:ind w:left="720" w:hanging="360"/>
      </w:pPr>
      <w:rPr>
        <w:rFonts w:eastAsia="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67548A"/>
    <w:multiLevelType w:val="hybridMultilevel"/>
    <w:tmpl w:val="59B292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6F2702"/>
    <w:multiLevelType w:val="hybridMultilevel"/>
    <w:tmpl w:val="4642DD5C"/>
    <w:lvl w:ilvl="0" w:tplc="0426000F">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3">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FF6743A"/>
    <w:multiLevelType w:val="multilevel"/>
    <w:tmpl w:val="9C3C233E"/>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5F5852"/>
    <w:multiLevelType w:val="hybridMultilevel"/>
    <w:tmpl w:val="EF0651A2"/>
    <w:lvl w:ilvl="0" w:tplc="5DF27D36">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6">
    <w:nsid w:val="45865A89"/>
    <w:multiLevelType w:val="hybridMultilevel"/>
    <w:tmpl w:val="C95ED8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48A81ADD"/>
    <w:multiLevelType w:val="hybridMultilevel"/>
    <w:tmpl w:val="0E6CA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5C3E4E"/>
    <w:multiLevelType w:val="hybridMultilevel"/>
    <w:tmpl w:val="606EB42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F0D7A71"/>
    <w:multiLevelType w:val="hybridMultilevel"/>
    <w:tmpl w:val="7EEA7BF4"/>
    <w:lvl w:ilvl="0" w:tplc="26C6BEF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9"/>
  </w:num>
  <w:num w:numId="6">
    <w:abstractNumId w:val="0"/>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16"/>
    <w:rsid w:val="00007999"/>
    <w:rsid w:val="00010D86"/>
    <w:rsid w:val="000148C2"/>
    <w:rsid w:val="000164FB"/>
    <w:rsid w:val="00021BE3"/>
    <w:rsid w:val="00025849"/>
    <w:rsid w:val="00035696"/>
    <w:rsid w:val="00035924"/>
    <w:rsid w:val="0003608D"/>
    <w:rsid w:val="000369DD"/>
    <w:rsid w:val="000406A1"/>
    <w:rsid w:val="00041DEE"/>
    <w:rsid w:val="000437A2"/>
    <w:rsid w:val="000463EB"/>
    <w:rsid w:val="0004758B"/>
    <w:rsid w:val="00052675"/>
    <w:rsid w:val="00054710"/>
    <w:rsid w:val="000678EE"/>
    <w:rsid w:val="000756E1"/>
    <w:rsid w:val="0008310A"/>
    <w:rsid w:val="00083613"/>
    <w:rsid w:val="00090437"/>
    <w:rsid w:val="000A32F2"/>
    <w:rsid w:val="000A36F5"/>
    <w:rsid w:val="000A6CBA"/>
    <w:rsid w:val="000B05F6"/>
    <w:rsid w:val="000B2718"/>
    <w:rsid w:val="000B6199"/>
    <w:rsid w:val="000B6D92"/>
    <w:rsid w:val="000D0F5A"/>
    <w:rsid w:val="000D27F2"/>
    <w:rsid w:val="000E5795"/>
    <w:rsid w:val="000F1718"/>
    <w:rsid w:val="000F685A"/>
    <w:rsid w:val="000F6B9F"/>
    <w:rsid w:val="00100344"/>
    <w:rsid w:val="001029AF"/>
    <w:rsid w:val="00110A2B"/>
    <w:rsid w:val="001122F1"/>
    <w:rsid w:val="00127343"/>
    <w:rsid w:val="0013355A"/>
    <w:rsid w:val="001404ED"/>
    <w:rsid w:val="00141851"/>
    <w:rsid w:val="0014223A"/>
    <w:rsid w:val="00161A29"/>
    <w:rsid w:val="00163276"/>
    <w:rsid w:val="00163891"/>
    <w:rsid w:val="00164507"/>
    <w:rsid w:val="0017108B"/>
    <w:rsid w:val="00172CA8"/>
    <w:rsid w:val="0018018E"/>
    <w:rsid w:val="00191AB6"/>
    <w:rsid w:val="001A49DD"/>
    <w:rsid w:val="001A5FD9"/>
    <w:rsid w:val="001B16C6"/>
    <w:rsid w:val="001B400C"/>
    <w:rsid w:val="001B5851"/>
    <w:rsid w:val="001B678B"/>
    <w:rsid w:val="001B7820"/>
    <w:rsid w:val="001C020C"/>
    <w:rsid w:val="001C023A"/>
    <w:rsid w:val="001C351D"/>
    <w:rsid w:val="001C3CA9"/>
    <w:rsid w:val="001C6325"/>
    <w:rsid w:val="001C65D6"/>
    <w:rsid w:val="001D093D"/>
    <w:rsid w:val="001D19E1"/>
    <w:rsid w:val="001D1EA4"/>
    <w:rsid w:val="001D20C9"/>
    <w:rsid w:val="001D40CF"/>
    <w:rsid w:val="001D48A5"/>
    <w:rsid w:val="001E0EAA"/>
    <w:rsid w:val="001E67BC"/>
    <w:rsid w:val="001F0DD5"/>
    <w:rsid w:val="001F4FD1"/>
    <w:rsid w:val="001F504A"/>
    <w:rsid w:val="001F66A7"/>
    <w:rsid w:val="001F73C2"/>
    <w:rsid w:val="00204329"/>
    <w:rsid w:val="002129A8"/>
    <w:rsid w:val="00212FF6"/>
    <w:rsid w:val="002167E6"/>
    <w:rsid w:val="00216953"/>
    <w:rsid w:val="00216F67"/>
    <w:rsid w:val="00226422"/>
    <w:rsid w:val="00231E12"/>
    <w:rsid w:val="00241149"/>
    <w:rsid w:val="002429C8"/>
    <w:rsid w:val="00245597"/>
    <w:rsid w:val="002523B2"/>
    <w:rsid w:val="00252C35"/>
    <w:rsid w:val="00253203"/>
    <w:rsid w:val="00253B9D"/>
    <w:rsid w:val="00254A26"/>
    <w:rsid w:val="00255B41"/>
    <w:rsid w:val="00260744"/>
    <w:rsid w:val="0027188F"/>
    <w:rsid w:val="002729C6"/>
    <w:rsid w:val="00282D07"/>
    <w:rsid w:val="00296361"/>
    <w:rsid w:val="002A0093"/>
    <w:rsid w:val="002A1BE9"/>
    <w:rsid w:val="002A325A"/>
    <w:rsid w:val="002A4CDC"/>
    <w:rsid w:val="002A7404"/>
    <w:rsid w:val="002A7CF7"/>
    <w:rsid w:val="002B47D3"/>
    <w:rsid w:val="002C4AD1"/>
    <w:rsid w:val="002D0009"/>
    <w:rsid w:val="002D1738"/>
    <w:rsid w:val="002D22EF"/>
    <w:rsid w:val="002E12CA"/>
    <w:rsid w:val="002E226E"/>
    <w:rsid w:val="002E3E2E"/>
    <w:rsid w:val="002E5954"/>
    <w:rsid w:val="002E5EDD"/>
    <w:rsid w:val="002E70F6"/>
    <w:rsid w:val="002F031A"/>
    <w:rsid w:val="002F5E0E"/>
    <w:rsid w:val="002F66C0"/>
    <w:rsid w:val="002F7D85"/>
    <w:rsid w:val="00301939"/>
    <w:rsid w:val="003064E1"/>
    <w:rsid w:val="00317D48"/>
    <w:rsid w:val="00321C6C"/>
    <w:rsid w:val="003222FB"/>
    <w:rsid w:val="0032567F"/>
    <w:rsid w:val="0032585E"/>
    <w:rsid w:val="00331D35"/>
    <w:rsid w:val="00332F15"/>
    <w:rsid w:val="00334C53"/>
    <w:rsid w:val="0033532A"/>
    <w:rsid w:val="0033693B"/>
    <w:rsid w:val="00346594"/>
    <w:rsid w:val="00353482"/>
    <w:rsid w:val="00357674"/>
    <w:rsid w:val="00357B50"/>
    <w:rsid w:val="003601CD"/>
    <w:rsid w:val="00365793"/>
    <w:rsid w:val="00366F6C"/>
    <w:rsid w:val="003750B7"/>
    <w:rsid w:val="00376D22"/>
    <w:rsid w:val="00381CCB"/>
    <w:rsid w:val="00382AD0"/>
    <w:rsid w:val="0038369A"/>
    <w:rsid w:val="0038798E"/>
    <w:rsid w:val="0039021F"/>
    <w:rsid w:val="00390458"/>
    <w:rsid w:val="003953A9"/>
    <w:rsid w:val="003A37E2"/>
    <w:rsid w:val="003A3F9D"/>
    <w:rsid w:val="003B09DF"/>
    <w:rsid w:val="003B1D4B"/>
    <w:rsid w:val="003B46B5"/>
    <w:rsid w:val="003B5386"/>
    <w:rsid w:val="003B70B1"/>
    <w:rsid w:val="003B7153"/>
    <w:rsid w:val="003B793D"/>
    <w:rsid w:val="003C05BE"/>
    <w:rsid w:val="003C1570"/>
    <w:rsid w:val="003C20A2"/>
    <w:rsid w:val="003C783D"/>
    <w:rsid w:val="003D03DE"/>
    <w:rsid w:val="003D370D"/>
    <w:rsid w:val="003D3942"/>
    <w:rsid w:val="003D4B2E"/>
    <w:rsid w:val="003E0678"/>
    <w:rsid w:val="003E144D"/>
    <w:rsid w:val="003E1C30"/>
    <w:rsid w:val="003E240E"/>
    <w:rsid w:val="003E3211"/>
    <w:rsid w:val="003E3776"/>
    <w:rsid w:val="003E7ED6"/>
    <w:rsid w:val="0040216B"/>
    <w:rsid w:val="00402C3E"/>
    <w:rsid w:val="00413634"/>
    <w:rsid w:val="0041460D"/>
    <w:rsid w:val="00415445"/>
    <w:rsid w:val="00415800"/>
    <w:rsid w:val="00415A68"/>
    <w:rsid w:val="00417898"/>
    <w:rsid w:val="00420D2F"/>
    <w:rsid w:val="00425C43"/>
    <w:rsid w:val="004308E8"/>
    <w:rsid w:val="00432E7F"/>
    <w:rsid w:val="00434A44"/>
    <w:rsid w:val="00446450"/>
    <w:rsid w:val="00450089"/>
    <w:rsid w:val="004536D4"/>
    <w:rsid w:val="00457B8F"/>
    <w:rsid w:val="0046394E"/>
    <w:rsid w:val="0046484D"/>
    <w:rsid w:val="00467859"/>
    <w:rsid w:val="0047052D"/>
    <w:rsid w:val="004716DA"/>
    <w:rsid w:val="0048108B"/>
    <w:rsid w:val="004824D7"/>
    <w:rsid w:val="00484458"/>
    <w:rsid w:val="00493426"/>
    <w:rsid w:val="00493FA8"/>
    <w:rsid w:val="00493FC2"/>
    <w:rsid w:val="004A187E"/>
    <w:rsid w:val="004B0B79"/>
    <w:rsid w:val="004B0C84"/>
    <w:rsid w:val="004B241C"/>
    <w:rsid w:val="004B3E70"/>
    <w:rsid w:val="004B3E78"/>
    <w:rsid w:val="004B477A"/>
    <w:rsid w:val="004C184D"/>
    <w:rsid w:val="004C1E9D"/>
    <w:rsid w:val="004C3813"/>
    <w:rsid w:val="004C5504"/>
    <w:rsid w:val="004C62AB"/>
    <w:rsid w:val="004C6911"/>
    <w:rsid w:val="004D262A"/>
    <w:rsid w:val="004D29F4"/>
    <w:rsid w:val="004D4016"/>
    <w:rsid w:val="004D40DE"/>
    <w:rsid w:val="004D5C1B"/>
    <w:rsid w:val="004E29A1"/>
    <w:rsid w:val="004E4C6F"/>
    <w:rsid w:val="004F17A9"/>
    <w:rsid w:val="004F2C7C"/>
    <w:rsid w:val="004F41E9"/>
    <w:rsid w:val="004F7FC2"/>
    <w:rsid w:val="005008B6"/>
    <w:rsid w:val="00503798"/>
    <w:rsid w:val="0050495C"/>
    <w:rsid w:val="00504E8B"/>
    <w:rsid w:val="00511610"/>
    <w:rsid w:val="00512911"/>
    <w:rsid w:val="00520485"/>
    <w:rsid w:val="00520874"/>
    <w:rsid w:val="00525191"/>
    <w:rsid w:val="005305AA"/>
    <w:rsid w:val="005318C1"/>
    <w:rsid w:val="00533F4F"/>
    <w:rsid w:val="00541500"/>
    <w:rsid w:val="00542BED"/>
    <w:rsid w:val="005432EB"/>
    <w:rsid w:val="005433B6"/>
    <w:rsid w:val="00550AFC"/>
    <w:rsid w:val="00550CA2"/>
    <w:rsid w:val="00552E43"/>
    <w:rsid w:val="0055429B"/>
    <w:rsid w:val="005553A2"/>
    <w:rsid w:val="005653BD"/>
    <w:rsid w:val="0057504B"/>
    <w:rsid w:val="00576A65"/>
    <w:rsid w:val="005815AD"/>
    <w:rsid w:val="005836E4"/>
    <w:rsid w:val="00590FDF"/>
    <w:rsid w:val="00597005"/>
    <w:rsid w:val="00597978"/>
    <w:rsid w:val="005A03D1"/>
    <w:rsid w:val="005A102B"/>
    <w:rsid w:val="005A13A8"/>
    <w:rsid w:val="005A6A06"/>
    <w:rsid w:val="005A7547"/>
    <w:rsid w:val="005A79F5"/>
    <w:rsid w:val="005B0BEC"/>
    <w:rsid w:val="005B2851"/>
    <w:rsid w:val="005B5B19"/>
    <w:rsid w:val="005B624D"/>
    <w:rsid w:val="005B7184"/>
    <w:rsid w:val="005C3FF0"/>
    <w:rsid w:val="005C7132"/>
    <w:rsid w:val="005D3250"/>
    <w:rsid w:val="005D370F"/>
    <w:rsid w:val="005E0F70"/>
    <w:rsid w:val="005E6DB8"/>
    <w:rsid w:val="005F0458"/>
    <w:rsid w:val="005F20F5"/>
    <w:rsid w:val="00600459"/>
    <w:rsid w:val="00600DB2"/>
    <w:rsid w:val="00602435"/>
    <w:rsid w:val="006050D9"/>
    <w:rsid w:val="00613DAF"/>
    <w:rsid w:val="00626390"/>
    <w:rsid w:val="00627FD8"/>
    <w:rsid w:val="0063006E"/>
    <w:rsid w:val="00631B53"/>
    <w:rsid w:val="006329E3"/>
    <w:rsid w:val="0063441C"/>
    <w:rsid w:val="00635031"/>
    <w:rsid w:val="0063654E"/>
    <w:rsid w:val="00637F34"/>
    <w:rsid w:val="00643E2A"/>
    <w:rsid w:val="006443B8"/>
    <w:rsid w:val="00645090"/>
    <w:rsid w:val="00650105"/>
    <w:rsid w:val="00652A13"/>
    <w:rsid w:val="0065377B"/>
    <w:rsid w:val="00654BCB"/>
    <w:rsid w:val="00664161"/>
    <w:rsid w:val="006645E0"/>
    <w:rsid w:val="006649A1"/>
    <w:rsid w:val="00671616"/>
    <w:rsid w:val="006728DF"/>
    <w:rsid w:val="006804D9"/>
    <w:rsid w:val="00683DC9"/>
    <w:rsid w:val="006854D4"/>
    <w:rsid w:val="0068602E"/>
    <w:rsid w:val="00687346"/>
    <w:rsid w:val="00691C52"/>
    <w:rsid w:val="00694B81"/>
    <w:rsid w:val="006A6045"/>
    <w:rsid w:val="006B260B"/>
    <w:rsid w:val="006B2CBA"/>
    <w:rsid w:val="006B5607"/>
    <w:rsid w:val="006B5A76"/>
    <w:rsid w:val="006B7E5B"/>
    <w:rsid w:val="006C0A46"/>
    <w:rsid w:val="006C174E"/>
    <w:rsid w:val="006C1DF0"/>
    <w:rsid w:val="006C3462"/>
    <w:rsid w:val="006C46DA"/>
    <w:rsid w:val="006D47F5"/>
    <w:rsid w:val="006D576B"/>
    <w:rsid w:val="006D670E"/>
    <w:rsid w:val="006D6BA7"/>
    <w:rsid w:val="006E6B17"/>
    <w:rsid w:val="006F62E8"/>
    <w:rsid w:val="00700FFA"/>
    <w:rsid w:val="00710AC0"/>
    <w:rsid w:val="007153ED"/>
    <w:rsid w:val="00715B16"/>
    <w:rsid w:val="0072479F"/>
    <w:rsid w:val="0073079A"/>
    <w:rsid w:val="007328C2"/>
    <w:rsid w:val="00733DC2"/>
    <w:rsid w:val="00745E55"/>
    <w:rsid w:val="0074712F"/>
    <w:rsid w:val="007516C3"/>
    <w:rsid w:val="00756A59"/>
    <w:rsid w:val="007578E7"/>
    <w:rsid w:val="00762754"/>
    <w:rsid w:val="007627C0"/>
    <w:rsid w:val="007715CF"/>
    <w:rsid w:val="00772861"/>
    <w:rsid w:val="007749F2"/>
    <w:rsid w:val="00776D40"/>
    <w:rsid w:val="00783595"/>
    <w:rsid w:val="00784048"/>
    <w:rsid w:val="00785486"/>
    <w:rsid w:val="00785CEA"/>
    <w:rsid w:val="00791416"/>
    <w:rsid w:val="00792380"/>
    <w:rsid w:val="007977FF"/>
    <w:rsid w:val="007A03F7"/>
    <w:rsid w:val="007A2C09"/>
    <w:rsid w:val="007A2D8A"/>
    <w:rsid w:val="007B6AD0"/>
    <w:rsid w:val="007B7616"/>
    <w:rsid w:val="007C0F29"/>
    <w:rsid w:val="007C3FFA"/>
    <w:rsid w:val="007C6AC8"/>
    <w:rsid w:val="007C6DC3"/>
    <w:rsid w:val="007C7264"/>
    <w:rsid w:val="007D1DB1"/>
    <w:rsid w:val="007D24A9"/>
    <w:rsid w:val="007D6468"/>
    <w:rsid w:val="007E108A"/>
    <w:rsid w:val="007E4239"/>
    <w:rsid w:val="007E5020"/>
    <w:rsid w:val="007E5A1A"/>
    <w:rsid w:val="007E64FF"/>
    <w:rsid w:val="0080142C"/>
    <w:rsid w:val="00802917"/>
    <w:rsid w:val="008057F2"/>
    <w:rsid w:val="00811D9A"/>
    <w:rsid w:val="00812505"/>
    <w:rsid w:val="00815A80"/>
    <w:rsid w:val="00824C73"/>
    <w:rsid w:val="00826A82"/>
    <w:rsid w:val="00831D08"/>
    <w:rsid w:val="00844343"/>
    <w:rsid w:val="00860229"/>
    <w:rsid w:val="0086730F"/>
    <w:rsid w:val="00871DEB"/>
    <w:rsid w:val="00875869"/>
    <w:rsid w:val="008773D5"/>
    <w:rsid w:val="008779F3"/>
    <w:rsid w:val="008826B6"/>
    <w:rsid w:val="00882F90"/>
    <w:rsid w:val="00883B06"/>
    <w:rsid w:val="00886ECE"/>
    <w:rsid w:val="00895148"/>
    <w:rsid w:val="00897E10"/>
    <w:rsid w:val="008A459D"/>
    <w:rsid w:val="008A4613"/>
    <w:rsid w:val="008B1821"/>
    <w:rsid w:val="008B1D7C"/>
    <w:rsid w:val="008B2DE0"/>
    <w:rsid w:val="008C1B92"/>
    <w:rsid w:val="008C293F"/>
    <w:rsid w:val="008C2A7B"/>
    <w:rsid w:val="008C5BC8"/>
    <w:rsid w:val="008C74EF"/>
    <w:rsid w:val="008D03E3"/>
    <w:rsid w:val="008D2A38"/>
    <w:rsid w:val="008D5957"/>
    <w:rsid w:val="008D7DA0"/>
    <w:rsid w:val="008E0887"/>
    <w:rsid w:val="008E0A88"/>
    <w:rsid w:val="008E1171"/>
    <w:rsid w:val="008E2446"/>
    <w:rsid w:val="008F0A0F"/>
    <w:rsid w:val="008F3517"/>
    <w:rsid w:val="008F4B19"/>
    <w:rsid w:val="008F6573"/>
    <w:rsid w:val="00901A63"/>
    <w:rsid w:val="00902B59"/>
    <w:rsid w:val="00903497"/>
    <w:rsid w:val="00907E7F"/>
    <w:rsid w:val="00910783"/>
    <w:rsid w:val="00913088"/>
    <w:rsid w:val="009179D3"/>
    <w:rsid w:val="009221A4"/>
    <w:rsid w:val="009275FF"/>
    <w:rsid w:val="009306DA"/>
    <w:rsid w:val="00931587"/>
    <w:rsid w:val="0093466E"/>
    <w:rsid w:val="00934CE9"/>
    <w:rsid w:val="009375F7"/>
    <w:rsid w:val="00937E45"/>
    <w:rsid w:val="009414D5"/>
    <w:rsid w:val="00943895"/>
    <w:rsid w:val="00946E60"/>
    <w:rsid w:val="00954AE5"/>
    <w:rsid w:val="009550DA"/>
    <w:rsid w:val="00960417"/>
    <w:rsid w:val="00961D0C"/>
    <w:rsid w:val="009665CB"/>
    <w:rsid w:val="0097117B"/>
    <w:rsid w:val="009715BB"/>
    <w:rsid w:val="00974E9A"/>
    <w:rsid w:val="00976909"/>
    <w:rsid w:val="009771B7"/>
    <w:rsid w:val="00984432"/>
    <w:rsid w:val="00984DC2"/>
    <w:rsid w:val="00985DD0"/>
    <w:rsid w:val="00986F85"/>
    <w:rsid w:val="00997FDD"/>
    <w:rsid w:val="009A4A7E"/>
    <w:rsid w:val="009A52A7"/>
    <w:rsid w:val="009B15B3"/>
    <w:rsid w:val="009B25D3"/>
    <w:rsid w:val="009B2F51"/>
    <w:rsid w:val="009B59E9"/>
    <w:rsid w:val="009C40F2"/>
    <w:rsid w:val="009C5B70"/>
    <w:rsid w:val="009C5DEE"/>
    <w:rsid w:val="009D4217"/>
    <w:rsid w:val="009D4D02"/>
    <w:rsid w:val="009F1903"/>
    <w:rsid w:val="009F302C"/>
    <w:rsid w:val="009F62B3"/>
    <w:rsid w:val="00A06051"/>
    <w:rsid w:val="00A07487"/>
    <w:rsid w:val="00A107ED"/>
    <w:rsid w:val="00A1144D"/>
    <w:rsid w:val="00A11AE2"/>
    <w:rsid w:val="00A17093"/>
    <w:rsid w:val="00A2128C"/>
    <w:rsid w:val="00A21760"/>
    <w:rsid w:val="00A23E30"/>
    <w:rsid w:val="00A26DE3"/>
    <w:rsid w:val="00A313E9"/>
    <w:rsid w:val="00A335CB"/>
    <w:rsid w:val="00A34A1E"/>
    <w:rsid w:val="00A3775F"/>
    <w:rsid w:val="00A404C0"/>
    <w:rsid w:val="00A42AFC"/>
    <w:rsid w:val="00A463AA"/>
    <w:rsid w:val="00A56351"/>
    <w:rsid w:val="00A72252"/>
    <w:rsid w:val="00A7285D"/>
    <w:rsid w:val="00A76818"/>
    <w:rsid w:val="00A82528"/>
    <w:rsid w:val="00A839E4"/>
    <w:rsid w:val="00A91FEA"/>
    <w:rsid w:val="00A93E45"/>
    <w:rsid w:val="00A96168"/>
    <w:rsid w:val="00A96F24"/>
    <w:rsid w:val="00AA20DA"/>
    <w:rsid w:val="00AA2F0F"/>
    <w:rsid w:val="00AA3252"/>
    <w:rsid w:val="00AA4CF7"/>
    <w:rsid w:val="00AA59EA"/>
    <w:rsid w:val="00AB37EA"/>
    <w:rsid w:val="00AC1CB2"/>
    <w:rsid w:val="00AC63FF"/>
    <w:rsid w:val="00AD28F6"/>
    <w:rsid w:val="00AD6DBC"/>
    <w:rsid w:val="00AE02C3"/>
    <w:rsid w:val="00AE23B5"/>
    <w:rsid w:val="00AE64B0"/>
    <w:rsid w:val="00AF2378"/>
    <w:rsid w:val="00AF2B3A"/>
    <w:rsid w:val="00B02248"/>
    <w:rsid w:val="00B02790"/>
    <w:rsid w:val="00B0756C"/>
    <w:rsid w:val="00B12023"/>
    <w:rsid w:val="00B121FC"/>
    <w:rsid w:val="00B12851"/>
    <w:rsid w:val="00B14DB5"/>
    <w:rsid w:val="00B20B06"/>
    <w:rsid w:val="00B22212"/>
    <w:rsid w:val="00B262BC"/>
    <w:rsid w:val="00B34410"/>
    <w:rsid w:val="00B3505F"/>
    <w:rsid w:val="00B40512"/>
    <w:rsid w:val="00B442C9"/>
    <w:rsid w:val="00B522F1"/>
    <w:rsid w:val="00B55577"/>
    <w:rsid w:val="00B56785"/>
    <w:rsid w:val="00B6397F"/>
    <w:rsid w:val="00B63E2C"/>
    <w:rsid w:val="00B67950"/>
    <w:rsid w:val="00B7116B"/>
    <w:rsid w:val="00B7186C"/>
    <w:rsid w:val="00B740B1"/>
    <w:rsid w:val="00B76191"/>
    <w:rsid w:val="00B81E0E"/>
    <w:rsid w:val="00B86F1D"/>
    <w:rsid w:val="00B92722"/>
    <w:rsid w:val="00B93B3F"/>
    <w:rsid w:val="00B950BC"/>
    <w:rsid w:val="00B96E3B"/>
    <w:rsid w:val="00B97ACD"/>
    <w:rsid w:val="00BA44DE"/>
    <w:rsid w:val="00BA5363"/>
    <w:rsid w:val="00BB0879"/>
    <w:rsid w:val="00BB2495"/>
    <w:rsid w:val="00BB5780"/>
    <w:rsid w:val="00BC1A98"/>
    <w:rsid w:val="00BC2298"/>
    <w:rsid w:val="00BC5CE7"/>
    <w:rsid w:val="00BC7BEC"/>
    <w:rsid w:val="00BD11F6"/>
    <w:rsid w:val="00BD493D"/>
    <w:rsid w:val="00BD5702"/>
    <w:rsid w:val="00BD5F1E"/>
    <w:rsid w:val="00BD68FE"/>
    <w:rsid w:val="00BE00A5"/>
    <w:rsid w:val="00BE017A"/>
    <w:rsid w:val="00BE0B7B"/>
    <w:rsid w:val="00BE168E"/>
    <w:rsid w:val="00BE5B25"/>
    <w:rsid w:val="00BE7CE5"/>
    <w:rsid w:val="00BE7F78"/>
    <w:rsid w:val="00BF0602"/>
    <w:rsid w:val="00C020F5"/>
    <w:rsid w:val="00C0231E"/>
    <w:rsid w:val="00C06C40"/>
    <w:rsid w:val="00C15FC1"/>
    <w:rsid w:val="00C16273"/>
    <w:rsid w:val="00C16D04"/>
    <w:rsid w:val="00C2046E"/>
    <w:rsid w:val="00C238F2"/>
    <w:rsid w:val="00C24C1C"/>
    <w:rsid w:val="00C2525D"/>
    <w:rsid w:val="00C267AF"/>
    <w:rsid w:val="00C270CB"/>
    <w:rsid w:val="00C30CF8"/>
    <w:rsid w:val="00C40E57"/>
    <w:rsid w:val="00C51EED"/>
    <w:rsid w:val="00C57386"/>
    <w:rsid w:val="00C57573"/>
    <w:rsid w:val="00C61B8A"/>
    <w:rsid w:val="00C70CEB"/>
    <w:rsid w:val="00C72EEC"/>
    <w:rsid w:val="00C7527A"/>
    <w:rsid w:val="00C921CA"/>
    <w:rsid w:val="00C923B5"/>
    <w:rsid w:val="00C92D39"/>
    <w:rsid w:val="00C93418"/>
    <w:rsid w:val="00C937A7"/>
    <w:rsid w:val="00C938DD"/>
    <w:rsid w:val="00C96C2B"/>
    <w:rsid w:val="00CB0E59"/>
    <w:rsid w:val="00CB25C0"/>
    <w:rsid w:val="00CB57B0"/>
    <w:rsid w:val="00CC0107"/>
    <w:rsid w:val="00CC05C9"/>
    <w:rsid w:val="00CC55CC"/>
    <w:rsid w:val="00CD13B8"/>
    <w:rsid w:val="00CD295F"/>
    <w:rsid w:val="00CE0504"/>
    <w:rsid w:val="00CF0B15"/>
    <w:rsid w:val="00CF27A1"/>
    <w:rsid w:val="00CF6736"/>
    <w:rsid w:val="00CF76C2"/>
    <w:rsid w:val="00D00794"/>
    <w:rsid w:val="00D009A6"/>
    <w:rsid w:val="00D01E05"/>
    <w:rsid w:val="00D04947"/>
    <w:rsid w:val="00D16C1A"/>
    <w:rsid w:val="00D17578"/>
    <w:rsid w:val="00D203EF"/>
    <w:rsid w:val="00D212CF"/>
    <w:rsid w:val="00D22384"/>
    <w:rsid w:val="00D24C10"/>
    <w:rsid w:val="00D25EA0"/>
    <w:rsid w:val="00D27A4C"/>
    <w:rsid w:val="00D42C80"/>
    <w:rsid w:val="00D4466E"/>
    <w:rsid w:val="00D44D16"/>
    <w:rsid w:val="00D46160"/>
    <w:rsid w:val="00D47871"/>
    <w:rsid w:val="00D51B9D"/>
    <w:rsid w:val="00D52581"/>
    <w:rsid w:val="00D528B1"/>
    <w:rsid w:val="00D529CE"/>
    <w:rsid w:val="00D536E7"/>
    <w:rsid w:val="00D61D12"/>
    <w:rsid w:val="00D65A5D"/>
    <w:rsid w:val="00D72353"/>
    <w:rsid w:val="00D72AC2"/>
    <w:rsid w:val="00D73652"/>
    <w:rsid w:val="00D80B7A"/>
    <w:rsid w:val="00D92916"/>
    <w:rsid w:val="00D93141"/>
    <w:rsid w:val="00D94177"/>
    <w:rsid w:val="00D95256"/>
    <w:rsid w:val="00D960C0"/>
    <w:rsid w:val="00DA0881"/>
    <w:rsid w:val="00DA1B02"/>
    <w:rsid w:val="00DA1BBC"/>
    <w:rsid w:val="00DA501C"/>
    <w:rsid w:val="00DA57F3"/>
    <w:rsid w:val="00DA6CFB"/>
    <w:rsid w:val="00DB2CAD"/>
    <w:rsid w:val="00DB4543"/>
    <w:rsid w:val="00DB6441"/>
    <w:rsid w:val="00DC1C3F"/>
    <w:rsid w:val="00DC2804"/>
    <w:rsid w:val="00DD01AA"/>
    <w:rsid w:val="00DD08D9"/>
    <w:rsid w:val="00DD0C76"/>
    <w:rsid w:val="00DD692F"/>
    <w:rsid w:val="00DD6FCB"/>
    <w:rsid w:val="00DE2051"/>
    <w:rsid w:val="00DF1523"/>
    <w:rsid w:val="00E02284"/>
    <w:rsid w:val="00E140E9"/>
    <w:rsid w:val="00E17996"/>
    <w:rsid w:val="00E20F04"/>
    <w:rsid w:val="00E24EB3"/>
    <w:rsid w:val="00E26451"/>
    <w:rsid w:val="00E315D2"/>
    <w:rsid w:val="00E3214F"/>
    <w:rsid w:val="00E323BF"/>
    <w:rsid w:val="00E36E09"/>
    <w:rsid w:val="00E422EB"/>
    <w:rsid w:val="00E4343C"/>
    <w:rsid w:val="00E44253"/>
    <w:rsid w:val="00E57F64"/>
    <w:rsid w:val="00E63D9E"/>
    <w:rsid w:val="00E66763"/>
    <w:rsid w:val="00E67951"/>
    <w:rsid w:val="00E716C6"/>
    <w:rsid w:val="00E71D64"/>
    <w:rsid w:val="00E72AA8"/>
    <w:rsid w:val="00E76B10"/>
    <w:rsid w:val="00E81140"/>
    <w:rsid w:val="00E82BBE"/>
    <w:rsid w:val="00E82CD8"/>
    <w:rsid w:val="00E84186"/>
    <w:rsid w:val="00E86B9F"/>
    <w:rsid w:val="00E971EB"/>
    <w:rsid w:val="00EA45C0"/>
    <w:rsid w:val="00EA5E16"/>
    <w:rsid w:val="00EA7E25"/>
    <w:rsid w:val="00EB3AE0"/>
    <w:rsid w:val="00EB3C4F"/>
    <w:rsid w:val="00EB6A01"/>
    <w:rsid w:val="00EC0850"/>
    <w:rsid w:val="00EC17C2"/>
    <w:rsid w:val="00EC72CE"/>
    <w:rsid w:val="00ED1AA0"/>
    <w:rsid w:val="00ED3624"/>
    <w:rsid w:val="00ED7BC0"/>
    <w:rsid w:val="00EE0136"/>
    <w:rsid w:val="00EE216F"/>
    <w:rsid w:val="00EF0DD2"/>
    <w:rsid w:val="00F07382"/>
    <w:rsid w:val="00F11DB5"/>
    <w:rsid w:val="00F11FAA"/>
    <w:rsid w:val="00F20A7C"/>
    <w:rsid w:val="00F252AF"/>
    <w:rsid w:val="00F30A74"/>
    <w:rsid w:val="00F33AB3"/>
    <w:rsid w:val="00F44B7D"/>
    <w:rsid w:val="00F46166"/>
    <w:rsid w:val="00F46446"/>
    <w:rsid w:val="00F53A4C"/>
    <w:rsid w:val="00F54951"/>
    <w:rsid w:val="00F56B8E"/>
    <w:rsid w:val="00F61327"/>
    <w:rsid w:val="00F65F1E"/>
    <w:rsid w:val="00F70963"/>
    <w:rsid w:val="00F7103F"/>
    <w:rsid w:val="00F728AB"/>
    <w:rsid w:val="00F73548"/>
    <w:rsid w:val="00F760CC"/>
    <w:rsid w:val="00F86645"/>
    <w:rsid w:val="00F91AFC"/>
    <w:rsid w:val="00F929A4"/>
    <w:rsid w:val="00FA6E8B"/>
    <w:rsid w:val="00FB03F5"/>
    <w:rsid w:val="00FB11C4"/>
    <w:rsid w:val="00FB2233"/>
    <w:rsid w:val="00FB3A9A"/>
    <w:rsid w:val="00FB4517"/>
    <w:rsid w:val="00FB658C"/>
    <w:rsid w:val="00FB7179"/>
    <w:rsid w:val="00FC73A6"/>
    <w:rsid w:val="00FD0A4C"/>
    <w:rsid w:val="00FD7110"/>
    <w:rsid w:val="00FF29B9"/>
    <w:rsid w:val="00FF4A4B"/>
    <w:rsid w:val="00FF5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nhideWhenUsed/>
    <w:rsid w:val="00F46166"/>
    <w:rPr>
      <w:sz w:val="16"/>
      <w:szCs w:val="16"/>
    </w:rPr>
  </w:style>
  <w:style w:type="paragraph" w:styleId="CommentText">
    <w:name w:val="annotation text"/>
    <w:basedOn w:val="Normal"/>
    <w:link w:val="CommentTextChar"/>
    <w:unhideWhenUsed/>
    <w:rsid w:val="00F46166"/>
    <w:rPr>
      <w:sz w:val="20"/>
      <w:szCs w:val="20"/>
    </w:rPr>
  </w:style>
  <w:style w:type="character" w:customStyle="1" w:styleId="CommentTextChar">
    <w:name w:val="Comment Text Char"/>
    <w:basedOn w:val="DefaultParagraphFont"/>
    <w:link w:val="CommentText"/>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 w:type="paragraph" w:styleId="BodyText">
    <w:name w:val="Body Text"/>
    <w:basedOn w:val="Normal"/>
    <w:link w:val="BodyTextChar"/>
    <w:rsid w:val="0080142C"/>
    <w:pPr>
      <w:spacing w:after="120"/>
    </w:pPr>
    <w:rPr>
      <w:rFonts w:eastAsia="Times New Roman" w:cs="Times New Roman"/>
      <w:szCs w:val="24"/>
      <w:lang w:val="x-none" w:eastAsia="x-none"/>
    </w:rPr>
  </w:style>
  <w:style w:type="character" w:customStyle="1" w:styleId="BodyTextChar">
    <w:name w:val="Body Text Char"/>
    <w:basedOn w:val="DefaultParagraphFont"/>
    <w:link w:val="BodyText"/>
    <w:rsid w:val="0080142C"/>
    <w:rPr>
      <w:rFonts w:eastAsia="Times New Roman" w:cs="Times New Roman"/>
      <w:szCs w:val="24"/>
      <w:lang w:val="x-none" w:eastAsia="x-none"/>
    </w:rPr>
  </w:style>
  <w:style w:type="paragraph" w:customStyle="1" w:styleId="naisnod">
    <w:name w:val="naisnod"/>
    <w:basedOn w:val="Normal"/>
    <w:rsid w:val="007A2D8A"/>
    <w:pPr>
      <w:spacing w:before="150" w:after="150"/>
      <w:jc w:val="center"/>
    </w:pPr>
    <w:rPr>
      <w:rFonts w:eastAsia="Times New Roman" w:cs="Times New Roman"/>
      <w:b/>
      <w:bCs/>
      <w:szCs w:val="24"/>
      <w:lang w:eastAsia="lv-LV"/>
    </w:rPr>
  </w:style>
  <w:style w:type="paragraph" w:styleId="BodyTextIndent3">
    <w:name w:val="Body Text Indent 3"/>
    <w:basedOn w:val="Normal"/>
    <w:link w:val="BodyTextIndent3Char"/>
    <w:rsid w:val="007A2D8A"/>
    <w:pPr>
      <w:spacing w:after="120"/>
      <w:ind w:left="283"/>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rsid w:val="007A2D8A"/>
    <w:rPr>
      <w:rFonts w:eastAsia="Times New Roman" w:cs="Times New Roman"/>
      <w:sz w:val="16"/>
      <w:szCs w:val="16"/>
      <w:lang w:val="x-none" w:eastAsia="x-none"/>
    </w:rPr>
  </w:style>
  <w:style w:type="paragraph" w:customStyle="1" w:styleId="naislab">
    <w:name w:val="naislab"/>
    <w:basedOn w:val="Normal"/>
    <w:rsid w:val="007A2D8A"/>
    <w:pPr>
      <w:spacing w:before="100" w:beforeAutospacing="1" w:after="100" w:afterAutospacing="1"/>
    </w:pPr>
    <w:rPr>
      <w:rFonts w:eastAsia="Times New Roman" w:cs="Times New Roman"/>
      <w:szCs w:val="24"/>
      <w:lang w:eastAsia="lv-LV"/>
    </w:rPr>
  </w:style>
  <w:style w:type="paragraph" w:customStyle="1" w:styleId="Nobeigums">
    <w:name w:val="Nobeigums"/>
    <w:basedOn w:val="Normal"/>
    <w:rsid w:val="00B02790"/>
    <w:rPr>
      <w:rFonts w:eastAsia="Times New Roman" w:cs="Times New Roman"/>
      <w:szCs w:val="20"/>
      <w:lang w:val="en-US"/>
    </w:rPr>
  </w:style>
  <w:style w:type="paragraph" w:customStyle="1" w:styleId="naiskr">
    <w:name w:val="naiskr"/>
    <w:basedOn w:val="Normal"/>
    <w:rsid w:val="00CB0E59"/>
    <w:pPr>
      <w:spacing w:before="75" w:after="75"/>
    </w:pPr>
    <w:rPr>
      <w:rFonts w:eastAsia="Times New Roman" w:cs="Times New Roman"/>
      <w:szCs w:val="24"/>
      <w:lang w:eastAsia="lv-LV"/>
    </w:rPr>
  </w:style>
  <w:style w:type="paragraph" w:customStyle="1" w:styleId="naisf">
    <w:name w:val="naisf"/>
    <w:basedOn w:val="Normal"/>
    <w:rsid w:val="00613DAF"/>
    <w:pPr>
      <w:spacing w:before="75" w:after="75"/>
      <w:ind w:firstLine="375"/>
      <w:jc w:val="both"/>
    </w:pPr>
    <w:rPr>
      <w:rFonts w:eastAsia="Times New Roman" w:cs="Times New Roman"/>
      <w:szCs w:val="24"/>
      <w:lang w:eastAsia="lv-LV"/>
    </w:rPr>
  </w:style>
  <w:style w:type="paragraph" w:styleId="EnvelopeReturn">
    <w:name w:val="envelope return"/>
    <w:basedOn w:val="Normal"/>
    <w:uiPriority w:val="99"/>
    <w:rsid w:val="00D72AC2"/>
    <w:rPr>
      <w:rFonts w:ascii="Garamond" w:eastAsia="Times New Roman" w:hAnsi="Garamond" w:cs="Arial"/>
      <w:b/>
      <w:szCs w:val="24"/>
    </w:rPr>
  </w:style>
  <w:style w:type="paragraph" w:styleId="Signature">
    <w:name w:val="Signature"/>
    <w:basedOn w:val="Normal"/>
    <w:next w:val="EnvelopeReturn"/>
    <w:link w:val="SignatureChar"/>
    <w:rsid w:val="00D72AC2"/>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D72AC2"/>
    <w:rPr>
      <w:rFonts w:eastAsia="Times New Roman" w:cs="Times New Roman"/>
      <w:sz w:val="26"/>
      <w:szCs w:val="20"/>
      <w:lang w:val="en-AU"/>
    </w:rPr>
  </w:style>
  <w:style w:type="paragraph" w:customStyle="1" w:styleId="naisc">
    <w:name w:val="naisc"/>
    <w:basedOn w:val="Normal"/>
    <w:rsid w:val="00C72EEC"/>
    <w:pPr>
      <w:spacing w:before="75" w:after="75"/>
      <w:jc w:val="center"/>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nhideWhenUsed/>
    <w:rsid w:val="00F46166"/>
    <w:rPr>
      <w:sz w:val="16"/>
      <w:szCs w:val="16"/>
    </w:rPr>
  </w:style>
  <w:style w:type="paragraph" w:styleId="CommentText">
    <w:name w:val="annotation text"/>
    <w:basedOn w:val="Normal"/>
    <w:link w:val="CommentTextChar"/>
    <w:unhideWhenUsed/>
    <w:rsid w:val="00F46166"/>
    <w:rPr>
      <w:sz w:val="20"/>
      <w:szCs w:val="20"/>
    </w:rPr>
  </w:style>
  <w:style w:type="character" w:customStyle="1" w:styleId="CommentTextChar">
    <w:name w:val="Comment Text Char"/>
    <w:basedOn w:val="DefaultParagraphFont"/>
    <w:link w:val="CommentText"/>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 w:type="paragraph" w:styleId="BodyText">
    <w:name w:val="Body Text"/>
    <w:basedOn w:val="Normal"/>
    <w:link w:val="BodyTextChar"/>
    <w:rsid w:val="0080142C"/>
    <w:pPr>
      <w:spacing w:after="120"/>
    </w:pPr>
    <w:rPr>
      <w:rFonts w:eastAsia="Times New Roman" w:cs="Times New Roman"/>
      <w:szCs w:val="24"/>
      <w:lang w:val="x-none" w:eastAsia="x-none"/>
    </w:rPr>
  </w:style>
  <w:style w:type="character" w:customStyle="1" w:styleId="BodyTextChar">
    <w:name w:val="Body Text Char"/>
    <w:basedOn w:val="DefaultParagraphFont"/>
    <w:link w:val="BodyText"/>
    <w:rsid w:val="0080142C"/>
    <w:rPr>
      <w:rFonts w:eastAsia="Times New Roman" w:cs="Times New Roman"/>
      <w:szCs w:val="24"/>
      <w:lang w:val="x-none" w:eastAsia="x-none"/>
    </w:rPr>
  </w:style>
  <w:style w:type="paragraph" w:customStyle="1" w:styleId="naisnod">
    <w:name w:val="naisnod"/>
    <w:basedOn w:val="Normal"/>
    <w:rsid w:val="007A2D8A"/>
    <w:pPr>
      <w:spacing w:before="150" w:after="150"/>
      <w:jc w:val="center"/>
    </w:pPr>
    <w:rPr>
      <w:rFonts w:eastAsia="Times New Roman" w:cs="Times New Roman"/>
      <w:b/>
      <w:bCs/>
      <w:szCs w:val="24"/>
      <w:lang w:eastAsia="lv-LV"/>
    </w:rPr>
  </w:style>
  <w:style w:type="paragraph" w:styleId="BodyTextIndent3">
    <w:name w:val="Body Text Indent 3"/>
    <w:basedOn w:val="Normal"/>
    <w:link w:val="BodyTextIndent3Char"/>
    <w:rsid w:val="007A2D8A"/>
    <w:pPr>
      <w:spacing w:after="120"/>
      <w:ind w:left="283"/>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rsid w:val="007A2D8A"/>
    <w:rPr>
      <w:rFonts w:eastAsia="Times New Roman" w:cs="Times New Roman"/>
      <w:sz w:val="16"/>
      <w:szCs w:val="16"/>
      <w:lang w:val="x-none" w:eastAsia="x-none"/>
    </w:rPr>
  </w:style>
  <w:style w:type="paragraph" w:customStyle="1" w:styleId="naislab">
    <w:name w:val="naislab"/>
    <w:basedOn w:val="Normal"/>
    <w:rsid w:val="007A2D8A"/>
    <w:pPr>
      <w:spacing w:before="100" w:beforeAutospacing="1" w:after="100" w:afterAutospacing="1"/>
    </w:pPr>
    <w:rPr>
      <w:rFonts w:eastAsia="Times New Roman" w:cs="Times New Roman"/>
      <w:szCs w:val="24"/>
      <w:lang w:eastAsia="lv-LV"/>
    </w:rPr>
  </w:style>
  <w:style w:type="paragraph" w:customStyle="1" w:styleId="Nobeigums">
    <w:name w:val="Nobeigums"/>
    <w:basedOn w:val="Normal"/>
    <w:rsid w:val="00B02790"/>
    <w:rPr>
      <w:rFonts w:eastAsia="Times New Roman" w:cs="Times New Roman"/>
      <w:szCs w:val="20"/>
      <w:lang w:val="en-US"/>
    </w:rPr>
  </w:style>
  <w:style w:type="paragraph" w:customStyle="1" w:styleId="naiskr">
    <w:name w:val="naiskr"/>
    <w:basedOn w:val="Normal"/>
    <w:rsid w:val="00CB0E59"/>
    <w:pPr>
      <w:spacing w:before="75" w:after="75"/>
    </w:pPr>
    <w:rPr>
      <w:rFonts w:eastAsia="Times New Roman" w:cs="Times New Roman"/>
      <w:szCs w:val="24"/>
      <w:lang w:eastAsia="lv-LV"/>
    </w:rPr>
  </w:style>
  <w:style w:type="paragraph" w:customStyle="1" w:styleId="naisf">
    <w:name w:val="naisf"/>
    <w:basedOn w:val="Normal"/>
    <w:rsid w:val="00613DAF"/>
    <w:pPr>
      <w:spacing w:before="75" w:after="75"/>
      <w:ind w:firstLine="375"/>
      <w:jc w:val="both"/>
    </w:pPr>
    <w:rPr>
      <w:rFonts w:eastAsia="Times New Roman" w:cs="Times New Roman"/>
      <w:szCs w:val="24"/>
      <w:lang w:eastAsia="lv-LV"/>
    </w:rPr>
  </w:style>
  <w:style w:type="paragraph" w:styleId="EnvelopeReturn">
    <w:name w:val="envelope return"/>
    <w:basedOn w:val="Normal"/>
    <w:uiPriority w:val="99"/>
    <w:rsid w:val="00D72AC2"/>
    <w:rPr>
      <w:rFonts w:ascii="Garamond" w:eastAsia="Times New Roman" w:hAnsi="Garamond" w:cs="Arial"/>
      <w:b/>
      <w:szCs w:val="24"/>
    </w:rPr>
  </w:style>
  <w:style w:type="paragraph" w:styleId="Signature">
    <w:name w:val="Signature"/>
    <w:basedOn w:val="Normal"/>
    <w:next w:val="EnvelopeReturn"/>
    <w:link w:val="SignatureChar"/>
    <w:rsid w:val="00D72AC2"/>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D72AC2"/>
    <w:rPr>
      <w:rFonts w:eastAsia="Times New Roman" w:cs="Times New Roman"/>
      <w:sz w:val="26"/>
      <w:szCs w:val="20"/>
      <w:lang w:val="en-AU"/>
    </w:rPr>
  </w:style>
  <w:style w:type="paragraph" w:customStyle="1" w:styleId="naisc">
    <w:name w:val="naisc"/>
    <w:basedOn w:val="Normal"/>
    <w:rsid w:val="00C72EEC"/>
    <w:pPr>
      <w:spacing w:before="75" w:after="75"/>
      <w:jc w:val="center"/>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025">
      <w:bodyDiv w:val="1"/>
      <w:marLeft w:val="0"/>
      <w:marRight w:val="0"/>
      <w:marTop w:val="0"/>
      <w:marBottom w:val="0"/>
      <w:divBdr>
        <w:top w:val="none" w:sz="0" w:space="0" w:color="auto"/>
        <w:left w:val="none" w:sz="0" w:space="0" w:color="auto"/>
        <w:bottom w:val="none" w:sz="0" w:space="0" w:color="auto"/>
        <w:right w:val="none" w:sz="0" w:space="0" w:color="auto"/>
      </w:divBdr>
    </w:div>
    <w:div w:id="605968150">
      <w:bodyDiv w:val="1"/>
      <w:marLeft w:val="45"/>
      <w:marRight w:val="45"/>
      <w:marTop w:val="90"/>
      <w:marBottom w:val="90"/>
      <w:divBdr>
        <w:top w:val="none" w:sz="0" w:space="0" w:color="auto"/>
        <w:left w:val="none" w:sz="0" w:space="0" w:color="auto"/>
        <w:bottom w:val="none" w:sz="0" w:space="0" w:color="auto"/>
        <w:right w:val="none" w:sz="0" w:space="0" w:color="auto"/>
      </w:divBdr>
      <w:divsChild>
        <w:div w:id="1272515342">
          <w:marLeft w:val="0"/>
          <w:marRight w:val="0"/>
          <w:marTop w:val="0"/>
          <w:marBottom w:val="567"/>
          <w:divBdr>
            <w:top w:val="none" w:sz="0" w:space="0" w:color="auto"/>
            <w:left w:val="none" w:sz="0" w:space="0" w:color="auto"/>
            <w:bottom w:val="none" w:sz="0" w:space="0" w:color="auto"/>
            <w:right w:val="none" w:sz="0" w:space="0" w:color="auto"/>
          </w:divBdr>
        </w:div>
      </w:divsChild>
    </w:div>
    <w:div w:id="756513090">
      <w:bodyDiv w:val="1"/>
      <w:marLeft w:val="0"/>
      <w:marRight w:val="0"/>
      <w:marTop w:val="0"/>
      <w:marBottom w:val="0"/>
      <w:divBdr>
        <w:top w:val="none" w:sz="0" w:space="0" w:color="auto"/>
        <w:left w:val="none" w:sz="0" w:space="0" w:color="auto"/>
        <w:bottom w:val="none" w:sz="0" w:space="0" w:color="auto"/>
        <w:right w:val="none" w:sz="0" w:space="0" w:color="auto"/>
      </w:divBdr>
    </w:div>
    <w:div w:id="802767279">
      <w:bodyDiv w:val="1"/>
      <w:marLeft w:val="0"/>
      <w:marRight w:val="0"/>
      <w:marTop w:val="0"/>
      <w:marBottom w:val="0"/>
      <w:divBdr>
        <w:top w:val="none" w:sz="0" w:space="0" w:color="auto"/>
        <w:left w:val="none" w:sz="0" w:space="0" w:color="auto"/>
        <w:bottom w:val="none" w:sz="0" w:space="0" w:color="auto"/>
        <w:right w:val="none" w:sz="0" w:space="0" w:color="auto"/>
      </w:divBdr>
    </w:div>
    <w:div w:id="1278441688">
      <w:bodyDiv w:val="1"/>
      <w:marLeft w:val="0"/>
      <w:marRight w:val="0"/>
      <w:marTop w:val="0"/>
      <w:marBottom w:val="0"/>
      <w:divBdr>
        <w:top w:val="none" w:sz="0" w:space="0" w:color="auto"/>
        <w:left w:val="none" w:sz="0" w:space="0" w:color="auto"/>
        <w:bottom w:val="none" w:sz="0" w:space="0" w:color="auto"/>
        <w:right w:val="none" w:sz="0" w:space="0" w:color="auto"/>
      </w:divBdr>
    </w:div>
    <w:div w:id="1282568996">
      <w:bodyDiv w:val="1"/>
      <w:marLeft w:val="0"/>
      <w:marRight w:val="0"/>
      <w:marTop w:val="0"/>
      <w:marBottom w:val="0"/>
      <w:divBdr>
        <w:top w:val="none" w:sz="0" w:space="0" w:color="auto"/>
        <w:left w:val="none" w:sz="0" w:space="0" w:color="auto"/>
        <w:bottom w:val="none" w:sz="0" w:space="0" w:color="auto"/>
        <w:right w:val="none" w:sz="0" w:space="0" w:color="auto"/>
      </w:divBdr>
    </w:div>
    <w:div w:id="1316227429">
      <w:bodyDiv w:val="1"/>
      <w:marLeft w:val="0"/>
      <w:marRight w:val="0"/>
      <w:marTop w:val="0"/>
      <w:marBottom w:val="0"/>
      <w:divBdr>
        <w:top w:val="none" w:sz="0" w:space="0" w:color="auto"/>
        <w:left w:val="none" w:sz="0" w:space="0" w:color="auto"/>
        <w:bottom w:val="none" w:sz="0" w:space="0" w:color="auto"/>
        <w:right w:val="none" w:sz="0" w:space="0" w:color="auto"/>
      </w:divBdr>
    </w:div>
    <w:div w:id="1388383413">
      <w:bodyDiv w:val="1"/>
      <w:marLeft w:val="0"/>
      <w:marRight w:val="0"/>
      <w:marTop w:val="0"/>
      <w:marBottom w:val="0"/>
      <w:divBdr>
        <w:top w:val="none" w:sz="0" w:space="0" w:color="auto"/>
        <w:left w:val="none" w:sz="0" w:space="0" w:color="auto"/>
        <w:bottom w:val="none" w:sz="0" w:space="0" w:color="auto"/>
        <w:right w:val="none" w:sz="0" w:space="0" w:color="auto"/>
      </w:divBdr>
    </w:div>
    <w:div w:id="1565068213">
      <w:bodyDiv w:val="1"/>
      <w:marLeft w:val="0"/>
      <w:marRight w:val="0"/>
      <w:marTop w:val="0"/>
      <w:marBottom w:val="0"/>
      <w:divBdr>
        <w:top w:val="none" w:sz="0" w:space="0" w:color="auto"/>
        <w:left w:val="none" w:sz="0" w:space="0" w:color="auto"/>
        <w:bottom w:val="none" w:sz="0" w:space="0" w:color="auto"/>
        <w:right w:val="none" w:sz="0" w:space="0" w:color="auto"/>
      </w:divBdr>
    </w:div>
    <w:div w:id="2051104113">
      <w:bodyDiv w:val="1"/>
      <w:marLeft w:val="0"/>
      <w:marRight w:val="0"/>
      <w:marTop w:val="0"/>
      <w:marBottom w:val="0"/>
      <w:divBdr>
        <w:top w:val="none" w:sz="0" w:space="0" w:color="auto"/>
        <w:left w:val="none" w:sz="0" w:space="0" w:color="auto"/>
        <w:bottom w:val="none" w:sz="0" w:space="0" w:color="auto"/>
        <w:right w:val="none" w:sz="0" w:space="0" w:color="auto"/>
      </w:divBdr>
    </w:div>
    <w:div w:id="21056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7694-90F3-4E68-AAD8-514CFB73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1713</Words>
  <Characters>12477</Characters>
  <Application>Microsoft Office Word</Application>
  <DocSecurity>0</DocSecurity>
  <Lines>319</Lines>
  <Paragraphs>74</Paragraphs>
  <ScaleCrop>false</ScaleCrop>
  <HeadingPairs>
    <vt:vector size="2" baseType="variant">
      <vt:variant>
        <vt:lpstr>Title</vt:lpstr>
      </vt:variant>
      <vt:variant>
        <vt:i4>1</vt:i4>
      </vt:variant>
    </vt:vector>
  </HeadingPairs>
  <TitlesOfParts>
    <vt:vector size="1" baseType="lpstr">
      <vt:lpstr>Ministru kabineta instrukcijas projekta „Grozījumi Ministru kabineta 2012.gada 2.oktobra instrukcijā Nr.12 „Dienesta vieglo automobiļu iegādes un nomas kārtība””</vt:lpstr>
    </vt:vector>
  </TitlesOfParts>
  <Company>Finanšu ministrija</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„Grozījumi Ministru kabineta 2012.gada 2.oktobra instrukcijā Nr.12 „Dienesta vieglo automobiļu iegādes un nomas kārtība””</dc:title>
  <dc:subject>Anotācija</dc:subject>
  <dc:creator>K.Mužica</dc:creator>
  <dc:description>Kristine.Muzica@fm.gov.lv_x000d_
Tel.:67095439</dc:description>
  <cp:lastModifiedBy>E</cp:lastModifiedBy>
  <cp:revision>8</cp:revision>
  <cp:lastPrinted>2014-11-25T08:34:00Z</cp:lastPrinted>
  <dcterms:created xsi:type="dcterms:W3CDTF">2014-10-31T11:15:00Z</dcterms:created>
  <dcterms:modified xsi:type="dcterms:W3CDTF">2014-11-25T08:39:00Z</dcterms:modified>
</cp:coreProperties>
</file>