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A85" w:rsidRDefault="00716A85" w:rsidP="00F1004B">
      <w:pPr>
        <w:jc w:val="center"/>
        <w:rPr>
          <w:b/>
          <w:sz w:val="28"/>
          <w:szCs w:val="28"/>
        </w:rPr>
      </w:pPr>
    </w:p>
    <w:p w:rsidR="00D57BE6" w:rsidRDefault="00D57BE6" w:rsidP="00F1004B">
      <w:pPr>
        <w:jc w:val="center"/>
        <w:rPr>
          <w:b/>
          <w:sz w:val="28"/>
          <w:szCs w:val="28"/>
        </w:rPr>
      </w:pPr>
    </w:p>
    <w:p w:rsidR="00F1004B" w:rsidRDefault="00F1004B" w:rsidP="00F1004B">
      <w:pPr>
        <w:jc w:val="center"/>
        <w:rPr>
          <w:b/>
          <w:sz w:val="28"/>
          <w:szCs w:val="28"/>
        </w:rPr>
      </w:pPr>
      <w:r>
        <w:rPr>
          <w:b/>
          <w:sz w:val="28"/>
          <w:szCs w:val="28"/>
        </w:rPr>
        <w:t>Informatīvais ziņojums</w:t>
      </w:r>
    </w:p>
    <w:p w:rsidR="00F1004B" w:rsidRPr="00BE5287" w:rsidRDefault="003F3F79" w:rsidP="00F1004B">
      <w:pPr>
        <w:jc w:val="center"/>
        <w:rPr>
          <w:b/>
          <w:sz w:val="28"/>
        </w:rPr>
      </w:pPr>
      <w:r>
        <w:rPr>
          <w:b/>
          <w:sz w:val="28"/>
          <w:szCs w:val="28"/>
        </w:rPr>
        <w:t>p</w:t>
      </w:r>
      <w:r w:rsidR="00F1004B" w:rsidRPr="00BE5287">
        <w:rPr>
          <w:b/>
          <w:sz w:val="28"/>
          <w:szCs w:val="28"/>
        </w:rPr>
        <w:t>ar</w:t>
      </w:r>
      <w:r w:rsidR="00BE5287" w:rsidRPr="00BE5287">
        <w:rPr>
          <w:b/>
          <w:sz w:val="28"/>
          <w:szCs w:val="28"/>
        </w:rPr>
        <w:t xml:space="preserve"> Valsts administrācijas skolas </w:t>
      </w:r>
      <w:r w:rsidR="007F7F6A">
        <w:rPr>
          <w:b/>
          <w:sz w:val="28"/>
          <w:szCs w:val="28"/>
        </w:rPr>
        <w:t xml:space="preserve">valsts pamatbudžeta programmas </w:t>
      </w:r>
      <w:r w:rsidR="00BE5287" w:rsidRPr="00BE5287">
        <w:rPr>
          <w:b/>
          <w:sz w:val="28"/>
          <w:szCs w:val="28"/>
        </w:rPr>
        <w:t>96.00.00.” Latvijas prezidentūras Eiropas Savienības Padomē nodrošināšana</w:t>
      </w:r>
      <w:r w:rsidR="00BE5287">
        <w:rPr>
          <w:sz w:val="28"/>
          <w:szCs w:val="28"/>
        </w:rPr>
        <w:t xml:space="preserve"> </w:t>
      </w:r>
      <w:r w:rsidR="00BE5287" w:rsidRPr="00BE5287">
        <w:rPr>
          <w:b/>
          <w:sz w:val="28"/>
          <w:szCs w:val="28"/>
        </w:rPr>
        <w:t>2015.gadā”</w:t>
      </w:r>
      <w:r w:rsidR="00BE5287">
        <w:rPr>
          <w:b/>
          <w:sz w:val="28"/>
          <w:szCs w:val="28"/>
        </w:rPr>
        <w:t xml:space="preserve"> ietvaros apropriācijas pārdali </w:t>
      </w:r>
      <w:r w:rsidR="00BE5287" w:rsidRPr="00B429E2">
        <w:rPr>
          <w:b/>
          <w:sz w:val="28"/>
          <w:szCs w:val="28"/>
        </w:rPr>
        <w:t>starp budžeta izdevumu kodiem atbilstoši ekonomiskajām kategorijām</w:t>
      </w:r>
    </w:p>
    <w:p w:rsidR="00BE5287" w:rsidRDefault="00BE5287" w:rsidP="00BE5287">
      <w:pPr>
        <w:rPr>
          <w:b/>
          <w:sz w:val="28"/>
          <w:szCs w:val="28"/>
        </w:rPr>
      </w:pPr>
    </w:p>
    <w:p w:rsidR="00716A85" w:rsidRDefault="00716A85" w:rsidP="00BE5287">
      <w:pPr>
        <w:rPr>
          <w:b/>
          <w:sz w:val="28"/>
          <w:szCs w:val="28"/>
        </w:rPr>
      </w:pPr>
    </w:p>
    <w:p w:rsidR="00BE5287" w:rsidRDefault="00B72BE9" w:rsidP="00F1004B">
      <w:pPr>
        <w:jc w:val="center"/>
        <w:rPr>
          <w:b/>
          <w:sz w:val="28"/>
          <w:szCs w:val="28"/>
        </w:rPr>
      </w:pPr>
      <w:r>
        <w:rPr>
          <w:b/>
          <w:sz w:val="28"/>
          <w:szCs w:val="28"/>
        </w:rPr>
        <w:t xml:space="preserve"> Ievads</w:t>
      </w:r>
    </w:p>
    <w:p w:rsidR="00716A85" w:rsidRDefault="00716A85" w:rsidP="00F1004B">
      <w:pPr>
        <w:jc w:val="center"/>
        <w:rPr>
          <w:b/>
          <w:sz w:val="28"/>
          <w:szCs w:val="28"/>
        </w:rPr>
      </w:pPr>
    </w:p>
    <w:p w:rsidR="00A81F23" w:rsidRDefault="007F7F6A" w:rsidP="00716A85">
      <w:pPr>
        <w:ind w:firstLine="709"/>
        <w:jc w:val="both"/>
        <w:rPr>
          <w:sz w:val="28"/>
          <w:szCs w:val="28"/>
        </w:rPr>
      </w:pPr>
      <w:r>
        <w:rPr>
          <w:sz w:val="28"/>
          <w:szCs w:val="28"/>
        </w:rPr>
        <w:t>S</w:t>
      </w:r>
      <w:r w:rsidR="00F1004B">
        <w:rPr>
          <w:sz w:val="28"/>
          <w:szCs w:val="28"/>
        </w:rPr>
        <w:t xml:space="preserve">askaņā ar </w:t>
      </w:r>
      <w:r w:rsidR="00786004">
        <w:rPr>
          <w:sz w:val="28"/>
          <w:szCs w:val="28"/>
        </w:rPr>
        <w:t>l</w:t>
      </w:r>
      <w:r w:rsidR="00F1004B">
        <w:rPr>
          <w:sz w:val="28"/>
          <w:szCs w:val="28"/>
        </w:rPr>
        <w:t xml:space="preserve">ikuma </w:t>
      </w:r>
      <w:r w:rsidR="00786004">
        <w:rPr>
          <w:sz w:val="28"/>
          <w:szCs w:val="28"/>
        </w:rPr>
        <w:t xml:space="preserve">„Par valsts budžetu 2014.gadam” 35.panta pirmajā </w:t>
      </w:r>
      <w:r w:rsidR="00786004" w:rsidRPr="00786004">
        <w:rPr>
          <w:sz w:val="28"/>
          <w:szCs w:val="28"/>
        </w:rPr>
        <w:t>daļā noteikto –</w:t>
      </w:r>
      <w:r w:rsidR="00786004">
        <w:rPr>
          <w:sz w:val="28"/>
          <w:szCs w:val="28"/>
        </w:rPr>
        <w:t xml:space="preserve"> ja ir pieņemts attiecīgs </w:t>
      </w:r>
      <w:r w:rsidR="00786004" w:rsidRPr="00786004">
        <w:rPr>
          <w:sz w:val="28"/>
          <w:szCs w:val="28"/>
        </w:rPr>
        <w:t>Ministru kabinet</w:t>
      </w:r>
      <w:r w:rsidR="00786004">
        <w:rPr>
          <w:sz w:val="28"/>
          <w:szCs w:val="28"/>
        </w:rPr>
        <w:t xml:space="preserve">a lēmums, finanšu ministram ir tiesības veikt apropriācijas pārdali ministrijas vai citas centrālās valsts iestādes budžeta programmas 96.00.00 „Latvijas prezidentūras Eiropas Savienības </w:t>
      </w:r>
      <w:r>
        <w:rPr>
          <w:sz w:val="28"/>
          <w:szCs w:val="28"/>
        </w:rPr>
        <w:t xml:space="preserve">Padomē nodrošināšana 2015.gadā” </w:t>
      </w:r>
      <w:r w:rsidR="00786004">
        <w:rPr>
          <w:sz w:val="28"/>
          <w:szCs w:val="28"/>
        </w:rPr>
        <w:t>ietvaros</w:t>
      </w:r>
      <w:r>
        <w:rPr>
          <w:sz w:val="28"/>
          <w:szCs w:val="28"/>
        </w:rPr>
        <w:t>,</w:t>
      </w:r>
      <w:r w:rsidR="00B01707">
        <w:rPr>
          <w:sz w:val="28"/>
          <w:szCs w:val="28"/>
        </w:rPr>
        <w:t xml:space="preserve"> kā arī pamatojoties uz Valsts admini</w:t>
      </w:r>
      <w:r w:rsidR="00B72BE9">
        <w:rPr>
          <w:sz w:val="28"/>
          <w:szCs w:val="28"/>
        </w:rPr>
        <w:t>strācijas skolas 2014. gada 10.</w:t>
      </w:r>
      <w:r w:rsidR="00B01707">
        <w:rPr>
          <w:sz w:val="28"/>
          <w:szCs w:val="28"/>
        </w:rPr>
        <w:t>februāra vēstuli Nr. 01-03/18</w:t>
      </w:r>
      <w:r w:rsidR="00DF0C57">
        <w:rPr>
          <w:sz w:val="28"/>
          <w:szCs w:val="28"/>
        </w:rPr>
        <w:t xml:space="preserve"> un Finanšu ministrijas 2014.gada 3.marta vēstuli Nr.2-3-03.1/1307</w:t>
      </w:r>
      <w:r w:rsidR="00C6279B">
        <w:rPr>
          <w:sz w:val="28"/>
          <w:szCs w:val="28"/>
        </w:rPr>
        <w:t xml:space="preserve"> Valsts kanceleja </w:t>
      </w:r>
      <w:r>
        <w:rPr>
          <w:sz w:val="28"/>
          <w:szCs w:val="28"/>
        </w:rPr>
        <w:t xml:space="preserve">iesniedz informatīvo ziņojumu </w:t>
      </w:r>
      <w:r w:rsidRPr="007F7F6A">
        <w:rPr>
          <w:sz w:val="28"/>
          <w:szCs w:val="28"/>
        </w:rPr>
        <w:t>„Par Valsts administrācijas skolas valsts pamatbudžeta programmas 96.00.00</w:t>
      </w:r>
      <w:r w:rsidR="00B72BE9">
        <w:rPr>
          <w:sz w:val="28"/>
          <w:szCs w:val="28"/>
        </w:rPr>
        <w:t xml:space="preserve"> </w:t>
      </w:r>
      <w:r w:rsidR="00557491">
        <w:rPr>
          <w:sz w:val="28"/>
          <w:szCs w:val="28"/>
        </w:rPr>
        <w:t>„</w:t>
      </w:r>
      <w:r w:rsidRPr="007F7F6A">
        <w:rPr>
          <w:sz w:val="28"/>
          <w:szCs w:val="28"/>
        </w:rPr>
        <w:t xml:space="preserve">Latvijas prezidentūras Eiropas Savienības Padomē nodrošināšana </w:t>
      </w:r>
      <w:r w:rsidR="00B72BE9">
        <w:rPr>
          <w:sz w:val="28"/>
          <w:szCs w:val="28"/>
        </w:rPr>
        <w:t xml:space="preserve">2015.gadā” ietvaros </w:t>
      </w:r>
      <w:r w:rsidRPr="007F7F6A">
        <w:rPr>
          <w:sz w:val="28"/>
          <w:szCs w:val="28"/>
        </w:rPr>
        <w:t>apropriācijas pārdali starp budžeta izdevumu kodiem atbilstoši ekonomiskajām kategorijām”</w:t>
      </w:r>
      <w:r w:rsidR="00BE5287" w:rsidRPr="007F7F6A">
        <w:rPr>
          <w:sz w:val="28"/>
          <w:szCs w:val="28"/>
        </w:rPr>
        <w:t xml:space="preserve">. </w:t>
      </w:r>
    </w:p>
    <w:p w:rsidR="00716A85" w:rsidRDefault="00B72BE9" w:rsidP="007F7F6A">
      <w:pPr>
        <w:jc w:val="both"/>
        <w:rPr>
          <w:sz w:val="28"/>
        </w:rPr>
      </w:pPr>
      <w:r>
        <w:rPr>
          <w:sz w:val="28"/>
        </w:rPr>
        <w:t xml:space="preserve">    </w:t>
      </w:r>
    </w:p>
    <w:p w:rsidR="00716A85" w:rsidRDefault="00716A85" w:rsidP="007F7F6A">
      <w:pPr>
        <w:jc w:val="both"/>
        <w:rPr>
          <w:sz w:val="28"/>
        </w:rPr>
      </w:pPr>
    </w:p>
    <w:p w:rsidR="00B72BE9" w:rsidRDefault="00B72BE9" w:rsidP="00B72BE9">
      <w:pPr>
        <w:jc w:val="center"/>
        <w:rPr>
          <w:b/>
          <w:sz w:val="28"/>
        </w:rPr>
      </w:pPr>
      <w:r w:rsidRPr="00B72BE9">
        <w:rPr>
          <w:b/>
          <w:sz w:val="28"/>
        </w:rPr>
        <w:t>Pašreizējā</w:t>
      </w:r>
      <w:r>
        <w:rPr>
          <w:b/>
          <w:sz w:val="28"/>
        </w:rPr>
        <w:t xml:space="preserve"> situācija un problēmu raksturojums </w:t>
      </w:r>
    </w:p>
    <w:p w:rsidR="00B72BE9" w:rsidRPr="00B72BE9" w:rsidRDefault="00B72BE9" w:rsidP="00B72BE9">
      <w:pPr>
        <w:jc w:val="center"/>
        <w:rPr>
          <w:b/>
          <w:sz w:val="28"/>
        </w:rPr>
      </w:pPr>
    </w:p>
    <w:p w:rsidR="00D95FFA" w:rsidRDefault="00A81F23" w:rsidP="00E92207">
      <w:pPr>
        <w:tabs>
          <w:tab w:val="left" w:pos="709"/>
        </w:tabs>
        <w:ind w:hanging="720"/>
        <w:jc w:val="both"/>
        <w:rPr>
          <w:sz w:val="28"/>
          <w:szCs w:val="28"/>
        </w:rPr>
      </w:pPr>
      <w:r>
        <w:rPr>
          <w:sz w:val="28"/>
          <w:szCs w:val="28"/>
        </w:rPr>
        <w:t xml:space="preserve">   </w:t>
      </w:r>
      <w:r w:rsidR="00CA4AFE">
        <w:rPr>
          <w:sz w:val="28"/>
          <w:szCs w:val="28"/>
        </w:rPr>
        <w:t xml:space="preserve">           </w:t>
      </w:r>
      <w:r w:rsidR="00125F6D">
        <w:rPr>
          <w:sz w:val="28"/>
          <w:szCs w:val="28"/>
        </w:rPr>
        <w:t xml:space="preserve">    Latvijas prezidentūras Eiropas Savienības Padomē veiksmīgas norises pamatā būs zinoši un profesionāli nodarbinātie.</w:t>
      </w:r>
      <w:r w:rsidR="00B72BE9">
        <w:rPr>
          <w:sz w:val="28"/>
          <w:szCs w:val="28"/>
        </w:rPr>
        <w:t xml:space="preserve"> Latvijas prezidentūras Eiropas Savienības Padomē</w:t>
      </w:r>
      <w:r w:rsidR="00125F6D">
        <w:rPr>
          <w:sz w:val="28"/>
          <w:szCs w:val="28"/>
        </w:rPr>
        <w:t xml:space="preserve"> </w:t>
      </w:r>
      <w:r w:rsidR="00B72BE9">
        <w:rPr>
          <w:sz w:val="28"/>
          <w:szCs w:val="28"/>
        </w:rPr>
        <w:t>personāla piesaistes un motivēšanas vadlīnijas 2.1.1. sadaļā „Valsts pārvaldē nodarbināto apmācība” noteikts, ka</w:t>
      </w:r>
      <w:r w:rsidR="00D95FFA">
        <w:rPr>
          <w:sz w:val="28"/>
          <w:szCs w:val="28"/>
        </w:rPr>
        <w:t xml:space="preserve">: </w:t>
      </w:r>
    </w:p>
    <w:p w:rsidR="00D95FFA" w:rsidRDefault="00D95FFA" w:rsidP="00E92207">
      <w:pPr>
        <w:tabs>
          <w:tab w:val="left" w:pos="709"/>
        </w:tabs>
        <w:ind w:hanging="720"/>
        <w:jc w:val="both"/>
        <w:rPr>
          <w:sz w:val="28"/>
          <w:szCs w:val="28"/>
        </w:rPr>
      </w:pPr>
      <w:r>
        <w:rPr>
          <w:sz w:val="28"/>
          <w:szCs w:val="28"/>
        </w:rPr>
        <w:t xml:space="preserve">                  – ir būtiski laikus un mērķtiecīgi uzsākt personāla kompetences un profesionālo zināšanu paaugstināšanu, kas ietvertu gan svešvalodu mācības, gan ar ES jautājumiem saistītu zināšanu apguvi;</w:t>
      </w:r>
    </w:p>
    <w:p w:rsidR="00D95FFA" w:rsidRDefault="00D95FFA" w:rsidP="00DF0C57">
      <w:pPr>
        <w:tabs>
          <w:tab w:val="left" w:pos="709"/>
        </w:tabs>
        <w:ind w:hanging="720"/>
        <w:jc w:val="both"/>
        <w:rPr>
          <w:sz w:val="28"/>
          <w:szCs w:val="28"/>
        </w:rPr>
      </w:pPr>
      <w:r>
        <w:rPr>
          <w:sz w:val="28"/>
          <w:szCs w:val="28"/>
        </w:rPr>
        <w:t xml:space="preserve">                  – m</w:t>
      </w:r>
      <w:r w:rsidR="00B72BE9">
        <w:rPr>
          <w:sz w:val="28"/>
          <w:szCs w:val="28"/>
        </w:rPr>
        <w:t xml:space="preserve">ācības </w:t>
      </w:r>
      <w:r>
        <w:rPr>
          <w:sz w:val="28"/>
          <w:szCs w:val="28"/>
        </w:rPr>
        <w:t>tiks nodrošinātas par Latvijas prezidentūrai piešķirtajiem valsts budžeta līdzekļiem, mācību piegādātājs tiks izvēlēts publiskā iepirkuma rezultātā, ko izsludinās arī ārpus Latvijas</w:t>
      </w:r>
      <w:r w:rsidR="00B72BE9">
        <w:rPr>
          <w:sz w:val="28"/>
          <w:szCs w:val="28"/>
        </w:rPr>
        <w:t>.</w:t>
      </w:r>
    </w:p>
    <w:p w:rsidR="00653B69" w:rsidRDefault="00D95FFA" w:rsidP="00D95FFA">
      <w:pPr>
        <w:tabs>
          <w:tab w:val="left" w:pos="709"/>
        </w:tabs>
        <w:jc w:val="both"/>
        <w:rPr>
          <w:sz w:val="28"/>
          <w:szCs w:val="28"/>
        </w:rPr>
      </w:pPr>
      <w:r>
        <w:rPr>
          <w:sz w:val="28"/>
          <w:szCs w:val="28"/>
        </w:rPr>
        <w:t xml:space="preserve">      </w:t>
      </w:r>
      <w:r w:rsidR="00DF0C57">
        <w:rPr>
          <w:sz w:val="28"/>
          <w:szCs w:val="28"/>
        </w:rPr>
        <w:t xml:space="preserve">  </w:t>
      </w:r>
      <w:r>
        <w:rPr>
          <w:sz w:val="28"/>
          <w:szCs w:val="28"/>
        </w:rPr>
        <w:t xml:space="preserve"> </w:t>
      </w:r>
      <w:r w:rsidR="00B72BE9">
        <w:rPr>
          <w:sz w:val="28"/>
          <w:szCs w:val="28"/>
        </w:rPr>
        <w:t xml:space="preserve"> </w:t>
      </w:r>
      <w:r w:rsidR="00653B69" w:rsidRPr="00653B69">
        <w:rPr>
          <w:sz w:val="28"/>
          <w:szCs w:val="28"/>
        </w:rPr>
        <w:t>Līdz ar to Valsts administrācijas skolai gan 2013.gadā, gan 2014.gadā tika piešķirts finansējums personāla sagatavošan</w:t>
      </w:r>
      <w:r w:rsidR="00557491">
        <w:rPr>
          <w:sz w:val="28"/>
          <w:szCs w:val="28"/>
        </w:rPr>
        <w:t>ai priekš</w:t>
      </w:r>
      <w:r w:rsidR="00653B69" w:rsidRPr="00653B69">
        <w:rPr>
          <w:sz w:val="28"/>
          <w:szCs w:val="28"/>
        </w:rPr>
        <w:t xml:space="preserve"> Latvijas prezidentūra</w:t>
      </w:r>
      <w:r w:rsidR="00557491">
        <w:rPr>
          <w:sz w:val="28"/>
          <w:szCs w:val="28"/>
        </w:rPr>
        <w:t>s</w:t>
      </w:r>
      <w:r w:rsidR="00653B69" w:rsidRPr="00653B69">
        <w:rPr>
          <w:sz w:val="28"/>
          <w:szCs w:val="28"/>
        </w:rPr>
        <w:t>, lai nodrošinātu personāl</w:t>
      </w:r>
      <w:r w:rsidR="00557491">
        <w:rPr>
          <w:sz w:val="28"/>
          <w:szCs w:val="28"/>
        </w:rPr>
        <w:t>a</w:t>
      </w:r>
      <w:r w:rsidR="00653B69" w:rsidRPr="00653B69">
        <w:rPr>
          <w:sz w:val="28"/>
          <w:szCs w:val="28"/>
        </w:rPr>
        <w:t xml:space="preserve"> apmācības par Eiropas Savienības jautājumiem</w:t>
      </w:r>
      <w:r w:rsidR="00653B69">
        <w:rPr>
          <w:sz w:val="28"/>
          <w:szCs w:val="28"/>
        </w:rPr>
        <w:t xml:space="preserve"> un svešvalodu (angļu vai franču valodas) mācības.</w:t>
      </w:r>
    </w:p>
    <w:p w:rsidR="00A81F23" w:rsidRDefault="00653B69" w:rsidP="00D8053C">
      <w:pPr>
        <w:tabs>
          <w:tab w:val="left" w:pos="709"/>
        </w:tabs>
        <w:ind w:hanging="720"/>
        <w:jc w:val="both"/>
        <w:rPr>
          <w:sz w:val="28"/>
          <w:szCs w:val="28"/>
        </w:rPr>
      </w:pPr>
      <w:r w:rsidRPr="00D8053C">
        <w:rPr>
          <w:sz w:val="28"/>
          <w:szCs w:val="28"/>
        </w:rPr>
        <w:t xml:space="preserve">                 </w:t>
      </w:r>
      <w:r w:rsidR="008654D2">
        <w:rPr>
          <w:sz w:val="28"/>
          <w:szCs w:val="28"/>
        </w:rPr>
        <w:t xml:space="preserve"> </w:t>
      </w:r>
      <w:r w:rsidR="00D8053C" w:rsidRPr="00D8053C">
        <w:rPr>
          <w:sz w:val="28"/>
          <w:szCs w:val="28"/>
        </w:rPr>
        <w:t xml:space="preserve">  </w:t>
      </w:r>
      <w:r w:rsidRPr="00D8053C">
        <w:rPr>
          <w:sz w:val="28"/>
          <w:szCs w:val="28"/>
        </w:rPr>
        <w:t xml:space="preserve">2014.gadā </w:t>
      </w:r>
      <w:r>
        <w:rPr>
          <w:sz w:val="28"/>
          <w:szCs w:val="28"/>
        </w:rPr>
        <w:t>pamatojoties uz Ministru kabineta 2013.gada 28.augusta rīkojumu Nr.401 „Par nepieciešamo finansējumu 2014.gadam, lai sagatavotu un nodrošinātu Latvijas prezidentūru Eirop</w:t>
      </w:r>
      <w:r w:rsidR="00716A85">
        <w:rPr>
          <w:sz w:val="28"/>
          <w:szCs w:val="28"/>
        </w:rPr>
        <w:t>as Savienības Padomē 2015.gadā”</w:t>
      </w:r>
      <w:r w:rsidR="00557491">
        <w:rPr>
          <w:sz w:val="28"/>
          <w:szCs w:val="28"/>
        </w:rPr>
        <w:t>,</w:t>
      </w:r>
      <w:r w:rsidR="00716A85">
        <w:rPr>
          <w:sz w:val="28"/>
          <w:szCs w:val="28"/>
        </w:rPr>
        <w:t xml:space="preserve"> </w:t>
      </w:r>
      <w:r>
        <w:rPr>
          <w:sz w:val="28"/>
          <w:szCs w:val="28"/>
        </w:rPr>
        <w:t>likumā „</w:t>
      </w:r>
      <w:r w:rsidR="00716A85">
        <w:rPr>
          <w:sz w:val="28"/>
          <w:szCs w:val="28"/>
        </w:rPr>
        <w:t xml:space="preserve">Par valsts budžetu 2014.gadam” </w:t>
      </w:r>
      <w:r>
        <w:rPr>
          <w:sz w:val="28"/>
          <w:szCs w:val="28"/>
        </w:rPr>
        <w:t>tika apstiprināts finansējums resora „Ministru kabinets” budžeta programm</w:t>
      </w:r>
      <w:r w:rsidR="00CF4255">
        <w:rPr>
          <w:sz w:val="28"/>
          <w:szCs w:val="28"/>
        </w:rPr>
        <w:t>ā</w:t>
      </w:r>
      <w:r>
        <w:rPr>
          <w:sz w:val="28"/>
          <w:szCs w:val="28"/>
        </w:rPr>
        <w:t xml:space="preserve"> 96.00.00 „Latvijas prezidentūras </w:t>
      </w:r>
      <w:r>
        <w:rPr>
          <w:sz w:val="28"/>
          <w:szCs w:val="28"/>
        </w:rPr>
        <w:lastRenderedPageBreak/>
        <w:t>Eiropas Savienības Padomē nodrošināšana 2015.gadā” Valsts administrācijas skolai – 639 062 e</w:t>
      </w:r>
      <w:r w:rsidR="00661B51">
        <w:rPr>
          <w:sz w:val="28"/>
          <w:szCs w:val="28"/>
        </w:rPr>
        <w:t>i</w:t>
      </w:r>
      <w:r>
        <w:rPr>
          <w:sz w:val="28"/>
          <w:szCs w:val="28"/>
        </w:rPr>
        <w:t xml:space="preserve">ro </w:t>
      </w:r>
      <w:r w:rsidR="00BF7C16">
        <w:rPr>
          <w:sz w:val="28"/>
          <w:szCs w:val="28"/>
        </w:rPr>
        <w:t>apmērā centralizētajām personāla</w:t>
      </w:r>
      <w:r>
        <w:rPr>
          <w:sz w:val="28"/>
          <w:szCs w:val="28"/>
        </w:rPr>
        <w:t xml:space="preserve"> apmācībām par Eiropas Savienības jautājumiem (Eiropas Savienības dokumentu izstrāde, informācijas aprite, pārvaldība un sanāksmju vadīšana, sarunu vešana un publiskā runa) prezidentūras funkciju nodrošināšanai, specializētajām mācībām konkrētām mērķa grupām, mācību telpu nodrošināšanai un mācību koordinēšanai par valsts informācijas sistēmu darbam ar Eiropas Savienības dokumentiem, kā arī citiem mērķiem.</w:t>
      </w:r>
    </w:p>
    <w:p w:rsidR="00661B51" w:rsidRPr="00CD2544" w:rsidRDefault="00D8053C" w:rsidP="00661B51">
      <w:pPr>
        <w:suppressAutoHyphens/>
        <w:ind w:firstLine="720"/>
        <w:jc w:val="both"/>
        <w:rPr>
          <w:strike/>
          <w:color w:val="000000" w:themeColor="text1"/>
          <w:sz w:val="28"/>
          <w:szCs w:val="28"/>
          <w:highlight w:val="cyan"/>
          <w:lang w:eastAsia="ar-SA"/>
        </w:rPr>
      </w:pPr>
      <w:r>
        <w:rPr>
          <w:sz w:val="28"/>
          <w:szCs w:val="28"/>
          <w:lang w:eastAsia="ar-SA"/>
        </w:rPr>
        <w:t xml:space="preserve"> Savukārt g</w:t>
      </w:r>
      <w:r w:rsidR="00B5710D" w:rsidRPr="00D8053C">
        <w:rPr>
          <w:sz w:val="28"/>
          <w:szCs w:val="28"/>
          <w:lang w:eastAsia="ar-SA"/>
        </w:rPr>
        <w:t>atavojoties Latvijas prezidentūrai Eiropas Savienības Padomē, apmācībām izvirzīto dalībnieku un līdz ar to apmācāmo skaits ir pieaudzis no plānotajiem 600 līdz 1103 dalībniekiem. Valsts administrācijas skolai no valsts budžeta 2014. gadam piešķirts finansējums Eiropas Savienības prezidentūras saturiskajām mācībām, tajā skaitā</w:t>
      </w:r>
      <w:r w:rsidR="00557491">
        <w:rPr>
          <w:sz w:val="28"/>
          <w:szCs w:val="28"/>
          <w:lang w:eastAsia="ar-SA"/>
        </w:rPr>
        <w:t>,</w:t>
      </w:r>
      <w:r w:rsidR="00B5710D" w:rsidRPr="00D8053C">
        <w:rPr>
          <w:sz w:val="28"/>
          <w:szCs w:val="28"/>
          <w:lang w:eastAsia="ar-SA"/>
        </w:rPr>
        <w:t xml:space="preserve"> atlīdzības izdevumiem pasniedzējiem. Taču publiskā iepirkuma rezultātā līgums tika noslēgts ar juridisku personu (Eiropas Publiskās administrācijas institūtu), un mācību pakalpojumi tiks segti no pozīcijas "Preces un pakalpojumi". Tādēļ netiks slēgti līgumi ar fiziskām personām par konkrētu darbu vai pakalpojumu</w:t>
      </w:r>
      <w:r w:rsidR="00557491">
        <w:rPr>
          <w:sz w:val="28"/>
          <w:szCs w:val="28"/>
          <w:lang w:eastAsia="ar-SA"/>
        </w:rPr>
        <w:t>,</w:t>
      </w:r>
      <w:r w:rsidR="00B5710D" w:rsidRPr="00D8053C">
        <w:rPr>
          <w:sz w:val="28"/>
          <w:szCs w:val="28"/>
          <w:lang w:eastAsia="ar-SA"/>
        </w:rPr>
        <w:t xml:space="preserve"> un nepieciešams iepriekš plānotos līdzekļus atlīdzībai pārdalīt preču un pakalpojumu samaksai. </w:t>
      </w:r>
      <w:r w:rsidR="00216335">
        <w:rPr>
          <w:sz w:val="28"/>
          <w:szCs w:val="28"/>
          <w:lang w:eastAsia="ar-SA"/>
        </w:rPr>
        <w:t>Turklāt, l</w:t>
      </w:r>
      <w:r w:rsidR="00B5710D" w:rsidRPr="00D8053C">
        <w:rPr>
          <w:sz w:val="28"/>
          <w:szCs w:val="28"/>
          <w:lang w:eastAsia="ar-SA"/>
        </w:rPr>
        <w:t xml:space="preserve">ai nodrošinātu kvalitatīvu mācību procesu, </w:t>
      </w:r>
      <w:r w:rsidR="002C594D">
        <w:rPr>
          <w:sz w:val="28"/>
          <w:szCs w:val="28"/>
          <w:lang w:eastAsia="ar-SA"/>
        </w:rPr>
        <w:t>2013.gada</w:t>
      </w:r>
      <w:r w:rsidR="00B5710D" w:rsidRPr="00D8053C">
        <w:rPr>
          <w:sz w:val="28"/>
          <w:szCs w:val="28"/>
          <w:lang w:eastAsia="ar-SA"/>
        </w:rPr>
        <w:t xml:space="preserve"> otrajā pusgadā tika uzlabota Valsts administrācijas skolas materiāltehniskā bāze</w:t>
      </w:r>
      <w:r w:rsidR="00CE1EA7">
        <w:rPr>
          <w:sz w:val="28"/>
          <w:szCs w:val="28"/>
          <w:lang w:eastAsia="ar-SA"/>
        </w:rPr>
        <w:t xml:space="preserve"> </w:t>
      </w:r>
      <w:r w:rsidR="00B5710D" w:rsidRPr="00D8053C">
        <w:rPr>
          <w:sz w:val="28"/>
          <w:szCs w:val="28"/>
          <w:lang w:eastAsia="ar-SA"/>
        </w:rPr>
        <w:t>– iegādāta mūsdienīga datortehnika, videoprojektors un cita nepieciešamā tehnika. Līdz ar to</w:t>
      </w:r>
      <w:r w:rsidR="00CE1EA7">
        <w:rPr>
          <w:sz w:val="28"/>
          <w:szCs w:val="28"/>
          <w:lang w:eastAsia="ar-SA"/>
        </w:rPr>
        <w:t>,</w:t>
      </w:r>
      <w:r w:rsidR="00B5710D" w:rsidRPr="00D8053C">
        <w:rPr>
          <w:sz w:val="28"/>
          <w:szCs w:val="28"/>
          <w:lang w:eastAsia="ar-SA"/>
        </w:rPr>
        <w:t xml:space="preserve"> Valsts administrācijas skola ierosina 2014. gadā plānotos līdzekļus minētajiem mērķiem (kapitālajiem izdevumiem) 15 367 eiro apmērā novirzīt precēm un pakalpojumiem, lai segtu izdevumus, kas saistīti ar apmācāmo skaitu Eiropas Savienības prezidentūras saturiskajās mācībās</w:t>
      </w:r>
      <w:r w:rsidR="00CE1EA7">
        <w:rPr>
          <w:sz w:val="28"/>
          <w:szCs w:val="28"/>
          <w:lang w:eastAsia="ar-SA"/>
        </w:rPr>
        <w:t>.</w:t>
      </w:r>
    </w:p>
    <w:p w:rsidR="00CD2544" w:rsidRDefault="00CD2544" w:rsidP="00661B51">
      <w:pPr>
        <w:suppressAutoHyphens/>
        <w:ind w:firstLine="720"/>
        <w:jc w:val="both"/>
        <w:rPr>
          <w:color w:val="000000" w:themeColor="text1"/>
          <w:sz w:val="28"/>
          <w:szCs w:val="28"/>
          <w:lang w:eastAsia="ar-SA"/>
        </w:rPr>
      </w:pPr>
      <w:r w:rsidRPr="00FF28A8">
        <w:rPr>
          <w:color w:val="000000" w:themeColor="text1"/>
          <w:sz w:val="28"/>
          <w:szCs w:val="28"/>
          <w:lang w:eastAsia="ar-SA"/>
        </w:rPr>
        <w:t>Tāt</w:t>
      </w:r>
      <w:r w:rsidR="00CE1EA7">
        <w:rPr>
          <w:color w:val="000000" w:themeColor="text1"/>
          <w:sz w:val="28"/>
          <w:szCs w:val="28"/>
          <w:lang w:eastAsia="ar-SA"/>
        </w:rPr>
        <w:t>a</w:t>
      </w:r>
      <w:r w:rsidRPr="00FF28A8">
        <w:rPr>
          <w:color w:val="000000" w:themeColor="text1"/>
          <w:sz w:val="28"/>
          <w:szCs w:val="28"/>
          <w:lang w:eastAsia="ar-SA"/>
        </w:rPr>
        <w:t>d</w:t>
      </w:r>
      <w:r w:rsidR="00FF28A8" w:rsidRPr="00FF28A8">
        <w:rPr>
          <w:color w:val="000000" w:themeColor="text1"/>
          <w:sz w:val="28"/>
          <w:szCs w:val="28"/>
          <w:lang w:eastAsia="ar-SA"/>
        </w:rPr>
        <w:t xml:space="preserve"> </w:t>
      </w:r>
      <w:r w:rsidR="002C594D">
        <w:rPr>
          <w:color w:val="000000" w:themeColor="text1"/>
          <w:sz w:val="28"/>
          <w:szCs w:val="28"/>
          <w:lang w:eastAsia="ar-SA"/>
        </w:rPr>
        <w:t xml:space="preserve">ir </w:t>
      </w:r>
      <w:r w:rsidR="00FF28A8" w:rsidRPr="00FF28A8">
        <w:rPr>
          <w:color w:val="000000" w:themeColor="text1"/>
          <w:sz w:val="28"/>
          <w:szCs w:val="28"/>
          <w:lang w:eastAsia="ar-SA"/>
        </w:rPr>
        <w:t>izveidoj</w:t>
      </w:r>
      <w:r w:rsidR="002C594D">
        <w:rPr>
          <w:color w:val="000000" w:themeColor="text1"/>
          <w:sz w:val="28"/>
          <w:szCs w:val="28"/>
          <w:lang w:eastAsia="ar-SA"/>
        </w:rPr>
        <w:t>usies</w:t>
      </w:r>
      <w:r w:rsidR="00FF28A8" w:rsidRPr="00FF28A8">
        <w:rPr>
          <w:color w:val="000000" w:themeColor="text1"/>
          <w:sz w:val="28"/>
          <w:szCs w:val="28"/>
          <w:lang w:eastAsia="ar-SA"/>
        </w:rPr>
        <w:t xml:space="preserve"> situācija, kad</w:t>
      </w:r>
      <w:r w:rsidRPr="00FF28A8">
        <w:rPr>
          <w:color w:val="000000" w:themeColor="text1"/>
          <w:sz w:val="28"/>
          <w:szCs w:val="28"/>
          <w:lang w:eastAsia="ar-SA"/>
        </w:rPr>
        <w:t xml:space="preserve"> Valsts administrācijas skolas budžetā trūkst līdzekļu pozīcijā </w:t>
      </w:r>
      <w:r w:rsidRPr="00FF28A8">
        <w:rPr>
          <w:sz w:val="28"/>
          <w:szCs w:val="28"/>
          <w:lang w:eastAsia="ar-SA"/>
        </w:rPr>
        <w:t xml:space="preserve">"Preces un pakalpojumi" </w:t>
      </w:r>
      <w:r w:rsidR="00B502D4">
        <w:rPr>
          <w:sz w:val="28"/>
          <w:szCs w:val="28"/>
          <w:lang w:eastAsia="ar-SA"/>
        </w:rPr>
        <w:t xml:space="preserve">100 539 eiro apmērā </w:t>
      </w:r>
      <w:r w:rsidRPr="00FF28A8">
        <w:rPr>
          <w:sz w:val="28"/>
          <w:szCs w:val="28"/>
          <w:lang w:eastAsia="ar-SA"/>
        </w:rPr>
        <w:t>un vienlaikus ir</w:t>
      </w:r>
      <w:r w:rsidR="00B502D4">
        <w:rPr>
          <w:sz w:val="28"/>
          <w:szCs w:val="28"/>
          <w:lang w:eastAsia="ar-SA"/>
        </w:rPr>
        <w:t xml:space="preserve"> līdzekļu rezerves budžeta pozīcijās „Atlīdzība”</w:t>
      </w:r>
      <w:r>
        <w:rPr>
          <w:sz w:val="28"/>
          <w:szCs w:val="28"/>
          <w:lang w:eastAsia="ar-SA"/>
        </w:rPr>
        <w:t xml:space="preserve"> </w:t>
      </w:r>
      <w:r w:rsidR="00B502D4">
        <w:rPr>
          <w:sz w:val="28"/>
          <w:szCs w:val="28"/>
          <w:lang w:eastAsia="ar-SA"/>
        </w:rPr>
        <w:t>un „Kapitālie izdevumi”.</w:t>
      </w:r>
    </w:p>
    <w:p w:rsidR="00716A85" w:rsidRDefault="00716A85" w:rsidP="00CE1EA7">
      <w:pPr>
        <w:suppressAutoHyphens/>
        <w:jc w:val="both"/>
        <w:rPr>
          <w:color w:val="000000" w:themeColor="text1"/>
          <w:sz w:val="28"/>
          <w:szCs w:val="28"/>
          <w:lang w:eastAsia="ar-SA"/>
        </w:rPr>
      </w:pPr>
    </w:p>
    <w:p w:rsidR="00216335" w:rsidRDefault="00216335" w:rsidP="00216335">
      <w:pPr>
        <w:suppressAutoHyphens/>
        <w:ind w:firstLine="720"/>
        <w:jc w:val="center"/>
        <w:rPr>
          <w:b/>
          <w:color w:val="000000" w:themeColor="text1"/>
          <w:sz w:val="28"/>
          <w:szCs w:val="28"/>
          <w:lang w:eastAsia="ar-SA"/>
        </w:rPr>
      </w:pPr>
      <w:r w:rsidRPr="00651104">
        <w:rPr>
          <w:b/>
          <w:color w:val="000000" w:themeColor="text1"/>
          <w:sz w:val="28"/>
          <w:szCs w:val="28"/>
          <w:lang w:eastAsia="ar-SA"/>
        </w:rPr>
        <w:t>Priekšlikumi turpmākai rīcībai</w:t>
      </w:r>
      <w:r>
        <w:rPr>
          <w:b/>
          <w:color w:val="000000" w:themeColor="text1"/>
          <w:sz w:val="28"/>
          <w:szCs w:val="28"/>
          <w:lang w:eastAsia="ar-SA"/>
        </w:rPr>
        <w:t xml:space="preserve"> </w:t>
      </w:r>
    </w:p>
    <w:p w:rsidR="00716A85" w:rsidRDefault="00716A85" w:rsidP="00216335">
      <w:pPr>
        <w:suppressAutoHyphens/>
        <w:ind w:firstLine="720"/>
        <w:jc w:val="center"/>
        <w:rPr>
          <w:b/>
          <w:color w:val="000000" w:themeColor="text1"/>
          <w:sz w:val="28"/>
          <w:szCs w:val="28"/>
          <w:lang w:eastAsia="ar-SA"/>
        </w:rPr>
      </w:pPr>
    </w:p>
    <w:p w:rsidR="00CE1EA7" w:rsidRDefault="00CE1EA7" w:rsidP="00CE1EA7">
      <w:pPr>
        <w:tabs>
          <w:tab w:val="left" w:pos="851"/>
        </w:tabs>
        <w:suppressAutoHyphens/>
        <w:ind w:firstLine="709"/>
        <w:jc w:val="both"/>
        <w:rPr>
          <w:sz w:val="28"/>
          <w:szCs w:val="28"/>
          <w:lang w:eastAsia="ar-SA"/>
        </w:rPr>
      </w:pPr>
      <w:r>
        <w:rPr>
          <w:sz w:val="28"/>
          <w:szCs w:val="28"/>
        </w:rPr>
        <w:t>Valsts administrācijas skola ir izanalizējusi 2014. gada valsts pamatbudžeta programmas 96.00.00 "Latvijas</w:t>
      </w:r>
      <w:r>
        <w:rPr>
          <w:sz w:val="28"/>
          <w:szCs w:val="28"/>
          <w:lang w:eastAsia="ar-SA"/>
        </w:rPr>
        <w:t xml:space="preserve"> prezidentūras Eiropas Savienības Padomē nodrošināšana 2015. gadā</w:t>
      </w:r>
      <w:r>
        <w:rPr>
          <w:bCs/>
          <w:sz w:val="28"/>
          <w:szCs w:val="28"/>
        </w:rPr>
        <w:t>"</w:t>
      </w:r>
      <w:r>
        <w:rPr>
          <w:sz w:val="28"/>
          <w:szCs w:val="28"/>
        </w:rPr>
        <w:t xml:space="preserve"> izdevumus, finanšu nepieciešamību, kā arī pieejamo apropriāciju un secina, ka </w:t>
      </w:r>
      <w:r>
        <w:rPr>
          <w:sz w:val="28"/>
          <w:szCs w:val="28"/>
          <w:lang w:eastAsia="ar-SA"/>
        </w:rPr>
        <w:t>nepieciešams pārdalīt finansējumu</w:t>
      </w:r>
      <w:r>
        <w:rPr>
          <w:sz w:val="28"/>
          <w:szCs w:val="28"/>
        </w:rPr>
        <w:t xml:space="preserve"> starp budžeta izdevumu kodiem atbilstoši ekonomiskajām kategorijām</w:t>
      </w:r>
      <w:r>
        <w:rPr>
          <w:sz w:val="28"/>
          <w:szCs w:val="28"/>
          <w:lang w:eastAsia="ar-SA"/>
        </w:rPr>
        <w:t xml:space="preserve"> un veikt š</w:t>
      </w:r>
      <w:r w:rsidR="002C594D">
        <w:rPr>
          <w:sz w:val="28"/>
          <w:szCs w:val="28"/>
          <w:lang w:eastAsia="ar-SA"/>
        </w:rPr>
        <w:t>āda</w:t>
      </w:r>
      <w:r>
        <w:rPr>
          <w:sz w:val="28"/>
          <w:szCs w:val="28"/>
          <w:lang w:eastAsia="ar-SA"/>
        </w:rPr>
        <w:t xml:space="preserve">s budžeta izmaiņas – palielināt izdevumus preču un pakalpojumu samaksai par 100 539 eiro, attiecīgi samazinot atlīdzības izdevumus par 85 172 eiro (tajā skaitā atalgojumus – par 68 712 eiro) un kapitālos izdevumus – par 15 367 eiro. </w:t>
      </w:r>
    </w:p>
    <w:p w:rsidR="00716A85" w:rsidRDefault="002C594D" w:rsidP="00716A85">
      <w:pPr>
        <w:tabs>
          <w:tab w:val="left" w:pos="851"/>
        </w:tabs>
        <w:suppressAutoHyphens/>
        <w:jc w:val="both"/>
        <w:rPr>
          <w:sz w:val="28"/>
          <w:szCs w:val="28"/>
          <w:lang w:eastAsia="ar-SA"/>
        </w:rPr>
      </w:pPr>
      <w:r>
        <w:rPr>
          <w:sz w:val="28"/>
          <w:szCs w:val="28"/>
        </w:rPr>
        <w:tab/>
      </w:r>
      <w:r w:rsidR="00716A85">
        <w:rPr>
          <w:sz w:val="28"/>
          <w:szCs w:val="28"/>
        </w:rPr>
        <w:t xml:space="preserve">Grozījumi paredz </w:t>
      </w:r>
      <w:r>
        <w:rPr>
          <w:sz w:val="28"/>
          <w:szCs w:val="28"/>
        </w:rPr>
        <w:t>veikt attiecīga</w:t>
      </w:r>
      <w:r w:rsidR="00716A85">
        <w:rPr>
          <w:sz w:val="28"/>
          <w:szCs w:val="28"/>
        </w:rPr>
        <w:t>s izmaiņas budžeta programmā 96.00.00 "Latvijas</w:t>
      </w:r>
      <w:r w:rsidR="00716A85">
        <w:rPr>
          <w:sz w:val="28"/>
          <w:szCs w:val="28"/>
          <w:lang w:eastAsia="ar-SA"/>
        </w:rPr>
        <w:t xml:space="preserve"> prezidentūras Eiropas Savienības Padomē nodrošināšana 2015. gadā</w:t>
      </w:r>
      <w:r w:rsidR="00651104">
        <w:rPr>
          <w:sz w:val="28"/>
          <w:szCs w:val="28"/>
        </w:rPr>
        <w:t>"</w:t>
      </w:r>
      <w:r w:rsidR="002E0DA2">
        <w:rPr>
          <w:bCs/>
          <w:sz w:val="28"/>
          <w:szCs w:val="28"/>
        </w:rPr>
        <w:t>, nepalielinot gada kopējo izdevumu</w:t>
      </w:r>
      <w:r w:rsidR="004E1E05">
        <w:rPr>
          <w:bCs/>
          <w:sz w:val="28"/>
          <w:szCs w:val="28"/>
        </w:rPr>
        <w:t xml:space="preserve"> un ieņēmumu </w:t>
      </w:r>
      <w:r w:rsidR="00C6279B">
        <w:rPr>
          <w:bCs/>
          <w:sz w:val="28"/>
          <w:szCs w:val="28"/>
        </w:rPr>
        <w:t xml:space="preserve">apjomu, </w:t>
      </w:r>
      <w:r w:rsidR="00716A85">
        <w:rPr>
          <w:bCs/>
          <w:sz w:val="28"/>
          <w:szCs w:val="28"/>
        </w:rPr>
        <w:t xml:space="preserve">un </w:t>
      </w:r>
      <w:r>
        <w:rPr>
          <w:bCs/>
          <w:sz w:val="28"/>
          <w:szCs w:val="28"/>
        </w:rPr>
        <w:t xml:space="preserve">tie </w:t>
      </w:r>
      <w:r w:rsidR="002E0DA2">
        <w:rPr>
          <w:bCs/>
          <w:sz w:val="28"/>
          <w:szCs w:val="28"/>
        </w:rPr>
        <w:t>i</w:t>
      </w:r>
      <w:r w:rsidR="00BF7C16">
        <w:rPr>
          <w:bCs/>
          <w:sz w:val="28"/>
          <w:szCs w:val="28"/>
        </w:rPr>
        <w:t>r</w:t>
      </w:r>
      <w:r w:rsidR="002E0DA2">
        <w:rPr>
          <w:bCs/>
          <w:sz w:val="28"/>
          <w:szCs w:val="28"/>
        </w:rPr>
        <w:t xml:space="preserve"> </w:t>
      </w:r>
      <w:r w:rsidR="00716A85">
        <w:rPr>
          <w:bCs/>
          <w:sz w:val="28"/>
          <w:szCs w:val="28"/>
        </w:rPr>
        <w:t>atspoguļoti tabulā</w:t>
      </w:r>
      <w:r w:rsidR="00716A85">
        <w:rPr>
          <w:sz w:val="28"/>
          <w:szCs w:val="28"/>
        </w:rPr>
        <w:t xml:space="preserve">. </w:t>
      </w:r>
    </w:p>
    <w:p w:rsidR="00651104" w:rsidRDefault="00651104" w:rsidP="00716A85">
      <w:pPr>
        <w:jc w:val="right"/>
        <w:rPr>
          <w:i/>
          <w:sz w:val="28"/>
          <w:szCs w:val="28"/>
        </w:rPr>
      </w:pPr>
    </w:p>
    <w:p w:rsidR="00716A85" w:rsidRDefault="00716A85" w:rsidP="00716A85">
      <w:pPr>
        <w:jc w:val="right"/>
        <w:rPr>
          <w:i/>
          <w:sz w:val="28"/>
          <w:szCs w:val="28"/>
        </w:rPr>
      </w:pPr>
      <w:r>
        <w:rPr>
          <w:i/>
          <w:sz w:val="28"/>
          <w:szCs w:val="28"/>
        </w:rPr>
        <w:lastRenderedPageBreak/>
        <w:t xml:space="preserve"> tabula</w:t>
      </w:r>
    </w:p>
    <w:p w:rsidR="00716A85" w:rsidRDefault="00716A85" w:rsidP="00716A85">
      <w:pPr>
        <w:jc w:val="center"/>
        <w:rPr>
          <w:i/>
          <w:sz w:val="28"/>
          <w:szCs w:val="28"/>
        </w:rPr>
      </w:pPr>
      <w:r>
        <w:rPr>
          <w:i/>
          <w:sz w:val="28"/>
          <w:szCs w:val="28"/>
        </w:rPr>
        <w:t xml:space="preserve">                                                                                                Eiro </w:t>
      </w:r>
    </w:p>
    <w:p w:rsidR="00716A85" w:rsidRDefault="00716A85" w:rsidP="00716A85">
      <w:pPr>
        <w:jc w:val="right"/>
        <w:rPr>
          <w:i/>
          <w:sz w:val="28"/>
          <w:szCs w:val="28"/>
        </w:rPr>
      </w:pPr>
    </w:p>
    <w:tbl>
      <w:tblPr>
        <w:tblStyle w:val="TableGrid"/>
        <w:tblW w:w="0" w:type="auto"/>
        <w:tblLook w:val="04A0" w:firstRow="1" w:lastRow="0" w:firstColumn="1" w:lastColumn="0" w:noHBand="0" w:noVBand="1"/>
      </w:tblPr>
      <w:tblGrid>
        <w:gridCol w:w="5070"/>
        <w:gridCol w:w="1390"/>
        <w:gridCol w:w="1443"/>
        <w:gridCol w:w="1276"/>
      </w:tblGrid>
      <w:tr w:rsidR="00716A85" w:rsidTr="00716A85">
        <w:tc>
          <w:tcPr>
            <w:tcW w:w="5070" w:type="dxa"/>
            <w:tcBorders>
              <w:top w:val="single" w:sz="4" w:space="0" w:color="auto"/>
              <w:left w:val="single" w:sz="4" w:space="0" w:color="auto"/>
              <w:bottom w:val="single" w:sz="4" w:space="0" w:color="auto"/>
              <w:right w:val="single" w:sz="4" w:space="0" w:color="auto"/>
            </w:tcBorders>
            <w:hideMark/>
          </w:tcPr>
          <w:p w:rsidR="00716A85" w:rsidRDefault="00716A85" w:rsidP="002E0DA2">
            <w:pPr>
              <w:tabs>
                <w:tab w:val="left" w:pos="4854"/>
              </w:tabs>
              <w:ind w:right="-249"/>
              <w:rPr>
                <w:sz w:val="28"/>
                <w:szCs w:val="28"/>
                <w:lang w:eastAsia="en-US"/>
              </w:rPr>
            </w:pPr>
            <w:r>
              <w:rPr>
                <w:rFonts w:ascii="TimesNewRoman" w:hAnsi="TimesNewRoman" w:cs="Arial"/>
                <w:b/>
                <w:bCs/>
                <w:lang w:eastAsia="en-US"/>
              </w:rPr>
              <w:t>96.00.00 „Latvijas prezidentūras Eiropas Savienības Padomē nodrošināšana 2015.gadā” (</w:t>
            </w:r>
            <w:r w:rsidR="002E0DA2">
              <w:rPr>
                <w:rFonts w:ascii="TimesNewRoman" w:hAnsi="TimesNewRoman" w:cs="Arial"/>
                <w:b/>
                <w:bCs/>
                <w:lang w:eastAsia="en-US"/>
              </w:rPr>
              <w:t>b</w:t>
            </w:r>
            <w:r>
              <w:rPr>
                <w:rFonts w:ascii="TimesNewRoman" w:hAnsi="TimesNewRoman" w:cs="Arial"/>
                <w:b/>
                <w:bCs/>
                <w:lang w:eastAsia="en-US"/>
              </w:rPr>
              <w:t>udžeta izpildītājs VAS)</w:t>
            </w:r>
          </w:p>
        </w:tc>
        <w:tc>
          <w:tcPr>
            <w:tcW w:w="1390" w:type="dxa"/>
            <w:tcBorders>
              <w:top w:val="single" w:sz="4" w:space="0" w:color="auto"/>
              <w:left w:val="single" w:sz="4" w:space="0" w:color="auto"/>
              <w:bottom w:val="single" w:sz="4" w:space="0" w:color="auto"/>
              <w:right w:val="single" w:sz="4" w:space="0" w:color="auto"/>
            </w:tcBorders>
            <w:hideMark/>
          </w:tcPr>
          <w:p w:rsidR="00716A85" w:rsidRDefault="00716A85">
            <w:pPr>
              <w:jc w:val="center"/>
              <w:rPr>
                <w:lang w:eastAsia="en-US"/>
              </w:rPr>
            </w:pPr>
            <w:r>
              <w:rPr>
                <w:lang w:eastAsia="en-US"/>
              </w:rPr>
              <w:t>Apstiprināts 2014.gada budžets</w:t>
            </w:r>
          </w:p>
        </w:tc>
        <w:tc>
          <w:tcPr>
            <w:tcW w:w="1443" w:type="dxa"/>
            <w:tcBorders>
              <w:top w:val="single" w:sz="4" w:space="0" w:color="auto"/>
              <w:left w:val="single" w:sz="4" w:space="0" w:color="auto"/>
              <w:bottom w:val="single" w:sz="4" w:space="0" w:color="auto"/>
              <w:right w:val="single" w:sz="4" w:space="0" w:color="auto"/>
            </w:tcBorders>
          </w:tcPr>
          <w:p w:rsidR="00716A85" w:rsidRDefault="00716A85">
            <w:pPr>
              <w:jc w:val="center"/>
              <w:rPr>
                <w:lang w:eastAsia="en-US"/>
              </w:rPr>
            </w:pPr>
          </w:p>
          <w:p w:rsidR="00716A85" w:rsidRDefault="00716A85">
            <w:pPr>
              <w:jc w:val="center"/>
              <w:rPr>
                <w:lang w:eastAsia="en-US"/>
              </w:rPr>
            </w:pPr>
            <w:r>
              <w:rPr>
                <w:lang w:eastAsia="en-US"/>
              </w:rPr>
              <w:t>Priekšlikumi izmaiņām</w:t>
            </w:r>
          </w:p>
        </w:tc>
        <w:tc>
          <w:tcPr>
            <w:tcW w:w="1276" w:type="dxa"/>
            <w:tcBorders>
              <w:top w:val="single" w:sz="4" w:space="0" w:color="auto"/>
              <w:left w:val="single" w:sz="4" w:space="0" w:color="auto"/>
              <w:bottom w:val="single" w:sz="4" w:space="0" w:color="auto"/>
              <w:right w:val="single" w:sz="4" w:space="0" w:color="auto"/>
            </w:tcBorders>
            <w:hideMark/>
          </w:tcPr>
          <w:p w:rsidR="00716A85" w:rsidRDefault="00716A85">
            <w:pPr>
              <w:jc w:val="center"/>
              <w:rPr>
                <w:lang w:eastAsia="en-US"/>
              </w:rPr>
            </w:pPr>
            <w:r>
              <w:rPr>
                <w:lang w:eastAsia="en-US"/>
              </w:rPr>
              <w:t>2014.gada budžets ar izmaiņām</w:t>
            </w:r>
          </w:p>
        </w:tc>
      </w:tr>
      <w:tr w:rsidR="00716A85" w:rsidTr="00716A85">
        <w:tc>
          <w:tcPr>
            <w:tcW w:w="5070" w:type="dxa"/>
            <w:tcBorders>
              <w:top w:val="single" w:sz="4" w:space="0" w:color="auto"/>
              <w:left w:val="single" w:sz="4" w:space="0" w:color="auto"/>
              <w:bottom w:val="single" w:sz="4" w:space="0" w:color="auto"/>
              <w:right w:val="single" w:sz="4" w:space="0" w:color="auto"/>
            </w:tcBorders>
            <w:hideMark/>
          </w:tcPr>
          <w:p w:rsidR="00716A85" w:rsidRDefault="00716A85">
            <w:pPr>
              <w:jc w:val="both"/>
              <w:rPr>
                <w:sz w:val="22"/>
                <w:szCs w:val="22"/>
                <w:lang w:eastAsia="en-US"/>
              </w:rPr>
            </w:pPr>
            <w:r>
              <w:rPr>
                <w:b/>
                <w:bCs/>
                <w:sz w:val="22"/>
                <w:szCs w:val="22"/>
                <w:lang w:eastAsia="en-US"/>
              </w:rPr>
              <w:t>Resursi izdevumu segšanai</w:t>
            </w:r>
          </w:p>
        </w:tc>
        <w:tc>
          <w:tcPr>
            <w:tcW w:w="1390" w:type="dxa"/>
            <w:tcBorders>
              <w:top w:val="single" w:sz="4" w:space="0" w:color="auto"/>
              <w:left w:val="single" w:sz="4" w:space="0" w:color="auto"/>
              <w:bottom w:val="single" w:sz="4" w:space="0" w:color="auto"/>
              <w:right w:val="single" w:sz="4" w:space="0" w:color="auto"/>
            </w:tcBorders>
            <w:hideMark/>
          </w:tcPr>
          <w:p w:rsidR="00716A85" w:rsidRDefault="00716A85">
            <w:pPr>
              <w:jc w:val="both"/>
              <w:rPr>
                <w:b/>
                <w:i/>
                <w:lang w:eastAsia="en-US"/>
              </w:rPr>
            </w:pPr>
            <w:r>
              <w:rPr>
                <w:b/>
                <w:i/>
                <w:lang w:eastAsia="en-US"/>
              </w:rPr>
              <w:t>639 062</w:t>
            </w:r>
          </w:p>
        </w:tc>
        <w:tc>
          <w:tcPr>
            <w:tcW w:w="1443" w:type="dxa"/>
            <w:tcBorders>
              <w:top w:val="single" w:sz="4" w:space="0" w:color="auto"/>
              <w:left w:val="single" w:sz="4" w:space="0" w:color="auto"/>
              <w:bottom w:val="single" w:sz="4" w:space="0" w:color="auto"/>
              <w:right w:val="single" w:sz="4" w:space="0" w:color="auto"/>
            </w:tcBorders>
          </w:tcPr>
          <w:p w:rsidR="00716A85" w:rsidRDefault="00C6279B">
            <w:pPr>
              <w:jc w:val="both"/>
              <w:rPr>
                <w:b/>
                <w:i/>
                <w:sz w:val="28"/>
                <w:szCs w:val="28"/>
                <w:lang w:eastAsia="en-US"/>
              </w:rPr>
            </w:pPr>
            <w:r>
              <w:rPr>
                <w:b/>
                <w:i/>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716A85" w:rsidRDefault="00716A85">
            <w:pPr>
              <w:jc w:val="both"/>
              <w:rPr>
                <w:b/>
                <w:i/>
                <w:lang w:eastAsia="en-US"/>
              </w:rPr>
            </w:pPr>
            <w:r>
              <w:rPr>
                <w:b/>
                <w:i/>
                <w:lang w:eastAsia="en-US"/>
              </w:rPr>
              <w:t>639 062</w:t>
            </w:r>
          </w:p>
        </w:tc>
      </w:tr>
      <w:tr w:rsidR="00716A85" w:rsidTr="00716A85">
        <w:tc>
          <w:tcPr>
            <w:tcW w:w="5070" w:type="dxa"/>
            <w:tcBorders>
              <w:top w:val="single" w:sz="4" w:space="0" w:color="auto"/>
              <w:left w:val="single" w:sz="4" w:space="0" w:color="auto"/>
              <w:bottom w:val="single" w:sz="4" w:space="0" w:color="auto"/>
              <w:right w:val="single" w:sz="4" w:space="0" w:color="auto"/>
            </w:tcBorders>
            <w:hideMark/>
          </w:tcPr>
          <w:p w:rsidR="00716A85" w:rsidRDefault="00716A85">
            <w:pPr>
              <w:jc w:val="both"/>
              <w:rPr>
                <w:sz w:val="22"/>
                <w:szCs w:val="22"/>
                <w:lang w:eastAsia="en-US"/>
              </w:rPr>
            </w:pPr>
            <w:r>
              <w:rPr>
                <w:b/>
                <w:bCs/>
                <w:sz w:val="22"/>
                <w:szCs w:val="22"/>
                <w:lang w:eastAsia="en-US"/>
              </w:rPr>
              <w:t>Dotācija no vispārējiem ieņēmumiem</w:t>
            </w:r>
          </w:p>
        </w:tc>
        <w:tc>
          <w:tcPr>
            <w:tcW w:w="1390" w:type="dxa"/>
            <w:tcBorders>
              <w:top w:val="single" w:sz="4" w:space="0" w:color="auto"/>
              <w:left w:val="single" w:sz="4" w:space="0" w:color="auto"/>
              <w:bottom w:val="single" w:sz="4" w:space="0" w:color="auto"/>
              <w:right w:val="single" w:sz="4" w:space="0" w:color="auto"/>
            </w:tcBorders>
            <w:hideMark/>
          </w:tcPr>
          <w:p w:rsidR="00716A85" w:rsidRDefault="00716A85">
            <w:pPr>
              <w:jc w:val="both"/>
              <w:rPr>
                <w:lang w:eastAsia="en-US"/>
              </w:rPr>
            </w:pPr>
            <w:r>
              <w:rPr>
                <w:lang w:eastAsia="en-US"/>
              </w:rPr>
              <w:t>639 062</w:t>
            </w:r>
          </w:p>
        </w:tc>
        <w:tc>
          <w:tcPr>
            <w:tcW w:w="1443" w:type="dxa"/>
            <w:tcBorders>
              <w:top w:val="single" w:sz="4" w:space="0" w:color="auto"/>
              <w:left w:val="single" w:sz="4" w:space="0" w:color="auto"/>
              <w:bottom w:val="single" w:sz="4" w:space="0" w:color="auto"/>
              <w:right w:val="single" w:sz="4" w:space="0" w:color="auto"/>
            </w:tcBorders>
          </w:tcPr>
          <w:p w:rsidR="00716A85" w:rsidRDefault="00716A85">
            <w:pPr>
              <w:jc w:val="both"/>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16A85" w:rsidRDefault="00716A85">
            <w:pPr>
              <w:jc w:val="both"/>
              <w:rPr>
                <w:lang w:eastAsia="en-US"/>
              </w:rPr>
            </w:pPr>
            <w:r>
              <w:rPr>
                <w:lang w:eastAsia="en-US"/>
              </w:rPr>
              <w:t>639 062</w:t>
            </w:r>
          </w:p>
        </w:tc>
      </w:tr>
      <w:tr w:rsidR="00716A85" w:rsidTr="00716A85">
        <w:tc>
          <w:tcPr>
            <w:tcW w:w="5070" w:type="dxa"/>
            <w:tcBorders>
              <w:top w:val="single" w:sz="4" w:space="0" w:color="auto"/>
              <w:left w:val="single" w:sz="4" w:space="0" w:color="auto"/>
              <w:bottom w:val="single" w:sz="4" w:space="0" w:color="auto"/>
              <w:right w:val="single" w:sz="4" w:space="0" w:color="auto"/>
            </w:tcBorders>
            <w:hideMark/>
          </w:tcPr>
          <w:p w:rsidR="00716A85" w:rsidRDefault="00716A85">
            <w:pPr>
              <w:jc w:val="both"/>
              <w:rPr>
                <w:b/>
                <w:bCs/>
                <w:sz w:val="22"/>
                <w:szCs w:val="22"/>
                <w:lang w:eastAsia="en-US"/>
              </w:rPr>
            </w:pPr>
            <w:r>
              <w:rPr>
                <w:b/>
                <w:bCs/>
                <w:sz w:val="22"/>
                <w:szCs w:val="22"/>
                <w:lang w:eastAsia="en-US"/>
              </w:rPr>
              <w:t>Izdevumi – kopā</w:t>
            </w:r>
          </w:p>
        </w:tc>
        <w:tc>
          <w:tcPr>
            <w:tcW w:w="1390" w:type="dxa"/>
            <w:tcBorders>
              <w:top w:val="single" w:sz="4" w:space="0" w:color="auto"/>
              <w:left w:val="single" w:sz="4" w:space="0" w:color="auto"/>
              <w:bottom w:val="single" w:sz="4" w:space="0" w:color="auto"/>
              <w:right w:val="single" w:sz="4" w:space="0" w:color="auto"/>
            </w:tcBorders>
            <w:hideMark/>
          </w:tcPr>
          <w:p w:rsidR="00716A85" w:rsidRDefault="00716A85">
            <w:pPr>
              <w:jc w:val="both"/>
              <w:rPr>
                <w:b/>
                <w:i/>
                <w:lang w:eastAsia="en-US"/>
              </w:rPr>
            </w:pPr>
            <w:r>
              <w:rPr>
                <w:b/>
                <w:i/>
                <w:lang w:eastAsia="en-US"/>
              </w:rPr>
              <w:t>639 062</w:t>
            </w:r>
          </w:p>
        </w:tc>
        <w:tc>
          <w:tcPr>
            <w:tcW w:w="1443" w:type="dxa"/>
            <w:tcBorders>
              <w:top w:val="single" w:sz="4" w:space="0" w:color="auto"/>
              <w:left w:val="single" w:sz="4" w:space="0" w:color="auto"/>
              <w:bottom w:val="single" w:sz="4" w:space="0" w:color="auto"/>
              <w:right w:val="single" w:sz="4" w:space="0" w:color="auto"/>
            </w:tcBorders>
            <w:hideMark/>
          </w:tcPr>
          <w:p w:rsidR="00716A85" w:rsidRDefault="00716A85">
            <w:pPr>
              <w:jc w:val="both"/>
              <w:rPr>
                <w:b/>
                <w:i/>
                <w:sz w:val="28"/>
                <w:szCs w:val="28"/>
                <w:lang w:eastAsia="en-US"/>
              </w:rPr>
            </w:pPr>
            <w:r>
              <w:rPr>
                <w:b/>
                <w:i/>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716A85" w:rsidRDefault="00716A85">
            <w:pPr>
              <w:jc w:val="both"/>
              <w:rPr>
                <w:b/>
                <w:i/>
                <w:lang w:eastAsia="en-US"/>
              </w:rPr>
            </w:pPr>
            <w:r>
              <w:rPr>
                <w:b/>
                <w:i/>
                <w:lang w:eastAsia="en-US"/>
              </w:rPr>
              <w:t>639 062</w:t>
            </w:r>
          </w:p>
        </w:tc>
      </w:tr>
      <w:tr w:rsidR="00716A85" w:rsidTr="00716A85">
        <w:tc>
          <w:tcPr>
            <w:tcW w:w="5070" w:type="dxa"/>
            <w:tcBorders>
              <w:top w:val="single" w:sz="4" w:space="0" w:color="auto"/>
              <w:left w:val="single" w:sz="4" w:space="0" w:color="auto"/>
              <w:bottom w:val="single" w:sz="4" w:space="0" w:color="auto"/>
              <w:right w:val="single" w:sz="4" w:space="0" w:color="auto"/>
            </w:tcBorders>
            <w:hideMark/>
          </w:tcPr>
          <w:p w:rsidR="00716A85" w:rsidRDefault="00716A85">
            <w:pPr>
              <w:jc w:val="both"/>
              <w:rPr>
                <w:b/>
                <w:bCs/>
                <w:sz w:val="22"/>
                <w:szCs w:val="22"/>
                <w:lang w:eastAsia="en-US"/>
              </w:rPr>
            </w:pPr>
            <w:r>
              <w:rPr>
                <w:b/>
                <w:bCs/>
                <w:sz w:val="22"/>
                <w:szCs w:val="22"/>
                <w:lang w:eastAsia="en-US"/>
              </w:rPr>
              <w:t>Uzturēšanas izdevumi</w:t>
            </w:r>
          </w:p>
        </w:tc>
        <w:tc>
          <w:tcPr>
            <w:tcW w:w="1390" w:type="dxa"/>
            <w:tcBorders>
              <w:top w:val="single" w:sz="4" w:space="0" w:color="auto"/>
              <w:left w:val="single" w:sz="4" w:space="0" w:color="auto"/>
              <w:bottom w:val="single" w:sz="4" w:space="0" w:color="auto"/>
              <w:right w:val="single" w:sz="4" w:space="0" w:color="auto"/>
            </w:tcBorders>
            <w:hideMark/>
          </w:tcPr>
          <w:p w:rsidR="00716A85" w:rsidRDefault="00716A85">
            <w:pPr>
              <w:jc w:val="both"/>
              <w:rPr>
                <w:lang w:eastAsia="en-US"/>
              </w:rPr>
            </w:pPr>
            <w:r>
              <w:rPr>
                <w:lang w:eastAsia="en-US"/>
              </w:rPr>
              <w:t>623 695</w:t>
            </w:r>
          </w:p>
        </w:tc>
        <w:tc>
          <w:tcPr>
            <w:tcW w:w="1443" w:type="dxa"/>
            <w:tcBorders>
              <w:top w:val="single" w:sz="4" w:space="0" w:color="auto"/>
              <w:left w:val="single" w:sz="4" w:space="0" w:color="auto"/>
              <w:bottom w:val="single" w:sz="4" w:space="0" w:color="auto"/>
              <w:right w:val="single" w:sz="4" w:space="0" w:color="auto"/>
            </w:tcBorders>
            <w:hideMark/>
          </w:tcPr>
          <w:p w:rsidR="00716A85" w:rsidRDefault="00716A85">
            <w:pPr>
              <w:jc w:val="center"/>
              <w:rPr>
                <w:lang w:eastAsia="en-US"/>
              </w:rPr>
            </w:pPr>
            <w:r>
              <w:rPr>
                <w:lang w:eastAsia="en-US"/>
              </w:rPr>
              <w:t>15 367</w:t>
            </w:r>
          </w:p>
        </w:tc>
        <w:tc>
          <w:tcPr>
            <w:tcW w:w="1276" w:type="dxa"/>
            <w:tcBorders>
              <w:top w:val="single" w:sz="4" w:space="0" w:color="auto"/>
              <w:left w:val="single" w:sz="4" w:space="0" w:color="auto"/>
              <w:bottom w:val="single" w:sz="4" w:space="0" w:color="auto"/>
              <w:right w:val="single" w:sz="4" w:space="0" w:color="auto"/>
            </w:tcBorders>
            <w:hideMark/>
          </w:tcPr>
          <w:p w:rsidR="00716A85" w:rsidRDefault="00716A85">
            <w:pPr>
              <w:jc w:val="both"/>
              <w:rPr>
                <w:lang w:eastAsia="en-US"/>
              </w:rPr>
            </w:pPr>
            <w:r>
              <w:rPr>
                <w:lang w:eastAsia="en-US"/>
              </w:rPr>
              <w:t>639 062</w:t>
            </w:r>
          </w:p>
        </w:tc>
      </w:tr>
      <w:tr w:rsidR="00716A85" w:rsidTr="00716A85">
        <w:tc>
          <w:tcPr>
            <w:tcW w:w="5070" w:type="dxa"/>
            <w:tcBorders>
              <w:top w:val="single" w:sz="4" w:space="0" w:color="auto"/>
              <w:left w:val="single" w:sz="4" w:space="0" w:color="auto"/>
              <w:bottom w:val="single" w:sz="4" w:space="0" w:color="auto"/>
              <w:right w:val="single" w:sz="4" w:space="0" w:color="auto"/>
            </w:tcBorders>
            <w:hideMark/>
          </w:tcPr>
          <w:p w:rsidR="00716A85" w:rsidRDefault="00716A85">
            <w:pPr>
              <w:jc w:val="both"/>
              <w:rPr>
                <w:sz w:val="22"/>
                <w:szCs w:val="22"/>
                <w:lang w:eastAsia="en-US"/>
              </w:rPr>
            </w:pPr>
            <w:r>
              <w:rPr>
                <w:b/>
                <w:bCs/>
                <w:sz w:val="22"/>
                <w:szCs w:val="22"/>
                <w:lang w:eastAsia="en-US"/>
              </w:rPr>
              <w:t>Kārtējie izdevumi</w:t>
            </w:r>
          </w:p>
        </w:tc>
        <w:tc>
          <w:tcPr>
            <w:tcW w:w="1390" w:type="dxa"/>
            <w:tcBorders>
              <w:top w:val="single" w:sz="4" w:space="0" w:color="auto"/>
              <w:left w:val="single" w:sz="4" w:space="0" w:color="auto"/>
              <w:bottom w:val="single" w:sz="4" w:space="0" w:color="auto"/>
              <w:right w:val="single" w:sz="4" w:space="0" w:color="auto"/>
            </w:tcBorders>
            <w:hideMark/>
          </w:tcPr>
          <w:p w:rsidR="00716A85" w:rsidRDefault="00716A85">
            <w:pPr>
              <w:jc w:val="both"/>
              <w:rPr>
                <w:lang w:eastAsia="en-US"/>
              </w:rPr>
            </w:pPr>
            <w:r>
              <w:rPr>
                <w:lang w:eastAsia="en-US"/>
              </w:rPr>
              <w:t>623 695</w:t>
            </w:r>
          </w:p>
        </w:tc>
        <w:tc>
          <w:tcPr>
            <w:tcW w:w="1443" w:type="dxa"/>
            <w:tcBorders>
              <w:top w:val="single" w:sz="4" w:space="0" w:color="auto"/>
              <w:left w:val="single" w:sz="4" w:space="0" w:color="auto"/>
              <w:bottom w:val="single" w:sz="4" w:space="0" w:color="auto"/>
              <w:right w:val="single" w:sz="4" w:space="0" w:color="auto"/>
            </w:tcBorders>
            <w:hideMark/>
          </w:tcPr>
          <w:p w:rsidR="00716A85" w:rsidRDefault="00716A85">
            <w:pPr>
              <w:jc w:val="center"/>
              <w:rPr>
                <w:lang w:eastAsia="en-US"/>
              </w:rPr>
            </w:pPr>
            <w:r>
              <w:rPr>
                <w:lang w:eastAsia="en-US"/>
              </w:rPr>
              <w:t>15 367</w:t>
            </w:r>
          </w:p>
        </w:tc>
        <w:tc>
          <w:tcPr>
            <w:tcW w:w="1276" w:type="dxa"/>
            <w:tcBorders>
              <w:top w:val="single" w:sz="4" w:space="0" w:color="auto"/>
              <w:left w:val="single" w:sz="4" w:space="0" w:color="auto"/>
              <w:bottom w:val="single" w:sz="4" w:space="0" w:color="auto"/>
              <w:right w:val="single" w:sz="4" w:space="0" w:color="auto"/>
            </w:tcBorders>
            <w:hideMark/>
          </w:tcPr>
          <w:p w:rsidR="00716A85" w:rsidRDefault="00716A85">
            <w:pPr>
              <w:jc w:val="both"/>
              <w:rPr>
                <w:lang w:eastAsia="en-US"/>
              </w:rPr>
            </w:pPr>
            <w:r>
              <w:rPr>
                <w:lang w:eastAsia="en-US"/>
              </w:rPr>
              <w:t>639 062</w:t>
            </w:r>
          </w:p>
        </w:tc>
      </w:tr>
      <w:tr w:rsidR="00716A85" w:rsidTr="00716A85">
        <w:tc>
          <w:tcPr>
            <w:tcW w:w="5070" w:type="dxa"/>
            <w:tcBorders>
              <w:top w:val="single" w:sz="4" w:space="0" w:color="auto"/>
              <w:left w:val="single" w:sz="4" w:space="0" w:color="auto"/>
              <w:bottom w:val="single" w:sz="4" w:space="0" w:color="auto"/>
              <w:right w:val="single" w:sz="4" w:space="0" w:color="auto"/>
            </w:tcBorders>
            <w:hideMark/>
          </w:tcPr>
          <w:p w:rsidR="00716A85" w:rsidRDefault="00716A85">
            <w:pPr>
              <w:jc w:val="both"/>
              <w:rPr>
                <w:sz w:val="22"/>
                <w:szCs w:val="22"/>
                <w:lang w:eastAsia="en-US"/>
              </w:rPr>
            </w:pPr>
            <w:r>
              <w:rPr>
                <w:sz w:val="22"/>
                <w:szCs w:val="22"/>
                <w:lang w:eastAsia="en-US"/>
              </w:rPr>
              <w:t>Atlīdzība</w:t>
            </w:r>
          </w:p>
        </w:tc>
        <w:tc>
          <w:tcPr>
            <w:tcW w:w="1390" w:type="dxa"/>
            <w:tcBorders>
              <w:top w:val="single" w:sz="4" w:space="0" w:color="auto"/>
              <w:left w:val="single" w:sz="4" w:space="0" w:color="auto"/>
              <w:bottom w:val="single" w:sz="4" w:space="0" w:color="auto"/>
              <w:right w:val="single" w:sz="4" w:space="0" w:color="auto"/>
            </w:tcBorders>
            <w:hideMark/>
          </w:tcPr>
          <w:p w:rsidR="00716A85" w:rsidRDefault="00716A85">
            <w:pPr>
              <w:jc w:val="both"/>
              <w:rPr>
                <w:lang w:eastAsia="en-US"/>
              </w:rPr>
            </w:pPr>
            <w:r>
              <w:rPr>
                <w:lang w:eastAsia="en-US"/>
              </w:rPr>
              <w:t>151 334</w:t>
            </w:r>
          </w:p>
        </w:tc>
        <w:tc>
          <w:tcPr>
            <w:tcW w:w="1443" w:type="dxa"/>
            <w:tcBorders>
              <w:top w:val="single" w:sz="4" w:space="0" w:color="auto"/>
              <w:left w:val="single" w:sz="4" w:space="0" w:color="auto"/>
              <w:bottom w:val="single" w:sz="4" w:space="0" w:color="auto"/>
              <w:right w:val="single" w:sz="4" w:space="0" w:color="auto"/>
            </w:tcBorders>
            <w:hideMark/>
          </w:tcPr>
          <w:p w:rsidR="00716A85" w:rsidRDefault="00716A85">
            <w:pPr>
              <w:jc w:val="both"/>
              <w:rPr>
                <w:lang w:eastAsia="en-US"/>
              </w:rPr>
            </w:pPr>
            <w:r>
              <w:rPr>
                <w:lang w:eastAsia="en-US"/>
              </w:rPr>
              <w:t>-85 172</w:t>
            </w:r>
          </w:p>
        </w:tc>
        <w:tc>
          <w:tcPr>
            <w:tcW w:w="1276" w:type="dxa"/>
            <w:tcBorders>
              <w:top w:val="single" w:sz="4" w:space="0" w:color="auto"/>
              <w:left w:val="single" w:sz="4" w:space="0" w:color="auto"/>
              <w:bottom w:val="single" w:sz="4" w:space="0" w:color="auto"/>
              <w:right w:val="single" w:sz="4" w:space="0" w:color="auto"/>
            </w:tcBorders>
            <w:hideMark/>
          </w:tcPr>
          <w:p w:rsidR="00716A85" w:rsidRDefault="00716A85">
            <w:pPr>
              <w:jc w:val="both"/>
              <w:rPr>
                <w:lang w:eastAsia="en-US"/>
              </w:rPr>
            </w:pPr>
            <w:r>
              <w:rPr>
                <w:lang w:eastAsia="en-US"/>
              </w:rPr>
              <w:t>66 162</w:t>
            </w:r>
          </w:p>
        </w:tc>
      </w:tr>
      <w:tr w:rsidR="00716A85" w:rsidTr="00716A85">
        <w:tc>
          <w:tcPr>
            <w:tcW w:w="5070" w:type="dxa"/>
            <w:tcBorders>
              <w:top w:val="single" w:sz="4" w:space="0" w:color="auto"/>
              <w:left w:val="single" w:sz="4" w:space="0" w:color="auto"/>
              <w:bottom w:val="single" w:sz="4" w:space="0" w:color="auto"/>
              <w:right w:val="single" w:sz="4" w:space="0" w:color="auto"/>
            </w:tcBorders>
            <w:hideMark/>
          </w:tcPr>
          <w:p w:rsidR="00716A85" w:rsidRDefault="00716A85">
            <w:pPr>
              <w:jc w:val="both"/>
              <w:rPr>
                <w:sz w:val="22"/>
                <w:szCs w:val="22"/>
                <w:lang w:eastAsia="en-US"/>
              </w:rPr>
            </w:pPr>
            <w:r>
              <w:rPr>
                <w:sz w:val="22"/>
                <w:szCs w:val="22"/>
                <w:lang w:eastAsia="en-US"/>
              </w:rPr>
              <w:t xml:space="preserve">        Atalgojums</w:t>
            </w:r>
          </w:p>
        </w:tc>
        <w:tc>
          <w:tcPr>
            <w:tcW w:w="1390" w:type="dxa"/>
            <w:tcBorders>
              <w:top w:val="single" w:sz="4" w:space="0" w:color="auto"/>
              <w:left w:val="single" w:sz="4" w:space="0" w:color="auto"/>
              <w:bottom w:val="single" w:sz="4" w:space="0" w:color="auto"/>
              <w:right w:val="single" w:sz="4" w:space="0" w:color="auto"/>
            </w:tcBorders>
            <w:hideMark/>
          </w:tcPr>
          <w:p w:rsidR="00716A85" w:rsidRDefault="00716A85">
            <w:pPr>
              <w:jc w:val="right"/>
              <w:rPr>
                <w:lang w:eastAsia="en-US"/>
              </w:rPr>
            </w:pPr>
            <w:r>
              <w:rPr>
                <w:lang w:eastAsia="en-US"/>
              </w:rPr>
              <w:t>121 576</w:t>
            </w:r>
          </w:p>
        </w:tc>
        <w:tc>
          <w:tcPr>
            <w:tcW w:w="1443" w:type="dxa"/>
            <w:tcBorders>
              <w:top w:val="single" w:sz="4" w:space="0" w:color="auto"/>
              <w:left w:val="single" w:sz="4" w:space="0" w:color="auto"/>
              <w:bottom w:val="single" w:sz="4" w:space="0" w:color="auto"/>
              <w:right w:val="single" w:sz="4" w:space="0" w:color="auto"/>
            </w:tcBorders>
            <w:hideMark/>
          </w:tcPr>
          <w:p w:rsidR="00716A85" w:rsidRDefault="00716A85">
            <w:pPr>
              <w:jc w:val="right"/>
              <w:rPr>
                <w:lang w:eastAsia="en-US"/>
              </w:rPr>
            </w:pPr>
            <w:r>
              <w:rPr>
                <w:lang w:eastAsia="en-US"/>
              </w:rPr>
              <w:t>-68 712</w:t>
            </w:r>
          </w:p>
        </w:tc>
        <w:tc>
          <w:tcPr>
            <w:tcW w:w="1276" w:type="dxa"/>
            <w:tcBorders>
              <w:top w:val="single" w:sz="4" w:space="0" w:color="auto"/>
              <w:left w:val="single" w:sz="4" w:space="0" w:color="auto"/>
              <w:bottom w:val="single" w:sz="4" w:space="0" w:color="auto"/>
              <w:right w:val="single" w:sz="4" w:space="0" w:color="auto"/>
            </w:tcBorders>
            <w:hideMark/>
          </w:tcPr>
          <w:p w:rsidR="00716A85" w:rsidRDefault="00716A85">
            <w:pPr>
              <w:jc w:val="right"/>
              <w:rPr>
                <w:lang w:eastAsia="en-US"/>
              </w:rPr>
            </w:pPr>
            <w:r>
              <w:rPr>
                <w:lang w:eastAsia="en-US"/>
              </w:rPr>
              <w:t>52 864</w:t>
            </w:r>
          </w:p>
        </w:tc>
      </w:tr>
      <w:tr w:rsidR="00716A85" w:rsidTr="00716A85">
        <w:tc>
          <w:tcPr>
            <w:tcW w:w="5070" w:type="dxa"/>
            <w:tcBorders>
              <w:top w:val="single" w:sz="4" w:space="0" w:color="auto"/>
              <w:left w:val="single" w:sz="4" w:space="0" w:color="auto"/>
              <w:bottom w:val="single" w:sz="4" w:space="0" w:color="auto"/>
              <w:right w:val="single" w:sz="4" w:space="0" w:color="auto"/>
            </w:tcBorders>
            <w:hideMark/>
          </w:tcPr>
          <w:p w:rsidR="00716A85" w:rsidRDefault="00716A85">
            <w:pPr>
              <w:jc w:val="both"/>
              <w:rPr>
                <w:sz w:val="22"/>
                <w:szCs w:val="22"/>
                <w:lang w:eastAsia="en-US"/>
              </w:rPr>
            </w:pPr>
            <w:r>
              <w:rPr>
                <w:sz w:val="22"/>
                <w:szCs w:val="22"/>
                <w:lang w:eastAsia="en-US"/>
              </w:rPr>
              <w:t>Preces un pakalpojumi</w:t>
            </w:r>
          </w:p>
        </w:tc>
        <w:tc>
          <w:tcPr>
            <w:tcW w:w="1390" w:type="dxa"/>
            <w:tcBorders>
              <w:top w:val="single" w:sz="4" w:space="0" w:color="auto"/>
              <w:left w:val="single" w:sz="4" w:space="0" w:color="auto"/>
              <w:bottom w:val="single" w:sz="4" w:space="0" w:color="auto"/>
              <w:right w:val="single" w:sz="4" w:space="0" w:color="auto"/>
            </w:tcBorders>
            <w:hideMark/>
          </w:tcPr>
          <w:p w:rsidR="00716A85" w:rsidRDefault="00716A85">
            <w:pPr>
              <w:jc w:val="both"/>
              <w:rPr>
                <w:lang w:eastAsia="en-US"/>
              </w:rPr>
            </w:pPr>
            <w:r>
              <w:rPr>
                <w:lang w:eastAsia="en-US"/>
              </w:rPr>
              <w:t>472 361</w:t>
            </w:r>
          </w:p>
        </w:tc>
        <w:tc>
          <w:tcPr>
            <w:tcW w:w="1443" w:type="dxa"/>
            <w:tcBorders>
              <w:top w:val="single" w:sz="4" w:space="0" w:color="auto"/>
              <w:left w:val="single" w:sz="4" w:space="0" w:color="auto"/>
              <w:bottom w:val="single" w:sz="4" w:space="0" w:color="auto"/>
              <w:right w:val="single" w:sz="4" w:space="0" w:color="auto"/>
            </w:tcBorders>
            <w:hideMark/>
          </w:tcPr>
          <w:p w:rsidR="00716A85" w:rsidRDefault="00716A85">
            <w:pPr>
              <w:jc w:val="both"/>
              <w:rPr>
                <w:lang w:eastAsia="en-US"/>
              </w:rPr>
            </w:pPr>
            <w:r>
              <w:rPr>
                <w:lang w:eastAsia="en-US"/>
              </w:rPr>
              <w:t>100 539</w:t>
            </w:r>
          </w:p>
        </w:tc>
        <w:tc>
          <w:tcPr>
            <w:tcW w:w="1276" w:type="dxa"/>
            <w:tcBorders>
              <w:top w:val="single" w:sz="4" w:space="0" w:color="auto"/>
              <w:left w:val="single" w:sz="4" w:space="0" w:color="auto"/>
              <w:bottom w:val="single" w:sz="4" w:space="0" w:color="auto"/>
              <w:right w:val="single" w:sz="4" w:space="0" w:color="auto"/>
            </w:tcBorders>
            <w:hideMark/>
          </w:tcPr>
          <w:p w:rsidR="00716A85" w:rsidRDefault="00716A85">
            <w:pPr>
              <w:jc w:val="both"/>
              <w:rPr>
                <w:lang w:eastAsia="en-US"/>
              </w:rPr>
            </w:pPr>
            <w:r>
              <w:rPr>
                <w:lang w:eastAsia="en-US"/>
              </w:rPr>
              <w:t>572 900</w:t>
            </w:r>
          </w:p>
        </w:tc>
      </w:tr>
      <w:tr w:rsidR="00716A85" w:rsidTr="00716A85">
        <w:tc>
          <w:tcPr>
            <w:tcW w:w="5070" w:type="dxa"/>
            <w:tcBorders>
              <w:top w:val="single" w:sz="4" w:space="0" w:color="auto"/>
              <w:left w:val="single" w:sz="4" w:space="0" w:color="auto"/>
              <w:bottom w:val="single" w:sz="4" w:space="0" w:color="auto"/>
              <w:right w:val="single" w:sz="4" w:space="0" w:color="auto"/>
            </w:tcBorders>
            <w:hideMark/>
          </w:tcPr>
          <w:p w:rsidR="00716A85" w:rsidRDefault="00716A85">
            <w:pPr>
              <w:jc w:val="both"/>
              <w:rPr>
                <w:sz w:val="22"/>
                <w:szCs w:val="22"/>
                <w:lang w:eastAsia="en-US"/>
              </w:rPr>
            </w:pPr>
            <w:r>
              <w:rPr>
                <w:b/>
                <w:bCs/>
                <w:sz w:val="22"/>
                <w:szCs w:val="22"/>
                <w:lang w:eastAsia="en-US"/>
              </w:rPr>
              <w:t>Kapitālie izdevumi</w:t>
            </w:r>
          </w:p>
        </w:tc>
        <w:tc>
          <w:tcPr>
            <w:tcW w:w="1390" w:type="dxa"/>
            <w:tcBorders>
              <w:top w:val="single" w:sz="4" w:space="0" w:color="auto"/>
              <w:left w:val="single" w:sz="4" w:space="0" w:color="auto"/>
              <w:bottom w:val="single" w:sz="4" w:space="0" w:color="auto"/>
              <w:right w:val="single" w:sz="4" w:space="0" w:color="auto"/>
            </w:tcBorders>
            <w:hideMark/>
          </w:tcPr>
          <w:p w:rsidR="00716A85" w:rsidRDefault="00716A85">
            <w:pPr>
              <w:jc w:val="both"/>
              <w:rPr>
                <w:b/>
                <w:i/>
                <w:lang w:eastAsia="en-US"/>
              </w:rPr>
            </w:pPr>
            <w:r>
              <w:rPr>
                <w:b/>
                <w:i/>
                <w:lang w:eastAsia="en-US"/>
              </w:rPr>
              <w:t>15 367</w:t>
            </w:r>
          </w:p>
        </w:tc>
        <w:tc>
          <w:tcPr>
            <w:tcW w:w="1443" w:type="dxa"/>
            <w:tcBorders>
              <w:top w:val="single" w:sz="4" w:space="0" w:color="auto"/>
              <w:left w:val="single" w:sz="4" w:space="0" w:color="auto"/>
              <w:bottom w:val="single" w:sz="4" w:space="0" w:color="auto"/>
              <w:right w:val="single" w:sz="4" w:space="0" w:color="auto"/>
            </w:tcBorders>
            <w:hideMark/>
          </w:tcPr>
          <w:p w:rsidR="00716A85" w:rsidRDefault="00716A85">
            <w:pPr>
              <w:jc w:val="both"/>
              <w:rPr>
                <w:b/>
                <w:i/>
                <w:lang w:eastAsia="en-US"/>
              </w:rPr>
            </w:pPr>
            <w:r>
              <w:rPr>
                <w:b/>
                <w:i/>
                <w:lang w:eastAsia="en-US"/>
              </w:rPr>
              <w:t>-15 367</w:t>
            </w:r>
          </w:p>
        </w:tc>
        <w:tc>
          <w:tcPr>
            <w:tcW w:w="1276" w:type="dxa"/>
            <w:tcBorders>
              <w:top w:val="single" w:sz="4" w:space="0" w:color="auto"/>
              <w:left w:val="single" w:sz="4" w:space="0" w:color="auto"/>
              <w:bottom w:val="single" w:sz="4" w:space="0" w:color="auto"/>
              <w:right w:val="single" w:sz="4" w:space="0" w:color="auto"/>
            </w:tcBorders>
            <w:hideMark/>
          </w:tcPr>
          <w:p w:rsidR="00716A85" w:rsidRDefault="00716A85">
            <w:pPr>
              <w:jc w:val="both"/>
              <w:rPr>
                <w:b/>
                <w:i/>
                <w:lang w:eastAsia="en-US"/>
              </w:rPr>
            </w:pPr>
            <w:r>
              <w:rPr>
                <w:b/>
                <w:i/>
                <w:lang w:eastAsia="en-US"/>
              </w:rPr>
              <w:t>0</w:t>
            </w:r>
          </w:p>
        </w:tc>
      </w:tr>
      <w:tr w:rsidR="00716A85" w:rsidTr="00716A85">
        <w:tc>
          <w:tcPr>
            <w:tcW w:w="5070" w:type="dxa"/>
            <w:tcBorders>
              <w:top w:val="single" w:sz="4" w:space="0" w:color="auto"/>
              <w:left w:val="single" w:sz="4" w:space="0" w:color="auto"/>
              <w:bottom w:val="single" w:sz="4" w:space="0" w:color="auto"/>
              <w:right w:val="single" w:sz="4" w:space="0" w:color="auto"/>
            </w:tcBorders>
            <w:hideMark/>
          </w:tcPr>
          <w:p w:rsidR="00716A85" w:rsidRDefault="00716A85">
            <w:pPr>
              <w:jc w:val="both"/>
              <w:rPr>
                <w:sz w:val="22"/>
                <w:szCs w:val="22"/>
                <w:lang w:eastAsia="en-US"/>
              </w:rPr>
            </w:pPr>
            <w:r>
              <w:rPr>
                <w:b/>
                <w:bCs/>
                <w:sz w:val="22"/>
                <w:szCs w:val="22"/>
                <w:lang w:eastAsia="en-US"/>
              </w:rPr>
              <w:t xml:space="preserve">         </w:t>
            </w:r>
            <w:r>
              <w:rPr>
                <w:bCs/>
                <w:sz w:val="22"/>
                <w:szCs w:val="22"/>
                <w:lang w:eastAsia="en-US"/>
              </w:rPr>
              <w:t>Pamatkapitāla veidošana</w:t>
            </w:r>
          </w:p>
        </w:tc>
        <w:tc>
          <w:tcPr>
            <w:tcW w:w="1390" w:type="dxa"/>
            <w:tcBorders>
              <w:top w:val="single" w:sz="4" w:space="0" w:color="auto"/>
              <w:left w:val="single" w:sz="4" w:space="0" w:color="auto"/>
              <w:bottom w:val="single" w:sz="4" w:space="0" w:color="auto"/>
              <w:right w:val="single" w:sz="4" w:space="0" w:color="auto"/>
            </w:tcBorders>
            <w:hideMark/>
          </w:tcPr>
          <w:p w:rsidR="00716A85" w:rsidRDefault="00716A85">
            <w:pPr>
              <w:jc w:val="right"/>
              <w:rPr>
                <w:lang w:eastAsia="en-US"/>
              </w:rPr>
            </w:pPr>
            <w:r>
              <w:rPr>
                <w:lang w:eastAsia="en-US"/>
              </w:rPr>
              <w:t>15 367</w:t>
            </w:r>
          </w:p>
        </w:tc>
        <w:tc>
          <w:tcPr>
            <w:tcW w:w="1443" w:type="dxa"/>
            <w:tcBorders>
              <w:top w:val="single" w:sz="4" w:space="0" w:color="auto"/>
              <w:left w:val="single" w:sz="4" w:space="0" w:color="auto"/>
              <w:bottom w:val="single" w:sz="4" w:space="0" w:color="auto"/>
              <w:right w:val="single" w:sz="4" w:space="0" w:color="auto"/>
            </w:tcBorders>
            <w:hideMark/>
          </w:tcPr>
          <w:p w:rsidR="00716A85" w:rsidRDefault="00716A85">
            <w:pPr>
              <w:jc w:val="right"/>
              <w:rPr>
                <w:lang w:eastAsia="en-US"/>
              </w:rPr>
            </w:pPr>
            <w:r>
              <w:rPr>
                <w:lang w:eastAsia="en-US"/>
              </w:rPr>
              <w:t>-15 367</w:t>
            </w:r>
          </w:p>
        </w:tc>
        <w:tc>
          <w:tcPr>
            <w:tcW w:w="1276" w:type="dxa"/>
            <w:tcBorders>
              <w:top w:val="single" w:sz="4" w:space="0" w:color="auto"/>
              <w:left w:val="single" w:sz="4" w:space="0" w:color="auto"/>
              <w:bottom w:val="single" w:sz="4" w:space="0" w:color="auto"/>
              <w:right w:val="single" w:sz="4" w:space="0" w:color="auto"/>
            </w:tcBorders>
            <w:hideMark/>
          </w:tcPr>
          <w:p w:rsidR="00716A85" w:rsidRDefault="00716A85">
            <w:pPr>
              <w:jc w:val="right"/>
              <w:rPr>
                <w:lang w:eastAsia="en-US"/>
              </w:rPr>
            </w:pPr>
            <w:r>
              <w:rPr>
                <w:lang w:eastAsia="en-US"/>
              </w:rPr>
              <w:t>0</w:t>
            </w:r>
          </w:p>
        </w:tc>
      </w:tr>
    </w:tbl>
    <w:p w:rsidR="00716A85" w:rsidRDefault="00716A85" w:rsidP="00CE1EA7">
      <w:pPr>
        <w:jc w:val="both"/>
        <w:rPr>
          <w:color w:val="000000"/>
          <w:sz w:val="28"/>
          <w:szCs w:val="28"/>
        </w:rPr>
      </w:pPr>
    </w:p>
    <w:p w:rsidR="00131270" w:rsidRPr="00131270" w:rsidRDefault="00131270" w:rsidP="00CE1EA7">
      <w:pPr>
        <w:jc w:val="both"/>
        <w:rPr>
          <w:color w:val="000000"/>
          <w:sz w:val="28"/>
          <w:szCs w:val="28"/>
        </w:rPr>
      </w:pPr>
      <w:r>
        <w:rPr>
          <w:color w:val="000000"/>
          <w:sz w:val="28"/>
          <w:szCs w:val="28"/>
        </w:rPr>
        <w:t xml:space="preserve">   </w:t>
      </w:r>
      <w:r w:rsidR="00716A85">
        <w:rPr>
          <w:color w:val="000000"/>
          <w:sz w:val="28"/>
          <w:szCs w:val="28"/>
        </w:rPr>
        <w:t xml:space="preserve"> Papildus norādāms, ka a</w:t>
      </w:r>
      <w:r w:rsidR="00CE1EA7">
        <w:rPr>
          <w:color w:val="000000"/>
          <w:sz w:val="28"/>
          <w:szCs w:val="28"/>
        </w:rPr>
        <w:t>propriācijas pārdale neietekmēs nākamajiem periodiem noteiktos maksimāli pieļaujamos izdevumu apjomus un nepalielinās iestāžu ilgtermiņa saistību pilnvaru limitus, kā arī neierobežos iespēju sasniegt programmas rezultatīvos rādītājus.</w:t>
      </w:r>
    </w:p>
    <w:p w:rsidR="00CE1EA7" w:rsidRDefault="00B14AF5" w:rsidP="002E0DA2">
      <w:pPr>
        <w:suppressAutoHyphens/>
        <w:jc w:val="both"/>
        <w:rPr>
          <w:rFonts w:asciiTheme="minorHAnsi" w:hAnsiTheme="minorHAnsi" w:cstheme="minorHAnsi"/>
          <w:sz w:val="28"/>
          <w:szCs w:val="28"/>
        </w:rPr>
      </w:pPr>
      <w:r>
        <w:rPr>
          <w:rFonts w:asciiTheme="minorHAnsi" w:hAnsiTheme="minorHAnsi" w:cstheme="minorHAnsi"/>
          <w:sz w:val="28"/>
          <w:szCs w:val="28"/>
        </w:rPr>
        <w:t xml:space="preserve">            S</w:t>
      </w:r>
      <w:r w:rsidR="002E0DA2">
        <w:rPr>
          <w:rFonts w:asciiTheme="minorHAnsi" w:hAnsiTheme="minorHAnsi" w:cstheme="minorHAnsi"/>
          <w:sz w:val="28"/>
          <w:szCs w:val="28"/>
        </w:rPr>
        <w:t>askaņā ar Likuma par budžetu un finanšu vadību 9. panta trīspadsmitās daļas 1. punktu un likuma "Par valsts</w:t>
      </w:r>
      <w:r w:rsidR="002E0DA2">
        <w:rPr>
          <w:sz w:val="28"/>
          <w:szCs w:val="28"/>
        </w:rPr>
        <w:t xml:space="preserve"> budžetu 2014. gadam" 32. un 35.pantu, finanšu ministram ir</w:t>
      </w:r>
      <w:r w:rsidR="004E1E05">
        <w:rPr>
          <w:sz w:val="28"/>
          <w:szCs w:val="28"/>
        </w:rPr>
        <w:t xml:space="preserve"> tiesības </w:t>
      </w:r>
      <w:r w:rsidR="00EA1DA7">
        <w:rPr>
          <w:sz w:val="28"/>
          <w:szCs w:val="28"/>
        </w:rPr>
        <w:t>budžeta resoram gadskārtējā valsts budžeta likumā noteiktās apropriācijas ietvaros pārdalīt apropriāciju starp budžeta izdevumu kodiem atbilstoši ekonomiskajām kategorijām</w:t>
      </w:r>
      <w:r>
        <w:rPr>
          <w:sz w:val="28"/>
          <w:szCs w:val="28"/>
        </w:rPr>
        <w:t>, ja ir pieņemts attiecīgs</w:t>
      </w:r>
      <w:r w:rsidRPr="00B14AF5">
        <w:rPr>
          <w:rFonts w:asciiTheme="minorHAnsi" w:hAnsiTheme="minorHAnsi" w:cstheme="minorHAnsi"/>
          <w:sz w:val="28"/>
          <w:szCs w:val="28"/>
        </w:rPr>
        <w:t xml:space="preserve"> </w:t>
      </w:r>
      <w:r>
        <w:rPr>
          <w:rFonts w:asciiTheme="minorHAnsi" w:hAnsiTheme="minorHAnsi" w:cstheme="minorHAnsi"/>
          <w:sz w:val="28"/>
          <w:szCs w:val="28"/>
        </w:rPr>
        <w:t>Ministru kabineta lēmums.</w:t>
      </w:r>
      <w:r>
        <w:rPr>
          <w:sz w:val="28"/>
          <w:szCs w:val="28"/>
        </w:rPr>
        <w:t xml:space="preserve"> </w:t>
      </w:r>
    </w:p>
    <w:p w:rsidR="00B14AF5" w:rsidRPr="00B14AF5" w:rsidRDefault="00CE1EA7" w:rsidP="00B14AF5">
      <w:pPr>
        <w:jc w:val="both"/>
        <w:rPr>
          <w:sz w:val="28"/>
        </w:rPr>
      </w:pPr>
      <w:r>
        <w:rPr>
          <w:rFonts w:asciiTheme="minorHAnsi" w:hAnsiTheme="minorHAnsi" w:cstheme="minorHAnsi"/>
          <w:sz w:val="28"/>
          <w:szCs w:val="28"/>
        </w:rPr>
        <w:t xml:space="preserve">     </w:t>
      </w:r>
      <w:r w:rsidR="00A64CFD">
        <w:rPr>
          <w:rFonts w:asciiTheme="minorHAnsi" w:hAnsiTheme="minorHAnsi" w:cstheme="minorHAnsi"/>
          <w:sz w:val="28"/>
          <w:szCs w:val="28"/>
        </w:rPr>
        <w:t xml:space="preserve">      </w:t>
      </w:r>
      <w:r w:rsidRPr="00CE1EA7">
        <w:rPr>
          <w:rFonts w:asciiTheme="minorHAnsi" w:hAnsiTheme="minorHAnsi" w:cstheme="minorHAnsi"/>
          <w:sz w:val="28"/>
          <w:szCs w:val="28"/>
        </w:rPr>
        <w:t>Ņemot vērā minēto</w:t>
      </w:r>
      <w:r w:rsidR="00EA1DA7">
        <w:rPr>
          <w:rFonts w:asciiTheme="minorHAnsi" w:hAnsiTheme="minorHAnsi" w:cstheme="minorHAnsi"/>
          <w:sz w:val="28"/>
          <w:szCs w:val="28"/>
        </w:rPr>
        <w:t>,</w:t>
      </w:r>
      <w:r w:rsidR="00B14AF5">
        <w:rPr>
          <w:rFonts w:asciiTheme="minorHAnsi" w:hAnsiTheme="minorHAnsi" w:cstheme="minorHAnsi"/>
          <w:sz w:val="28"/>
          <w:szCs w:val="28"/>
        </w:rPr>
        <w:t xml:space="preserve"> lūdzam Ministru kabinetam atbalstīt iesniegto priekšlikumu par </w:t>
      </w:r>
      <w:r w:rsidR="00B14AF5" w:rsidRPr="00B14AF5">
        <w:rPr>
          <w:sz w:val="28"/>
          <w:szCs w:val="28"/>
        </w:rPr>
        <w:t xml:space="preserve">Valsts administrācijas skolas valsts pamatbudžeta programmas 96.00.00.” Latvijas prezidentūras Eiropas Savienības Padomē nodrošināšana </w:t>
      </w:r>
      <w:r w:rsidR="00B14AF5">
        <w:rPr>
          <w:sz w:val="28"/>
          <w:szCs w:val="28"/>
        </w:rPr>
        <w:t xml:space="preserve">2015.gadā” ietvaros </w:t>
      </w:r>
      <w:r w:rsidR="00B14AF5" w:rsidRPr="00B14AF5">
        <w:rPr>
          <w:sz w:val="28"/>
          <w:szCs w:val="28"/>
        </w:rPr>
        <w:t>apropriācijas pārdali starp budžeta izdevumu kodiem atbilstoši ekonomiskajām kategorijām</w:t>
      </w:r>
      <w:r w:rsidR="00B14AF5">
        <w:rPr>
          <w:sz w:val="28"/>
          <w:szCs w:val="28"/>
        </w:rPr>
        <w:t>.</w:t>
      </w:r>
    </w:p>
    <w:p w:rsidR="00B502D4" w:rsidRDefault="00B14AF5" w:rsidP="00CE1EA7">
      <w:pPr>
        <w:suppressAutoHyphens/>
        <w:jc w:val="both"/>
        <w:rPr>
          <w:b/>
          <w:color w:val="000000" w:themeColor="text1"/>
          <w:sz w:val="28"/>
          <w:szCs w:val="28"/>
          <w:lang w:eastAsia="ar-SA"/>
        </w:rPr>
      </w:pPr>
      <w:r>
        <w:rPr>
          <w:rFonts w:asciiTheme="minorHAnsi" w:hAnsiTheme="minorHAnsi" w:cstheme="minorHAnsi"/>
          <w:sz w:val="28"/>
          <w:szCs w:val="28"/>
        </w:rPr>
        <w:t xml:space="preserve">           </w:t>
      </w:r>
    </w:p>
    <w:p w:rsidR="00B502D4" w:rsidRPr="00216335" w:rsidRDefault="00B502D4" w:rsidP="00216335">
      <w:pPr>
        <w:suppressAutoHyphens/>
        <w:ind w:firstLine="720"/>
        <w:jc w:val="center"/>
        <w:rPr>
          <w:b/>
          <w:color w:val="000000" w:themeColor="text1"/>
          <w:sz w:val="28"/>
          <w:szCs w:val="28"/>
          <w:lang w:eastAsia="ar-SA"/>
        </w:rPr>
      </w:pPr>
    </w:p>
    <w:p w:rsidR="00723E95" w:rsidRDefault="008654D2" w:rsidP="00EA1DA7">
      <w:pPr>
        <w:tabs>
          <w:tab w:val="left" w:pos="851"/>
        </w:tabs>
        <w:suppressAutoHyphens/>
        <w:jc w:val="both"/>
        <w:rPr>
          <w:sz w:val="28"/>
          <w:szCs w:val="28"/>
        </w:rPr>
      </w:pPr>
      <w:r>
        <w:rPr>
          <w:rFonts w:asciiTheme="minorHAnsi" w:hAnsiTheme="minorHAnsi" w:cstheme="minorHAnsi"/>
          <w:sz w:val="28"/>
          <w:szCs w:val="28"/>
        </w:rPr>
        <w:t xml:space="preserve">           </w:t>
      </w:r>
      <w:r w:rsidR="00B14AF5">
        <w:rPr>
          <w:rFonts w:asciiTheme="minorHAnsi" w:hAnsiTheme="minorHAnsi" w:cstheme="minorHAnsi"/>
          <w:sz w:val="28"/>
          <w:szCs w:val="28"/>
        </w:rPr>
        <w:t xml:space="preserve"> </w:t>
      </w:r>
    </w:p>
    <w:p w:rsidR="00723E95" w:rsidRDefault="00B14AF5" w:rsidP="00CA4AFE">
      <w:pPr>
        <w:jc w:val="both"/>
        <w:rPr>
          <w:sz w:val="28"/>
          <w:szCs w:val="28"/>
        </w:rPr>
      </w:pPr>
      <w:r>
        <w:rPr>
          <w:sz w:val="28"/>
          <w:szCs w:val="28"/>
        </w:rPr>
        <w:t xml:space="preserve">  Ministru prezident</w:t>
      </w:r>
      <w:r w:rsidR="00D57BE6">
        <w:rPr>
          <w:sz w:val="28"/>
          <w:szCs w:val="28"/>
        </w:rPr>
        <w:t>e</w:t>
      </w:r>
      <w:r w:rsidR="00D57BE6">
        <w:rPr>
          <w:sz w:val="28"/>
          <w:szCs w:val="28"/>
        </w:rPr>
        <w:tab/>
      </w:r>
      <w:r w:rsidR="00D57BE6">
        <w:rPr>
          <w:sz w:val="28"/>
          <w:szCs w:val="28"/>
        </w:rPr>
        <w:tab/>
      </w:r>
      <w:r w:rsidR="00D57BE6">
        <w:rPr>
          <w:sz w:val="28"/>
          <w:szCs w:val="28"/>
        </w:rPr>
        <w:tab/>
      </w:r>
      <w:r w:rsidR="00D57BE6">
        <w:rPr>
          <w:sz w:val="28"/>
          <w:szCs w:val="28"/>
        </w:rPr>
        <w:tab/>
      </w:r>
      <w:r w:rsidR="00D57BE6">
        <w:rPr>
          <w:sz w:val="28"/>
          <w:szCs w:val="28"/>
        </w:rPr>
        <w:tab/>
      </w:r>
      <w:r w:rsidR="00D57BE6">
        <w:rPr>
          <w:sz w:val="28"/>
          <w:szCs w:val="28"/>
        </w:rPr>
        <w:tab/>
      </w:r>
      <w:r>
        <w:rPr>
          <w:sz w:val="28"/>
          <w:szCs w:val="28"/>
        </w:rPr>
        <w:t xml:space="preserve"> Laimdota Straujuma </w:t>
      </w:r>
    </w:p>
    <w:p w:rsidR="00B14AF5" w:rsidRDefault="00B14AF5" w:rsidP="00CA4AFE">
      <w:pPr>
        <w:jc w:val="both"/>
        <w:rPr>
          <w:sz w:val="28"/>
          <w:szCs w:val="28"/>
        </w:rPr>
      </w:pPr>
      <w:r>
        <w:rPr>
          <w:sz w:val="28"/>
          <w:szCs w:val="28"/>
        </w:rPr>
        <w:t xml:space="preserve"> </w:t>
      </w:r>
    </w:p>
    <w:p w:rsidR="00B14AF5" w:rsidRDefault="00B14AF5" w:rsidP="00CA4AFE">
      <w:pPr>
        <w:jc w:val="both"/>
        <w:rPr>
          <w:sz w:val="28"/>
          <w:szCs w:val="28"/>
        </w:rPr>
      </w:pPr>
    </w:p>
    <w:p w:rsidR="00D57BE6" w:rsidRDefault="00B14AF5" w:rsidP="00CA4AFE">
      <w:pPr>
        <w:jc w:val="both"/>
        <w:rPr>
          <w:sz w:val="28"/>
          <w:szCs w:val="28"/>
        </w:rPr>
      </w:pPr>
      <w:r>
        <w:rPr>
          <w:sz w:val="28"/>
          <w:szCs w:val="28"/>
        </w:rPr>
        <w:t xml:space="preserve">Vizē: </w:t>
      </w:r>
    </w:p>
    <w:p w:rsidR="00B14AF5" w:rsidRDefault="00B14AF5" w:rsidP="00CA4AFE">
      <w:pPr>
        <w:jc w:val="both"/>
        <w:rPr>
          <w:sz w:val="28"/>
          <w:szCs w:val="28"/>
        </w:rPr>
      </w:pPr>
      <w:r>
        <w:rPr>
          <w:sz w:val="28"/>
          <w:szCs w:val="28"/>
        </w:rPr>
        <w:t>Valsts kancelejas dire</w:t>
      </w:r>
      <w:r w:rsidR="00D57BE6">
        <w:rPr>
          <w:sz w:val="28"/>
          <w:szCs w:val="28"/>
        </w:rPr>
        <w:t xml:space="preserve">ktore </w:t>
      </w:r>
      <w:r w:rsidR="00D57BE6">
        <w:rPr>
          <w:sz w:val="28"/>
          <w:szCs w:val="28"/>
        </w:rPr>
        <w:tab/>
      </w:r>
      <w:r w:rsidR="00D57BE6">
        <w:rPr>
          <w:sz w:val="28"/>
          <w:szCs w:val="28"/>
        </w:rPr>
        <w:tab/>
      </w:r>
      <w:r w:rsidR="00D57BE6">
        <w:rPr>
          <w:sz w:val="28"/>
          <w:szCs w:val="28"/>
        </w:rPr>
        <w:tab/>
      </w:r>
      <w:r w:rsidR="00D57BE6">
        <w:rPr>
          <w:sz w:val="28"/>
          <w:szCs w:val="28"/>
        </w:rPr>
        <w:tab/>
      </w:r>
      <w:r>
        <w:rPr>
          <w:sz w:val="28"/>
          <w:szCs w:val="28"/>
        </w:rPr>
        <w:t xml:space="preserve"> </w:t>
      </w:r>
      <w:r w:rsidR="00D57BE6">
        <w:rPr>
          <w:sz w:val="28"/>
          <w:szCs w:val="28"/>
        </w:rPr>
        <w:tab/>
      </w:r>
      <w:r w:rsidR="0048108A">
        <w:rPr>
          <w:sz w:val="28"/>
          <w:szCs w:val="28"/>
        </w:rPr>
        <w:t xml:space="preserve"> </w:t>
      </w:r>
      <w:bookmarkStart w:id="0" w:name="_GoBack"/>
      <w:bookmarkEnd w:id="0"/>
      <w:r>
        <w:rPr>
          <w:sz w:val="28"/>
          <w:szCs w:val="28"/>
        </w:rPr>
        <w:t>Elita Dreimane</w:t>
      </w:r>
    </w:p>
    <w:p w:rsidR="00723E95" w:rsidRDefault="00723E95" w:rsidP="00CA4AFE">
      <w:pPr>
        <w:jc w:val="both"/>
        <w:rPr>
          <w:sz w:val="28"/>
          <w:szCs w:val="28"/>
        </w:rPr>
      </w:pPr>
    </w:p>
    <w:p w:rsidR="00786004" w:rsidRPr="00A81F23" w:rsidRDefault="00A81F23" w:rsidP="00786004">
      <w:pPr>
        <w:jc w:val="both"/>
        <w:rPr>
          <w:strike/>
          <w:sz w:val="28"/>
          <w:szCs w:val="28"/>
        </w:rPr>
      </w:pPr>
      <w:r>
        <w:rPr>
          <w:sz w:val="28"/>
          <w:szCs w:val="28"/>
        </w:rPr>
        <w:t xml:space="preserve"> </w:t>
      </w:r>
    </w:p>
    <w:p w:rsidR="00B14AF5" w:rsidRDefault="00B14AF5" w:rsidP="00B14AF5">
      <w:pPr>
        <w:jc w:val="both"/>
        <w:rPr>
          <w:sz w:val="20"/>
          <w:szCs w:val="20"/>
        </w:rPr>
      </w:pPr>
      <w:r w:rsidRPr="00B14AF5">
        <w:rPr>
          <w:sz w:val="20"/>
          <w:szCs w:val="20"/>
        </w:rPr>
        <w:t xml:space="preserve"> .03.2014. </w:t>
      </w:r>
    </w:p>
    <w:p w:rsidR="00B14AF5" w:rsidRDefault="00B14AF5" w:rsidP="00B14AF5">
      <w:pPr>
        <w:jc w:val="both"/>
        <w:rPr>
          <w:sz w:val="20"/>
          <w:szCs w:val="20"/>
        </w:rPr>
      </w:pPr>
      <w:r w:rsidRPr="00B14AF5">
        <w:rPr>
          <w:sz w:val="20"/>
          <w:szCs w:val="20"/>
        </w:rPr>
        <w:t xml:space="preserve">O.Sorokovaja </w:t>
      </w:r>
    </w:p>
    <w:p w:rsidR="00B14AF5" w:rsidRPr="00B14AF5" w:rsidRDefault="00B14AF5" w:rsidP="00B14AF5">
      <w:pPr>
        <w:jc w:val="both"/>
        <w:rPr>
          <w:sz w:val="20"/>
          <w:szCs w:val="20"/>
        </w:rPr>
      </w:pPr>
      <w:r>
        <w:rPr>
          <w:sz w:val="20"/>
          <w:szCs w:val="20"/>
        </w:rPr>
        <w:t>67082916</w:t>
      </w:r>
      <w:r w:rsidR="00970DD2">
        <w:rPr>
          <w:sz w:val="20"/>
          <w:szCs w:val="20"/>
        </w:rPr>
        <w:t>,</w:t>
      </w:r>
      <w:proofErr w:type="gramStart"/>
      <w:r w:rsidR="00970DD2">
        <w:rPr>
          <w:sz w:val="20"/>
          <w:szCs w:val="20"/>
        </w:rPr>
        <w:t xml:space="preserve">  </w:t>
      </w:r>
      <w:proofErr w:type="gramEnd"/>
      <w:r w:rsidR="00970DD2">
        <w:rPr>
          <w:sz w:val="20"/>
          <w:szCs w:val="20"/>
        </w:rPr>
        <w:t>Olga.Sorokovaja@mk.gov.lv</w:t>
      </w:r>
    </w:p>
    <w:sectPr w:rsidR="00B14AF5" w:rsidRPr="00B14AF5" w:rsidSect="00716A85">
      <w:pgSz w:w="11906" w:h="16838" w:code="9"/>
      <w:pgMar w:top="1134" w:right="1134" w:bottom="1134" w:left="1701"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1B" w:rsidRDefault="00E06F1B" w:rsidP="005057A4">
      <w:r>
        <w:separator/>
      </w:r>
    </w:p>
  </w:endnote>
  <w:endnote w:type="continuationSeparator" w:id="0">
    <w:p w:rsidR="00E06F1B" w:rsidRDefault="00E06F1B" w:rsidP="0050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1B" w:rsidRDefault="00E06F1B" w:rsidP="005057A4">
      <w:r>
        <w:separator/>
      </w:r>
    </w:p>
  </w:footnote>
  <w:footnote w:type="continuationSeparator" w:id="0">
    <w:p w:rsidR="00E06F1B" w:rsidRDefault="00E06F1B" w:rsidP="00505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10A51"/>
    <w:multiLevelType w:val="hybridMultilevel"/>
    <w:tmpl w:val="8B0CE324"/>
    <w:lvl w:ilvl="0" w:tplc="EE7C9B9A">
      <w:start w:val="200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4B"/>
    <w:rsid w:val="00043013"/>
    <w:rsid w:val="00125F6D"/>
    <w:rsid w:val="00131270"/>
    <w:rsid w:val="001966F3"/>
    <w:rsid w:val="0020727B"/>
    <w:rsid w:val="00216335"/>
    <w:rsid w:val="002A3B88"/>
    <w:rsid w:val="002C594D"/>
    <w:rsid w:val="002E0DA2"/>
    <w:rsid w:val="002F27C8"/>
    <w:rsid w:val="003356DD"/>
    <w:rsid w:val="0038453C"/>
    <w:rsid w:val="003D0C1A"/>
    <w:rsid w:val="003F3F79"/>
    <w:rsid w:val="0048108A"/>
    <w:rsid w:val="004839A4"/>
    <w:rsid w:val="004A1233"/>
    <w:rsid w:val="004E1E05"/>
    <w:rsid w:val="005057A4"/>
    <w:rsid w:val="00524344"/>
    <w:rsid w:val="00557491"/>
    <w:rsid w:val="005808C6"/>
    <w:rsid w:val="005D0731"/>
    <w:rsid w:val="006013E9"/>
    <w:rsid w:val="00651104"/>
    <w:rsid w:val="00652A6D"/>
    <w:rsid w:val="00653B69"/>
    <w:rsid w:val="00661B51"/>
    <w:rsid w:val="00680C02"/>
    <w:rsid w:val="00694D90"/>
    <w:rsid w:val="006971AC"/>
    <w:rsid w:val="00716A85"/>
    <w:rsid w:val="00723E95"/>
    <w:rsid w:val="00786004"/>
    <w:rsid w:val="00787DDA"/>
    <w:rsid w:val="007F7F6A"/>
    <w:rsid w:val="008654D2"/>
    <w:rsid w:val="00955885"/>
    <w:rsid w:val="00970DD2"/>
    <w:rsid w:val="009A03ED"/>
    <w:rsid w:val="009C0031"/>
    <w:rsid w:val="00A64CFD"/>
    <w:rsid w:val="00A81F23"/>
    <w:rsid w:val="00AB3E54"/>
    <w:rsid w:val="00B01707"/>
    <w:rsid w:val="00B14AF5"/>
    <w:rsid w:val="00B34527"/>
    <w:rsid w:val="00B40859"/>
    <w:rsid w:val="00B429E2"/>
    <w:rsid w:val="00B502D4"/>
    <w:rsid w:val="00B5710D"/>
    <w:rsid w:val="00B72BE9"/>
    <w:rsid w:val="00BA262C"/>
    <w:rsid w:val="00BE01E3"/>
    <w:rsid w:val="00BE5287"/>
    <w:rsid w:val="00BF7C16"/>
    <w:rsid w:val="00C6279B"/>
    <w:rsid w:val="00CA4AFE"/>
    <w:rsid w:val="00CD2544"/>
    <w:rsid w:val="00CE1EA7"/>
    <w:rsid w:val="00CF4255"/>
    <w:rsid w:val="00D57BE6"/>
    <w:rsid w:val="00D8053C"/>
    <w:rsid w:val="00D95FFA"/>
    <w:rsid w:val="00DD0217"/>
    <w:rsid w:val="00DF0C57"/>
    <w:rsid w:val="00E06F1B"/>
    <w:rsid w:val="00E92207"/>
    <w:rsid w:val="00EA1DA7"/>
    <w:rsid w:val="00F1004B"/>
    <w:rsid w:val="00FF28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4B"/>
    <w:rPr>
      <w:rFonts w:ascii="Times New Roman" w:eastAsia="Times New Roman" w:hAnsi="Times New Roman"/>
      <w:sz w:val="24"/>
      <w:szCs w:val="24"/>
      <w:lang w:eastAsia="lv-LV"/>
    </w:rPr>
  </w:style>
  <w:style w:type="paragraph" w:styleId="Heading1">
    <w:name w:val="heading 1"/>
    <w:basedOn w:val="Normal"/>
    <w:next w:val="Normal"/>
    <w:link w:val="Heading1Char"/>
    <w:uiPriority w:val="9"/>
    <w:qFormat/>
    <w:rsid w:val="002A3B88"/>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iPriority w:val="9"/>
    <w:semiHidden/>
    <w:unhideWhenUsed/>
    <w:qFormat/>
    <w:rsid w:val="002A3B88"/>
    <w:pPr>
      <w:keepNext/>
      <w:spacing w:before="240" w:after="60"/>
      <w:outlineLvl w:val="1"/>
    </w:pPr>
    <w:rPr>
      <w:rFonts w:asciiTheme="majorHAnsi" w:eastAsiaTheme="majorEastAsia" w:hAnsiTheme="majorHAnsi"/>
      <w:b/>
      <w:bCs/>
      <w:i/>
      <w:iCs/>
      <w:sz w:val="28"/>
      <w:szCs w:val="28"/>
      <w:lang w:eastAsia="en-US"/>
    </w:rPr>
  </w:style>
  <w:style w:type="paragraph" w:styleId="Heading3">
    <w:name w:val="heading 3"/>
    <w:basedOn w:val="Normal"/>
    <w:next w:val="Normal"/>
    <w:link w:val="Heading3Char"/>
    <w:uiPriority w:val="9"/>
    <w:semiHidden/>
    <w:unhideWhenUsed/>
    <w:qFormat/>
    <w:rsid w:val="002A3B88"/>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2A3B88"/>
    <w:pPr>
      <w:keepNext/>
      <w:spacing w:before="240" w:after="60"/>
      <w:outlineLvl w:val="3"/>
    </w:pPr>
    <w:rPr>
      <w:rFonts w:asciiTheme="minorHAnsi" w:eastAsiaTheme="minorHAnsi" w:hAnsiTheme="minorHAnsi"/>
      <w:b/>
      <w:bCs/>
      <w:sz w:val="28"/>
      <w:szCs w:val="28"/>
      <w:lang w:eastAsia="en-US"/>
    </w:rPr>
  </w:style>
  <w:style w:type="paragraph" w:styleId="Heading5">
    <w:name w:val="heading 5"/>
    <w:basedOn w:val="Normal"/>
    <w:next w:val="Normal"/>
    <w:link w:val="Heading5Char"/>
    <w:uiPriority w:val="9"/>
    <w:semiHidden/>
    <w:unhideWhenUsed/>
    <w:qFormat/>
    <w:rsid w:val="002A3B88"/>
    <w:pPr>
      <w:spacing w:before="240" w:after="60"/>
      <w:outlineLvl w:val="4"/>
    </w:pPr>
    <w:rPr>
      <w:rFonts w:asciiTheme="minorHAnsi" w:eastAsia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2A3B88"/>
    <w:pPr>
      <w:spacing w:before="240" w:after="60"/>
      <w:outlineLvl w:val="5"/>
    </w:pPr>
    <w:rPr>
      <w:rFonts w:asciiTheme="minorHAnsi" w:eastAsiaTheme="minorHAnsi" w:hAnsiTheme="minorHAnsi"/>
      <w:b/>
      <w:bCs/>
      <w:sz w:val="22"/>
      <w:szCs w:val="22"/>
      <w:lang w:eastAsia="en-US"/>
    </w:rPr>
  </w:style>
  <w:style w:type="paragraph" w:styleId="Heading7">
    <w:name w:val="heading 7"/>
    <w:basedOn w:val="Normal"/>
    <w:next w:val="Normal"/>
    <w:link w:val="Heading7Char"/>
    <w:uiPriority w:val="9"/>
    <w:semiHidden/>
    <w:unhideWhenUsed/>
    <w:qFormat/>
    <w:rsid w:val="002A3B88"/>
    <w:pPr>
      <w:spacing w:before="240" w:after="60"/>
      <w:outlineLvl w:val="6"/>
    </w:pPr>
    <w:rPr>
      <w:rFonts w:asciiTheme="minorHAnsi" w:eastAsiaTheme="minorHAnsi" w:hAnsiTheme="minorHAnsi"/>
      <w:lang w:eastAsia="en-US"/>
    </w:rPr>
  </w:style>
  <w:style w:type="paragraph" w:styleId="Heading8">
    <w:name w:val="heading 8"/>
    <w:basedOn w:val="Normal"/>
    <w:next w:val="Normal"/>
    <w:link w:val="Heading8Char"/>
    <w:uiPriority w:val="9"/>
    <w:semiHidden/>
    <w:unhideWhenUsed/>
    <w:qFormat/>
    <w:rsid w:val="002A3B88"/>
    <w:pPr>
      <w:spacing w:before="240" w:after="60"/>
      <w:outlineLvl w:val="7"/>
    </w:pPr>
    <w:rPr>
      <w:rFonts w:asciiTheme="minorHAnsi" w:eastAsiaTheme="minorHAnsi" w:hAnsiTheme="minorHAnsi"/>
      <w:i/>
      <w:iCs/>
      <w:lang w:eastAsia="en-US"/>
    </w:rPr>
  </w:style>
  <w:style w:type="paragraph" w:styleId="Heading9">
    <w:name w:val="heading 9"/>
    <w:basedOn w:val="Normal"/>
    <w:next w:val="Normal"/>
    <w:link w:val="Heading9Char"/>
    <w:uiPriority w:val="9"/>
    <w:semiHidden/>
    <w:unhideWhenUsed/>
    <w:qFormat/>
    <w:rsid w:val="002A3B88"/>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B8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3B8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3B8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A3B88"/>
    <w:rPr>
      <w:b/>
      <w:bCs/>
      <w:sz w:val="28"/>
      <w:szCs w:val="28"/>
    </w:rPr>
  </w:style>
  <w:style w:type="character" w:customStyle="1" w:styleId="Heading5Char">
    <w:name w:val="Heading 5 Char"/>
    <w:basedOn w:val="DefaultParagraphFont"/>
    <w:link w:val="Heading5"/>
    <w:uiPriority w:val="9"/>
    <w:semiHidden/>
    <w:rsid w:val="002A3B88"/>
    <w:rPr>
      <w:b/>
      <w:bCs/>
      <w:i/>
      <w:iCs/>
      <w:sz w:val="26"/>
      <w:szCs w:val="26"/>
    </w:rPr>
  </w:style>
  <w:style w:type="character" w:customStyle="1" w:styleId="Heading6Char">
    <w:name w:val="Heading 6 Char"/>
    <w:basedOn w:val="DefaultParagraphFont"/>
    <w:link w:val="Heading6"/>
    <w:uiPriority w:val="9"/>
    <w:semiHidden/>
    <w:rsid w:val="002A3B88"/>
    <w:rPr>
      <w:b/>
      <w:bCs/>
    </w:rPr>
  </w:style>
  <w:style w:type="character" w:customStyle="1" w:styleId="Heading7Char">
    <w:name w:val="Heading 7 Char"/>
    <w:basedOn w:val="DefaultParagraphFont"/>
    <w:link w:val="Heading7"/>
    <w:uiPriority w:val="9"/>
    <w:semiHidden/>
    <w:rsid w:val="002A3B88"/>
    <w:rPr>
      <w:sz w:val="24"/>
      <w:szCs w:val="24"/>
    </w:rPr>
  </w:style>
  <w:style w:type="character" w:customStyle="1" w:styleId="Heading8Char">
    <w:name w:val="Heading 8 Char"/>
    <w:basedOn w:val="DefaultParagraphFont"/>
    <w:link w:val="Heading8"/>
    <w:uiPriority w:val="9"/>
    <w:semiHidden/>
    <w:rsid w:val="002A3B88"/>
    <w:rPr>
      <w:i/>
      <w:iCs/>
      <w:sz w:val="24"/>
      <w:szCs w:val="24"/>
    </w:rPr>
  </w:style>
  <w:style w:type="character" w:customStyle="1" w:styleId="Heading9Char">
    <w:name w:val="Heading 9 Char"/>
    <w:basedOn w:val="DefaultParagraphFont"/>
    <w:link w:val="Heading9"/>
    <w:uiPriority w:val="9"/>
    <w:semiHidden/>
    <w:rsid w:val="002A3B88"/>
    <w:rPr>
      <w:rFonts w:asciiTheme="majorHAnsi" w:eastAsiaTheme="majorEastAsia" w:hAnsiTheme="majorHAnsi"/>
    </w:rPr>
  </w:style>
  <w:style w:type="paragraph" w:styleId="Title">
    <w:name w:val="Title"/>
    <w:basedOn w:val="Normal"/>
    <w:next w:val="Normal"/>
    <w:link w:val="TitleChar"/>
    <w:qFormat/>
    <w:rsid w:val="002A3B88"/>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rsid w:val="002A3B8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3B88"/>
    <w:pPr>
      <w:spacing w:after="60"/>
      <w:jc w:val="center"/>
      <w:outlineLvl w:val="1"/>
    </w:pPr>
    <w:rPr>
      <w:rFonts w:asciiTheme="majorHAnsi" w:eastAsiaTheme="majorEastAsia" w:hAnsiTheme="majorHAnsi"/>
      <w:lang w:eastAsia="en-US"/>
    </w:rPr>
  </w:style>
  <w:style w:type="character" w:customStyle="1" w:styleId="SubtitleChar">
    <w:name w:val="Subtitle Char"/>
    <w:basedOn w:val="DefaultParagraphFont"/>
    <w:link w:val="Subtitle"/>
    <w:uiPriority w:val="11"/>
    <w:rsid w:val="002A3B88"/>
    <w:rPr>
      <w:rFonts w:asciiTheme="majorHAnsi" w:eastAsiaTheme="majorEastAsia" w:hAnsiTheme="majorHAnsi"/>
      <w:sz w:val="24"/>
      <w:szCs w:val="24"/>
    </w:rPr>
  </w:style>
  <w:style w:type="character" w:styleId="Strong">
    <w:name w:val="Strong"/>
    <w:basedOn w:val="DefaultParagraphFont"/>
    <w:uiPriority w:val="22"/>
    <w:qFormat/>
    <w:rsid w:val="002A3B88"/>
    <w:rPr>
      <w:b/>
      <w:bCs/>
    </w:rPr>
  </w:style>
  <w:style w:type="character" w:styleId="Emphasis">
    <w:name w:val="Emphasis"/>
    <w:basedOn w:val="DefaultParagraphFont"/>
    <w:uiPriority w:val="20"/>
    <w:qFormat/>
    <w:rsid w:val="002A3B88"/>
    <w:rPr>
      <w:rFonts w:asciiTheme="minorHAnsi" w:hAnsiTheme="minorHAnsi"/>
      <w:b/>
      <w:i/>
      <w:iCs/>
    </w:rPr>
  </w:style>
  <w:style w:type="paragraph" w:styleId="NoSpacing">
    <w:name w:val="No Spacing"/>
    <w:basedOn w:val="Normal"/>
    <w:uiPriority w:val="1"/>
    <w:qFormat/>
    <w:rsid w:val="002A3B88"/>
    <w:rPr>
      <w:rFonts w:asciiTheme="minorHAnsi" w:eastAsiaTheme="minorHAnsi" w:hAnsiTheme="minorHAnsi"/>
      <w:szCs w:val="32"/>
      <w:lang w:eastAsia="en-US"/>
    </w:rPr>
  </w:style>
  <w:style w:type="paragraph" w:styleId="ListParagraph">
    <w:name w:val="List Paragraph"/>
    <w:basedOn w:val="Normal"/>
    <w:uiPriority w:val="34"/>
    <w:qFormat/>
    <w:rsid w:val="002A3B88"/>
    <w:pPr>
      <w:ind w:left="720"/>
      <w:contextualSpacing/>
    </w:pPr>
    <w:rPr>
      <w:rFonts w:asciiTheme="minorHAnsi" w:eastAsiaTheme="minorHAnsi" w:hAnsiTheme="minorHAnsi"/>
      <w:lang w:eastAsia="en-US"/>
    </w:rPr>
  </w:style>
  <w:style w:type="paragraph" w:styleId="Quote">
    <w:name w:val="Quote"/>
    <w:basedOn w:val="Normal"/>
    <w:next w:val="Normal"/>
    <w:link w:val="QuoteChar"/>
    <w:uiPriority w:val="29"/>
    <w:qFormat/>
    <w:rsid w:val="002A3B88"/>
    <w:rPr>
      <w:rFonts w:asciiTheme="minorHAnsi" w:eastAsiaTheme="minorHAnsi" w:hAnsiTheme="minorHAnsi"/>
      <w:i/>
      <w:lang w:eastAsia="en-US"/>
    </w:rPr>
  </w:style>
  <w:style w:type="character" w:customStyle="1" w:styleId="QuoteChar">
    <w:name w:val="Quote Char"/>
    <w:basedOn w:val="DefaultParagraphFont"/>
    <w:link w:val="Quote"/>
    <w:uiPriority w:val="29"/>
    <w:rsid w:val="002A3B88"/>
    <w:rPr>
      <w:i/>
      <w:sz w:val="24"/>
      <w:szCs w:val="24"/>
    </w:rPr>
  </w:style>
  <w:style w:type="paragraph" w:styleId="IntenseQuote">
    <w:name w:val="Intense Quote"/>
    <w:basedOn w:val="Normal"/>
    <w:next w:val="Normal"/>
    <w:link w:val="IntenseQuoteChar"/>
    <w:uiPriority w:val="30"/>
    <w:qFormat/>
    <w:rsid w:val="002A3B88"/>
    <w:pPr>
      <w:ind w:left="720" w:right="720"/>
    </w:pPr>
    <w:rPr>
      <w:rFonts w:asciiTheme="minorHAnsi" w:eastAsiaTheme="minorHAnsi" w:hAnsiTheme="minorHAnsi"/>
      <w:b/>
      <w:i/>
      <w:szCs w:val="22"/>
      <w:lang w:eastAsia="en-US"/>
    </w:rPr>
  </w:style>
  <w:style w:type="character" w:customStyle="1" w:styleId="IntenseQuoteChar">
    <w:name w:val="Intense Quote Char"/>
    <w:basedOn w:val="DefaultParagraphFont"/>
    <w:link w:val="IntenseQuote"/>
    <w:uiPriority w:val="30"/>
    <w:rsid w:val="002A3B88"/>
    <w:rPr>
      <w:b/>
      <w:i/>
      <w:sz w:val="24"/>
    </w:rPr>
  </w:style>
  <w:style w:type="character" w:styleId="SubtleEmphasis">
    <w:name w:val="Subtle Emphasis"/>
    <w:uiPriority w:val="19"/>
    <w:qFormat/>
    <w:rsid w:val="002A3B88"/>
    <w:rPr>
      <w:i/>
      <w:color w:val="5A5A5A" w:themeColor="text1" w:themeTint="A5"/>
    </w:rPr>
  </w:style>
  <w:style w:type="character" w:styleId="IntenseEmphasis">
    <w:name w:val="Intense Emphasis"/>
    <w:basedOn w:val="DefaultParagraphFont"/>
    <w:uiPriority w:val="21"/>
    <w:qFormat/>
    <w:rsid w:val="002A3B88"/>
    <w:rPr>
      <w:b/>
      <w:i/>
      <w:sz w:val="24"/>
      <w:szCs w:val="24"/>
      <w:u w:val="single"/>
    </w:rPr>
  </w:style>
  <w:style w:type="character" w:styleId="SubtleReference">
    <w:name w:val="Subtle Reference"/>
    <w:basedOn w:val="DefaultParagraphFont"/>
    <w:uiPriority w:val="31"/>
    <w:qFormat/>
    <w:rsid w:val="002A3B88"/>
    <w:rPr>
      <w:sz w:val="24"/>
      <w:szCs w:val="24"/>
      <w:u w:val="single"/>
    </w:rPr>
  </w:style>
  <w:style w:type="character" w:styleId="IntenseReference">
    <w:name w:val="Intense Reference"/>
    <w:basedOn w:val="DefaultParagraphFont"/>
    <w:uiPriority w:val="32"/>
    <w:qFormat/>
    <w:rsid w:val="002A3B88"/>
    <w:rPr>
      <w:b/>
      <w:sz w:val="24"/>
      <w:u w:val="single"/>
    </w:rPr>
  </w:style>
  <w:style w:type="character" w:styleId="BookTitle">
    <w:name w:val="Book Title"/>
    <w:basedOn w:val="DefaultParagraphFont"/>
    <w:uiPriority w:val="33"/>
    <w:qFormat/>
    <w:rsid w:val="002A3B8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3B88"/>
    <w:pPr>
      <w:outlineLvl w:val="9"/>
    </w:pPr>
  </w:style>
  <w:style w:type="table" w:styleId="TableGrid">
    <w:name w:val="Table Grid"/>
    <w:basedOn w:val="TableNormal"/>
    <w:uiPriority w:val="59"/>
    <w:rsid w:val="00601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Char,Fußnote Char"/>
    <w:basedOn w:val="DefaultParagraphFont"/>
    <w:link w:val="FootnoteText"/>
    <w:semiHidden/>
    <w:locked/>
    <w:rsid w:val="005057A4"/>
    <w:rPr>
      <w:rFonts w:ascii="Times New Roman" w:hAnsi="Times New Roman"/>
    </w:rPr>
  </w:style>
  <w:style w:type="paragraph" w:styleId="FootnoteText">
    <w:name w:val="footnote text"/>
    <w:aliases w:val="Footnote,Fußnote"/>
    <w:basedOn w:val="Normal"/>
    <w:link w:val="FootnoteTextChar"/>
    <w:semiHidden/>
    <w:unhideWhenUsed/>
    <w:rsid w:val="005057A4"/>
    <w:pPr>
      <w:widowControl w:val="0"/>
      <w:adjustRightInd w:val="0"/>
      <w:spacing w:after="200" w:line="360" w:lineRule="atLeast"/>
      <w:jc w:val="both"/>
    </w:pPr>
    <w:rPr>
      <w:rFonts w:eastAsiaTheme="minorHAnsi"/>
      <w:sz w:val="22"/>
      <w:szCs w:val="22"/>
      <w:lang w:eastAsia="en-US"/>
    </w:rPr>
  </w:style>
  <w:style w:type="character" w:customStyle="1" w:styleId="FootnoteTextChar1">
    <w:name w:val="Footnote Text Char1"/>
    <w:basedOn w:val="DefaultParagraphFont"/>
    <w:uiPriority w:val="99"/>
    <w:semiHidden/>
    <w:rsid w:val="005057A4"/>
    <w:rPr>
      <w:rFonts w:ascii="Times New Roman" w:eastAsia="Times New Roman" w:hAnsi="Times New Roman"/>
      <w:sz w:val="20"/>
      <w:szCs w:val="20"/>
      <w:lang w:eastAsia="lv-LV"/>
    </w:rPr>
  </w:style>
  <w:style w:type="character" w:styleId="FootnoteReference">
    <w:name w:val="footnote reference"/>
    <w:aliases w:val="Footnote Reference Number,Footnote symbol"/>
    <w:semiHidden/>
    <w:unhideWhenUsed/>
    <w:rsid w:val="005057A4"/>
    <w:rPr>
      <w:vertAlign w:val="superscript"/>
    </w:rPr>
  </w:style>
  <w:style w:type="paragraph" w:styleId="BodyTextIndent">
    <w:name w:val="Body Text Indent"/>
    <w:basedOn w:val="Normal"/>
    <w:link w:val="BodyTextIndentChar"/>
    <w:semiHidden/>
    <w:unhideWhenUsed/>
    <w:rsid w:val="005057A4"/>
    <w:pPr>
      <w:spacing w:after="200" w:line="276" w:lineRule="auto"/>
      <w:ind w:firstLine="380"/>
      <w:jc w:val="both"/>
    </w:pPr>
    <w:rPr>
      <w:b/>
      <w:i/>
      <w:szCs w:val="20"/>
      <w:lang w:val="x-none" w:eastAsia="en-US"/>
    </w:rPr>
  </w:style>
  <w:style w:type="character" w:customStyle="1" w:styleId="BodyTextIndentChar">
    <w:name w:val="Body Text Indent Char"/>
    <w:basedOn w:val="DefaultParagraphFont"/>
    <w:link w:val="BodyTextIndent"/>
    <w:semiHidden/>
    <w:rsid w:val="005057A4"/>
    <w:rPr>
      <w:rFonts w:ascii="Times New Roman" w:eastAsia="Times New Roman" w:hAnsi="Times New Roman"/>
      <w:b/>
      <w:i/>
      <w:sz w:val="24"/>
      <w:szCs w:val="20"/>
      <w:lang w:val="x-none"/>
    </w:rPr>
  </w:style>
  <w:style w:type="paragraph" w:styleId="BalloonText">
    <w:name w:val="Balloon Text"/>
    <w:basedOn w:val="Normal"/>
    <w:link w:val="BalloonTextChar"/>
    <w:uiPriority w:val="99"/>
    <w:semiHidden/>
    <w:unhideWhenUsed/>
    <w:rsid w:val="00652A6D"/>
    <w:rPr>
      <w:rFonts w:ascii="Tahoma" w:hAnsi="Tahoma" w:cs="Tahoma"/>
      <w:sz w:val="16"/>
      <w:szCs w:val="16"/>
    </w:rPr>
  </w:style>
  <w:style w:type="character" w:customStyle="1" w:styleId="BalloonTextChar">
    <w:name w:val="Balloon Text Char"/>
    <w:basedOn w:val="DefaultParagraphFont"/>
    <w:link w:val="BalloonText"/>
    <w:uiPriority w:val="99"/>
    <w:semiHidden/>
    <w:rsid w:val="00652A6D"/>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4B"/>
    <w:rPr>
      <w:rFonts w:ascii="Times New Roman" w:eastAsia="Times New Roman" w:hAnsi="Times New Roman"/>
      <w:sz w:val="24"/>
      <w:szCs w:val="24"/>
      <w:lang w:eastAsia="lv-LV"/>
    </w:rPr>
  </w:style>
  <w:style w:type="paragraph" w:styleId="Heading1">
    <w:name w:val="heading 1"/>
    <w:basedOn w:val="Normal"/>
    <w:next w:val="Normal"/>
    <w:link w:val="Heading1Char"/>
    <w:uiPriority w:val="9"/>
    <w:qFormat/>
    <w:rsid w:val="002A3B88"/>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iPriority w:val="9"/>
    <w:semiHidden/>
    <w:unhideWhenUsed/>
    <w:qFormat/>
    <w:rsid w:val="002A3B88"/>
    <w:pPr>
      <w:keepNext/>
      <w:spacing w:before="240" w:after="60"/>
      <w:outlineLvl w:val="1"/>
    </w:pPr>
    <w:rPr>
      <w:rFonts w:asciiTheme="majorHAnsi" w:eastAsiaTheme="majorEastAsia" w:hAnsiTheme="majorHAnsi"/>
      <w:b/>
      <w:bCs/>
      <w:i/>
      <w:iCs/>
      <w:sz w:val="28"/>
      <w:szCs w:val="28"/>
      <w:lang w:eastAsia="en-US"/>
    </w:rPr>
  </w:style>
  <w:style w:type="paragraph" w:styleId="Heading3">
    <w:name w:val="heading 3"/>
    <w:basedOn w:val="Normal"/>
    <w:next w:val="Normal"/>
    <w:link w:val="Heading3Char"/>
    <w:uiPriority w:val="9"/>
    <w:semiHidden/>
    <w:unhideWhenUsed/>
    <w:qFormat/>
    <w:rsid w:val="002A3B88"/>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2A3B88"/>
    <w:pPr>
      <w:keepNext/>
      <w:spacing w:before="240" w:after="60"/>
      <w:outlineLvl w:val="3"/>
    </w:pPr>
    <w:rPr>
      <w:rFonts w:asciiTheme="minorHAnsi" w:eastAsiaTheme="minorHAnsi" w:hAnsiTheme="minorHAnsi"/>
      <w:b/>
      <w:bCs/>
      <w:sz w:val="28"/>
      <w:szCs w:val="28"/>
      <w:lang w:eastAsia="en-US"/>
    </w:rPr>
  </w:style>
  <w:style w:type="paragraph" w:styleId="Heading5">
    <w:name w:val="heading 5"/>
    <w:basedOn w:val="Normal"/>
    <w:next w:val="Normal"/>
    <w:link w:val="Heading5Char"/>
    <w:uiPriority w:val="9"/>
    <w:semiHidden/>
    <w:unhideWhenUsed/>
    <w:qFormat/>
    <w:rsid w:val="002A3B88"/>
    <w:pPr>
      <w:spacing w:before="240" w:after="60"/>
      <w:outlineLvl w:val="4"/>
    </w:pPr>
    <w:rPr>
      <w:rFonts w:asciiTheme="minorHAnsi" w:eastAsia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2A3B88"/>
    <w:pPr>
      <w:spacing w:before="240" w:after="60"/>
      <w:outlineLvl w:val="5"/>
    </w:pPr>
    <w:rPr>
      <w:rFonts w:asciiTheme="minorHAnsi" w:eastAsiaTheme="minorHAnsi" w:hAnsiTheme="minorHAnsi"/>
      <w:b/>
      <w:bCs/>
      <w:sz w:val="22"/>
      <w:szCs w:val="22"/>
      <w:lang w:eastAsia="en-US"/>
    </w:rPr>
  </w:style>
  <w:style w:type="paragraph" w:styleId="Heading7">
    <w:name w:val="heading 7"/>
    <w:basedOn w:val="Normal"/>
    <w:next w:val="Normal"/>
    <w:link w:val="Heading7Char"/>
    <w:uiPriority w:val="9"/>
    <w:semiHidden/>
    <w:unhideWhenUsed/>
    <w:qFormat/>
    <w:rsid w:val="002A3B88"/>
    <w:pPr>
      <w:spacing w:before="240" w:after="60"/>
      <w:outlineLvl w:val="6"/>
    </w:pPr>
    <w:rPr>
      <w:rFonts w:asciiTheme="minorHAnsi" w:eastAsiaTheme="minorHAnsi" w:hAnsiTheme="minorHAnsi"/>
      <w:lang w:eastAsia="en-US"/>
    </w:rPr>
  </w:style>
  <w:style w:type="paragraph" w:styleId="Heading8">
    <w:name w:val="heading 8"/>
    <w:basedOn w:val="Normal"/>
    <w:next w:val="Normal"/>
    <w:link w:val="Heading8Char"/>
    <w:uiPriority w:val="9"/>
    <w:semiHidden/>
    <w:unhideWhenUsed/>
    <w:qFormat/>
    <w:rsid w:val="002A3B88"/>
    <w:pPr>
      <w:spacing w:before="240" w:after="60"/>
      <w:outlineLvl w:val="7"/>
    </w:pPr>
    <w:rPr>
      <w:rFonts w:asciiTheme="minorHAnsi" w:eastAsiaTheme="minorHAnsi" w:hAnsiTheme="minorHAnsi"/>
      <w:i/>
      <w:iCs/>
      <w:lang w:eastAsia="en-US"/>
    </w:rPr>
  </w:style>
  <w:style w:type="paragraph" w:styleId="Heading9">
    <w:name w:val="heading 9"/>
    <w:basedOn w:val="Normal"/>
    <w:next w:val="Normal"/>
    <w:link w:val="Heading9Char"/>
    <w:uiPriority w:val="9"/>
    <w:semiHidden/>
    <w:unhideWhenUsed/>
    <w:qFormat/>
    <w:rsid w:val="002A3B88"/>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B8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3B8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3B8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A3B88"/>
    <w:rPr>
      <w:b/>
      <w:bCs/>
      <w:sz w:val="28"/>
      <w:szCs w:val="28"/>
    </w:rPr>
  </w:style>
  <w:style w:type="character" w:customStyle="1" w:styleId="Heading5Char">
    <w:name w:val="Heading 5 Char"/>
    <w:basedOn w:val="DefaultParagraphFont"/>
    <w:link w:val="Heading5"/>
    <w:uiPriority w:val="9"/>
    <w:semiHidden/>
    <w:rsid w:val="002A3B88"/>
    <w:rPr>
      <w:b/>
      <w:bCs/>
      <w:i/>
      <w:iCs/>
      <w:sz w:val="26"/>
      <w:szCs w:val="26"/>
    </w:rPr>
  </w:style>
  <w:style w:type="character" w:customStyle="1" w:styleId="Heading6Char">
    <w:name w:val="Heading 6 Char"/>
    <w:basedOn w:val="DefaultParagraphFont"/>
    <w:link w:val="Heading6"/>
    <w:uiPriority w:val="9"/>
    <w:semiHidden/>
    <w:rsid w:val="002A3B88"/>
    <w:rPr>
      <w:b/>
      <w:bCs/>
    </w:rPr>
  </w:style>
  <w:style w:type="character" w:customStyle="1" w:styleId="Heading7Char">
    <w:name w:val="Heading 7 Char"/>
    <w:basedOn w:val="DefaultParagraphFont"/>
    <w:link w:val="Heading7"/>
    <w:uiPriority w:val="9"/>
    <w:semiHidden/>
    <w:rsid w:val="002A3B88"/>
    <w:rPr>
      <w:sz w:val="24"/>
      <w:szCs w:val="24"/>
    </w:rPr>
  </w:style>
  <w:style w:type="character" w:customStyle="1" w:styleId="Heading8Char">
    <w:name w:val="Heading 8 Char"/>
    <w:basedOn w:val="DefaultParagraphFont"/>
    <w:link w:val="Heading8"/>
    <w:uiPriority w:val="9"/>
    <w:semiHidden/>
    <w:rsid w:val="002A3B88"/>
    <w:rPr>
      <w:i/>
      <w:iCs/>
      <w:sz w:val="24"/>
      <w:szCs w:val="24"/>
    </w:rPr>
  </w:style>
  <w:style w:type="character" w:customStyle="1" w:styleId="Heading9Char">
    <w:name w:val="Heading 9 Char"/>
    <w:basedOn w:val="DefaultParagraphFont"/>
    <w:link w:val="Heading9"/>
    <w:uiPriority w:val="9"/>
    <w:semiHidden/>
    <w:rsid w:val="002A3B88"/>
    <w:rPr>
      <w:rFonts w:asciiTheme="majorHAnsi" w:eastAsiaTheme="majorEastAsia" w:hAnsiTheme="majorHAnsi"/>
    </w:rPr>
  </w:style>
  <w:style w:type="paragraph" w:styleId="Title">
    <w:name w:val="Title"/>
    <w:basedOn w:val="Normal"/>
    <w:next w:val="Normal"/>
    <w:link w:val="TitleChar"/>
    <w:qFormat/>
    <w:rsid w:val="002A3B88"/>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rsid w:val="002A3B8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3B88"/>
    <w:pPr>
      <w:spacing w:after="60"/>
      <w:jc w:val="center"/>
      <w:outlineLvl w:val="1"/>
    </w:pPr>
    <w:rPr>
      <w:rFonts w:asciiTheme="majorHAnsi" w:eastAsiaTheme="majorEastAsia" w:hAnsiTheme="majorHAnsi"/>
      <w:lang w:eastAsia="en-US"/>
    </w:rPr>
  </w:style>
  <w:style w:type="character" w:customStyle="1" w:styleId="SubtitleChar">
    <w:name w:val="Subtitle Char"/>
    <w:basedOn w:val="DefaultParagraphFont"/>
    <w:link w:val="Subtitle"/>
    <w:uiPriority w:val="11"/>
    <w:rsid w:val="002A3B88"/>
    <w:rPr>
      <w:rFonts w:asciiTheme="majorHAnsi" w:eastAsiaTheme="majorEastAsia" w:hAnsiTheme="majorHAnsi"/>
      <w:sz w:val="24"/>
      <w:szCs w:val="24"/>
    </w:rPr>
  </w:style>
  <w:style w:type="character" w:styleId="Strong">
    <w:name w:val="Strong"/>
    <w:basedOn w:val="DefaultParagraphFont"/>
    <w:uiPriority w:val="22"/>
    <w:qFormat/>
    <w:rsid w:val="002A3B88"/>
    <w:rPr>
      <w:b/>
      <w:bCs/>
    </w:rPr>
  </w:style>
  <w:style w:type="character" w:styleId="Emphasis">
    <w:name w:val="Emphasis"/>
    <w:basedOn w:val="DefaultParagraphFont"/>
    <w:uiPriority w:val="20"/>
    <w:qFormat/>
    <w:rsid w:val="002A3B88"/>
    <w:rPr>
      <w:rFonts w:asciiTheme="minorHAnsi" w:hAnsiTheme="minorHAnsi"/>
      <w:b/>
      <w:i/>
      <w:iCs/>
    </w:rPr>
  </w:style>
  <w:style w:type="paragraph" w:styleId="NoSpacing">
    <w:name w:val="No Spacing"/>
    <w:basedOn w:val="Normal"/>
    <w:uiPriority w:val="1"/>
    <w:qFormat/>
    <w:rsid w:val="002A3B88"/>
    <w:rPr>
      <w:rFonts w:asciiTheme="minorHAnsi" w:eastAsiaTheme="minorHAnsi" w:hAnsiTheme="minorHAnsi"/>
      <w:szCs w:val="32"/>
      <w:lang w:eastAsia="en-US"/>
    </w:rPr>
  </w:style>
  <w:style w:type="paragraph" w:styleId="ListParagraph">
    <w:name w:val="List Paragraph"/>
    <w:basedOn w:val="Normal"/>
    <w:uiPriority w:val="34"/>
    <w:qFormat/>
    <w:rsid w:val="002A3B88"/>
    <w:pPr>
      <w:ind w:left="720"/>
      <w:contextualSpacing/>
    </w:pPr>
    <w:rPr>
      <w:rFonts w:asciiTheme="minorHAnsi" w:eastAsiaTheme="minorHAnsi" w:hAnsiTheme="minorHAnsi"/>
      <w:lang w:eastAsia="en-US"/>
    </w:rPr>
  </w:style>
  <w:style w:type="paragraph" w:styleId="Quote">
    <w:name w:val="Quote"/>
    <w:basedOn w:val="Normal"/>
    <w:next w:val="Normal"/>
    <w:link w:val="QuoteChar"/>
    <w:uiPriority w:val="29"/>
    <w:qFormat/>
    <w:rsid w:val="002A3B88"/>
    <w:rPr>
      <w:rFonts w:asciiTheme="minorHAnsi" w:eastAsiaTheme="minorHAnsi" w:hAnsiTheme="minorHAnsi"/>
      <w:i/>
      <w:lang w:eastAsia="en-US"/>
    </w:rPr>
  </w:style>
  <w:style w:type="character" w:customStyle="1" w:styleId="QuoteChar">
    <w:name w:val="Quote Char"/>
    <w:basedOn w:val="DefaultParagraphFont"/>
    <w:link w:val="Quote"/>
    <w:uiPriority w:val="29"/>
    <w:rsid w:val="002A3B88"/>
    <w:rPr>
      <w:i/>
      <w:sz w:val="24"/>
      <w:szCs w:val="24"/>
    </w:rPr>
  </w:style>
  <w:style w:type="paragraph" w:styleId="IntenseQuote">
    <w:name w:val="Intense Quote"/>
    <w:basedOn w:val="Normal"/>
    <w:next w:val="Normal"/>
    <w:link w:val="IntenseQuoteChar"/>
    <w:uiPriority w:val="30"/>
    <w:qFormat/>
    <w:rsid w:val="002A3B88"/>
    <w:pPr>
      <w:ind w:left="720" w:right="720"/>
    </w:pPr>
    <w:rPr>
      <w:rFonts w:asciiTheme="minorHAnsi" w:eastAsiaTheme="minorHAnsi" w:hAnsiTheme="minorHAnsi"/>
      <w:b/>
      <w:i/>
      <w:szCs w:val="22"/>
      <w:lang w:eastAsia="en-US"/>
    </w:rPr>
  </w:style>
  <w:style w:type="character" w:customStyle="1" w:styleId="IntenseQuoteChar">
    <w:name w:val="Intense Quote Char"/>
    <w:basedOn w:val="DefaultParagraphFont"/>
    <w:link w:val="IntenseQuote"/>
    <w:uiPriority w:val="30"/>
    <w:rsid w:val="002A3B88"/>
    <w:rPr>
      <w:b/>
      <w:i/>
      <w:sz w:val="24"/>
    </w:rPr>
  </w:style>
  <w:style w:type="character" w:styleId="SubtleEmphasis">
    <w:name w:val="Subtle Emphasis"/>
    <w:uiPriority w:val="19"/>
    <w:qFormat/>
    <w:rsid w:val="002A3B88"/>
    <w:rPr>
      <w:i/>
      <w:color w:val="5A5A5A" w:themeColor="text1" w:themeTint="A5"/>
    </w:rPr>
  </w:style>
  <w:style w:type="character" w:styleId="IntenseEmphasis">
    <w:name w:val="Intense Emphasis"/>
    <w:basedOn w:val="DefaultParagraphFont"/>
    <w:uiPriority w:val="21"/>
    <w:qFormat/>
    <w:rsid w:val="002A3B88"/>
    <w:rPr>
      <w:b/>
      <w:i/>
      <w:sz w:val="24"/>
      <w:szCs w:val="24"/>
      <w:u w:val="single"/>
    </w:rPr>
  </w:style>
  <w:style w:type="character" w:styleId="SubtleReference">
    <w:name w:val="Subtle Reference"/>
    <w:basedOn w:val="DefaultParagraphFont"/>
    <w:uiPriority w:val="31"/>
    <w:qFormat/>
    <w:rsid w:val="002A3B88"/>
    <w:rPr>
      <w:sz w:val="24"/>
      <w:szCs w:val="24"/>
      <w:u w:val="single"/>
    </w:rPr>
  </w:style>
  <w:style w:type="character" w:styleId="IntenseReference">
    <w:name w:val="Intense Reference"/>
    <w:basedOn w:val="DefaultParagraphFont"/>
    <w:uiPriority w:val="32"/>
    <w:qFormat/>
    <w:rsid w:val="002A3B88"/>
    <w:rPr>
      <w:b/>
      <w:sz w:val="24"/>
      <w:u w:val="single"/>
    </w:rPr>
  </w:style>
  <w:style w:type="character" w:styleId="BookTitle">
    <w:name w:val="Book Title"/>
    <w:basedOn w:val="DefaultParagraphFont"/>
    <w:uiPriority w:val="33"/>
    <w:qFormat/>
    <w:rsid w:val="002A3B8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3B88"/>
    <w:pPr>
      <w:outlineLvl w:val="9"/>
    </w:pPr>
  </w:style>
  <w:style w:type="table" w:styleId="TableGrid">
    <w:name w:val="Table Grid"/>
    <w:basedOn w:val="TableNormal"/>
    <w:uiPriority w:val="59"/>
    <w:rsid w:val="00601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Char,Fußnote Char"/>
    <w:basedOn w:val="DefaultParagraphFont"/>
    <w:link w:val="FootnoteText"/>
    <w:semiHidden/>
    <w:locked/>
    <w:rsid w:val="005057A4"/>
    <w:rPr>
      <w:rFonts w:ascii="Times New Roman" w:hAnsi="Times New Roman"/>
    </w:rPr>
  </w:style>
  <w:style w:type="paragraph" w:styleId="FootnoteText">
    <w:name w:val="footnote text"/>
    <w:aliases w:val="Footnote,Fußnote"/>
    <w:basedOn w:val="Normal"/>
    <w:link w:val="FootnoteTextChar"/>
    <w:semiHidden/>
    <w:unhideWhenUsed/>
    <w:rsid w:val="005057A4"/>
    <w:pPr>
      <w:widowControl w:val="0"/>
      <w:adjustRightInd w:val="0"/>
      <w:spacing w:after="200" w:line="360" w:lineRule="atLeast"/>
      <w:jc w:val="both"/>
    </w:pPr>
    <w:rPr>
      <w:rFonts w:eastAsiaTheme="minorHAnsi"/>
      <w:sz w:val="22"/>
      <w:szCs w:val="22"/>
      <w:lang w:eastAsia="en-US"/>
    </w:rPr>
  </w:style>
  <w:style w:type="character" w:customStyle="1" w:styleId="FootnoteTextChar1">
    <w:name w:val="Footnote Text Char1"/>
    <w:basedOn w:val="DefaultParagraphFont"/>
    <w:uiPriority w:val="99"/>
    <w:semiHidden/>
    <w:rsid w:val="005057A4"/>
    <w:rPr>
      <w:rFonts w:ascii="Times New Roman" w:eastAsia="Times New Roman" w:hAnsi="Times New Roman"/>
      <w:sz w:val="20"/>
      <w:szCs w:val="20"/>
      <w:lang w:eastAsia="lv-LV"/>
    </w:rPr>
  </w:style>
  <w:style w:type="character" w:styleId="FootnoteReference">
    <w:name w:val="footnote reference"/>
    <w:aliases w:val="Footnote Reference Number,Footnote symbol"/>
    <w:semiHidden/>
    <w:unhideWhenUsed/>
    <w:rsid w:val="005057A4"/>
    <w:rPr>
      <w:vertAlign w:val="superscript"/>
    </w:rPr>
  </w:style>
  <w:style w:type="paragraph" w:styleId="BodyTextIndent">
    <w:name w:val="Body Text Indent"/>
    <w:basedOn w:val="Normal"/>
    <w:link w:val="BodyTextIndentChar"/>
    <w:semiHidden/>
    <w:unhideWhenUsed/>
    <w:rsid w:val="005057A4"/>
    <w:pPr>
      <w:spacing w:after="200" w:line="276" w:lineRule="auto"/>
      <w:ind w:firstLine="380"/>
      <w:jc w:val="both"/>
    </w:pPr>
    <w:rPr>
      <w:b/>
      <w:i/>
      <w:szCs w:val="20"/>
      <w:lang w:val="x-none" w:eastAsia="en-US"/>
    </w:rPr>
  </w:style>
  <w:style w:type="character" w:customStyle="1" w:styleId="BodyTextIndentChar">
    <w:name w:val="Body Text Indent Char"/>
    <w:basedOn w:val="DefaultParagraphFont"/>
    <w:link w:val="BodyTextIndent"/>
    <w:semiHidden/>
    <w:rsid w:val="005057A4"/>
    <w:rPr>
      <w:rFonts w:ascii="Times New Roman" w:eastAsia="Times New Roman" w:hAnsi="Times New Roman"/>
      <w:b/>
      <w:i/>
      <w:sz w:val="24"/>
      <w:szCs w:val="20"/>
      <w:lang w:val="x-none"/>
    </w:rPr>
  </w:style>
  <w:style w:type="paragraph" w:styleId="BalloonText">
    <w:name w:val="Balloon Text"/>
    <w:basedOn w:val="Normal"/>
    <w:link w:val="BalloonTextChar"/>
    <w:uiPriority w:val="99"/>
    <w:semiHidden/>
    <w:unhideWhenUsed/>
    <w:rsid w:val="00652A6D"/>
    <w:rPr>
      <w:rFonts w:ascii="Tahoma" w:hAnsi="Tahoma" w:cs="Tahoma"/>
      <w:sz w:val="16"/>
      <w:szCs w:val="16"/>
    </w:rPr>
  </w:style>
  <w:style w:type="character" w:customStyle="1" w:styleId="BalloonTextChar">
    <w:name w:val="Balloon Text Char"/>
    <w:basedOn w:val="DefaultParagraphFont"/>
    <w:link w:val="BalloonText"/>
    <w:uiPriority w:val="99"/>
    <w:semiHidden/>
    <w:rsid w:val="00652A6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6890">
      <w:bodyDiv w:val="1"/>
      <w:marLeft w:val="0"/>
      <w:marRight w:val="0"/>
      <w:marTop w:val="0"/>
      <w:marBottom w:val="0"/>
      <w:divBdr>
        <w:top w:val="none" w:sz="0" w:space="0" w:color="auto"/>
        <w:left w:val="none" w:sz="0" w:space="0" w:color="auto"/>
        <w:bottom w:val="none" w:sz="0" w:space="0" w:color="auto"/>
        <w:right w:val="none" w:sz="0" w:space="0" w:color="auto"/>
      </w:divBdr>
    </w:div>
    <w:div w:id="167453923">
      <w:bodyDiv w:val="1"/>
      <w:marLeft w:val="0"/>
      <w:marRight w:val="0"/>
      <w:marTop w:val="0"/>
      <w:marBottom w:val="0"/>
      <w:divBdr>
        <w:top w:val="none" w:sz="0" w:space="0" w:color="auto"/>
        <w:left w:val="none" w:sz="0" w:space="0" w:color="auto"/>
        <w:bottom w:val="none" w:sz="0" w:space="0" w:color="auto"/>
        <w:right w:val="none" w:sz="0" w:space="0" w:color="auto"/>
      </w:divBdr>
    </w:div>
    <w:div w:id="263734686">
      <w:bodyDiv w:val="1"/>
      <w:marLeft w:val="0"/>
      <w:marRight w:val="0"/>
      <w:marTop w:val="0"/>
      <w:marBottom w:val="0"/>
      <w:divBdr>
        <w:top w:val="none" w:sz="0" w:space="0" w:color="auto"/>
        <w:left w:val="none" w:sz="0" w:space="0" w:color="auto"/>
        <w:bottom w:val="none" w:sz="0" w:space="0" w:color="auto"/>
        <w:right w:val="none" w:sz="0" w:space="0" w:color="auto"/>
      </w:divBdr>
    </w:div>
    <w:div w:id="273824754">
      <w:bodyDiv w:val="1"/>
      <w:marLeft w:val="0"/>
      <w:marRight w:val="0"/>
      <w:marTop w:val="0"/>
      <w:marBottom w:val="0"/>
      <w:divBdr>
        <w:top w:val="none" w:sz="0" w:space="0" w:color="auto"/>
        <w:left w:val="none" w:sz="0" w:space="0" w:color="auto"/>
        <w:bottom w:val="none" w:sz="0" w:space="0" w:color="auto"/>
        <w:right w:val="none" w:sz="0" w:space="0" w:color="auto"/>
      </w:divBdr>
    </w:div>
    <w:div w:id="373771862">
      <w:bodyDiv w:val="1"/>
      <w:marLeft w:val="0"/>
      <w:marRight w:val="0"/>
      <w:marTop w:val="0"/>
      <w:marBottom w:val="0"/>
      <w:divBdr>
        <w:top w:val="none" w:sz="0" w:space="0" w:color="auto"/>
        <w:left w:val="none" w:sz="0" w:space="0" w:color="auto"/>
        <w:bottom w:val="none" w:sz="0" w:space="0" w:color="auto"/>
        <w:right w:val="none" w:sz="0" w:space="0" w:color="auto"/>
      </w:divBdr>
    </w:div>
    <w:div w:id="447352740">
      <w:bodyDiv w:val="1"/>
      <w:marLeft w:val="0"/>
      <w:marRight w:val="0"/>
      <w:marTop w:val="0"/>
      <w:marBottom w:val="0"/>
      <w:divBdr>
        <w:top w:val="none" w:sz="0" w:space="0" w:color="auto"/>
        <w:left w:val="none" w:sz="0" w:space="0" w:color="auto"/>
        <w:bottom w:val="none" w:sz="0" w:space="0" w:color="auto"/>
        <w:right w:val="none" w:sz="0" w:space="0" w:color="auto"/>
      </w:divBdr>
    </w:div>
    <w:div w:id="657734024">
      <w:bodyDiv w:val="1"/>
      <w:marLeft w:val="0"/>
      <w:marRight w:val="0"/>
      <w:marTop w:val="0"/>
      <w:marBottom w:val="0"/>
      <w:divBdr>
        <w:top w:val="none" w:sz="0" w:space="0" w:color="auto"/>
        <w:left w:val="none" w:sz="0" w:space="0" w:color="auto"/>
        <w:bottom w:val="none" w:sz="0" w:space="0" w:color="auto"/>
        <w:right w:val="none" w:sz="0" w:space="0" w:color="auto"/>
      </w:divBdr>
    </w:div>
    <w:div w:id="707803798">
      <w:bodyDiv w:val="1"/>
      <w:marLeft w:val="0"/>
      <w:marRight w:val="0"/>
      <w:marTop w:val="0"/>
      <w:marBottom w:val="0"/>
      <w:divBdr>
        <w:top w:val="none" w:sz="0" w:space="0" w:color="auto"/>
        <w:left w:val="none" w:sz="0" w:space="0" w:color="auto"/>
        <w:bottom w:val="none" w:sz="0" w:space="0" w:color="auto"/>
        <w:right w:val="none" w:sz="0" w:space="0" w:color="auto"/>
      </w:divBdr>
    </w:div>
    <w:div w:id="782384280">
      <w:bodyDiv w:val="1"/>
      <w:marLeft w:val="0"/>
      <w:marRight w:val="0"/>
      <w:marTop w:val="0"/>
      <w:marBottom w:val="0"/>
      <w:divBdr>
        <w:top w:val="none" w:sz="0" w:space="0" w:color="auto"/>
        <w:left w:val="none" w:sz="0" w:space="0" w:color="auto"/>
        <w:bottom w:val="none" w:sz="0" w:space="0" w:color="auto"/>
        <w:right w:val="none" w:sz="0" w:space="0" w:color="auto"/>
      </w:divBdr>
    </w:div>
    <w:div w:id="1103063849">
      <w:bodyDiv w:val="1"/>
      <w:marLeft w:val="0"/>
      <w:marRight w:val="0"/>
      <w:marTop w:val="0"/>
      <w:marBottom w:val="0"/>
      <w:divBdr>
        <w:top w:val="none" w:sz="0" w:space="0" w:color="auto"/>
        <w:left w:val="none" w:sz="0" w:space="0" w:color="auto"/>
        <w:bottom w:val="none" w:sz="0" w:space="0" w:color="auto"/>
        <w:right w:val="none" w:sz="0" w:space="0" w:color="auto"/>
      </w:divBdr>
    </w:div>
    <w:div w:id="1409695177">
      <w:bodyDiv w:val="1"/>
      <w:marLeft w:val="0"/>
      <w:marRight w:val="0"/>
      <w:marTop w:val="0"/>
      <w:marBottom w:val="0"/>
      <w:divBdr>
        <w:top w:val="none" w:sz="0" w:space="0" w:color="auto"/>
        <w:left w:val="none" w:sz="0" w:space="0" w:color="auto"/>
        <w:bottom w:val="none" w:sz="0" w:space="0" w:color="auto"/>
        <w:right w:val="none" w:sz="0" w:space="0" w:color="auto"/>
      </w:divBdr>
    </w:div>
    <w:div w:id="1534146599">
      <w:bodyDiv w:val="1"/>
      <w:marLeft w:val="0"/>
      <w:marRight w:val="0"/>
      <w:marTop w:val="0"/>
      <w:marBottom w:val="0"/>
      <w:divBdr>
        <w:top w:val="none" w:sz="0" w:space="0" w:color="auto"/>
        <w:left w:val="none" w:sz="0" w:space="0" w:color="auto"/>
        <w:bottom w:val="none" w:sz="0" w:space="0" w:color="auto"/>
        <w:right w:val="none" w:sz="0" w:space="0" w:color="auto"/>
      </w:divBdr>
    </w:div>
    <w:div w:id="1656298455">
      <w:bodyDiv w:val="1"/>
      <w:marLeft w:val="0"/>
      <w:marRight w:val="0"/>
      <w:marTop w:val="0"/>
      <w:marBottom w:val="0"/>
      <w:divBdr>
        <w:top w:val="none" w:sz="0" w:space="0" w:color="auto"/>
        <w:left w:val="none" w:sz="0" w:space="0" w:color="auto"/>
        <w:bottom w:val="none" w:sz="0" w:space="0" w:color="auto"/>
        <w:right w:val="none" w:sz="0" w:space="0" w:color="auto"/>
      </w:divBdr>
    </w:div>
    <w:div w:id="1673485315">
      <w:bodyDiv w:val="1"/>
      <w:marLeft w:val="0"/>
      <w:marRight w:val="0"/>
      <w:marTop w:val="0"/>
      <w:marBottom w:val="0"/>
      <w:divBdr>
        <w:top w:val="none" w:sz="0" w:space="0" w:color="auto"/>
        <w:left w:val="none" w:sz="0" w:space="0" w:color="auto"/>
        <w:bottom w:val="none" w:sz="0" w:space="0" w:color="auto"/>
        <w:right w:val="none" w:sz="0" w:space="0" w:color="auto"/>
      </w:divBdr>
    </w:div>
    <w:div w:id="1799032851">
      <w:bodyDiv w:val="1"/>
      <w:marLeft w:val="0"/>
      <w:marRight w:val="0"/>
      <w:marTop w:val="0"/>
      <w:marBottom w:val="0"/>
      <w:divBdr>
        <w:top w:val="none" w:sz="0" w:space="0" w:color="auto"/>
        <w:left w:val="none" w:sz="0" w:space="0" w:color="auto"/>
        <w:bottom w:val="none" w:sz="0" w:space="0" w:color="auto"/>
        <w:right w:val="none" w:sz="0" w:space="0" w:color="auto"/>
      </w:divBdr>
    </w:div>
    <w:div w:id="1866215040">
      <w:bodyDiv w:val="1"/>
      <w:marLeft w:val="0"/>
      <w:marRight w:val="0"/>
      <w:marTop w:val="0"/>
      <w:marBottom w:val="0"/>
      <w:divBdr>
        <w:top w:val="none" w:sz="0" w:space="0" w:color="auto"/>
        <w:left w:val="none" w:sz="0" w:space="0" w:color="auto"/>
        <w:bottom w:val="none" w:sz="0" w:space="0" w:color="auto"/>
        <w:right w:val="none" w:sz="0" w:space="0" w:color="auto"/>
      </w:divBdr>
    </w:div>
    <w:div w:id="1889027294">
      <w:bodyDiv w:val="1"/>
      <w:marLeft w:val="0"/>
      <w:marRight w:val="0"/>
      <w:marTop w:val="0"/>
      <w:marBottom w:val="0"/>
      <w:divBdr>
        <w:top w:val="none" w:sz="0" w:space="0" w:color="auto"/>
        <w:left w:val="none" w:sz="0" w:space="0" w:color="auto"/>
        <w:bottom w:val="none" w:sz="0" w:space="0" w:color="auto"/>
        <w:right w:val="none" w:sz="0" w:space="0" w:color="auto"/>
      </w:divBdr>
    </w:div>
    <w:div w:id="1994749015">
      <w:bodyDiv w:val="1"/>
      <w:marLeft w:val="0"/>
      <w:marRight w:val="0"/>
      <w:marTop w:val="0"/>
      <w:marBottom w:val="0"/>
      <w:divBdr>
        <w:top w:val="none" w:sz="0" w:space="0" w:color="auto"/>
        <w:left w:val="none" w:sz="0" w:space="0" w:color="auto"/>
        <w:bottom w:val="none" w:sz="0" w:space="0" w:color="auto"/>
        <w:right w:val="none" w:sz="0" w:space="0" w:color="auto"/>
      </w:divBdr>
    </w:div>
    <w:div w:id="2129887102">
      <w:bodyDiv w:val="1"/>
      <w:marLeft w:val="0"/>
      <w:marRight w:val="0"/>
      <w:marTop w:val="0"/>
      <w:marBottom w:val="0"/>
      <w:divBdr>
        <w:top w:val="none" w:sz="0" w:space="0" w:color="auto"/>
        <w:left w:val="none" w:sz="0" w:space="0" w:color="auto"/>
        <w:bottom w:val="none" w:sz="0" w:space="0" w:color="auto"/>
        <w:right w:val="none" w:sz="0" w:space="0" w:color="auto"/>
      </w:divBdr>
    </w:div>
    <w:div w:id="214318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A9618-61E1-472E-9F26-C8BBE4BC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4704</Words>
  <Characters>2682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Sorokovaja</dc:creator>
  <cp:lastModifiedBy>Olga Sorokovaja</cp:lastModifiedBy>
  <cp:revision>3</cp:revision>
  <cp:lastPrinted>2014-03-17T15:17:00Z</cp:lastPrinted>
  <dcterms:created xsi:type="dcterms:W3CDTF">2014-03-27T10:00:00Z</dcterms:created>
  <dcterms:modified xsi:type="dcterms:W3CDTF">2014-03-27T10:06:00Z</dcterms:modified>
</cp:coreProperties>
</file>