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18" w:rsidRPr="00B24667" w:rsidRDefault="00CD5F18" w:rsidP="00F716BF">
      <w:pPr>
        <w:spacing w:line="240" w:lineRule="auto"/>
        <w:ind w:firstLine="0"/>
        <w:jc w:val="center"/>
        <w:rPr>
          <w:rFonts w:eastAsia="Times New Roman"/>
          <w:b/>
          <w:bCs/>
          <w:szCs w:val="28"/>
          <w:lang w:eastAsia="lv-LV"/>
        </w:rPr>
      </w:pPr>
      <w:r w:rsidRPr="00B24667">
        <w:rPr>
          <w:rFonts w:eastAsia="Times New Roman"/>
          <w:b/>
          <w:bCs/>
          <w:szCs w:val="28"/>
          <w:lang w:eastAsia="lv-LV"/>
        </w:rPr>
        <w:t>Ministru kabineta rīkojuma projekta</w:t>
      </w:r>
    </w:p>
    <w:p w:rsidR="00CD5F18" w:rsidRPr="00B24667" w:rsidRDefault="00CD5F18" w:rsidP="00F716BF">
      <w:pPr>
        <w:spacing w:line="240" w:lineRule="auto"/>
        <w:ind w:firstLine="0"/>
        <w:jc w:val="center"/>
        <w:rPr>
          <w:rFonts w:eastAsia="Times New Roman"/>
          <w:b/>
          <w:bCs/>
          <w:szCs w:val="28"/>
          <w:lang w:eastAsia="lv-LV"/>
        </w:rPr>
      </w:pPr>
      <w:r w:rsidRPr="00B24667">
        <w:rPr>
          <w:rFonts w:eastAsia="Times New Roman"/>
          <w:b/>
          <w:bCs/>
          <w:szCs w:val="28"/>
          <w:lang w:eastAsia="lv-LV"/>
        </w:rPr>
        <w:t>„Par valstij dividendēs izmaksājamo valsts akciju sabiedrības „Ceļu satiksmes drošības direkcija” peļņas daļu”” sākotnējās ietekmes novērtējuma ziņojums (anotācija)</w:t>
      </w:r>
    </w:p>
    <w:p w:rsidR="00CD5F18" w:rsidRPr="0044594E" w:rsidRDefault="00CD5F18" w:rsidP="00CD5F18">
      <w:pPr>
        <w:ind w:firstLine="0"/>
        <w:rPr>
          <w:rFonts w:eastAsia="Times New Roman"/>
          <w:b/>
          <w:szCs w:val="28"/>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701"/>
        <w:gridCol w:w="5811"/>
      </w:tblGrid>
      <w:tr w:rsidR="00CD5F18" w:rsidRPr="0027189F" w:rsidTr="00903CB2">
        <w:trPr>
          <w:trHeight w:val="331"/>
          <w:tblCellSpacing w:w="0" w:type="dxa"/>
        </w:trPr>
        <w:tc>
          <w:tcPr>
            <w:tcW w:w="9098" w:type="dxa"/>
            <w:gridSpan w:val="3"/>
            <w:tcBorders>
              <w:top w:val="outset" w:sz="6" w:space="0" w:color="auto"/>
              <w:left w:val="outset" w:sz="6" w:space="0" w:color="auto"/>
              <w:bottom w:val="outset" w:sz="6" w:space="0" w:color="auto"/>
              <w:right w:val="outset" w:sz="6" w:space="0" w:color="auto"/>
            </w:tcBorders>
            <w:vAlign w:val="center"/>
          </w:tcPr>
          <w:p w:rsidR="00CD5F18" w:rsidRPr="0027189F" w:rsidRDefault="00CD5F18" w:rsidP="00903CB2">
            <w:pPr>
              <w:spacing w:before="100" w:beforeAutospacing="1" w:after="100" w:afterAutospacing="1" w:line="240" w:lineRule="auto"/>
              <w:ind w:firstLine="0"/>
              <w:jc w:val="center"/>
              <w:rPr>
                <w:rFonts w:eastAsia="Times New Roman"/>
                <w:sz w:val="24"/>
                <w:szCs w:val="24"/>
                <w:lang w:eastAsia="lv-LV"/>
              </w:rPr>
            </w:pPr>
            <w:r w:rsidRPr="0027189F">
              <w:rPr>
                <w:rFonts w:eastAsia="Times New Roman"/>
                <w:b/>
                <w:bCs/>
                <w:sz w:val="24"/>
                <w:szCs w:val="24"/>
                <w:lang w:eastAsia="lv-LV"/>
              </w:rPr>
              <w:t>I. Tiesību akta projekta izstrādes nepieciešamība</w:t>
            </w:r>
          </w:p>
        </w:tc>
      </w:tr>
      <w:tr w:rsidR="00CD5F18" w:rsidRPr="0027189F" w:rsidTr="005025E6">
        <w:trPr>
          <w:trHeight w:val="581"/>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1.</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Pamatojums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line="240" w:lineRule="auto"/>
              <w:ind w:firstLine="0"/>
              <w:rPr>
                <w:rFonts w:eastAsia="Times New Roman"/>
                <w:sz w:val="24"/>
                <w:szCs w:val="24"/>
                <w:lang w:eastAsia="lv-LV"/>
              </w:rPr>
            </w:pPr>
            <w:r w:rsidRPr="0038666E">
              <w:rPr>
                <w:rFonts w:eastAsia="Times New Roman"/>
                <w:sz w:val="24"/>
                <w:szCs w:val="24"/>
                <w:lang w:eastAsia="lv-LV"/>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izmantošanu” 5.punkts.</w:t>
            </w:r>
          </w:p>
        </w:tc>
      </w:tr>
      <w:tr w:rsidR="00CD5F18" w:rsidRPr="0027189F" w:rsidTr="005025E6">
        <w:trPr>
          <w:trHeight w:val="124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2.</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Pr="00CE1AC0">
              <w:rPr>
                <w:sz w:val="24"/>
                <w:szCs w:val="24"/>
              </w:rPr>
              <w:t>Pašreizējā situācija un problēmas, kuru risināšanai tiesību akta projekts izstrādāts, tiesiskā regulējuma mērķis un būtība</w:t>
            </w:r>
          </w:p>
        </w:tc>
        <w:tc>
          <w:tcPr>
            <w:tcW w:w="5811" w:type="dxa"/>
            <w:tcBorders>
              <w:top w:val="outset" w:sz="6" w:space="0" w:color="auto"/>
              <w:left w:val="outset" w:sz="6" w:space="0" w:color="auto"/>
              <w:bottom w:val="outset" w:sz="6" w:space="0" w:color="auto"/>
              <w:right w:val="outset" w:sz="6" w:space="0" w:color="auto"/>
            </w:tcBorders>
          </w:tcPr>
          <w:p w:rsidR="00CD5F18" w:rsidRPr="005D65E5" w:rsidRDefault="00CD5F18" w:rsidP="00903CB2">
            <w:pPr>
              <w:spacing w:line="240" w:lineRule="auto"/>
              <w:ind w:firstLine="269"/>
              <w:rPr>
                <w:sz w:val="24"/>
                <w:szCs w:val="24"/>
              </w:rPr>
            </w:pPr>
            <w:r w:rsidRPr="00CE183A">
              <w:rPr>
                <w:sz w:val="24"/>
                <w:szCs w:val="24"/>
              </w:rPr>
              <w:t xml:space="preserve">Valsts akciju sabiedrība „Ceļu satiksmes drošības direkcija” (turpmāk – kapitālsabiedrība) komercdarbību 2013.gadā ir </w:t>
            </w:r>
            <w:r w:rsidR="00952273">
              <w:rPr>
                <w:sz w:val="24"/>
                <w:szCs w:val="24"/>
              </w:rPr>
              <w:t>noslēgusi ar peļņu</w:t>
            </w:r>
            <w:r w:rsidRPr="005D65E5">
              <w:rPr>
                <w:sz w:val="24"/>
                <w:szCs w:val="24"/>
              </w:rPr>
              <w:t xml:space="preserve"> 1 633</w:t>
            </w:r>
            <w:r w:rsidR="00952273">
              <w:rPr>
                <w:sz w:val="24"/>
                <w:szCs w:val="24"/>
              </w:rPr>
              <w:t> </w:t>
            </w:r>
            <w:r w:rsidRPr="005D65E5">
              <w:rPr>
                <w:sz w:val="24"/>
                <w:szCs w:val="24"/>
              </w:rPr>
              <w:t>01</w:t>
            </w:r>
            <w:r>
              <w:rPr>
                <w:sz w:val="24"/>
                <w:szCs w:val="24"/>
              </w:rPr>
              <w:t>9</w:t>
            </w:r>
            <w:r w:rsidR="00952273">
              <w:rPr>
                <w:sz w:val="24"/>
                <w:szCs w:val="24"/>
              </w:rPr>
              <w:t xml:space="preserve"> </w:t>
            </w:r>
            <w:r w:rsidR="00952273" w:rsidRPr="00952273">
              <w:rPr>
                <w:i/>
                <w:sz w:val="24"/>
                <w:szCs w:val="24"/>
              </w:rPr>
              <w:t>euro</w:t>
            </w:r>
            <w:r w:rsidRPr="005D65E5">
              <w:rPr>
                <w:sz w:val="24"/>
                <w:szCs w:val="24"/>
              </w:rPr>
              <w:t xml:space="preserve"> (</w:t>
            </w:r>
            <w:r w:rsidR="00952273">
              <w:rPr>
                <w:sz w:val="24"/>
                <w:szCs w:val="24"/>
              </w:rPr>
              <w:t xml:space="preserve">Ls </w:t>
            </w:r>
            <w:r w:rsidRPr="005D65E5">
              <w:rPr>
                <w:sz w:val="24"/>
                <w:szCs w:val="24"/>
              </w:rPr>
              <w:t>1 147</w:t>
            </w:r>
            <w:r w:rsidR="00952273">
              <w:rPr>
                <w:sz w:val="24"/>
                <w:szCs w:val="24"/>
              </w:rPr>
              <w:t> </w:t>
            </w:r>
            <w:r w:rsidRPr="005D65E5">
              <w:rPr>
                <w:sz w:val="24"/>
                <w:szCs w:val="24"/>
              </w:rPr>
              <w:t>692) apmērā.</w:t>
            </w:r>
          </w:p>
          <w:p w:rsidR="00CD5F18" w:rsidRPr="005D65E5" w:rsidRDefault="00CD5F18" w:rsidP="00903CB2">
            <w:pPr>
              <w:spacing w:line="240" w:lineRule="auto"/>
              <w:ind w:firstLine="269"/>
              <w:rPr>
                <w:sz w:val="24"/>
                <w:szCs w:val="24"/>
              </w:rPr>
            </w:pPr>
            <w:r w:rsidRPr="005D65E5">
              <w:rPr>
                <w:sz w:val="24"/>
                <w:szCs w:val="24"/>
              </w:rPr>
              <w:t>Saskaņā ar likuma „Par valsts un pašvaldību kapitāla daļām un kapitālsabiedrībām” 3.panta trešo daļu un Ministru kabineta 2009.gada 15.decembra noteikumu Nr.1471 „Kārtība, kādā tiek noteikta valsts budžetā izmaksājamā peļņas daļa par valsts kapitāla izmantošanu” (turpmāk noteikumi Nr.1471) 4.1 punktu minimālo dividendēs izmaksājamo peļņas daļu par 2013. pārskata gadu kapitālsabiedrībām, kurās visas kapitāla daļas tieši vai pastarpināti pieder valstij nosaka, – 90 procentu apmērā no attiecīgās kapitālsabiedrības tīrās peļņas, ja valsts budžeta likumā kārtējam gadam nav noteikts citādi. Tādejādi kapitālsabiedrībai pēc lēmuma pieņemšanas par dividenžu sadali Valsts kasē par 2013.gad</w:t>
            </w:r>
            <w:r w:rsidR="00952273">
              <w:rPr>
                <w:sz w:val="24"/>
                <w:szCs w:val="24"/>
              </w:rPr>
              <w:t>u būtu jāieskaita dividendes</w:t>
            </w:r>
            <w:r w:rsidRPr="005D65E5">
              <w:rPr>
                <w:sz w:val="24"/>
                <w:szCs w:val="24"/>
              </w:rPr>
              <w:t xml:space="preserve"> 1 469</w:t>
            </w:r>
            <w:r w:rsidR="00952273">
              <w:rPr>
                <w:sz w:val="24"/>
                <w:szCs w:val="24"/>
              </w:rPr>
              <w:t> </w:t>
            </w:r>
            <w:r w:rsidRPr="005D65E5">
              <w:rPr>
                <w:sz w:val="24"/>
                <w:szCs w:val="24"/>
              </w:rPr>
              <w:t>717</w:t>
            </w:r>
            <w:r w:rsidR="00952273">
              <w:rPr>
                <w:sz w:val="24"/>
                <w:szCs w:val="24"/>
              </w:rPr>
              <w:t xml:space="preserve"> </w:t>
            </w:r>
            <w:r w:rsidR="00952273" w:rsidRPr="00952273">
              <w:rPr>
                <w:i/>
                <w:sz w:val="24"/>
                <w:szCs w:val="24"/>
              </w:rPr>
              <w:t>euro</w:t>
            </w:r>
            <w:r w:rsidRPr="005D65E5">
              <w:rPr>
                <w:sz w:val="24"/>
                <w:szCs w:val="24"/>
              </w:rPr>
              <w:t xml:space="preserve"> (Ls 1 032 923) apmērā.</w:t>
            </w:r>
          </w:p>
          <w:p w:rsidR="00CD5F18" w:rsidRDefault="00CD5F18" w:rsidP="00903CB2">
            <w:pPr>
              <w:spacing w:line="240" w:lineRule="auto"/>
              <w:ind w:firstLine="269"/>
              <w:rPr>
                <w:sz w:val="24"/>
                <w:szCs w:val="24"/>
              </w:rPr>
            </w:pPr>
            <w:r w:rsidRPr="00CE183A">
              <w:rPr>
                <w:sz w:val="24"/>
                <w:szCs w:val="24"/>
              </w:rPr>
              <w:t>Savukārt, noteikumu Nr.1471 5.punkts noteic,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7342D8" w:rsidRPr="007342D8" w:rsidRDefault="00CD5F18" w:rsidP="007342D8">
            <w:pPr>
              <w:spacing w:line="240" w:lineRule="auto"/>
              <w:ind w:firstLine="269"/>
              <w:rPr>
                <w:sz w:val="24"/>
                <w:szCs w:val="24"/>
              </w:rPr>
            </w:pPr>
            <w:r w:rsidRPr="00CE183A">
              <w:rPr>
                <w:sz w:val="24"/>
                <w:szCs w:val="24"/>
              </w:rPr>
              <w:t>Ministru kabineta rīkojuma projekts “Par valstij dividendēs izmaksājamo valsts akciju sabiedrības „Ceļu satiksmes drošības direkcija” peļņas daļu”” paredz kapitālsabiedrībai par 2013.gadu valsts budžetā dividendēs izmaksājamo peļņas daļu noteikt 0% apm</w:t>
            </w:r>
            <w:r w:rsidR="007342D8">
              <w:rPr>
                <w:sz w:val="24"/>
                <w:szCs w:val="24"/>
              </w:rPr>
              <w:t xml:space="preserve">ērā no tīrās peļņas un </w:t>
            </w:r>
            <w:r w:rsidR="007342D8" w:rsidRPr="007342D8">
              <w:rPr>
                <w:sz w:val="24"/>
                <w:szCs w:val="24"/>
              </w:rPr>
              <w:t xml:space="preserve">Satiksmes ministrijai kā valsts akciju sabiedrības "Ceļu satiksmes drošības direkcija" kapitāla daļu turētājai nodrošināt, ka 2013.gadā gūtā peļņa tiek novirzīta 996 010 </w:t>
            </w:r>
            <w:r w:rsidR="007342D8" w:rsidRPr="00B303C8">
              <w:rPr>
                <w:sz w:val="24"/>
                <w:szCs w:val="24"/>
              </w:rPr>
              <w:t>euro</w:t>
            </w:r>
            <w:r w:rsidR="007342D8" w:rsidRPr="007342D8">
              <w:rPr>
                <w:sz w:val="24"/>
                <w:szCs w:val="24"/>
              </w:rPr>
              <w:t xml:space="preserve"> ( 700 000 lati) stacionāro fotoradaru iegādei un 637 009 </w:t>
            </w:r>
            <w:r w:rsidR="007342D8" w:rsidRPr="00B303C8">
              <w:rPr>
                <w:sz w:val="24"/>
                <w:szCs w:val="24"/>
              </w:rPr>
              <w:t>euro</w:t>
            </w:r>
            <w:r w:rsidR="007342D8" w:rsidRPr="007342D8">
              <w:rPr>
                <w:sz w:val="24"/>
                <w:szCs w:val="24"/>
              </w:rPr>
              <w:t xml:space="preserve"> (447 692 lati)  Biķernieku kompleksās sporta bāzes sakārtošanai un attīstībai.</w:t>
            </w:r>
          </w:p>
          <w:p w:rsidR="00CD5F18" w:rsidRPr="00CE183A" w:rsidRDefault="00CD5F18" w:rsidP="00903CB2">
            <w:pPr>
              <w:spacing w:line="240" w:lineRule="auto"/>
              <w:ind w:firstLine="269"/>
              <w:rPr>
                <w:sz w:val="24"/>
                <w:szCs w:val="24"/>
              </w:rPr>
            </w:pPr>
            <w:r w:rsidRPr="00CE183A">
              <w:rPr>
                <w:sz w:val="24"/>
                <w:szCs w:val="24"/>
              </w:rPr>
              <w:t>Rīkojuma projektam, atbilstoši noteikumu Nr.1471 5.1. apakšpunktam, sniedzam sekojošu pamatojumu:</w:t>
            </w:r>
          </w:p>
          <w:p w:rsidR="00CD5F18" w:rsidRPr="00CE183A" w:rsidRDefault="00CD5F18" w:rsidP="00903CB2">
            <w:pPr>
              <w:spacing w:line="240" w:lineRule="auto"/>
              <w:ind w:firstLine="269"/>
              <w:rPr>
                <w:sz w:val="24"/>
                <w:szCs w:val="24"/>
              </w:rPr>
            </w:pPr>
            <w:r>
              <w:rPr>
                <w:sz w:val="24"/>
                <w:szCs w:val="24"/>
              </w:rPr>
              <w:t>- ar Ministru kabineta 2013.gada 13</w:t>
            </w:r>
            <w:r w:rsidRPr="00CE183A">
              <w:rPr>
                <w:sz w:val="24"/>
                <w:szCs w:val="24"/>
              </w:rPr>
              <w:t xml:space="preserve">.augusta </w:t>
            </w:r>
            <w:r w:rsidRPr="00CE183A">
              <w:rPr>
                <w:sz w:val="24"/>
                <w:szCs w:val="24"/>
              </w:rPr>
              <w:lastRenderedPageBreak/>
              <w:t>protokollēmumu (protokols nr.44 155.§) ir pieņemts zināšanai Informatīvais ziņojums “Par pārkāpumu fiksēšanas tehnisko līdzekļu (fotoradaru) ieviešanu”, kurā noteikts, ka 2013., 2014., 2015., 2016. un 2017.gadā Ministru kabinets, lemjot par Ceļu satiksmes drošības direkcijas dividenžu izmantošanu, pieņem lēmumu par samazināta apjoma dividenžu ieskaitīšanu valsts budžetā, paredzot 2013., 2014. un 2015.gadā Ls 700 000, bet 2016. un 2017.gadā Ls 350 000 no valsts budžetā ieskaitāmajiem līdzekļiem investīcijām fotoradaru un ietvaru iegādei;</w:t>
            </w:r>
          </w:p>
          <w:p w:rsidR="00CD5F18" w:rsidRPr="00CE183A" w:rsidRDefault="00CD5F18" w:rsidP="00903CB2">
            <w:pPr>
              <w:spacing w:line="240" w:lineRule="auto"/>
              <w:ind w:firstLine="269"/>
              <w:rPr>
                <w:sz w:val="24"/>
                <w:szCs w:val="24"/>
              </w:rPr>
            </w:pPr>
            <w:r w:rsidRPr="00CE183A">
              <w:rPr>
                <w:sz w:val="24"/>
                <w:szCs w:val="24"/>
              </w:rPr>
              <w:t>- Ministru kabineta</w:t>
            </w:r>
            <w:r>
              <w:rPr>
                <w:sz w:val="24"/>
                <w:szCs w:val="24"/>
              </w:rPr>
              <w:t xml:space="preserve"> 2013.gada 13</w:t>
            </w:r>
            <w:r w:rsidRPr="00CE183A">
              <w:rPr>
                <w:sz w:val="24"/>
                <w:szCs w:val="24"/>
              </w:rPr>
              <w:t>.augusta sēdes protokola (protokols nr.44 155.§) 3.punktā noteikts, ka jautājumu par atbilstošas kapitālsabiedrības peļņas daļas novirzīšanu fotoradaru iegādei un darbības uzsākšanai izskatīt Ministru kabinetā tikai pēc attiecīgu grozījumu veikšanas Ceļu satiksmes likumā un vienlaikus ar šī protokollēmuma 5.punktā minēto informāciju;</w:t>
            </w:r>
          </w:p>
          <w:p w:rsidR="00CD5F18" w:rsidRPr="00CE183A" w:rsidRDefault="00CD5F18" w:rsidP="00903CB2">
            <w:pPr>
              <w:spacing w:line="240" w:lineRule="auto"/>
              <w:ind w:firstLine="269"/>
              <w:rPr>
                <w:sz w:val="24"/>
                <w:szCs w:val="24"/>
              </w:rPr>
            </w:pPr>
            <w:r w:rsidRPr="00CE183A">
              <w:rPr>
                <w:sz w:val="24"/>
                <w:szCs w:val="24"/>
              </w:rPr>
              <w:t>- grozījumi Ceļu satiksmes likumā pieņemti 21.11.2013</w:t>
            </w:r>
            <w:r>
              <w:rPr>
                <w:sz w:val="24"/>
                <w:szCs w:val="24"/>
              </w:rPr>
              <w:t>,</w:t>
            </w:r>
            <w:r w:rsidRPr="00CE183A">
              <w:rPr>
                <w:sz w:val="24"/>
                <w:szCs w:val="24"/>
              </w:rPr>
              <w:t xml:space="preserve"> stājušies spēkā 26.12.2013</w:t>
            </w:r>
            <w:r>
              <w:t xml:space="preserve"> </w:t>
            </w:r>
            <w:r w:rsidRPr="00C72642">
              <w:rPr>
                <w:sz w:val="24"/>
                <w:szCs w:val="24"/>
              </w:rPr>
              <w:t>un nosaka - lai Valsts policija veiktu ceļu satiksmes uzraudzību, Ceļu satiksmes drošības direkcija, pamatojoties uz deleģēšanas līgumu, kas noslēgts ar Valsts policiju, var nodrošināt tehnisko līdzekļu (fotoiekārtas vai videoiekārtas) uzstādīšanu un to darbību pārkāpumu fiksēšanai, neapturot transportlīdzekli</w:t>
            </w:r>
            <w:r>
              <w:rPr>
                <w:sz w:val="24"/>
                <w:szCs w:val="24"/>
              </w:rPr>
              <w:t>.</w:t>
            </w:r>
          </w:p>
          <w:p w:rsidR="00CD5F18" w:rsidRPr="004934DF" w:rsidRDefault="00CD5F18" w:rsidP="00903CB2">
            <w:pPr>
              <w:spacing w:line="240" w:lineRule="auto"/>
              <w:ind w:firstLine="269"/>
              <w:rPr>
                <w:sz w:val="24"/>
                <w:szCs w:val="24"/>
              </w:rPr>
            </w:pPr>
            <w:r w:rsidRPr="004934DF">
              <w:rPr>
                <w:sz w:val="24"/>
                <w:szCs w:val="24"/>
              </w:rPr>
              <w:t xml:space="preserve">Informatīvais ziņojums “Par pārkāpumu fiksēšanas tehnisko līdzekļu (fotoradaru) ieviešanu” </w:t>
            </w:r>
            <w:r>
              <w:rPr>
                <w:sz w:val="24"/>
                <w:szCs w:val="24"/>
              </w:rPr>
              <w:t xml:space="preserve">bija </w:t>
            </w:r>
            <w:r w:rsidRPr="004934DF">
              <w:rPr>
                <w:sz w:val="24"/>
                <w:szCs w:val="24"/>
              </w:rPr>
              <w:t xml:space="preserve">sagatavots atbilstoši Ministru kabineta 2012.gada 4.decembra sēdes protokollēmuma (protokols Nr.68) 58.§ 3.punktam, kurā bija paredzēts uzdevums Iekšlietu ministrijai kopīgi ar Satiksmes ministriju izvērtēt iespējamos fotoradaru ieviešanas risinājumus Latvijā un līdz 2013.gada 1.martam iesniegt Ministru kabinetā priekšlikumus par institūciju, kura nodrošinās fotoradaru ieviešanu, kā arī fotoradaru ieviešanas termiņiem. </w:t>
            </w:r>
          </w:p>
          <w:p w:rsidR="00CD5F18" w:rsidRDefault="00CD5F18" w:rsidP="00903CB2">
            <w:pPr>
              <w:spacing w:line="240" w:lineRule="auto"/>
              <w:ind w:firstLine="269"/>
              <w:rPr>
                <w:sz w:val="24"/>
                <w:szCs w:val="24"/>
              </w:rPr>
            </w:pPr>
            <w:r w:rsidRPr="004934DF">
              <w:rPr>
                <w:sz w:val="24"/>
                <w:szCs w:val="24"/>
              </w:rPr>
              <w:t>Informatīvajā ziņojumā ir pamatota atļautā ātruma kontrolēšanas ar tehniskajiem līdzekļiem nepieciešamība, kā arī noteikts stacionāro fotoradaru uzstādīšanas un uzturēšanas finansēšanas modelis, izmantojot šim mērķim kapitālsabiedrības valsts bu</w:t>
            </w:r>
            <w:r>
              <w:rPr>
                <w:sz w:val="24"/>
                <w:szCs w:val="24"/>
              </w:rPr>
              <w:t xml:space="preserve">džetā iemaksājamās dividendes. </w:t>
            </w:r>
          </w:p>
          <w:p w:rsidR="00CD5F18" w:rsidRPr="004934DF" w:rsidRDefault="00CD5F18" w:rsidP="00903CB2">
            <w:pPr>
              <w:spacing w:line="240" w:lineRule="auto"/>
              <w:ind w:firstLine="269"/>
              <w:rPr>
                <w:sz w:val="24"/>
                <w:szCs w:val="24"/>
              </w:rPr>
            </w:pPr>
            <w:r>
              <w:rPr>
                <w:sz w:val="24"/>
                <w:szCs w:val="24"/>
              </w:rPr>
              <w:t>Šobrīd jau ir apzinātas 20 stacionāro radaru uzstādīšanas vietas, kā arī ir sagatavota dokumentācija iepirkuma procedūras uzsākšanai.</w:t>
            </w:r>
            <w:r w:rsidRPr="004934DF">
              <w:rPr>
                <w:sz w:val="24"/>
                <w:szCs w:val="24"/>
              </w:rPr>
              <w:t xml:space="preserve"> </w:t>
            </w:r>
          </w:p>
          <w:p w:rsidR="00CD5F18" w:rsidRPr="004934DF" w:rsidRDefault="00CD5F18" w:rsidP="00903CB2">
            <w:pPr>
              <w:spacing w:line="240" w:lineRule="auto"/>
              <w:ind w:firstLine="269"/>
              <w:rPr>
                <w:sz w:val="24"/>
                <w:szCs w:val="24"/>
              </w:rPr>
            </w:pPr>
            <w:r w:rsidRPr="004934DF">
              <w:rPr>
                <w:sz w:val="24"/>
                <w:szCs w:val="24"/>
              </w:rPr>
              <w:t>Viens no svarīgākajiem Biķernieku kompleksās sporta bāzes (BKSB) uzdevumiem ir veicināt nacionālās sporta bāzes attīstību, radīt apstākļus augsta līmeņa sporta sacensību norisei, kā arī kvalitatīviem sportistu treniņiem.</w:t>
            </w:r>
          </w:p>
          <w:p w:rsidR="00CD5F18" w:rsidRPr="004934DF" w:rsidRDefault="00CD5F18" w:rsidP="00903CB2">
            <w:pPr>
              <w:spacing w:line="240" w:lineRule="auto"/>
              <w:ind w:firstLine="269"/>
              <w:rPr>
                <w:sz w:val="24"/>
                <w:szCs w:val="24"/>
              </w:rPr>
            </w:pPr>
            <w:r w:rsidRPr="004934DF">
              <w:rPr>
                <w:sz w:val="24"/>
                <w:szCs w:val="24"/>
              </w:rPr>
              <w:t>Ļoti svarīga šo mērķu sasniegšanā ir sadarbība ar sporta organizācijām un aktīvistiem, lai BKSB infrastruktūru veidotu efektīvu un atbilstošu sportistu vajadzībām.</w:t>
            </w:r>
          </w:p>
          <w:p w:rsidR="00CD5F18" w:rsidRDefault="00CD5F18" w:rsidP="00903CB2">
            <w:pPr>
              <w:spacing w:line="240" w:lineRule="auto"/>
              <w:ind w:firstLine="269"/>
              <w:rPr>
                <w:sz w:val="24"/>
                <w:szCs w:val="24"/>
              </w:rPr>
            </w:pPr>
            <w:r w:rsidRPr="004934DF">
              <w:rPr>
                <w:sz w:val="24"/>
                <w:szCs w:val="24"/>
              </w:rPr>
              <w:tab/>
              <w:t xml:space="preserve"> Šobrīd ir izveidojušies ļoti labvēlīgi apstākļi </w:t>
            </w:r>
            <w:r w:rsidRPr="004934DF">
              <w:rPr>
                <w:sz w:val="24"/>
                <w:szCs w:val="24"/>
              </w:rPr>
              <w:lastRenderedPageBreak/>
              <w:t xml:space="preserve">spīdveja attīstībai Rīgā. Latvijas spīdveja komanda pasaules čempionātā izcīnīja 6.vietu, Latvijas Motosporta federācija (LaMSF) ir ieguvusi tiesības organizēt spīdveja pasaules Grand Prix posmu Rīgā šī gada augustā, ir izveidota biedrība „Spīdveja klubs Rīga” un spīdveja attīstībai ir liels LaMF atbalsts. Bez tam, spīdvejs šobrīd ir ļoti populārs visā pasaulē, piemēram, Grand Prix sacensības televīzijā tiek translētas turpat 160 valstīs, tai skaitā tādos prestižos TV kanālos kā „Eirosport”, „Sky Sports” u.c., </w:t>
            </w:r>
            <w:r w:rsidRPr="002D40FD">
              <w:rPr>
                <w:sz w:val="24"/>
                <w:szCs w:val="24"/>
              </w:rPr>
              <w:t>uz pasākumu tiek akreditēts liels skaits ārvalstu un vietējo preses pārstāvju</w:t>
            </w:r>
            <w:r>
              <w:rPr>
                <w:sz w:val="24"/>
                <w:szCs w:val="24"/>
              </w:rPr>
              <w:t>.</w:t>
            </w:r>
          </w:p>
          <w:p w:rsidR="00CD5F18" w:rsidRPr="004934DF" w:rsidRDefault="00CD5F18" w:rsidP="00903CB2">
            <w:pPr>
              <w:spacing w:line="240" w:lineRule="auto"/>
              <w:ind w:firstLine="269"/>
              <w:rPr>
                <w:sz w:val="24"/>
                <w:szCs w:val="24"/>
              </w:rPr>
            </w:pPr>
            <w:r w:rsidRPr="002D40FD">
              <w:rPr>
                <w:sz w:val="24"/>
                <w:szCs w:val="24"/>
              </w:rPr>
              <w:t>Līdz šim šādi Grand Prix posmi Latvijā ja</w:t>
            </w:r>
            <w:r>
              <w:rPr>
                <w:sz w:val="24"/>
                <w:szCs w:val="24"/>
              </w:rPr>
              <w:t>u ir realizēti Daugavpilī, turklāt</w:t>
            </w:r>
            <w:r w:rsidRPr="002D40FD">
              <w:rPr>
                <w:sz w:val="24"/>
                <w:szCs w:val="24"/>
              </w:rPr>
              <w:t xml:space="preserve"> ļoti veiksmīgi un pieredze rāda, ka apmeklētāju skaits uz šādu pasākumu sasniedz 10 000, no kuriem 40% ir ārvalstnieki. Ņemot vērā Rīgas attīstīto infrastruktūru un ģeogrāfisko izvietojumu, šāda līmeņa sacensību rīkošana valsts galvaspilsētā būtu ļoti efektīva un prestiža. Uzsākot Grand Prix posmu organizēšanu </w:t>
            </w:r>
            <w:r>
              <w:rPr>
                <w:sz w:val="24"/>
                <w:szCs w:val="24"/>
              </w:rPr>
              <w:t xml:space="preserve">arī </w:t>
            </w:r>
            <w:r w:rsidRPr="002D40FD">
              <w:rPr>
                <w:sz w:val="24"/>
                <w:szCs w:val="24"/>
              </w:rPr>
              <w:t xml:space="preserve">Rīgā, turpmāk būtu iespēja tos secīgi mainīt ar Daugavpili, kas ekonomiskā ziņā dotu pozitīvāku efektu valsts ekonomikai un lielāku iespēju uzņemties šādu </w:t>
            </w:r>
            <w:r>
              <w:rPr>
                <w:sz w:val="24"/>
                <w:szCs w:val="24"/>
              </w:rPr>
              <w:t>pasākumu regulāru organizēšanu,</w:t>
            </w:r>
            <w:r w:rsidRPr="002D40FD">
              <w:rPr>
                <w:sz w:val="24"/>
                <w:szCs w:val="24"/>
              </w:rPr>
              <w:t xml:space="preserve"> </w:t>
            </w:r>
            <w:r w:rsidRPr="004934DF">
              <w:rPr>
                <w:sz w:val="24"/>
                <w:szCs w:val="24"/>
              </w:rPr>
              <w:t>tādejādi sacensību norise ievērojami veicinātu Latvijas starptautisko atpazīstamību un nodrošinātu tūristu skaita pieaugumu</w:t>
            </w:r>
            <w:r>
              <w:rPr>
                <w:sz w:val="24"/>
                <w:szCs w:val="24"/>
              </w:rPr>
              <w:t>.</w:t>
            </w:r>
            <w:r w:rsidRPr="002D40FD">
              <w:rPr>
                <w:sz w:val="24"/>
                <w:szCs w:val="24"/>
              </w:rPr>
              <w:t xml:space="preserve"> </w:t>
            </w:r>
          </w:p>
          <w:p w:rsidR="00CD5F18" w:rsidRPr="004934DF" w:rsidRDefault="00CD5F18" w:rsidP="00903CB2">
            <w:pPr>
              <w:spacing w:line="240" w:lineRule="auto"/>
              <w:ind w:firstLine="269"/>
              <w:rPr>
                <w:sz w:val="24"/>
                <w:szCs w:val="24"/>
              </w:rPr>
            </w:pPr>
            <w:r w:rsidRPr="004934DF">
              <w:rPr>
                <w:sz w:val="24"/>
                <w:szCs w:val="24"/>
              </w:rPr>
              <w:tab/>
              <w:t xml:space="preserve">Jau 1976.gadā BKSB tika uzbūvēts spīdveja stadions ar plašām skatītāju tribīnēm. Diemžēl, vēlāk, finansējuma un valsts atbalsta trūkuma dēļ, Rīgas spīdveja komanda beidza pastāvēt, tika nolaists un sabojāts stadions. </w:t>
            </w:r>
          </w:p>
          <w:p w:rsidR="00CD5F18" w:rsidRPr="004934DF" w:rsidRDefault="00CD5F18" w:rsidP="00903CB2">
            <w:pPr>
              <w:spacing w:line="240" w:lineRule="auto"/>
              <w:ind w:firstLine="269"/>
              <w:rPr>
                <w:sz w:val="24"/>
                <w:szCs w:val="24"/>
              </w:rPr>
            </w:pPr>
            <w:r w:rsidRPr="004934DF">
              <w:rPr>
                <w:sz w:val="24"/>
                <w:szCs w:val="24"/>
              </w:rPr>
              <w:tab/>
              <w:t>Šobrīd speciālisti ir apsekojuši BKSB spīdveja stadionu un secinājuši, ka to ar salīdzinoši nelieliem līdzekļiem īsā laikā var atjaunot atbilstoši mūsdienu starptautiskajām spīdveja norises prasībām. Ir nepiedodami un nesaimnieciski, ka šāda būve netiek izmantota pēc tās nozīmes, tāpēc LaMSF sadarbībā ar kapitālsabiedrību ir paredzējusi atjaunot un sertificēt Rīgas spīdveja treku atbilstoši Starptautiskās motosporta federācijas (FIM) noteikumiem, organizēt Rīgā regulāras starptautiskas spīdveja sacensības, kā arī izveidot Rīgas spīdveja bērnu un jauniešu sporta skolu.</w:t>
            </w:r>
          </w:p>
          <w:p w:rsidR="00CD5F18" w:rsidRPr="004934DF" w:rsidRDefault="00CD5F18" w:rsidP="00903CB2">
            <w:pPr>
              <w:spacing w:line="240" w:lineRule="auto"/>
              <w:ind w:firstLine="269"/>
              <w:rPr>
                <w:sz w:val="24"/>
                <w:szCs w:val="24"/>
              </w:rPr>
            </w:pPr>
            <w:r w:rsidRPr="004934DF">
              <w:rPr>
                <w:sz w:val="24"/>
                <w:szCs w:val="24"/>
              </w:rPr>
              <w:tab/>
              <w:t>Ievērojot minēto, BKSB ir uzsākta spīdveja stadiona atjaunošana, kuras gaitā paredzēts veikt remontu skatītāju tribīnēs, treka seguma virskārtas remontu, izbūvēt dalībnieku tehnisko parku, kā arī uzstādīt dažādas sacensību dalībnieku un skatītāju norobežojošās, drošības konstrukcijas, informatīvos tablo, laika mērīšanas iekārtas un citu tehnisko aprīkojumu.</w:t>
            </w:r>
          </w:p>
          <w:p w:rsidR="00CD5F18" w:rsidRPr="004934DF" w:rsidRDefault="00CD5F18" w:rsidP="00903CB2">
            <w:pPr>
              <w:spacing w:line="240" w:lineRule="auto"/>
              <w:ind w:firstLine="269"/>
              <w:rPr>
                <w:sz w:val="24"/>
                <w:szCs w:val="24"/>
              </w:rPr>
            </w:pPr>
            <w:r w:rsidRPr="004934DF">
              <w:rPr>
                <w:sz w:val="24"/>
                <w:szCs w:val="24"/>
              </w:rPr>
              <w:tab/>
              <w:t xml:space="preserve">Stadiona un tribīņu atjaunošana un labiekārtošana būtu ļoti svarīga visa sporta kompleksa attīstībā, jo stadionā ar 5000 skatītāju vietām varētu organizēt arī daudzus citus plašus un nozīmīgus sporta un kultūras pasākumus. Spīdveja sporta skolas izveidošana veicinātu jaunatnes </w:t>
            </w:r>
            <w:r w:rsidRPr="004934DF">
              <w:rPr>
                <w:sz w:val="24"/>
                <w:szCs w:val="24"/>
              </w:rPr>
              <w:lastRenderedPageBreak/>
              <w:t>interesi un pievēršanos sportam un tehniskai jaunradei.</w:t>
            </w:r>
          </w:p>
          <w:p w:rsidR="00CD5F18" w:rsidRPr="00885DEF" w:rsidRDefault="00CD5F18" w:rsidP="00903CB2">
            <w:pPr>
              <w:spacing w:line="240" w:lineRule="auto"/>
              <w:ind w:firstLine="269"/>
              <w:rPr>
                <w:sz w:val="24"/>
                <w:szCs w:val="24"/>
              </w:rPr>
            </w:pPr>
            <w:r w:rsidRPr="004934DF">
              <w:rPr>
                <w:sz w:val="24"/>
                <w:szCs w:val="24"/>
              </w:rPr>
              <w:tab/>
              <w:t>Bez tam, stadiona atjaunošanas gaitā plānots tikai esošo būvju remonts un labiekārtošana, tāpēc šie darbi neradīs nekādu papildus apgrūtinājumu privātiem īpašniekiem piederošai zemei, uz kuras atrodas BKSB un kura ir iznomāta nacionālās sporta bāzes uzturēšanai.</w:t>
            </w:r>
            <w:r>
              <w:rPr>
                <w:sz w:val="24"/>
                <w:szCs w:val="24"/>
              </w:rPr>
              <w:t xml:space="preserve"> </w:t>
            </w:r>
          </w:p>
        </w:tc>
      </w:tr>
      <w:tr w:rsidR="00CD5F18" w:rsidRPr="0027189F" w:rsidTr="005025E6">
        <w:trPr>
          <w:trHeight w:val="50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lastRenderedPageBreak/>
              <w:t> 3.</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Projekta izstrādē iesaistītās institūcijas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Satiksmes ministrija, V</w:t>
            </w:r>
            <w:r w:rsidRPr="00B92D4F">
              <w:rPr>
                <w:rFonts w:eastAsia="Times New Roman"/>
                <w:sz w:val="24"/>
                <w:szCs w:val="24"/>
                <w:lang w:eastAsia="lv-LV"/>
              </w:rPr>
              <w:t>alsts akciju sabiedrīb</w:t>
            </w:r>
            <w:r>
              <w:rPr>
                <w:rFonts w:eastAsia="Times New Roman"/>
                <w:sz w:val="24"/>
                <w:szCs w:val="24"/>
                <w:lang w:eastAsia="lv-LV"/>
              </w:rPr>
              <w:t>a</w:t>
            </w:r>
            <w:r w:rsidRPr="00B92D4F">
              <w:rPr>
                <w:rFonts w:eastAsia="Times New Roman"/>
                <w:sz w:val="24"/>
                <w:szCs w:val="24"/>
                <w:lang w:eastAsia="lv-LV"/>
              </w:rPr>
              <w:t xml:space="preserve"> „Ceļ</w:t>
            </w:r>
            <w:r>
              <w:rPr>
                <w:rFonts w:eastAsia="Times New Roman"/>
                <w:sz w:val="24"/>
                <w:szCs w:val="24"/>
                <w:lang w:eastAsia="lv-LV"/>
              </w:rPr>
              <w:t>u satiksmes drošības direkcija”.</w:t>
            </w:r>
          </w:p>
        </w:tc>
      </w:tr>
      <w:tr w:rsidR="00CD5F18" w:rsidRPr="0027189F" w:rsidTr="005025E6">
        <w:trPr>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4</w:t>
            </w:r>
            <w:r w:rsidRPr="0027189F">
              <w:rPr>
                <w:rFonts w:eastAsia="Times New Roman"/>
                <w:sz w:val="24"/>
                <w:szCs w:val="24"/>
                <w:lang w:eastAsia="lv-LV"/>
              </w:rPr>
              <w:t>.</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line="240" w:lineRule="auto"/>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4974"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3108"/>
        <w:gridCol w:w="1456"/>
        <w:gridCol w:w="1277"/>
        <w:gridCol w:w="1083"/>
        <w:gridCol w:w="1157"/>
        <w:gridCol w:w="1144"/>
      </w:tblGrid>
      <w:tr w:rsidR="00CD5F18" w:rsidRPr="00AD2DE5" w:rsidTr="00362B3F">
        <w:trPr>
          <w:trHeight w:val="360"/>
        </w:trPr>
        <w:tc>
          <w:tcPr>
            <w:tcW w:w="5000" w:type="pct"/>
            <w:gridSpan w:val="6"/>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III. Tiesību akta projekta ietekme uz valsts budžetu un pašvaldību budžetiem</w:t>
            </w:r>
          </w:p>
        </w:tc>
      </w:tr>
      <w:tr w:rsidR="00CD5F18" w:rsidRPr="00AD2DE5" w:rsidTr="00362B3F">
        <w:tc>
          <w:tcPr>
            <w:tcW w:w="1685" w:type="pct"/>
            <w:vMerge w:val="restar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Rādītāji</w:t>
            </w:r>
          </w:p>
        </w:tc>
        <w:tc>
          <w:tcPr>
            <w:tcW w:w="1481" w:type="pct"/>
            <w:gridSpan w:val="2"/>
            <w:vMerge w:val="restar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2014</w:t>
            </w:r>
            <w:r w:rsidRPr="00AD2DE5">
              <w:rPr>
                <w:rFonts w:eastAsia="Times New Roman"/>
                <w:b/>
                <w:bCs/>
                <w:sz w:val="24"/>
                <w:szCs w:val="24"/>
                <w:lang w:eastAsia="lv-LV"/>
              </w:rPr>
              <w:t>-tais gads</w:t>
            </w:r>
          </w:p>
        </w:tc>
        <w:tc>
          <w:tcPr>
            <w:tcW w:w="1833" w:type="pct"/>
            <w:gridSpan w:val="3"/>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Turpmākie trīs gadi (</w:t>
            </w:r>
            <w:r w:rsidRPr="00AD2DE5">
              <w:rPr>
                <w:rFonts w:eastAsia="Times New Roman"/>
                <w:i/>
                <w:iCs/>
                <w:sz w:val="24"/>
                <w:szCs w:val="24"/>
                <w:lang w:eastAsia="lv-LV"/>
              </w:rPr>
              <w:t>euro</w:t>
            </w:r>
            <w:r w:rsidRPr="00AD2DE5">
              <w:rPr>
                <w:rFonts w:eastAsia="Times New Roman"/>
                <w:sz w:val="24"/>
                <w:szCs w:val="24"/>
                <w:lang w:eastAsia="lv-LV"/>
              </w:rPr>
              <w:t>)</w:t>
            </w:r>
          </w:p>
        </w:tc>
      </w:tr>
      <w:tr w:rsidR="00703FC9"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1481" w:type="pct"/>
            <w:gridSpan w:val="2"/>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2015</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2016</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2017</w:t>
            </w:r>
          </w:p>
        </w:tc>
      </w:tr>
      <w:tr w:rsidR="00061682"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saskaņā ar valsts budžetu kārtējam gadam</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kārtējā gadā, salīdzinot ar valsts budžetu kārtējam gadam</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r>
      <w:tr w:rsidR="00CD5F18" w:rsidRPr="00AD2DE5" w:rsidTr="00362B3F">
        <w:tc>
          <w:tcPr>
            <w:tcW w:w="1685"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1</w:t>
            </w: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2</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3</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4</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5</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6</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 Budžeta ieņēmumi:</w:t>
            </w:r>
          </w:p>
        </w:tc>
        <w:tc>
          <w:tcPr>
            <w:tcW w:w="789"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106057">
              <w:rPr>
                <w:rFonts w:eastAsia="Times New Roman"/>
                <w:sz w:val="24"/>
                <w:szCs w:val="24"/>
                <w:lang w:eastAsia="lv-LV"/>
              </w:rPr>
              <w:t>145 734 105</w:t>
            </w:r>
          </w:p>
        </w:tc>
        <w:tc>
          <w:tcPr>
            <w:tcW w:w="692"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Pr="00955C92">
              <w:rPr>
                <w:rFonts w:eastAsia="Times New Roman"/>
                <w:sz w:val="24"/>
                <w:szCs w:val="24"/>
                <w:lang w:eastAsia="lv-LV"/>
              </w:rPr>
              <w:t>-1 469 717</w:t>
            </w:r>
          </w:p>
        </w:tc>
        <w:tc>
          <w:tcPr>
            <w:tcW w:w="587"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c>
          <w:tcPr>
            <w:tcW w:w="627"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c>
          <w:tcPr>
            <w:tcW w:w="620"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1.1. valsts pamatbudžets, tai skaitā ieņēmumi no maksas pakalpojumiem un citi pašu ieņēmumi</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106057">
              <w:rPr>
                <w:rFonts w:eastAsia="Times New Roman"/>
                <w:sz w:val="24"/>
                <w:szCs w:val="24"/>
                <w:lang w:eastAsia="lv-LV"/>
              </w:rPr>
              <w:t>145 734 105</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Pr="00955C92">
              <w:rPr>
                <w:rFonts w:eastAsia="Times New Roman"/>
                <w:sz w:val="24"/>
                <w:szCs w:val="24"/>
                <w:lang w:eastAsia="lv-LV"/>
              </w:rPr>
              <w:t>-1 469 717</w:t>
            </w:r>
          </w:p>
        </w:tc>
        <w:tc>
          <w:tcPr>
            <w:tcW w:w="587"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c>
          <w:tcPr>
            <w:tcW w:w="627"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c>
          <w:tcPr>
            <w:tcW w:w="620"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1.2. valsts speciālais budžets</w:t>
            </w:r>
          </w:p>
        </w:tc>
        <w:tc>
          <w:tcPr>
            <w:tcW w:w="789"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0</w:t>
            </w:r>
          </w:p>
        </w:tc>
        <w:tc>
          <w:tcPr>
            <w:tcW w:w="692"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00CD5F18" w:rsidRPr="00AD2DE5">
              <w:rPr>
                <w:rFonts w:eastAsia="Times New Roman"/>
                <w:sz w:val="24"/>
                <w:szCs w:val="24"/>
                <w:lang w:eastAsia="lv-LV"/>
              </w:rPr>
              <w:t> </w:t>
            </w:r>
          </w:p>
        </w:tc>
        <w:tc>
          <w:tcPr>
            <w:tcW w:w="587"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w:t>
            </w:r>
          </w:p>
        </w:tc>
        <w:tc>
          <w:tcPr>
            <w:tcW w:w="627"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00CD5F18" w:rsidRPr="00AD2DE5">
              <w:rPr>
                <w:rFonts w:eastAsia="Times New Roman"/>
                <w:sz w:val="24"/>
                <w:szCs w:val="24"/>
                <w:lang w:eastAsia="lv-LV"/>
              </w:rPr>
              <w:t> </w:t>
            </w:r>
          </w:p>
        </w:tc>
        <w:tc>
          <w:tcPr>
            <w:tcW w:w="620"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00CD5F18"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 Budžeta izdevumi:</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2.1. valsts pamatbudžets</w:t>
            </w:r>
          </w:p>
        </w:tc>
        <w:tc>
          <w:tcPr>
            <w:tcW w:w="789" w:type="pct"/>
            <w:shd w:val="clear" w:color="auto" w:fill="FFFFFF"/>
            <w:hideMark/>
          </w:tcPr>
          <w:p w:rsidR="00061682" w:rsidRPr="00AD2DE5" w:rsidRDefault="00061682" w:rsidP="00037E4F">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37E4F">
              <w:rPr>
                <w:rFonts w:eastAsia="Times New Roman"/>
                <w:sz w:val="24"/>
                <w:szCs w:val="24"/>
                <w:lang w:eastAsia="lv-LV"/>
              </w:rPr>
              <w:t xml:space="preserve">145 734 105  </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2.2. valsts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 Finansiālā ietekme:</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3.1. valsts pamatbudžets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37E4F">
              <w:rPr>
                <w:rFonts w:eastAsia="Times New Roman"/>
                <w:sz w:val="24"/>
                <w:szCs w:val="24"/>
                <w:lang w:eastAsia="lv-LV"/>
              </w:rPr>
              <w:t>0</w:t>
            </w:r>
            <w:bookmarkStart w:id="0" w:name="_GoBack"/>
            <w:bookmarkEnd w:id="0"/>
            <w:r w:rsidR="00106057">
              <w:rPr>
                <w:rFonts w:eastAsia="Times New Roman"/>
                <w:sz w:val="24"/>
                <w:szCs w:val="24"/>
                <w:lang w:eastAsia="lv-LV"/>
              </w:rPr>
              <w:t xml:space="preserve"> </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Pr="00955C92">
              <w:rPr>
                <w:rFonts w:eastAsia="Times New Roman"/>
                <w:sz w:val="24"/>
                <w:szCs w:val="24"/>
                <w:lang w:eastAsia="lv-LV"/>
              </w:rPr>
              <w:t>-1 469 717</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3.2.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vMerge w:val="restar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4. Finanšu līdzekļi papildu izdevumu finansēšanai (kompensējošu izdevumu samazinājumu norāda ar "+" zīmi)</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 Precizēta finansiālā ietekme:</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5.1. valsts pamatbudžets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5.2. speciālais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5.3. pašvaldību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 Detalizēts ieņēmumu un izdevumu aprēķins (ja nepieciešams, detalizētu ieņēmumu un izdevumu aprēķinu var pievienot anotācijas pielikumā):</w:t>
            </w:r>
          </w:p>
        </w:tc>
        <w:tc>
          <w:tcPr>
            <w:tcW w:w="3315" w:type="pct"/>
            <w:gridSpan w:val="5"/>
            <w:vMerge w:val="restart"/>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Nav attiecināms</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6.1. detalizēts ieņēmumu 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6.2. detalizēts izdevumu 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rPr>
          <w:trHeight w:val="555"/>
        </w:trPr>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7. Cita informācija</w:t>
            </w:r>
          </w:p>
        </w:tc>
        <w:tc>
          <w:tcPr>
            <w:tcW w:w="3315" w:type="pct"/>
            <w:gridSpan w:val="5"/>
            <w:shd w:val="clear" w:color="auto" w:fill="FFFFFF"/>
            <w:hideMark/>
          </w:tcPr>
          <w:p w:rsidR="00CD5F18" w:rsidRPr="00AD2DE5" w:rsidRDefault="00061682" w:rsidP="00903CB2">
            <w:pPr>
              <w:spacing w:line="293" w:lineRule="atLeast"/>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9382"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882"/>
      </w:tblGrid>
      <w:tr w:rsidR="00CD5F18" w:rsidRPr="0027189F" w:rsidTr="00703FC9">
        <w:trPr>
          <w:tblCellSpacing w:w="0" w:type="dxa"/>
        </w:trPr>
        <w:tc>
          <w:tcPr>
            <w:tcW w:w="9382" w:type="dxa"/>
            <w:gridSpan w:val="2"/>
            <w:tcBorders>
              <w:top w:val="outset" w:sz="6" w:space="0" w:color="auto"/>
              <w:left w:val="outset" w:sz="6" w:space="0" w:color="auto"/>
              <w:bottom w:val="outset" w:sz="6" w:space="0" w:color="auto"/>
              <w:right w:val="outset" w:sz="6" w:space="0" w:color="auto"/>
            </w:tcBorders>
          </w:tcPr>
          <w:p w:rsidR="00CD5F18" w:rsidRPr="00C32077" w:rsidRDefault="00CD5F18" w:rsidP="00903CB2">
            <w:pPr>
              <w:spacing w:before="100" w:beforeAutospacing="1" w:after="100" w:afterAutospacing="1" w:line="240" w:lineRule="auto"/>
              <w:ind w:firstLine="0"/>
              <w:jc w:val="center"/>
              <w:rPr>
                <w:rFonts w:eastAsia="Times New Roman"/>
                <w:b/>
                <w:bCs/>
                <w:sz w:val="24"/>
                <w:szCs w:val="24"/>
                <w:lang w:eastAsia="lv-LV"/>
              </w:rPr>
            </w:pPr>
            <w:r w:rsidRPr="0027189F">
              <w:rPr>
                <w:rFonts w:eastAsia="Times New Roman"/>
                <w:b/>
                <w:bCs/>
                <w:sz w:val="24"/>
                <w:szCs w:val="24"/>
                <w:lang w:eastAsia="lv-LV"/>
              </w:rPr>
              <w:t>VII. Tiesību akta projekta izpildes nodrošināšana un tās ietekme uz institūcijām</w:t>
            </w:r>
          </w:p>
        </w:tc>
      </w:tr>
      <w:tr w:rsidR="00CD5F18" w:rsidRPr="0027189F" w:rsidTr="00703FC9">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Projekta izpildē iesaistītās institūcijas</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V</w:t>
            </w:r>
            <w:r w:rsidRPr="00EB0C72">
              <w:rPr>
                <w:rFonts w:eastAsia="Times New Roman"/>
                <w:sz w:val="24"/>
                <w:szCs w:val="24"/>
                <w:lang w:eastAsia="lv-LV"/>
              </w:rPr>
              <w:t>alsts akciju sabiedrīb</w:t>
            </w:r>
            <w:r>
              <w:rPr>
                <w:rFonts w:eastAsia="Times New Roman"/>
                <w:sz w:val="24"/>
                <w:szCs w:val="24"/>
                <w:lang w:eastAsia="lv-LV"/>
              </w:rPr>
              <w:t>a</w:t>
            </w:r>
            <w:r w:rsidRPr="00EB0C72">
              <w:rPr>
                <w:rFonts w:eastAsia="Times New Roman"/>
                <w:sz w:val="24"/>
                <w:szCs w:val="24"/>
                <w:lang w:eastAsia="lv-LV"/>
              </w:rPr>
              <w:t xml:space="preserve"> „Ce</w:t>
            </w:r>
            <w:r>
              <w:rPr>
                <w:rFonts w:eastAsia="Times New Roman"/>
                <w:sz w:val="24"/>
                <w:szCs w:val="24"/>
                <w:lang w:eastAsia="lv-LV"/>
              </w:rPr>
              <w:t>ļu satiksmes drošības direkcija”.</w:t>
            </w:r>
          </w:p>
        </w:tc>
      </w:tr>
      <w:tr w:rsidR="00CD5F18" w:rsidTr="00703FC9">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0F6A09">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82" w:type="dxa"/>
            <w:tcBorders>
              <w:top w:val="outset" w:sz="6" w:space="0" w:color="auto"/>
              <w:left w:val="outset" w:sz="6" w:space="0" w:color="auto"/>
              <w:bottom w:val="outset" w:sz="6" w:space="0" w:color="auto"/>
              <w:right w:val="outset" w:sz="6" w:space="0" w:color="auto"/>
            </w:tcBorders>
          </w:tcPr>
          <w:p w:rsidR="00CD5F18" w:rsidRDefault="00CD5F18" w:rsidP="00903CB2">
            <w:pPr>
              <w:ind w:firstLine="0"/>
            </w:pPr>
            <w:r w:rsidRPr="00E84F0F">
              <w:rPr>
                <w:rFonts w:eastAsia="Times New Roman"/>
                <w:sz w:val="24"/>
                <w:szCs w:val="24"/>
                <w:lang w:eastAsia="lv-LV"/>
              </w:rPr>
              <w:t xml:space="preserve">Projekts šo jomu neskar. </w:t>
            </w:r>
          </w:p>
        </w:tc>
      </w:tr>
      <w:tr w:rsidR="00CD5F18" w:rsidRPr="0027189F" w:rsidTr="00703FC9">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Cita informācija</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p w:rsidR="00CD5F18" w:rsidRDefault="00CD5F18" w:rsidP="00A3446F">
      <w:pPr>
        <w:spacing w:line="240" w:lineRule="auto"/>
        <w:ind w:firstLine="0"/>
        <w:rPr>
          <w:rFonts w:eastAsia="Times New Roman"/>
          <w:sz w:val="24"/>
          <w:szCs w:val="24"/>
          <w:lang w:eastAsia="lv-LV"/>
        </w:rPr>
      </w:pPr>
      <w:r>
        <w:rPr>
          <w:rFonts w:eastAsia="Times New Roman"/>
          <w:sz w:val="24"/>
          <w:szCs w:val="24"/>
          <w:lang w:eastAsia="lv-LV"/>
        </w:rPr>
        <w:t xml:space="preserve">Anotācijas </w:t>
      </w:r>
      <w:r w:rsidR="00A3446F">
        <w:rPr>
          <w:rFonts w:eastAsia="Times New Roman"/>
          <w:sz w:val="24"/>
          <w:szCs w:val="24"/>
          <w:lang w:eastAsia="lv-LV"/>
        </w:rPr>
        <w:t xml:space="preserve">II, </w:t>
      </w:r>
      <w:r w:rsidRPr="008D5163">
        <w:rPr>
          <w:rFonts w:eastAsia="Times New Roman"/>
          <w:sz w:val="24"/>
          <w:szCs w:val="24"/>
          <w:lang w:eastAsia="lv-LV"/>
        </w:rPr>
        <w:t>IV</w:t>
      </w:r>
      <w:r>
        <w:rPr>
          <w:rFonts w:eastAsia="Times New Roman"/>
          <w:sz w:val="24"/>
          <w:szCs w:val="24"/>
          <w:lang w:eastAsia="lv-LV"/>
        </w:rPr>
        <w:t xml:space="preserve">, V </w:t>
      </w:r>
      <w:r w:rsidRPr="008D5163">
        <w:rPr>
          <w:rFonts w:eastAsia="Times New Roman"/>
          <w:sz w:val="24"/>
          <w:szCs w:val="24"/>
          <w:lang w:eastAsia="lv-LV"/>
        </w:rPr>
        <w:t>un VI sadaļas – projekts šīs jomas neskar.</w:t>
      </w:r>
    </w:p>
    <w:p w:rsidR="00A3446F" w:rsidRDefault="00A3446F" w:rsidP="00CD5F18">
      <w:pPr>
        <w:spacing w:before="58" w:after="58"/>
        <w:ind w:right="-341" w:firstLine="709"/>
        <w:rPr>
          <w:szCs w:val="28"/>
        </w:rPr>
      </w:pPr>
    </w:p>
    <w:p w:rsidR="00CD5F18" w:rsidRPr="00E9426E" w:rsidRDefault="00CD5F18" w:rsidP="00CD5F18">
      <w:pPr>
        <w:spacing w:before="58" w:after="58"/>
        <w:ind w:right="-341" w:firstLine="709"/>
        <w:rPr>
          <w:szCs w:val="28"/>
        </w:rPr>
      </w:pPr>
      <w:r w:rsidRPr="00E9426E">
        <w:rPr>
          <w:szCs w:val="28"/>
        </w:rPr>
        <w:t>Satiksmes ministrs</w:t>
      </w:r>
      <w:r w:rsidRPr="00E9426E">
        <w:rPr>
          <w:szCs w:val="28"/>
        </w:rPr>
        <w:tab/>
      </w:r>
      <w:r w:rsidRPr="00E9426E">
        <w:rPr>
          <w:szCs w:val="28"/>
        </w:rPr>
        <w:tab/>
      </w:r>
      <w:r w:rsidRPr="00E9426E">
        <w:rPr>
          <w:szCs w:val="28"/>
        </w:rPr>
        <w:tab/>
      </w:r>
      <w:r w:rsidRPr="00E9426E">
        <w:rPr>
          <w:szCs w:val="28"/>
        </w:rPr>
        <w:tab/>
      </w:r>
      <w:r w:rsidRPr="00E9426E">
        <w:rPr>
          <w:szCs w:val="28"/>
        </w:rPr>
        <w:tab/>
      </w:r>
      <w:r w:rsidRPr="00E9426E">
        <w:rPr>
          <w:szCs w:val="28"/>
        </w:rPr>
        <w:tab/>
      </w:r>
      <w:r>
        <w:rPr>
          <w:szCs w:val="28"/>
        </w:rPr>
        <w:tab/>
      </w:r>
      <w:r w:rsidRPr="00E9426E">
        <w:rPr>
          <w:szCs w:val="28"/>
        </w:rPr>
        <w:t>A.</w:t>
      </w:r>
      <w:r>
        <w:rPr>
          <w:szCs w:val="28"/>
        </w:rPr>
        <w:t>Matīss</w:t>
      </w:r>
    </w:p>
    <w:p w:rsidR="00CD5F18" w:rsidRPr="00654FA9" w:rsidRDefault="00CD5F18" w:rsidP="00CD5F18">
      <w:pPr>
        <w:spacing w:line="240" w:lineRule="auto"/>
        <w:ind w:right="-341"/>
        <w:rPr>
          <w:szCs w:val="28"/>
          <w:lang w:eastAsia="lv-LV"/>
        </w:rPr>
      </w:pPr>
    </w:p>
    <w:p w:rsidR="00CD5F18" w:rsidRPr="00673F8D" w:rsidRDefault="00CD5F18" w:rsidP="00CD5F18">
      <w:pPr>
        <w:spacing w:line="240" w:lineRule="auto"/>
        <w:ind w:right="-341"/>
        <w:rPr>
          <w:szCs w:val="28"/>
        </w:rPr>
      </w:pPr>
      <w:r w:rsidRPr="00673F8D">
        <w:rPr>
          <w:szCs w:val="28"/>
        </w:rPr>
        <w:t xml:space="preserve">Vīza: </w:t>
      </w:r>
    </w:p>
    <w:p w:rsidR="00CD5F18" w:rsidRPr="00BD48CE" w:rsidRDefault="00CD5F18" w:rsidP="00CD5F18">
      <w:pPr>
        <w:spacing w:line="240" w:lineRule="auto"/>
        <w:ind w:firstLine="709"/>
        <w:rPr>
          <w:szCs w:val="28"/>
        </w:rPr>
      </w:pPr>
      <w:r w:rsidRPr="00BD48CE">
        <w:rPr>
          <w:szCs w:val="28"/>
        </w:rPr>
        <w:t>Valsts sekretār</w:t>
      </w:r>
      <w:r>
        <w:rPr>
          <w:szCs w:val="28"/>
        </w:rPr>
        <w:t>s</w:t>
      </w:r>
      <w:r w:rsidRPr="00BD48CE">
        <w:rPr>
          <w:szCs w:val="28"/>
        </w:rPr>
        <w:t xml:space="preserve"> </w:t>
      </w:r>
      <w:r w:rsidRPr="00BD48CE">
        <w:rPr>
          <w:szCs w:val="28"/>
        </w:rPr>
        <w:tab/>
      </w:r>
      <w:r w:rsidRPr="00BD48CE">
        <w:rPr>
          <w:szCs w:val="28"/>
        </w:rPr>
        <w:tab/>
      </w:r>
      <w:r w:rsidRPr="00BD48CE">
        <w:rPr>
          <w:szCs w:val="28"/>
        </w:rPr>
        <w:tab/>
      </w:r>
      <w:r w:rsidRPr="00BD48CE">
        <w:rPr>
          <w:szCs w:val="28"/>
        </w:rPr>
        <w:tab/>
      </w:r>
      <w:r>
        <w:rPr>
          <w:szCs w:val="28"/>
        </w:rPr>
        <w:t xml:space="preserve">  </w:t>
      </w:r>
      <w:r w:rsidRPr="00BD48CE">
        <w:rPr>
          <w:szCs w:val="28"/>
        </w:rPr>
        <w:tab/>
      </w:r>
      <w:r>
        <w:rPr>
          <w:szCs w:val="28"/>
        </w:rPr>
        <w:t xml:space="preserve">      </w:t>
      </w:r>
      <w:r>
        <w:rPr>
          <w:szCs w:val="28"/>
        </w:rPr>
        <w:tab/>
        <w:t xml:space="preserve">         K</w:t>
      </w:r>
      <w:r w:rsidRPr="003A031D">
        <w:rPr>
          <w:szCs w:val="28"/>
        </w:rPr>
        <w:t>.</w:t>
      </w:r>
      <w:r>
        <w:rPr>
          <w:szCs w:val="28"/>
        </w:rPr>
        <w:t>Ozoliņš</w:t>
      </w:r>
    </w:p>
    <w:p w:rsidR="00DC088F" w:rsidRDefault="00DC088F" w:rsidP="00CD5F18">
      <w:pPr>
        <w:spacing w:line="240" w:lineRule="auto"/>
        <w:ind w:right="-341" w:firstLine="0"/>
        <w:rPr>
          <w:sz w:val="22"/>
        </w:rPr>
      </w:pPr>
    </w:p>
    <w:p w:rsidR="00EB7E0D" w:rsidRDefault="00EB7E0D" w:rsidP="00CD5F18">
      <w:pPr>
        <w:spacing w:line="240" w:lineRule="auto"/>
        <w:ind w:right="-341" w:firstLine="0"/>
        <w:rPr>
          <w:sz w:val="22"/>
        </w:rPr>
      </w:pPr>
    </w:p>
    <w:p w:rsidR="00CD5F18" w:rsidRPr="00C1051F" w:rsidRDefault="006737CF" w:rsidP="00CD5F18">
      <w:pPr>
        <w:spacing w:line="240" w:lineRule="auto"/>
        <w:ind w:right="-341" w:firstLine="0"/>
        <w:rPr>
          <w:sz w:val="22"/>
        </w:rPr>
      </w:pPr>
      <w:r>
        <w:rPr>
          <w:sz w:val="22"/>
        </w:rPr>
        <w:t>12</w:t>
      </w:r>
      <w:r w:rsidR="00CD5F18">
        <w:rPr>
          <w:sz w:val="22"/>
        </w:rPr>
        <w:t>.05</w:t>
      </w:r>
      <w:r w:rsidR="00CD5F18" w:rsidRPr="00C1051F">
        <w:rPr>
          <w:sz w:val="22"/>
        </w:rPr>
        <w:t>.201</w:t>
      </w:r>
      <w:r w:rsidR="00CD5F18">
        <w:rPr>
          <w:sz w:val="22"/>
        </w:rPr>
        <w:t>4</w:t>
      </w:r>
      <w:r w:rsidR="00CD5F18" w:rsidRPr="00C1051F">
        <w:rPr>
          <w:sz w:val="22"/>
        </w:rPr>
        <w:t xml:space="preserve">. </w:t>
      </w:r>
      <w:r w:rsidR="00CD5F18">
        <w:rPr>
          <w:sz w:val="22"/>
        </w:rPr>
        <w:t>13:10</w:t>
      </w:r>
    </w:p>
    <w:p w:rsidR="00CD5F18" w:rsidRPr="00C1051F" w:rsidRDefault="00CD5F18" w:rsidP="00CD5F18">
      <w:pPr>
        <w:spacing w:line="240" w:lineRule="auto"/>
        <w:ind w:right="-341" w:firstLine="0"/>
        <w:rPr>
          <w:sz w:val="22"/>
        </w:rPr>
      </w:pPr>
      <w:r>
        <w:rPr>
          <w:sz w:val="22"/>
        </w:rPr>
        <w:t>1</w:t>
      </w:r>
      <w:r w:rsidR="00EB4168">
        <w:rPr>
          <w:sz w:val="22"/>
        </w:rPr>
        <w:t>418</w:t>
      </w:r>
    </w:p>
    <w:p w:rsidR="00CD5F18" w:rsidRDefault="006737CF" w:rsidP="00CD5F18">
      <w:pPr>
        <w:spacing w:line="240" w:lineRule="auto"/>
        <w:ind w:firstLine="0"/>
        <w:rPr>
          <w:sz w:val="22"/>
        </w:rPr>
      </w:pPr>
      <w:r>
        <w:rPr>
          <w:sz w:val="22"/>
        </w:rPr>
        <w:t>Strauta, 67028349</w:t>
      </w:r>
    </w:p>
    <w:p w:rsidR="008D01AA" w:rsidRDefault="006737CF" w:rsidP="00703FC9">
      <w:pPr>
        <w:spacing w:line="240" w:lineRule="auto"/>
        <w:ind w:firstLine="0"/>
      </w:pPr>
      <w:r>
        <w:rPr>
          <w:sz w:val="22"/>
        </w:rPr>
        <w:t>Inga.Strauta@sam.gov.lv</w:t>
      </w:r>
    </w:p>
    <w:sectPr w:rsidR="008D01AA" w:rsidSect="00703FC9">
      <w:headerReference w:type="default" r:id="rId8"/>
      <w:footerReference w:type="default" r:id="rId9"/>
      <w:footerReference w:type="first" r:id="rId10"/>
      <w:pgSz w:w="11906" w:h="16838"/>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6F" w:rsidRDefault="00A3446F" w:rsidP="00A3446F">
      <w:pPr>
        <w:spacing w:line="240" w:lineRule="auto"/>
      </w:pPr>
      <w:r>
        <w:separator/>
      </w:r>
    </w:p>
  </w:endnote>
  <w:endnote w:type="continuationSeparator" w:id="0">
    <w:p w:rsidR="00A3446F" w:rsidRDefault="00A3446F" w:rsidP="00A34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B77812" w:rsidRDefault="00DC088F" w:rsidP="00703FC9">
    <w:pPr>
      <w:pStyle w:val="Footer"/>
      <w:tabs>
        <w:tab w:val="clear" w:pos="8306"/>
      </w:tabs>
      <w:spacing w:line="240" w:lineRule="auto"/>
      <w:ind w:firstLine="0"/>
      <w:rPr>
        <w:sz w:val="24"/>
        <w:szCs w:val="24"/>
      </w:rPr>
    </w:pPr>
    <w:r w:rsidRPr="00B77812">
      <w:rPr>
        <w:sz w:val="24"/>
        <w:szCs w:val="24"/>
        <w:lang w:val="lv-LV"/>
      </w:rPr>
      <w:t>SAMAnot_</w:t>
    </w:r>
    <w:r w:rsidR="00A3446F">
      <w:rPr>
        <w:sz w:val="24"/>
        <w:szCs w:val="24"/>
        <w:lang w:val="lv-LV"/>
      </w:rPr>
      <w:t>12</w:t>
    </w:r>
    <w:r w:rsidRPr="00B77812">
      <w:rPr>
        <w:sz w:val="24"/>
        <w:szCs w:val="24"/>
        <w:lang w:val="lv-LV"/>
      </w:rPr>
      <w:t>0514_CSDDdiv; Par Ministru kabineta rīkojuma projektu „Par valstij dividendēs izmaksājamo valsts akciju sabiedrības „Ceļu satiksmes drošības direkcija” peļņas daļu””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B77812" w:rsidRDefault="00DC088F" w:rsidP="00703FC9">
    <w:pPr>
      <w:pStyle w:val="Footer"/>
      <w:spacing w:line="240" w:lineRule="auto"/>
      <w:ind w:firstLine="0"/>
      <w:rPr>
        <w:sz w:val="24"/>
        <w:szCs w:val="24"/>
      </w:rPr>
    </w:pPr>
    <w:r w:rsidRPr="00B77812">
      <w:rPr>
        <w:sz w:val="24"/>
        <w:szCs w:val="24"/>
        <w:lang w:val="lv-LV"/>
      </w:rPr>
      <w:t>SAMAnot_</w:t>
    </w:r>
    <w:r w:rsidR="00A3446F">
      <w:rPr>
        <w:sz w:val="24"/>
        <w:szCs w:val="24"/>
        <w:lang w:val="lv-LV"/>
      </w:rPr>
      <w:t>12</w:t>
    </w:r>
    <w:r w:rsidRPr="00B77812">
      <w:rPr>
        <w:sz w:val="24"/>
        <w:szCs w:val="24"/>
        <w:lang w:val="lv-LV"/>
      </w:rPr>
      <w:t>0514_CSDDdiv; Par Ministru kabineta rīkojuma projektu „Par valstij dividendēs izmaksājamo valsts akciju sabiedrības „Ceļu satiksmes drošības direkcija” peļņas daļu””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6F" w:rsidRDefault="00A3446F" w:rsidP="00A3446F">
      <w:pPr>
        <w:spacing w:line="240" w:lineRule="auto"/>
      </w:pPr>
      <w:r>
        <w:separator/>
      </w:r>
    </w:p>
  </w:footnote>
  <w:footnote w:type="continuationSeparator" w:id="0">
    <w:p w:rsidR="00A3446F" w:rsidRDefault="00A3446F" w:rsidP="00A34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DC088F" w:rsidP="0047322B">
    <w:pPr>
      <w:pStyle w:val="Header"/>
      <w:ind w:firstLine="0"/>
      <w:jc w:val="center"/>
    </w:pPr>
    <w:r>
      <w:fldChar w:fldCharType="begin"/>
    </w:r>
    <w:r>
      <w:instrText xml:space="preserve"> PAGE   \* MERGEFORMAT </w:instrText>
    </w:r>
    <w:r>
      <w:fldChar w:fldCharType="separate"/>
    </w:r>
    <w:r w:rsidR="00037E4F">
      <w:rPr>
        <w:noProof/>
      </w:rPr>
      <w:t>5</w:t>
    </w:r>
    <w:r>
      <w:fldChar w:fldCharType="end"/>
    </w:r>
  </w:p>
  <w:p w:rsidR="000A204C" w:rsidRDefault="0003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8"/>
    <w:rsid w:val="00037E4F"/>
    <w:rsid w:val="00061682"/>
    <w:rsid w:val="00106057"/>
    <w:rsid w:val="00362B3F"/>
    <w:rsid w:val="005025E6"/>
    <w:rsid w:val="0052100D"/>
    <w:rsid w:val="00663008"/>
    <w:rsid w:val="006737CF"/>
    <w:rsid w:val="00703FC9"/>
    <w:rsid w:val="007342D8"/>
    <w:rsid w:val="0088322D"/>
    <w:rsid w:val="008D01AA"/>
    <w:rsid w:val="00952273"/>
    <w:rsid w:val="009F2540"/>
    <w:rsid w:val="00A3446F"/>
    <w:rsid w:val="00B24667"/>
    <w:rsid w:val="00B303C8"/>
    <w:rsid w:val="00CD5F18"/>
    <w:rsid w:val="00DC088F"/>
    <w:rsid w:val="00EB4168"/>
    <w:rsid w:val="00EB7E0D"/>
    <w:rsid w:val="00F7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6891</Words>
  <Characters>3929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Satiksmes ministrija</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Inga Strauta</dc:creator>
  <dc:description>inga.strauta@sam.gov.lv_x000d_
67028349</dc:description>
  <cp:lastModifiedBy>Inguna Strautmane</cp:lastModifiedBy>
  <cp:revision>18</cp:revision>
  <cp:lastPrinted>2014-05-12T11:11:00Z</cp:lastPrinted>
  <dcterms:created xsi:type="dcterms:W3CDTF">2014-05-12T08:07:00Z</dcterms:created>
  <dcterms:modified xsi:type="dcterms:W3CDTF">2014-05-22T08:26:00Z</dcterms:modified>
</cp:coreProperties>
</file>