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69" w:rsidRPr="00112E69" w:rsidRDefault="00112E69" w:rsidP="00112E69">
      <w:pPr>
        <w:spacing w:line="240" w:lineRule="auto"/>
        <w:ind w:firstLine="0"/>
        <w:jc w:val="center"/>
        <w:rPr>
          <w:rFonts w:eastAsia="Times New Roman"/>
          <w:b/>
          <w:bCs/>
          <w:szCs w:val="28"/>
          <w:lang w:eastAsia="lv-LV"/>
        </w:rPr>
      </w:pPr>
      <w:r w:rsidRPr="00112E69">
        <w:rPr>
          <w:b/>
          <w:szCs w:val="28"/>
        </w:rPr>
        <w:t xml:space="preserve">Ministru kabineta noteikumu projekta „Autoceļu lietošanas nodevas maksāšanas, iekasēšanas un administrēšanas kārtība” </w:t>
      </w:r>
      <w:r w:rsidRPr="00112E69">
        <w:rPr>
          <w:rFonts w:eastAsia="Times New Roman"/>
          <w:b/>
          <w:bCs/>
          <w:szCs w:val="28"/>
          <w:lang w:eastAsia="lv-LV"/>
        </w:rPr>
        <w:t>sākotnējās ietekmes novērtējuma ziņojums (anotācija)</w:t>
      </w:r>
    </w:p>
    <w:p w:rsidR="00112E69" w:rsidRPr="00112E69" w:rsidRDefault="00112E69" w:rsidP="00112E69">
      <w:pPr>
        <w:ind w:firstLine="0"/>
        <w:rPr>
          <w:rFonts w:eastAsia="Times New Roman"/>
          <w:b/>
          <w:szCs w:val="28"/>
          <w:lang w:eastAsia="lv-LV"/>
        </w:rPr>
      </w:pPr>
    </w:p>
    <w:tbl>
      <w:tblPr>
        <w:tblW w:w="8872"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984"/>
        <w:gridCol w:w="420"/>
        <w:gridCol w:w="5108"/>
      </w:tblGrid>
      <w:tr w:rsidR="00112E69" w:rsidRPr="00112E69" w:rsidTr="00D50F1E">
        <w:trPr>
          <w:trHeight w:val="331"/>
          <w:tblCellSpacing w:w="0" w:type="dxa"/>
        </w:trPr>
        <w:tc>
          <w:tcPr>
            <w:tcW w:w="8872" w:type="dxa"/>
            <w:gridSpan w:val="4"/>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240" w:lineRule="auto"/>
              <w:ind w:firstLine="0"/>
              <w:jc w:val="center"/>
              <w:rPr>
                <w:rFonts w:eastAsia="Times New Roman"/>
                <w:sz w:val="24"/>
                <w:szCs w:val="24"/>
                <w:lang w:eastAsia="lv-LV"/>
              </w:rPr>
            </w:pPr>
            <w:r w:rsidRPr="00112E69">
              <w:rPr>
                <w:rFonts w:eastAsia="Times New Roman"/>
                <w:b/>
                <w:bCs/>
                <w:sz w:val="24"/>
                <w:szCs w:val="24"/>
                <w:lang w:eastAsia="lv-LV"/>
              </w:rPr>
              <w:t>I. Tiesību akta projekta izstrādes nepieciešamība</w:t>
            </w:r>
          </w:p>
        </w:tc>
      </w:tr>
      <w:tr w:rsidR="00112E69" w:rsidRPr="00112E69" w:rsidTr="00D50F1E">
        <w:trPr>
          <w:trHeight w:val="581"/>
          <w:tblCellSpacing w:w="0" w:type="dxa"/>
        </w:trPr>
        <w:tc>
          <w:tcPr>
            <w:tcW w:w="36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1.</w:t>
            </w:r>
          </w:p>
        </w:tc>
        <w:tc>
          <w:tcPr>
            <w:tcW w:w="2984"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Pamatojums</w:t>
            </w:r>
          </w:p>
        </w:tc>
        <w:tc>
          <w:tcPr>
            <w:tcW w:w="5528"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rPr>
                <w:rFonts w:eastAsia="Times New Roman"/>
                <w:sz w:val="24"/>
                <w:szCs w:val="24"/>
                <w:lang w:eastAsia="lv-LV"/>
              </w:rPr>
            </w:pPr>
            <w:r w:rsidRPr="00112E69">
              <w:rPr>
                <w:rFonts w:eastAsia="Times New Roman"/>
                <w:sz w:val="24"/>
                <w:szCs w:val="24"/>
                <w:lang w:eastAsia="lv-LV"/>
              </w:rPr>
              <w:t>Autoceļu lietošanas nodevas likuma 3.pants un 5.panta trešā daļa</w:t>
            </w:r>
            <w:r w:rsidRPr="00112E69">
              <w:rPr>
                <w:sz w:val="24"/>
                <w:szCs w:val="24"/>
              </w:rPr>
              <w:t>.</w:t>
            </w:r>
          </w:p>
        </w:tc>
      </w:tr>
      <w:tr w:rsidR="00112E69" w:rsidRPr="00112E69" w:rsidTr="00D50F1E">
        <w:trPr>
          <w:trHeight w:val="1247"/>
          <w:tblCellSpacing w:w="0" w:type="dxa"/>
        </w:trPr>
        <w:tc>
          <w:tcPr>
            <w:tcW w:w="36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2.</w:t>
            </w:r>
          </w:p>
        </w:tc>
        <w:tc>
          <w:tcPr>
            <w:tcW w:w="2984"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w:t>
            </w:r>
            <w:r w:rsidRPr="00112E69">
              <w:rPr>
                <w:sz w:val="24"/>
                <w:szCs w:val="24"/>
              </w:rPr>
              <w:t>Pašreizējā situācija un problēmas, kuru risināšanai tiesību akta projekts izstrādāts, tiesiskā regulējuma mērķis un būtība</w:t>
            </w:r>
          </w:p>
        </w:tc>
        <w:tc>
          <w:tcPr>
            <w:tcW w:w="5528"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rPr>
                <w:sz w:val="24"/>
                <w:szCs w:val="24"/>
              </w:rPr>
            </w:pPr>
            <w:r w:rsidRPr="00112E69">
              <w:rPr>
                <w:sz w:val="24"/>
                <w:szCs w:val="24"/>
              </w:rPr>
              <w:t xml:space="preserve">Šo noteikumu projekts ietver normatīvo regulējumu autoceļu lietošanas nodevas maksāšanai, iekasēšanai un administrēšanai. </w:t>
            </w:r>
          </w:p>
          <w:p w:rsidR="00112E69" w:rsidRPr="00112E69" w:rsidRDefault="00112E69" w:rsidP="00D50F1E">
            <w:pPr>
              <w:spacing w:line="240" w:lineRule="auto"/>
              <w:ind w:firstLine="0"/>
              <w:rPr>
                <w:sz w:val="24"/>
                <w:szCs w:val="24"/>
              </w:rPr>
            </w:pPr>
            <w:r w:rsidRPr="00112E69">
              <w:rPr>
                <w:sz w:val="24"/>
                <w:szCs w:val="24"/>
              </w:rPr>
              <w:t xml:space="preserve">     Noteikumu projekts izstrādāts, vadoties no Valsts pārvaldes iekārtas likuma 10.panta desmitajā daļā noteiktā, lai ieviestu vairākus nodevas samaksas veidus, kādos transportlīdzekļu īpašnieki (vadītāji) varētu veikt nodevas samaksu, lai varētu izmantot Autoceļu lietošanas nodevas likumā noteikto galveno valsts autoceļu posmus. </w:t>
            </w:r>
          </w:p>
          <w:p w:rsidR="00112E69" w:rsidRPr="00112E69" w:rsidRDefault="00112E69" w:rsidP="00D50F1E">
            <w:pPr>
              <w:spacing w:line="240" w:lineRule="auto"/>
              <w:ind w:firstLine="0"/>
              <w:rPr>
                <w:sz w:val="24"/>
                <w:szCs w:val="24"/>
              </w:rPr>
            </w:pPr>
            <w:r w:rsidRPr="00112E69">
              <w:rPr>
                <w:sz w:val="24"/>
                <w:szCs w:val="24"/>
              </w:rPr>
              <w:t xml:space="preserve">    Noteikumu projekts atbilstoši Eiropas Parlamenta un Padomes </w:t>
            </w:r>
            <w:smartTag w:uri="schemas-tilde-lv/tildestengine" w:element="date">
              <w:smartTagPr>
                <w:attr w:name="Year" w:val="1999"/>
                <w:attr w:name="Month" w:val="6"/>
                <w:attr w:name="Day" w:val="17"/>
              </w:smartTagPr>
              <w:r w:rsidRPr="00112E69">
                <w:rPr>
                  <w:sz w:val="24"/>
                  <w:szCs w:val="24"/>
                </w:rPr>
                <w:t>1999.gada 17.jūnija</w:t>
              </w:r>
            </w:smartTag>
            <w:r w:rsidRPr="00112E69">
              <w:rPr>
                <w:sz w:val="24"/>
                <w:szCs w:val="24"/>
              </w:rPr>
              <w:t xml:space="preserve"> direktīvas 1999/62/EK par dažu infrastruktūru lietošanas maksas noteikšanu kravas transportlīdzekļiem, Eiropas Parlamenta un Padomes </w:t>
            </w:r>
            <w:smartTag w:uri="schemas-tilde-lv/tildestengine" w:element="date">
              <w:smartTagPr>
                <w:attr w:name="Year" w:val="2006"/>
                <w:attr w:name="Month" w:val="5"/>
                <w:attr w:name="Day" w:val="17"/>
              </w:smartTagPr>
              <w:r w:rsidRPr="00112E69">
                <w:rPr>
                  <w:sz w:val="24"/>
                  <w:szCs w:val="24"/>
                </w:rPr>
                <w:t>2006.gada 17.maija</w:t>
              </w:r>
            </w:smartTag>
            <w:r w:rsidRPr="00112E69">
              <w:rPr>
                <w:sz w:val="24"/>
                <w:szCs w:val="24"/>
              </w:rPr>
              <w:t xml:space="preserve"> direktīvas 2006/38/EK, ar ko groza Direktīvu 1999/62/EK par dažu infrastruktūru lietošanas maksas noteikšanu smagajiem kravas transportlīdzekļiem un Eiropas Parlamenta un Padomes 2011.gada 27.septembra direktīvas 2011/76/ES, ar ko groza Direktīvu 199/62/EK par dažu infrastruktūru lietošanas maksas noteikšanu smagajiem kravas transportlīdzekļiem prasībām, paredz iespēju samaksāt nodevu gan ar skaidru naudu, gan ar maksājumu karti, gan arī iespēju samaksāt nodevu atrodoties ārvalstī.</w:t>
            </w:r>
          </w:p>
          <w:p w:rsidR="00112E69" w:rsidRPr="00112E69" w:rsidRDefault="00112E69" w:rsidP="00D50F1E">
            <w:pPr>
              <w:spacing w:line="240" w:lineRule="auto"/>
              <w:ind w:firstLine="0"/>
              <w:rPr>
                <w:sz w:val="24"/>
                <w:szCs w:val="24"/>
              </w:rPr>
            </w:pPr>
            <w:r w:rsidRPr="00112E69">
              <w:rPr>
                <w:sz w:val="24"/>
                <w:szCs w:val="24"/>
              </w:rPr>
              <w:t xml:space="preserve">    Gan Latvijā, gan atrodoties ārvalstīs, pirms šķērsot Latvijas Republikas valsts robežu, nodevu varēs samaksāt portālā </w:t>
            </w:r>
            <w:proofErr w:type="spellStart"/>
            <w:r w:rsidRPr="00112E69">
              <w:rPr>
                <w:sz w:val="24"/>
                <w:szCs w:val="24"/>
              </w:rPr>
              <w:t>www.lvvignette.eu</w:t>
            </w:r>
            <w:proofErr w:type="spellEnd"/>
            <w:r w:rsidRPr="00112E69">
              <w:rPr>
                <w:sz w:val="24"/>
                <w:szCs w:val="24"/>
              </w:rPr>
              <w:t xml:space="preserve"> (turpmāk tekstā – portāls) ar maksājumu karti. Nodevas maksājums portālā nodrošinās maksājuma tiešu ieskaitīšanu no nodevas maksātāja konta valsts pamatbudžeta ieņēmumu kontā Valsts kasē. Latvijā nodevu varēs samaksāt ar skaidru naudu vai maksājumu karti izmantojot nodevas iekasēšanas pakalpojuma sniedzēju pakalpojumus (</w:t>
            </w:r>
            <w:proofErr w:type="spellStart"/>
            <w:r w:rsidRPr="00112E69">
              <w:rPr>
                <w:sz w:val="24"/>
                <w:szCs w:val="24"/>
              </w:rPr>
              <w:t>t.i</w:t>
            </w:r>
            <w:proofErr w:type="spellEnd"/>
            <w:r w:rsidRPr="00112E69">
              <w:rPr>
                <w:sz w:val="24"/>
                <w:szCs w:val="24"/>
              </w:rPr>
              <w:t xml:space="preserve">. lielākās degvielas uzpildes stacijas), kā arī VAS „Ceļu satiksmes drošības direkcija” pakalpojumu sniegšanas vietās. Nodevas maksājumu izdevumu par maksājumiem skaidrā naudā un maksājumu kartēm pakalpojumu sniegšanas vietās un Ceļu satiksmes drošības direkcijā segs nodevas maksātājs. Nodevas maksājums portālā būs bez papildus izdevumiem nodevas maksātājiem, maksājumu apstrādes izdevumus Ceļu satiksmes drošības direkcijai ir paredzēts segt no valsts budžeta </w:t>
            </w:r>
            <w:r w:rsidRPr="00112E69">
              <w:rPr>
                <w:sz w:val="24"/>
                <w:szCs w:val="24"/>
              </w:rPr>
              <w:lastRenderedPageBreak/>
              <w:t xml:space="preserve">programma </w:t>
            </w:r>
            <w:r w:rsidRPr="00112E69">
              <w:rPr>
                <w:rFonts w:eastAsia="Times New Roman"/>
                <w:sz w:val="24"/>
                <w:szCs w:val="24"/>
                <w:lang w:eastAsia="lv-LV"/>
              </w:rPr>
              <w:t>23.00.00 "Valsts autoceļu fonds"</w:t>
            </w:r>
            <w:r w:rsidRPr="00112E69">
              <w:rPr>
                <w:sz w:val="24"/>
                <w:szCs w:val="24"/>
              </w:rPr>
              <w:t xml:space="preserve"> nodevas administrēšanai piešķirtajiem līdzekļiem.</w:t>
            </w:r>
          </w:p>
          <w:p w:rsidR="00112E69" w:rsidRPr="00112E69" w:rsidRDefault="00112E69" w:rsidP="00D50F1E">
            <w:pPr>
              <w:spacing w:line="240" w:lineRule="auto"/>
              <w:ind w:firstLine="0"/>
              <w:rPr>
                <w:sz w:val="24"/>
                <w:szCs w:val="24"/>
              </w:rPr>
            </w:pPr>
            <w:r w:rsidRPr="00112E69">
              <w:rPr>
                <w:sz w:val="24"/>
                <w:szCs w:val="24"/>
              </w:rPr>
              <w:t xml:space="preserve">    Nodevas samaksu apliecinās tiešsaistes režīmā veiks ieraksts transportlīdzekļu un to vadītāju valsts reģistrā, līdz ar to, kontroles veikšanai nebūs jāuzrāda papildus dokumenti.</w:t>
            </w:r>
          </w:p>
          <w:p w:rsidR="00112E69" w:rsidRPr="00112E69" w:rsidRDefault="00112E69" w:rsidP="00D50F1E">
            <w:pPr>
              <w:spacing w:line="240" w:lineRule="auto"/>
              <w:ind w:firstLine="269"/>
              <w:rPr>
                <w:sz w:val="24"/>
                <w:szCs w:val="24"/>
              </w:rPr>
            </w:pPr>
            <w:r w:rsidRPr="00112E69">
              <w:rPr>
                <w:sz w:val="24"/>
                <w:szCs w:val="24"/>
              </w:rPr>
              <w:t xml:space="preserve">Pakalpojuma maksa par nodevas maksājumiem portālā netiks iekasēta. Nodevas iekasēšanas pakalpojuma maksa VAS „Ceļu satiksmes drošības direkcija” ir noteikta Ministru kabineta 2013.gada 24.septembra noteikumos nr.1000 “Valsts akciju sabiedrības "Ceļu satiksmes drošības direkcija" publisko maksas pakalpojumu cenrādis”. Pakalpojuma maksas apmēru nodevas maksājumiem pie nodevas iekasēšanas pakalpojuma sniedzēja ir paredzēts ierobežot tā, lai tas nebūtu atkarīgs no maksājamās nodevas apmēra, </w:t>
            </w:r>
            <w:proofErr w:type="spellStart"/>
            <w:r w:rsidRPr="00112E69">
              <w:rPr>
                <w:sz w:val="24"/>
                <w:szCs w:val="24"/>
              </w:rPr>
              <w:t>t.i</w:t>
            </w:r>
            <w:proofErr w:type="spellEnd"/>
            <w:r w:rsidRPr="00112E69">
              <w:rPr>
                <w:sz w:val="24"/>
                <w:szCs w:val="24"/>
              </w:rPr>
              <w:t>. būtu vienāds (fiksēts) visiem maksājumiem.</w:t>
            </w:r>
          </w:p>
          <w:p w:rsidR="00112E69" w:rsidRPr="00112E69" w:rsidRDefault="00112E69" w:rsidP="00D50F1E">
            <w:pPr>
              <w:spacing w:line="240" w:lineRule="auto"/>
              <w:ind w:firstLine="269"/>
              <w:rPr>
                <w:sz w:val="24"/>
                <w:szCs w:val="24"/>
              </w:rPr>
            </w:pPr>
            <w:r w:rsidRPr="00112E69">
              <w:rPr>
                <w:sz w:val="24"/>
                <w:szCs w:val="24"/>
              </w:rPr>
              <w:t>Noteikumu projekts nosaka VAS „Latvijas Valsts ceļi, VAS „Ceļu satiksmes drošības direkcija” un Valsts ieņēmumu dienesta kompetenci nodevas administrēšanā.</w:t>
            </w:r>
          </w:p>
          <w:p w:rsidR="00112E69" w:rsidRPr="00112E69" w:rsidRDefault="00112E69" w:rsidP="00D50F1E">
            <w:pPr>
              <w:spacing w:line="240" w:lineRule="auto"/>
              <w:ind w:firstLine="269"/>
              <w:rPr>
                <w:sz w:val="24"/>
                <w:szCs w:val="24"/>
              </w:rPr>
            </w:pPr>
            <w:r w:rsidRPr="00112E69">
              <w:rPr>
                <w:sz w:val="24"/>
                <w:szCs w:val="24"/>
              </w:rPr>
              <w:t xml:space="preserve">Autoceļu lietošanas maksa jau tiek piemērota praktiski visās ES dalībvalstīs un Latvijas ir viena no pēdējām valstīm, kas to ieviesīs ar 2014.gada 1.jūliju. </w:t>
            </w:r>
          </w:p>
        </w:tc>
      </w:tr>
      <w:tr w:rsidR="00112E69" w:rsidRPr="00112E69" w:rsidTr="00D50F1E">
        <w:trPr>
          <w:trHeight w:val="507"/>
          <w:tblCellSpacing w:w="0" w:type="dxa"/>
        </w:trPr>
        <w:tc>
          <w:tcPr>
            <w:tcW w:w="36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lastRenderedPageBreak/>
              <w:t> 3.</w:t>
            </w:r>
          </w:p>
        </w:tc>
        <w:tc>
          <w:tcPr>
            <w:tcW w:w="2984"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Projekta izstrādē iesaistītās institūcijas</w:t>
            </w:r>
          </w:p>
        </w:tc>
        <w:tc>
          <w:tcPr>
            <w:tcW w:w="5528"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Valsts akciju sabiedrība „Ceļu satiksmes drošības direkcija”, valsts akciju sabiedrība „Latvijas Valsts ceļi”.</w:t>
            </w:r>
          </w:p>
        </w:tc>
      </w:tr>
      <w:tr w:rsidR="00112E69" w:rsidRPr="00112E69" w:rsidTr="00D50F1E">
        <w:trPr>
          <w:tblCellSpacing w:w="0" w:type="dxa"/>
        </w:trPr>
        <w:tc>
          <w:tcPr>
            <w:tcW w:w="36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4.</w:t>
            </w:r>
          </w:p>
        </w:tc>
        <w:tc>
          <w:tcPr>
            <w:tcW w:w="2984"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Cita informācija</w:t>
            </w:r>
          </w:p>
        </w:tc>
        <w:tc>
          <w:tcPr>
            <w:tcW w:w="5528"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rPr>
                <w:rFonts w:eastAsia="Times New Roman"/>
                <w:sz w:val="24"/>
                <w:szCs w:val="24"/>
                <w:lang w:eastAsia="lv-LV"/>
              </w:rPr>
            </w:pPr>
            <w:r w:rsidRPr="00112E69">
              <w:rPr>
                <w:rFonts w:eastAsia="Times New Roman"/>
                <w:sz w:val="24"/>
                <w:szCs w:val="24"/>
                <w:lang w:eastAsia="lv-LV"/>
              </w:rPr>
              <w:t>Nav</w:t>
            </w:r>
          </w:p>
        </w:tc>
      </w:tr>
      <w:tr w:rsidR="00112E69" w:rsidRPr="00112E69" w:rsidTr="00D50F1E">
        <w:trPr>
          <w:tblCellSpacing w:w="0" w:type="dxa"/>
        </w:trPr>
        <w:tc>
          <w:tcPr>
            <w:tcW w:w="8872" w:type="dxa"/>
            <w:gridSpan w:val="4"/>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240" w:lineRule="auto"/>
              <w:ind w:firstLine="0"/>
              <w:jc w:val="center"/>
              <w:rPr>
                <w:rFonts w:eastAsia="Times New Roman"/>
                <w:b/>
                <w:sz w:val="24"/>
                <w:szCs w:val="24"/>
                <w:lang w:eastAsia="lv-LV"/>
              </w:rPr>
            </w:pPr>
            <w:r w:rsidRPr="00112E69">
              <w:rPr>
                <w:rFonts w:eastAsia="Times New Roman"/>
                <w:sz w:val="24"/>
                <w:szCs w:val="24"/>
                <w:lang w:eastAsia="lv-LV"/>
              </w:rPr>
              <w:t> </w:t>
            </w:r>
            <w:r w:rsidRPr="00112E69">
              <w:rPr>
                <w:rFonts w:eastAsia="Times New Roman"/>
                <w:b/>
                <w:sz w:val="24"/>
                <w:szCs w:val="24"/>
                <w:lang w:eastAsia="lv-LV"/>
              </w:rPr>
              <w:t xml:space="preserve">II. Tiesību akta projekta ietekme uz </w:t>
            </w:r>
            <w:r w:rsidRPr="00112E69">
              <w:rPr>
                <w:rFonts w:eastAsia="Times New Roman"/>
                <w:b/>
                <w:bCs/>
                <w:sz w:val="24"/>
                <w:szCs w:val="24"/>
                <w:lang w:eastAsia="lv-LV"/>
              </w:rPr>
              <w:t>sabiedrību</w:t>
            </w:r>
            <w:r w:rsidRPr="00112E69">
              <w:rPr>
                <w:b/>
                <w:bCs/>
                <w:sz w:val="24"/>
                <w:szCs w:val="24"/>
                <w:shd w:val="clear" w:color="auto" w:fill="FFFFFF"/>
              </w:rPr>
              <w:t>, tautsaimniecības attīstību un administratīvo slogu</w:t>
            </w:r>
          </w:p>
        </w:tc>
      </w:tr>
      <w:tr w:rsidR="00112E69" w:rsidRPr="00112E69" w:rsidTr="00D50F1E">
        <w:trPr>
          <w:trHeight w:val="467"/>
          <w:tblCellSpacing w:w="0" w:type="dxa"/>
        </w:trPr>
        <w:tc>
          <w:tcPr>
            <w:tcW w:w="36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1.</w:t>
            </w:r>
          </w:p>
        </w:tc>
        <w:tc>
          <w:tcPr>
            <w:tcW w:w="3404"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w:t>
            </w:r>
            <w:r w:rsidRPr="00112E69">
              <w:rPr>
                <w:sz w:val="24"/>
                <w:szCs w:val="24"/>
                <w:shd w:val="clear" w:color="auto" w:fill="FFFFFF"/>
              </w:rPr>
              <w:t xml:space="preserve">Sabiedrības </w:t>
            </w:r>
            <w:proofErr w:type="spellStart"/>
            <w:r w:rsidRPr="00112E69">
              <w:rPr>
                <w:sz w:val="24"/>
                <w:szCs w:val="24"/>
                <w:shd w:val="clear" w:color="auto" w:fill="FFFFFF"/>
              </w:rPr>
              <w:t>mērķgrupas</w:t>
            </w:r>
            <w:proofErr w:type="spellEnd"/>
            <w:r w:rsidRPr="00112E69">
              <w:rPr>
                <w:sz w:val="24"/>
                <w:szCs w:val="24"/>
                <w:shd w:val="clear" w:color="auto" w:fill="FFFFFF"/>
              </w:rPr>
              <w:t>, kuras tiesiskais regulējums ietekmē vai varētu ietekmēt</w:t>
            </w:r>
          </w:p>
        </w:tc>
        <w:tc>
          <w:tcPr>
            <w:tcW w:w="5108"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rPr>
                <w:rFonts w:eastAsia="Times New Roman"/>
                <w:sz w:val="24"/>
                <w:szCs w:val="24"/>
                <w:lang w:eastAsia="lv-LV"/>
              </w:rPr>
            </w:pPr>
            <w:r w:rsidRPr="00112E69">
              <w:rPr>
                <w:rFonts w:eastAsia="Times New Roman"/>
                <w:sz w:val="24"/>
                <w:szCs w:val="24"/>
                <w:lang w:eastAsia="lv-LV"/>
              </w:rPr>
              <w:t>Noteikumu projekts attiecas uz kravas transportlīdzekļu īpašniekiem (vadītājiem), kuri lietos likumā noteiktos valsts galveno autoceļu posmus.</w:t>
            </w:r>
          </w:p>
        </w:tc>
      </w:tr>
      <w:tr w:rsidR="00112E69" w:rsidRPr="00112E69" w:rsidTr="00D50F1E">
        <w:trPr>
          <w:trHeight w:val="523"/>
          <w:tblCellSpacing w:w="0" w:type="dxa"/>
        </w:trPr>
        <w:tc>
          <w:tcPr>
            <w:tcW w:w="36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2.</w:t>
            </w:r>
          </w:p>
        </w:tc>
        <w:tc>
          <w:tcPr>
            <w:tcW w:w="3404"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w:t>
            </w:r>
            <w:r w:rsidRPr="00112E69">
              <w:rPr>
                <w:sz w:val="24"/>
                <w:szCs w:val="24"/>
                <w:shd w:val="clear" w:color="auto" w:fill="FFFFFF"/>
              </w:rPr>
              <w:t>Tiesiskā regulējuma ietekme uz tautsaimniecību un administratīvo slogu</w:t>
            </w:r>
          </w:p>
        </w:tc>
        <w:tc>
          <w:tcPr>
            <w:tcW w:w="5108"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jc w:val="left"/>
            </w:pPr>
            <w:r w:rsidRPr="00112E69">
              <w:rPr>
                <w:sz w:val="24"/>
                <w:szCs w:val="24"/>
                <w:lang w:eastAsia="lv-LV"/>
              </w:rPr>
              <w:t>Projekts šo jomu neskar.</w:t>
            </w:r>
          </w:p>
        </w:tc>
      </w:tr>
      <w:tr w:rsidR="00112E69" w:rsidRPr="00112E69" w:rsidTr="00D50F1E">
        <w:trPr>
          <w:trHeight w:val="517"/>
          <w:tblCellSpacing w:w="0" w:type="dxa"/>
        </w:trPr>
        <w:tc>
          <w:tcPr>
            <w:tcW w:w="36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3.</w:t>
            </w:r>
          </w:p>
        </w:tc>
        <w:tc>
          <w:tcPr>
            <w:tcW w:w="3404"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w:t>
            </w:r>
            <w:r w:rsidRPr="00112E69">
              <w:rPr>
                <w:sz w:val="24"/>
                <w:szCs w:val="24"/>
                <w:shd w:val="clear" w:color="auto" w:fill="FFFFFF"/>
              </w:rPr>
              <w:t>Administratīvo izmaksu monetārs novērtējums</w:t>
            </w:r>
          </w:p>
        </w:tc>
        <w:tc>
          <w:tcPr>
            <w:tcW w:w="5108"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ind w:firstLine="0"/>
              <w:jc w:val="left"/>
            </w:pPr>
            <w:r w:rsidRPr="00112E69">
              <w:rPr>
                <w:rFonts w:eastAsia="Times New Roman"/>
                <w:sz w:val="24"/>
                <w:szCs w:val="24"/>
                <w:lang w:eastAsia="lv-LV"/>
              </w:rPr>
              <w:t xml:space="preserve">Projekts šo jomu neskar. </w:t>
            </w:r>
          </w:p>
        </w:tc>
      </w:tr>
      <w:tr w:rsidR="00112E69" w:rsidRPr="00112E69" w:rsidTr="00D50F1E">
        <w:trPr>
          <w:tblCellSpacing w:w="0" w:type="dxa"/>
        </w:trPr>
        <w:tc>
          <w:tcPr>
            <w:tcW w:w="36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4.</w:t>
            </w:r>
          </w:p>
        </w:tc>
        <w:tc>
          <w:tcPr>
            <w:tcW w:w="3404"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Cita informācija</w:t>
            </w:r>
          </w:p>
        </w:tc>
        <w:tc>
          <w:tcPr>
            <w:tcW w:w="5108"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Nav.</w:t>
            </w:r>
          </w:p>
        </w:tc>
      </w:tr>
    </w:tbl>
    <w:p w:rsidR="00112E69" w:rsidRPr="00112E69" w:rsidRDefault="00112E69" w:rsidP="00112E69">
      <w:pPr>
        <w:spacing w:line="240" w:lineRule="auto"/>
        <w:ind w:firstLine="0"/>
        <w:jc w:val="left"/>
        <w:rPr>
          <w:rFonts w:eastAsia="Times New Roman"/>
          <w:sz w:val="24"/>
          <w:szCs w:val="24"/>
          <w:lang w:eastAsia="lv-LV"/>
        </w:rPr>
      </w:pPr>
    </w:p>
    <w:tbl>
      <w:tblPr>
        <w:tblW w:w="544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blCellMar>
          <w:top w:w="30" w:type="dxa"/>
          <w:left w:w="30" w:type="dxa"/>
          <w:bottom w:w="30" w:type="dxa"/>
          <w:right w:w="30" w:type="dxa"/>
        </w:tblCellMar>
        <w:tblLook w:val="04A0" w:firstRow="1" w:lastRow="0" w:firstColumn="1" w:lastColumn="0" w:noHBand="0" w:noVBand="1"/>
      </w:tblPr>
      <w:tblGrid>
        <w:gridCol w:w="2829"/>
        <w:gridCol w:w="1072"/>
        <w:gridCol w:w="1407"/>
        <w:gridCol w:w="994"/>
        <w:gridCol w:w="1069"/>
        <w:gridCol w:w="1731"/>
      </w:tblGrid>
      <w:tr w:rsidR="00112E69" w:rsidRPr="00112E69" w:rsidTr="00D50F1E">
        <w:trPr>
          <w:trHeight w:val="360"/>
        </w:trPr>
        <w:tc>
          <w:tcPr>
            <w:tcW w:w="5000" w:type="pct"/>
            <w:gridSpan w:val="6"/>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b/>
                <w:bCs/>
                <w:sz w:val="24"/>
                <w:szCs w:val="24"/>
                <w:lang w:eastAsia="lv-LV"/>
              </w:rPr>
            </w:pPr>
            <w:r w:rsidRPr="00112E69">
              <w:rPr>
                <w:rFonts w:eastAsia="Times New Roman"/>
                <w:b/>
                <w:bCs/>
                <w:sz w:val="24"/>
                <w:szCs w:val="24"/>
                <w:lang w:eastAsia="lv-LV"/>
              </w:rPr>
              <w:t>III. Tiesību akta projekta ietekme uz valsts budžetu un pašvaldību budžetiem</w:t>
            </w:r>
          </w:p>
        </w:tc>
      </w:tr>
      <w:tr w:rsidR="00112E69" w:rsidRPr="00112E69" w:rsidTr="00D50F1E">
        <w:tc>
          <w:tcPr>
            <w:tcW w:w="1554" w:type="pct"/>
            <w:vMerge w:val="restar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b/>
                <w:bCs/>
                <w:sz w:val="24"/>
                <w:szCs w:val="24"/>
                <w:lang w:eastAsia="lv-LV"/>
              </w:rPr>
            </w:pPr>
            <w:r w:rsidRPr="00112E69">
              <w:rPr>
                <w:rFonts w:eastAsia="Times New Roman"/>
                <w:b/>
                <w:bCs/>
                <w:sz w:val="24"/>
                <w:szCs w:val="24"/>
                <w:lang w:eastAsia="lv-LV"/>
              </w:rPr>
              <w:t>Rādītāji</w:t>
            </w:r>
          </w:p>
        </w:tc>
        <w:tc>
          <w:tcPr>
            <w:tcW w:w="1362" w:type="pct"/>
            <w:gridSpan w:val="2"/>
            <w:vMerge w:val="restar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b/>
                <w:bCs/>
                <w:sz w:val="24"/>
                <w:szCs w:val="24"/>
                <w:lang w:eastAsia="lv-LV"/>
              </w:rPr>
            </w:pPr>
            <w:r w:rsidRPr="00112E69">
              <w:rPr>
                <w:rFonts w:eastAsia="Times New Roman"/>
                <w:b/>
                <w:bCs/>
                <w:sz w:val="24"/>
                <w:szCs w:val="24"/>
                <w:lang w:eastAsia="lv-LV"/>
              </w:rPr>
              <w:t>n-tais gads</w:t>
            </w:r>
          </w:p>
        </w:tc>
        <w:tc>
          <w:tcPr>
            <w:tcW w:w="2084" w:type="pct"/>
            <w:gridSpan w:val="3"/>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Turpmākie trīs gadi (</w:t>
            </w:r>
            <w:proofErr w:type="spellStart"/>
            <w:r w:rsidRPr="00112E69">
              <w:rPr>
                <w:rFonts w:eastAsia="Times New Roman"/>
                <w:i/>
                <w:iCs/>
                <w:sz w:val="24"/>
                <w:szCs w:val="24"/>
                <w:lang w:eastAsia="lv-LV"/>
              </w:rPr>
              <w:t>euro</w:t>
            </w:r>
            <w:proofErr w:type="spellEnd"/>
            <w:r w:rsidRPr="00112E69">
              <w:rPr>
                <w:rFonts w:eastAsia="Times New Roman"/>
                <w:sz w:val="24"/>
                <w:szCs w:val="24"/>
                <w:lang w:eastAsia="lv-LV"/>
              </w:rPr>
              <w:t>)</w:t>
            </w:r>
          </w:p>
        </w:tc>
      </w:tr>
      <w:tr w:rsidR="00112E69" w:rsidRPr="00112E69" w:rsidTr="00D50F1E">
        <w:tc>
          <w:tcPr>
            <w:tcW w:w="0" w:type="auto"/>
            <w:vMerge/>
            <w:shd w:val="clear" w:color="auto" w:fill="FFFFFF"/>
            <w:vAlign w:val="center"/>
            <w:hideMark/>
          </w:tcPr>
          <w:p w:rsidR="00112E69" w:rsidRPr="00112E69" w:rsidRDefault="00112E69" w:rsidP="00D50F1E">
            <w:pPr>
              <w:spacing w:line="240" w:lineRule="auto"/>
              <w:ind w:firstLine="0"/>
              <w:jc w:val="left"/>
              <w:rPr>
                <w:rFonts w:eastAsia="Times New Roman"/>
                <w:b/>
                <w:bCs/>
                <w:sz w:val="24"/>
                <w:szCs w:val="24"/>
                <w:lang w:eastAsia="lv-LV"/>
              </w:rPr>
            </w:pPr>
          </w:p>
        </w:tc>
        <w:tc>
          <w:tcPr>
            <w:tcW w:w="0" w:type="auto"/>
            <w:gridSpan w:val="2"/>
            <w:vMerge/>
            <w:shd w:val="clear" w:color="auto" w:fill="FFFFFF"/>
            <w:vAlign w:val="center"/>
            <w:hideMark/>
          </w:tcPr>
          <w:p w:rsidR="00112E69" w:rsidRPr="00112E69" w:rsidRDefault="00112E69" w:rsidP="00D50F1E">
            <w:pPr>
              <w:spacing w:line="240" w:lineRule="auto"/>
              <w:ind w:firstLine="0"/>
              <w:jc w:val="left"/>
              <w:rPr>
                <w:rFonts w:eastAsia="Times New Roman"/>
                <w:b/>
                <w:bCs/>
                <w:sz w:val="24"/>
                <w:szCs w:val="24"/>
                <w:lang w:eastAsia="lv-LV"/>
              </w:rPr>
            </w:pPr>
          </w:p>
        </w:tc>
        <w:tc>
          <w:tcPr>
            <w:tcW w:w="546"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b/>
                <w:bCs/>
                <w:sz w:val="24"/>
                <w:szCs w:val="24"/>
                <w:lang w:eastAsia="lv-LV"/>
              </w:rPr>
            </w:pPr>
            <w:r w:rsidRPr="00112E69">
              <w:rPr>
                <w:rFonts w:eastAsia="Times New Roman"/>
                <w:b/>
                <w:bCs/>
                <w:sz w:val="24"/>
                <w:szCs w:val="24"/>
                <w:lang w:eastAsia="lv-LV"/>
              </w:rPr>
              <w:t>n+1</w:t>
            </w:r>
          </w:p>
        </w:tc>
        <w:tc>
          <w:tcPr>
            <w:tcW w:w="587"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b/>
                <w:bCs/>
                <w:sz w:val="24"/>
                <w:szCs w:val="24"/>
                <w:lang w:eastAsia="lv-LV"/>
              </w:rPr>
            </w:pPr>
            <w:r w:rsidRPr="00112E69">
              <w:rPr>
                <w:rFonts w:eastAsia="Times New Roman"/>
                <w:b/>
                <w:bCs/>
                <w:sz w:val="24"/>
                <w:szCs w:val="24"/>
                <w:lang w:eastAsia="lv-LV"/>
              </w:rPr>
              <w:t>n+2</w:t>
            </w:r>
          </w:p>
        </w:tc>
        <w:tc>
          <w:tcPr>
            <w:tcW w:w="950"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b/>
                <w:bCs/>
                <w:sz w:val="24"/>
                <w:szCs w:val="24"/>
                <w:lang w:eastAsia="lv-LV"/>
              </w:rPr>
            </w:pPr>
            <w:r w:rsidRPr="00112E69">
              <w:rPr>
                <w:rFonts w:eastAsia="Times New Roman"/>
                <w:b/>
                <w:bCs/>
                <w:sz w:val="24"/>
                <w:szCs w:val="24"/>
                <w:lang w:eastAsia="lv-LV"/>
              </w:rPr>
              <w:t>n+3</w:t>
            </w:r>
          </w:p>
        </w:tc>
      </w:tr>
      <w:tr w:rsidR="00112E69" w:rsidRPr="00112E69" w:rsidTr="00D50F1E">
        <w:tc>
          <w:tcPr>
            <w:tcW w:w="0" w:type="auto"/>
            <w:vMerge/>
            <w:shd w:val="clear" w:color="auto" w:fill="FFFFFF"/>
            <w:vAlign w:val="center"/>
            <w:hideMark/>
          </w:tcPr>
          <w:p w:rsidR="00112E69" w:rsidRPr="00112E69" w:rsidRDefault="00112E69" w:rsidP="00D50F1E">
            <w:pPr>
              <w:spacing w:line="240" w:lineRule="auto"/>
              <w:ind w:firstLine="0"/>
              <w:jc w:val="left"/>
              <w:rPr>
                <w:rFonts w:eastAsia="Times New Roman"/>
                <w:b/>
                <w:bCs/>
                <w:sz w:val="24"/>
                <w:szCs w:val="24"/>
                <w:lang w:eastAsia="lv-LV"/>
              </w:rPr>
            </w:pPr>
          </w:p>
        </w:tc>
        <w:tc>
          <w:tcPr>
            <w:tcW w:w="589"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saskaņā ar valsts budžetu kārtējam gadam</w:t>
            </w:r>
          </w:p>
        </w:tc>
        <w:tc>
          <w:tcPr>
            <w:tcW w:w="773"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 xml:space="preserve">izmaiņas kārtējā gadā, salīdzinot ar valsts budžetu </w:t>
            </w:r>
            <w:r w:rsidRPr="00112E69">
              <w:rPr>
                <w:rFonts w:eastAsia="Times New Roman"/>
                <w:sz w:val="24"/>
                <w:szCs w:val="24"/>
                <w:lang w:eastAsia="lv-LV"/>
              </w:rPr>
              <w:lastRenderedPageBreak/>
              <w:t>kārtējam gadam</w:t>
            </w:r>
          </w:p>
        </w:tc>
        <w:tc>
          <w:tcPr>
            <w:tcW w:w="546"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lastRenderedPageBreak/>
              <w:t>izmaiņas, salīdzinot ar kārtējo (n) gadu</w:t>
            </w:r>
          </w:p>
        </w:tc>
        <w:tc>
          <w:tcPr>
            <w:tcW w:w="587"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izmaiņas, salīdzinot ar kārtējo (n) gadu</w:t>
            </w:r>
          </w:p>
        </w:tc>
        <w:tc>
          <w:tcPr>
            <w:tcW w:w="950"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izmaiņas, salīdzinot ar kārtējo (n) gadu</w:t>
            </w:r>
          </w:p>
        </w:tc>
      </w:tr>
      <w:tr w:rsidR="00112E69" w:rsidRPr="00112E69" w:rsidTr="00D50F1E">
        <w:tc>
          <w:tcPr>
            <w:tcW w:w="1554"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lastRenderedPageBreak/>
              <w:t>1</w:t>
            </w:r>
          </w:p>
        </w:tc>
        <w:tc>
          <w:tcPr>
            <w:tcW w:w="589"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2</w:t>
            </w:r>
          </w:p>
        </w:tc>
        <w:tc>
          <w:tcPr>
            <w:tcW w:w="773"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3</w:t>
            </w:r>
          </w:p>
        </w:tc>
        <w:tc>
          <w:tcPr>
            <w:tcW w:w="546"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4</w:t>
            </w:r>
          </w:p>
        </w:tc>
        <w:tc>
          <w:tcPr>
            <w:tcW w:w="587"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5</w:t>
            </w:r>
          </w:p>
        </w:tc>
        <w:tc>
          <w:tcPr>
            <w:tcW w:w="950" w:type="pct"/>
            <w:shd w:val="clear" w:color="auto" w:fill="FFFFFF"/>
            <w:vAlign w:val="center"/>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6</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1. Budžeta ieņēmumi:</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1.1. valsts pamatbudžets, tai skaitā ieņēmumi no maksas pakalpojumiem un citi pašu ieņēmumi</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1.2. valsts speciālais budžets</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1.3. pašvaldību budžets</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2. Budžeta izdevumi:</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2.1. valsts pamatbudžets</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2.2. valsts speciālais budžets</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2.3. pašvaldību budžets</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3. Finansiālā ietekme:</w:t>
            </w:r>
          </w:p>
        </w:tc>
        <w:tc>
          <w:tcPr>
            <w:tcW w:w="589" w:type="pct"/>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3.1. valsts pamatbudžets</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3.2. speciālais budžets</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3.3. pašvaldību budžets</w:t>
            </w:r>
          </w:p>
        </w:tc>
        <w:tc>
          <w:tcPr>
            <w:tcW w:w="589"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vMerge w:val="restar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4. Finanšu līdzekļi papildu izdevumu finansēšanai (kompensējošu izdevumu samazinājumu norāda ar "+" zīmi)</w:t>
            </w:r>
          </w:p>
        </w:tc>
        <w:tc>
          <w:tcPr>
            <w:tcW w:w="589" w:type="pct"/>
            <w:vMerge w:val="restart"/>
            <w:shd w:val="clear" w:color="auto" w:fill="FFFFFF"/>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X</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0" w:type="auto"/>
            <w:vMerge/>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p>
        </w:tc>
        <w:tc>
          <w:tcPr>
            <w:tcW w:w="0" w:type="auto"/>
            <w:vMerge/>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0" w:type="auto"/>
            <w:vMerge/>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p>
        </w:tc>
        <w:tc>
          <w:tcPr>
            <w:tcW w:w="0" w:type="auto"/>
            <w:vMerge/>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5. Precizēta finansiālā ietekme:</w:t>
            </w:r>
          </w:p>
        </w:tc>
        <w:tc>
          <w:tcPr>
            <w:tcW w:w="589" w:type="pct"/>
            <w:vMerge w:val="restart"/>
            <w:shd w:val="clear" w:color="auto" w:fill="FFFFFF"/>
            <w:hideMark/>
          </w:tcPr>
          <w:p w:rsidR="00112E69" w:rsidRPr="00112E69" w:rsidRDefault="00112E69" w:rsidP="00D50F1E">
            <w:pPr>
              <w:spacing w:before="100" w:beforeAutospacing="1" w:after="100" w:afterAutospacing="1" w:line="293" w:lineRule="atLeast"/>
              <w:ind w:firstLine="0"/>
              <w:jc w:val="center"/>
              <w:rPr>
                <w:rFonts w:eastAsia="Times New Roman"/>
                <w:sz w:val="24"/>
                <w:szCs w:val="24"/>
                <w:lang w:eastAsia="lv-LV"/>
              </w:rPr>
            </w:pPr>
            <w:r w:rsidRPr="00112E69">
              <w:rPr>
                <w:rFonts w:eastAsia="Times New Roman"/>
                <w:sz w:val="24"/>
                <w:szCs w:val="24"/>
                <w:lang w:eastAsia="lv-LV"/>
              </w:rPr>
              <w:t>X</w:t>
            </w: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5.1. valsts pamatbudžets</w:t>
            </w:r>
          </w:p>
        </w:tc>
        <w:tc>
          <w:tcPr>
            <w:tcW w:w="0" w:type="auto"/>
            <w:vMerge/>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5.2. speciālais budžets</w:t>
            </w:r>
          </w:p>
        </w:tc>
        <w:tc>
          <w:tcPr>
            <w:tcW w:w="0" w:type="auto"/>
            <w:vMerge/>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5.3. pašvaldību budžets</w:t>
            </w:r>
          </w:p>
        </w:tc>
        <w:tc>
          <w:tcPr>
            <w:tcW w:w="0" w:type="auto"/>
            <w:vMerge/>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p>
        </w:tc>
        <w:tc>
          <w:tcPr>
            <w:tcW w:w="773"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46"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587"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c>
          <w:tcPr>
            <w:tcW w:w="950"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6. Detalizēts ieņēmumu un izdevumu aprēķins (ja nepieciešams, detalizētu ieņēmumu un izdevumu aprēķinu var pievienot anotācijas pielikumā):</w:t>
            </w:r>
          </w:p>
        </w:tc>
        <w:tc>
          <w:tcPr>
            <w:tcW w:w="3446" w:type="pct"/>
            <w:gridSpan w:val="5"/>
            <w:vMerge w:val="restart"/>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w:t>
            </w: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6.1. detalizēts ieņēmumu aprēķins</w:t>
            </w:r>
          </w:p>
        </w:tc>
        <w:tc>
          <w:tcPr>
            <w:tcW w:w="3446" w:type="pct"/>
            <w:gridSpan w:val="5"/>
            <w:vMerge/>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p>
        </w:tc>
      </w:tr>
      <w:tr w:rsidR="00112E69" w:rsidRPr="00112E69" w:rsidTr="00D50F1E">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6.2. detalizēts izdevumu aprēķins</w:t>
            </w:r>
          </w:p>
        </w:tc>
        <w:tc>
          <w:tcPr>
            <w:tcW w:w="3446" w:type="pct"/>
            <w:gridSpan w:val="5"/>
            <w:vMerge/>
            <w:shd w:val="clear" w:color="auto" w:fill="FFFFFF"/>
            <w:vAlign w:val="center"/>
            <w:hideMark/>
          </w:tcPr>
          <w:p w:rsidR="00112E69" w:rsidRPr="00112E69" w:rsidRDefault="00112E69" w:rsidP="00D50F1E">
            <w:pPr>
              <w:spacing w:line="240" w:lineRule="auto"/>
              <w:ind w:firstLine="0"/>
              <w:jc w:val="left"/>
              <w:rPr>
                <w:rFonts w:eastAsia="Times New Roman"/>
                <w:sz w:val="24"/>
                <w:szCs w:val="24"/>
                <w:lang w:eastAsia="lv-LV"/>
              </w:rPr>
            </w:pPr>
          </w:p>
        </w:tc>
      </w:tr>
      <w:tr w:rsidR="00112E69" w:rsidRPr="00112E69" w:rsidTr="00D50F1E">
        <w:trPr>
          <w:trHeight w:val="555"/>
        </w:trPr>
        <w:tc>
          <w:tcPr>
            <w:tcW w:w="1554" w:type="pct"/>
            <w:shd w:val="clear" w:color="auto" w:fill="FFFFFF"/>
            <w:hideMark/>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7. Cita informācija</w:t>
            </w:r>
          </w:p>
        </w:tc>
        <w:tc>
          <w:tcPr>
            <w:tcW w:w="3446" w:type="pct"/>
            <w:gridSpan w:val="5"/>
            <w:shd w:val="clear" w:color="auto" w:fill="FFFFFF"/>
            <w:hideMark/>
          </w:tcPr>
          <w:p w:rsidR="00112E69" w:rsidRPr="00112E69" w:rsidRDefault="00112E69" w:rsidP="00D50F1E">
            <w:pPr>
              <w:spacing w:line="293" w:lineRule="atLeast"/>
              <w:ind w:firstLine="0"/>
              <w:rPr>
                <w:rFonts w:eastAsia="Times New Roman"/>
                <w:sz w:val="24"/>
                <w:szCs w:val="24"/>
                <w:lang w:eastAsia="lv-LV"/>
              </w:rPr>
            </w:pPr>
            <w:r w:rsidRPr="00112E69">
              <w:rPr>
                <w:rFonts w:eastAsia="Times New Roman"/>
                <w:sz w:val="24"/>
                <w:szCs w:val="24"/>
                <w:lang w:eastAsia="lv-LV"/>
              </w:rPr>
              <w:t xml:space="preserve">Atbilstoši Autoceļu lietošanas nodevas likumā paredzētajai administrēšanas funkcijai, kuru veiks VAS "Ceļu satiksmes drošības direkcija", prognozētie administrēšanas izdevumi 2014.gadā ir 369 235 </w:t>
            </w:r>
            <w:proofErr w:type="spellStart"/>
            <w:r w:rsidRPr="00112E69">
              <w:rPr>
                <w:rFonts w:eastAsia="Times New Roman"/>
                <w:sz w:val="24"/>
                <w:szCs w:val="24"/>
                <w:lang w:eastAsia="lv-LV"/>
              </w:rPr>
              <w:t>euro</w:t>
            </w:r>
            <w:proofErr w:type="spellEnd"/>
            <w:r w:rsidRPr="00112E69">
              <w:rPr>
                <w:rFonts w:eastAsia="Times New Roman"/>
                <w:sz w:val="24"/>
                <w:szCs w:val="24"/>
                <w:lang w:eastAsia="lv-LV"/>
              </w:rPr>
              <w:t xml:space="preserve">, 2015.gadā 655 944 </w:t>
            </w:r>
            <w:proofErr w:type="spellStart"/>
            <w:r w:rsidRPr="00112E69">
              <w:rPr>
                <w:rFonts w:eastAsia="Times New Roman"/>
                <w:sz w:val="24"/>
                <w:szCs w:val="24"/>
                <w:lang w:eastAsia="lv-LV"/>
              </w:rPr>
              <w:t>euro</w:t>
            </w:r>
            <w:proofErr w:type="spellEnd"/>
            <w:r w:rsidRPr="00112E69">
              <w:rPr>
                <w:rFonts w:eastAsia="Times New Roman"/>
                <w:sz w:val="24"/>
                <w:szCs w:val="24"/>
                <w:lang w:eastAsia="lv-LV"/>
              </w:rPr>
              <w:t xml:space="preserve"> un 2016.gadā 843 763 </w:t>
            </w:r>
            <w:proofErr w:type="spellStart"/>
            <w:r w:rsidRPr="00112E69">
              <w:rPr>
                <w:rFonts w:eastAsia="Times New Roman"/>
                <w:sz w:val="24"/>
                <w:szCs w:val="24"/>
                <w:lang w:eastAsia="lv-LV"/>
              </w:rPr>
              <w:t>euro</w:t>
            </w:r>
            <w:proofErr w:type="spellEnd"/>
            <w:r w:rsidRPr="00112E69">
              <w:rPr>
                <w:rFonts w:eastAsia="Times New Roman"/>
                <w:sz w:val="24"/>
                <w:szCs w:val="24"/>
                <w:lang w:eastAsia="lv-LV"/>
              </w:rPr>
              <w:t xml:space="preserve"> apmērā. Administrēšanas izdevumi sastāv no izdevumiem saistībā ar banku maksājumu kartēm </w:t>
            </w:r>
            <w:r w:rsidRPr="00112E69">
              <w:rPr>
                <w:rFonts w:eastAsia="Times New Roman"/>
                <w:sz w:val="24"/>
                <w:szCs w:val="24"/>
                <w:lang w:eastAsia="lv-LV"/>
              </w:rPr>
              <w:lastRenderedPageBreak/>
              <w:t xml:space="preserve">veikto maksājumu informācijas apstrādi (2014.gadā 246 157 </w:t>
            </w:r>
            <w:proofErr w:type="spellStart"/>
            <w:r w:rsidRPr="00112E69">
              <w:rPr>
                <w:rFonts w:eastAsia="Times New Roman"/>
                <w:sz w:val="24"/>
                <w:szCs w:val="24"/>
                <w:lang w:eastAsia="lv-LV"/>
              </w:rPr>
              <w:t>euro</w:t>
            </w:r>
            <w:proofErr w:type="spellEnd"/>
            <w:r w:rsidRPr="00112E69">
              <w:rPr>
                <w:rFonts w:eastAsia="Times New Roman"/>
                <w:sz w:val="24"/>
                <w:szCs w:val="24"/>
                <w:lang w:eastAsia="lv-LV"/>
              </w:rPr>
              <w:t xml:space="preserve">, klientu apkalpošanas servisa (diennakts tālrunis) nodrošināšanu (2014.gadā 49 800 </w:t>
            </w:r>
            <w:proofErr w:type="spellStart"/>
            <w:r w:rsidRPr="00112E69">
              <w:rPr>
                <w:rFonts w:eastAsia="Times New Roman"/>
                <w:sz w:val="24"/>
                <w:szCs w:val="24"/>
                <w:lang w:eastAsia="lv-LV"/>
              </w:rPr>
              <w:t>euro</w:t>
            </w:r>
            <w:proofErr w:type="spellEnd"/>
            <w:r w:rsidRPr="00112E69">
              <w:rPr>
                <w:rFonts w:eastAsia="Times New Roman"/>
                <w:sz w:val="24"/>
                <w:szCs w:val="24"/>
                <w:lang w:eastAsia="lv-LV"/>
              </w:rPr>
              <w:t xml:space="preserve">), Informācijas tehnoloģiju (IT) risinājumu nodrošināšanu (servera uzturēšana, programmnodrošinājums un drošības auditi) (2014.gadā 23 478 </w:t>
            </w:r>
            <w:proofErr w:type="spellStart"/>
            <w:r w:rsidRPr="00112E69">
              <w:rPr>
                <w:rFonts w:eastAsia="Times New Roman"/>
                <w:sz w:val="24"/>
                <w:szCs w:val="24"/>
                <w:lang w:eastAsia="lv-LV"/>
              </w:rPr>
              <w:t>euro</w:t>
            </w:r>
            <w:proofErr w:type="spellEnd"/>
            <w:r w:rsidRPr="00112E69">
              <w:rPr>
                <w:rFonts w:eastAsia="Times New Roman"/>
                <w:sz w:val="24"/>
                <w:szCs w:val="24"/>
                <w:lang w:eastAsia="lv-LV"/>
              </w:rPr>
              <w:t xml:space="preserve">), kā arī ar </w:t>
            </w:r>
            <w:proofErr w:type="spellStart"/>
            <w:r w:rsidRPr="00112E69">
              <w:rPr>
                <w:rFonts w:eastAsia="Times New Roman"/>
                <w:sz w:val="24"/>
                <w:szCs w:val="24"/>
                <w:lang w:eastAsia="lv-LV"/>
              </w:rPr>
              <w:t>mājaslapas</w:t>
            </w:r>
            <w:proofErr w:type="spellEnd"/>
            <w:r w:rsidRPr="00112E69">
              <w:rPr>
                <w:rFonts w:eastAsia="Times New Roman"/>
                <w:sz w:val="24"/>
                <w:szCs w:val="24"/>
                <w:lang w:eastAsia="lv-LV"/>
              </w:rPr>
              <w:t xml:space="preserve"> izstrādi saistītiem izdevumiem (49 800 </w:t>
            </w:r>
            <w:proofErr w:type="spellStart"/>
            <w:r w:rsidRPr="00112E69">
              <w:rPr>
                <w:rFonts w:eastAsia="Times New Roman"/>
                <w:sz w:val="24"/>
                <w:szCs w:val="24"/>
                <w:lang w:eastAsia="lv-LV"/>
              </w:rPr>
              <w:t>euro</w:t>
            </w:r>
            <w:proofErr w:type="spellEnd"/>
            <w:r w:rsidRPr="00112E69">
              <w:rPr>
                <w:rFonts w:eastAsia="Times New Roman"/>
                <w:sz w:val="24"/>
                <w:szCs w:val="24"/>
                <w:lang w:eastAsia="lv-LV"/>
              </w:rPr>
              <w:t>).</w:t>
            </w:r>
          </w:p>
          <w:p w:rsidR="00112E69" w:rsidRPr="00112E69" w:rsidRDefault="00112E69" w:rsidP="00D50F1E">
            <w:pPr>
              <w:spacing w:line="293" w:lineRule="atLeast"/>
              <w:ind w:firstLine="0"/>
              <w:rPr>
                <w:rFonts w:eastAsia="Times New Roman"/>
                <w:sz w:val="24"/>
                <w:szCs w:val="24"/>
                <w:lang w:eastAsia="lv-LV"/>
              </w:rPr>
            </w:pPr>
            <w:r w:rsidRPr="00112E69">
              <w:rPr>
                <w:rFonts w:eastAsia="Times New Roman"/>
                <w:sz w:val="24"/>
                <w:szCs w:val="24"/>
                <w:lang w:eastAsia="lv-LV"/>
              </w:rPr>
              <w:t>Savukārt Autoceļu lietošanas nodevas administrēšanas izdevumi, kuri attieksies uz VAS "Latvijas Valsts ceļi", tiks segti Satiksmes ministrijas un VAS "Latvijas Valsts ceļi" deleģēšanas līguma ietvaros no valsts budžeta programmas 23.00.00 "Valsts autoceļu fonds".</w:t>
            </w:r>
          </w:p>
        </w:tc>
      </w:tr>
    </w:tbl>
    <w:p w:rsidR="00112E69" w:rsidRPr="00112E69" w:rsidRDefault="00112E69" w:rsidP="00112E69">
      <w:pPr>
        <w:spacing w:line="240" w:lineRule="auto"/>
        <w:ind w:firstLine="0"/>
        <w:jc w:val="left"/>
        <w:rPr>
          <w:rFonts w:eastAsia="Times New Roman"/>
          <w:sz w:val="24"/>
          <w:szCs w:val="24"/>
          <w:lang w:eastAsia="lv-LV"/>
        </w:rPr>
      </w:pPr>
    </w:p>
    <w:p w:rsidR="00112E69" w:rsidRPr="00112E69" w:rsidRDefault="00112E69" w:rsidP="00112E69">
      <w:pPr>
        <w:spacing w:line="240" w:lineRule="auto"/>
        <w:ind w:firstLine="0"/>
        <w:jc w:val="left"/>
        <w:rPr>
          <w:rFonts w:eastAsia="Times New Roman"/>
          <w:sz w:val="24"/>
          <w:szCs w:val="24"/>
          <w:lang w:eastAsia="lv-LV"/>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1843"/>
        <w:gridCol w:w="1559"/>
        <w:gridCol w:w="1560"/>
        <w:gridCol w:w="1842"/>
        <w:gridCol w:w="1701"/>
      </w:tblGrid>
      <w:tr w:rsidR="00112E69" w:rsidRPr="00112E69" w:rsidTr="00D50F1E">
        <w:trPr>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center"/>
              <w:rPr>
                <w:rFonts w:eastAsia="Times New Roman"/>
                <w:b/>
                <w:sz w:val="24"/>
                <w:szCs w:val="24"/>
                <w:lang w:eastAsia="lv-LV"/>
              </w:rPr>
            </w:pPr>
            <w:r w:rsidRPr="00112E69">
              <w:rPr>
                <w:rFonts w:eastAsia="Times New Roman"/>
                <w:b/>
                <w:sz w:val="24"/>
                <w:szCs w:val="24"/>
                <w:lang w:eastAsia="lv-LV"/>
              </w:rPr>
              <w:t>V. Tiesību akta projekta atbilstība Latvijas Republikas starptautiskajām saistībām</w:t>
            </w:r>
          </w:p>
        </w:tc>
      </w:tr>
      <w:tr w:rsidR="00112E69" w:rsidRPr="00112E69" w:rsidTr="00D50F1E">
        <w:trPr>
          <w:tblCellSpacing w:w="0" w:type="dxa"/>
        </w:trPr>
        <w:tc>
          <w:tcPr>
            <w:tcW w:w="582"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1.</w:t>
            </w:r>
          </w:p>
        </w:tc>
        <w:tc>
          <w:tcPr>
            <w:tcW w:w="3402"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Saistības pret Eiropas Savienību</w:t>
            </w:r>
          </w:p>
        </w:tc>
        <w:tc>
          <w:tcPr>
            <w:tcW w:w="5103" w:type="dxa"/>
            <w:gridSpan w:val="3"/>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right="-58" w:firstLine="0"/>
              <w:rPr>
                <w:rFonts w:eastAsia="Times New Roman"/>
                <w:sz w:val="24"/>
                <w:szCs w:val="24"/>
                <w:lang w:eastAsia="lv-LV"/>
              </w:rPr>
            </w:pPr>
            <w:r w:rsidRPr="00112E69">
              <w:rPr>
                <w:sz w:val="22"/>
              </w:rPr>
              <w:t xml:space="preserve">Eiropas Parlamenta un Padomes </w:t>
            </w:r>
            <w:smartTag w:uri="schemas-tilde-lv/tildestengine" w:element="date">
              <w:smartTagPr>
                <w:attr w:name="Year" w:val="2006"/>
                <w:attr w:name="Month" w:val="5"/>
                <w:attr w:name="Day" w:val="17"/>
              </w:smartTagPr>
              <w:r w:rsidRPr="00112E69">
                <w:rPr>
                  <w:sz w:val="22"/>
                </w:rPr>
                <w:t>2006.gada 17.maija</w:t>
              </w:r>
            </w:smartTag>
            <w:r w:rsidRPr="00112E69">
              <w:rPr>
                <w:sz w:val="22"/>
              </w:rPr>
              <w:t xml:space="preserve"> Direktīva 2006/38/EK, ar ko groza Direktīvu 1999/62/EK par dažu infrastruktūru lietošanas maksas noteikšanu smagajiem kravas transportlīdzekļiem un Eiropas Parlamenta un Padomes 2011.gada 27.septembra Direktīvas 2011/76/ES, ar ko groza Direktīvu 199/62/EK par dažu infrastruktūru lietošanas maksas noteikšanu smagajiem kravas transportlīdzekļiem.</w:t>
            </w:r>
          </w:p>
        </w:tc>
      </w:tr>
      <w:tr w:rsidR="00112E69" w:rsidRPr="00112E69" w:rsidTr="00D50F1E">
        <w:trPr>
          <w:tblCellSpacing w:w="0" w:type="dxa"/>
        </w:trPr>
        <w:tc>
          <w:tcPr>
            <w:tcW w:w="582"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2.</w:t>
            </w:r>
          </w:p>
        </w:tc>
        <w:tc>
          <w:tcPr>
            <w:tcW w:w="3402"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Citas starptautiskās saistības</w:t>
            </w:r>
          </w:p>
        </w:tc>
        <w:tc>
          <w:tcPr>
            <w:tcW w:w="5103" w:type="dxa"/>
            <w:gridSpan w:val="3"/>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Nav attiecināms.</w:t>
            </w:r>
          </w:p>
        </w:tc>
      </w:tr>
      <w:tr w:rsidR="00112E69" w:rsidRPr="00112E69" w:rsidTr="00D50F1E">
        <w:trPr>
          <w:tblCellSpacing w:w="0" w:type="dxa"/>
        </w:trPr>
        <w:tc>
          <w:tcPr>
            <w:tcW w:w="582"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3.</w:t>
            </w:r>
          </w:p>
        </w:tc>
        <w:tc>
          <w:tcPr>
            <w:tcW w:w="3402"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Cita informācija</w:t>
            </w:r>
          </w:p>
        </w:tc>
        <w:tc>
          <w:tcPr>
            <w:tcW w:w="5103" w:type="dxa"/>
            <w:gridSpan w:val="3"/>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Nav.</w:t>
            </w:r>
          </w:p>
        </w:tc>
      </w:tr>
      <w:tr w:rsidR="00112E69" w:rsidRPr="00112E69" w:rsidTr="00D50F1E">
        <w:trPr>
          <w:trHeight w:val="349"/>
          <w:tblCellSpacing w:w="0" w:type="dxa"/>
        </w:trPr>
        <w:tc>
          <w:tcPr>
            <w:tcW w:w="9087" w:type="dxa"/>
            <w:gridSpan w:val="6"/>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240" w:lineRule="auto"/>
              <w:ind w:firstLine="0"/>
              <w:jc w:val="center"/>
              <w:rPr>
                <w:rFonts w:eastAsia="Times New Roman"/>
                <w:sz w:val="24"/>
                <w:szCs w:val="24"/>
                <w:lang w:eastAsia="lv-LV"/>
              </w:rPr>
            </w:pPr>
            <w:r w:rsidRPr="00112E69">
              <w:rPr>
                <w:rFonts w:eastAsia="Times New Roman"/>
                <w:b/>
                <w:sz w:val="24"/>
                <w:szCs w:val="24"/>
                <w:lang w:eastAsia="lv-LV"/>
              </w:rPr>
              <w:t>1.tabula. Tiesību akta projekta atbilstība ES tiesību aktiem</w:t>
            </w:r>
          </w:p>
        </w:tc>
      </w:tr>
      <w:tr w:rsidR="00112E69" w:rsidRPr="00112E69" w:rsidTr="00D50F1E">
        <w:trPr>
          <w:trHeight w:val="1252"/>
          <w:tblCellSpacing w:w="0" w:type="dxa"/>
        </w:trPr>
        <w:tc>
          <w:tcPr>
            <w:tcW w:w="2425" w:type="dxa"/>
            <w:gridSpan w:val="2"/>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line="240" w:lineRule="auto"/>
              <w:ind w:firstLine="0"/>
              <w:jc w:val="left"/>
              <w:rPr>
                <w:rFonts w:eastAsia="Times New Roman"/>
                <w:sz w:val="24"/>
                <w:szCs w:val="24"/>
                <w:lang w:eastAsia="lv-LV"/>
              </w:rPr>
            </w:pPr>
            <w:r w:rsidRPr="00112E69">
              <w:rPr>
                <w:rFonts w:eastAsia="Times New Roman"/>
                <w:sz w:val="24"/>
                <w:szCs w:val="24"/>
                <w:lang w:eastAsia="lv-LV"/>
              </w:rPr>
              <w:t> Attiecīgā ES tiesību akta datums, numurs un nosaukums</w:t>
            </w:r>
          </w:p>
        </w:tc>
        <w:tc>
          <w:tcPr>
            <w:tcW w:w="6662" w:type="dxa"/>
            <w:gridSpan w:val="4"/>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line="240" w:lineRule="auto"/>
              <w:ind w:firstLine="0"/>
              <w:rPr>
                <w:rFonts w:eastAsia="Times New Roman"/>
                <w:sz w:val="24"/>
                <w:szCs w:val="24"/>
                <w:lang w:eastAsia="lv-LV"/>
              </w:rPr>
            </w:pPr>
            <w:r w:rsidRPr="00112E69">
              <w:rPr>
                <w:sz w:val="22"/>
              </w:rPr>
              <w:t xml:space="preserve">Eiropas Parlamenta un Padomes </w:t>
            </w:r>
            <w:smartTag w:uri="schemas-tilde-lv/tildestengine" w:element="date">
              <w:smartTagPr>
                <w:attr w:name="Day" w:val="17"/>
                <w:attr w:name="Month" w:val="5"/>
                <w:attr w:name="Year" w:val="2006"/>
              </w:smartTagPr>
              <w:r w:rsidRPr="00112E69">
                <w:rPr>
                  <w:sz w:val="22"/>
                </w:rPr>
                <w:t>2006.gada 17.maija</w:t>
              </w:r>
            </w:smartTag>
            <w:r w:rsidRPr="00112E69">
              <w:rPr>
                <w:sz w:val="22"/>
              </w:rPr>
              <w:t xml:space="preserve"> Direktīva 2006/38/EK, ar ko groza Direktīvu 1999/62/EK par dažu infrastruktūru lietošanas maksas noteikšanu smagajiem kravas transportlīdzekļiem, un Eiropas Parlamenta un Padomes 2011.gada 27.septembra Direktīvas 2011/76/ES, ar ko groza Direktīvu 1999/62/EK par dažu infrastruktūru lietošanas maksas noteikšanu smagajiem kravas transportlīdzekļiem.</w:t>
            </w:r>
          </w:p>
        </w:tc>
      </w:tr>
      <w:tr w:rsidR="00112E69" w:rsidRPr="00112E69" w:rsidTr="00D50F1E">
        <w:trPr>
          <w:trHeight w:val="165"/>
          <w:tblCellSpacing w:w="0" w:type="dxa"/>
        </w:trPr>
        <w:tc>
          <w:tcPr>
            <w:tcW w:w="2425" w:type="dxa"/>
            <w:gridSpan w:val="2"/>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165" w:lineRule="atLeast"/>
              <w:ind w:firstLine="0"/>
              <w:jc w:val="left"/>
              <w:rPr>
                <w:rFonts w:eastAsia="Times New Roman"/>
                <w:sz w:val="24"/>
                <w:szCs w:val="24"/>
                <w:lang w:eastAsia="lv-LV"/>
              </w:rPr>
            </w:pPr>
            <w:r w:rsidRPr="00112E69">
              <w:rPr>
                <w:rFonts w:eastAsia="Times New Roman"/>
                <w:sz w:val="24"/>
                <w:szCs w:val="24"/>
                <w:lang w:eastAsia="lv-LV"/>
              </w:rPr>
              <w:t> A</w:t>
            </w:r>
          </w:p>
        </w:tc>
        <w:tc>
          <w:tcPr>
            <w:tcW w:w="3119" w:type="dxa"/>
            <w:gridSpan w:val="2"/>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165" w:lineRule="atLeast"/>
              <w:ind w:firstLine="0"/>
              <w:jc w:val="left"/>
              <w:rPr>
                <w:rFonts w:eastAsia="Times New Roman"/>
                <w:sz w:val="24"/>
                <w:szCs w:val="24"/>
                <w:lang w:eastAsia="lv-LV"/>
              </w:rPr>
            </w:pPr>
            <w:r w:rsidRPr="00112E69">
              <w:rPr>
                <w:rFonts w:eastAsia="Times New Roman"/>
                <w:sz w:val="24"/>
                <w:szCs w:val="24"/>
                <w:lang w:eastAsia="lv-LV"/>
              </w:rPr>
              <w:t> B</w:t>
            </w:r>
          </w:p>
        </w:tc>
        <w:tc>
          <w:tcPr>
            <w:tcW w:w="1842" w:type="dxa"/>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165" w:lineRule="atLeast"/>
              <w:ind w:firstLine="0"/>
              <w:jc w:val="left"/>
              <w:rPr>
                <w:rFonts w:eastAsia="Times New Roman"/>
                <w:sz w:val="24"/>
                <w:szCs w:val="24"/>
                <w:lang w:eastAsia="lv-LV"/>
              </w:rPr>
            </w:pPr>
            <w:r w:rsidRPr="00112E69">
              <w:rPr>
                <w:rFonts w:eastAsia="Times New Roman"/>
                <w:sz w:val="24"/>
                <w:szCs w:val="24"/>
                <w:lang w:eastAsia="lv-LV"/>
              </w:rPr>
              <w:t> C</w:t>
            </w:r>
          </w:p>
        </w:tc>
        <w:tc>
          <w:tcPr>
            <w:tcW w:w="1701" w:type="dxa"/>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165" w:lineRule="atLeast"/>
              <w:ind w:firstLine="0"/>
              <w:jc w:val="left"/>
              <w:rPr>
                <w:rFonts w:eastAsia="Times New Roman"/>
                <w:sz w:val="24"/>
                <w:szCs w:val="24"/>
                <w:lang w:eastAsia="lv-LV"/>
              </w:rPr>
            </w:pPr>
            <w:r w:rsidRPr="00112E69">
              <w:rPr>
                <w:rFonts w:eastAsia="Times New Roman"/>
                <w:sz w:val="24"/>
                <w:szCs w:val="24"/>
                <w:lang w:eastAsia="lv-LV"/>
              </w:rPr>
              <w:t> D</w:t>
            </w:r>
          </w:p>
        </w:tc>
      </w:tr>
      <w:tr w:rsidR="00112E69" w:rsidRPr="00112E69" w:rsidTr="00D50F1E">
        <w:trPr>
          <w:trHeight w:val="2648"/>
          <w:tblCellSpacing w:w="0" w:type="dxa"/>
        </w:trPr>
        <w:tc>
          <w:tcPr>
            <w:tcW w:w="2425"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jc w:val="left"/>
              <w:rPr>
                <w:sz w:val="24"/>
                <w:szCs w:val="24"/>
              </w:rPr>
            </w:pPr>
            <w:r w:rsidRPr="00112E69">
              <w:rPr>
                <w:sz w:val="24"/>
                <w:szCs w:val="24"/>
              </w:rPr>
              <w:t>Direktīvas 2006/38/EK 8.a pants</w:t>
            </w:r>
          </w:p>
        </w:tc>
        <w:tc>
          <w:tcPr>
            <w:tcW w:w="3119"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rPr>
                <w:rFonts w:eastAsia="Times New Roman"/>
                <w:bCs/>
                <w:sz w:val="24"/>
                <w:szCs w:val="24"/>
                <w:lang w:eastAsia="lv-LV"/>
              </w:rPr>
            </w:pPr>
            <w:r w:rsidRPr="00112E69">
              <w:rPr>
                <w:rFonts w:eastAsia="Times New Roman"/>
                <w:bCs/>
                <w:sz w:val="24"/>
                <w:szCs w:val="24"/>
                <w:lang w:eastAsia="lv-LV"/>
              </w:rPr>
              <w:t>Noteikumu projekta 3.punkts un 15.punkts</w:t>
            </w:r>
          </w:p>
        </w:tc>
        <w:tc>
          <w:tcPr>
            <w:tcW w:w="1842"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pStyle w:val="tvhtmlmktable"/>
              <w:spacing w:before="0" w:beforeAutospacing="0" w:after="0" w:afterAutospacing="0"/>
              <w:rPr>
                <w:rFonts w:ascii="Times New Roman" w:hAnsi="Times New Roman"/>
                <w:bCs/>
                <w:sz w:val="24"/>
                <w:szCs w:val="24"/>
              </w:rPr>
            </w:pPr>
            <w:r w:rsidRPr="00112E69">
              <w:rPr>
                <w:rFonts w:ascii="Times New Roman" w:hAnsi="Times New Roman"/>
                <w:bCs/>
                <w:sz w:val="24"/>
                <w:szCs w:val="24"/>
              </w:rPr>
              <w:t>Pārņemts pilnībā</w:t>
            </w:r>
          </w:p>
        </w:tc>
        <w:tc>
          <w:tcPr>
            <w:tcW w:w="1701"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pStyle w:val="tvhtmlmktable"/>
              <w:spacing w:before="0" w:beforeAutospacing="0" w:after="0" w:afterAutospacing="0"/>
              <w:rPr>
                <w:rFonts w:ascii="Times New Roman" w:hAnsi="Times New Roman"/>
                <w:bCs/>
                <w:sz w:val="24"/>
                <w:szCs w:val="24"/>
              </w:rPr>
            </w:pPr>
            <w:r w:rsidRPr="00112E69">
              <w:rPr>
                <w:rFonts w:ascii="Times New Roman" w:hAnsi="Times New Roman"/>
                <w:bCs/>
                <w:sz w:val="24"/>
                <w:szCs w:val="24"/>
              </w:rPr>
              <w:t>Stingrākas prasības neparedz</w:t>
            </w:r>
          </w:p>
        </w:tc>
      </w:tr>
      <w:tr w:rsidR="00112E69" w:rsidRPr="00112E69" w:rsidTr="00D50F1E">
        <w:trPr>
          <w:trHeight w:val="2648"/>
          <w:tblCellSpacing w:w="0" w:type="dxa"/>
        </w:trPr>
        <w:tc>
          <w:tcPr>
            <w:tcW w:w="2425"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jc w:val="left"/>
              <w:rPr>
                <w:sz w:val="24"/>
                <w:szCs w:val="24"/>
              </w:rPr>
            </w:pPr>
            <w:r w:rsidRPr="00112E69">
              <w:rPr>
                <w:sz w:val="24"/>
                <w:szCs w:val="24"/>
              </w:rPr>
              <w:lastRenderedPageBreak/>
              <w:t xml:space="preserve">1.Direktīvas 2011/76/ES 7.j panta pirmais punkts </w:t>
            </w:r>
          </w:p>
        </w:tc>
        <w:tc>
          <w:tcPr>
            <w:tcW w:w="3119"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rPr>
                <w:rFonts w:eastAsia="Times New Roman"/>
                <w:bCs/>
                <w:sz w:val="24"/>
                <w:szCs w:val="24"/>
                <w:lang w:eastAsia="lv-LV"/>
              </w:rPr>
            </w:pPr>
            <w:r w:rsidRPr="00112E69">
              <w:rPr>
                <w:rFonts w:eastAsia="Times New Roman"/>
                <w:bCs/>
                <w:sz w:val="24"/>
                <w:szCs w:val="24"/>
                <w:lang w:eastAsia="lv-LV"/>
              </w:rPr>
              <w:t>Noteikumu projekta 3.punkts un 15.punkts</w:t>
            </w:r>
          </w:p>
        </w:tc>
        <w:tc>
          <w:tcPr>
            <w:tcW w:w="1842"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pStyle w:val="tvhtmlmktable"/>
              <w:spacing w:before="0" w:beforeAutospacing="0" w:after="0" w:afterAutospacing="0"/>
              <w:rPr>
                <w:rFonts w:ascii="Times New Roman" w:hAnsi="Times New Roman"/>
                <w:bCs/>
                <w:sz w:val="24"/>
                <w:szCs w:val="24"/>
              </w:rPr>
            </w:pPr>
            <w:r w:rsidRPr="00112E69">
              <w:rPr>
                <w:rFonts w:ascii="Times New Roman" w:hAnsi="Times New Roman"/>
                <w:bCs/>
                <w:sz w:val="24"/>
                <w:szCs w:val="24"/>
              </w:rPr>
              <w:t>Pārņemts pilnībā</w:t>
            </w:r>
          </w:p>
        </w:tc>
        <w:tc>
          <w:tcPr>
            <w:tcW w:w="1701"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pStyle w:val="tvhtmlmktable"/>
              <w:spacing w:before="0" w:beforeAutospacing="0" w:after="0" w:afterAutospacing="0"/>
              <w:rPr>
                <w:rFonts w:ascii="Times New Roman" w:hAnsi="Times New Roman"/>
                <w:bCs/>
                <w:sz w:val="24"/>
                <w:szCs w:val="24"/>
              </w:rPr>
            </w:pPr>
            <w:r w:rsidRPr="00112E69">
              <w:rPr>
                <w:rFonts w:ascii="Times New Roman" w:hAnsi="Times New Roman"/>
                <w:spacing w:val="-2"/>
                <w:sz w:val="24"/>
                <w:szCs w:val="24"/>
              </w:rPr>
              <w:t>Stingrākas prasības neparedz</w:t>
            </w:r>
          </w:p>
        </w:tc>
      </w:tr>
      <w:tr w:rsidR="00112E69" w:rsidRPr="00112E69" w:rsidTr="00D50F1E">
        <w:trPr>
          <w:trHeight w:val="2648"/>
          <w:tblCellSpacing w:w="0" w:type="dxa"/>
        </w:trPr>
        <w:tc>
          <w:tcPr>
            <w:tcW w:w="2425"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jc w:val="left"/>
              <w:rPr>
                <w:sz w:val="24"/>
                <w:szCs w:val="24"/>
              </w:rPr>
            </w:pPr>
            <w:r w:rsidRPr="00112E69">
              <w:rPr>
                <w:sz w:val="24"/>
                <w:szCs w:val="24"/>
              </w:rPr>
              <w:t>1.Direktīvas 2011/76/ES 7.j panta trešais punkts</w:t>
            </w:r>
          </w:p>
        </w:tc>
        <w:tc>
          <w:tcPr>
            <w:tcW w:w="3119"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line="240" w:lineRule="auto"/>
              <w:ind w:firstLine="0"/>
              <w:rPr>
                <w:rFonts w:eastAsia="Times New Roman"/>
                <w:bCs/>
                <w:sz w:val="24"/>
                <w:szCs w:val="24"/>
                <w:lang w:eastAsia="lv-LV"/>
              </w:rPr>
            </w:pPr>
            <w:r w:rsidRPr="00112E69">
              <w:rPr>
                <w:rFonts w:eastAsia="Times New Roman"/>
                <w:bCs/>
                <w:sz w:val="24"/>
                <w:szCs w:val="24"/>
                <w:lang w:eastAsia="lv-LV"/>
              </w:rPr>
              <w:t>Noteikumu projekta 9. un 10.punkts</w:t>
            </w:r>
          </w:p>
        </w:tc>
        <w:tc>
          <w:tcPr>
            <w:tcW w:w="1842"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pStyle w:val="tvhtmlmktable"/>
              <w:spacing w:before="0" w:beforeAutospacing="0" w:after="0" w:afterAutospacing="0"/>
              <w:rPr>
                <w:rFonts w:ascii="Times New Roman" w:hAnsi="Times New Roman"/>
                <w:bCs/>
                <w:sz w:val="24"/>
                <w:szCs w:val="24"/>
              </w:rPr>
            </w:pPr>
            <w:r w:rsidRPr="00112E69">
              <w:rPr>
                <w:rFonts w:ascii="Times New Roman" w:hAnsi="Times New Roman"/>
                <w:bCs/>
                <w:sz w:val="24"/>
                <w:szCs w:val="24"/>
              </w:rPr>
              <w:t>Pārņemts pilnībā</w:t>
            </w:r>
          </w:p>
        </w:tc>
        <w:tc>
          <w:tcPr>
            <w:tcW w:w="1701"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pStyle w:val="tvhtmlmktable"/>
              <w:spacing w:before="0" w:beforeAutospacing="0" w:after="0" w:afterAutospacing="0"/>
              <w:rPr>
                <w:rFonts w:ascii="Times New Roman" w:hAnsi="Times New Roman"/>
                <w:spacing w:val="-2"/>
                <w:sz w:val="24"/>
                <w:szCs w:val="24"/>
              </w:rPr>
            </w:pPr>
            <w:r w:rsidRPr="00112E69">
              <w:rPr>
                <w:rFonts w:ascii="Times New Roman" w:hAnsi="Times New Roman"/>
                <w:spacing w:val="-2"/>
                <w:sz w:val="24"/>
                <w:szCs w:val="24"/>
              </w:rPr>
              <w:t>Stingrākas prasības neparedz</w:t>
            </w:r>
          </w:p>
        </w:tc>
      </w:tr>
      <w:tr w:rsidR="00112E69" w:rsidRPr="00112E69" w:rsidTr="00D50F1E">
        <w:trPr>
          <w:trHeight w:val="281"/>
          <w:tblCellSpacing w:w="0" w:type="dxa"/>
        </w:trPr>
        <w:tc>
          <w:tcPr>
            <w:tcW w:w="2425" w:type="dxa"/>
            <w:gridSpan w:val="2"/>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xml:space="preserve"> Kā ir izmantota ES tiesību aktā paredzētā rīcības brīvība dalībvalstij pārņemt vai ieviest noteiktas ES tiesību akta normas. Kādēļ?</w:t>
            </w:r>
          </w:p>
        </w:tc>
        <w:tc>
          <w:tcPr>
            <w:tcW w:w="6662" w:type="dxa"/>
            <w:gridSpan w:val="4"/>
            <w:tcBorders>
              <w:top w:val="outset" w:sz="6" w:space="0" w:color="auto"/>
              <w:left w:val="outset" w:sz="6" w:space="0" w:color="auto"/>
              <w:bottom w:val="outset" w:sz="6" w:space="0" w:color="auto"/>
              <w:right w:val="outset" w:sz="6" w:space="0" w:color="auto"/>
            </w:tcBorders>
          </w:tcPr>
          <w:p w:rsidR="00112E69" w:rsidRPr="00112E69" w:rsidRDefault="00112E69" w:rsidP="00D50F1E">
            <w:pPr>
              <w:ind w:firstLine="0"/>
            </w:pPr>
            <w:r w:rsidRPr="00112E69">
              <w:rPr>
                <w:rFonts w:eastAsia="Times New Roman"/>
                <w:sz w:val="24"/>
                <w:szCs w:val="24"/>
                <w:lang w:eastAsia="lv-LV"/>
              </w:rPr>
              <w:t>Projekts šo jomu neskar.</w:t>
            </w:r>
          </w:p>
        </w:tc>
      </w:tr>
      <w:tr w:rsidR="00112E69" w:rsidRPr="00112E69" w:rsidTr="00D50F1E">
        <w:trPr>
          <w:trHeight w:val="913"/>
          <w:tblCellSpacing w:w="0" w:type="dxa"/>
        </w:trPr>
        <w:tc>
          <w:tcPr>
            <w:tcW w:w="2425" w:type="dxa"/>
            <w:gridSpan w:val="2"/>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xml:space="preserve">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2" w:type="dxa"/>
            <w:gridSpan w:val="4"/>
            <w:tcBorders>
              <w:top w:val="outset" w:sz="6" w:space="0" w:color="auto"/>
              <w:left w:val="outset" w:sz="6" w:space="0" w:color="auto"/>
              <w:bottom w:val="outset" w:sz="6" w:space="0" w:color="auto"/>
              <w:right w:val="outset" w:sz="6" w:space="0" w:color="auto"/>
            </w:tcBorders>
          </w:tcPr>
          <w:p w:rsidR="00112E69" w:rsidRPr="00112E69" w:rsidRDefault="00112E69" w:rsidP="00D50F1E">
            <w:pPr>
              <w:ind w:firstLine="0"/>
            </w:pPr>
            <w:r w:rsidRPr="00112E69">
              <w:rPr>
                <w:rFonts w:eastAsia="Times New Roman"/>
                <w:sz w:val="24"/>
                <w:szCs w:val="24"/>
                <w:lang w:eastAsia="lv-LV"/>
              </w:rPr>
              <w:t>Projekts šo jomu neskar.</w:t>
            </w:r>
          </w:p>
        </w:tc>
      </w:tr>
      <w:tr w:rsidR="00112E69" w:rsidRPr="00112E69" w:rsidTr="00D50F1E">
        <w:trPr>
          <w:trHeight w:val="260"/>
          <w:tblCellSpacing w:w="0" w:type="dxa"/>
        </w:trPr>
        <w:tc>
          <w:tcPr>
            <w:tcW w:w="2425"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Cita informācija</w:t>
            </w:r>
          </w:p>
        </w:tc>
        <w:tc>
          <w:tcPr>
            <w:tcW w:w="6662" w:type="dxa"/>
            <w:gridSpan w:val="4"/>
            <w:tcBorders>
              <w:top w:val="outset" w:sz="6" w:space="0" w:color="auto"/>
              <w:left w:val="outset" w:sz="6" w:space="0" w:color="auto"/>
              <w:bottom w:val="outset" w:sz="6" w:space="0" w:color="auto"/>
              <w:right w:val="outset" w:sz="6" w:space="0" w:color="auto"/>
            </w:tcBorders>
          </w:tcPr>
          <w:p w:rsidR="00112E69" w:rsidRPr="00112E69" w:rsidRDefault="00112E69" w:rsidP="00D50F1E">
            <w:pPr>
              <w:pStyle w:val="ListParagraph"/>
              <w:spacing w:before="100" w:beforeAutospacing="1" w:after="100" w:afterAutospacing="1"/>
              <w:ind w:left="0" w:firstLine="420"/>
              <w:jc w:val="both"/>
            </w:pPr>
            <w:r w:rsidRPr="00112E69">
              <w:t xml:space="preserve">Pārējās Direktīvas </w:t>
            </w:r>
            <w:r w:rsidRPr="00112E69">
              <w:rPr>
                <w:sz w:val="22"/>
              </w:rPr>
              <w:t xml:space="preserve">2006/38/EK </w:t>
            </w:r>
            <w:r w:rsidRPr="00112E69">
              <w:t>prasības ir vai tiks pārņemtas ar šādiem normatīvajiem aktiem:</w:t>
            </w:r>
          </w:p>
          <w:p w:rsidR="00112E69" w:rsidRPr="00112E69" w:rsidRDefault="00112E69" w:rsidP="00D50F1E">
            <w:pPr>
              <w:pStyle w:val="ListParagraph"/>
              <w:spacing w:before="100" w:beforeAutospacing="1" w:after="100" w:afterAutospacing="1"/>
              <w:ind w:left="0" w:firstLine="420"/>
              <w:jc w:val="both"/>
            </w:pPr>
            <w:r w:rsidRPr="00112E69">
              <w:t>1. Likums „Par vieglo automobiļu un motociklu nodokli” (stājās spēkā 01.05.2004.);</w:t>
            </w:r>
          </w:p>
          <w:p w:rsidR="00112E69" w:rsidRPr="00112E69" w:rsidRDefault="00112E69" w:rsidP="00D50F1E">
            <w:pPr>
              <w:pStyle w:val="ListParagraph"/>
              <w:spacing w:before="100" w:beforeAutospacing="1" w:after="100" w:afterAutospacing="1"/>
              <w:ind w:left="0" w:firstLine="420"/>
              <w:jc w:val="both"/>
            </w:pPr>
            <w:r w:rsidRPr="00112E69">
              <w:t xml:space="preserve">2. Ministru kabineta 2010.gada 28.decembra noteikumi </w:t>
            </w:r>
            <w:proofErr w:type="spellStart"/>
            <w:r w:rsidRPr="00112E69">
              <w:t>Nr</w:t>
            </w:r>
            <w:proofErr w:type="spellEnd"/>
            <w:r w:rsidRPr="00112E69">
              <w:t xml:space="preserve">. 1228 „Noteikumi par lielgabarīta un smagsvara pārvadājumu atļaujas izsniegšanas valsts nodevas apmēru, samaksas kārtību un atbrīvojumiem” (stājās spēkā 01.01.2011.); </w:t>
            </w:r>
          </w:p>
          <w:p w:rsidR="00112E69" w:rsidRPr="00112E69" w:rsidRDefault="00112E69" w:rsidP="00D50F1E">
            <w:pPr>
              <w:pStyle w:val="ListParagraph"/>
              <w:spacing w:before="100" w:beforeAutospacing="1" w:after="100" w:afterAutospacing="1"/>
              <w:ind w:left="0" w:firstLine="420"/>
              <w:jc w:val="both"/>
            </w:pPr>
            <w:r w:rsidRPr="00112E69">
              <w:t>3. Noteikumu projekts „Grozījumi Ministru kabineta 2011.gada 24.maija noteikumos Nr.411 „</w:t>
            </w:r>
            <w:r w:rsidRPr="00112E69">
              <w:rPr>
                <w:bCs/>
              </w:rPr>
              <w:t>Autopārvadājumu kontroles organizēšanas un īstenošanas kārtība</w:t>
            </w:r>
            <w:r w:rsidRPr="00112E69">
              <w:t>”” (izstrādes stadijā);</w:t>
            </w:r>
          </w:p>
          <w:p w:rsidR="00112E69" w:rsidRPr="00112E69" w:rsidRDefault="00112E69" w:rsidP="00D50F1E">
            <w:pPr>
              <w:pStyle w:val="ListParagraph"/>
              <w:spacing w:before="100" w:beforeAutospacing="1" w:after="100" w:afterAutospacing="1"/>
              <w:ind w:left="0" w:firstLine="420"/>
              <w:jc w:val="both"/>
            </w:pPr>
            <w:r w:rsidRPr="00112E69">
              <w:lastRenderedPageBreak/>
              <w:t>4. Likumprojekts „Grozījumi Latvijas Administratīvo pārkāpumu kodeksā” (izstrādes stadijā).</w:t>
            </w:r>
          </w:p>
          <w:p w:rsidR="00112E69" w:rsidRPr="00112E69" w:rsidRDefault="00112E69" w:rsidP="00D50F1E">
            <w:pPr>
              <w:pStyle w:val="ListParagraph"/>
              <w:spacing w:before="100" w:beforeAutospacing="1" w:after="100" w:afterAutospacing="1"/>
              <w:ind w:left="0" w:firstLine="420"/>
              <w:jc w:val="both"/>
            </w:pPr>
            <w:r w:rsidRPr="00112E69">
              <w:t xml:space="preserve">Pārējās Direktīvas </w:t>
            </w:r>
            <w:r w:rsidRPr="00112E69">
              <w:rPr>
                <w:sz w:val="22"/>
              </w:rPr>
              <w:t xml:space="preserve">2011/76/ES </w:t>
            </w:r>
            <w:r w:rsidRPr="00112E69">
              <w:t>prasības ir vai tiks pārņemtas ar šādu normatīvo aktu:</w:t>
            </w:r>
          </w:p>
          <w:p w:rsidR="00112E69" w:rsidRPr="00112E69" w:rsidRDefault="00112E69" w:rsidP="00D50F1E">
            <w:pPr>
              <w:pStyle w:val="ListParagraph"/>
              <w:spacing w:before="100" w:beforeAutospacing="1" w:after="100" w:afterAutospacing="1"/>
              <w:ind w:left="0" w:firstLine="420"/>
              <w:jc w:val="both"/>
            </w:pPr>
            <w:r w:rsidRPr="00112E69">
              <w:t>1. Autoceļu lietošanas nodevas likums (stājas spēkā 01.07.2014.).</w:t>
            </w:r>
          </w:p>
        </w:tc>
      </w:tr>
      <w:tr w:rsidR="00112E69" w:rsidRPr="00112E69" w:rsidTr="00D50F1E">
        <w:trPr>
          <w:trHeight w:val="511"/>
          <w:tblCellSpacing w:w="0" w:type="dxa"/>
        </w:trPr>
        <w:tc>
          <w:tcPr>
            <w:tcW w:w="9087" w:type="dxa"/>
            <w:gridSpan w:val="6"/>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240" w:lineRule="auto"/>
              <w:ind w:firstLine="0"/>
              <w:jc w:val="center"/>
              <w:rPr>
                <w:rFonts w:eastAsia="Times New Roman"/>
                <w:sz w:val="24"/>
                <w:szCs w:val="24"/>
                <w:lang w:eastAsia="lv-LV"/>
              </w:rPr>
            </w:pPr>
            <w:r w:rsidRPr="00112E69">
              <w:rPr>
                <w:rFonts w:eastAsia="Times New Roman"/>
                <w:b/>
                <w:sz w:val="24"/>
                <w:szCs w:val="24"/>
                <w:lang w:eastAsia="lv-LV"/>
              </w:rPr>
              <w:lastRenderedPageBreak/>
              <w:t>2.tabula. Ar tiesību akta projektu uzņemtās saistības, kas izriet no starptautiskajiem tiesību aktiem vai starptautiskas institūcijas vai organizācijas dokumentiem. Pasākumi šo saistību izpildei</w:t>
            </w:r>
          </w:p>
        </w:tc>
      </w:tr>
      <w:tr w:rsidR="00112E69" w:rsidRPr="00112E69" w:rsidTr="00D50F1E">
        <w:trPr>
          <w:trHeight w:val="360"/>
          <w:tblCellSpacing w:w="0" w:type="dxa"/>
        </w:trPr>
        <w:tc>
          <w:tcPr>
            <w:tcW w:w="9087" w:type="dxa"/>
            <w:gridSpan w:val="6"/>
            <w:tcBorders>
              <w:top w:val="outset" w:sz="6" w:space="0" w:color="auto"/>
              <w:left w:val="outset" w:sz="6" w:space="0" w:color="auto"/>
              <w:bottom w:val="outset" w:sz="6" w:space="0" w:color="auto"/>
              <w:right w:val="outset" w:sz="6" w:space="0" w:color="auto"/>
            </w:tcBorders>
            <w:vAlign w:val="center"/>
          </w:tcPr>
          <w:p w:rsidR="00112E69" w:rsidRPr="00112E69" w:rsidRDefault="00112E69" w:rsidP="00D50F1E">
            <w:pPr>
              <w:spacing w:before="100" w:beforeAutospacing="1" w:after="100" w:afterAutospacing="1" w:line="240" w:lineRule="auto"/>
              <w:ind w:firstLine="0"/>
              <w:jc w:val="center"/>
              <w:rPr>
                <w:rFonts w:eastAsia="Times New Roman"/>
                <w:b/>
                <w:sz w:val="24"/>
                <w:szCs w:val="24"/>
                <w:lang w:eastAsia="lv-LV"/>
              </w:rPr>
            </w:pPr>
            <w:r w:rsidRPr="00112E69">
              <w:rPr>
                <w:rFonts w:eastAsia="Times New Roman"/>
                <w:sz w:val="24"/>
                <w:szCs w:val="24"/>
                <w:lang w:eastAsia="lv-LV"/>
              </w:rPr>
              <w:t>Projekts šo jomu neskar.</w:t>
            </w:r>
          </w:p>
        </w:tc>
      </w:tr>
    </w:tbl>
    <w:p w:rsidR="00112E69" w:rsidRPr="00112E69" w:rsidRDefault="00112E69" w:rsidP="00112E69">
      <w:pPr>
        <w:spacing w:line="240" w:lineRule="auto"/>
        <w:ind w:firstLine="0"/>
        <w:jc w:val="left"/>
        <w:rPr>
          <w:rFonts w:eastAsia="Times New Roman"/>
          <w:sz w:val="24"/>
          <w:szCs w:val="24"/>
          <w:lang w:eastAsia="lv-LV"/>
        </w:rPr>
      </w:pPr>
    </w:p>
    <w:p w:rsidR="00112E69" w:rsidRPr="00112E69" w:rsidRDefault="00112E69" w:rsidP="00112E69">
      <w:pPr>
        <w:spacing w:line="240" w:lineRule="auto"/>
        <w:ind w:firstLine="0"/>
        <w:jc w:val="left"/>
        <w:rPr>
          <w:rFonts w:eastAsia="Times New Roman"/>
          <w:sz w:val="24"/>
          <w:szCs w:val="24"/>
          <w:lang w:eastAsia="lv-LV"/>
        </w:rPr>
      </w:pPr>
    </w:p>
    <w:tbl>
      <w:tblPr>
        <w:tblW w:w="9098"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0"/>
        <w:gridCol w:w="5598"/>
      </w:tblGrid>
      <w:tr w:rsidR="00112E69" w:rsidRPr="00112E69" w:rsidTr="00D50F1E">
        <w:trPr>
          <w:tblCellSpacing w:w="0" w:type="dxa"/>
        </w:trPr>
        <w:tc>
          <w:tcPr>
            <w:tcW w:w="9098" w:type="dxa"/>
            <w:gridSpan w:val="2"/>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center"/>
              <w:rPr>
                <w:rFonts w:eastAsia="Times New Roman"/>
                <w:b/>
                <w:bCs/>
                <w:sz w:val="24"/>
                <w:szCs w:val="24"/>
                <w:lang w:eastAsia="lv-LV"/>
              </w:rPr>
            </w:pPr>
            <w:r w:rsidRPr="00112E69">
              <w:rPr>
                <w:rFonts w:eastAsia="Times New Roman"/>
                <w:b/>
                <w:bCs/>
                <w:sz w:val="24"/>
                <w:szCs w:val="24"/>
                <w:lang w:eastAsia="lv-LV"/>
              </w:rPr>
              <w:t>VII. Tiesību akta projekta izpildes nodrošināšana un tās ietekme uz institūcijām</w:t>
            </w:r>
          </w:p>
        </w:tc>
      </w:tr>
      <w:tr w:rsidR="00112E69" w:rsidRPr="00112E69" w:rsidTr="00D50F1E">
        <w:trPr>
          <w:trHeight w:val="643"/>
          <w:tblCellSpacing w:w="0" w:type="dxa"/>
        </w:trPr>
        <w:tc>
          <w:tcPr>
            <w:tcW w:w="350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numPr>
                <w:ilvl w:val="0"/>
                <w:numId w:val="4"/>
              </w:numPr>
              <w:spacing w:before="100" w:beforeAutospacing="1" w:after="100" w:afterAutospacing="1" w:line="240" w:lineRule="auto"/>
              <w:jc w:val="left"/>
              <w:rPr>
                <w:rFonts w:eastAsia="Times New Roman"/>
                <w:sz w:val="24"/>
                <w:szCs w:val="24"/>
                <w:lang w:eastAsia="lv-LV"/>
              </w:rPr>
            </w:pPr>
            <w:r w:rsidRPr="00112E69">
              <w:rPr>
                <w:rFonts w:eastAsia="Times New Roman"/>
                <w:sz w:val="24"/>
                <w:szCs w:val="24"/>
                <w:lang w:eastAsia="lv-LV"/>
              </w:rPr>
              <w:t>Projekta izpildē iesaistītās institūcijas</w:t>
            </w:r>
          </w:p>
        </w:tc>
        <w:tc>
          <w:tcPr>
            <w:tcW w:w="5598"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rPr>
                <w:rFonts w:eastAsia="Times New Roman"/>
                <w:sz w:val="24"/>
                <w:szCs w:val="24"/>
                <w:lang w:eastAsia="lv-LV"/>
              </w:rPr>
            </w:pPr>
            <w:r w:rsidRPr="00112E69">
              <w:rPr>
                <w:rFonts w:eastAsia="Times New Roman"/>
                <w:sz w:val="24"/>
                <w:szCs w:val="24"/>
                <w:lang w:eastAsia="lv-LV"/>
              </w:rPr>
              <w:t>Valsts akciju sabiedrība „Ceļu satiksmes drošības direkcija”, Valsts akciju sabiedrība „Latvijas Valsts ceļi” un Valsts ieņēmumu dienests.</w:t>
            </w:r>
          </w:p>
        </w:tc>
      </w:tr>
      <w:tr w:rsidR="00112E69" w:rsidRPr="00112E69" w:rsidTr="00D50F1E">
        <w:trPr>
          <w:trHeight w:val="2075"/>
          <w:tblCellSpacing w:w="0" w:type="dxa"/>
        </w:trPr>
        <w:tc>
          <w:tcPr>
            <w:tcW w:w="350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numPr>
                <w:ilvl w:val="0"/>
                <w:numId w:val="4"/>
              </w:numPr>
              <w:spacing w:before="100" w:beforeAutospacing="1" w:after="100" w:afterAutospacing="1" w:line="240" w:lineRule="auto"/>
              <w:jc w:val="left"/>
              <w:rPr>
                <w:rFonts w:eastAsia="Times New Roman"/>
                <w:sz w:val="24"/>
                <w:szCs w:val="24"/>
                <w:lang w:eastAsia="lv-LV"/>
              </w:rPr>
            </w:pPr>
            <w:r w:rsidRPr="00112E69">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598"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ind w:firstLine="0"/>
            </w:pPr>
            <w:r w:rsidRPr="00112E69">
              <w:rPr>
                <w:rFonts w:eastAsia="Times New Roman"/>
                <w:sz w:val="24"/>
                <w:szCs w:val="24"/>
                <w:lang w:eastAsia="lv-LV"/>
              </w:rPr>
              <w:t xml:space="preserve">Projekts šo jomu neskar. </w:t>
            </w:r>
          </w:p>
        </w:tc>
      </w:tr>
      <w:tr w:rsidR="00112E69" w:rsidRPr="00112E69" w:rsidTr="00D50F1E">
        <w:trPr>
          <w:trHeight w:val="310"/>
          <w:tblCellSpacing w:w="0" w:type="dxa"/>
        </w:trPr>
        <w:tc>
          <w:tcPr>
            <w:tcW w:w="3500"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numPr>
                <w:ilvl w:val="0"/>
                <w:numId w:val="4"/>
              </w:numPr>
              <w:spacing w:before="100" w:beforeAutospacing="1" w:after="100" w:afterAutospacing="1" w:line="240" w:lineRule="auto"/>
              <w:jc w:val="left"/>
              <w:rPr>
                <w:rFonts w:eastAsia="Times New Roman"/>
                <w:sz w:val="24"/>
                <w:szCs w:val="24"/>
                <w:lang w:eastAsia="lv-LV"/>
              </w:rPr>
            </w:pPr>
            <w:r w:rsidRPr="00112E69">
              <w:rPr>
                <w:rFonts w:eastAsia="Times New Roman"/>
                <w:sz w:val="24"/>
                <w:szCs w:val="24"/>
                <w:lang w:eastAsia="lv-LV"/>
              </w:rPr>
              <w:t>Cita informācija</w:t>
            </w:r>
          </w:p>
        </w:tc>
        <w:tc>
          <w:tcPr>
            <w:tcW w:w="5598" w:type="dxa"/>
            <w:tcBorders>
              <w:top w:val="outset" w:sz="6" w:space="0" w:color="auto"/>
              <w:left w:val="outset" w:sz="6" w:space="0" w:color="auto"/>
              <w:bottom w:val="outset" w:sz="6" w:space="0" w:color="auto"/>
              <w:right w:val="outset" w:sz="6" w:space="0" w:color="auto"/>
            </w:tcBorders>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Nav.</w:t>
            </w:r>
          </w:p>
        </w:tc>
      </w:tr>
    </w:tbl>
    <w:p w:rsidR="00112E69" w:rsidRPr="00112E69" w:rsidRDefault="00112E69" w:rsidP="00112E69">
      <w:pPr>
        <w:spacing w:line="240" w:lineRule="auto"/>
        <w:ind w:firstLine="0"/>
        <w:jc w:val="left"/>
        <w:rPr>
          <w:rFonts w:eastAsia="Times New Roman"/>
          <w:sz w:val="24"/>
          <w:szCs w:val="24"/>
          <w:lang w:eastAsia="lv-LV"/>
        </w:rPr>
      </w:pPr>
    </w:p>
    <w:p w:rsidR="00112E69" w:rsidRPr="00112E69" w:rsidRDefault="00112E69" w:rsidP="00112E69">
      <w:pPr>
        <w:spacing w:line="240" w:lineRule="auto"/>
        <w:ind w:firstLine="0"/>
        <w:jc w:val="center"/>
        <w:rPr>
          <w:rFonts w:eastAsia="Times New Roman"/>
          <w:sz w:val="24"/>
          <w:szCs w:val="24"/>
          <w:lang w:eastAsia="lv-LV"/>
        </w:rPr>
      </w:pPr>
      <w:r w:rsidRPr="00112E69">
        <w:rPr>
          <w:rFonts w:eastAsia="Times New Roman"/>
          <w:sz w:val="24"/>
          <w:szCs w:val="24"/>
          <w:lang w:eastAsia="lv-LV"/>
        </w:rPr>
        <w:t>Anotācijas III, IV, un VI sadaļas – projekts šīs jomas neskar.</w:t>
      </w:r>
    </w:p>
    <w:p w:rsidR="00112E69" w:rsidRPr="00112E69" w:rsidRDefault="00112E69" w:rsidP="00112E69">
      <w:pPr>
        <w:spacing w:before="58" w:after="58"/>
        <w:ind w:right="-341" w:firstLine="709"/>
        <w:rPr>
          <w:szCs w:val="28"/>
        </w:rPr>
      </w:pPr>
    </w:p>
    <w:p w:rsidR="00112E69" w:rsidRPr="00112E69" w:rsidRDefault="00112E69" w:rsidP="00112E69">
      <w:pPr>
        <w:spacing w:before="58" w:after="58"/>
        <w:ind w:right="-341" w:firstLine="709"/>
        <w:rPr>
          <w:szCs w:val="28"/>
        </w:rPr>
      </w:pPr>
      <w:r w:rsidRPr="00112E69">
        <w:rPr>
          <w:szCs w:val="28"/>
        </w:rPr>
        <w:t>Satiksmes ministrs</w:t>
      </w:r>
      <w:r w:rsidRPr="00112E69">
        <w:rPr>
          <w:szCs w:val="28"/>
        </w:rPr>
        <w:tab/>
      </w:r>
      <w:r w:rsidRPr="00112E69">
        <w:rPr>
          <w:szCs w:val="28"/>
        </w:rPr>
        <w:tab/>
      </w:r>
      <w:r w:rsidRPr="00112E69">
        <w:rPr>
          <w:szCs w:val="28"/>
        </w:rPr>
        <w:tab/>
      </w:r>
      <w:r w:rsidRPr="00112E69">
        <w:rPr>
          <w:szCs w:val="28"/>
        </w:rPr>
        <w:tab/>
      </w:r>
      <w:r w:rsidRPr="00112E69">
        <w:rPr>
          <w:szCs w:val="28"/>
        </w:rPr>
        <w:tab/>
      </w:r>
      <w:r w:rsidRPr="00112E69">
        <w:rPr>
          <w:szCs w:val="28"/>
        </w:rPr>
        <w:tab/>
      </w:r>
      <w:r w:rsidRPr="00112E69">
        <w:rPr>
          <w:szCs w:val="28"/>
        </w:rPr>
        <w:tab/>
        <w:t>A.Matīss</w:t>
      </w:r>
    </w:p>
    <w:p w:rsidR="00112E69" w:rsidRPr="00112E69" w:rsidRDefault="00112E69" w:rsidP="00112E69">
      <w:pPr>
        <w:spacing w:line="240" w:lineRule="auto"/>
        <w:ind w:right="-341"/>
        <w:rPr>
          <w:szCs w:val="28"/>
          <w:lang w:eastAsia="lv-LV"/>
        </w:rPr>
      </w:pPr>
    </w:p>
    <w:p w:rsidR="00112E69" w:rsidRPr="00112E69" w:rsidRDefault="00112E69" w:rsidP="00112E69">
      <w:pPr>
        <w:spacing w:line="240" w:lineRule="auto"/>
        <w:ind w:right="-341"/>
        <w:rPr>
          <w:szCs w:val="28"/>
        </w:rPr>
      </w:pPr>
      <w:r w:rsidRPr="00112E69">
        <w:rPr>
          <w:szCs w:val="28"/>
        </w:rPr>
        <w:t xml:space="preserve">Vīza: </w:t>
      </w:r>
    </w:p>
    <w:p w:rsidR="00112E69" w:rsidRPr="00112E69" w:rsidRDefault="00112E69" w:rsidP="00112E69">
      <w:pPr>
        <w:spacing w:line="240" w:lineRule="auto"/>
        <w:ind w:firstLine="709"/>
        <w:rPr>
          <w:szCs w:val="28"/>
        </w:rPr>
      </w:pPr>
      <w:r w:rsidRPr="00112E69">
        <w:rPr>
          <w:szCs w:val="28"/>
        </w:rPr>
        <w:t xml:space="preserve">Valsts sekretārs </w:t>
      </w:r>
      <w:r w:rsidRPr="00112E69">
        <w:rPr>
          <w:szCs w:val="28"/>
        </w:rPr>
        <w:tab/>
      </w:r>
      <w:r w:rsidRPr="00112E69">
        <w:rPr>
          <w:szCs w:val="28"/>
        </w:rPr>
        <w:tab/>
      </w:r>
      <w:r w:rsidRPr="00112E69">
        <w:rPr>
          <w:szCs w:val="28"/>
        </w:rPr>
        <w:tab/>
      </w:r>
      <w:r w:rsidRPr="00112E69">
        <w:rPr>
          <w:szCs w:val="28"/>
        </w:rPr>
        <w:tab/>
        <w:t xml:space="preserve">  </w:t>
      </w:r>
      <w:r w:rsidRPr="00112E69">
        <w:rPr>
          <w:szCs w:val="28"/>
        </w:rPr>
        <w:tab/>
        <w:t xml:space="preserve">      </w:t>
      </w:r>
      <w:r w:rsidRPr="00112E69">
        <w:rPr>
          <w:szCs w:val="28"/>
        </w:rPr>
        <w:tab/>
        <w:t xml:space="preserve">         K.Ozoliņš</w:t>
      </w:r>
    </w:p>
    <w:p w:rsidR="00112E69" w:rsidRPr="00112E69" w:rsidRDefault="00112E69" w:rsidP="00112E69">
      <w:pPr>
        <w:ind w:firstLine="0"/>
        <w:rPr>
          <w:sz w:val="24"/>
          <w:szCs w:val="24"/>
        </w:rPr>
      </w:pPr>
    </w:p>
    <w:p w:rsidR="00112E69" w:rsidRPr="00112E69" w:rsidRDefault="00112E69" w:rsidP="00112E69">
      <w:pPr>
        <w:ind w:firstLine="0"/>
        <w:rPr>
          <w:sz w:val="24"/>
          <w:szCs w:val="24"/>
        </w:rPr>
      </w:pPr>
    </w:p>
    <w:p w:rsidR="00112E69" w:rsidRPr="00112E69" w:rsidRDefault="00112E69" w:rsidP="00112E69">
      <w:pPr>
        <w:ind w:firstLine="0"/>
        <w:rPr>
          <w:sz w:val="24"/>
          <w:szCs w:val="24"/>
        </w:rPr>
      </w:pPr>
    </w:p>
    <w:p w:rsidR="00112E69" w:rsidRPr="00112E69" w:rsidRDefault="00112E69" w:rsidP="00112E69">
      <w:pPr>
        <w:spacing w:line="240" w:lineRule="auto"/>
        <w:ind w:right="-341" w:firstLine="0"/>
        <w:rPr>
          <w:sz w:val="22"/>
        </w:rPr>
      </w:pPr>
      <w:r w:rsidRPr="00112E69">
        <w:rPr>
          <w:sz w:val="22"/>
        </w:rPr>
        <w:fldChar w:fldCharType="begin"/>
      </w:r>
      <w:r w:rsidRPr="00112E69">
        <w:rPr>
          <w:sz w:val="22"/>
          <w:lang w:val="ru-RU"/>
        </w:rPr>
        <w:instrText xml:space="preserve"> TIME \@ "dd.MM.yyyy H:mm" </w:instrText>
      </w:r>
      <w:r w:rsidRPr="00112E69">
        <w:rPr>
          <w:sz w:val="22"/>
        </w:rPr>
        <w:fldChar w:fldCharType="separate"/>
      </w:r>
      <w:r>
        <w:rPr>
          <w:noProof/>
          <w:sz w:val="22"/>
          <w:lang w:val="ru-RU"/>
        </w:rPr>
        <w:t>22.05.2014 10:32</w:t>
      </w:r>
      <w:r w:rsidRPr="00112E69">
        <w:rPr>
          <w:sz w:val="22"/>
        </w:rPr>
        <w:fldChar w:fldCharType="end"/>
      </w:r>
    </w:p>
    <w:p w:rsidR="00112E69" w:rsidRPr="00112E69" w:rsidRDefault="00112E69" w:rsidP="00112E69">
      <w:pPr>
        <w:spacing w:line="240" w:lineRule="auto"/>
        <w:ind w:right="-341" w:firstLine="0"/>
        <w:rPr>
          <w:sz w:val="22"/>
        </w:rPr>
      </w:pPr>
      <w:r>
        <w:rPr>
          <w:sz w:val="22"/>
        </w:rPr>
        <w:t>12</w:t>
      </w:r>
      <w:bookmarkStart w:id="0" w:name="_GoBack"/>
      <w:bookmarkEnd w:id="0"/>
      <w:r>
        <w:rPr>
          <w:sz w:val="22"/>
        </w:rPr>
        <w:t>53</w:t>
      </w:r>
    </w:p>
    <w:p w:rsidR="00112E69" w:rsidRPr="00112E69" w:rsidRDefault="00112E69" w:rsidP="00112E69">
      <w:pPr>
        <w:spacing w:line="240" w:lineRule="auto"/>
        <w:ind w:firstLine="0"/>
        <w:rPr>
          <w:sz w:val="22"/>
        </w:rPr>
      </w:pPr>
      <w:r w:rsidRPr="00112E69">
        <w:rPr>
          <w:sz w:val="22"/>
        </w:rPr>
        <w:t>Nīmanis, 67025719</w:t>
      </w:r>
    </w:p>
    <w:p w:rsidR="00112E69" w:rsidRPr="00112E69" w:rsidRDefault="00112E69" w:rsidP="00112E69">
      <w:pPr>
        <w:spacing w:line="240" w:lineRule="auto"/>
        <w:ind w:firstLine="0"/>
        <w:rPr>
          <w:sz w:val="22"/>
        </w:rPr>
      </w:pPr>
      <w:r w:rsidRPr="00112E69">
        <w:rPr>
          <w:sz w:val="22"/>
        </w:rPr>
        <w:t>reinis.nimanis@csdd.gov.lv</w:t>
      </w:r>
    </w:p>
    <w:p w:rsidR="00C52324" w:rsidRPr="00112E69" w:rsidRDefault="00C52324" w:rsidP="00112E69"/>
    <w:sectPr w:rsidR="00C52324" w:rsidRPr="00112E69" w:rsidSect="006E2924">
      <w:headerReference w:type="default" r:id="rId9"/>
      <w:footerReference w:type="default" r:id="rId10"/>
      <w:footerReference w:type="first" r:id="rId11"/>
      <w:pgSz w:w="11906" w:h="16838"/>
      <w:pgMar w:top="1440" w:right="1800" w:bottom="1276"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64" w:rsidRDefault="004C6F64" w:rsidP="00E65F54">
      <w:pPr>
        <w:spacing w:line="240" w:lineRule="auto"/>
      </w:pPr>
      <w:r>
        <w:separator/>
      </w:r>
    </w:p>
  </w:endnote>
  <w:endnote w:type="continuationSeparator" w:id="0">
    <w:p w:rsidR="004C6F64" w:rsidRDefault="004C6F64"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2E" w:rsidRPr="006E6B2E" w:rsidRDefault="00277886" w:rsidP="006E6B2E">
    <w:pPr>
      <w:spacing w:line="240" w:lineRule="auto"/>
      <w:ind w:firstLine="0"/>
      <w:rPr>
        <w:rFonts w:eastAsia="Times New Roman"/>
        <w:bCs/>
        <w:sz w:val="20"/>
        <w:szCs w:val="20"/>
        <w:lang w:eastAsia="lv-LV"/>
      </w:rPr>
    </w:pPr>
    <w:r>
      <w:rPr>
        <w:sz w:val="20"/>
        <w:szCs w:val="20"/>
      </w:rPr>
      <w:t>SAMAnot_21</w:t>
    </w:r>
    <w:r w:rsidR="000D008D">
      <w:rPr>
        <w:sz w:val="20"/>
        <w:szCs w:val="20"/>
      </w:rPr>
      <w:t>05</w:t>
    </w:r>
    <w:r w:rsidR="00D91529" w:rsidRPr="00D91529">
      <w:rPr>
        <w:sz w:val="20"/>
        <w:szCs w:val="20"/>
      </w:rPr>
      <w:t>14</w:t>
    </w:r>
    <w:r w:rsidR="002040EB">
      <w:rPr>
        <w:sz w:val="20"/>
        <w:szCs w:val="20"/>
      </w:rPr>
      <w:t>_</w:t>
    </w:r>
    <w:r w:rsidR="00D91529" w:rsidRPr="00D91529">
      <w:rPr>
        <w:sz w:val="20"/>
        <w:szCs w:val="20"/>
      </w:rPr>
      <w:t>nodeva; Ministru kabineta noteikumu projekta „Autoceļu lietošanas nodevas maksāšanas, iekasēšanas un administrēšanas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2E" w:rsidRPr="006E6B2E" w:rsidRDefault="00D91529" w:rsidP="006E6B2E">
    <w:pPr>
      <w:spacing w:line="240" w:lineRule="auto"/>
      <w:ind w:firstLine="0"/>
      <w:rPr>
        <w:rFonts w:eastAsia="Times New Roman"/>
        <w:bCs/>
        <w:sz w:val="20"/>
        <w:szCs w:val="20"/>
        <w:lang w:eastAsia="lv-LV"/>
      </w:rPr>
    </w:pPr>
    <w:r w:rsidRPr="00D91529">
      <w:rPr>
        <w:sz w:val="20"/>
        <w:szCs w:val="20"/>
      </w:rPr>
      <w:t>SAMAnot_</w:t>
    </w:r>
    <w:r w:rsidR="00277886">
      <w:rPr>
        <w:sz w:val="20"/>
        <w:szCs w:val="20"/>
      </w:rPr>
      <w:t>21</w:t>
    </w:r>
    <w:r w:rsidR="000D008D">
      <w:rPr>
        <w:sz w:val="20"/>
        <w:szCs w:val="20"/>
      </w:rPr>
      <w:t>05</w:t>
    </w:r>
    <w:r w:rsidRPr="00D91529">
      <w:rPr>
        <w:sz w:val="20"/>
        <w:szCs w:val="20"/>
      </w:rPr>
      <w:t>14</w:t>
    </w:r>
    <w:r w:rsidR="002040EB">
      <w:rPr>
        <w:sz w:val="20"/>
        <w:szCs w:val="20"/>
      </w:rPr>
      <w:t>_</w:t>
    </w:r>
    <w:r w:rsidRPr="00D91529">
      <w:rPr>
        <w:sz w:val="20"/>
        <w:szCs w:val="20"/>
      </w:rPr>
      <w:t>nodeva; Ministru kabineta noteikumu projekta „Autoceļu lietošanas nodevas maksāšanas, iekasēšanas un administrēšanas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64" w:rsidRDefault="004C6F64" w:rsidP="00E65F54">
      <w:pPr>
        <w:spacing w:line="240" w:lineRule="auto"/>
      </w:pPr>
      <w:r>
        <w:separator/>
      </w:r>
    </w:p>
  </w:footnote>
  <w:footnote w:type="continuationSeparator" w:id="0">
    <w:p w:rsidR="004C6F64" w:rsidRDefault="004C6F64"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4C" w:rsidRDefault="000A204C" w:rsidP="0047322B">
    <w:pPr>
      <w:pStyle w:val="Header"/>
      <w:ind w:firstLine="0"/>
      <w:jc w:val="center"/>
    </w:pPr>
    <w:r>
      <w:fldChar w:fldCharType="begin"/>
    </w:r>
    <w:r>
      <w:instrText xml:space="preserve"> PAGE   \* MERGEFORMAT </w:instrText>
    </w:r>
    <w:r>
      <w:fldChar w:fldCharType="separate"/>
    </w:r>
    <w:r w:rsidR="00112E69">
      <w:rPr>
        <w:noProof/>
      </w:rPr>
      <w:t>6</w:t>
    </w:r>
    <w:r>
      <w:fldChar w:fldCharType="end"/>
    </w:r>
  </w:p>
  <w:p w:rsidR="000A204C" w:rsidRDefault="000A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0D1FBC"/>
    <w:multiLevelType w:val="hybridMultilevel"/>
    <w:tmpl w:val="56EC386E"/>
    <w:lvl w:ilvl="0" w:tplc="9AAE7470">
      <w:start w:val="1"/>
      <w:numFmt w:val="decimal"/>
      <w:lvlText w:val="%1."/>
      <w:lvlJc w:val="left"/>
      <w:pPr>
        <w:ind w:left="754" w:hanging="420"/>
      </w:pPr>
      <w:rPr>
        <w:rFonts w:hint="default"/>
        <w:color w:val="auto"/>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2">
    <w:nsid w:val="167A7049"/>
    <w:multiLevelType w:val="hybridMultilevel"/>
    <w:tmpl w:val="9DEAC484"/>
    <w:lvl w:ilvl="0" w:tplc="31D644F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F9C2E5D"/>
    <w:multiLevelType w:val="hybridMultilevel"/>
    <w:tmpl w:val="C8AAD69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5D91"/>
    <w:rsid w:val="0000712B"/>
    <w:rsid w:val="00007EEF"/>
    <w:rsid w:val="000179C0"/>
    <w:rsid w:val="000240B2"/>
    <w:rsid w:val="0002755E"/>
    <w:rsid w:val="00040810"/>
    <w:rsid w:val="0004524B"/>
    <w:rsid w:val="00050528"/>
    <w:rsid w:val="0005135F"/>
    <w:rsid w:val="00052DB2"/>
    <w:rsid w:val="0005308A"/>
    <w:rsid w:val="00056AAB"/>
    <w:rsid w:val="00056D4D"/>
    <w:rsid w:val="000576BA"/>
    <w:rsid w:val="0006501B"/>
    <w:rsid w:val="0006748D"/>
    <w:rsid w:val="00073CFE"/>
    <w:rsid w:val="00094458"/>
    <w:rsid w:val="00096E19"/>
    <w:rsid w:val="000A204C"/>
    <w:rsid w:val="000A26F1"/>
    <w:rsid w:val="000A2ABA"/>
    <w:rsid w:val="000A307A"/>
    <w:rsid w:val="000A4071"/>
    <w:rsid w:val="000B7137"/>
    <w:rsid w:val="000B7533"/>
    <w:rsid w:val="000C049D"/>
    <w:rsid w:val="000C6A5A"/>
    <w:rsid w:val="000D008D"/>
    <w:rsid w:val="000D1D5A"/>
    <w:rsid w:val="000D36CD"/>
    <w:rsid w:val="000D3F6C"/>
    <w:rsid w:val="000E419E"/>
    <w:rsid w:val="000E72D7"/>
    <w:rsid w:val="000F4E77"/>
    <w:rsid w:val="000F61A4"/>
    <w:rsid w:val="00100CF6"/>
    <w:rsid w:val="00112E69"/>
    <w:rsid w:val="00122C18"/>
    <w:rsid w:val="00126375"/>
    <w:rsid w:val="00142AD0"/>
    <w:rsid w:val="001471D3"/>
    <w:rsid w:val="00155154"/>
    <w:rsid w:val="00167D64"/>
    <w:rsid w:val="00171F18"/>
    <w:rsid w:val="00172009"/>
    <w:rsid w:val="001730AE"/>
    <w:rsid w:val="0017730B"/>
    <w:rsid w:val="00181860"/>
    <w:rsid w:val="00183CEC"/>
    <w:rsid w:val="001844CC"/>
    <w:rsid w:val="00186915"/>
    <w:rsid w:val="0019254C"/>
    <w:rsid w:val="001954F7"/>
    <w:rsid w:val="00196AC6"/>
    <w:rsid w:val="001A05E0"/>
    <w:rsid w:val="001A127C"/>
    <w:rsid w:val="001A3DD6"/>
    <w:rsid w:val="001A5340"/>
    <w:rsid w:val="001A56A7"/>
    <w:rsid w:val="001A69E2"/>
    <w:rsid w:val="001A6C49"/>
    <w:rsid w:val="001B24BB"/>
    <w:rsid w:val="001B46BB"/>
    <w:rsid w:val="001D35B7"/>
    <w:rsid w:val="001D550D"/>
    <w:rsid w:val="001E685A"/>
    <w:rsid w:val="001E707E"/>
    <w:rsid w:val="001E7275"/>
    <w:rsid w:val="001F7D74"/>
    <w:rsid w:val="00200D00"/>
    <w:rsid w:val="00203BFE"/>
    <w:rsid w:val="00203DF6"/>
    <w:rsid w:val="002040EB"/>
    <w:rsid w:val="00204AE3"/>
    <w:rsid w:val="0020589F"/>
    <w:rsid w:val="002121C1"/>
    <w:rsid w:val="0021249F"/>
    <w:rsid w:val="00227D24"/>
    <w:rsid w:val="002333FB"/>
    <w:rsid w:val="002431F8"/>
    <w:rsid w:val="00246D0A"/>
    <w:rsid w:val="002511A0"/>
    <w:rsid w:val="00253663"/>
    <w:rsid w:val="00254AAA"/>
    <w:rsid w:val="00254E6C"/>
    <w:rsid w:val="00255CA8"/>
    <w:rsid w:val="002620AA"/>
    <w:rsid w:val="0027189F"/>
    <w:rsid w:val="002723AB"/>
    <w:rsid w:val="00272789"/>
    <w:rsid w:val="00274CA1"/>
    <w:rsid w:val="00277886"/>
    <w:rsid w:val="00282ABD"/>
    <w:rsid w:val="002868E5"/>
    <w:rsid w:val="00287FD2"/>
    <w:rsid w:val="00291BEF"/>
    <w:rsid w:val="0029276A"/>
    <w:rsid w:val="002954F6"/>
    <w:rsid w:val="002A469E"/>
    <w:rsid w:val="002A7E61"/>
    <w:rsid w:val="002C009C"/>
    <w:rsid w:val="002C5EB8"/>
    <w:rsid w:val="002C74C8"/>
    <w:rsid w:val="002D0145"/>
    <w:rsid w:val="002D728B"/>
    <w:rsid w:val="002E01C2"/>
    <w:rsid w:val="002E61AA"/>
    <w:rsid w:val="003145D0"/>
    <w:rsid w:val="0031568F"/>
    <w:rsid w:val="00331B69"/>
    <w:rsid w:val="00332A51"/>
    <w:rsid w:val="00333D07"/>
    <w:rsid w:val="0033441D"/>
    <w:rsid w:val="00336FD7"/>
    <w:rsid w:val="00350EF3"/>
    <w:rsid w:val="00354129"/>
    <w:rsid w:val="00354BB5"/>
    <w:rsid w:val="00356571"/>
    <w:rsid w:val="00363705"/>
    <w:rsid w:val="003704C4"/>
    <w:rsid w:val="00376572"/>
    <w:rsid w:val="003808DC"/>
    <w:rsid w:val="00394EB3"/>
    <w:rsid w:val="003A2595"/>
    <w:rsid w:val="003A4871"/>
    <w:rsid w:val="003B3844"/>
    <w:rsid w:val="003C25DC"/>
    <w:rsid w:val="003C78BC"/>
    <w:rsid w:val="003E176C"/>
    <w:rsid w:val="003E1A6C"/>
    <w:rsid w:val="003E34EB"/>
    <w:rsid w:val="003E6B9C"/>
    <w:rsid w:val="003F1D0B"/>
    <w:rsid w:val="003F3F9B"/>
    <w:rsid w:val="00401786"/>
    <w:rsid w:val="00410D4D"/>
    <w:rsid w:val="004146B9"/>
    <w:rsid w:val="00416B05"/>
    <w:rsid w:val="00421A23"/>
    <w:rsid w:val="00431C58"/>
    <w:rsid w:val="004430AD"/>
    <w:rsid w:val="00471594"/>
    <w:rsid w:val="0047322B"/>
    <w:rsid w:val="00481CBC"/>
    <w:rsid w:val="004837F3"/>
    <w:rsid w:val="004871FD"/>
    <w:rsid w:val="00497897"/>
    <w:rsid w:val="004A01ED"/>
    <w:rsid w:val="004A09DA"/>
    <w:rsid w:val="004A5D15"/>
    <w:rsid w:val="004B14CA"/>
    <w:rsid w:val="004B2FAA"/>
    <w:rsid w:val="004C6F64"/>
    <w:rsid w:val="004C7582"/>
    <w:rsid w:val="004E75E2"/>
    <w:rsid w:val="004F4838"/>
    <w:rsid w:val="004F4EAC"/>
    <w:rsid w:val="00503578"/>
    <w:rsid w:val="005037D2"/>
    <w:rsid w:val="00505E87"/>
    <w:rsid w:val="00506092"/>
    <w:rsid w:val="00506340"/>
    <w:rsid w:val="005124B1"/>
    <w:rsid w:val="00513991"/>
    <w:rsid w:val="005140BF"/>
    <w:rsid w:val="005143C7"/>
    <w:rsid w:val="00515848"/>
    <w:rsid w:val="00536A82"/>
    <w:rsid w:val="00550601"/>
    <w:rsid w:val="00556F00"/>
    <w:rsid w:val="00557A00"/>
    <w:rsid w:val="00560AED"/>
    <w:rsid w:val="0056545F"/>
    <w:rsid w:val="00565973"/>
    <w:rsid w:val="005822C3"/>
    <w:rsid w:val="00585852"/>
    <w:rsid w:val="00591A7F"/>
    <w:rsid w:val="005922A7"/>
    <w:rsid w:val="005A0227"/>
    <w:rsid w:val="005A2687"/>
    <w:rsid w:val="005A6005"/>
    <w:rsid w:val="005B1B46"/>
    <w:rsid w:val="005E45C1"/>
    <w:rsid w:val="0060264C"/>
    <w:rsid w:val="00606CFD"/>
    <w:rsid w:val="00615D4B"/>
    <w:rsid w:val="00615F2D"/>
    <w:rsid w:val="006270F1"/>
    <w:rsid w:val="00632330"/>
    <w:rsid w:val="00632DFC"/>
    <w:rsid w:val="00641170"/>
    <w:rsid w:val="006428AB"/>
    <w:rsid w:val="00655313"/>
    <w:rsid w:val="0066319E"/>
    <w:rsid w:val="0067242E"/>
    <w:rsid w:val="00672C29"/>
    <w:rsid w:val="00681A6F"/>
    <w:rsid w:val="0068314D"/>
    <w:rsid w:val="006863E5"/>
    <w:rsid w:val="00686E9C"/>
    <w:rsid w:val="00690C83"/>
    <w:rsid w:val="006946B7"/>
    <w:rsid w:val="0069642A"/>
    <w:rsid w:val="00697153"/>
    <w:rsid w:val="006B281B"/>
    <w:rsid w:val="006D0693"/>
    <w:rsid w:val="006E0766"/>
    <w:rsid w:val="006E0BE4"/>
    <w:rsid w:val="006E2924"/>
    <w:rsid w:val="006E6B2E"/>
    <w:rsid w:val="006F020E"/>
    <w:rsid w:val="006F2DBC"/>
    <w:rsid w:val="00701879"/>
    <w:rsid w:val="007034AE"/>
    <w:rsid w:val="00706A25"/>
    <w:rsid w:val="00710C9A"/>
    <w:rsid w:val="00716594"/>
    <w:rsid w:val="00721962"/>
    <w:rsid w:val="00721B24"/>
    <w:rsid w:val="0072606B"/>
    <w:rsid w:val="00730F54"/>
    <w:rsid w:val="0073167E"/>
    <w:rsid w:val="007323E8"/>
    <w:rsid w:val="0074150F"/>
    <w:rsid w:val="00745558"/>
    <w:rsid w:val="00747735"/>
    <w:rsid w:val="00751EC7"/>
    <w:rsid w:val="00752546"/>
    <w:rsid w:val="00756D89"/>
    <w:rsid w:val="00757000"/>
    <w:rsid w:val="00767A00"/>
    <w:rsid w:val="007749B3"/>
    <w:rsid w:val="00774D34"/>
    <w:rsid w:val="0077555E"/>
    <w:rsid w:val="0078706B"/>
    <w:rsid w:val="0078785B"/>
    <w:rsid w:val="0079006F"/>
    <w:rsid w:val="00790A91"/>
    <w:rsid w:val="007940BE"/>
    <w:rsid w:val="007A002E"/>
    <w:rsid w:val="007B00B9"/>
    <w:rsid w:val="007B2D40"/>
    <w:rsid w:val="007C60A2"/>
    <w:rsid w:val="007C6727"/>
    <w:rsid w:val="007D089C"/>
    <w:rsid w:val="007D28F5"/>
    <w:rsid w:val="007D487B"/>
    <w:rsid w:val="007D6C45"/>
    <w:rsid w:val="007D6C61"/>
    <w:rsid w:val="007F47D0"/>
    <w:rsid w:val="008057EB"/>
    <w:rsid w:val="00815AEC"/>
    <w:rsid w:val="008209E9"/>
    <w:rsid w:val="00823C7D"/>
    <w:rsid w:val="00824AC5"/>
    <w:rsid w:val="0083428E"/>
    <w:rsid w:val="008352A4"/>
    <w:rsid w:val="00835472"/>
    <w:rsid w:val="00836607"/>
    <w:rsid w:val="00844CA5"/>
    <w:rsid w:val="00850010"/>
    <w:rsid w:val="00851060"/>
    <w:rsid w:val="00851B2B"/>
    <w:rsid w:val="00863DFA"/>
    <w:rsid w:val="00863FCF"/>
    <w:rsid w:val="00870478"/>
    <w:rsid w:val="00882B12"/>
    <w:rsid w:val="008B0CE6"/>
    <w:rsid w:val="008C3594"/>
    <w:rsid w:val="008D460A"/>
    <w:rsid w:val="008E33C4"/>
    <w:rsid w:val="008E4E9E"/>
    <w:rsid w:val="008F3C11"/>
    <w:rsid w:val="008F66F6"/>
    <w:rsid w:val="008F7DF9"/>
    <w:rsid w:val="00901F1D"/>
    <w:rsid w:val="0090208C"/>
    <w:rsid w:val="00903C74"/>
    <w:rsid w:val="009062EF"/>
    <w:rsid w:val="009068C0"/>
    <w:rsid w:val="00907343"/>
    <w:rsid w:val="009105E0"/>
    <w:rsid w:val="009106B5"/>
    <w:rsid w:val="00912417"/>
    <w:rsid w:val="0091377F"/>
    <w:rsid w:val="00915BF7"/>
    <w:rsid w:val="009232BF"/>
    <w:rsid w:val="00923AB3"/>
    <w:rsid w:val="00927A4C"/>
    <w:rsid w:val="00931B00"/>
    <w:rsid w:val="00940895"/>
    <w:rsid w:val="009467F5"/>
    <w:rsid w:val="00963005"/>
    <w:rsid w:val="00964B88"/>
    <w:rsid w:val="00974550"/>
    <w:rsid w:val="00980690"/>
    <w:rsid w:val="00980BBA"/>
    <w:rsid w:val="00982781"/>
    <w:rsid w:val="00986FAE"/>
    <w:rsid w:val="009A6A32"/>
    <w:rsid w:val="009C54B3"/>
    <w:rsid w:val="009D3518"/>
    <w:rsid w:val="009E510B"/>
    <w:rsid w:val="009F0A35"/>
    <w:rsid w:val="009F5F30"/>
    <w:rsid w:val="00A01523"/>
    <w:rsid w:val="00A213F0"/>
    <w:rsid w:val="00A25E9A"/>
    <w:rsid w:val="00A30CB6"/>
    <w:rsid w:val="00A31204"/>
    <w:rsid w:val="00A37CC3"/>
    <w:rsid w:val="00A37F84"/>
    <w:rsid w:val="00A44091"/>
    <w:rsid w:val="00A51089"/>
    <w:rsid w:val="00A55810"/>
    <w:rsid w:val="00A6408F"/>
    <w:rsid w:val="00A671C5"/>
    <w:rsid w:val="00A84B58"/>
    <w:rsid w:val="00A91D84"/>
    <w:rsid w:val="00AA1C2D"/>
    <w:rsid w:val="00AB3A67"/>
    <w:rsid w:val="00AC6A6B"/>
    <w:rsid w:val="00AC6ADF"/>
    <w:rsid w:val="00AD2DE5"/>
    <w:rsid w:val="00AD7A9B"/>
    <w:rsid w:val="00AD7B47"/>
    <w:rsid w:val="00B013AA"/>
    <w:rsid w:val="00B0361B"/>
    <w:rsid w:val="00B0711B"/>
    <w:rsid w:val="00B10BFA"/>
    <w:rsid w:val="00B150E5"/>
    <w:rsid w:val="00B244CE"/>
    <w:rsid w:val="00B27C37"/>
    <w:rsid w:val="00B30FC5"/>
    <w:rsid w:val="00B35BBE"/>
    <w:rsid w:val="00B46203"/>
    <w:rsid w:val="00B511FA"/>
    <w:rsid w:val="00B54261"/>
    <w:rsid w:val="00B61248"/>
    <w:rsid w:val="00B628C1"/>
    <w:rsid w:val="00B63B7A"/>
    <w:rsid w:val="00B669A9"/>
    <w:rsid w:val="00B731EA"/>
    <w:rsid w:val="00B76630"/>
    <w:rsid w:val="00B77A26"/>
    <w:rsid w:val="00B873F9"/>
    <w:rsid w:val="00B92D4F"/>
    <w:rsid w:val="00B9438D"/>
    <w:rsid w:val="00B94AAF"/>
    <w:rsid w:val="00B94DED"/>
    <w:rsid w:val="00BA031B"/>
    <w:rsid w:val="00BA117F"/>
    <w:rsid w:val="00BA2FFA"/>
    <w:rsid w:val="00BA719A"/>
    <w:rsid w:val="00BB634E"/>
    <w:rsid w:val="00BC5919"/>
    <w:rsid w:val="00BC6FFB"/>
    <w:rsid w:val="00BD3ED8"/>
    <w:rsid w:val="00BE3EA5"/>
    <w:rsid w:val="00BE5F5D"/>
    <w:rsid w:val="00BF0E50"/>
    <w:rsid w:val="00C02AC5"/>
    <w:rsid w:val="00C0473F"/>
    <w:rsid w:val="00C05E54"/>
    <w:rsid w:val="00C1051F"/>
    <w:rsid w:val="00C1496F"/>
    <w:rsid w:val="00C1626C"/>
    <w:rsid w:val="00C23DE7"/>
    <w:rsid w:val="00C2420E"/>
    <w:rsid w:val="00C25EDD"/>
    <w:rsid w:val="00C3190C"/>
    <w:rsid w:val="00C32077"/>
    <w:rsid w:val="00C371A7"/>
    <w:rsid w:val="00C40873"/>
    <w:rsid w:val="00C515F0"/>
    <w:rsid w:val="00C52324"/>
    <w:rsid w:val="00C5629F"/>
    <w:rsid w:val="00C56382"/>
    <w:rsid w:val="00C8074F"/>
    <w:rsid w:val="00C808FF"/>
    <w:rsid w:val="00C96F98"/>
    <w:rsid w:val="00CA1E38"/>
    <w:rsid w:val="00CA620A"/>
    <w:rsid w:val="00CB0ABA"/>
    <w:rsid w:val="00CC171D"/>
    <w:rsid w:val="00CC1A72"/>
    <w:rsid w:val="00CC1F7D"/>
    <w:rsid w:val="00CC3C26"/>
    <w:rsid w:val="00CC41E5"/>
    <w:rsid w:val="00CC5C0A"/>
    <w:rsid w:val="00CC6000"/>
    <w:rsid w:val="00CE422F"/>
    <w:rsid w:val="00CF3B6C"/>
    <w:rsid w:val="00CF5369"/>
    <w:rsid w:val="00D01041"/>
    <w:rsid w:val="00D12520"/>
    <w:rsid w:val="00D172CD"/>
    <w:rsid w:val="00D332B2"/>
    <w:rsid w:val="00D33E56"/>
    <w:rsid w:val="00D36C4A"/>
    <w:rsid w:val="00D40B9D"/>
    <w:rsid w:val="00D430AA"/>
    <w:rsid w:val="00D77917"/>
    <w:rsid w:val="00D91529"/>
    <w:rsid w:val="00D92789"/>
    <w:rsid w:val="00D932F7"/>
    <w:rsid w:val="00D93F76"/>
    <w:rsid w:val="00DA1738"/>
    <w:rsid w:val="00DA3E35"/>
    <w:rsid w:val="00DB42EB"/>
    <w:rsid w:val="00DC2F9A"/>
    <w:rsid w:val="00DC4775"/>
    <w:rsid w:val="00DD5752"/>
    <w:rsid w:val="00DE2162"/>
    <w:rsid w:val="00DE2F7E"/>
    <w:rsid w:val="00DE4A48"/>
    <w:rsid w:val="00DE6125"/>
    <w:rsid w:val="00DF62FE"/>
    <w:rsid w:val="00E039C4"/>
    <w:rsid w:val="00E07A31"/>
    <w:rsid w:val="00E135D7"/>
    <w:rsid w:val="00E15490"/>
    <w:rsid w:val="00E20375"/>
    <w:rsid w:val="00E213EF"/>
    <w:rsid w:val="00E32F2A"/>
    <w:rsid w:val="00E35DAD"/>
    <w:rsid w:val="00E362E9"/>
    <w:rsid w:val="00E4685F"/>
    <w:rsid w:val="00E5467C"/>
    <w:rsid w:val="00E5622B"/>
    <w:rsid w:val="00E60DB5"/>
    <w:rsid w:val="00E623D9"/>
    <w:rsid w:val="00E65F54"/>
    <w:rsid w:val="00E668D0"/>
    <w:rsid w:val="00E6691A"/>
    <w:rsid w:val="00E84F60"/>
    <w:rsid w:val="00E853AD"/>
    <w:rsid w:val="00E90A80"/>
    <w:rsid w:val="00E93554"/>
    <w:rsid w:val="00EA001B"/>
    <w:rsid w:val="00EB207A"/>
    <w:rsid w:val="00EC20CA"/>
    <w:rsid w:val="00ED018F"/>
    <w:rsid w:val="00ED72A7"/>
    <w:rsid w:val="00ED72FF"/>
    <w:rsid w:val="00EE0D7C"/>
    <w:rsid w:val="00EE3AAB"/>
    <w:rsid w:val="00EF4E1A"/>
    <w:rsid w:val="00F03118"/>
    <w:rsid w:val="00F03A0B"/>
    <w:rsid w:val="00F04300"/>
    <w:rsid w:val="00F1388D"/>
    <w:rsid w:val="00F1660A"/>
    <w:rsid w:val="00F21982"/>
    <w:rsid w:val="00F24F4C"/>
    <w:rsid w:val="00F34505"/>
    <w:rsid w:val="00F417EB"/>
    <w:rsid w:val="00F42BC4"/>
    <w:rsid w:val="00F46B09"/>
    <w:rsid w:val="00F57D32"/>
    <w:rsid w:val="00F6543D"/>
    <w:rsid w:val="00F65A72"/>
    <w:rsid w:val="00F67BFB"/>
    <w:rsid w:val="00F67D4B"/>
    <w:rsid w:val="00F70519"/>
    <w:rsid w:val="00F71BAA"/>
    <w:rsid w:val="00F77785"/>
    <w:rsid w:val="00F84216"/>
    <w:rsid w:val="00F95821"/>
    <w:rsid w:val="00FA250F"/>
    <w:rsid w:val="00FA252C"/>
    <w:rsid w:val="00FA5938"/>
    <w:rsid w:val="00FA70D0"/>
    <w:rsid w:val="00FB092C"/>
    <w:rsid w:val="00FB1A67"/>
    <w:rsid w:val="00FB4504"/>
    <w:rsid w:val="00FB6014"/>
    <w:rsid w:val="00FC2928"/>
    <w:rsid w:val="00FC34CE"/>
    <w:rsid w:val="00FD02AC"/>
    <w:rsid w:val="00FD0D3B"/>
    <w:rsid w:val="00FD1156"/>
    <w:rsid w:val="00FE6D75"/>
    <w:rsid w:val="00FF3A41"/>
    <w:rsid w:val="00FF51BC"/>
    <w:rsid w:val="00FF6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26569445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818497538">
      <w:bodyDiv w:val="1"/>
      <w:marLeft w:val="0"/>
      <w:marRight w:val="0"/>
      <w:marTop w:val="0"/>
      <w:marBottom w:val="0"/>
      <w:divBdr>
        <w:top w:val="none" w:sz="0" w:space="0" w:color="auto"/>
        <w:left w:val="none" w:sz="0" w:space="0" w:color="auto"/>
        <w:bottom w:val="none" w:sz="0" w:space="0" w:color="auto"/>
        <w:right w:val="none" w:sz="0" w:space="0" w:color="auto"/>
      </w:divBdr>
    </w:div>
    <w:div w:id="856576894">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32567873">
      <w:bodyDiv w:val="1"/>
      <w:marLeft w:val="0"/>
      <w:marRight w:val="0"/>
      <w:marTop w:val="0"/>
      <w:marBottom w:val="0"/>
      <w:divBdr>
        <w:top w:val="none" w:sz="0" w:space="0" w:color="auto"/>
        <w:left w:val="none" w:sz="0" w:space="0" w:color="auto"/>
        <w:bottom w:val="none" w:sz="0" w:space="0" w:color="auto"/>
        <w:right w:val="none" w:sz="0" w:space="0" w:color="auto"/>
      </w:divBdr>
    </w:div>
    <w:div w:id="1782530890">
      <w:bodyDiv w:val="1"/>
      <w:marLeft w:val="0"/>
      <w:marRight w:val="0"/>
      <w:marTop w:val="0"/>
      <w:marBottom w:val="0"/>
      <w:divBdr>
        <w:top w:val="none" w:sz="0" w:space="0" w:color="auto"/>
        <w:left w:val="none" w:sz="0" w:space="0" w:color="auto"/>
        <w:bottom w:val="none" w:sz="0" w:space="0" w:color="auto"/>
        <w:right w:val="none" w:sz="0" w:space="0" w:color="auto"/>
      </w:divBdr>
    </w:div>
    <w:div w:id="1824152793">
      <w:bodyDiv w:val="1"/>
      <w:marLeft w:val="0"/>
      <w:marRight w:val="0"/>
      <w:marTop w:val="0"/>
      <w:marBottom w:val="0"/>
      <w:divBdr>
        <w:top w:val="none" w:sz="0" w:space="0" w:color="auto"/>
        <w:left w:val="none" w:sz="0" w:space="0" w:color="auto"/>
        <w:bottom w:val="none" w:sz="0" w:space="0" w:color="auto"/>
        <w:right w:val="none" w:sz="0" w:space="0" w:color="auto"/>
      </w:divBdr>
    </w:div>
    <w:div w:id="1941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37FF-9965-452F-B7E2-F890F392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6726</Words>
  <Characters>3835</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noteikumu projekta „„Autoceļu lietošanas nodevas maksāšanas, iekasēšanas un administrēšanas kārtība" anotācija</vt:lpstr>
    </vt:vector>
  </TitlesOfParts>
  <Company>Satiksmes ministrija</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„„Autoceļu lietošanas nodevas maksāšanas, iekasēšanas un administrēšanas kārtība" anotācija</dc:title>
  <dc:subject>anotācija</dc:subject>
  <dc:creator>Reinis.Nimanis@csdd.gov.lv</dc:creator>
  <cp:keywords>„Autoceļu lietošanas nodevas maksāšanas, iekasēšanas un administrēšanas kārtība</cp:keywords>
  <dc:description>reinis.nimanis@csdd.gov.lv, 67025719
maris.pekalis@sam.gov.lv, 67028300</dc:description>
  <cp:lastModifiedBy>Annija Novikova</cp:lastModifiedBy>
  <cp:revision>5</cp:revision>
  <cp:lastPrinted>2014-05-22T07:32:00Z</cp:lastPrinted>
  <dcterms:created xsi:type="dcterms:W3CDTF">2014-05-22T06:55:00Z</dcterms:created>
  <dcterms:modified xsi:type="dcterms:W3CDTF">2014-05-22T07:32:00Z</dcterms:modified>
</cp:coreProperties>
</file>