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64" w:rsidRDefault="001B5764" w:rsidP="004A2BD3">
      <w:pPr>
        <w:rPr>
          <w:sz w:val="28"/>
          <w:szCs w:val="28"/>
        </w:rPr>
      </w:pPr>
      <w:bookmarkStart w:id="0" w:name="_GoBack"/>
      <w:bookmarkEnd w:id="0"/>
    </w:p>
    <w:p w:rsidR="001B5764" w:rsidRPr="00D30360" w:rsidRDefault="001B5764" w:rsidP="00F144BB">
      <w:pPr>
        <w:jc w:val="center"/>
        <w:rPr>
          <w:b/>
          <w:bCs/>
        </w:rPr>
      </w:pPr>
      <w:r w:rsidRPr="00ED0D4A">
        <w:rPr>
          <w:sz w:val="28"/>
          <w:szCs w:val="28"/>
        </w:rPr>
        <w:t>Ministru kabineta rīkojuma projekta „</w:t>
      </w:r>
      <w:r w:rsidRPr="00F144BB">
        <w:rPr>
          <w:bCs/>
          <w:sz w:val="28"/>
          <w:szCs w:val="28"/>
        </w:rPr>
        <w:t>Par nekustamā īpašuma atsavināšanu valsts autoceļa P121 Tukums–Kuldīga rekonstrukcijas projekta īstenošanai</w:t>
      </w:r>
      <w:r w:rsidRPr="00ED0D4A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</w:t>
      </w:r>
      <w:r w:rsidRPr="00ED0D4A">
        <w:rPr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ED0D4A">
          <w:rPr>
            <w:sz w:val="28"/>
            <w:szCs w:val="28"/>
          </w:rPr>
          <w:t>ziņojums</w:t>
        </w:r>
      </w:smartTag>
      <w:r w:rsidRPr="00ED0D4A">
        <w:rPr>
          <w:sz w:val="28"/>
          <w:szCs w:val="28"/>
        </w:rPr>
        <w:t xml:space="preserve"> (anotācija)</w:t>
      </w:r>
    </w:p>
    <w:p w:rsidR="001B5764" w:rsidRPr="00E74ED5" w:rsidRDefault="001B5764" w:rsidP="00D9027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6"/>
        <w:tblW w:w="97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6"/>
        <w:gridCol w:w="2538"/>
        <w:gridCol w:w="6763"/>
      </w:tblGrid>
      <w:tr w:rsidR="001B5764" w:rsidRPr="0062008E" w:rsidTr="00815C26">
        <w:tc>
          <w:tcPr>
            <w:tcW w:w="9727" w:type="dxa"/>
            <w:gridSpan w:val="3"/>
            <w:vAlign w:val="center"/>
          </w:tcPr>
          <w:p w:rsidR="001B5764" w:rsidRPr="0062008E" w:rsidRDefault="001B5764" w:rsidP="006A554A">
            <w:pPr>
              <w:jc w:val="center"/>
              <w:rPr>
                <w:b/>
                <w:color w:val="000000"/>
              </w:rPr>
            </w:pPr>
            <w:r w:rsidRPr="0062008E">
              <w:rPr>
                <w:b/>
                <w:color w:val="000000"/>
              </w:rPr>
              <w:t xml:space="preserve">I.Tiesību akta projekta izstrādes nepieciešamība </w:t>
            </w:r>
          </w:p>
        </w:tc>
      </w:tr>
      <w:tr w:rsidR="001B5764" w:rsidRPr="0062008E" w:rsidTr="00815C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764" w:rsidRPr="0062008E" w:rsidRDefault="001B5764" w:rsidP="00CD43A9">
            <w:pPr>
              <w:pStyle w:val="naisf"/>
              <w:spacing w:before="0" w:after="0"/>
              <w:ind w:firstLine="0"/>
            </w:pPr>
            <w:r w:rsidRPr="0062008E">
              <w:t>1.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764" w:rsidRPr="0062008E" w:rsidRDefault="001B5764" w:rsidP="00CD43A9">
            <w:pPr>
              <w:pStyle w:val="naisf"/>
              <w:spacing w:before="0" w:after="0"/>
              <w:ind w:firstLine="0"/>
            </w:pPr>
            <w:r w:rsidRPr="0062008E">
              <w:t> Pamatojums</w:t>
            </w:r>
          </w:p>
        </w:tc>
        <w:tc>
          <w:tcPr>
            <w:tcW w:w="6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5764" w:rsidRPr="00D76C91" w:rsidRDefault="001B5764" w:rsidP="00D76C91">
            <w:pPr>
              <w:pStyle w:val="Heading2"/>
              <w:spacing w:before="120"/>
              <w:ind w:firstLine="735"/>
              <w:jc w:val="both"/>
              <w:rPr>
                <w:sz w:val="24"/>
                <w:szCs w:val="24"/>
              </w:rPr>
            </w:pPr>
            <w:r w:rsidRPr="00D76C91">
              <w:rPr>
                <w:sz w:val="24"/>
                <w:szCs w:val="24"/>
              </w:rPr>
              <w:t>Sabiedrības vajadzībām nepieciešamā nekustamā īpašuma atsavināšanas likuma (turpmāk – Likums) 9.pants</w:t>
            </w:r>
            <w:r>
              <w:rPr>
                <w:sz w:val="24"/>
                <w:szCs w:val="24"/>
              </w:rPr>
              <w:t>.</w:t>
            </w:r>
          </w:p>
        </w:tc>
      </w:tr>
      <w:tr w:rsidR="001B5764" w:rsidRPr="0062008E" w:rsidTr="00815C26">
        <w:trPr>
          <w:trHeight w:val="347"/>
        </w:trPr>
        <w:tc>
          <w:tcPr>
            <w:tcW w:w="426" w:type="dxa"/>
          </w:tcPr>
          <w:p w:rsidR="001B5764" w:rsidRPr="0062008E" w:rsidRDefault="001B5764" w:rsidP="008E5615">
            <w:pPr>
              <w:spacing w:before="100" w:beforeAutospacing="1" w:after="100" w:afterAutospacing="1"/>
              <w:rPr>
                <w:color w:val="000000"/>
              </w:rPr>
            </w:pPr>
            <w:r w:rsidRPr="0062008E">
              <w:rPr>
                <w:color w:val="000000"/>
              </w:rPr>
              <w:t>2.</w:t>
            </w:r>
          </w:p>
        </w:tc>
        <w:tc>
          <w:tcPr>
            <w:tcW w:w="2538" w:type="dxa"/>
          </w:tcPr>
          <w:p w:rsidR="001B5764" w:rsidRPr="0062008E" w:rsidRDefault="001B5764" w:rsidP="008E5615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2008E">
              <w:rPr>
                <w:color w:val="000000"/>
              </w:rPr>
              <w:t xml:space="preserve"> Pašreizējā situācija un problēmas</w:t>
            </w:r>
            <w:r>
              <w:rPr>
                <w:color w:val="000000"/>
              </w:rPr>
              <w:t>, kuru risināšanai tiesību akta projekts izstrādāts, tiesiskā regulējuma mērķis un būtība</w:t>
            </w:r>
          </w:p>
          <w:p w:rsidR="001B5764" w:rsidRPr="0062008E" w:rsidRDefault="001B5764" w:rsidP="008E561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763" w:type="dxa"/>
          </w:tcPr>
          <w:p w:rsidR="001B5764" w:rsidRDefault="001B5764" w:rsidP="00860F19">
            <w:pPr>
              <w:ind w:left="54" w:firstLine="690"/>
              <w:jc w:val="both"/>
            </w:pPr>
            <w:r>
              <w:t>Valsts autoceļa P121 Tukums–Kuldīga posma 41,90.-52,34.km rekonstrukcijas projekta īstenošanai nepieciešams atsavināt no zemes īpašnieces nekustamo īpašumu „</w:t>
            </w:r>
            <w:proofErr w:type="spellStart"/>
            <w:r>
              <w:t>Ploči</w:t>
            </w:r>
            <w:proofErr w:type="spellEnd"/>
            <w:r>
              <w:t xml:space="preserve"> M” (nekustamā īpašuma kadastra </w:t>
            </w:r>
            <w:proofErr w:type="spellStart"/>
            <w:r>
              <w:t>Nr</w:t>
            </w:r>
            <w:proofErr w:type="spellEnd"/>
            <w:r>
              <w:t>. 9070 001 0076) – zemes vienību 0,16 ha platībā (zemes vienības kadastra apzīmējums 9070 001 0073) – Matkules pagastā, Kandavas novadā (turpmāk – nekustamais īpašums „</w:t>
            </w:r>
            <w:proofErr w:type="spellStart"/>
            <w:r>
              <w:t>Ploči</w:t>
            </w:r>
            <w:proofErr w:type="spellEnd"/>
            <w:r>
              <w:t xml:space="preserve"> M”). </w:t>
            </w:r>
            <w:r w:rsidRPr="0030181D">
              <w:t xml:space="preserve">Tādējādi </w:t>
            </w:r>
            <w:r w:rsidRPr="00236C79">
              <w:t>minētais nekustamais īpašums tiek atsavināts</w:t>
            </w:r>
            <w:r w:rsidRPr="00C66182">
              <w:t xml:space="preserve"> </w:t>
            </w:r>
            <w:r>
              <w:t xml:space="preserve">transporta </w:t>
            </w:r>
            <w:r w:rsidRPr="00C66182">
              <w:t>infrastruktūras attīstībai un atsavināšana ir vienīgais veids šī mērķa sasniegšanai.</w:t>
            </w:r>
          </w:p>
          <w:p w:rsidR="001B5764" w:rsidRDefault="001B5764" w:rsidP="00860F19">
            <w:pPr>
              <w:ind w:left="54" w:firstLine="690"/>
              <w:jc w:val="both"/>
            </w:pPr>
            <w:r>
              <w:t xml:space="preserve">Valsts autoceļa P121 Tukums–Kuldīga posma 41,90.-52,34.km rekonstrukcijas projekts </w:t>
            </w:r>
            <w:r w:rsidRPr="0030181D">
              <w:t xml:space="preserve">tiek realizēts no </w:t>
            </w:r>
            <w:r>
              <w:t>valsts</w:t>
            </w:r>
            <w:r w:rsidRPr="00C96983">
              <w:t xml:space="preserve"> budžeta programmas 62.00.00 </w:t>
            </w:r>
            <w:r>
              <w:t>„</w:t>
            </w:r>
            <w:r w:rsidRPr="00C96983">
              <w:t>Eiropas Reģionālās attīstības fonda (ERAF) projektu un pasākumu īstenošana</w:t>
            </w:r>
            <w:r>
              <w:t>”</w:t>
            </w:r>
            <w:r w:rsidRPr="00C96983">
              <w:t xml:space="preserve"> apakšprogrammā</w:t>
            </w:r>
            <w:r>
              <w:t xml:space="preserve"> 62.06.00</w:t>
            </w:r>
            <w:r w:rsidRPr="0030181D">
              <w:t xml:space="preserve"> „</w:t>
            </w:r>
            <w:r w:rsidRPr="00236C79">
              <w:t>Eiropas Reģionālās attīstības</w:t>
            </w:r>
            <w:r w:rsidRPr="00C66182">
              <w:t xml:space="preserve"> fonda (ERAF) finansētie ierobežotās atlases VAS „Latvijas Valsts ceļi” realizētie projekti (2007–2013)” </w:t>
            </w:r>
            <w:r>
              <w:t xml:space="preserve">paredzētajiem līdzekļiem. Projektu saskaņā ar Ministru kabineta 2008.gada 28.aprīļa noteikumiem Nr.306 „Noteikumi par darbības programmas “Infrastruktūra un pakalpojumi” papildinājuma 3.2.1.1.aktivitāti “Valsts 1.šķiras autoceļu maršrutu sakārtošana” apstiprināja Satiksmes ministrija 2008.gada 27.jūnijā. </w:t>
            </w:r>
          </w:p>
          <w:p w:rsidR="001B5764" w:rsidRDefault="001B5764" w:rsidP="00860F19">
            <w:pPr>
              <w:ind w:left="54" w:firstLine="690"/>
              <w:jc w:val="both"/>
            </w:pPr>
            <w:r>
              <w:t>Nekustamais īpašums „</w:t>
            </w:r>
            <w:proofErr w:type="spellStart"/>
            <w:r>
              <w:t>Ploči</w:t>
            </w:r>
            <w:proofErr w:type="spellEnd"/>
            <w:r>
              <w:t xml:space="preserve"> M” ir reģistrēts Tukuma rajona tiesas zemesgrāmatas nodaļas Matkules pagasta zemesgrāmatas nodalījumā </w:t>
            </w:r>
            <w:proofErr w:type="spellStart"/>
            <w:r>
              <w:t>Nr</w:t>
            </w:r>
            <w:proofErr w:type="spellEnd"/>
            <w:r>
              <w:t>. 100000532115.</w:t>
            </w:r>
          </w:p>
          <w:p w:rsidR="001B5764" w:rsidRDefault="001B5764" w:rsidP="00860F19">
            <w:pPr>
              <w:ind w:left="54" w:firstLine="690"/>
              <w:jc w:val="both"/>
            </w:pPr>
            <w:r>
              <w:t>Nekustamajam īpašumam „</w:t>
            </w:r>
            <w:proofErr w:type="spellStart"/>
            <w:r>
              <w:t>Ploči</w:t>
            </w:r>
            <w:proofErr w:type="spellEnd"/>
            <w:r>
              <w:t xml:space="preserve"> M” ir noteikts apgrūtinājums </w:t>
            </w:r>
            <w:r w:rsidRPr="00CE14D2">
              <w:t>(</w:t>
            </w:r>
            <w:r>
              <w:t>saskaņā ar Nekustamā īpašuma v</w:t>
            </w:r>
            <w:r w:rsidRPr="00CE14D2">
              <w:t>alsts kadastr</w:t>
            </w:r>
            <w:r>
              <w:t>a informācijas sistēmas datiem) – ekspluatācijas aizsargjoslas teritorija gar valsts reģionālajiem autoceļiem – 0,1600 ha platībā.</w:t>
            </w:r>
          </w:p>
          <w:p w:rsidR="001B5764" w:rsidRPr="00F93997" w:rsidRDefault="001B5764" w:rsidP="00860F19">
            <w:pPr>
              <w:ind w:left="54" w:firstLine="690"/>
              <w:jc w:val="both"/>
            </w:pPr>
            <w:r>
              <w:t>Atlīdzību par nekustamo īpašumu „</w:t>
            </w:r>
            <w:proofErr w:type="spellStart"/>
            <w:r>
              <w:t>Ploči</w:t>
            </w:r>
            <w:proofErr w:type="spellEnd"/>
            <w:r>
              <w:t xml:space="preserve"> M” paredzēts kompensēt atbilstoši Likuma 26.panta 2.punktam</w:t>
            </w:r>
            <w:r w:rsidRPr="00236C79">
              <w:t xml:space="preserve">, saskaņā ar kuru daļu no atlīdzības </w:t>
            </w:r>
            <w:r w:rsidRPr="00C66182">
              <w:t>var izmaksā</w:t>
            </w:r>
            <w:r w:rsidRPr="002427F4">
              <w:t xml:space="preserve">t naudā un daļu kompensēt ar citu nekustamo īpašumu. </w:t>
            </w:r>
            <w:r w:rsidRPr="00F93997">
              <w:t>Izmaksājot atlīdzību nekustamā īpašuma īpašniecei daļā to kompensējot ar valsts nekustamo īpašumu, tiek piemērotas arī Publiskas personas mantas atsavināšanas likuma normas tiktāl, ciktāl tās nav pretrunā ar Likuma normām.</w:t>
            </w:r>
          </w:p>
          <w:p w:rsidR="001B5764" w:rsidRDefault="001B5764" w:rsidP="00860F19">
            <w:pPr>
              <w:ind w:left="54" w:firstLine="690"/>
              <w:jc w:val="both"/>
            </w:pPr>
            <w:r w:rsidRPr="00F92FFB">
              <w:t xml:space="preserve">Pamatojoties uz </w:t>
            </w:r>
            <w:r>
              <w:t>Likuma 9.</w:t>
            </w:r>
            <w:r w:rsidRPr="00F92FFB">
              <w:t>pantu un M</w:t>
            </w:r>
            <w:r>
              <w:t>inistru kabineta 2011.gada 15.</w:t>
            </w:r>
            <w:r w:rsidRPr="00F92FFB">
              <w:t>marta noteikumu Nr.204 „Kārtība, kādā nosaka taisnīgu atlīdzību par sabiedrības vajadzībām atsavināmo nekustamo īpašumu” 36.1. apakšpunk</w:t>
            </w:r>
            <w:r>
              <w:t>tu Satiksmes ministrija:</w:t>
            </w:r>
          </w:p>
          <w:p w:rsidR="001B5764" w:rsidRDefault="001B5764" w:rsidP="00860F19">
            <w:pPr>
              <w:numPr>
                <w:ilvl w:val="0"/>
                <w:numId w:val="10"/>
              </w:numPr>
              <w:tabs>
                <w:tab w:val="clear" w:pos="1773"/>
              </w:tabs>
              <w:ind w:left="54" w:firstLine="690"/>
              <w:jc w:val="both"/>
            </w:pPr>
            <w:r>
              <w:t>ar 2014.gada 13.oktobra lēmumu Nr.03-</w:t>
            </w:r>
            <w:r w:rsidRPr="00C7791E">
              <w:t>14/</w:t>
            </w:r>
            <w:r>
              <w:t>4194</w:t>
            </w:r>
            <w:r w:rsidRPr="007A1D87">
              <w:t xml:space="preserve"> apstiprināja </w:t>
            </w:r>
            <w:r>
              <w:t>nekustamā īpašuma „</w:t>
            </w:r>
            <w:proofErr w:type="spellStart"/>
            <w:r>
              <w:t>Ploči</w:t>
            </w:r>
            <w:proofErr w:type="spellEnd"/>
            <w:r>
              <w:t xml:space="preserve"> M</w:t>
            </w:r>
            <w:r w:rsidRPr="007A1D87">
              <w:t xml:space="preserve">” </w:t>
            </w:r>
            <w:r>
              <w:t xml:space="preserve">taisnīgas atlīdzības </w:t>
            </w:r>
            <w:r>
              <w:lastRenderedPageBreak/>
              <w:t>apmēru, nosakot to EUR 736,00, kas kompensējama sekojoši:</w:t>
            </w:r>
          </w:p>
          <w:p w:rsidR="001B5764" w:rsidRDefault="001B5764" w:rsidP="00860F19">
            <w:pPr>
              <w:numPr>
                <w:ilvl w:val="0"/>
                <w:numId w:val="10"/>
              </w:numPr>
              <w:tabs>
                <w:tab w:val="clear" w:pos="1773"/>
              </w:tabs>
              <w:ind w:left="54" w:firstLine="690"/>
              <w:jc w:val="both"/>
            </w:pPr>
            <w:r>
              <w:t>daļu kompensējot ar valsts nekustamo īpašumu „</w:t>
            </w:r>
            <w:proofErr w:type="spellStart"/>
            <w:r>
              <w:t>Ploči</w:t>
            </w:r>
            <w:proofErr w:type="spellEnd"/>
            <w:r>
              <w:t xml:space="preserve"> D” (nekustamā īpašuma kadastra </w:t>
            </w:r>
            <w:proofErr w:type="spellStart"/>
            <w:r>
              <w:t>Nr</w:t>
            </w:r>
            <w:proofErr w:type="spellEnd"/>
            <w:r>
              <w:t xml:space="preserve">. 9070 001 0080) – zemes vienību 0,16 ha platībā (zemes vienības kadastra apzīmējums 9070 001 0078) – Matkules pagastā, Kandavas novadā, kura tirgus vērtība noteikta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>
                <w:t>EUR</w:t>
              </w:r>
            </w:smartTag>
            <w:r>
              <w:t xml:space="preserve"> 640,00 apmērā;</w:t>
            </w:r>
          </w:p>
          <w:p w:rsidR="001B5764" w:rsidRDefault="001B5764" w:rsidP="0071139A">
            <w:pPr>
              <w:numPr>
                <w:ilvl w:val="0"/>
                <w:numId w:val="10"/>
              </w:numPr>
              <w:tabs>
                <w:tab w:val="clear" w:pos="1773"/>
              </w:tabs>
              <w:ind w:left="0" w:firstLine="690"/>
              <w:jc w:val="both"/>
            </w:pPr>
            <w:r>
              <w:t xml:space="preserve">atlikušo atlīdzības daļu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>
                <w:t>EUR</w:t>
              </w:r>
            </w:smartTag>
            <w:r>
              <w:t xml:space="preserve"> 96,00 apmērā, izmaksājot naudā.</w:t>
            </w:r>
          </w:p>
          <w:p w:rsidR="001B5764" w:rsidRPr="00F52DBE" w:rsidRDefault="001B5764" w:rsidP="0071139A">
            <w:pPr>
              <w:pStyle w:val="NormalWeb"/>
              <w:spacing w:before="0" w:beforeAutospacing="0" w:after="0" w:afterAutospacing="0"/>
              <w:ind w:firstLine="756"/>
              <w:jc w:val="both"/>
            </w:pPr>
            <w:r w:rsidRPr="00F52DBE">
              <w:rPr>
                <w:rStyle w:val="c1"/>
                <w:rFonts w:ascii="Times New Roman" w:hAnsi="Times New Roman"/>
                <w:color w:val="auto"/>
              </w:rPr>
              <w:t>Šķietami vienādo nekustamo īpašumu vērtību atšķirība ir pamatojama ar to, ka atšķiras šo īpašumu iespējamā izmantošana lauksaimnieciskai ražošanai. To parāda arī korekcijas koeficienti nekustamo īpašumu vērtējumos. Nekustamā īpašuma "</w:t>
            </w:r>
            <w:proofErr w:type="spellStart"/>
            <w:r w:rsidRPr="00F52DBE">
              <w:rPr>
                <w:rStyle w:val="c1"/>
                <w:rFonts w:ascii="Times New Roman" w:hAnsi="Times New Roman"/>
                <w:color w:val="auto"/>
              </w:rPr>
              <w:t>Ploči</w:t>
            </w:r>
            <w:proofErr w:type="spellEnd"/>
            <w:r w:rsidRPr="00F52DBE">
              <w:rPr>
                <w:rStyle w:val="c1"/>
                <w:rFonts w:ascii="Times New Roman" w:hAnsi="Times New Roman"/>
                <w:color w:val="auto"/>
              </w:rPr>
              <w:t xml:space="preserve"> D", uz kura uzbūvētas autoceļa konstrukcijas, ielabošanas apstākļi ir salīdzinoši labāki kā nekustamajam īpašumam "</w:t>
            </w:r>
            <w:proofErr w:type="spellStart"/>
            <w:r w:rsidRPr="00F52DBE">
              <w:rPr>
                <w:rStyle w:val="c1"/>
                <w:rFonts w:ascii="Times New Roman" w:hAnsi="Times New Roman"/>
                <w:color w:val="auto"/>
              </w:rPr>
              <w:t>Ploči</w:t>
            </w:r>
            <w:proofErr w:type="spellEnd"/>
            <w:r w:rsidRPr="00F52DBE">
              <w:rPr>
                <w:rStyle w:val="c1"/>
                <w:rFonts w:ascii="Times New Roman" w:hAnsi="Times New Roman"/>
                <w:color w:val="auto"/>
              </w:rPr>
              <w:t xml:space="preserve"> D", ko veido </w:t>
            </w:r>
            <w:proofErr w:type="spellStart"/>
            <w:r w:rsidRPr="00F52DBE">
              <w:rPr>
                <w:rStyle w:val="c1"/>
                <w:rFonts w:ascii="Times New Roman" w:hAnsi="Times New Roman"/>
                <w:color w:val="auto"/>
              </w:rPr>
              <w:t>rekultivētas</w:t>
            </w:r>
            <w:proofErr w:type="spellEnd"/>
            <w:r w:rsidRPr="00F52DBE">
              <w:rPr>
                <w:rStyle w:val="c1"/>
                <w:rFonts w:ascii="Times New Roman" w:hAnsi="Times New Roman"/>
                <w:color w:val="auto"/>
              </w:rPr>
              <w:t>, nojauktas vecā autoceļa konstrukcijas.</w:t>
            </w:r>
          </w:p>
          <w:p w:rsidR="001B5764" w:rsidRDefault="001B5764" w:rsidP="0071139A">
            <w:pPr>
              <w:ind w:firstLine="690"/>
              <w:jc w:val="both"/>
            </w:pPr>
            <w:r>
              <w:t>Valsts nekustamais īpašums „</w:t>
            </w:r>
            <w:proofErr w:type="spellStart"/>
            <w:r>
              <w:t>Ploči</w:t>
            </w:r>
            <w:proofErr w:type="spellEnd"/>
            <w:r>
              <w:t xml:space="preserve"> D” (nekustamā īpašuma kadastra </w:t>
            </w:r>
            <w:proofErr w:type="spellStart"/>
            <w:r>
              <w:t>Nr</w:t>
            </w:r>
            <w:proofErr w:type="spellEnd"/>
            <w:r>
              <w:t>. 9070 001 0080) – zemes vienību 0,16 ha platībā (zemes vienības kadastra apzīmējums 9070 001 0078) – Matkules pagastā, Kandavas novadā (turpmāk – valsts nekustamais īpašums „</w:t>
            </w:r>
            <w:proofErr w:type="spellStart"/>
            <w:r>
              <w:t>Ploči</w:t>
            </w:r>
            <w:proofErr w:type="spellEnd"/>
            <w:r>
              <w:t xml:space="preserve"> D”) ir atdalīts no valsts nekustamā īpašuma „Autoceļš P121” (nekustamā īpašuma kadastra </w:t>
            </w:r>
            <w:proofErr w:type="spellStart"/>
            <w:r>
              <w:t>Nr</w:t>
            </w:r>
            <w:proofErr w:type="spellEnd"/>
            <w:r>
              <w:t>. 9070 001 0050) zemes vienības ar kadastra apzīmējumu 9070 001 0050. Valsts nekustamais īpašums „</w:t>
            </w:r>
            <w:proofErr w:type="spellStart"/>
            <w:r>
              <w:t>Ploči</w:t>
            </w:r>
            <w:proofErr w:type="spellEnd"/>
            <w:r>
              <w:t xml:space="preserve"> D”</w:t>
            </w:r>
            <w:r w:rsidRPr="00860F19">
              <w:t xml:space="preserve"> valsts autoceļa P121 Tukums </w:t>
            </w:r>
            <w:r w:rsidRPr="002427F4">
              <w:t>–</w:t>
            </w:r>
            <w:r w:rsidRPr="00860F19">
              <w:t xml:space="preserve"> Kuldīga rekonstrukcijas projekta īstenošanas ietvaros autoceļa konstrukciju izvietošanai un citu Satiksmes ministrijai deleģēto funkciju pildīšanai </w:t>
            </w:r>
            <w:r>
              <w:t xml:space="preserve">vairs </w:t>
            </w:r>
            <w:r w:rsidRPr="00860F19">
              <w:t>nav nepieciešam</w:t>
            </w:r>
            <w:r>
              <w:t>s</w:t>
            </w:r>
            <w:r w:rsidRPr="00860F19">
              <w:t>.</w:t>
            </w:r>
            <w:r>
              <w:t xml:space="preserve"> </w:t>
            </w:r>
          </w:p>
          <w:p w:rsidR="001B5764" w:rsidRDefault="001B5764" w:rsidP="00F93997">
            <w:pPr>
              <w:ind w:left="54" w:firstLine="690"/>
              <w:jc w:val="both"/>
            </w:pPr>
            <w:r>
              <w:t>Valsts nekustamā īpašuma „</w:t>
            </w:r>
            <w:proofErr w:type="spellStart"/>
            <w:r>
              <w:t>Ploči</w:t>
            </w:r>
            <w:proofErr w:type="spellEnd"/>
            <w:r>
              <w:t xml:space="preserve"> D” </w:t>
            </w:r>
            <w:r w:rsidRPr="003E23AB">
              <w:t>tirgus vērtība ir EUR 640,00 (seši s</w:t>
            </w:r>
            <w:r>
              <w:t>imti četrdesmit eiro, 00 centi). Valsts nekustamajam īpašumam „</w:t>
            </w:r>
            <w:proofErr w:type="spellStart"/>
            <w:r>
              <w:t>Ploči</w:t>
            </w:r>
            <w:proofErr w:type="spellEnd"/>
            <w:r>
              <w:t xml:space="preserve"> D” ir noteikts apgrūtinājums </w:t>
            </w:r>
            <w:r w:rsidRPr="00CE14D2">
              <w:t>(</w:t>
            </w:r>
            <w:r>
              <w:t>saskaņā ar Nekustamā īpašuma v</w:t>
            </w:r>
            <w:r w:rsidRPr="00CE14D2">
              <w:t>alsts kadastr</w:t>
            </w:r>
            <w:r>
              <w:t>a informācijas sistēmas datiem) – aizsargjoslas teritorija gar autoceļu valsts reģionālajiem autoceļiem – 0,1600 ha platībā.</w:t>
            </w:r>
            <w:r w:rsidDel="0030181D">
              <w:t xml:space="preserve"> </w:t>
            </w:r>
            <w:r>
              <w:t>Nekustamā īpašuma īpašniece ir piekritusi nekustamā īpašuma „</w:t>
            </w:r>
            <w:proofErr w:type="spellStart"/>
            <w:r>
              <w:t>Ploči</w:t>
            </w:r>
            <w:proofErr w:type="spellEnd"/>
            <w:r>
              <w:t xml:space="preserve"> M” atsavināšanai atbilstoši noteiktajam atlīdzības apmēram un kompensācijas veidam.</w:t>
            </w:r>
          </w:p>
          <w:p w:rsidR="001B5764" w:rsidRDefault="001B5764" w:rsidP="00F93997">
            <w:pPr>
              <w:ind w:firstLine="825"/>
              <w:jc w:val="both"/>
            </w:pPr>
            <w:r w:rsidRPr="00F93997">
              <w:t>Saskaņā ar Likuma 10.panta pirmo daļu pēc Ministru kabineta lēmuma pieņemšanas zemesgrāmatā tiks ierakstīta atzīme par aizliegumu atsavināt un apgrūtināt nekustamo īpašumu ar lietu un saistību tiesībām bez institūcijas piekrišanas.</w:t>
            </w:r>
          </w:p>
          <w:p w:rsidR="001B5764" w:rsidRPr="00F93997" w:rsidRDefault="001B5764" w:rsidP="00F93997">
            <w:pPr>
              <w:ind w:firstLine="825"/>
              <w:jc w:val="both"/>
            </w:pPr>
            <w:r>
              <w:t xml:space="preserve">Saskaņā ar Likuma 27.panta pirmajā un otrajā daļā noteikto īpašniecei ir tiesības apstrīdēt Satiksmes ministrijas noteikto atlīdzības apmēru. </w:t>
            </w:r>
          </w:p>
          <w:p w:rsidR="001B5764" w:rsidRDefault="001B5764" w:rsidP="00860F19">
            <w:pPr>
              <w:ind w:left="54" w:firstLine="690"/>
              <w:jc w:val="both"/>
            </w:pPr>
            <w:r>
              <w:t xml:space="preserve">Satiksmes ministrija atsavināmo nekustamo īpašumu </w:t>
            </w:r>
            <w:r w:rsidRPr="00E74ED5">
              <w:t xml:space="preserve">normatīvajos </w:t>
            </w:r>
            <w:smartTag w:uri="urn:schemas-microsoft-com:office:smarttags" w:element="place">
              <w:smartTagPr>
                <w:attr w:name="baseform" w:val="akt|s"/>
                <w:attr w:name="id" w:val="-1"/>
                <w:attr w:name="text" w:val="aktos"/>
              </w:smartTagPr>
              <w:r w:rsidRPr="00E74ED5">
                <w:t>aktos</w:t>
              </w:r>
            </w:smartTag>
            <w:r w:rsidRPr="00E74ED5">
              <w:t xml:space="preserve"> noteiktajā kārtībā ierakstīs zemesgrāmatā uz valsts vārd</w:t>
            </w:r>
            <w:r>
              <w:t>a Satiksmes ministrijas personā</w:t>
            </w:r>
            <w:r w:rsidRPr="006A52D1">
              <w:t>.</w:t>
            </w:r>
            <w:r>
              <w:t xml:space="preserve"> </w:t>
            </w:r>
          </w:p>
          <w:p w:rsidR="001B5764" w:rsidRDefault="001B5764" w:rsidP="00F93997">
            <w:pPr>
              <w:ind w:left="54" w:firstLine="690"/>
              <w:jc w:val="both"/>
            </w:pPr>
            <w:r>
              <w:t xml:space="preserve">Ņemot vērā iepriekš minēto Satiksmes ministrija ir izstrādājusi Ministru kabineta rīkojuma projektu </w:t>
            </w:r>
            <w:r w:rsidRPr="00524EC9">
              <w:t>„</w:t>
            </w:r>
            <w:r w:rsidRPr="0030181D">
              <w:t>Par nekustamā īpašuma</w:t>
            </w:r>
            <w:r w:rsidRPr="00C66182">
              <w:t xml:space="preserve"> atsavināšanu</w:t>
            </w:r>
            <w:r w:rsidRPr="002427F4">
              <w:t xml:space="preserve"> valsts autoceļa P121 Tukums–Kuldīga rekonstrukcijas projekta īstenošanai”. </w:t>
            </w:r>
          </w:p>
          <w:p w:rsidR="001B5764" w:rsidRDefault="001B5764" w:rsidP="00F93997">
            <w:pPr>
              <w:ind w:left="54" w:firstLine="690"/>
              <w:jc w:val="both"/>
            </w:pPr>
          </w:p>
          <w:p w:rsidR="001B5764" w:rsidRDefault="001B5764" w:rsidP="00F93997">
            <w:pPr>
              <w:ind w:left="54" w:firstLine="690"/>
              <w:jc w:val="both"/>
            </w:pPr>
          </w:p>
          <w:p w:rsidR="001B5764" w:rsidRDefault="001B5764" w:rsidP="00F93997">
            <w:pPr>
              <w:ind w:left="54" w:firstLine="690"/>
              <w:jc w:val="both"/>
            </w:pPr>
          </w:p>
        </w:tc>
      </w:tr>
      <w:tr w:rsidR="001B5764" w:rsidRPr="0062008E" w:rsidTr="00815C26">
        <w:trPr>
          <w:trHeight w:val="656"/>
        </w:trPr>
        <w:tc>
          <w:tcPr>
            <w:tcW w:w="426" w:type="dxa"/>
          </w:tcPr>
          <w:p w:rsidR="001B5764" w:rsidRPr="0062008E" w:rsidRDefault="001B5764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>
              <w:lastRenderedPageBreak/>
              <w:t>3</w:t>
            </w:r>
            <w:r w:rsidRPr="0062008E">
              <w:t>.</w:t>
            </w:r>
          </w:p>
        </w:tc>
        <w:tc>
          <w:tcPr>
            <w:tcW w:w="2538" w:type="dxa"/>
          </w:tcPr>
          <w:p w:rsidR="001B5764" w:rsidRPr="0062008E" w:rsidRDefault="001B5764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 w:rsidRPr="0062008E">
              <w:t xml:space="preserve">Projekta izstrādē iesaistītās institūcijas </w:t>
            </w:r>
          </w:p>
        </w:tc>
        <w:tc>
          <w:tcPr>
            <w:tcW w:w="6763" w:type="dxa"/>
          </w:tcPr>
          <w:p w:rsidR="001B5764" w:rsidRPr="0062008E" w:rsidRDefault="001B5764" w:rsidP="00546D03">
            <w:pPr>
              <w:ind w:firstLine="798"/>
            </w:pPr>
            <w:r w:rsidRPr="0062008E">
              <w:t xml:space="preserve">Satiksmes ministrija un valsts akciju sabiedrība „Latvijas Valsts ceļi”. </w:t>
            </w:r>
          </w:p>
        </w:tc>
      </w:tr>
      <w:tr w:rsidR="001B5764" w:rsidRPr="0062008E" w:rsidTr="00815C26">
        <w:trPr>
          <w:trHeight w:val="451"/>
        </w:trPr>
        <w:tc>
          <w:tcPr>
            <w:tcW w:w="426" w:type="dxa"/>
          </w:tcPr>
          <w:p w:rsidR="001B5764" w:rsidRPr="0062008E" w:rsidRDefault="001B5764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>
              <w:t>4</w:t>
            </w:r>
            <w:r w:rsidRPr="0062008E">
              <w:t>.</w:t>
            </w:r>
          </w:p>
        </w:tc>
        <w:tc>
          <w:tcPr>
            <w:tcW w:w="2538" w:type="dxa"/>
          </w:tcPr>
          <w:p w:rsidR="001B5764" w:rsidRPr="0062008E" w:rsidRDefault="001B5764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 w:rsidRPr="0062008E">
              <w:t>Cita informācija</w:t>
            </w:r>
          </w:p>
        </w:tc>
        <w:tc>
          <w:tcPr>
            <w:tcW w:w="6763" w:type="dxa"/>
          </w:tcPr>
          <w:p w:rsidR="001B5764" w:rsidRPr="0062008E" w:rsidRDefault="001B5764" w:rsidP="00156FEC">
            <w:pPr>
              <w:ind w:firstLine="783"/>
              <w:jc w:val="both"/>
            </w:pPr>
            <w:r>
              <w:t>Nav</w:t>
            </w:r>
          </w:p>
        </w:tc>
      </w:tr>
    </w:tbl>
    <w:p w:rsidR="001B5764" w:rsidRDefault="001B5764" w:rsidP="00CA4A46">
      <w:pPr>
        <w:spacing w:before="120" w:after="120"/>
        <w:jc w:val="both"/>
        <w:rPr>
          <w:color w:val="000000"/>
          <w:sz w:val="28"/>
          <w:szCs w:val="28"/>
          <w:lang w:eastAsia="en-US"/>
        </w:rPr>
      </w:pPr>
    </w:p>
    <w:tbl>
      <w:tblPr>
        <w:tblW w:w="5194" w:type="pct"/>
        <w:tblInd w:w="-17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9"/>
        <w:gridCol w:w="1303"/>
        <w:gridCol w:w="1603"/>
        <w:gridCol w:w="1214"/>
        <w:gridCol w:w="1214"/>
        <w:gridCol w:w="1282"/>
      </w:tblGrid>
      <w:tr w:rsidR="001B5764" w:rsidTr="00B01FD2">
        <w:tc>
          <w:tcPr>
            <w:tcW w:w="5000" w:type="pct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1B5764" w:rsidTr="00B01FD2">
        <w:tc>
          <w:tcPr>
            <w:tcW w:w="1512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Rādītāji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2014.gads</w:t>
            </w:r>
          </w:p>
        </w:tc>
        <w:tc>
          <w:tcPr>
            <w:tcW w:w="19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</w:pPr>
            <w:r>
              <w:t>Turpmākie trīs gadi (</w:t>
            </w:r>
            <w:proofErr w:type="spellStart"/>
            <w:r>
              <w:t>euro</w:t>
            </w:r>
            <w:proofErr w:type="spellEnd"/>
            <w:r>
              <w:t>)</w:t>
            </w:r>
          </w:p>
        </w:tc>
      </w:tr>
      <w:tr w:rsidR="001B5764" w:rsidTr="00B01FD2">
        <w:tc>
          <w:tcPr>
            <w:tcW w:w="1512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1B5764" w:rsidTr="00B01FD2">
        <w:tc>
          <w:tcPr>
            <w:tcW w:w="1512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rPr>
                <w:b/>
                <w:bCs/>
              </w:rPr>
            </w:pP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</w:pPr>
            <w:r>
              <w:t>saskaņā ar valsts budžetu kārtējam gadam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</w:pPr>
            <w:r>
              <w:t>izmaiņas kārtējā gadā, salīdzinot ar budžetu kārtējam gadam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</w:pPr>
            <w:r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</w:pPr>
            <w:r>
              <w:t>izmaiņas, salīdzinot ar kārtējo (n) gadu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</w:pPr>
            <w:r>
              <w:t>izmaiņas, salīdzinot ar kārtējo (n) gadu</w:t>
            </w:r>
          </w:p>
        </w:tc>
      </w:tr>
      <w:tr w:rsidR="001B5764" w:rsidTr="00B01FD2">
        <w:tc>
          <w:tcPr>
            <w:tcW w:w="15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1B5764" w:rsidTr="00B01FD2">
        <w:tc>
          <w:tcPr>
            <w:tcW w:w="15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1. Budžeta ieņēmumi:</w:t>
            </w:r>
          </w:p>
        </w:tc>
        <w:tc>
          <w:tcPr>
            <w:tcW w:w="68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  <w:tc>
          <w:tcPr>
            <w:tcW w:w="84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</w:tr>
      <w:tr w:rsidR="001B5764" w:rsidTr="00B01FD2">
        <w:tc>
          <w:tcPr>
            <w:tcW w:w="15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1.1. valsts pamatbudžets, tai skaitā ieņēmumi no maksas pakalpojumiem un citi pašu ieņēmumi</w:t>
            </w:r>
          </w:p>
        </w:tc>
        <w:tc>
          <w:tcPr>
            <w:tcW w:w="687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84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676" w:type="pct"/>
            <w:vMerge/>
            <w:tcBorders>
              <w:lef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</w:tr>
      <w:tr w:rsidR="001B5764" w:rsidTr="00B01FD2">
        <w:tc>
          <w:tcPr>
            <w:tcW w:w="15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1.2. valsts speciālais budžets</w:t>
            </w:r>
          </w:p>
        </w:tc>
        <w:tc>
          <w:tcPr>
            <w:tcW w:w="687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84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676" w:type="pct"/>
            <w:vMerge/>
            <w:tcBorders>
              <w:lef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</w:tr>
      <w:tr w:rsidR="001B5764" w:rsidTr="00B01FD2">
        <w:tc>
          <w:tcPr>
            <w:tcW w:w="1512" w:type="pct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1.3. pašvaldību budžets</w:t>
            </w:r>
          </w:p>
        </w:tc>
        <w:tc>
          <w:tcPr>
            <w:tcW w:w="687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845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676" w:type="pct"/>
            <w:vMerge/>
            <w:tcBorders>
              <w:left w:val="outset" w:sz="6" w:space="0" w:color="000000"/>
              <w:bottom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</w:tr>
      <w:tr w:rsidR="001B5764" w:rsidTr="00B01FD2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2. Budžeta izdevumi: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</w:tr>
      <w:tr w:rsidR="001B5764" w:rsidTr="00B01FD2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2.1. valsts pamatbudžets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spacing w:line="360" w:lineRule="auto"/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</w:tr>
      <w:tr w:rsidR="001B5764" w:rsidTr="00B01FD2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2.2. valsts speciālais budžets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</w:tr>
      <w:tr w:rsidR="001B5764" w:rsidTr="00B01FD2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2.3. pašvaldību budžets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spacing w:line="360" w:lineRule="auto"/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</w:tr>
      <w:tr w:rsidR="001B5764" w:rsidTr="00B01FD2">
        <w:tc>
          <w:tcPr>
            <w:tcW w:w="1512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3. Finansiālā ietekme: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Pr="00331FD8" w:rsidRDefault="001B5764" w:rsidP="00A246D2">
            <w:pPr>
              <w:jc w:val="center"/>
              <w:rPr>
                <w:highlight w:val="yellow"/>
              </w:rPr>
            </w:pPr>
            <w:r>
              <w:t>Projekts šo jomu neskar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</w:tr>
      <w:tr w:rsidR="001B5764" w:rsidTr="00B01FD2">
        <w:tc>
          <w:tcPr>
            <w:tcW w:w="15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3.1. valsts pamatbudžets</w:t>
            </w:r>
          </w:p>
        </w:tc>
        <w:tc>
          <w:tcPr>
            <w:tcW w:w="687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line="360" w:lineRule="auto"/>
              <w:jc w:val="center"/>
            </w:pPr>
          </w:p>
        </w:tc>
        <w:tc>
          <w:tcPr>
            <w:tcW w:w="84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Pr="00331FD8" w:rsidRDefault="001B5764" w:rsidP="00A246D2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676" w:type="pct"/>
            <w:vMerge/>
            <w:tcBorders>
              <w:lef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</w:tr>
      <w:tr w:rsidR="001B5764" w:rsidTr="00B01FD2">
        <w:tc>
          <w:tcPr>
            <w:tcW w:w="15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3.2. speciālais budžets</w:t>
            </w:r>
          </w:p>
        </w:tc>
        <w:tc>
          <w:tcPr>
            <w:tcW w:w="687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line="360" w:lineRule="auto"/>
              <w:jc w:val="center"/>
            </w:pPr>
          </w:p>
        </w:tc>
        <w:tc>
          <w:tcPr>
            <w:tcW w:w="84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676" w:type="pct"/>
            <w:vMerge/>
            <w:tcBorders>
              <w:lef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</w:tr>
      <w:tr w:rsidR="001B5764" w:rsidTr="00B01FD2">
        <w:tc>
          <w:tcPr>
            <w:tcW w:w="15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3.3. pašvaldību budžets</w:t>
            </w:r>
          </w:p>
        </w:tc>
        <w:tc>
          <w:tcPr>
            <w:tcW w:w="68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line="360" w:lineRule="auto"/>
              <w:jc w:val="center"/>
            </w:pPr>
          </w:p>
        </w:tc>
        <w:tc>
          <w:tcPr>
            <w:tcW w:w="84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676" w:type="pct"/>
            <w:vMerge/>
            <w:tcBorders>
              <w:left w:val="outset" w:sz="6" w:space="0" w:color="000000"/>
              <w:bottom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</w:tr>
      <w:tr w:rsidR="001B5764" w:rsidTr="00B01FD2">
        <w:trPr>
          <w:trHeight w:val="1400"/>
        </w:trPr>
        <w:tc>
          <w:tcPr>
            <w:tcW w:w="15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4. Finanšu līdzekļi papildu izde</w:t>
            </w:r>
            <w:r>
              <w:softHyphen/>
              <w:t>vumu finansēšanai (kompensējošu izdevumu samazinājumu norāda ar "+" zīmi)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</w:pPr>
            <w:r>
              <w:t>X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</w:tr>
      <w:tr w:rsidR="001B5764" w:rsidTr="00B01FD2">
        <w:tc>
          <w:tcPr>
            <w:tcW w:w="15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5. Precizēta finansiālā ietekme:</w:t>
            </w:r>
          </w:p>
        </w:tc>
        <w:tc>
          <w:tcPr>
            <w:tcW w:w="6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spacing w:before="100" w:beforeAutospacing="1" w:after="100" w:afterAutospacing="1"/>
              <w:jc w:val="center"/>
            </w:pPr>
            <w:r>
              <w:t>X</w:t>
            </w:r>
          </w:p>
        </w:tc>
        <w:tc>
          <w:tcPr>
            <w:tcW w:w="84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  <w:r>
              <w:t>Projekts šo jomu neskar</w:t>
            </w:r>
          </w:p>
        </w:tc>
      </w:tr>
      <w:tr w:rsidR="001B5764" w:rsidTr="00B01FD2">
        <w:tc>
          <w:tcPr>
            <w:tcW w:w="15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5.1. valsts pamatbudžets</w:t>
            </w:r>
          </w:p>
        </w:tc>
        <w:tc>
          <w:tcPr>
            <w:tcW w:w="6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84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676" w:type="pct"/>
            <w:vMerge/>
            <w:tcBorders>
              <w:lef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</w:tr>
      <w:tr w:rsidR="001B5764" w:rsidTr="00B01FD2">
        <w:tc>
          <w:tcPr>
            <w:tcW w:w="15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5.2. speciālais budžets</w:t>
            </w:r>
          </w:p>
        </w:tc>
        <w:tc>
          <w:tcPr>
            <w:tcW w:w="6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84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676" w:type="pct"/>
            <w:vMerge/>
            <w:tcBorders>
              <w:lef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</w:tr>
      <w:tr w:rsidR="001B5764" w:rsidTr="00B01FD2">
        <w:tc>
          <w:tcPr>
            <w:tcW w:w="15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5.3. pašvaldību budžets</w:t>
            </w:r>
          </w:p>
        </w:tc>
        <w:tc>
          <w:tcPr>
            <w:tcW w:w="6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84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  <w:tc>
          <w:tcPr>
            <w:tcW w:w="676" w:type="pct"/>
            <w:vMerge/>
            <w:tcBorders>
              <w:left w:val="outset" w:sz="6" w:space="0" w:color="000000"/>
              <w:bottom w:val="outset" w:sz="6" w:space="0" w:color="000000"/>
            </w:tcBorders>
            <w:vAlign w:val="center"/>
          </w:tcPr>
          <w:p w:rsidR="001B5764" w:rsidRDefault="001B5764" w:rsidP="00A246D2">
            <w:pPr>
              <w:jc w:val="center"/>
            </w:pPr>
          </w:p>
        </w:tc>
      </w:tr>
      <w:tr w:rsidR="001B5764" w:rsidTr="00B01FD2">
        <w:tc>
          <w:tcPr>
            <w:tcW w:w="15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6. Detalizēts ieņēmumu un izdevu</w:t>
            </w:r>
            <w: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88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B5764" w:rsidRDefault="001B5764" w:rsidP="00BA71DE">
            <w:pPr>
              <w:ind w:firstLine="755"/>
              <w:jc w:val="both"/>
            </w:pPr>
            <w:r>
              <w:t> Projekts šo jomu neskar</w:t>
            </w:r>
          </w:p>
          <w:p w:rsidR="001B5764" w:rsidRDefault="001B5764" w:rsidP="00A246D2">
            <w:pPr>
              <w:jc w:val="both"/>
            </w:pPr>
          </w:p>
          <w:p w:rsidR="001B5764" w:rsidRDefault="001B5764" w:rsidP="00A246D2"/>
          <w:p w:rsidR="001B5764" w:rsidRDefault="001B5764" w:rsidP="00A246D2"/>
          <w:p w:rsidR="001B5764" w:rsidRDefault="001B5764" w:rsidP="00A246D2"/>
          <w:p w:rsidR="001B5764" w:rsidRDefault="001B5764" w:rsidP="00A246D2"/>
          <w:p w:rsidR="001B5764" w:rsidRPr="00675F9F" w:rsidRDefault="001B5764" w:rsidP="00A246D2">
            <w:pPr>
              <w:ind w:firstLine="720"/>
              <w:jc w:val="both"/>
            </w:pPr>
          </w:p>
        </w:tc>
      </w:tr>
      <w:tr w:rsidR="001B5764" w:rsidTr="00B01FD2">
        <w:tc>
          <w:tcPr>
            <w:tcW w:w="15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6.1. detalizēts ieņēmumu aprēķins</w:t>
            </w:r>
          </w:p>
        </w:tc>
        <w:tc>
          <w:tcPr>
            <w:tcW w:w="3488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B5764" w:rsidRDefault="001B5764" w:rsidP="00A246D2"/>
        </w:tc>
      </w:tr>
      <w:tr w:rsidR="001B5764" w:rsidTr="00B01FD2">
        <w:tc>
          <w:tcPr>
            <w:tcW w:w="15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6.2. detalizēts izdevumu aprēķins</w:t>
            </w:r>
          </w:p>
        </w:tc>
        <w:tc>
          <w:tcPr>
            <w:tcW w:w="3488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B5764" w:rsidRDefault="001B5764" w:rsidP="00A246D2"/>
        </w:tc>
      </w:tr>
      <w:tr w:rsidR="001B5764" w:rsidTr="00B01FD2">
        <w:tc>
          <w:tcPr>
            <w:tcW w:w="15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5764" w:rsidRDefault="001B5764" w:rsidP="00A246D2">
            <w:pPr>
              <w:spacing w:before="100" w:beforeAutospacing="1" w:after="100" w:afterAutospacing="1"/>
            </w:pPr>
            <w:r>
              <w:t>7. Cita informācija</w:t>
            </w:r>
          </w:p>
        </w:tc>
        <w:tc>
          <w:tcPr>
            <w:tcW w:w="348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B5764" w:rsidRPr="00847684" w:rsidRDefault="001B5764" w:rsidP="00C3396D">
            <w:pPr>
              <w:ind w:firstLine="825"/>
              <w:jc w:val="both"/>
            </w:pPr>
            <w:r>
              <w:t>Izstrādātajam R</w:t>
            </w:r>
            <w:r w:rsidRPr="00847684">
              <w:t>īkojuma projektam nav ietekmes uz valsts budžetu, jo papildus līdzekļi no va</w:t>
            </w:r>
            <w:r>
              <w:t>lsts budžeta nav nepieciešami. I</w:t>
            </w:r>
            <w:r w:rsidRPr="00847684">
              <w:t>zdevu</w:t>
            </w:r>
            <w:r>
              <w:t>mi, kas saistīti ar nepieciešamā nekustamā īpašuma</w:t>
            </w:r>
            <w:r w:rsidRPr="00847684">
              <w:t xml:space="preserve"> </w:t>
            </w:r>
            <w:r>
              <w:t>atsavināšanu</w:t>
            </w:r>
            <w:r w:rsidRPr="00847684">
              <w:t xml:space="preserve"> un ierakstīšanu zemesgrāmatā tiks segti</w:t>
            </w:r>
            <w:r>
              <w:t xml:space="preserve"> no </w:t>
            </w:r>
            <w:r w:rsidRPr="0062008E">
              <w:t>valsts budžetā 201</w:t>
            </w:r>
            <w:r>
              <w:t>4</w:t>
            </w:r>
            <w:r w:rsidRPr="0062008E">
              <w:t xml:space="preserve">.gadam </w:t>
            </w:r>
            <w:r w:rsidRPr="00C96983">
              <w:t xml:space="preserve">budžeta programmas 62.00.00 </w:t>
            </w:r>
            <w:r>
              <w:t>„</w:t>
            </w:r>
            <w:r w:rsidRPr="00C96983">
              <w:t>Eiropas Reģionālās attīstības fonda (ERAF) projektu un pasākumu īstenošana</w:t>
            </w:r>
            <w:r>
              <w:t>”</w:t>
            </w:r>
            <w:r w:rsidRPr="00C96983">
              <w:t xml:space="preserve"> apakšprogrammā</w:t>
            </w:r>
            <w:r>
              <w:t xml:space="preserve"> 62.06.00</w:t>
            </w:r>
            <w:r>
              <w:rPr>
                <w:bCs/>
              </w:rPr>
              <w:t xml:space="preserve"> „</w:t>
            </w:r>
            <w:r w:rsidRPr="00C96983">
              <w:rPr>
                <w:bCs/>
              </w:rPr>
              <w:t>Eiropas Reģionālās attīstības fonda (ERAF) fin</w:t>
            </w:r>
            <w:r>
              <w:rPr>
                <w:bCs/>
              </w:rPr>
              <w:t>ansētie ierobežotās atlases VAS „</w:t>
            </w:r>
            <w:r w:rsidRPr="00C96983">
              <w:rPr>
                <w:bCs/>
              </w:rPr>
              <w:t>Latvijas Valsts ceļi</w:t>
            </w:r>
            <w:r>
              <w:rPr>
                <w:bCs/>
              </w:rPr>
              <w:t>”</w:t>
            </w:r>
            <w:r w:rsidRPr="00C96983">
              <w:rPr>
                <w:bCs/>
              </w:rPr>
              <w:t xml:space="preserve"> realizētie projekti (2007–2013)</w:t>
            </w:r>
            <w:r>
              <w:rPr>
                <w:bCs/>
              </w:rPr>
              <w:t xml:space="preserve">” </w:t>
            </w:r>
            <w:r>
              <w:t>paredzētajiem līdzekļiem.</w:t>
            </w:r>
          </w:p>
        </w:tc>
      </w:tr>
    </w:tbl>
    <w:p w:rsidR="001B5764" w:rsidRDefault="001B5764" w:rsidP="00CA4A46">
      <w:pPr>
        <w:spacing w:before="120" w:after="120"/>
        <w:jc w:val="both"/>
        <w:rPr>
          <w:color w:val="000000"/>
          <w:sz w:val="28"/>
          <w:szCs w:val="28"/>
          <w:lang w:eastAsia="en-US"/>
        </w:rPr>
      </w:pPr>
    </w:p>
    <w:tbl>
      <w:tblPr>
        <w:tblW w:w="9444" w:type="dxa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6"/>
        <w:gridCol w:w="3405"/>
        <w:gridCol w:w="5523"/>
      </w:tblGrid>
      <w:tr w:rsidR="001B5764" w:rsidRPr="0062008E" w:rsidTr="00100271">
        <w:trPr>
          <w:trHeight w:val="365"/>
        </w:trPr>
        <w:tc>
          <w:tcPr>
            <w:tcW w:w="9444" w:type="dxa"/>
            <w:gridSpan w:val="3"/>
          </w:tcPr>
          <w:p w:rsidR="001B5764" w:rsidRPr="0062008E" w:rsidRDefault="001B5764" w:rsidP="00853765">
            <w:pPr>
              <w:jc w:val="center"/>
              <w:rPr>
                <w:b/>
                <w:color w:val="000000"/>
              </w:rPr>
            </w:pPr>
            <w:r w:rsidRPr="0062008E">
              <w:rPr>
                <w:b/>
                <w:color w:val="000000"/>
              </w:rPr>
              <w:t>VII. Tiesību akta projekta izpildes nodrošināšana un tās ietekme uz institūcijām</w:t>
            </w:r>
          </w:p>
        </w:tc>
      </w:tr>
      <w:tr w:rsidR="001B5764" w:rsidRPr="0062008E" w:rsidTr="00100271">
        <w:tc>
          <w:tcPr>
            <w:tcW w:w="516" w:type="dxa"/>
          </w:tcPr>
          <w:p w:rsidR="001B5764" w:rsidRPr="0062008E" w:rsidRDefault="001B5764" w:rsidP="0085376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2008E">
              <w:rPr>
                <w:color w:val="000000"/>
              </w:rPr>
              <w:t>1.</w:t>
            </w:r>
          </w:p>
        </w:tc>
        <w:tc>
          <w:tcPr>
            <w:tcW w:w="3405" w:type="dxa"/>
          </w:tcPr>
          <w:p w:rsidR="001B5764" w:rsidRPr="0062008E" w:rsidRDefault="001B5764" w:rsidP="0085376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2008E">
              <w:rPr>
                <w:color w:val="000000"/>
              </w:rPr>
              <w:t>Projekta izpildē iesaistītās institūcijas</w:t>
            </w:r>
          </w:p>
        </w:tc>
        <w:tc>
          <w:tcPr>
            <w:tcW w:w="5523" w:type="dxa"/>
          </w:tcPr>
          <w:p w:rsidR="001B5764" w:rsidRDefault="001B5764" w:rsidP="00BA71DE">
            <w:pPr>
              <w:spacing w:before="120"/>
              <w:ind w:firstLine="849"/>
              <w:jc w:val="both"/>
              <w:rPr>
                <w:color w:val="000000"/>
              </w:rPr>
            </w:pPr>
            <w:r w:rsidRPr="0062008E">
              <w:rPr>
                <w:color w:val="000000"/>
              </w:rPr>
              <w:t>Satiksmes ministrija un valsts akciju sabiedrība „Latvijas Valsts ceļi”.</w:t>
            </w:r>
          </w:p>
          <w:p w:rsidR="001B5764" w:rsidRPr="0062008E" w:rsidRDefault="001B5764" w:rsidP="00853765">
            <w:pPr>
              <w:spacing w:before="120"/>
              <w:jc w:val="both"/>
              <w:rPr>
                <w:color w:val="000000"/>
              </w:rPr>
            </w:pPr>
          </w:p>
        </w:tc>
      </w:tr>
      <w:tr w:rsidR="001B5764" w:rsidRPr="0062008E" w:rsidTr="00100271">
        <w:tc>
          <w:tcPr>
            <w:tcW w:w="516" w:type="dxa"/>
          </w:tcPr>
          <w:p w:rsidR="001B5764" w:rsidRPr="0062008E" w:rsidRDefault="001B5764" w:rsidP="00853765">
            <w:pPr>
              <w:spacing w:before="100" w:beforeAutospacing="1" w:after="100" w:afterAutospacing="1"/>
              <w:jc w:val="both"/>
            </w:pPr>
            <w:r w:rsidRPr="0062008E">
              <w:t>2.</w:t>
            </w:r>
          </w:p>
        </w:tc>
        <w:tc>
          <w:tcPr>
            <w:tcW w:w="3405" w:type="dxa"/>
          </w:tcPr>
          <w:p w:rsidR="001B5764" w:rsidRDefault="001B5764" w:rsidP="00853765">
            <w:pPr>
              <w:spacing w:before="100" w:beforeAutospacing="1" w:after="100" w:afterAutospacing="1"/>
              <w:jc w:val="both"/>
            </w:pPr>
            <w:r w:rsidRPr="0062008E">
              <w:t>Projekta izpildes ietekme uz pārvaldes funkcijām</w:t>
            </w:r>
            <w:r>
              <w:t xml:space="preserve"> un institucionālo struktūru.</w:t>
            </w:r>
          </w:p>
          <w:p w:rsidR="001B5764" w:rsidRPr="0062008E" w:rsidRDefault="001B5764" w:rsidP="00853765">
            <w:pPr>
              <w:spacing w:before="100" w:beforeAutospacing="1" w:after="100" w:afterAutospacing="1"/>
              <w:jc w:val="both"/>
            </w:pPr>
            <w:r>
              <w:t>Jaunu institūciju izveide, esošo institūciju likvidācija vai reorganizācija to ietekme uz institūcijas cilvēkresursiem</w:t>
            </w:r>
          </w:p>
        </w:tc>
        <w:tc>
          <w:tcPr>
            <w:tcW w:w="5523" w:type="dxa"/>
          </w:tcPr>
          <w:p w:rsidR="001B5764" w:rsidRPr="00546D03" w:rsidRDefault="001B5764" w:rsidP="00BA71DE">
            <w:pPr>
              <w:ind w:firstLine="831"/>
              <w:jc w:val="both"/>
            </w:pPr>
            <w:r>
              <w:t> Projekts šo jomu neskar</w:t>
            </w:r>
          </w:p>
        </w:tc>
      </w:tr>
      <w:tr w:rsidR="001B5764" w:rsidRPr="0062008E" w:rsidTr="00100271">
        <w:tc>
          <w:tcPr>
            <w:tcW w:w="516" w:type="dxa"/>
          </w:tcPr>
          <w:p w:rsidR="001B5764" w:rsidRPr="0062008E" w:rsidRDefault="001B5764" w:rsidP="0085376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2008E">
              <w:rPr>
                <w:color w:val="000000"/>
              </w:rPr>
              <w:t>.</w:t>
            </w:r>
          </w:p>
        </w:tc>
        <w:tc>
          <w:tcPr>
            <w:tcW w:w="3405" w:type="dxa"/>
          </w:tcPr>
          <w:p w:rsidR="001B5764" w:rsidRPr="0062008E" w:rsidRDefault="001B5764" w:rsidP="0085376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2008E">
              <w:rPr>
                <w:color w:val="000000"/>
              </w:rPr>
              <w:t>Cita informācija</w:t>
            </w:r>
          </w:p>
        </w:tc>
        <w:tc>
          <w:tcPr>
            <w:tcW w:w="5523" w:type="dxa"/>
          </w:tcPr>
          <w:p w:rsidR="001B5764" w:rsidRPr="0062008E" w:rsidRDefault="001B5764" w:rsidP="00BA71DE">
            <w:pPr>
              <w:spacing w:before="100" w:beforeAutospacing="1" w:after="100" w:afterAutospacing="1"/>
              <w:ind w:firstLine="849"/>
              <w:jc w:val="both"/>
              <w:rPr>
                <w:color w:val="000000"/>
              </w:rPr>
            </w:pPr>
            <w:r>
              <w:rPr>
                <w:color w:val="000000"/>
              </w:rPr>
              <w:t>Nav</w:t>
            </w:r>
          </w:p>
        </w:tc>
      </w:tr>
    </w:tbl>
    <w:p w:rsidR="001B5764" w:rsidRDefault="001B5764" w:rsidP="00587CE5">
      <w:pPr>
        <w:spacing w:before="120" w:after="120"/>
        <w:jc w:val="both"/>
        <w:rPr>
          <w:color w:val="000000"/>
          <w:sz w:val="28"/>
          <w:szCs w:val="28"/>
          <w:lang w:eastAsia="en-US"/>
        </w:rPr>
      </w:pPr>
    </w:p>
    <w:p w:rsidR="001B5764" w:rsidRPr="00CB09B3" w:rsidRDefault="001B5764" w:rsidP="00BA71DE">
      <w:pPr>
        <w:spacing w:before="120" w:after="120"/>
        <w:ind w:firstLine="684"/>
        <w:jc w:val="both"/>
        <w:rPr>
          <w:color w:val="000000"/>
          <w:sz w:val="28"/>
          <w:szCs w:val="28"/>
          <w:lang w:eastAsia="en-US"/>
        </w:rPr>
      </w:pPr>
      <w:r w:rsidRPr="00CB09B3">
        <w:rPr>
          <w:color w:val="000000"/>
          <w:sz w:val="28"/>
          <w:szCs w:val="28"/>
          <w:lang w:eastAsia="en-US"/>
        </w:rPr>
        <w:t>Anotācijas I</w:t>
      </w:r>
      <w:r>
        <w:rPr>
          <w:color w:val="000000"/>
          <w:sz w:val="28"/>
          <w:szCs w:val="28"/>
          <w:lang w:eastAsia="en-US"/>
        </w:rPr>
        <w:t>I,</w:t>
      </w:r>
      <w:r w:rsidRPr="00CB09B3">
        <w:rPr>
          <w:color w:val="000000"/>
          <w:sz w:val="28"/>
          <w:szCs w:val="28"/>
          <w:lang w:eastAsia="en-US"/>
        </w:rPr>
        <w:t xml:space="preserve"> IV, V un VI sadaļa –</w:t>
      </w:r>
      <w:r>
        <w:rPr>
          <w:color w:val="000000"/>
          <w:sz w:val="28"/>
          <w:szCs w:val="28"/>
          <w:lang w:eastAsia="en-US"/>
        </w:rPr>
        <w:t xml:space="preserve"> projekts šīs jomas neskar</w:t>
      </w:r>
      <w:r w:rsidRPr="00CB09B3">
        <w:rPr>
          <w:color w:val="000000"/>
          <w:sz w:val="28"/>
          <w:szCs w:val="28"/>
          <w:lang w:eastAsia="en-US"/>
        </w:rPr>
        <w:t>.</w:t>
      </w:r>
    </w:p>
    <w:p w:rsidR="001B5764" w:rsidRDefault="001B5764" w:rsidP="00CA4D97">
      <w:pPr>
        <w:pStyle w:val="naisf"/>
        <w:spacing w:before="0" w:after="0"/>
        <w:ind w:firstLine="684"/>
        <w:rPr>
          <w:sz w:val="28"/>
          <w:szCs w:val="28"/>
        </w:rPr>
      </w:pPr>
    </w:p>
    <w:p w:rsidR="001B5764" w:rsidRDefault="001B5764" w:rsidP="00CA4D97">
      <w:pPr>
        <w:pStyle w:val="naisf"/>
        <w:spacing w:before="0" w:after="0"/>
        <w:ind w:firstLine="684"/>
        <w:rPr>
          <w:sz w:val="28"/>
          <w:szCs w:val="28"/>
        </w:rPr>
      </w:pPr>
    </w:p>
    <w:p w:rsidR="001B5764" w:rsidRPr="00E74ED5" w:rsidRDefault="001B5764" w:rsidP="00CA4D97">
      <w:pPr>
        <w:pStyle w:val="naisf"/>
        <w:spacing w:before="0" w:after="0"/>
        <w:ind w:firstLine="684"/>
        <w:rPr>
          <w:sz w:val="28"/>
          <w:szCs w:val="28"/>
        </w:rPr>
      </w:pPr>
      <w:r w:rsidRPr="00E74ED5">
        <w:rPr>
          <w:sz w:val="28"/>
          <w:szCs w:val="28"/>
        </w:rPr>
        <w:t>Satiksmes ministrs</w:t>
      </w: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A.Matīss</w:t>
      </w:r>
    </w:p>
    <w:p w:rsidR="001B5764" w:rsidRDefault="001B5764" w:rsidP="009C35A8">
      <w:pPr>
        <w:pStyle w:val="naisf"/>
        <w:spacing w:before="0" w:after="0"/>
        <w:ind w:firstLine="0"/>
        <w:rPr>
          <w:sz w:val="28"/>
          <w:szCs w:val="28"/>
        </w:rPr>
      </w:pPr>
    </w:p>
    <w:p w:rsidR="001B5764" w:rsidRPr="00E74ED5" w:rsidRDefault="001B5764" w:rsidP="009C35A8">
      <w:pPr>
        <w:pStyle w:val="naisf"/>
        <w:spacing w:before="0" w:after="0"/>
        <w:ind w:firstLine="0"/>
        <w:rPr>
          <w:sz w:val="28"/>
          <w:szCs w:val="28"/>
        </w:rPr>
      </w:pPr>
    </w:p>
    <w:p w:rsidR="001B5764" w:rsidRPr="00BA7317" w:rsidRDefault="001B5764" w:rsidP="00F93997">
      <w:pPr>
        <w:ind w:firstLine="684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K.Ozoliņš</w:t>
      </w:r>
      <w:r>
        <w:rPr>
          <w:sz w:val="28"/>
          <w:szCs w:val="28"/>
        </w:rPr>
        <w:tab/>
      </w:r>
    </w:p>
    <w:p w:rsidR="001B5764" w:rsidRPr="005E63BA" w:rsidRDefault="001B5764" w:rsidP="00CA4D97">
      <w:pPr>
        <w:jc w:val="both"/>
        <w:rPr>
          <w:sz w:val="22"/>
          <w:szCs w:val="22"/>
        </w:rPr>
      </w:pPr>
      <w:r>
        <w:rPr>
          <w:sz w:val="22"/>
          <w:szCs w:val="22"/>
        </w:rPr>
        <w:t>22.12.2014. 09</w:t>
      </w:r>
      <w:r w:rsidRPr="005E63BA">
        <w:rPr>
          <w:sz w:val="22"/>
          <w:szCs w:val="22"/>
        </w:rPr>
        <w:t>:00</w:t>
      </w:r>
    </w:p>
    <w:p w:rsidR="001B5764" w:rsidRPr="005E63BA" w:rsidRDefault="001B5764" w:rsidP="006A554A">
      <w:pPr>
        <w:jc w:val="both"/>
        <w:rPr>
          <w:sz w:val="22"/>
          <w:szCs w:val="22"/>
        </w:rPr>
      </w:pPr>
      <w:r>
        <w:rPr>
          <w:sz w:val="22"/>
          <w:szCs w:val="22"/>
        </w:rPr>
        <w:t>1092</w:t>
      </w:r>
    </w:p>
    <w:p w:rsidR="001B5764" w:rsidRPr="005E63BA" w:rsidRDefault="001B5764" w:rsidP="006A554A">
      <w:pPr>
        <w:jc w:val="both"/>
        <w:rPr>
          <w:sz w:val="22"/>
          <w:szCs w:val="22"/>
        </w:rPr>
      </w:pPr>
      <w:r w:rsidRPr="005E63BA">
        <w:rPr>
          <w:sz w:val="22"/>
          <w:szCs w:val="22"/>
        </w:rPr>
        <w:t>V.Putāns</w:t>
      </w:r>
    </w:p>
    <w:p w:rsidR="001B5764" w:rsidRPr="005E63BA" w:rsidRDefault="001B5764" w:rsidP="00D90273">
      <w:pPr>
        <w:jc w:val="both"/>
        <w:rPr>
          <w:sz w:val="22"/>
          <w:szCs w:val="22"/>
        </w:rPr>
      </w:pPr>
      <w:r w:rsidRPr="005E63BA">
        <w:rPr>
          <w:sz w:val="22"/>
          <w:szCs w:val="22"/>
        </w:rPr>
        <w:t>67028149, varis.putans@lvceli.lv</w:t>
      </w:r>
    </w:p>
    <w:sectPr w:rsidR="001B5764" w:rsidRPr="005E63BA" w:rsidSect="00275C5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265" w:right="1134" w:bottom="1134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64" w:rsidRDefault="001B5764">
      <w:r>
        <w:separator/>
      </w:r>
    </w:p>
  </w:endnote>
  <w:endnote w:type="continuationSeparator" w:id="0">
    <w:p w:rsidR="001B5764" w:rsidRDefault="001B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64" w:rsidRPr="00E13FEC" w:rsidRDefault="001B5764" w:rsidP="00F144BB">
    <w:pPr>
      <w:jc w:val="both"/>
      <w:rPr>
        <w:bCs/>
        <w:sz w:val="20"/>
      </w:rPr>
    </w:pPr>
    <w:r>
      <w:rPr>
        <w:sz w:val="20"/>
        <w:szCs w:val="20"/>
      </w:rPr>
      <w:t>SAMAnot_221214_Ploci</w:t>
    </w:r>
    <w:r>
      <w:rPr>
        <w:sz w:val="20"/>
      </w:rPr>
      <w:t>;</w:t>
    </w:r>
    <w:r w:rsidRPr="00624E31">
      <w:rPr>
        <w:sz w:val="20"/>
      </w:rPr>
      <w:t xml:space="preserve"> </w:t>
    </w:r>
    <w:r>
      <w:rPr>
        <w:sz w:val="20"/>
      </w:rPr>
      <w:t>Ministru kabineta rīkojuma projekta “</w:t>
    </w:r>
    <w:r>
      <w:rPr>
        <w:bCs/>
        <w:sz w:val="20"/>
      </w:rPr>
      <w:t>Par nekustamā īpašuma</w:t>
    </w:r>
    <w:r w:rsidRPr="00EB083D">
      <w:rPr>
        <w:bCs/>
        <w:sz w:val="20"/>
      </w:rPr>
      <w:t xml:space="preserve"> </w:t>
    </w:r>
    <w:r>
      <w:rPr>
        <w:bCs/>
        <w:sz w:val="20"/>
      </w:rPr>
      <w:t>atsavināšanu valsts autoceļa P121 Tukums</w:t>
    </w:r>
    <w:r w:rsidRPr="00EB083D">
      <w:rPr>
        <w:bCs/>
        <w:sz w:val="20"/>
      </w:rPr>
      <w:t>–Kuldīga rekon</w:t>
    </w:r>
    <w:r>
      <w:rPr>
        <w:bCs/>
        <w:sz w:val="20"/>
      </w:rPr>
      <w:t xml:space="preserve">strukcijas projekta īstenošanai”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>
        <w:rPr>
          <w:bCs/>
          <w:sz w:val="20"/>
        </w:rPr>
        <w:t>ziņojums</w:t>
      </w:r>
    </w:smartTag>
    <w:r>
      <w:rPr>
        <w:bCs/>
        <w:sz w:val="20"/>
      </w:rPr>
      <w:t xml:space="preserve"> (anotācija)</w:t>
    </w:r>
  </w:p>
  <w:p w:rsidR="001B5764" w:rsidRPr="00A54CEA" w:rsidRDefault="001B5764" w:rsidP="00F144BB">
    <w:pPr>
      <w:jc w:val="both"/>
      <w:rPr>
        <w:bCs/>
        <w:sz w:val="20"/>
      </w:rPr>
    </w:pPr>
  </w:p>
  <w:p w:rsidR="001B5764" w:rsidRPr="00F144BB" w:rsidRDefault="001B5764" w:rsidP="00F144BB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64" w:rsidRPr="00E13FEC" w:rsidRDefault="001B5764" w:rsidP="005F493A">
    <w:pPr>
      <w:jc w:val="both"/>
      <w:rPr>
        <w:bCs/>
        <w:sz w:val="20"/>
      </w:rPr>
    </w:pPr>
    <w:r>
      <w:rPr>
        <w:sz w:val="20"/>
        <w:szCs w:val="20"/>
      </w:rPr>
      <w:t>SAMAnot_221214_Ploci</w:t>
    </w:r>
    <w:r>
      <w:rPr>
        <w:sz w:val="20"/>
      </w:rPr>
      <w:t>;</w:t>
    </w:r>
    <w:r w:rsidRPr="00624E31">
      <w:rPr>
        <w:sz w:val="20"/>
      </w:rPr>
      <w:t xml:space="preserve"> </w:t>
    </w:r>
    <w:r>
      <w:rPr>
        <w:sz w:val="20"/>
      </w:rPr>
      <w:t>Ministru kabineta rīkojuma projekta “</w:t>
    </w:r>
    <w:r>
      <w:rPr>
        <w:bCs/>
        <w:sz w:val="20"/>
      </w:rPr>
      <w:t>Par nekustamā īpašuma</w:t>
    </w:r>
    <w:r w:rsidRPr="00EB083D">
      <w:rPr>
        <w:bCs/>
        <w:sz w:val="20"/>
      </w:rPr>
      <w:t xml:space="preserve"> </w:t>
    </w:r>
    <w:r>
      <w:rPr>
        <w:bCs/>
        <w:sz w:val="20"/>
      </w:rPr>
      <w:t>atsavināšanu valsts autoceļa P121 Tukums</w:t>
    </w:r>
    <w:r w:rsidRPr="00EB083D">
      <w:rPr>
        <w:bCs/>
        <w:sz w:val="20"/>
      </w:rPr>
      <w:t>–Kuldīga rekon</w:t>
    </w:r>
    <w:r>
      <w:rPr>
        <w:bCs/>
        <w:sz w:val="20"/>
      </w:rPr>
      <w:t xml:space="preserve">strukcijas projekta īstenošanai”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>
        <w:rPr>
          <w:bCs/>
          <w:sz w:val="20"/>
        </w:rPr>
        <w:t>ziņojums</w:t>
      </w:r>
    </w:smartTag>
    <w:r>
      <w:rPr>
        <w:bCs/>
        <w:sz w:val="20"/>
      </w:rPr>
      <w:t xml:space="preserve"> (anotācija)</w:t>
    </w:r>
  </w:p>
  <w:p w:rsidR="001B5764" w:rsidRPr="00A54CEA" w:rsidRDefault="001B5764" w:rsidP="00B03D0B">
    <w:pPr>
      <w:jc w:val="both"/>
      <w:rPr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64" w:rsidRDefault="001B5764">
      <w:r>
        <w:separator/>
      </w:r>
    </w:p>
  </w:footnote>
  <w:footnote w:type="continuationSeparator" w:id="0">
    <w:p w:rsidR="001B5764" w:rsidRDefault="001B5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64" w:rsidRDefault="001B5764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764" w:rsidRDefault="001B5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64" w:rsidRDefault="001B5764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CAB">
      <w:rPr>
        <w:rStyle w:val="PageNumber"/>
        <w:noProof/>
      </w:rPr>
      <w:t>4</w:t>
    </w:r>
    <w:r>
      <w:rPr>
        <w:rStyle w:val="PageNumber"/>
      </w:rPr>
      <w:fldChar w:fldCharType="end"/>
    </w:r>
  </w:p>
  <w:p w:rsidR="001B5764" w:rsidRDefault="001B5764" w:rsidP="001E3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8EF"/>
    <w:multiLevelType w:val="hybridMultilevel"/>
    <w:tmpl w:val="F4C0149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F0D27"/>
    <w:multiLevelType w:val="hybridMultilevel"/>
    <w:tmpl w:val="CDC811F2"/>
    <w:lvl w:ilvl="0" w:tplc="319A4FC6">
      <w:start w:val="1"/>
      <w:numFmt w:val="decimal"/>
      <w:lvlText w:val="%1)"/>
      <w:lvlJc w:val="left"/>
      <w:pPr>
        <w:tabs>
          <w:tab w:val="num" w:pos="1848"/>
        </w:tabs>
        <w:ind w:left="1848" w:hanging="109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2">
    <w:nsid w:val="0963398F"/>
    <w:multiLevelType w:val="hybridMultilevel"/>
    <w:tmpl w:val="6C241B18"/>
    <w:lvl w:ilvl="0" w:tplc="1892DFE8">
      <w:start w:val="3"/>
      <w:numFmt w:val="bullet"/>
      <w:lvlText w:val="-"/>
      <w:lvlJc w:val="left"/>
      <w:pPr>
        <w:tabs>
          <w:tab w:val="num" w:pos="1557"/>
        </w:tabs>
        <w:ind w:left="1557" w:hanging="85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">
    <w:nsid w:val="0E4B0DBB"/>
    <w:multiLevelType w:val="hybridMultilevel"/>
    <w:tmpl w:val="34B44E6E"/>
    <w:lvl w:ilvl="0" w:tplc="19148EE4">
      <w:start w:val="16"/>
      <w:numFmt w:val="bullet"/>
      <w:lvlText w:val="-"/>
      <w:lvlJc w:val="left"/>
      <w:pPr>
        <w:tabs>
          <w:tab w:val="num" w:pos="1647"/>
        </w:tabs>
        <w:ind w:left="1647" w:hanging="91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4">
    <w:nsid w:val="0E865FE5"/>
    <w:multiLevelType w:val="hybridMultilevel"/>
    <w:tmpl w:val="C8BC8496"/>
    <w:lvl w:ilvl="0" w:tplc="3A30A468">
      <w:start w:val="2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5">
    <w:nsid w:val="195F7B79"/>
    <w:multiLevelType w:val="multilevel"/>
    <w:tmpl w:val="68B42FC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1D114237"/>
    <w:multiLevelType w:val="hybridMultilevel"/>
    <w:tmpl w:val="42D0B112"/>
    <w:lvl w:ilvl="0" w:tplc="9DE287D4">
      <w:start w:val="5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7">
    <w:nsid w:val="1DEB6465"/>
    <w:multiLevelType w:val="hybridMultilevel"/>
    <w:tmpl w:val="9D6A8D44"/>
    <w:lvl w:ilvl="0" w:tplc="19E81E44">
      <w:start w:val="1"/>
      <w:numFmt w:val="decimal"/>
      <w:lvlText w:val="%1."/>
      <w:lvlJc w:val="left"/>
      <w:pPr>
        <w:tabs>
          <w:tab w:val="num" w:pos="1773"/>
        </w:tabs>
        <w:ind w:left="1773" w:hanging="10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8">
    <w:nsid w:val="3E8360EB"/>
    <w:multiLevelType w:val="hybridMultilevel"/>
    <w:tmpl w:val="B26EB2FA"/>
    <w:lvl w:ilvl="0" w:tplc="3E7C986A">
      <w:start w:val="2"/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9">
    <w:nsid w:val="4DF335C5"/>
    <w:multiLevelType w:val="hybridMultilevel"/>
    <w:tmpl w:val="83C6E74C"/>
    <w:lvl w:ilvl="0" w:tplc="8E886F12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0">
    <w:nsid w:val="532E4476"/>
    <w:multiLevelType w:val="multilevel"/>
    <w:tmpl w:val="9D6A8D4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1">
    <w:nsid w:val="560E2444"/>
    <w:multiLevelType w:val="hybridMultilevel"/>
    <w:tmpl w:val="58EE14F2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6BF065F"/>
    <w:multiLevelType w:val="hybridMultilevel"/>
    <w:tmpl w:val="904AD61A"/>
    <w:lvl w:ilvl="0" w:tplc="DCECCBF8">
      <w:start w:val="1"/>
      <w:numFmt w:val="decimal"/>
      <w:lvlText w:val="%1)"/>
      <w:lvlJc w:val="left"/>
      <w:pPr>
        <w:tabs>
          <w:tab w:val="num" w:pos="1833"/>
        </w:tabs>
        <w:ind w:left="1833" w:hanging="108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3">
    <w:nsid w:val="6B142A4F"/>
    <w:multiLevelType w:val="hybridMultilevel"/>
    <w:tmpl w:val="EF9260BE"/>
    <w:lvl w:ilvl="0" w:tplc="2C66C876">
      <w:start w:val="4"/>
      <w:numFmt w:val="bullet"/>
      <w:lvlText w:val="-"/>
      <w:lvlJc w:val="left"/>
      <w:pPr>
        <w:tabs>
          <w:tab w:val="num" w:pos="1728"/>
        </w:tabs>
        <w:ind w:left="1728" w:hanging="975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14">
    <w:nsid w:val="6E922D10"/>
    <w:multiLevelType w:val="hybridMultilevel"/>
    <w:tmpl w:val="D436BDDA"/>
    <w:lvl w:ilvl="0" w:tplc="78CA6F3C">
      <w:start w:val="13"/>
      <w:numFmt w:val="bullet"/>
      <w:lvlText w:val="-"/>
      <w:lvlJc w:val="left"/>
      <w:pPr>
        <w:tabs>
          <w:tab w:val="num" w:pos="1797"/>
        </w:tabs>
        <w:ind w:left="1797" w:hanging="109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5">
    <w:nsid w:val="6EC60451"/>
    <w:multiLevelType w:val="hybridMultilevel"/>
    <w:tmpl w:val="AD9CE6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E91E2C"/>
    <w:multiLevelType w:val="hybridMultilevel"/>
    <w:tmpl w:val="7520BE12"/>
    <w:lvl w:ilvl="0" w:tplc="B810C35E">
      <w:start w:val="1"/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17">
    <w:nsid w:val="7E0C7604"/>
    <w:multiLevelType w:val="hybridMultilevel"/>
    <w:tmpl w:val="6D5856EC"/>
    <w:lvl w:ilvl="0" w:tplc="ECFC2868">
      <w:start w:val="11"/>
      <w:numFmt w:val="bullet"/>
      <w:lvlText w:val="-"/>
      <w:lvlJc w:val="left"/>
      <w:pPr>
        <w:tabs>
          <w:tab w:val="num" w:pos="1773"/>
        </w:tabs>
        <w:ind w:left="1773" w:hanging="102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6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7"/>
  </w:num>
  <w:num w:numId="11">
    <w:abstractNumId w:val="1"/>
  </w:num>
  <w:num w:numId="12">
    <w:abstractNumId w:val="12"/>
  </w:num>
  <w:num w:numId="13">
    <w:abstractNumId w:val="15"/>
  </w:num>
  <w:num w:numId="14">
    <w:abstractNumId w:val="13"/>
  </w:num>
  <w:num w:numId="15">
    <w:abstractNumId w:val="5"/>
  </w:num>
  <w:num w:numId="16">
    <w:abstractNumId w:val="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1EB"/>
    <w:rsid w:val="00002489"/>
    <w:rsid w:val="0000284F"/>
    <w:rsid w:val="000031C0"/>
    <w:rsid w:val="00006651"/>
    <w:rsid w:val="0001276E"/>
    <w:rsid w:val="00013219"/>
    <w:rsid w:val="000147B0"/>
    <w:rsid w:val="0001632B"/>
    <w:rsid w:val="00036EE5"/>
    <w:rsid w:val="00037D0A"/>
    <w:rsid w:val="000475D0"/>
    <w:rsid w:val="00047C4B"/>
    <w:rsid w:val="00047D59"/>
    <w:rsid w:val="00057366"/>
    <w:rsid w:val="0006409D"/>
    <w:rsid w:val="000648C0"/>
    <w:rsid w:val="000656DE"/>
    <w:rsid w:val="00071E34"/>
    <w:rsid w:val="000726B6"/>
    <w:rsid w:val="00074AAF"/>
    <w:rsid w:val="000750F5"/>
    <w:rsid w:val="0007626E"/>
    <w:rsid w:val="00076BE5"/>
    <w:rsid w:val="00080FCF"/>
    <w:rsid w:val="00082055"/>
    <w:rsid w:val="00083CE1"/>
    <w:rsid w:val="00086EBD"/>
    <w:rsid w:val="000A1E04"/>
    <w:rsid w:val="000B51B9"/>
    <w:rsid w:val="000C0098"/>
    <w:rsid w:val="000C2CAF"/>
    <w:rsid w:val="000C39AB"/>
    <w:rsid w:val="000C7567"/>
    <w:rsid w:val="000C7FFC"/>
    <w:rsid w:val="000D186A"/>
    <w:rsid w:val="000D57C6"/>
    <w:rsid w:val="000D6077"/>
    <w:rsid w:val="000E24E6"/>
    <w:rsid w:val="000E4EB2"/>
    <w:rsid w:val="000E5043"/>
    <w:rsid w:val="000E5561"/>
    <w:rsid w:val="000E7DA5"/>
    <w:rsid w:val="000F33CB"/>
    <w:rsid w:val="000F3BF6"/>
    <w:rsid w:val="000F5057"/>
    <w:rsid w:val="00100271"/>
    <w:rsid w:val="0010071A"/>
    <w:rsid w:val="001042BD"/>
    <w:rsid w:val="0010555A"/>
    <w:rsid w:val="0010761C"/>
    <w:rsid w:val="00114BD5"/>
    <w:rsid w:val="001153E4"/>
    <w:rsid w:val="0012121B"/>
    <w:rsid w:val="00121D00"/>
    <w:rsid w:val="001230EB"/>
    <w:rsid w:val="00124661"/>
    <w:rsid w:val="00125CA4"/>
    <w:rsid w:val="00130CF2"/>
    <w:rsid w:val="001362A1"/>
    <w:rsid w:val="00137220"/>
    <w:rsid w:val="00143CAC"/>
    <w:rsid w:val="001468B5"/>
    <w:rsid w:val="00150E5B"/>
    <w:rsid w:val="00151A3E"/>
    <w:rsid w:val="00152B0A"/>
    <w:rsid w:val="00156455"/>
    <w:rsid w:val="00156C41"/>
    <w:rsid w:val="00156D0C"/>
    <w:rsid w:val="00156E1E"/>
    <w:rsid w:val="00156FEC"/>
    <w:rsid w:val="00161239"/>
    <w:rsid w:val="00163E3A"/>
    <w:rsid w:val="00164396"/>
    <w:rsid w:val="001704BD"/>
    <w:rsid w:val="00171BB2"/>
    <w:rsid w:val="001732C9"/>
    <w:rsid w:val="0017519A"/>
    <w:rsid w:val="00176690"/>
    <w:rsid w:val="001776FA"/>
    <w:rsid w:val="00180A31"/>
    <w:rsid w:val="00193655"/>
    <w:rsid w:val="0019763E"/>
    <w:rsid w:val="001A0473"/>
    <w:rsid w:val="001A26F7"/>
    <w:rsid w:val="001A2DAD"/>
    <w:rsid w:val="001A4E5B"/>
    <w:rsid w:val="001A6CEC"/>
    <w:rsid w:val="001A6EE8"/>
    <w:rsid w:val="001B329B"/>
    <w:rsid w:val="001B5764"/>
    <w:rsid w:val="001B61BB"/>
    <w:rsid w:val="001B6CF6"/>
    <w:rsid w:val="001C44A6"/>
    <w:rsid w:val="001C4CD1"/>
    <w:rsid w:val="001C698B"/>
    <w:rsid w:val="001D10FB"/>
    <w:rsid w:val="001D7BA8"/>
    <w:rsid w:val="001E042B"/>
    <w:rsid w:val="001E2171"/>
    <w:rsid w:val="001E32EA"/>
    <w:rsid w:val="001E3FDC"/>
    <w:rsid w:val="001E4C15"/>
    <w:rsid w:val="001E5188"/>
    <w:rsid w:val="001E6AA8"/>
    <w:rsid w:val="001F266A"/>
    <w:rsid w:val="001F4061"/>
    <w:rsid w:val="00201198"/>
    <w:rsid w:val="002028F4"/>
    <w:rsid w:val="002044F9"/>
    <w:rsid w:val="00205BE1"/>
    <w:rsid w:val="002066D2"/>
    <w:rsid w:val="00206B02"/>
    <w:rsid w:val="00212254"/>
    <w:rsid w:val="002144C6"/>
    <w:rsid w:val="00217482"/>
    <w:rsid w:val="00220DE4"/>
    <w:rsid w:val="00222C64"/>
    <w:rsid w:val="002234A5"/>
    <w:rsid w:val="002262B2"/>
    <w:rsid w:val="00234018"/>
    <w:rsid w:val="002364B9"/>
    <w:rsid w:val="00236C79"/>
    <w:rsid w:val="002427F4"/>
    <w:rsid w:val="00243960"/>
    <w:rsid w:val="0025277F"/>
    <w:rsid w:val="00256014"/>
    <w:rsid w:val="00265270"/>
    <w:rsid w:val="002653B1"/>
    <w:rsid w:val="00266AA9"/>
    <w:rsid w:val="00271270"/>
    <w:rsid w:val="00273962"/>
    <w:rsid w:val="00275C5F"/>
    <w:rsid w:val="00277162"/>
    <w:rsid w:val="00284FA5"/>
    <w:rsid w:val="00290BF9"/>
    <w:rsid w:val="00293F7E"/>
    <w:rsid w:val="002970CD"/>
    <w:rsid w:val="002A377C"/>
    <w:rsid w:val="002A38B1"/>
    <w:rsid w:val="002A3B66"/>
    <w:rsid w:val="002A3B84"/>
    <w:rsid w:val="002A442E"/>
    <w:rsid w:val="002A6889"/>
    <w:rsid w:val="002A6B67"/>
    <w:rsid w:val="002A78E4"/>
    <w:rsid w:val="002A7FED"/>
    <w:rsid w:val="002B3814"/>
    <w:rsid w:val="002B492E"/>
    <w:rsid w:val="002C17EC"/>
    <w:rsid w:val="002C2D2C"/>
    <w:rsid w:val="002C41E3"/>
    <w:rsid w:val="002C4451"/>
    <w:rsid w:val="002C5B13"/>
    <w:rsid w:val="002D2A67"/>
    <w:rsid w:val="002D327B"/>
    <w:rsid w:val="002E25D5"/>
    <w:rsid w:val="002E5D29"/>
    <w:rsid w:val="002E6902"/>
    <w:rsid w:val="002F1129"/>
    <w:rsid w:val="002F3FCD"/>
    <w:rsid w:val="002F44BF"/>
    <w:rsid w:val="002F5055"/>
    <w:rsid w:val="002F50F5"/>
    <w:rsid w:val="002F55FC"/>
    <w:rsid w:val="00300547"/>
    <w:rsid w:val="0030112E"/>
    <w:rsid w:val="0030181D"/>
    <w:rsid w:val="003025D0"/>
    <w:rsid w:val="00303A73"/>
    <w:rsid w:val="00304EF9"/>
    <w:rsid w:val="003063BF"/>
    <w:rsid w:val="00307AAA"/>
    <w:rsid w:val="003134F5"/>
    <w:rsid w:val="00315732"/>
    <w:rsid w:val="00316AE1"/>
    <w:rsid w:val="00316B53"/>
    <w:rsid w:val="00320B0F"/>
    <w:rsid w:val="003210DA"/>
    <w:rsid w:val="00321147"/>
    <w:rsid w:val="00326A53"/>
    <w:rsid w:val="00330637"/>
    <w:rsid w:val="00331FD8"/>
    <w:rsid w:val="003335DF"/>
    <w:rsid w:val="003345BC"/>
    <w:rsid w:val="00342F34"/>
    <w:rsid w:val="003440FB"/>
    <w:rsid w:val="00344403"/>
    <w:rsid w:val="003451B1"/>
    <w:rsid w:val="00345E32"/>
    <w:rsid w:val="003502B0"/>
    <w:rsid w:val="00351FF6"/>
    <w:rsid w:val="00353012"/>
    <w:rsid w:val="00354CF6"/>
    <w:rsid w:val="00357B72"/>
    <w:rsid w:val="00361849"/>
    <w:rsid w:val="00362371"/>
    <w:rsid w:val="00362AB5"/>
    <w:rsid w:val="00364451"/>
    <w:rsid w:val="00372994"/>
    <w:rsid w:val="003800E6"/>
    <w:rsid w:val="00382673"/>
    <w:rsid w:val="00386FC7"/>
    <w:rsid w:val="003916D7"/>
    <w:rsid w:val="00394D82"/>
    <w:rsid w:val="003954C1"/>
    <w:rsid w:val="0039590F"/>
    <w:rsid w:val="003A3B6D"/>
    <w:rsid w:val="003A5048"/>
    <w:rsid w:val="003A7428"/>
    <w:rsid w:val="003B307B"/>
    <w:rsid w:val="003B3A76"/>
    <w:rsid w:val="003B5DB6"/>
    <w:rsid w:val="003C1488"/>
    <w:rsid w:val="003C28ED"/>
    <w:rsid w:val="003C2F8E"/>
    <w:rsid w:val="003C31F0"/>
    <w:rsid w:val="003C3BDC"/>
    <w:rsid w:val="003C46FB"/>
    <w:rsid w:val="003D7B53"/>
    <w:rsid w:val="003E18A7"/>
    <w:rsid w:val="003E23AB"/>
    <w:rsid w:val="003E5CF3"/>
    <w:rsid w:val="003F32F2"/>
    <w:rsid w:val="003F43BB"/>
    <w:rsid w:val="003F4EEF"/>
    <w:rsid w:val="003F7C0A"/>
    <w:rsid w:val="00401737"/>
    <w:rsid w:val="004146D3"/>
    <w:rsid w:val="00414727"/>
    <w:rsid w:val="0041706F"/>
    <w:rsid w:val="0042161A"/>
    <w:rsid w:val="004235D8"/>
    <w:rsid w:val="004236A4"/>
    <w:rsid w:val="00423855"/>
    <w:rsid w:val="00423F61"/>
    <w:rsid w:val="0042531F"/>
    <w:rsid w:val="00431054"/>
    <w:rsid w:val="004345D6"/>
    <w:rsid w:val="00435782"/>
    <w:rsid w:val="00436F31"/>
    <w:rsid w:val="00440D82"/>
    <w:rsid w:val="00444B2B"/>
    <w:rsid w:val="00447FE2"/>
    <w:rsid w:val="004521FA"/>
    <w:rsid w:val="00461074"/>
    <w:rsid w:val="00463140"/>
    <w:rsid w:val="004636B1"/>
    <w:rsid w:val="004641C8"/>
    <w:rsid w:val="004656BE"/>
    <w:rsid w:val="0046590B"/>
    <w:rsid w:val="00471490"/>
    <w:rsid w:val="00480302"/>
    <w:rsid w:val="004861C8"/>
    <w:rsid w:val="00491E29"/>
    <w:rsid w:val="004954F4"/>
    <w:rsid w:val="004A233C"/>
    <w:rsid w:val="004A2BD3"/>
    <w:rsid w:val="004A4913"/>
    <w:rsid w:val="004A727A"/>
    <w:rsid w:val="004B317C"/>
    <w:rsid w:val="004B374D"/>
    <w:rsid w:val="004B5888"/>
    <w:rsid w:val="004C06FA"/>
    <w:rsid w:val="004D02A8"/>
    <w:rsid w:val="004D0491"/>
    <w:rsid w:val="004D04F3"/>
    <w:rsid w:val="004E584A"/>
    <w:rsid w:val="004E6159"/>
    <w:rsid w:val="004F43B9"/>
    <w:rsid w:val="004F476B"/>
    <w:rsid w:val="00500F69"/>
    <w:rsid w:val="005028FC"/>
    <w:rsid w:val="00503DD2"/>
    <w:rsid w:val="005045F1"/>
    <w:rsid w:val="00506008"/>
    <w:rsid w:val="0051639A"/>
    <w:rsid w:val="00516588"/>
    <w:rsid w:val="00517614"/>
    <w:rsid w:val="0051789C"/>
    <w:rsid w:val="00521BAD"/>
    <w:rsid w:val="00524EC9"/>
    <w:rsid w:val="0052620D"/>
    <w:rsid w:val="00526873"/>
    <w:rsid w:val="0053407D"/>
    <w:rsid w:val="0053661C"/>
    <w:rsid w:val="005370DF"/>
    <w:rsid w:val="00540DB1"/>
    <w:rsid w:val="00543730"/>
    <w:rsid w:val="0054405A"/>
    <w:rsid w:val="00544A44"/>
    <w:rsid w:val="00544FC5"/>
    <w:rsid w:val="005455BD"/>
    <w:rsid w:val="00546D03"/>
    <w:rsid w:val="00550D81"/>
    <w:rsid w:val="005526CB"/>
    <w:rsid w:val="00553DC2"/>
    <w:rsid w:val="00554DE0"/>
    <w:rsid w:val="005576B6"/>
    <w:rsid w:val="0056177E"/>
    <w:rsid w:val="0056322E"/>
    <w:rsid w:val="0056367A"/>
    <w:rsid w:val="00564A9A"/>
    <w:rsid w:val="00566ECC"/>
    <w:rsid w:val="00570A6A"/>
    <w:rsid w:val="0057107E"/>
    <w:rsid w:val="00573DCF"/>
    <w:rsid w:val="005811C0"/>
    <w:rsid w:val="00581C4A"/>
    <w:rsid w:val="00583AF9"/>
    <w:rsid w:val="0058544C"/>
    <w:rsid w:val="00586BF9"/>
    <w:rsid w:val="00587CE5"/>
    <w:rsid w:val="00593830"/>
    <w:rsid w:val="005951EA"/>
    <w:rsid w:val="0059735D"/>
    <w:rsid w:val="005A2877"/>
    <w:rsid w:val="005A29A6"/>
    <w:rsid w:val="005A4827"/>
    <w:rsid w:val="005B179C"/>
    <w:rsid w:val="005B5944"/>
    <w:rsid w:val="005B7862"/>
    <w:rsid w:val="005C76DB"/>
    <w:rsid w:val="005D2B65"/>
    <w:rsid w:val="005E1F84"/>
    <w:rsid w:val="005E4868"/>
    <w:rsid w:val="005E5535"/>
    <w:rsid w:val="005E63BA"/>
    <w:rsid w:val="005E744B"/>
    <w:rsid w:val="005F130C"/>
    <w:rsid w:val="005F493A"/>
    <w:rsid w:val="00600ED6"/>
    <w:rsid w:val="00602BCE"/>
    <w:rsid w:val="00604329"/>
    <w:rsid w:val="00604DF9"/>
    <w:rsid w:val="00607B11"/>
    <w:rsid w:val="00611AD7"/>
    <w:rsid w:val="0062008E"/>
    <w:rsid w:val="00620119"/>
    <w:rsid w:val="0062155F"/>
    <w:rsid w:val="00622B5C"/>
    <w:rsid w:val="00624E31"/>
    <w:rsid w:val="00631DC8"/>
    <w:rsid w:val="006376B2"/>
    <w:rsid w:val="00641871"/>
    <w:rsid w:val="00644211"/>
    <w:rsid w:val="006444EB"/>
    <w:rsid w:val="00644B63"/>
    <w:rsid w:val="00645D6D"/>
    <w:rsid w:val="006466C8"/>
    <w:rsid w:val="00650B63"/>
    <w:rsid w:val="00652CAD"/>
    <w:rsid w:val="00655B1B"/>
    <w:rsid w:val="00661EDC"/>
    <w:rsid w:val="00665D2E"/>
    <w:rsid w:val="00665E0B"/>
    <w:rsid w:val="006664DE"/>
    <w:rsid w:val="00671375"/>
    <w:rsid w:val="006746CD"/>
    <w:rsid w:val="00675F9F"/>
    <w:rsid w:val="0068303F"/>
    <w:rsid w:val="00683552"/>
    <w:rsid w:val="00685C10"/>
    <w:rsid w:val="006875B2"/>
    <w:rsid w:val="00690E10"/>
    <w:rsid w:val="00691330"/>
    <w:rsid w:val="00694A35"/>
    <w:rsid w:val="0069680D"/>
    <w:rsid w:val="006A08F5"/>
    <w:rsid w:val="006A2BCD"/>
    <w:rsid w:val="006A4E1F"/>
    <w:rsid w:val="006A52D1"/>
    <w:rsid w:val="006A554A"/>
    <w:rsid w:val="006A5F05"/>
    <w:rsid w:val="006A6A4D"/>
    <w:rsid w:val="006B0B79"/>
    <w:rsid w:val="006B14AF"/>
    <w:rsid w:val="006B3246"/>
    <w:rsid w:val="006B6CBD"/>
    <w:rsid w:val="006C2318"/>
    <w:rsid w:val="006C4E20"/>
    <w:rsid w:val="006D0F93"/>
    <w:rsid w:val="006D2D85"/>
    <w:rsid w:val="006D58BC"/>
    <w:rsid w:val="006D7FCE"/>
    <w:rsid w:val="006E1CDD"/>
    <w:rsid w:val="006E4567"/>
    <w:rsid w:val="006F0DAA"/>
    <w:rsid w:val="006F121B"/>
    <w:rsid w:val="006F284A"/>
    <w:rsid w:val="006F63A6"/>
    <w:rsid w:val="006F78E0"/>
    <w:rsid w:val="0070118A"/>
    <w:rsid w:val="0070411E"/>
    <w:rsid w:val="00704248"/>
    <w:rsid w:val="007047BE"/>
    <w:rsid w:val="00706ABB"/>
    <w:rsid w:val="0071139A"/>
    <w:rsid w:val="00712168"/>
    <w:rsid w:val="00712265"/>
    <w:rsid w:val="007135FD"/>
    <w:rsid w:val="00714B2B"/>
    <w:rsid w:val="00722360"/>
    <w:rsid w:val="00722B58"/>
    <w:rsid w:val="00726858"/>
    <w:rsid w:val="00734D9E"/>
    <w:rsid w:val="0073600F"/>
    <w:rsid w:val="00737CDE"/>
    <w:rsid w:val="00741280"/>
    <w:rsid w:val="00743868"/>
    <w:rsid w:val="00746228"/>
    <w:rsid w:val="00747BFD"/>
    <w:rsid w:val="0075289E"/>
    <w:rsid w:val="00752C22"/>
    <w:rsid w:val="00753471"/>
    <w:rsid w:val="00754486"/>
    <w:rsid w:val="007553D0"/>
    <w:rsid w:val="007618C7"/>
    <w:rsid w:val="00765873"/>
    <w:rsid w:val="00767D37"/>
    <w:rsid w:val="00770EA8"/>
    <w:rsid w:val="00775219"/>
    <w:rsid w:val="007752E9"/>
    <w:rsid w:val="007779E7"/>
    <w:rsid w:val="00780A5E"/>
    <w:rsid w:val="007855B9"/>
    <w:rsid w:val="00787B01"/>
    <w:rsid w:val="007908AE"/>
    <w:rsid w:val="00790AC0"/>
    <w:rsid w:val="0079504B"/>
    <w:rsid w:val="007A165C"/>
    <w:rsid w:val="007A193D"/>
    <w:rsid w:val="007A1D87"/>
    <w:rsid w:val="007A2085"/>
    <w:rsid w:val="007A31FE"/>
    <w:rsid w:val="007A33BD"/>
    <w:rsid w:val="007A43EB"/>
    <w:rsid w:val="007B094D"/>
    <w:rsid w:val="007B29C8"/>
    <w:rsid w:val="007B4A45"/>
    <w:rsid w:val="007B5BB3"/>
    <w:rsid w:val="007B7D4A"/>
    <w:rsid w:val="007C1B98"/>
    <w:rsid w:val="007C1D17"/>
    <w:rsid w:val="007C288D"/>
    <w:rsid w:val="007D168F"/>
    <w:rsid w:val="007D2A9E"/>
    <w:rsid w:val="007D356A"/>
    <w:rsid w:val="007D359F"/>
    <w:rsid w:val="007D5B1A"/>
    <w:rsid w:val="007D758F"/>
    <w:rsid w:val="007E0010"/>
    <w:rsid w:val="007E2CD4"/>
    <w:rsid w:val="007E2DF6"/>
    <w:rsid w:val="007E7960"/>
    <w:rsid w:val="008012E3"/>
    <w:rsid w:val="00803A25"/>
    <w:rsid w:val="00805777"/>
    <w:rsid w:val="00806D12"/>
    <w:rsid w:val="00811B5F"/>
    <w:rsid w:val="00811CF3"/>
    <w:rsid w:val="00815C26"/>
    <w:rsid w:val="0081602C"/>
    <w:rsid w:val="00821038"/>
    <w:rsid w:val="008241AA"/>
    <w:rsid w:val="00826B5B"/>
    <w:rsid w:val="00836573"/>
    <w:rsid w:val="0084205E"/>
    <w:rsid w:val="00847684"/>
    <w:rsid w:val="00850CD4"/>
    <w:rsid w:val="00853765"/>
    <w:rsid w:val="00854632"/>
    <w:rsid w:val="00857291"/>
    <w:rsid w:val="00857328"/>
    <w:rsid w:val="00857624"/>
    <w:rsid w:val="00860F19"/>
    <w:rsid w:val="00861492"/>
    <w:rsid w:val="0087217B"/>
    <w:rsid w:val="00873B5F"/>
    <w:rsid w:val="008752E4"/>
    <w:rsid w:val="008757C7"/>
    <w:rsid w:val="0087711D"/>
    <w:rsid w:val="00877B60"/>
    <w:rsid w:val="00882F3D"/>
    <w:rsid w:val="00895E49"/>
    <w:rsid w:val="008960E9"/>
    <w:rsid w:val="00897454"/>
    <w:rsid w:val="008A384E"/>
    <w:rsid w:val="008A5555"/>
    <w:rsid w:val="008B0654"/>
    <w:rsid w:val="008D0AAB"/>
    <w:rsid w:val="008D45BD"/>
    <w:rsid w:val="008D55FD"/>
    <w:rsid w:val="008D78A4"/>
    <w:rsid w:val="008E03D1"/>
    <w:rsid w:val="008E043D"/>
    <w:rsid w:val="008E5615"/>
    <w:rsid w:val="008E59A2"/>
    <w:rsid w:val="008F28B7"/>
    <w:rsid w:val="008F52C4"/>
    <w:rsid w:val="008F5302"/>
    <w:rsid w:val="008F61BF"/>
    <w:rsid w:val="008F71B4"/>
    <w:rsid w:val="0090169D"/>
    <w:rsid w:val="00901A70"/>
    <w:rsid w:val="009047DD"/>
    <w:rsid w:val="009061CB"/>
    <w:rsid w:val="00907CC6"/>
    <w:rsid w:val="00907D2E"/>
    <w:rsid w:val="00912F67"/>
    <w:rsid w:val="0091358F"/>
    <w:rsid w:val="00913B43"/>
    <w:rsid w:val="00915D97"/>
    <w:rsid w:val="00922130"/>
    <w:rsid w:val="00923796"/>
    <w:rsid w:val="00932193"/>
    <w:rsid w:val="00936E09"/>
    <w:rsid w:val="00946342"/>
    <w:rsid w:val="009529CB"/>
    <w:rsid w:val="00955251"/>
    <w:rsid w:val="0095551E"/>
    <w:rsid w:val="0095561D"/>
    <w:rsid w:val="00956DE1"/>
    <w:rsid w:val="009600FA"/>
    <w:rsid w:val="00960638"/>
    <w:rsid w:val="00961496"/>
    <w:rsid w:val="00964EB6"/>
    <w:rsid w:val="00965E34"/>
    <w:rsid w:val="00971CB1"/>
    <w:rsid w:val="00974363"/>
    <w:rsid w:val="00975F8A"/>
    <w:rsid w:val="009809E8"/>
    <w:rsid w:val="0098674F"/>
    <w:rsid w:val="00987CCA"/>
    <w:rsid w:val="00993314"/>
    <w:rsid w:val="009956D3"/>
    <w:rsid w:val="00996761"/>
    <w:rsid w:val="009A13FA"/>
    <w:rsid w:val="009A1C96"/>
    <w:rsid w:val="009A2F95"/>
    <w:rsid w:val="009A379C"/>
    <w:rsid w:val="009A5877"/>
    <w:rsid w:val="009A5AD9"/>
    <w:rsid w:val="009A7603"/>
    <w:rsid w:val="009A7F38"/>
    <w:rsid w:val="009B2D0A"/>
    <w:rsid w:val="009B67F2"/>
    <w:rsid w:val="009C2A57"/>
    <w:rsid w:val="009C3087"/>
    <w:rsid w:val="009C35A8"/>
    <w:rsid w:val="009C5108"/>
    <w:rsid w:val="009C6DCE"/>
    <w:rsid w:val="009D1502"/>
    <w:rsid w:val="009D2376"/>
    <w:rsid w:val="009D287F"/>
    <w:rsid w:val="009D3327"/>
    <w:rsid w:val="009D6E6A"/>
    <w:rsid w:val="009D6FC9"/>
    <w:rsid w:val="009D79F9"/>
    <w:rsid w:val="009E06BF"/>
    <w:rsid w:val="009E4197"/>
    <w:rsid w:val="009E505D"/>
    <w:rsid w:val="009E787E"/>
    <w:rsid w:val="009E7F2F"/>
    <w:rsid w:val="00A01CAE"/>
    <w:rsid w:val="00A106EB"/>
    <w:rsid w:val="00A137E4"/>
    <w:rsid w:val="00A14857"/>
    <w:rsid w:val="00A14F15"/>
    <w:rsid w:val="00A169AE"/>
    <w:rsid w:val="00A213CF"/>
    <w:rsid w:val="00A21749"/>
    <w:rsid w:val="00A232B8"/>
    <w:rsid w:val="00A246D2"/>
    <w:rsid w:val="00A276AE"/>
    <w:rsid w:val="00A32BC1"/>
    <w:rsid w:val="00A34AFF"/>
    <w:rsid w:val="00A362AB"/>
    <w:rsid w:val="00A40E4D"/>
    <w:rsid w:val="00A42593"/>
    <w:rsid w:val="00A42985"/>
    <w:rsid w:val="00A46AC8"/>
    <w:rsid w:val="00A46E70"/>
    <w:rsid w:val="00A472AE"/>
    <w:rsid w:val="00A474D6"/>
    <w:rsid w:val="00A47726"/>
    <w:rsid w:val="00A51C8E"/>
    <w:rsid w:val="00A53AAF"/>
    <w:rsid w:val="00A54CEA"/>
    <w:rsid w:val="00A5581F"/>
    <w:rsid w:val="00A57C73"/>
    <w:rsid w:val="00A57D3E"/>
    <w:rsid w:val="00A6122B"/>
    <w:rsid w:val="00A65526"/>
    <w:rsid w:val="00A657C4"/>
    <w:rsid w:val="00A70166"/>
    <w:rsid w:val="00A726DD"/>
    <w:rsid w:val="00A74A55"/>
    <w:rsid w:val="00A773A9"/>
    <w:rsid w:val="00A837A1"/>
    <w:rsid w:val="00A84FD3"/>
    <w:rsid w:val="00A86BE8"/>
    <w:rsid w:val="00A911EB"/>
    <w:rsid w:val="00A92D54"/>
    <w:rsid w:val="00A92DDF"/>
    <w:rsid w:val="00AA3656"/>
    <w:rsid w:val="00AA6B98"/>
    <w:rsid w:val="00AA71EB"/>
    <w:rsid w:val="00AA7F35"/>
    <w:rsid w:val="00AB1176"/>
    <w:rsid w:val="00AB2F18"/>
    <w:rsid w:val="00AB3276"/>
    <w:rsid w:val="00AC026B"/>
    <w:rsid w:val="00AC209F"/>
    <w:rsid w:val="00AC5619"/>
    <w:rsid w:val="00AD5449"/>
    <w:rsid w:val="00AE0786"/>
    <w:rsid w:val="00AE1DF3"/>
    <w:rsid w:val="00AF095C"/>
    <w:rsid w:val="00AF703A"/>
    <w:rsid w:val="00AF7EB0"/>
    <w:rsid w:val="00B0067F"/>
    <w:rsid w:val="00B00C79"/>
    <w:rsid w:val="00B01FD2"/>
    <w:rsid w:val="00B020F5"/>
    <w:rsid w:val="00B03D0B"/>
    <w:rsid w:val="00B10323"/>
    <w:rsid w:val="00B160C4"/>
    <w:rsid w:val="00B160EA"/>
    <w:rsid w:val="00B17C84"/>
    <w:rsid w:val="00B229BB"/>
    <w:rsid w:val="00B22F75"/>
    <w:rsid w:val="00B232E0"/>
    <w:rsid w:val="00B23BB9"/>
    <w:rsid w:val="00B31DF4"/>
    <w:rsid w:val="00B324C9"/>
    <w:rsid w:val="00B33355"/>
    <w:rsid w:val="00B33CEB"/>
    <w:rsid w:val="00B42D27"/>
    <w:rsid w:val="00B42F62"/>
    <w:rsid w:val="00B43FF5"/>
    <w:rsid w:val="00B4656B"/>
    <w:rsid w:val="00B54BB1"/>
    <w:rsid w:val="00B565DB"/>
    <w:rsid w:val="00B615B6"/>
    <w:rsid w:val="00B712F1"/>
    <w:rsid w:val="00B75759"/>
    <w:rsid w:val="00B77D3D"/>
    <w:rsid w:val="00B8028C"/>
    <w:rsid w:val="00B80B4B"/>
    <w:rsid w:val="00B80D78"/>
    <w:rsid w:val="00B8464E"/>
    <w:rsid w:val="00B8467D"/>
    <w:rsid w:val="00B85E73"/>
    <w:rsid w:val="00B86A1E"/>
    <w:rsid w:val="00B90129"/>
    <w:rsid w:val="00B90E6D"/>
    <w:rsid w:val="00B911CD"/>
    <w:rsid w:val="00BA0C54"/>
    <w:rsid w:val="00BA71DE"/>
    <w:rsid w:val="00BA7317"/>
    <w:rsid w:val="00BB1DD9"/>
    <w:rsid w:val="00BB4432"/>
    <w:rsid w:val="00BC206D"/>
    <w:rsid w:val="00BC5CBE"/>
    <w:rsid w:val="00BC63F5"/>
    <w:rsid w:val="00BD412C"/>
    <w:rsid w:val="00BD4448"/>
    <w:rsid w:val="00BD5A0E"/>
    <w:rsid w:val="00BE29D5"/>
    <w:rsid w:val="00BE3117"/>
    <w:rsid w:val="00BE32F6"/>
    <w:rsid w:val="00BE46D4"/>
    <w:rsid w:val="00BE61CA"/>
    <w:rsid w:val="00BE7515"/>
    <w:rsid w:val="00BE7D9E"/>
    <w:rsid w:val="00BF2E66"/>
    <w:rsid w:val="00BF4813"/>
    <w:rsid w:val="00BF591D"/>
    <w:rsid w:val="00BF6A36"/>
    <w:rsid w:val="00BF7606"/>
    <w:rsid w:val="00C04490"/>
    <w:rsid w:val="00C0549C"/>
    <w:rsid w:val="00C06756"/>
    <w:rsid w:val="00C06DEE"/>
    <w:rsid w:val="00C12405"/>
    <w:rsid w:val="00C14176"/>
    <w:rsid w:val="00C2172B"/>
    <w:rsid w:val="00C23DA0"/>
    <w:rsid w:val="00C267DA"/>
    <w:rsid w:val="00C32E54"/>
    <w:rsid w:val="00C3396D"/>
    <w:rsid w:val="00C342BE"/>
    <w:rsid w:val="00C35B49"/>
    <w:rsid w:val="00C401CE"/>
    <w:rsid w:val="00C45A05"/>
    <w:rsid w:val="00C470F9"/>
    <w:rsid w:val="00C5096C"/>
    <w:rsid w:val="00C52994"/>
    <w:rsid w:val="00C55696"/>
    <w:rsid w:val="00C55E9B"/>
    <w:rsid w:val="00C618C3"/>
    <w:rsid w:val="00C61C40"/>
    <w:rsid w:val="00C657F8"/>
    <w:rsid w:val="00C66182"/>
    <w:rsid w:val="00C714DA"/>
    <w:rsid w:val="00C74D40"/>
    <w:rsid w:val="00C758E1"/>
    <w:rsid w:val="00C7791E"/>
    <w:rsid w:val="00C804F7"/>
    <w:rsid w:val="00C8265F"/>
    <w:rsid w:val="00C826DB"/>
    <w:rsid w:val="00C858AA"/>
    <w:rsid w:val="00C860DB"/>
    <w:rsid w:val="00C90D2F"/>
    <w:rsid w:val="00C92149"/>
    <w:rsid w:val="00C96983"/>
    <w:rsid w:val="00CA0932"/>
    <w:rsid w:val="00CA143A"/>
    <w:rsid w:val="00CA1512"/>
    <w:rsid w:val="00CA4308"/>
    <w:rsid w:val="00CA487F"/>
    <w:rsid w:val="00CA4A46"/>
    <w:rsid w:val="00CA4D2C"/>
    <w:rsid w:val="00CA4D97"/>
    <w:rsid w:val="00CB09B3"/>
    <w:rsid w:val="00CC3D65"/>
    <w:rsid w:val="00CC4743"/>
    <w:rsid w:val="00CC7CD8"/>
    <w:rsid w:val="00CC7D06"/>
    <w:rsid w:val="00CD00CB"/>
    <w:rsid w:val="00CD2F35"/>
    <w:rsid w:val="00CD3CBA"/>
    <w:rsid w:val="00CD43A9"/>
    <w:rsid w:val="00CE0D73"/>
    <w:rsid w:val="00CE14D2"/>
    <w:rsid w:val="00CE6579"/>
    <w:rsid w:val="00CF1E9E"/>
    <w:rsid w:val="00CF264E"/>
    <w:rsid w:val="00CF61EA"/>
    <w:rsid w:val="00CF6640"/>
    <w:rsid w:val="00D0051B"/>
    <w:rsid w:val="00D03CAD"/>
    <w:rsid w:val="00D040F4"/>
    <w:rsid w:val="00D069E2"/>
    <w:rsid w:val="00D13F99"/>
    <w:rsid w:val="00D14F4D"/>
    <w:rsid w:val="00D168A9"/>
    <w:rsid w:val="00D2196A"/>
    <w:rsid w:val="00D2268D"/>
    <w:rsid w:val="00D22995"/>
    <w:rsid w:val="00D24017"/>
    <w:rsid w:val="00D27D73"/>
    <w:rsid w:val="00D30360"/>
    <w:rsid w:val="00D3581C"/>
    <w:rsid w:val="00D41FEF"/>
    <w:rsid w:val="00D42F7F"/>
    <w:rsid w:val="00D54E13"/>
    <w:rsid w:val="00D54EA6"/>
    <w:rsid w:val="00D56667"/>
    <w:rsid w:val="00D60DA2"/>
    <w:rsid w:val="00D721A8"/>
    <w:rsid w:val="00D74288"/>
    <w:rsid w:val="00D76C91"/>
    <w:rsid w:val="00D80062"/>
    <w:rsid w:val="00D82466"/>
    <w:rsid w:val="00D90273"/>
    <w:rsid w:val="00D93722"/>
    <w:rsid w:val="00D94F89"/>
    <w:rsid w:val="00D955D1"/>
    <w:rsid w:val="00DA1991"/>
    <w:rsid w:val="00DA2397"/>
    <w:rsid w:val="00DA4196"/>
    <w:rsid w:val="00DB2322"/>
    <w:rsid w:val="00DB362A"/>
    <w:rsid w:val="00DC1956"/>
    <w:rsid w:val="00DC29FA"/>
    <w:rsid w:val="00DD4ED3"/>
    <w:rsid w:val="00DD55DE"/>
    <w:rsid w:val="00DE036F"/>
    <w:rsid w:val="00DE2CD4"/>
    <w:rsid w:val="00DE3093"/>
    <w:rsid w:val="00DE5549"/>
    <w:rsid w:val="00DE6A23"/>
    <w:rsid w:val="00DE7897"/>
    <w:rsid w:val="00DF253C"/>
    <w:rsid w:val="00DF2791"/>
    <w:rsid w:val="00DF4528"/>
    <w:rsid w:val="00DF5B86"/>
    <w:rsid w:val="00DF62C7"/>
    <w:rsid w:val="00E043CF"/>
    <w:rsid w:val="00E0504C"/>
    <w:rsid w:val="00E062D2"/>
    <w:rsid w:val="00E12EEC"/>
    <w:rsid w:val="00E13FEC"/>
    <w:rsid w:val="00E15A3C"/>
    <w:rsid w:val="00E30639"/>
    <w:rsid w:val="00E30867"/>
    <w:rsid w:val="00E31F3F"/>
    <w:rsid w:val="00E44249"/>
    <w:rsid w:val="00E44BE4"/>
    <w:rsid w:val="00E45766"/>
    <w:rsid w:val="00E52226"/>
    <w:rsid w:val="00E52AF9"/>
    <w:rsid w:val="00E57D07"/>
    <w:rsid w:val="00E65A1F"/>
    <w:rsid w:val="00E65FAD"/>
    <w:rsid w:val="00E704B6"/>
    <w:rsid w:val="00E72985"/>
    <w:rsid w:val="00E74ED5"/>
    <w:rsid w:val="00E76396"/>
    <w:rsid w:val="00E8093A"/>
    <w:rsid w:val="00E81223"/>
    <w:rsid w:val="00E829F1"/>
    <w:rsid w:val="00E82EDF"/>
    <w:rsid w:val="00E85102"/>
    <w:rsid w:val="00E871BD"/>
    <w:rsid w:val="00E91176"/>
    <w:rsid w:val="00E923EC"/>
    <w:rsid w:val="00E925C4"/>
    <w:rsid w:val="00E950B7"/>
    <w:rsid w:val="00E97077"/>
    <w:rsid w:val="00E978BD"/>
    <w:rsid w:val="00EB083D"/>
    <w:rsid w:val="00EB4355"/>
    <w:rsid w:val="00EB456F"/>
    <w:rsid w:val="00ED0580"/>
    <w:rsid w:val="00ED0D4A"/>
    <w:rsid w:val="00ED1F78"/>
    <w:rsid w:val="00ED499F"/>
    <w:rsid w:val="00ED5060"/>
    <w:rsid w:val="00ED58A7"/>
    <w:rsid w:val="00EF236C"/>
    <w:rsid w:val="00EF2386"/>
    <w:rsid w:val="00F003CE"/>
    <w:rsid w:val="00F00D6A"/>
    <w:rsid w:val="00F02259"/>
    <w:rsid w:val="00F0490F"/>
    <w:rsid w:val="00F06D6D"/>
    <w:rsid w:val="00F10C2D"/>
    <w:rsid w:val="00F144BB"/>
    <w:rsid w:val="00F1592A"/>
    <w:rsid w:val="00F2159D"/>
    <w:rsid w:val="00F227B0"/>
    <w:rsid w:val="00F262E8"/>
    <w:rsid w:val="00F27980"/>
    <w:rsid w:val="00F351BA"/>
    <w:rsid w:val="00F42A07"/>
    <w:rsid w:val="00F43FC3"/>
    <w:rsid w:val="00F52DBE"/>
    <w:rsid w:val="00F54A8E"/>
    <w:rsid w:val="00F54B78"/>
    <w:rsid w:val="00F6314A"/>
    <w:rsid w:val="00F631B6"/>
    <w:rsid w:val="00F63D17"/>
    <w:rsid w:val="00F72CAB"/>
    <w:rsid w:val="00F81BB0"/>
    <w:rsid w:val="00F92184"/>
    <w:rsid w:val="00F92FFB"/>
    <w:rsid w:val="00F93997"/>
    <w:rsid w:val="00F95E8F"/>
    <w:rsid w:val="00F96F27"/>
    <w:rsid w:val="00FA0D22"/>
    <w:rsid w:val="00FA1D7F"/>
    <w:rsid w:val="00FA35BB"/>
    <w:rsid w:val="00FA3FDB"/>
    <w:rsid w:val="00FA4083"/>
    <w:rsid w:val="00FA4D1F"/>
    <w:rsid w:val="00FA5CF5"/>
    <w:rsid w:val="00FB06F3"/>
    <w:rsid w:val="00FB0C6C"/>
    <w:rsid w:val="00FB6835"/>
    <w:rsid w:val="00FB7BC8"/>
    <w:rsid w:val="00FC17A0"/>
    <w:rsid w:val="00FC5333"/>
    <w:rsid w:val="00FC7C16"/>
    <w:rsid w:val="00FD1D25"/>
    <w:rsid w:val="00FD2B14"/>
    <w:rsid w:val="00FD339C"/>
    <w:rsid w:val="00FD42A8"/>
    <w:rsid w:val="00FD638F"/>
    <w:rsid w:val="00FD7322"/>
    <w:rsid w:val="00FE1B1D"/>
    <w:rsid w:val="00FF0A87"/>
    <w:rsid w:val="00FF2495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F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A57"/>
    <w:pPr>
      <w:keepNext/>
      <w:jc w:val="center"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10FB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D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0FB"/>
    <w:rPr>
      <w:rFonts w:cs="Times New Roman"/>
      <w:sz w:val="2"/>
    </w:rPr>
  </w:style>
  <w:style w:type="paragraph" w:customStyle="1" w:styleId="naiskr">
    <w:name w:val="naiskr"/>
    <w:basedOn w:val="Normal"/>
    <w:uiPriority w:val="99"/>
    <w:rsid w:val="00A911E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A911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1D7B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10F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D7BA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D7B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0F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7B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10F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1321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90273"/>
    <w:rPr>
      <w:rFonts w:cs="Times New Roman"/>
    </w:rPr>
  </w:style>
  <w:style w:type="paragraph" w:customStyle="1" w:styleId="naisf">
    <w:name w:val="naisf"/>
    <w:basedOn w:val="Normal"/>
    <w:uiPriority w:val="99"/>
    <w:rsid w:val="009C2A57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rsid w:val="009C2A5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9C2A57"/>
    <w:pPr>
      <w:spacing w:before="450" w:after="300"/>
      <w:jc w:val="center"/>
    </w:pPr>
    <w:rPr>
      <w:sz w:val="26"/>
      <w:szCs w:val="26"/>
    </w:rPr>
  </w:style>
  <w:style w:type="paragraph" w:customStyle="1" w:styleId="NormalWeb8">
    <w:name w:val="Normal (Web)8"/>
    <w:basedOn w:val="Normal"/>
    <w:uiPriority w:val="99"/>
    <w:rsid w:val="00CA4D2C"/>
    <w:pPr>
      <w:spacing w:before="75" w:after="75"/>
      <w:ind w:left="225" w:right="225"/>
    </w:pPr>
    <w:rPr>
      <w:sz w:val="22"/>
      <w:szCs w:val="22"/>
    </w:rPr>
  </w:style>
  <w:style w:type="paragraph" w:customStyle="1" w:styleId="naislab">
    <w:name w:val="naislab"/>
    <w:basedOn w:val="Normal"/>
    <w:uiPriority w:val="99"/>
    <w:rsid w:val="00CA4D2C"/>
    <w:pPr>
      <w:spacing w:before="75" w:after="75"/>
      <w:jc w:val="right"/>
    </w:pPr>
  </w:style>
  <w:style w:type="character" w:styleId="CommentReference">
    <w:name w:val="annotation reference"/>
    <w:basedOn w:val="DefaultParagraphFont"/>
    <w:uiPriority w:val="99"/>
    <w:semiHidden/>
    <w:rsid w:val="001230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3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10F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3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10F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A4D97"/>
    <w:pPr>
      <w:ind w:left="720"/>
      <w:contextualSpacing/>
    </w:pPr>
    <w:rPr>
      <w:sz w:val="28"/>
      <w:szCs w:val="20"/>
    </w:rPr>
  </w:style>
  <w:style w:type="character" w:customStyle="1" w:styleId="c1">
    <w:name w:val="c1"/>
    <w:basedOn w:val="DefaultParagraphFont"/>
    <w:uiPriority w:val="99"/>
    <w:rsid w:val="0071139A"/>
    <w:rPr>
      <w:rFonts w:ascii="Calibri" w:hAnsi="Calibri" w:cs="Times New Roman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437"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2969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5578</Words>
  <Characters>3181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nekustamo īpašumu pirkšanu valsts autoceļa P121 Tukums–Kuldīga rekonstrukcijas projekta īstenošanai</vt:lpstr>
    </vt:vector>
  </TitlesOfParts>
  <Company>Satiksmes ministrja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pirkšanu valsts autoceļa P121 Tukums–Kuldīga rekonstrukcijas projekta īstenošanai</dc:title>
  <dc:subject>Anotācija</dc:subject>
  <dc:creator>Varis Putāns;Agnese.Breice@sam.gov.lv;Satiksmes ministrijas Juridiskā departamenta Nekustamo īpašumu nodaļas vecākā referente;tālr. 67028037</dc:creator>
  <cp:keywords>Anotācija</cp:keywords>
  <dc:description>varis.putans@lvceli.lv, 67028149</dc:description>
  <cp:lastModifiedBy>Agnese Breice</cp:lastModifiedBy>
  <cp:revision>19</cp:revision>
  <cp:lastPrinted>2013-02-26T05:59:00Z</cp:lastPrinted>
  <dcterms:created xsi:type="dcterms:W3CDTF">2014-10-14T06:01:00Z</dcterms:created>
  <dcterms:modified xsi:type="dcterms:W3CDTF">2015-01-05T16:46:00Z</dcterms:modified>
</cp:coreProperties>
</file>