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96" w:rsidRDefault="00BA6896" w:rsidP="001B46BB">
      <w:pPr>
        <w:jc w:val="center"/>
        <w:rPr>
          <w:b/>
          <w:sz w:val="24"/>
          <w:szCs w:val="24"/>
        </w:rPr>
      </w:pPr>
      <w:bookmarkStart w:id="0" w:name="_GoBack"/>
      <w:bookmarkEnd w:id="0"/>
    </w:p>
    <w:p w:rsidR="005E07E7" w:rsidRDefault="005E07E7" w:rsidP="001B46BB">
      <w:pPr>
        <w:jc w:val="center"/>
        <w:rPr>
          <w:b/>
          <w:sz w:val="24"/>
          <w:szCs w:val="24"/>
        </w:rPr>
      </w:pPr>
      <w:r w:rsidRPr="005E07E7">
        <w:rPr>
          <w:b/>
          <w:sz w:val="24"/>
          <w:szCs w:val="24"/>
        </w:rPr>
        <w:t xml:space="preserve">Ministru kabineta noteikumu projekta </w:t>
      </w:r>
      <w:r w:rsidR="00112B76">
        <w:rPr>
          <w:b/>
          <w:sz w:val="24"/>
          <w:szCs w:val="24"/>
        </w:rPr>
        <w:t>“</w:t>
      </w:r>
      <w:r w:rsidR="00112B76" w:rsidRPr="00112B76">
        <w:rPr>
          <w:b/>
          <w:sz w:val="24"/>
          <w:szCs w:val="24"/>
        </w:rPr>
        <w:t>Grozījumi Ministru kabineta 2013.gada 24.septembra noteikumos Nr.1000 "Valsts akciju sabiedrības "Ceļu satiksmes drošības direkcija" publisko maksas pakalpojumu cenrādis"</w:t>
      </w:r>
      <w:r w:rsidR="00112B76">
        <w:rPr>
          <w:b/>
          <w:sz w:val="24"/>
          <w:szCs w:val="24"/>
        </w:rPr>
        <w:t xml:space="preserve"> </w:t>
      </w:r>
      <w:r w:rsidRPr="005E07E7">
        <w:rPr>
          <w:b/>
          <w:sz w:val="24"/>
          <w:szCs w:val="24"/>
        </w:rPr>
        <w:t>sākotnējās ietekmes novērtējuma ziņojums (anotācija)</w:t>
      </w:r>
      <w:r w:rsidR="00787478">
        <w:rPr>
          <w:b/>
          <w:sz w:val="24"/>
          <w:szCs w:val="24"/>
        </w:rPr>
        <w:t xml:space="preserve"> </w:t>
      </w:r>
      <w:r w:rsidR="00896DAF">
        <w:rPr>
          <w:b/>
          <w:sz w:val="24"/>
          <w:szCs w:val="24"/>
        </w:rPr>
        <w:t xml:space="preserve"> </w:t>
      </w:r>
    </w:p>
    <w:p w:rsidR="00BA6896" w:rsidRDefault="00BA6896" w:rsidP="001B46BB">
      <w:pPr>
        <w:jc w:val="center"/>
        <w:rPr>
          <w:rFonts w:eastAsia="Times New Roman"/>
          <w:b/>
          <w:sz w:val="24"/>
          <w:szCs w:val="24"/>
          <w:lang w:eastAsia="lv-LV"/>
        </w:rPr>
      </w:pPr>
    </w:p>
    <w:p w:rsidR="00D57AEC" w:rsidRDefault="002C009C" w:rsidP="001B46BB">
      <w:pPr>
        <w:jc w:val="center"/>
        <w:rPr>
          <w:rFonts w:eastAsia="Times New Roman"/>
          <w:b/>
          <w:sz w:val="24"/>
          <w:szCs w:val="24"/>
          <w:lang w:eastAsia="lv-LV"/>
        </w:rPr>
      </w:pPr>
      <w:r>
        <w:rPr>
          <w:rFonts w:eastAsia="Times New Roman"/>
          <w:b/>
          <w:sz w:val="24"/>
          <w:szCs w:val="24"/>
          <w:lang w:eastAsia="lv-LV"/>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84"/>
        <w:gridCol w:w="5185"/>
      </w:tblGrid>
      <w:tr w:rsidR="00532F34" w:rsidRPr="0027189F" w:rsidTr="00C43201">
        <w:trPr>
          <w:trHeight w:val="331"/>
        </w:trPr>
        <w:tc>
          <w:tcPr>
            <w:tcW w:w="8647" w:type="dxa"/>
            <w:gridSpan w:val="3"/>
            <w:shd w:val="clear" w:color="auto" w:fill="auto"/>
          </w:tcPr>
          <w:p w:rsidR="00532F34" w:rsidRPr="00AD4676" w:rsidRDefault="00532F34" w:rsidP="00C43201">
            <w:pPr>
              <w:spacing w:before="100" w:beforeAutospacing="1" w:after="100" w:afterAutospacing="1" w:line="240" w:lineRule="auto"/>
              <w:ind w:firstLine="0"/>
              <w:jc w:val="center"/>
              <w:rPr>
                <w:rFonts w:eastAsia="Times New Roman"/>
                <w:sz w:val="24"/>
                <w:szCs w:val="24"/>
                <w:lang w:eastAsia="lv-LV"/>
              </w:rPr>
            </w:pPr>
            <w:r w:rsidRPr="00AD4676">
              <w:rPr>
                <w:rFonts w:eastAsia="Times New Roman"/>
                <w:b/>
                <w:bCs/>
                <w:sz w:val="24"/>
                <w:szCs w:val="24"/>
                <w:lang w:eastAsia="lv-LV"/>
              </w:rPr>
              <w:t>I. Tiesību akta projekta izstrādes nepieciešamība</w:t>
            </w:r>
          </w:p>
        </w:tc>
      </w:tr>
      <w:tr w:rsidR="00532F34" w:rsidRPr="0027189F" w:rsidTr="00C43201">
        <w:trPr>
          <w:trHeight w:val="581"/>
        </w:trPr>
        <w:tc>
          <w:tcPr>
            <w:tcW w:w="478" w:type="dxa"/>
            <w:shd w:val="clear" w:color="auto" w:fill="auto"/>
          </w:tcPr>
          <w:p w:rsidR="00532F34" w:rsidRPr="00AD4676" w:rsidRDefault="00532F34" w:rsidP="00C43201">
            <w:pPr>
              <w:spacing w:before="100" w:beforeAutospacing="1" w:after="100" w:afterAutospacing="1" w:line="240" w:lineRule="auto"/>
              <w:ind w:firstLine="0"/>
              <w:jc w:val="left"/>
              <w:rPr>
                <w:rFonts w:eastAsia="Times New Roman"/>
                <w:sz w:val="24"/>
                <w:szCs w:val="24"/>
                <w:lang w:eastAsia="lv-LV"/>
              </w:rPr>
            </w:pPr>
            <w:r w:rsidRPr="00AD4676">
              <w:rPr>
                <w:rFonts w:eastAsia="Times New Roman"/>
                <w:sz w:val="24"/>
                <w:szCs w:val="24"/>
                <w:lang w:eastAsia="lv-LV"/>
              </w:rPr>
              <w:t> 1.</w:t>
            </w:r>
          </w:p>
        </w:tc>
        <w:tc>
          <w:tcPr>
            <w:tcW w:w="2984" w:type="dxa"/>
            <w:shd w:val="clear" w:color="auto" w:fill="auto"/>
          </w:tcPr>
          <w:p w:rsidR="00532F34" w:rsidRPr="00AD4676" w:rsidRDefault="00532F34" w:rsidP="00C43201">
            <w:pPr>
              <w:spacing w:before="100" w:beforeAutospacing="1" w:after="100" w:afterAutospacing="1" w:line="240" w:lineRule="auto"/>
              <w:ind w:firstLine="0"/>
              <w:jc w:val="left"/>
              <w:rPr>
                <w:rFonts w:eastAsia="Times New Roman"/>
                <w:sz w:val="24"/>
                <w:szCs w:val="24"/>
                <w:lang w:eastAsia="lv-LV"/>
              </w:rPr>
            </w:pPr>
            <w:r w:rsidRPr="00AD4676">
              <w:rPr>
                <w:rFonts w:eastAsia="Times New Roman"/>
                <w:sz w:val="24"/>
                <w:szCs w:val="24"/>
                <w:lang w:eastAsia="lv-LV"/>
              </w:rPr>
              <w:t> Pamatojums</w:t>
            </w:r>
          </w:p>
        </w:tc>
        <w:tc>
          <w:tcPr>
            <w:tcW w:w="5185" w:type="dxa"/>
            <w:shd w:val="clear" w:color="auto" w:fill="auto"/>
          </w:tcPr>
          <w:p w:rsidR="00532F34" w:rsidRPr="00AD4676" w:rsidRDefault="00991B21" w:rsidP="00991B21">
            <w:pPr>
              <w:spacing w:line="240" w:lineRule="auto"/>
              <w:ind w:firstLine="0"/>
              <w:rPr>
                <w:rFonts w:eastAsia="Times New Roman"/>
                <w:sz w:val="24"/>
                <w:szCs w:val="24"/>
                <w:lang w:eastAsia="lv-LV"/>
              </w:rPr>
            </w:pPr>
            <w:r>
              <w:rPr>
                <w:sz w:val="24"/>
                <w:szCs w:val="24"/>
              </w:rPr>
              <w:t xml:space="preserve">Saskaņā ar </w:t>
            </w:r>
            <w:r w:rsidR="00112B76">
              <w:rPr>
                <w:sz w:val="24"/>
                <w:szCs w:val="24"/>
              </w:rPr>
              <w:t>Ceļu satiksmes likuma 4</w:t>
            </w:r>
            <w:r w:rsidR="00532F34" w:rsidRPr="00AD4676">
              <w:rPr>
                <w:rFonts w:eastAsia="Times New Roman"/>
                <w:sz w:val="24"/>
                <w:szCs w:val="24"/>
                <w:lang w:eastAsia="lv-LV"/>
              </w:rPr>
              <w:t xml:space="preserve">.panta </w:t>
            </w:r>
            <w:r w:rsidR="00112B76">
              <w:rPr>
                <w:rFonts w:eastAsia="Times New Roman"/>
                <w:sz w:val="24"/>
                <w:szCs w:val="24"/>
                <w:lang w:eastAsia="lv-LV"/>
              </w:rPr>
              <w:t>piekt</w:t>
            </w:r>
            <w:r>
              <w:rPr>
                <w:rFonts w:eastAsia="Times New Roman"/>
                <w:sz w:val="24"/>
                <w:szCs w:val="24"/>
                <w:lang w:eastAsia="lv-LV"/>
              </w:rPr>
              <w:t xml:space="preserve">o daļu </w:t>
            </w:r>
            <w:r w:rsidRPr="00991B21">
              <w:rPr>
                <w:rFonts w:eastAsia="Times New Roman"/>
                <w:sz w:val="24"/>
                <w:szCs w:val="24"/>
                <w:lang w:eastAsia="lv-LV"/>
              </w:rPr>
              <w:t xml:space="preserve">Ministru kabinets izdod noteikumus par normatīvajos aktos noteikto Ceļu satiksmes drošības direkcijas </w:t>
            </w:r>
            <w:r>
              <w:rPr>
                <w:rFonts w:eastAsia="Times New Roman"/>
                <w:sz w:val="24"/>
                <w:szCs w:val="24"/>
                <w:lang w:eastAsia="lv-LV"/>
              </w:rPr>
              <w:t xml:space="preserve">(turpmāk tekstā – CSDD) </w:t>
            </w:r>
            <w:r w:rsidRPr="00991B21">
              <w:rPr>
                <w:rFonts w:eastAsia="Times New Roman"/>
                <w:sz w:val="24"/>
                <w:szCs w:val="24"/>
                <w:lang w:eastAsia="lv-LV"/>
              </w:rPr>
              <w:t>pakalpojumu cenrāža apstiprināšanu, kā arī nosaka to personu loku, kuras ir atbrīvojamas no samaksas par minētajiem pakalpojumiem.</w:t>
            </w:r>
          </w:p>
        </w:tc>
      </w:tr>
      <w:tr w:rsidR="00532F34" w:rsidRPr="0027189F" w:rsidTr="00212E72">
        <w:trPr>
          <w:trHeight w:val="969"/>
        </w:trPr>
        <w:tc>
          <w:tcPr>
            <w:tcW w:w="478" w:type="dxa"/>
            <w:shd w:val="clear" w:color="auto" w:fill="auto"/>
          </w:tcPr>
          <w:p w:rsidR="00532F34" w:rsidRPr="00AD4676" w:rsidRDefault="00532F34" w:rsidP="00C43201">
            <w:pPr>
              <w:spacing w:before="100" w:beforeAutospacing="1" w:after="100" w:afterAutospacing="1" w:line="240" w:lineRule="auto"/>
              <w:ind w:firstLine="0"/>
              <w:jc w:val="left"/>
              <w:rPr>
                <w:rFonts w:eastAsia="Times New Roman"/>
                <w:sz w:val="24"/>
                <w:szCs w:val="24"/>
                <w:lang w:eastAsia="lv-LV"/>
              </w:rPr>
            </w:pPr>
            <w:r w:rsidRPr="00AD4676">
              <w:rPr>
                <w:rFonts w:eastAsia="Times New Roman"/>
                <w:sz w:val="24"/>
                <w:szCs w:val="24"/>
                <w:lang w:eastAsia="lv-LV"/>
              </w:rPr>
              <w:t> 2.</w:t>
            </w:r>
          </w:p>
        </w:tc>
        <w:tc>
          <w:tcPr>
            <w:tcW w:w="2984" w:type="dxa"/>
            <w:shd w:val="clear" w:color="auto" w:fill="auto"/>
          </w:tcPr>
          <w:p w:rsidR="00532F34" w:rsidRPr="00AD4676" w:rsidRDefault="00532F34" w:rsidP="00C43201">
            <w:pPr>
              <w:spacing w:before="100" w:beforeAutospacing="1" w:after="100" w:afterAutospacing="1" w:line="240" w:lineRule="auto"/>
              <w:ind w:firstLine="0"/>
              <w:jc w:val="left"/>
              <w:rPr>
                <w:rFonts w:eastAsia="Times New Roman"/>
                <w:sz w:val="24"/>
                <w:szCs w:val="24"/>
                <w:lang w:eastAsia="lv-LV"/>
              </w:rPr>
            </w:pPr>
            <w:r w:rsidRPr="00AD4676">
              <w:rPr>
                <w:rFonts w:eastAsia="Times New Roman"/>
                <w:sz w:val="24"/>
                <w:szCs w:val="24"/>
                <w:lang w:eastAsia="lv-LV"/>
              </w:rPr>
              <w:t> </w:t>
            </w:r>
            <w:r w:rsidRPr="00AD4676">
              <w:rPr>
                <w:sz w:val="24"/>
                <w:szCs w:val="24"/>
              </w:rPr>
              <w:t>Pašreizējā situācija un problēmas, kuru risināšanai tiesību akta projekts izstrādāts, tiesiskā regulējuma mērķis un būtība</w:t>
            </w:r>
          </w:p>
        </w:tc>
        <w:tc>
          <w:tcPr>
            <w:tcW w:w="5185" w:type="dxa"/>
            <w:shd w:val="clear" w:color="auto" w:fill="auto"/>
          </w:tcPr>
          <w:p w:rsidR="0013026B" w:rsidRPr="00BA6896" w:rsidRDefault="0013026B" w:rsidP="00212E72">
            <w:pPr>
              <w:spacing w:line="240" w:lineRule="auto"/>
              <w:ind w:firstLine="0"/>
              <w:rPr>
                <w:sz w:val="24"/>
                <w:szCs w:val="24"/>
              </w:rPr>
            </w:pPr>
            <w:r w:rsidRPr="00BA6896">
              <w:rPr>
                <w:sz w:val="24"/>
                <w:szCs w:val="24"/>
              </w:rPr>
              <w:t>Ar</w:t>
            </w:r>
            <w:r w:rsidR="00212E72" w:rsidRPr="00BA6896">
              <w:rPr>
                <w:sz w:val="24"/>
                <w:szCs w:val="24"/>
              </w:rPr>
              <w:t xml:space="preserve"> noteikumu projektu paredzēts</w:t>
            </w:r>
            <w:r w:rsidRPr="00BA6896">
              <w:rPr>
                <w:sz w:val="24"/>
                <w:szCs w:val="24"/>
              </w:rPr>
              <w:t xml:space="preserve">   </w:t>
            </w:r>
            <w:r w:rsidR="00212E72" w:rsidRPr="00BA6896">
              <w:rPr>
                <w:sz w:val="24"/>
                <w:szCs w:val="24"/>
              </w:rPr>
              <w:t>atbrīvot no maksas personas</w:t>
            </w:r>
            <w:r w:rsidRPr="00BA6896">
              <w:rPr>
                <w:sz w:val="24"/>
                <w:szCs w:val="24"/>
              </w:rPr>
              <w:t xml:space="preserve"> ar invaliditāti pēc apmācības kursa Sociālās integrācijas valsts aģentūrā, kas pirmo reizi kārto teorētisko un vadīšanas eksāmenu transportlīdzekļa va</w:t>
            </w:r>
            <w:r w:rsidR="00212E72" w:rsidRPr="00BA6896">
              <w:rPr>
                <w:sz w:val="24"/>
                <w:szCs w:val="24"/>
              </w:rPr>
              <w:t>dītāja kvalifikācijas iegūšanai.</w:t>
            </w:r>
            <w:r w:rsidRPr="00BA6896">
              <w:rPr>
                <w:sz w:val="24"/>
                <w:szCs w:val="24"/>
              </w:rPr>
              <w:t xml:space="preserve"> </w:t>
            </w:r>
            <w:r w:rsidR="00212E72" w:rsidRPr="00BA6896">
              <w:rPr>
                <w:sz w:val="24"/>
                <w:szCs w:val="24"/>
              </w:rPr>
              <w:t xml:space="preserve">Šāds atbrīvojums </w:t>
            </w:r>
            <w:r w:rsidRPr="00BA6896">
              <w:rPr>
                <w:sz w:val="24"/>
                <w:szCs w:val="24"/>
              </w:rPr>
              <w:t>ir ticis piemērots jau kopš šāda apmācības kursa iev</w:t>
            </w:r>
            <w:r w:rsidR="00212E72" w:rsidRPr="00BA6896">
              <w:rPr>
                <w:sz w:val="24"/>
                <w:szCs w:val="24"/>
              </w:rPr>
              <w:t>iešanas, tādējādi atbrīvojums ir noteikts ar Ministru kabineta noteikumiem</w:t>
            </w:r>
            <w:r w:rsidRPr="00BA6896">
              <w:rPr>
                <w:sz w:val="24"/>
                <w:szCs w:val="24"/>
              </w:rPr>
              <w:t>.</w:t>
            </w:r>
          </w:p>
          <w:p w:rsidR="00532F34" w:rsidRDefault="00112B76" w:rsidP="00112B76">
            <w:pPr>
              <w:pStyle w:val="NoSpacing"/>
              <w:ind w:firstLine="0"/>
              <w:rPr>
                <w:sz w:val="24"/>
                <w:szCs w:val="24"/>
              </w:rPr>
            </w:pPr>
            <w:r>
              <w:rPr>
                <w:sz w:val="24"/>
                <w:szCs w:val="24"/>
              </w:rPr>
              <w:t>A</w:t>
            </w:r>
            <w:r w:rsidRPr="00112B76">
              <w:rPr>
                <w:sz w:val="24"/>
                <w:szCs w:val="24"/>
              </w:rPr>
              <w:t>r Ministru kabineta 2013.gada  20.augusta noteikumiem Nr.596 tika izdarīti grozījumi Ministru kabineta 2008.gada 25.marta noteikumos Nr</w:t>
            </w:r>
            <w:r>
              <w:rPr>
                <w:sz w:val="24"/>
                <w:szCs w:val="24"/>
              </w:rPr>
              <w:t>.</w:t>
            </w:r>
            <w:r w:rsidRPr="00112B76">
              <w:rPr>
                <w:sz w:val="24"/>
                <w:szCs w:val="24"/>
              </w:rPr>
              <w:t>213 „Ceļu satiksmes drošības direkcijā reģistrējamo kuģošanas līdzekļu reģistrācijas kārtība”, kas paredz, ka reģistrējot kuģošanas līdzekli īpašumā vai veicot valsts reģistrācijas numura maiņu, kuģošanas līdzekļa īpašniekam ir iespēja izvēlēties valsts reģistrācijas numuru kuģošanas līdzeklim no attiecīgās CSDD nodaļas rīcībā esošajām numura zīmēm</w:t>
            </w:r>
            <w:r>
              <w:rPr>
                <w:sz w:val="24"/>
                <w:szCs w:val="24"/>
              </w:rPr>
              <w:t>. T</w:t>
            </w:r>
            <w:r w:rsidRPr="00112B76">
              <w:rPr>
                <w:sz w:val="24"/>
                <w:szCs w:val="24"/>
              </w:rPr>
              <w:t xml:space="preserve">ādējādi </w:t>
            </w:r>
            <w:r>
              <w:rPr>
                <w:sz w:val="24"/>
                <w:szCs w:val="24"/>
              </w:rPr>
              <w:t>ir noteikts jauns CSDD pakalpojums</w:t>
            </w:r>
            <w:r w:rsidRPr="00112B76">
              <w:rPr>
                <w:sz w:val="24"/>
                <w:szCs w:val="24"/>
              </w:rPr>
              <w:t>, kura izcenojum</w:t>
            </w:r>
            <w:r>
              <w:rPr>
                <w:sz w:val="24"/>
                <w:szCs w:val="24"/>
              </w:rPr>
              <w:t>s</w:t>
            </w:r>
            <w:r w:rsidRPr="00112B76">
              <w:rPr>
                <w:sz w:val="24"/>
                <w:szCs w:val="24"/>
              </w:rPr>
              <w:t xml:space="preserve"> nosakām</w:t>
            </w:r>
            <w:r>
              <w:rPr>
                <w:sz w:val="24"/>
                <w:szCs w:val="24"/>
              </w:rPr>
              <w:t>s</w:t>
            </w:r>
            <w:r w:rsidRPr="00112B76">
              <w:rPr>
                <w:sz w:val="24"/>
                <w:szCs w:val="24"/>
              </w:rPr>
              <w:t xml:space="preserve"> ar Ministru kabineta noteikumiem.</w:t>
            </w:r>
          </w:p>
          <w:p w:rsidR="00112B76" w:rsidRDefault="00C63F56" w:rsidP="00C63F56">
            <w:pPr>
              <w:pStyle w:val="NoSpacing"/>
              <w:ind w:firstLine="0"/>
              <w:rPr>
                <w:sz w:val="24"/>
                <w:szCs w:val="24"/>
              </w:rPr>
            </w:pPr>
            <w:r>
              <w:rPr>
                <w:sz w:val="24"/>
                <w:szCs w:val="24"/>
              </w:rPr>
              <w:t xml:space="preserve">Ar </w:t>
            </w:r>
            <w:r w:rsidRPr="00C63F56">
              <w:rPr>
                <w:sz w:val="24"/>
                <w:szCs w:val="24"/>
              </w:rPr>
              <w:t xml:space="preserve">Ministru kabineta </w:t>
            </w:r>
            <w:r>
              <w:rPr>
                <w:sz w:val="24"/>
                <w:szCs w:val="24"/>
              </w:rPr>
              <w:t>2014.gada 8.jūlija</w:t>
            </w:r>
            <w:r w:rsidRPr="00C63F56">
              <w:rPr>
                <w:sz w:val="24"/>
                <w:szCs w:val="24"/>
              </w:rPr>
              <w:t xml:space="preserve"> noteikumi</w:t>
            </w:r>
            <w:r>
              <w:rPr>
                <w:sz w:val="24"/>
                <w:szCs w:val="24"/>
              </w:rPr>
              <w:t>em Nr.387 “</w:t>
            </w:r>
            <w:r w:rsidRPr="00C63F56">
              <w:rPr>
                <w:sz w:val="24"/>
                <w:szCs w:val="24"/>
              </w:rPr>
              <w:t>Transportlīdzekļa likvidācijas sertifikāta aizpildīšanas un izsniegšanas kārtība</w:t>
            </w:r>
            <w:r>
              <w:rPr>
                <w:sz w:val="24"/>
                <w:szCs w:val="24"/>
              </w:rPr>
              <w:t>” ir noteikta jauna kārtība nolietotu transportlīdzekļu likvidācijas sertifikātu noformēšanā, kura vairs neparedz noteiktas formas veidlapas likvidācijas sertifikātiem, jo tie tiek noformēti Transportlīdzekļu un to vadītāju valsts reģistrā un tiek izdrukāti no reģistra. T</w:t>
            </w:r>
            <w:r w:rsidRPr="00112B76">
              <w:rPr>
                <w:sz w:val="24"/>
                <w:szCs w:val="24"/>
              </w:rPr>
              <w:t xml:space="preserve">ādējādi </w:t>
            </w:r>
            <w:r>
              <w:rPr>
                <w:sz w:val="24"/>
                <w:szCs w:val="24"/>
              </w:rPr>
              <w:t>ir noteikts jauns CSDD pakalpojums</w:t>
            </w:r>
            <w:r w:rsidRPr="00112B76">
              <w:rPr>
                <w:sz w:val="24"/>
                <w:szCs w:val="24"/>
              </w:rPr>
              <w:t>, kura izcenojum</w:t>
            </w:r>
            <w:r>
              <w:rPr>
                <w:sz w:val="24"/>
                <w:szCs w:val="24"/>
              </w:rPr>
              <w:t>s</w:t>
            </w:r>
            <w:r w:rsidRPr="00112B76">
              <w:rPr>
                <w:sz w:val="24"/>
                <w:szCs w:val="24"/>
              </w:rPr>
              <w:t xml:space="preserve"> nosakām</w:t>
            </w:r>
            <w:r>
              <w:rPr>
                <w:sz w:val="24"/>
                <w:szCs w:val="24"/>
              </w:rPr>
              <w:t>s</w:t>
            </w:r>
            <w:r w:rsidRPr="00112B76">
              <w:rPr>
                <w:sz w:val="24"/>
                <w:szCs w:val="24"/>
              </w:rPr>
              <w:t xml:space="preserve"> ar Ministru kabineta noteikumiem</w:t>
            </w:r>
            <w:r>
              <w:rPr>
                <w:sz w:val="24"/>
                <w:szCs w:val="24"/>
              </w:rPr>
              <w:t>.</w:t>
            </w:r>
          </w:p>
          <w:p w:rsidR="005C413A" w:rsidRDefault="005C413A" w:rsidP="005C413A">
            <w:pPr>
              <w:pStyle w:val="NoSpacing"/>
              <w:ind w:firstLine="0"/>
              <w:rPr>
                <w:sz w:val="24"/>
                <w:szCs w:val="24"/>
              </w:rPr>
            </w:pPr>
            <w:r w:rsidRPr="005C413A">
              <w:rPr>
                <w:sz w:val="24"/>
                <w:szCs w:val="24"/>
              </w:rPr>
              <w:lastRenderedPageBreak/>
              <w:t>Ministru kabineta 2014.gada 29.jūlij</w:t>
            </w:r>
            <w:r>
              <w:rPr>
                <w:sz w:val="24"/>
                <w:szCs w:val="24"/>
              </w:rPr>
              <w:t>a</w:t>
            </w:r>
            <w:r w:rsidRPr="005C413A">
              <w:rPr>
                <w:sz w:val="24"/>
                <w:szCs w:val="24"/>
              </w:rPr>
              <w:t xml:space="preserve"> rīkojum</w:t>
            </w:r>
            <w:r>
              <w:rPr>
                <w:sz w:val="24"/>
                <w:szCs w:val="24"/>
              </w:rPr>
              <w:t>a</w:t>
            </w:r>
            <w:r w:rsidRPr="005C413A">
              <w:rPr>
                <w:sz w:val="24"/>
                <w:szCs w:val="24"/>
              </w:rPr>
              <w:t xml:space="preserve"> Nr.382</w:t>
            </w:r>
            <w:r>
              <w:rPr>
                <w:sz w:val="24"/>
                <w:szCs w:val="24"/>
              </w:rPr>
              <w:t xml:space="preserve"> “</w:t>
            </w:r>
            <w:r w:rsidRPr="005C413A">
              <w:rPr>
                <w:sz w:val="24"/>
                <w:szCs w:val="24"/>
              </w:rPr>
              <w:t>Par Iekšlietu ministrijas ilgtermiņa saistībām ceļu satiksmes pārkāpumu fiksēšanas tehnisko līdzekļu (</w:t>
            </w:r>
            <w:proofErr w:type="spellStart"/>
            <w:r w:rsidRPr="005C413A">
              <w:rPr>
                <w:sz w:val="24"/>
                <w:szCs w:val="24"/>
              </w:rPr>
              <w:t>fotoradaru</w:t>
            </w:r>
            <w:proofErr w:type="spellEnd"/>
            <w:r w:rsidRPr="005C413A">
              <w:rPr>
                <w:sz w:val="24"/>
                <w:szCs w:val="24"/>
              </w:rPr>
              <w:t>) darbības nodrošināšanai</w:t>
            </w:r>
            <w:r>
              <w:rPr>
                <w:sz w:val="24"/>
                <w:szCs w:val="24"/>
              </w:rPr>
              <w:t xml:space="preserve">” </w:t>
            </w:r>
            <w:r w:rsidR="005543C7">
              <w:rPr>
                <w:sz w:val="24"/>
                <w:szCs w:val="24"/>
              </w:rPr>
              <w:t>7.punktā</w:t>
            </w:r>
            <w:r>
              <w:rPr>
                <w:sz w:val="24"/>
                <w:szCs w:val="24"/>
              </w:rPr>
              <w:t xml:space="preserve"> Satiksmes ministrijai ir uzdots </w:t>
            </w:r>
            <w:r w:rsidR="005543C7" w:rsidRPr="005543C7">
              <w:rPr>
                <w:sz w:val="24"/>
                <w:szCs w:val="24"/>
              </w:rPr>
              <w:t xml:space="preserve">svītrot </w:t>
            </w:r>
            <w:r w:rsidR="005543C7">
              <w:rPr>
                <w:sz w:val="24"/>
                <w:szCs w:val="24"/>
              </w:rPr>
              <w:t xml:space="preserve">CSDD </w:t>
            </w:r>
            <w:r w:rsidR="005543C7" w:rsidRPr="005543C7">
              <w:rPr>
                <w:sz w:val="24"/>
                <w:szCs w:val="24"/>
              </w:rPr>
              <w:t>pakalpojumu - tehnisko līdzekļu fiksēto pārkāpumu informācijas apstrāde un protokola-lēmuma nosūtīšana adresātam</w:t>
            </w:r>
            <w:r w:rsidR="005543C7">
              <w:rPr>
                <w:sz w:val="24"/>
                <w:szCs w:val="24"/>
              </w:rPr>
              <w:t>.</w:t>
            </w:r>
          </w:p>
          <w:p w:rsidR="002A15B0" w:rsidRDefault="007D1DF0" w:rsidP="00155DBC">
            <w:pPr>
              <w:pStyle w:val="NoSpacing"/>
              <w:ind w:firstLine="0"/>
              <w:rPr>
                <w:sz w:val="24"/>
                <w:szCs w:val="24"/>
              </w:rPr>
            </w:pPr>
            <w:r>
              <w:rPr>
                <w:sz w:val="24"/>
                <w:szCs w:val="24"/>
              </w:rPr>
              <w:t xml:space="preserve">Ar </w:t>
            </w:r>
            <w:r w:rsidR="00155DBC" w:rsidRPr="00155DBC">
              <w:rPr>
                <w:sz w:val="24"/>
                <w:szCs w:val="24"/>
              </w:rPr>
              <w:t xml:space="preserve">Ministru kabineta </w:t>
            </w:r>
            <w:r w:rsidRPr="00155DBC">
              <w:rPr>
                <w:sz w:val="24"/>
                <w:szCs w:val="24"/>
              </w:rPr>
              <w:t>2014.gada 18.februār</w:t>
            </w:r>
            <w:r>
              <w:rPr>
                <w:sz w:val="24"/>
                <w:szCs w:val="24"/>
              </w:rPr>
              <w:t>a</w:t>
            </w:r>
            <w:r w:rsidRPr="00155DBC">
              <w:rPr>
                <w:sz w:val="24"/>
                <w:szCs w:val="24"/>
              </w:rPr>
              <w:t xml:space="preserve"> </w:t>
            </w:r>
            <w:r w:rsidR="00155DBC" w:rsidRPr="00155DBC">
              <w:rPr>
                <w:sz w:val="24"/>
                <w:szCs w:val="24"/>
              </w:rPr>
              <w:t>noteikumi</w:t>
            </w:r>
            <w:r>
              <w:rPr>
                <w:sz w:val="24"/>
                <w:szCs w:val="24"/>
              </w:rPr>
              <w:t>em</w:t>
            </w:r>
            <w:r w:rsidR="00155DBC" w:rsidRPr="00155DBC">
              <w:rPr>
                <w:sz w:val="24"/>
                <w:szCs w:val="24"/>
              </w:rPr>
              <w:t xml:space="preserve"> </w:t>
            </w:r>
            <w:r>
              <w:rPr>
                <w:sz w:val="24"/>
                <w:szCs w:val="24"/>
              </w:rPr>
              <w:t>Nr.100 “</w:t>
            </w:r>
            <w:r w:rsidR="00155DBC" w:rsidRPr="00155DBC">
              <w:rPr>
                <w:sz w:val="24"/>
                <w:szCs w:val="24"/>
              </w:rPr>
              <w:t>Jaunbūvējamo transportlīdzekļu konstrukcijas normatīvtehniskās dokumentācijas saskaņošanas un starptautiskā izgatavotāja identifikācijas koda piešķiršanas un iestrādāšanas kārtība</w:t>
            </w:r>
            <w:r>
              <w:rPr>
                <w:sz w:val="24"/>
                <w:szCs w:val="24"/>
              </w:rPr>
              <w:t xml:space="preserve">” ir noteiktas CSDD funkcijas jaunbūvējamo transportlīdzekļu </w:t>
            </w:r>
            <w:r w:rsidR="009178DD">
              <w:rPr>
                <w:sz w:val="24"/>
                <w:szCs w:val="24"/>
              </w:rPr>
              <w:t xml:space="preserve">dokumentācijas sagatavošanā un izvērtēšanā, </w:t>
            </w:r>
            <w:r>
              <w:rPr>
                <w:sz w:val="24"/>
                <w:szCs w:val="24"/>
              </w:rPr>
              <w:t>identifikācijas numuru iestrādāšanā, kā arī izgatavotāja plāksnītes izgatavošanā un piestiprināšanā. T</w:t>
            </w:r>
            <w:r w:rsidRPr="002A15B0">
              <w:rPr>
                <w:sz w:val="24"/>
                <w:szCs w:val="24"/>
              </w:rPr>
              <w:t xml:space="preserve">ādējādi </w:t>
            </w:r>
            <w:r>
              <w:rPr>
                <w:sz w:val="24"/>
                <w:szCs w:val="24"/>
              </w:rPr>
              <w:t>ir noteikti</w:t>
            </w:r>
            <w:r w:rsidRPr="002A15B0">
              <w:rPr>
                <w:sz w:val="24"/>
                <w:szCs w:val="24"/>
              </w:rPr>
              <w:t xml:space="preserve"> jaun</w:t>
            </w:r>
            <w:r>
              <w:rPr>
                <w:sz w:val="24"/>
                <w:szCs w:val="24"/>
              </w:rPr>
              <w:t>i CSDD pakalpojumi</w:t>
            </w:r>
            <w:r w:rsidRPr="002A15B0">
              <w:rPr>
                <w:sz w:val="24"/>
                <w:szCs w:val="24"/>
              </w:rPr>
              <w:t>, kura izcenojum</w:t>
            </w:r>
            <w:r>
              <w:rPr>
                <w:sz w:val="24"/>
                <w:szCs w:val="24"/>
              </w:rPr>
              <w:t xml:space="preserve">i </w:t>
            </w:r>
            <w:r w:rsidRPr="002A15B0">
              <w:rPr>
                <w:sz w:val="24"/>
                <w:szCs w:val="24"/>
              </w:rPr>
              <w:t>nosakām</w:t>
            </w:r>
            <w:r>
              <w:rPr>
                <w:sz w:val="24"/>
                <w:szCs w:val="24"/>
              </w:rPr>
              <w:t>i</w:t>
            </w:r>
            <w:r w:rsidRPr="002A15B0">
              <w:rPr>
                <w:sz w:val="24"/>
                <w:szCs w:val="24"/>
              </w:rPr>
              <w:t xml:space="preserve"> ar Ministru kabineta noteikumiem.</w:t>
            </w:r>
          </w:p>
          <w:p w:rsidR="00C63F56" w:rsidRDefault="002A15B0" w:rsidP="00F5374E">
            <w:pPr>
              <w:pStyle w:val="NoSpacing"/>
              <w:ind w:firstLine="0"/>
              <w:rPr>
                <w:sz w:val="24"/>
                <w:szCs w:val="24"/>
              </w:rPr>
            </w:pPr>
            <w:r>
              <w:rPr>
                <w:sz w:val="24"/>
                <w:szCs w:val="24"/>
              </w:rPr>
              <w:t>A</w:t>
            </w:r>
            <w:r w:rsidRPr="002A15B0">
              <w:rPr>
                <w:sz w:val="24"/>
                <w:szCs w:val="24"/>
              </w:rPr>
              <w:t>r Ministru kabineta 10.12.2013. noteikumiem Nr.1414 tika izdarīti grozīju</w:t>
            </w:r>
            <w:r>
              <w:rPr>
                <w:sz w:val="24"/>
                <w:szCs w:val="24"/>
              </w:rPr>
              <w:t xml:space="preserve">mi Ministru kabineta 2010.gada </w:t>
            </w:r>
            <w:r w:rsidRPr="002A15B0">
              <w:rPr>
                <w:sz w:val="24"/>
                <w:szCs w:val="24"/>
              </w:rPr>
              <w:t>2.februāra noteikumos Nr.103 „Transportlīdzekļu vadītāja tiesību iegūšanas un atjaunošanas kārtība un vadītāja apliecības izsniegšanas, apmaiņas, atjauno</w:t>
            </w:r>
            <w:r>
              <w:rPr>
                <w:sz w:val="24"/>
                <w:szCs w:val="24"/>
              </w:rPr>
              <w:t xml:space="preserve">šanas un iznīcināšanas kārtība”. </w:t>
            </w:r>
            <w:r w:rsidR="002C30D8" w:rsidRPr="002C30D8">
              <w:rPr>
                <w:sz w:val="24"/>
                <w:szCs w:val="24"/>
              </w:rPr>
              <w:t>Lai persona iegūtu AM (mopēda) kategorijas transportlīdzekļu vadītāja tiesības, tai jānokārto ne vien attiecīgs teorētiskais eksāmens, bet arī vadīšanas eksāmens. Tādējādi ir noteikti jauni CSDD pakalpojumi, kura izcenojumi nosakāmi ar Ministru kabineta noteikumiem  - mopēda vadīšanas eksāmens un mopēda</w:t>
            </w:r>
            <w:r w:rsidR="002C30D8">
              <w:rPr>
                <w:sz w:val="24"/>
                <w:szCs w:val="24"/>
              </w:rPr>
              <w:t xml:space="preserve"> izmantošana vadīšanas eksāmenā, kur </w:t>
            </w:r>
            <w:r w:rsidR="002C30D8" w:rsidRPr="002C30D8">
              <w:rPr>
                <w:sz w:val="24"/>
                <w:szCs w:val="24"/>
              </w:rPr>
              <w:t>maksa tiek piemērota gadījumā, ja person</w:t>
            </w:r>
            <w:r w:rsidR="002C30D8">
              <w:rPr>
                <w:sz w:val="24"/>
                <w:szCs w:val="24"/>
              </w:rPr>
              <w:t>a eksāmenu kārto ar CSDD mopēdu</w:t>
            </w:r>
            <w:r w:rsidRPr="002A15B0">
              <w:rPr>
                <w:sz w:val="24"/>
                <w:szCs w:val="24"/>
              </w:rPr>
              <w:t>.</w:t>
            </w:r>
          </w:p>
          <w:p w:rsidR="004F5900" w:rsidRDefault="004F5900" w:rsidP="009671D1">
            <w:pPr>
              <w:pStyle w:val="NoSpacing"/>
              <w:ind w:firstLine="0"/>
              <w:rPr>
                <w:sz w:val="24"/>
                <w:szCs w:val="24"/>
              </w:rPr>
            </w:pPr>
            <w:r>
              <w:rPr>
                <w:sz w:val="24"/>
                <w:szCs w:val="24"/>
              </w:rPr>
              <w:t xml:space="preserve">Ministru kabineta 2014.gada 9.sepmtembra sēdē akceptēts </w:t>
            </w:r>
            <w:r w:rsidR="009671D1">
              <w:rPr>
                <w:sz w:val="24"/>
                <w:szCs w:val="24"/>
              </w:rPr>
              <w:t>n</w:t>
            </w:r>
            <w:r w:rsidRPr="004F5900">
              <w:rPr>
                <w:sz w:val="24"/>
                <w:szCs w:val="24"/>
              </w:rPr>
              <w:t>oteikumu projekts "Grozījumi Ministru kabineta 2010.gada 2.februāra noteikumos Nr.103 "Transportlīdzekļu vadītāja tiesību iegūšanas un atjaunošanas kārtība un vadītāja apliecības izsniegšanas, apmaiņas, atjaunošanas un iznīcināšanas kārtība""</w:t>
            </w:r>
            <w:r w:rsidR="009671D1">
              <w:rPr>
                <w:sz w:val="24"/>
                <w:szCs w:val="24"/>
              </w:rPr>
              <w:t xml:space="preserve">. </w:t>
            </w:r>
            <w:r w:rsidR="0027493E" w:rsidRPr="0027493E">
              <w:rPr>
                <w:sz w:val="24"/>
                <w:szCs w:val="24"/>
              </w:rPr>
              <w:t xml:space="preserve">Ar noteikumiem ir noteikts, ka Latvijas autopārvadātāju uzņēmumos nodarbinātajiem trešo valstu pilsoņiem ar 2014.gada 13.oktobri kā autovadītāju profesionālo kompetenci apliecinošs dokuments tiek izsniegta vadītāja kvalifikācijas karte, noteikti šīs kartes saņemšanas nosacījumi, derīguma termiņš un dokumenta paraugs. Tādējādi ir noteikts jauns </w:t>
            </w:r>
            <w:r w:rsidR="0027493E" w:rsidRPr="0027493E">
              <w:rPr>
                <w:sz w:val="24"/>
                <w:szCs w:val="24"/>
              </w:rPr>
              <w:lastRenderedPageBreak/>
              <w:t>CSDD pakalpojums - Vadītāja kvalifikācijas karte, kura izcenojums nosakāms ar Ministru kabineta noteikumiem</w:t>
            </w:r>
            <w:r w:rsidR="009671D1">
              <w:rPr>
                <w:sz w:val="24"/>
                <w:szCs w:val="24"/>
              </w:rPr>
              <w:t>.</w:t>
            </w:r>
          </w:p>
          <w:p w:rsidR="00212E72" w:rsidRPr="00112B76" w:rsidRDefault="00212E72" w:rsidP="009671D1">
            <w:pPr>
              <w:pStyle w:val="NoSpacing"/>
              <w:ind w:firstLine="0"/>
              <w:rPr>
                <w:sz w:val="24"/>
                <w:szCs w:val="24"/>
              </w:rPr>
            </w:pPr>
            <w:r w:rsidRPr="00BA6896">
              <w:rPr>
                <w:sz w:val="24"/>
                <w:szCs w:val="24"/>
              </w:rPr>
              <w:t>Noteikumu projektā iekļauto jauno pakalpojumu sniegšana nav valsts pārvaldes funkciju pildīšana, tie ir apliekami ar pievienotās vērtības nodokli .</w:t>
            </w:r>
          </w:p>
        </w:tc>
      </w:tr>
      <w:tr w:rsidR="00532F34" w:rsidRPr="0027189F" w:rsidTr="00C43201">
        <w:trPr>
          <w:trHeight w:val="507"/>
        </w:trPr>
        <w:tc>
          <w:tcPr>
            <w:tcW w:w="478"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lastRenderedPageBreak/>
              <w:t> 3.</w:t>
            </w:r>
          </w:p>
        </w:tc>
        <w:tc>
          <w:tcPr>
            <w:tcW w:w="2984"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Projekta izstrādē iesaistītās institūcijas</w:t>
            </w:r>
          </w:p>
        </w:tc>
        <w:tc>
          <w:tcPr>
            <w:tcW w:w="5185"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Valsts akciju sabiedrība „Ceļu satiksmes drošības direkcija”</w:t>
            </w:r>
            <w:r>
              <w:rPr>
                <w:rFonts w:eastAsia="Times New Roman"/>
                <w:sz w:val="24"/>
                <w:szCs w:val="24"/>
                <w:lang w:eastAsia="lv-LV"/>
              </w:rPr>
              <w:t>.</w:t>
            </w:r>
          </w:p>
        </w:tc>
      </w:tr>
      <w:tr w:rsidR="00532F34" w:rsidRPr="0027189F" w:rsidTr="00C43201">
        <w:tc>
          <w:tcPr>
            <w:tcW w:w="478"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4.</w:t>
            </w:r>
          </w:p>
        </w:tc>
        <w:tc>
          <w:tcPr>
            <w:tcW w:w="2984"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Cita informācija</w:t>
            </w:r>
          </w:p>
        </w:tc>
        <w:tc>
          <w:tcPr>
            <w:tcW w:w="5185" w:type="dxa"/>
            <w:shd w:val="clear" w:color="auto" w:fill="auto"/>
          </w:tcPr>
          <w:p w:rsidR="00532F34" w:rsidRPr="00AD4676" w:rsidRDefault="002A7E09" w:rsidP="00C43201">
            <w:pPr>
              <w:spacing w:line="240" w:lineRule="auto"/>
              <w:ind w:firstLine="0"/>
              <w:rPr>
                <w:rFonts w:eastAsia="Times New Roman"/>
                <w:sz w:val="24"/>
                <w:szCs w:val="24"/>
                <w:lang w:eastAsia="lv-LV"/>
              </w:rPr>
            </w:pPr>
            <w:r>
              <w:rPr>
                <w:rFonts w:eastAsia="Times New Roman"/>
                <w:sz w:val="24"/>
                <w:szCs w:val="24"/>
                <w:lang w:eastAsia="lv-LV"/>
              </w:rPr>
              <w:t>Nav.</w:t>
            </w:r>
          </w:p>
        </w:tc>
      </w:tr>
    </w:tbl>
    <w:p w:rsidR="00532F34" w:rsidRDefault="00532F34" w:rsidP="00532F34"/>
    <w:p w:rsidR="00BA6896" w:rsidRDefault="00BA6896" w:rsidP="00532F34"/>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404"/>
        <w:gridCol w:w="4765"/>
      </w:tblGrid>
      <w:tr w:rsidR="00532F34" w:rsidRPr="00094458" w:rsidTr="00C43201">
        <w:tc>
          <w:tcPr>
            <w:tcW w:w="8647" w:type="dxa"/>
            <w:gridSpan w:val="3"/>
            <w:shd w:val="clear" w:color="auto" w:fill="auto"/>
          </w:tcPr>
          <w:p w:rsidR="00532F34" w:rsidRPr="00AD4676" w:rsidRDefault="00532F34" w:rsidP="00C43201">
            <w:pPr>
              <w:spacing w:before="100" w:beforeAutospacing="1" w:after="100" w:afterAutospacing="1" w:line="240" w:lineRule="auto"/>
              <w:ind w:firstLine="0"/>
              <w:rPr>
                <w:rFonts w:eastAsia="Times New Roman"/>
                <w:b/>
                <w:sz w:val="24"/>
                <w:szCs w:val="24"/>
                <w:lang w:eastAsia="lv-LV"/>
              </w:rPr>
            </w:pPr>
            <w:r w:rsidRPr="00AD4676">
              <w:rPr>
                <w:rFonts w:eastAsia="Times New Roman"/>
                <w:sz w:val="24"/>
                <w:szCs w:val="24"/>
                <w:lang w:eastAsia="lv-LV"/>
              </w:rPr>
              <w:t> </w:t>
            </w:r>
            <w:r w:rsidRPr="00AD4676">
              <w:rPr>
                <w:rFonts w:eastAsia="Times New Roman"/>
                <w:b/>
                <w:sz w:val="24"/>
                <w:szCs w:val="24"/>
                <w:lang w:eastAsia="lv-LV"/>
              </w:rPr>
              <w:t xml:space="preserve">II. Tiesību akta projekta ietekme uz </w:t>
            </w:r>
            <w:r w:rsidRPr="00AD4676">
              <w:rPr>
                <w:rFonts w:eastAsia="Times New Roman"/>
                <w:b/>
                <w:bCs/>
                <w:sz w:val="24"/>
                <w:szCs w:val="24"/>
                <w:lang w:eastAsia="lv-LV"/>
              </w:rPr>
              <w:t>sabiedrību</w:t>
            </w:r>
            <w:r w:rsidRPr="00AD4676">
              <w:rPr>
                <w:b/>
                <w:bCs/>
                <w:sz w:val="24"/>
                <w:szCs w:val="24"/>
                <w:shd w:val="clear" w:color="auto" w:fill="FFFFFF"/>
              </w:rPr>
              <w:t>, tautsaimniecības attīstību un administratīvo slogu</w:t>
            </w:r>
          </w:p>
        </w:tc>
      </w:tr>
      <w:tr w:rsidR="00532F34" w:rsidRPr="0027189F" w:rsidTr="00C43201">
        <w:trPr>
          <w:trHeight w:val="467"/>
        </w:trPr>
        <w:tc>
          <w:tcPr>
            <w:tcW w:w="478"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1.</w:t>
            </w:r>
          </w:p>
        </w:tc>
        <w:tc>
          <w:tcPr>
            <w:tcW w:w="3404"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w:t>
            </w:r>
            <w:r w:rsidRPr="00AD4676">
              <w:rPr>
                <w:sz w:val="24"/>
                <w:szCs w:val="24"/>
                <w:shd w:val="clear" w:color="auto" w:fill="FFFFFF"/>
              </w:rPr>
              <w:t xml:space="preserve">Sabiedrības </w:t>
            </w:r>
            <w:proofErr w:type="spellStart"/>
            <w:r w:rsidRPr="00AD4676">
              <w:rPr>
                <w:sz w:val="24"/>
                <w:szCs w:val="24"/>
                <w:shd w:val="clear" w:color="auto" w:fill="FFFFFF"/>
              </w:rPr>
              <w:t>mērķgrupas</w:t>
            </w:r>
            <w:proofErr w:type="spellEnd"/>
            <w:r w:rsidRPr="00AD4676">
              <w:rPr>
                <w:sz w:val="24"/>
                <w:szCs w:val="24"/>
                <w:shd w:val="clear" w:color="auto" w:fill="FFFFFF"/>
              </w:rPr>
              <w:t>, kuras tiesiskais regulējums ietekmē vai varētu ietekmēt</w:t>
            </w:r>
          </w:p>
        </w:tc>
        <w:tc>
          <w:tcPr>
            <w:tcW w:w="4765" w:type="dxa"/>
            <w:shd w:val="clear" w:color="auto" w:fill="auto"/>
          </w:tcPr>
          <w:p w:rsidR="00532F34" w:rsidRPr="00AD4676" w:rsidRDefault="00CC7161" w:rsidP="00CC7161">
            <w:pPr>
              <w:spacing w:before="100" w:beforeAutospacing="1" w:after="100" w:afterAutospacing="1" w:line="240" w:lineRule="auto"/>
              <w:ind w:firstLine="0"/>
              <w:rPr>
                <w:rFonts w:eastAsia="Times New Roman"/>
                <w:sz w:val="24"/>
                <w:szCs w:val="24"/>
                <w:lang w:eastAsia="lv-LV"/>
              </w:rPr>
            </w:pPr>
            <w:r>
              <w:rPr>
                <w:rFonts w:eastAsia="Times New Roman"/>
                <w:sz w:val="24"/>
                <w:szCs w:val="24"/>
                <w:lang w:eastAsia="lv-LV"/>
              </w:rPr>
              <w:t xml:space="preserve">Nolietotu transportlīdzekļu pārstrādes uzņēmumi, transportlīdzekļu izgatavotāji, transportlīdzekļu </w:t>
            </w:r>
            <w:r w:rsidR="002A7E09">
              <w:rPr>
                <w:rFonts w:eastAsia="Times New Roman"/>
                <w:sz w:val="24"/>
                <w:szCs w:val="24"/>
                <w:lang w:eastAsia="lv-LV"/>
              </w:rPr>
              <w:t xml:space="preserve">īpašnieki un </w:t>
            </w:r>
            <w:r>
              <w:rPr>
                <w:rFonts w:eastAsia="Times New Roman"/>
                <w:sz w:val="24"/>
                <w:szCs w:val="24"/>
                <w:lang w:eastAsia="lv-LV"/>
              </w:rPr>
              <w:t>vadītāji</w:t>
            </w:r>
            <w:r w:rsidR="00532F34" w:rsidRPr="00AD4676">
              <w:rPr>
                <w:rFonts w:eastAsia="Times New Roman"/>
                <w:sz w:val="24"/>
                <w:szCs w:val="24"/>
                <w:lang w:eastAsia="lv-LV"/>
              </w:rPr>
              <w:t>.</w:t>
            </w:r>
          </w:p>
        </w:tc>
      </w:tr>
      <w:tr w:rsidR="00532F34" w:rsidRPr="0027189F" w:rsidTr="00C43201">
        <w:trPr>
          <w:trHeight w:val="523"/>
        </w:trPr>
        <w:tc>
          <w:tcPr>
            <w:tcW w:w="478"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2.</w:t>
            </w:r>
          </w:p>
        </w:tc>
        <w:tc>
          <w:tcPr>
            <w:tcW w:w="3404"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sz w:val="24"/>
                <w:szCs w:val="24"/>
                <w:shd w:val="clear" w:color="auto" w:fill="FFFFFF"/>
              </w:rPr>
              <w:t>Tiesiskā regulējuma ietekme uz tautsaimniecību un administratīvo slogu</w:t>
            </w:r>
          </w:p>
        </w:tc>
        <w:tc>
          <w:tcPr>
            <w:tcW w:w="4765" w:type="dxa"/>
            <w:shd w:val="clear" w:color="auto" w:fill="auto"/>
          </w:tcPr>
          <w:p w:rsidR="00532F34" w:rsidRDefault="00CC7161" w:rsidP="00C43201">
            <w:pPr>
              <w:spacing w:line="240" w:lineRule="auto"/>
              <w:ind w:firstLine="0"/>
            </w:pPr>
            <w:r>
              <w:rPr>
                <w:rFonts w:eastAsia="Times New Roman"/>
                <w:sz w:val="24"/>
                <w:szCs w:val="24"/>
                <w:lang w:eastAsia="lv-LV"/>
              </w:rPr>
              <w:t>Nav attiecināms</w:t>
            </w:r>
          </w:p>
        </w:tc>
      </w:tr>
      <w:tr w:rsidR="00532F34" w:rsidRPr="0027189F" w:rsidTr="00C43201">
        <w:trPr>
          <w:trHeight w:val="517"/>
        </w:trPr>
        <w:tc>
          <w:tcPr>
            <w:tcW w:w="478"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3.</w:t>
            </w:r>
          </w:p>
        </w:tc>
        <w:tc>
          <w:tcPr>
            <w:tcW w:w="3404" w:type="dxa"/>
            <w:shd w:val="clear" w:color="auto" w:fill="auto"/>
          </w:tcPr>
          <w:p w:rsidR="00532F34" w:rsidRPr="00AD4676" w:rsidRDefault="00532F34" w:rsidP="00C43201">
            <w:pPr>
              <w:spacing w:before="100" w:beforeAutospacing="1" w:after="100" w:afterAutospacing="1" w:line="240" w:lineRule="auto"/>
              <w:ind w:firstLine="0"/>
              <w:rPr>
                <w:rFonts w:eastAsia="Times New Roman"/>
                <w:sz w:val="24"/>
                <w:szCs w:val="24"/>
                <w:lang w:eastAsia="lv-LV"/>
              </w:rPr>
            </w:pPr>
            <w:r w:rsidRPr="00AD4676">
              <w:rPr>
                <w:rFonts w:eastAsia="Times New Roman"/>
                <w:sz w:val="24"/>
                <w:szCs w:val="24"/>
                <w:lang w:eastAsia="lv-LV"/>
              </w:rPr>
              <w:t> </w:t>
            </w:r>
            <w:r w:rsidRPr="00AD4676">
              <w:rPr>
                <w:sz w:val="24"/>
                <w:szCs w:val="24"/>
                <w:shd w:val="clear" w:color="auto" w:fill="FFFFFF"/>
              </w:rPr>
              <w:t>Administratīvo izmaksu monetārs novērtējums</w:t>
            </w:r>
          </w:p>
        </w:tc>
        <w:tc>
          <w:tcPr>
            <w:tcW w:w="4765" w:type="dxa"/>
            <w:shd w:val="clear" w:color="auto" w:fill="auto"/>
          </w:tcPr>
          <w:p w:rsidR="00532F34" w:rsidRDefault="00532F34" w:rsidP="00C43201">
            <w:pPr>
              <w:ind w:firstLine="0"/>
            </w:pPr>
            <w:r w:rsidRPr="00AD4676">
              <w:rPr>
                <w:rFonts w:eastAsia="Times New Roman"/>
                <w:sz w:val="24"/>
                <w:szCs w:val="24"/>
                <w:lang w:eastAsia="lv-LV"/>
              </w:rPr>
              <w:t xml:space="preserve">Projekts šo jomu neskar. </w:t>
            </w:r>
          </w:p>
        </w:tc>
      </w:tr>
      <w:tr w:rsidR="00532F34" w:rsidRPr="0027189F" w:rsidTr="00C43201">
        <w:tc>
          <w:tcPr>
            <w:tcW w:w="478" w:type="dxa"/>
            <w:shd w:val="clear" w:color="auto" w:fill="auto"/>
          </w:tcPr>
          <w:p w:rsidR="00532F34" w:rsidRPr="00AD4676" w:rsidRDefault="00532F34" w:rsidP="00C43201">
            <w:pPr>
              <w:spacing w:before="100" w:beforeAutospacing="1" w:after="100" w:afterAutospacing="1" w:line="240" w:lineRule="auto"/>
              <w:ind w:firstLine="0"/>
              <w:jc w:val="left"/>
              <w:rPr>
                <w:rFonts w:eastAsia="Times New Roman"/>
                <w:sz w:val="24"/>
                <w:szCs w:val="24"/>
                <w:lang w:eastAsia="lv-LV"/>
              </w:rPr>
            </w:pPr>
            <w:r w:rsidRPr="00AD4676">
              <w:rPr>
                <w:rFonts w:eastAsia="Times New Roman"/>
                <w:sz w:val="24"/>
                <w:szCs w:val="24"/>
                <w:lang w:eastAsia="lv-LV"/>
              </w:rPr>
              <w:t> 4.</w:t>
            </w:r>
          </w:p>
        </w:tc>
        <w:tc>
          <w:tcPr>
            <w:tcW w:w="3404" w:type="dxa"/>
            <w:shd w:val="clear" w:color="auto" w:fill="auto"/>
          </w:tcPr>
          <w:p w:rsidR="00532F34" w:rsidRPr="00AD4676" w:rsidRDefault="00532F34" w:rsidP="00C43201">
            <w:pPr>
              <w:spacing w:before="100" w:beforeAutospacing="1" w:after="100" w:afterAutospacing="1" w:line="240" w:lineRule="auto"/>
              <w:ind w:firstLine="0"/>
              <w:jc w:val="left"/>
              <w:rPr>
                <w:rFonts w:eastAsia="Times New Roman"/>
                <w:sz w:val="24"/>
                <w:szCs w:val="24"/>
                <w:lang w:eastAsia="lv-LV"/>
              </w:rPr>
            </w:pPr>
            <w:r w:rsidRPr="00AD4676">
              <w:rPr>
                <w:rFonts w:eastAsia="Times New Roman"/>
                <w:sz w:val="24"/>
                <w:szCs w:val="24"/>
                <w:lang w:eastAsia="lv-LV"/>
              </w:rPr>
              <w:t> Cita informācija</w:t>
            </w:r>
          </w:p>
        </w:tc>
        <w:tc>
          <w:tcPr>
            <w:tcW w:w="4765" w:type="dxa"/>
            <w:shd w:val="clear" w:color="auto" w:fill="auto"/>
          </w:tcPr>
          <w:p w:rsidR="00532F34" w:rsidRPr="00AD4676" w:rsidRDefault="00532F34" w:rsidP="00C43201">
            <w:pPr>
              <w:spacing w:before="100" w:beforeAutospacing="1" w:after="100" w:afterAutospacing="1" w:line="240" w:lineRule="auto"/>
              <w:ind w:firstLine="0"/>
              <w:jc w:val="left"/>
              <w:rPr>
                <w:rFonts w:eastAsia="Times New Roman"/>
                <w:sz w:val="24"/>
                <w:szCs w:val="24"/>
                <w:lang w:eastAsia="lv-LV"/>
              </w:rPr>
            </w:pPr>
            <w:r w:rsidRPr="00AD4676">
              <w:rPr>
                <w:rFonts w:eastAsia="Times New Roman"/>
                <w:sz w:val="24"/>
                <w:szCs w:val="24"/>
                <w:lang w:eastAsia="lv-LV"/>
              </w:rPr>
              <w:t> Nav.</w:t>
            </w:r>
          </w:p>
        </w:tc>
      </w:tr>
    </w:tbl>
    <w:p w:rsidR="00BA6896" w:rsidRDefault="00BA6896" w:rsidP="00532F34">
      <w:pPr>
        <w:spacing w:line="240" w:lineRule="auto"/>
        <w:ind w:firstLine="0"/>
        <w:jc w:val="left"/>
        <w:rPr>
          <w:rFonts w:eastAsia="Times New Roman"/>
          <w:sz w:val="16"/>
          <w:szCs w:val="16"/>
          <w:lang w:eastAsia="lv-LV"/>
        </w:rPr>
      </w:pPr>
    </w:p>
    <w:p w:rsidR="00BA6896" w:rsidRPr="00874034" w:rsidRDefault="00BA6896" w:rsidP="00532F34">
      <w:pPr>
        <w:spacing w:line="240" w:lineRule="auto"/>
        <w:ind w:firstLine="0"/>
        <w:jc w:val="left"/>
        <w:rPr>
          <w:rFonts w:eastAsia="Times New Roman"/>
          <w:sz w:val="16"/>
          <w:szCs w:val="16"/>
          <w:lang w:eastAsia="lv-LV"/>
        </w:rPr>
      </w:pPr>
    </w:p>
    <w:p w:rsidR="00532F34" w:rsidRDefault="006A3498" w:rsidP="006A3498">
      <w:pPr>
        <w:rPr>
          <w:rFonts w:eastAsia="Times New Roman"/>
          <w:sz w:val="24"/>
          <w:szCs w:val="24"/>
          <w:lang w:eastAsia="lv-LV"/>
        </w:rPr>
      </w:pPr>
      <w:r>
        <w:rPr>
          <w:rFonts w:eastAsia="Times New Roman"/>
          <w:sz w:val="24"/>
          <w:szCs w:val="24"/>
          <w:lang w:eastAsia="lv-LV"/>
        </w:rPr>
        <w:t>Anotācijas III</w:t>
      </w:r>
      <w:r w:rsidR="00965AE0">
        <w:rPr>
          <w:rFonts w:eastAsia="Times New Roman"/>
          <w:sz w:val="24"/>
          <w:szCs w:val="24"/>
          <w:lang w:eastAsia="lv-LV"/>
        </w:rPr>
        <w:t>,</w:t>
      </w:r>
      <w:r w:rsidR="00AD09F2">
        <w:rPr>
          <w:rFonts w:eastAsia="Times New Roman"/>
          <w:sz w:val="24"/>
          <w:szCs w:val="24"/>
          <w:lang w:eastAsia="lv-LV"/>
        </w:rPr>
        <w:t xml:space="preserve"> IV</w:t>
      </w:r>
      <w:r w:rsidR="00965AE0">
        <w:rPr>
          <w:rFonts w:eastAsia="Times New Roman"/>
          <w:sz w:val="24"/>
          <w:szCs w:val="24"/>
          <w:lang w:eastAsia="lv-LV"/>
        </w:rPr>
        <w:t xml:space="preserve"> un V</w:t>
      </w:r>
      <w:r>
        <w:rPr>
          <w:rFonts w:eastAsia="Times New Roman"/>
          <w:sz w:val="24"/>
          <w:szCs w:val="24"/>
          <w:lang w:eastAsia="lv-LV"/>
        </w:rPr>
        <w:t xml:space="preserve"> </w:t>
      </w:r>
      <w:r w:rsidR="00532F34" w:rsidRPr="004D236A">
        <w:rPr>
          <w:rFonts w:eastAsia="Times New Roman"/>
          <w:sz w:val="24"/>
          <w:szCs w:val="24"/>
          <w:lang w:eastAsia="lv-LV"/>
        </w:rPr>
        <w:t>sadaļa – projekts š</w:t>
      </w:r>
      <w:r w:rsidR="00AD09F2">
        <w:rPr>
          <w:rFonts w:eastAsia="Times New Roman"/>
          <w:sz w:val="24"/>
          <w:szCs w:val="24"/>
          <w:lang w:eastAsia="lv-LV"/>
        </w:rPr>
        <w:t>īs</w:t>
      </w:r>
      <w:r w:rsidR="00532F34" w:rsidRPr="004D236A">
        <w:rPr>
          <w:rFonts w:eastAsia="Times New Roman"/>
          <w:sz w:val="24"/>
          <w:szCs w:val="24"/>
          <w:lang w:eastAsia="lv-LV"/>
        </w:rPr>
        <w:t xml:space="preserve"> jom</w:t>
      </w:r>
      <w:r w:rsidR="00AD09F2">
        <w:rPr>
          <w:rFonts w:eastAsia="Times New Roman"/>
          <w:sz w:val="24"/>
          <w:szCs w:val="24"/>
          <w:lang w:eastAsia="lv-LV"/>
        </w:rPr>
        <w:t xml:space="preserve">as </w:t>
      </w:r>
      <w:r w:rsidR="00532F34" w:rsidRPr="004D236A">
        <w:rPr>
          <w:rFonts w:eastAsia="Times New Roman"/>
          <w:sz w:val="24"/>
          <w:szCs w:val="24"/>
          <w:lang w:eastAsia="lv-LV"/>
        </w:rPr>
        <w:t xml:space="preserve">neskar. </w:t>
      </w:r>
    </w:p>
    <w:p w:rsidR="00D7143F" w:rsidRDefault="00D7143F" w:rsidP="00532F34">
      <w:pPr>
        <w:rPr>
          <w:sz w:val="16"/>
          <w:szCs w:val="16"/>
        </w:rPr>
      </w:pPr>
    </w:p>
    <w:p w:rsidR="00BA6896" w:rsidRPr="00874034" w:rsidRDefault="00BA6896" w:rsidP="00532F34">
      <w:pPr>
        <w:rPr>
          <w:sz w:val="16"/>
          <w:szCs w:val="16"/>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4"/>
        <w:gridCol w:w="5103"/>
      </w:tblGrid>
      <w:tr w:rsidR="00532F34" w:rsidRPr="00DD49B6" w:rsidTr="006A3498">
        <w:trPr>
          <w:trHeight w:val="421"/>
        </w:trPr>
        <w:tc>
          <w:tcPr>
            <w:tcW w:w="8647" w:type="dxa"/>
            <w:gridSpan w:val="2"/>
            <w:vAlign w:val="center"/>
          </w:tcPr>
          <w:p w:rsidR="00532F34" w:rsidRPr="00DD49B6" w:rsidRDefault="00532F34" w:rsidP="006A3498">
            <w:pPr>
              <w:pStyle w:val="naisnod"/>
              <w:spacing w:before="0" w:beforeAutospacing="0" w:after="0" w:afterAutospacing="0"/>
              <w:ind w:left="57" w:right="57"/>
              <w:jc w:val="center"/>
            </w:pPr>
            <w:r w:rsidRPr="00DD49B6">
              <w:rPr>
                <w:b/>
              </w:rPr>
              <w:t>VI. Sabiedrības līdzdalība un komunikācijas aktivitātes</w:t>
            </w:r>
          </w:p>
        </w:tc>
      </w:tr>
      <w:tr w:rsidR="00532F34" w:rsidRPr="00DD49B6" w:rsidTr="006A3498">
        <w:trPr>
          <w:trHeight w:val="553"/>
        </w:trPr>
        <w:tc>
          <w:tcPr>
            <w:tcW w:w="3544" w:type="dxa"/>
          </w:tcPr>
          <w:p w:rsidR="00532F34" w:rsidRPr="00DD49B6" w:rsidRDefault="00532F34" w:rsidP="00C43201">
            <w:pPr>
              <w:tabs>
                <w:tab w:val="left" w:pos="170"/>
              </w:tabs>
              <w:spacing w:line="240" w:lineRule="auto"/>
              <w:ind w:left="57" w:right="57" w:firstLine="46"/>
              <w:rPr>
                <w:sz w:val="24"/>
                <w:szCs w:val="24"/>
                <w:lang w:eastAsia="lv-LV"/>
              </w:rPr>
            </w:pPr>
            <w:r w:rsidRPr="00DD49B6">
              <w:rPr>
                <w:sz w:val="24"/>
                <w:szCs w:val="24"/>
                <w:lang w:eastAsia="lv-LV"/>
              </w:rPr>
              <w:t>Plānotās sabiedrības līdzdalības un komunikācijas aktivitātes saistībā ar projektu</w:t>
            </w:r>
          </w:p>
        </w:tc>
        <w:tc>
          <w:tcPr>
            <w:tcW w:w="5103" w:type="dxa"/>
          </w:tcPr>
          <w:p w:rsidR="00E2413C" w:rsidRPr="00DD49B6" w:rsidRDefault="00965AE0" w:rsidP="00333C49">
            <w:pPr>
              <w:shd w:val="clear" w:color="auto" w:fill="FFFFFF"/>
              <w:spacing w:line="240" w:lineRule="auto"/>
              <w:ind w:left="47" w:firstLine="0"/>
              <w:rPr>
                <w:sz w:val="24"/>
                <w:szCs w:val="24"/>
                <w:lang w:eastAsia="lv-LV"/>
              </w:rPr>
            </w:pPr>
            <w:r>
              <w:rPr>
                <w:sz w:val="24"/>
                <w:szCs w:val="24"/>
                <w:lang w:eastAsia="lv-LV"/>
              </w:rPr>
              <w:t>Nav attiecināms.</w:t>
            </w:r>
          </w:p>
        </w:tc>
      </w:tr>
      <w:tr w:rsidR="00532F34" w:rsidRPr="00E46FBE" w:rsidTr="006A3498">
        <w:trPr>
          <w:trHeight w:val="339"/>
        </w:trPr>
        <w:tc>
          <w:tcPr>
            <w:tcW w:w="3544" w:type="dxa"/>
          </w:tcPr>
          <w:p w:rsidR="00532F34" w:rsidRPr="00DD49B6" w:rsidRDefault="00532F34" w:rsidP="00C43201">
            <w:pPr>
              <w:spacing w:line="240" w:lineRule="auto"/>
              <w:ind w:left="57" w:right="57" w:firstLine="46"/>
              <w:rPr>
                <w:sz w:val="24"/>
                <w:szCs w:val="24"/>
                <w:lang w:eastAsia="lv-LV"/>
              </w:rPr>
            </w:pPr>
            <w:r w:rsidRPr="00DD49B6">
              <w:rPr>
                <w:sz w:val="24"/>
                <w:szCs w:val="24"/>
                <w:lang w:eastAsia="lv-LV"/>
              </w:rPr>
              <w:t>Sabiedrības līdzdalība projekta izstrādē</w:t>
            </w:r>
          </w:p>
        </w:tc>
        <w:tc>
          <w:tcPr>
            <w:tcW w:w="5103" w:type="dxa"/>
          </w:tcPr>
          <w:p w:rsidR="00E2413C" w:rsidRPr="00E46FBE" w:rsidRDefault="00965AE0" w:rsidP="00333C49">
            <w:pPr>
              <w:shd w:val="clear" w:color="auto" w:fill="FFFFFF"/>
              <w:spacing w:line="240" w:lineRule="auto"/>
              <w:ind w:left="47" w:firstLine="0"/>
              <w:rPr>
                <w:sz w:val="24"/>
                <w:szCs w:val="24"/>
                <w:lang w:eastAsia="lv-LV"/>
              </w:rPr>
            </w:pPr>
            <w:r>
              <w:rPr>
                <w:sz w:val="24"/>
                <w:szCs w:val="24"/>
                <w:lang w:eastAsia="lv-LV"/>
              </w:rPr>
              <w:t>Nav attiecināms.</w:t>
            </w:r>
          </w:p>
        </w:tc>
      </w:tr>
      <w:tr w:rsidR="00532F34" w:rsidRPr="00DD49B6" w:rsidTr="006A3498">
        <w:trPr>
          <w:trHeight w:val="476"/>
        </w:trPr>
        <w:tc>
          <w:tcPr>
            <w:tcW w:w="3544" w:type="dxa"/>
          </w:tcPr>
          <w:p w:rsidR="00532F34" w:rsidRPr="00DD49B6" w:rsidRDefault="00532F34" w:rsidP="00C43201">
            <w:pPr>
              <w:spacing w:line="240" w:lineRule="auto"/>
              <w:ind w:left="57" w:right="57" w:firstLine="46"/>
              <w:rPr>
                <w:sz w:val="24"/>
                <w:szCs w:val="24"/>
                <w:lang w:eastAsia="lv-LV"/>
              </w:rPr>
            </w:pPr>
            <w:r w:rsidRPr="00DD49B6">
              <w:rPr>
                <w:sz w:val="24"/>
                <w:szCs w:val="24"/>
                <w:lang w:eastAsia="lv-LV"/>
              </w:rPr>
              <w:t>Sabiedrības līdzdalības rezultāti</w:t>
            </w:r>
          </w:p>
        </w:tc>
        <w:tc>
          <w:tcPr>
            <w:tcW w:w="5103" w:type="dxa"/>
          </w:tcPr>
          <w:p w:rsidR="00E2413C" w:rsidRPr="00DD49B6" w:rsidRDefault="00965AE0" w:rsidP="00333C49">
            <w:pPr>
              <w:shd w:val="clear" w:color="auto" w:fill="FFFFFF"/>
              <w:spacing w:line="240" w:lineRule="auto"/>
              <w:ind w:left="47" w:firstLine="0"/>
              <w:rPr>
                <w:sz w:val="24"/>
                <w:szCs w:val="24"/>
                <w:lang w:eastAsia="lv-LV"/>
              </w:rPr>
            </w:pPr>
            <w:r>
              <w:rPr>
                <w:sz w:val="24"/>
                <w:szCs w:val="24"/>
                <w:lang w:eastAsia="lv-LV"/>
              </w:rPr>
              <w:t>Nav.</w:t>
            </w:r>
          </w:p>
        </w:tc>
      </w:tr>
      <w:tr w:rsidR="00532F34" w:rsidRPr="00DD49B6" w:rsidTr="006A3498">
        <w:trPr>
          <w:trHeight w:val="476"/>
        </w:trPr>
        <w:tc>
          <w:tcPr>
            <w:tcW w:w="3544" w:type="dxa"/>
          </w:tcPr>
          <w:p w:rsidR="00532F34" w:rsidRPr="00DD49B6" w:rsidRDefault="00532F34" w:rsidP="00C43201">
            <w:pPr>
              <w:spacing w:line="240" w:lineRule="auto"/>
              <w:ind w:left="57" w:right="57" w:firstLine="46"/>
              <w:rPr>
                <w:sz w:val="24"/>
                <w:szCs w:val="24"/>
                <w:lang w:eastAsia="lv-LV"/>
              </w:rPr>
            </w:pPr>
            <w:r w:rsidRPr="00DD49B6">
              <w:rPr>
                <w:sz w:val="24"/>
                <w:szCs w:val="24"/>
                <w:lang w:eastAsia="lv-LV"/>
              </w:rPr>
              <w:t>Cita informācija</w:t>
            </w:r>
          </w:p>
        </w:tc>
        <w:tc>
          <w:tcPr>
            <w:tcW w:w="5103" w:type="dxa"/>
          </w:tcPr>
          <w:p w:rsidR="00532F34" w:rsidRPr="00DD49B6" w:rsidRDefault="00532F34" w:rsidP="00C43201">
            <w:pPr>
              <w:spacing w:line="240" w:lineRule="auto"/>
              <w:ind w:left="47" w:right="57" w:firstLine="0"/>
              <w:rPr>
                <w:sz w:val="24"/>
                <w:szCs w:val="24"/>
                <w:lang w:eastAsia="lv-LV"/>
              </w:rPr>
            </w:pPr>
            <w:r>
              <w:rPr>
                <w:sz w:val="24"/>
                <w:szCs w:val="24"/>
              </w:rPr>
              <w:t>Nav.</w:t>
            </w:r>
          </w:p>
        </w:tc>
      </w:tr>
    </w:tbl>
    <w:p w:rsidR="00BA6896" w:rsidRDefault="00BA6896" w:rsidP="006A3498">
      <w:pPr>
        <w:rPr>
          <w:sz w:val="16"/>
          <w:szCs w:val="16"/>
        </w:rPr>
      </w:pPr>
    </w:p>
    <w:p w:rsidR="00BA6896" w:rsidRPr="00874034" w:rsidRDefault="00BA6896" w:rsidP="006A3498">
      <w:pPr>
        <w:rPr>
          <w:sz w:val="16"/>
          <w:szCs w:val="16"/>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5139"/>
      </w:tblGrid>
      <w:tr w:rsidR="00532F34" w:rsidRPr="0027189F" w:rsidTr="00C43201">
        <w:tc>
          <w:tcPr>
            <w:tcW w:w="8647" w:type="dxa"/>
            <w:gridSpan w:val="2"/>
            <w:shd w:val="clear" w:color="auto" w:fill="auto"/>
          </w:tcPr>
          <w:p w:rsidR="00532F34" w:rsidRPr="00AD4676" w:rsidRDefault="00532F34" w:rsidP="00C43201">
            <w:pPr>
              <w:spacing w:before="100" w:beforeAutospacing="1" w:after="100" w:afterAutospacing="1" w:line="240" w:lineRule="auto"/>
              <w:ind w:firstLine="0"/>
              <w:jc w:val="center"/>
              <w:rPr>
                <w:rFonts w:eastAsia="Times New Roman"/>
                <w:b/>
                <w:bCs/>
                <w:sz w:val="24"/>
                <w:szCs w:val="24"/>
                <w:lang w:eastAsia="lv-LV"/>
              </w:rPr>
            </w:pPr>
            <w:r w:rsidRPr="00AD4676">
              <w:rPr>
                <w:rFonts w:eastAsia="Times New Roman"/>
                <w:b/>
                <w:bCs/>
                <w:sz w:val="24"/>
                <w:szCs w:val="24"/>
                <w:lang w:eastAsia="lv-LV"/>
              </w:rPr>
              <w:t>VII. Tiesību akta projekta izpildes nodrošināšana un tās ietekme uz institūcijām</w:t>
            </w:r>
          </w:p>
        </w:tc>
      </w:tr>
      <w:tr w:rsidR="00532F34" w:rsidRPr="0027189F" w:rsidTr="001970F9">
        <w:trPr>
          <w:trHeight w:val="564"/>
        </w:trPr>
        <w:tc>
          <w:tcPr>
            <w:tcW w:w="3508" w:type="dxa"/>
            <w:shd w:val="clear" w:color="auto" w:fill="auto"/>
          </w:tcPr>
          <w:p w:rsidR="00532F34" w:rsidRPr="00AD4676" w:rsidRDefault="00532F34" w:rsidP="001970F9">
            <w:pPr>
              <w:numPr>
                <w:ilvl w:val="0"/>
                <w:numId w:val="2"/>
              </w:numPr>
              <w:spacing w:line="240" w:lineRule="auto"/>
              <w:jc w:val="left"/>
              <w:rPr>
                <w:rFonts w:eastAsia="Times New Roman"/>
                <w:sz w:val="24"/>
                <w:szCs w:val="24"/>
                <w:lang w:eastAsia="lv-LV"/>
              </w:rPr>
            </w:pPr>
            <w:r w:rsidRPr="00AD4676">
              <w:rPr>
                <w:rFonts w:eastAsia="Times New Roman"/>
                <w:sz w:val="24"/>
                <w:szCs w:val="24"/>
                <w:lang w:eastAsia="lv-LV"/>
              </w:rPr>
              <w:t>Projekta izpildē iesaistītās institūcijas</w:t>
            </w:r>
          </w:p>
        </w:tc>
        <w:tc>
          <w:tcPr>
            <w:tcW w:w="5139" w:type="dxa"/>
            <w:shd w:val="clear" w:color="auto" w:fill="auto"/>
          </w:tcPr>
          <w:p w:rsidR="00532F34" w:rsidRDefault="00532F34" w:rsidP="001970F9">
            <w:pPr>
              <w:spacing w:line="240" w:lineRule="auto"/>
              <w:ind w:firstLine="0"/>
              <w:rPr>
                <w:rFonts w:eastAsia="Times New Roman"/>
                <w:sz w:val="24"/>
                <w:szCs w:val="24"/>
                <w:lang w:eastAsia="lv-LV"/>
              </w:rPr>
            </w:pPr>
            <w:r w:rsidRPr="00AD4676">
              <w:rPr>
                <w:rFonts w:eastAsia="Times New Roman"/>
                <w:sz w:val="24"/>
                <w:szCs w:val="24"/>
                <w:lang w:eastAsia="lv-LV"/>
              </w:rPr>
              <w:t>Valsts akciju sabiedrība „Ceļu satiksmes drošības direkcija”.</w:t>
            </w:r>
          </w:p>
          <w:p w:rsidR="00D7143F" w:rsidRPr="00AD4676" w:rsidRDefault="00D7143F" w:rsidP="001970F9">
            <w:pPr>
              <w:spacing w:line="240" w:lineRule="auto"/>
              <w:ind w:firstLine="0"/>
              <w:rPr>
                <w:rFonts w:eastAsia="Times New Roman"/>
                <w:sz w:val="24"/>
                <w:szCs w:val="24"/>
                <w:lang w:eastAsia="lv-LV"/>
              </w:rPr>
            </w:pPr>
          </w:p>
        </w:tc>
      </w:tr>
      <w:tr w:rsidR="00532F34" w:rsidTr="00D7143F">
        <w:trPr>
          <w:trHeight w:val="685"/>
        </w:trPr>
        <w:tc>
          <w:tcPr>
            <w:tcW w:w="3508" w:type="dxa"/>
            <w:shd w:val="clear" w:color="auto" w:fill="auto"/>
          </w:tcPr>
          <w:p w:rsidR="00532F34" w:rsidRPr="00AD4676" w:rsidRDefault="00532F34" w:rsidP="001970F9">
            <w:pPr>
              <w:numPr>
                <w:ilvl w:val="0"/>
                <w:numId w:val="2"/>
              </w:numPr>
              <w:spacing w:line="240" w:lineRule="auto"/>
              <w:rPr>
                <w:rFonts w:eastAsia="Times New Roman"/>
                <w:sz w:val="24"/>
                <w:szCs w:val="24"/>
                <w:lang w:eastAsia="lv-LV"/>
              </w:rPr>
            </w:pPr>
            <w:r w:rsidRPr="00AD4676">
              <w:rPr>
                <w:rFonts w:eastAsia="Times New Roman"/>
                <w:sz w:val="24"/>
                <w:szCs w:val="24"/>
                <w:lang w:eastAsia="lv-LV"/>
              </w:rPr>
              <w:t xml:space="preserve">Projekta izpildes ietekme uz pārvaldes funkcijām un institucionālo struktūru. Jaunu institūciju izveide, esošu institūciju likvidācija vai reorganizācija, to ietekme uz institūcijas </w:t>
            </w:r>
            <w:r w:rsidRPr="00AD4676">
              <w:rPr>
                <w:rFonts w:eastAsia="Times New Roman"/>
                <w:sz w:val="24"/>
                <w:szCs w:val="24"/>
                <w:lang w:eastAsia="lv-LV"/>
              </w:rPr>
              <w:lastRenderedPageBreak/>
              <w:t>cilvēkresursiem</w:t>
            </w:r>
          </w:p>
        </w:tc>
        <w:tc>
          <w:tcPr>
            <w:tcW w:w="5139" w:type="dxa"/>
            <w:shd w:val="clear" w:color="auto" w:fill="auto"/>
          </w:tcPr>
          <w:p w:rsidR="00532F34" w:rsidRDefault="00532F34" w:rsidP="00C4728B">
            <w:pPr>
              <w:spacing w:line="240" w:lineRule="auto"/>
              <w:ind w:firstLine="0"/>
            </w:pPr>
            <w:r w:rsidRPr="00AD4676">
              <w:rPr>
                <w:rFonts w:eastAsia="Times New Roman"/>
                <w:sz w:val="24"/>
                <w:szCs w:val="24"/>
                <w:lang w:eastAsia="lv-LV"/>
              </w:rPr>
              <w:lastRenderedPageBreak/>
              <w:t xml:space="preserve"> Normatīvā akta izpilde tiks nodrošināta anotāc</w:t>
            </w:r>
            <w:r w:rsidR="00C4728B">
              <w:rPr>
                <w:rFonts w:eastAsia="Times New Roman"/>
                <w:sz w:val="24"/>
                <w:szCs w:val="24"/>
                <w:lang w:eastAsia="lv-LV"/>
              </w:rPr>
              <w:t>ijas VII sadaļas 1.punktā minētās institūcijas</w:t>
            </w:r>
            <w:r w:rsidRPr="00AD4676">
              <w:rPr>
                <w:rFonts w:eastAsia="Times New Roman"/>
                <w:sz w:val="24"/>
                <w:szCs w:val="24"/>
                <w:lang w:eastAsia="lv-LV"/>
              </w:rPr>
              <w:t xml:space="preserve"> funkciju ietvaros.</w:t>
            </w:r>
          </w:p>
        </w:tc>
      </w:tr>
      <w:tr w:rsidR="00532F34" w:rsidRPr="0027189F" w:rsidTr="00C43201">
        <w:trPr>
          <w:trHeight w:val="416"/>
        </w:trPr>
        <w:tc>
          <w:tcPr>
            <w:tcW w:w="3508" w:type="dxa"/>
            <w:shd w:val="clear" w:color="auto" w:fill="auto"/>
          </w:tcPr>
          <w:p w:rsidR="00532F34" w:rsidRPr="00AD4676" w:rsidRDefault="00532F34" w:rsidP="001970F9">
            <w:pPr>
              <w:numPr>
                <w:ilvl w:val="0"/>
                <w:numId w:val="2"/>
              </w:numPr>
              <w:spacing w:line="240" w:lineRule="auto"/>
              <w:jc w:val="left"/>
              <w:rPr>
                <w:rFonts w:eastAsia="Times New Roman"/>
                <w:sz w:val="24"/>
                <w:szCs w:val="24"/>
                <w:lang w:eastAsia="lv-LV"/>
              </w:rPr>
            </w:pPr>
            <w:r w:rsidRPr="00AD4676">
              <w:rPr>
                <w:rFonts w:eastAsia="Times New Roman"/>
                <w:sz w:val="24"/>
                <w:szCs w:val="24"/>
                <w:lang w:eastAsia="lv-LV"/>
              </w:rPr>
              <w:lastRenderedPageBreak/>
              <w:t>Cita informācija</w:t>
            </w:r>
          </w:p>
        </w:tc>
        <w:tc>
          <w:tcPr>
            <w:tcW w:w="5139" w:type="dxa"/>
            <w:shd w:val="clear" w:color="auto" w:fill="auto"/>
          </w:tcPr>
          <w:p w:rsidR="00532F34" w:rsidRPr="00AD4676" w:rsidRDefault="00532F34" w:rsidP="001970F9">
            <w:pPr>
              <w:spacing w:line="240" w:lineRule="auto"/>
              <w:ind w:firstLine="0"/>
              <w:jc w:val="left"/>
              <w:rPr>
                <w:rFonts w:eastAsia="Times New Roman"/>
                <w:sz w:val="24"/>
                <w:szCs w:val="24"/>
                <w:lang w:eastAsia="lv-LV"/>
              </w:rPr>
            </w:pPr>
            <w:r w:rsidRPr="00AD4676">
              <w:rPr>
                <w:rFonts w:eastAsia="Times New Roman"/>
                <w:sz w:val="24"/>
                <w:szCs w:val="24"/>
                <w:lang w:eastAsia="lv-LV"/>
              </w:rPr>
              <w:t> Nav.</w:t>
            </w:r>
          </w:p>
        </w:tc>
      </w:tr>
    </w:tbl>
    <w:p w:rsidR="00532F34" w:rsidRDefault="00532F34" w:rsidP="00532F34">
      <w:pPr>
        <w:spacing w:line="240" w:lineRule="auto"/>
        <w:ind w:firstLine="0"/>
        <w:jc w:val="left"/>
        <w:rPr>
          <w:rFonts w:eastAsia="Times New Roman"/>
          <w:szCs w:val="28"/>
          <w:lang w:eastAsia="lv-LV"/>
        </w:rPr>
      </w:pPr>
    </w:p>
    <w:p w:rsidR="00BA6896" w:rsidRDefault="00BA6896" w:rsidP="00532F34">
      <w:pPr>
        <w:spacing w:line="240" w:lineRule="auto"/>
        <w:ind w:firstLine="0"/>
        <w:jc w:val="left"/>
        <w:rPr>
          <w:rFonts w:eastAsia="Times New Roman"/>
          <w:szCs w:val="28"/>
          <w:lang w:eastAsia="lv-LV"/>
        </w:rPr>
      </w:pPr>
    </w:p>
    <w:p w:rsidR="00532F34" w:rsidRPr="003A031D" w:rsidRDefault="00532F34" w:rsidP="00532F34">
      <w:pPr>
        <w:spacing w:line="240" w:lineRule="auto"/>
        <w:jc w:val="left"/>
        <w:rPr>
          <w:rFonts w:eastAsia="Times New Roman"/>
          <w:szCs w:val="28"/>
          <w:lang w:eastAsia="lv-LV"/>
        </w:rPr>
      </w:pPr>
      <w:r w:rsidRPr="003A031D">
        <w:rPr>
          <w:rFonts w:eastAsia="Times New Roman"/>
          <w:szCs w:val="28"/>
          <w:lang w:eastAsia="lv-LV"/>
        </w:rPr>
        <w:t xml:space="preserve">Satiksmes ministrs </w:t>
      </w:r>
      <w:r w:rsidRPr="003A031D">
        <w:rPr>
          <w:rFonts w:eastAsia="Times New Roman"/>
          <w:szCs w:val="28"/>
          <w:lang w:eastAsia="lv-LV"/>
        </w:rPr>
        <w:tab/>
      </w:r>
      <w:r w:rsidRPr="003A031D">
        <w:rPr>
          <w:rFonts w:eastAsia="Times New Roman"/>
          <w:szCs w:val="28"/>
          <w:lang w:eastAsia="lv-LV"/>
        </w:rPr>
        <w:tab/>
      </w:r>
      <w:r w:rsidRPr="003A031D">
        <w:rPr>
          <w:rFonts w:eastAsia="Times New Roman"/>
          <w:szCs w:val="28"/>
          <w:lang w:eastAsia="lv-LV"/>
        </w:rPr>
        <w:tab/>
      </w:r>
      <w:r w:rsidRPr="003A031D">
        <w:rPr>
          <w:rFonts w:eastAsia="Times New Roman"/>
          <w:szCs w:val="28"/>
          <w:lang w:eastAsia="lv-LV"/>
        </w:rPr>
        <w:tab/>
      </w:r>
      <w:r w:rsidRPr="003A031D">
        <w:rPr>
          <w:rFonts w:eastAsia="Times New Roman"/>
          <w:szCs w:val="28"/>
          <w:lang w:eastAsia="lv-LV"/>
        </w:rPr>
        <w:tab/>
      </w:r>
      <w:r w:rsidRPr="003A031D">
        <w:rPr>
          <w:rFonts w:eastAsia="Times New Roman"/>
          <w:szCs w:val="28"/>
          <w:lang w:eastAsia="lv-LV"/>
        </w:rPr>
        <w:tab/>
      </w:r>
      <w:r>
        <w:rPr>
          <w:rFonts w:eastAsia="Times New Roman"/>
          <w:szCs w:val="28"/>
          <w:lang w:eastAsia="lv-LV"/>
        </w:rPr>
        <w:t>A.Matīss</w:t>
      </w:r>
    </w:p>
    <w:p w:rsidR="00D7143F" w:rsidRDefault="00D7143F" w:rsidP="00532F34">
      <w:pPr>
        <w:ind w:firstLine="0"/>
        <w:rPr>
          <w:szCs w:val="28"/>
        </w:rPr>
      </w:pPr>
    </w:p>
    <w:p w:rsidR="00333C49" w:rsidRDefault="00333C49" w:rsidP="00532F34">
      <w:pPr>
        <w:ind w:firstLine="0"/>
        <w:rPr>
          <w:szCs w:val="28"/>
        </w:rPr>
      </w:pPr>
    </w:p>
    <w:p w:rsidR="001132E9" w:rsidRDefault="001132E9" w:rsidP="001132E9">
      <w:pPr>
        <w:spacing w:line="240" w:lineRule="auto"/>
        <w:ind w:right="-516" w:firstLine="709"/>
        <w:rPr>
          <w:szCs w:val="28"/>
        </w:rPr>
      </w:pPr>
      <w:r>
        <w:rPr>
          <w:szCs w:val="28"/>
        </w:rPr>
        <w:t>Vīza: Valsts sekretārs</w:t>
      </w:r>
      <w:r>
        <w:rPr>
          <w:szCs w:val="28"/>
        </w:rPr>
        <w:tab/>
      </w:r>
      <w:r>
        <w:rPr>
          <w:szCs w:val="28"/>
        </w:rPr>
        <w:tab/>
      </w:r>
      <w:r>
        <w:rPr>
          <w:szCs w:val="28"/>
        </w:rPr>
        <w:tab/>
      </w:r>
      <w:r>
        <w:rPr>
          <w:szCs w:val="28"/>
        </w:rPr>
        <w:tab/>
      </w:r>
      <w:r>
        <w:rPr>
          <w:szCs w:val="28"/>
        </w:rPr>
        <w:tab/>
      </w:r>
      <w:r>
        <w:rPr>
          <w:szCs w:val="28"/>
        </w:rPr>
        <w:tab/>
        <w:t>K.Ozoliņš</w:t>
      </w:r>
    </w:p>
    <w:p w:rsidR="00532F34" w:rsidRDefault="00532F34" w:rsidP="00532F34">
      <w:pPr>
        <w:pStyle w:val="Header"/>
        <w:ind w:firstLine="0"/>
        <w:rPr>
          <w:sz w:val="22"/>
        </w:rPr>
      </w:pPr>
    </w:p>
    <w:p w:rsidR="005E015B" w:rsidRDefault="005E015B" w:rsidP="003B3844">
      <w:pPr>
        <w:pStyle w:val="Header"/>
        <w:ind w:firstLine="0"/>
        <w:rPr>
          <w:sz w:val="20"/>
          <w:szCs w:val="20"/>
        </w:rPr>
      </w:pPr>
    </w:p>
    <w:p w:rsidR="003B3844" w:rsidRPr="008A7BCE" w:rsidRDefault="005C413A" w:rsidP="003B3844">
      <w:pPr>
        <w:pStyle w:val="Header"/>
        <w:ind w:firstLine="0"/>
        <w:rPr>
          <w:sz w:val="20"/>
          <w:szCs w:val="20"/>
        </w:rPr>
      </w:pPr>
      <w:r>
        <w:rPr>
          <w:sz w:val="20"/>
          <w:szCs w:val="20"/>
        </w:rPr>
        <w:t>2</w:t>
      </w:r>
      <w:r w:rsidR="00BA6896">
        <w:rPr>
          <w:sz w:val="20"/>
          <w:szCs w:val="20"/>
        </w:rPr>
        <w:t>6</w:t>
      </w:r>
      <w:r>
        <w:rPr>
          <w:sz w:val="20"/>
          <w:szCs w:val="20"/>
        </w:rPr>
        <w:t>.09</w:t>
      </w:r>
      <w:r w:rsidR="00576115" w:rsidRPr="008A7BCE">
        <w:rPr>
          <w:sz w:val="20"/>
          <w:szCs w:val="20"/>
        </w:rPr>
        <w:t>.2014.</w:t>
      </w:r>
      <w:r w:rsidR="00BA6896">
        <w:rPr>
          <w:sz w:val="20"/>
          <w:szCs w:val="20"/>
        </w:rPr>
        <w:t xml:space="preserve"> 09</w:t>
      </w:r>
      <w:r w:rsidR="003B3844" w:rsidRPr="008A7BCE">
        <w:rPr>
          <w:sz w:val="20"/>
          <w:szCs w:val="20"/>
        </w:rPr>
        <w:t>:</w:t>
      </w:r>
      <w:r w:rsidR="00BA6896">
        <w:rPr>
          <w:sz w:val="20"/>
          <w:szCs w:val="20"/>
        </w:rPr>
        <w:t>00</w:t>
      </w:r>
    </w:p>
    <w:p w:rsidR="003B3844" w:rsidRPr="008A7BCE" w:rsidRDefault="001132E9" w:rsidP="003B3844">
      <w:pPr>
        <w:pStyle w:val="Header"/>
        <w:ind w:firstLine="0"/>
        <w:rPr>
          <w:sz w:val="20"/>
          <w:szCs w:val="20"/>
        </w:rPr>
      </w:pPr>
      <w:r>
        <w:rPr>
          <w:sz w:val="20"/>
          <w:szCs w:val="20"/>
        </w:rPr>
        <w:t>738</w:t>
      </w:r>
    </w:p>
    <w:p w:rsidR="005C413A" w:rsidRPr="005C413A" w:rsidRDefault="005C413A" w:rsidP="005C413A">
      <w:pPr>
        <w:pStyle w:val="Header"/>
        <w:ind w:firstLine="0"/>
        <w:rPr>
          <w:sz w:val="20"/>
          <w:szCs w:val="20"/>
        </w:rPr>
      </w:pPr>
      <w:r w:rsidRPr="005C413A">
        <w:rPr>
          <w:sz w:val="20"/>
          <w:szCs w:val="20"/>
        </w:rPr>
        <w:t>R.Nīmanis, 67025719</w:t>
      </w:r>
    </w:p>
    <w:p w:rsidR="00721B24" w:rsidRPr="008A7BCE" w:rsidRDefault="005C413A" w:rsidP="005C413A">
      <w:pPr>
        <w:pStyle w:val="Header"/>
        <w:ind w:firstLine="0"/>
        <w:rPr>
          <w:sz w:val="20"/>
          <w:szCs w:val="20"/>
        </w:rPr>
      </w:pPr>
      <w:r w:rsidRPr="005C413A">
        <w:rPr>
          <w:sz w:val="20"/>
          <w:szCs w:val="20"/>
        </w:rPr>
        <w:t>reinis.nimanis@csdd.gov.lv</w:t>
      </w:r>
    </w:p>
    <w:sectPr w:rsidR="00721B24" w:rsidRPr="008A7BCE" w:rsidSect="001970F9">
      <w:headerReference w:type="default" r:id="rId8"/>
      <w:footerReference w:type="default" r:id="rId9"/>
      <w:footerReference w:type="first" r:id="rId10"/>
      <w:pgSz w:w="11906" w:h="16838"/>
      <w:pgMar w:top="1440" w:right="1800" w:bottom="1418" w:left="1800" w:header="708"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63" w:rsidRDefault="00430A63" w:rsidP="00E65F54">
      <w:pPr>
        <w:spacing w:line="240" w:lineRule="auto"/>
      </w:pPr>
      <w:r>
        <w:separator/>
      </w:r>
    </w:p>
  </w:endnote>
  <w:endnote w:type="continuationSeparator" w:id="0">
    <w:p w:rsidR="00430A63" w:rsidRDefault="00430A63"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F9" w:rsidRDefault="00BA6896" w:rsidP="008C096F">
    <w:pPr>
      <w:spacing w:line="240" w:lineRule="auto"/>
      <w:ind w:right="-199" w:firstLine="0"/>
      <w:rPr>
        <w:rFonts w:eastAsia="Times New Roman"/>
        <w:bCs/>
        <w:sz w:val="20"/>
        <w:szCs w:val="20"/>
        <w:lang w:eastAsia="lv-LV"/>
      </w:rPr>
    </w:pPr>
    <w:r>
      <w:rPr>
        <w:sz w:val="20"/>
        <w:szCs w:val="20"/>
      </w:rPr>
      <w:t>SAMAnot_2</w:t>
    </w:r>
    <w:r w:rsidR="00630BBB">
      <w:rPr>
        <w:sz w:val="20"/>
        <w:szCs w:val="20"/>
      </w:rPr>
      <w:t>6</w:t>
    </w:r>
    <w:r w:rsidR="005C413A" w:rsidRPr="005C413A">
      <w:rPr>
        <w:sz w:val="20"/>
        <w:szCs w:val="20"/>
      </w:rPr>
      <w:t>0914_CSDD_cenradis; Ministru kabineta noteikumu projekta “Grozījumi Ministru kabineta 2013.gada 24.septembra noteikumos Nr.1000 "Valsts akciju sabiedrības "Ceļu satiksmes drošības direkcija" publisko maksas pakalpojumu cenrādis" sākotnējās ietekmes novērtējuma ziņojums (anotācija)</w:t>
    </w:r>
  </w:p>
  <w:p w:rsidR="008C096F" w:rsidRPr="00F52666" w:rsidRDefault="008C096F" w:rsidP="008C096F">
    <w:pPr>
      <w:spacing w:line="240" w:lineRule="auto"/>
      <w:ind w:right="-199" w:firstLine="0"/>
      <w:rPr>
        <w:rFonts w:eastAsia="Times New Roman"/>
        <w:bCs/>
        <w:sz w:val="20"/>
        <w:szCs w:val="20"/>
        <w:lang w:eastAsia="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56" w:rsidRDefault="001C0F56" w:rsidP="008C096F">
    <w:pPr>
      <w:spacing w:line="240" w:lineRule="auto"/>
      <w:ind w:right="-199" w:firstLine="0"/>
      <w:rPr>
        <w:rFonts w:eastAsia="Times New Roman"/>
        <w:bCs/>
        <w:sz w:val="20"/>
        <w:szCs w:val="20"/>
        <w:lang w:eastAsia="lv-LV"/>
      </w:rPr>
    </w:pPr>
    <w:r>
      <w:rPr>
        <w:sz w:val="20"/>
        <w:szCs w:val="20"/>
      </w:rPr>
      <w:t>SAMAnot_</w:t>
    </w:r>
    <w:r w:rsidR="00BA6896">
      <w:rPr>
        <w:sz w:val="20"/>
        <w:szCs w:val="20"/>
      </w:rPr>
      <w:t>2</w:t>
    </w:r>
    <w:r w:rsidR="00630BBB">
      <w:rPr>
        <w:sz w:val="20"/>
        <w:szCs w:val="20"/>
      </w:rPr>
      <w:t>6</w:t>
    </w:r>
    <w:r w:rsidR="00CC7161">
      <w:rPr>
        <w:sz w:val="20"/>
        <w:szCs w:val="20"/>
      </w:rPr>
      <w:t>09</w:t>
    </w:r>
    <w:r w:rsidR="008C096F">
      <w:rPr>
        <w:sz w:val="20"/>
        <w:szCs w:val="20"/>
      </w:rPr>
      <w:t>14</w:t>
    </w:r>
    <w:r>
      <w:rPr>
        <w:sz w:val="20"/>
        <w:szCs w:val="20"/>
      </w:rPr>
      <w:t>_</w:t>
    </w:r>
    <w:r w:rsidR="00CC7161">
      <w:rPr>
        <w:sz w:val="20"/>
        <w:szCs w:val="20"/>
      </w:rPr>
      <w:t>CSDD_cenradis</w:t>
    </w:r>
    <w:r w:rsidRPr="00354129">
      <w:rPr>
        <w:sz w:val="20"/>
        <w:szCs w:val="20"/>
      </w:rPr>
      <w:t xml:space="preserve">; </w:t>
    </w:r>
    <w:r w:rsidR="00CC7161" w:rsidRPr="00CC7161">
      <w:rPr>
        <w:sz w:val="20"/>
        <w:szCs w:val="20"/>
      </w:rPr>
      <w:t xml:space="preserve">Ministru kabineta noteikumu projekta “Grozījumi Ministru kabineta 2013.gada 24.septembra noteikumos Nr.1000 "Valsts akciju sabiedrības "Ceļu satiksmes drošības direkcija" publisko maksas pakalpojumu cenrādis" </w:t>
    </w:r>
    <w:r w:rsidRPr="00F52666">
      <w:rPr>
        <w:rFonts w:eastAsia="Times New Roman"/>
        <w:bCs/>
        <w:sz w:val="20"/>
        <w:szCs w:val="20"/>
        <w:lang w:eastAsia="lv-LV"/>
      </w:rPr>
      <w:t>sākotnējās ietekmes novērtējuma ziņojums (anotācija)</w:t>
    </w:r>
  </w:p>
  <w:p w:rsidR="008C096F" w:rsidRPr="00F52666" w:rsidRDefault="008C096F" w:rsidP="008C096F">
    <w:pPr>
      <w:spacing w:line="240" w:lineRule="auto"/>
      <w:ind w:right="-199" w:firstLine="0"/>
      <w:rPr>
        <w:rFonts w:eastAsia="Times New Roman"/>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63" w:rsidRDefault="00430A63" w:rsidP="00E65F54">
      <w:pPr>
        <w:spacing w:line="240" w:lineRule="auto"/>
      </w:pPr>
      <w:r>
        <w:separator/>
      </w:r>
    </w:p>
  </w:footnote>
  <w:footnote w:type="continuationSeparator" w:id="0">
    <w:p w:rsidR="00430A63" w:rsidRDefault="00430A63"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56" w:rsidRDefault="001C0F56" w:rsidP="0047322B">
    <w:pPr>
      <w:pStyle w:val="Header"/>
      <w:ind w:firstLine="0"/>
      <w:jc w:val="center"/>
    </w:pPr>
    <w:r>
      <w:fldChar w:fldCharType="begin"/>
    </w:r>
    <w:r>
      <w:instrText xml:space="preserve"> PAGE   \* MERGEFORMAT </w:instrText>
    </w:r>
    <w:r>
      <w:fldChar w:fldCharType="separate"/>
    </w:r>
    <w:r w:rsidR="0066248B">
      <w:rPr>
        <w:noProof/>
      </w:rPr>
      <w:t>4</w:t>
    </w:r>
    <w:r>
      <w:fldChar w:fldCharType="end"/>
    </w:r>
  </w:p>
  <w:p w:rsidR="001C0F56" w:rsidRDefault="001C0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53B52F0"/>
    <w:multiLevelType w:val="hybridMultilevel"/>
    <w:tmpl w:val="4F62B958"/>
    <w:lvl w:ilvl="0" w:tplc="29F2B1B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07801"/>
    <w:rsid w:val="00013446"/>
    <w:rsid w:val="00015C0B"/>
    <w:rsid w:val="000305C4"/>
    <w:rsid w:val="0003680E"/>
    <w:rsid w:val="00036B0B"/>
    <w:rsid w:val="000448D7"/>
    <w:rsid w:val="0004524B"/>
    <w:rsid w:val="00047D4B"/>
    <w:rsid w:val="00063F9F"/>
    <w:rsid w:val="00066D08"/>
    <w:rsid w:val="000750A1"/>
    <w:rsid w:val="00076734"/>
    <w:rsid w:val="000811EA"/>
    <w:rsid w:val="00084CB3"/>
    <w:rsid w:val="00091C3F"/>
    <w:rsid w:val="00094458"/>
    <w:rsid w:val="000A069E"/>
    <w:rsid w:val="000B7137"/>
    <w:rsid w:val="000C5F83"/>
    <w:rsid w:val="000E0598"/>
    <w:rsid w:val="00103B16"/>
    <w:rsid w:val="00112B76"/>
    <w:rsid w:val="001132E9"/>
    <w:rsid w:val="00127A0B"/>
    <w:rsid w:val="0013026B"/>
    <w:rsid w:val="0013670F"/>
    <w:rsid w:val="00155DBC"/>
    <w:rsid w:val="001572C5"/>
    <w:rsid w:val="001627B5"/>
    <w:rsid w:val="00165690"/>
    <w:rsid w:val="00167D64"/>
    <w:rsid w:val="0017730B"/>
    <w:rsid w:val="001803C2"/>
    <w:rsid w:val="001844CC"/>
    <w:rsid w:val="00184718"/>
    <w:rsid w:val="001851C0"/>
    <w:rsid w:val="001970F9"/>
    <w:rsid w:val="001B1FF9"/>
    <w:rsid w:val="001B2B88"/>
    <w:rsid w:val="001B46BB"/>
    <w:rsid w:val="001B75EE"/>
    <w:rsid w:val="001C0D5F"/>
    <w:rsid w:val="001C0F56"/>
    <w:rsid w:val="001D35B7"/>
    <w:rsid w:val="001E685A"/>
    <w:rsid w:val="001E6D57"/>
    <w:rsid w:val="001F4D7A"/>
    <w:rsid w:val="00200D00"/>
    <w:rsid w:val="00202EEF"/>
    <w:rsid w:val="00204F40"/>
    <w:rsid w:val="0020589F"/>
    <w:rsid w:val="00206DCB"/>
    <w:rsid w:val="00212E72"/>
    <w:rsid w:val="00217600"/>
    <w:rsid w:val="00222114"/>
    <w:rsid w:val="00227D24"/>
    <w:rsid w:val="002325C3"/>
    <w:rsid w:val="002333FB"/>
    <w:rsid w:val="002338F3"/>
    <w:rsid w:val="00242A73"/>
    <w:rsid w:val="002431F8"/>
    <w:rsid w:val="00245706"/>
    <w:rsid w:val="00254AAA"/>
    <w:rsid w:val="00254E6C"/>
    <w:rsid w:val="0025541C"/>
    <w:rsid w:val="002679F7"/>
    <w:rsid w:val="0027189F"/>
    <w:rsid w:val="002747E2"/>
    <w:rsid w:val="0027493E"/>
    <w:rsid w:val="002833B3"/>
    <w:rsid w:val="00287F35"/>
    <w:rsid w:val="0029370D"/>
    <w:rsid w:val="00295CAB"/>
    <w:rsid w:val="002968C8"/>
    <w:rsid w:val="00297B97"/>
    <w:rsid w:val="002A15B0"/>
    <w:rsid w:val="002A2DD8"/>
    <w:rsid w:val="002A469E"/>
    <w:rsid w:val="002A7E09"/>
    <w:rsid w:val="002C009C"/>
    <w:rsid w:val="002C04A6"/>
    <w:rsid w:val="002C30D8"/>
    <w:rsid w:val="002C5EB8"/>
    <w:rsid w:val="002D728B"/>
    <w:rsid w:val="002E61AA"/>
    <w:rsid w:val="002F07D2"/>
    <w:rsid w:val="002F6F2D"/>
    <w:rsid w:val="00304890"/>
    <w:rsid w:val="003143C8"/>
    <w:rsid w:val="00315DA2"/>
    <w:rsid w:val="00333C49"/>
    <w:rsid w:val="003424A2"/>
    <w:rsid w:val="00354129"/>
    <w:rsid w:val="0035438C"/>
    <w:rsid w:val="00370CD2"/>
    <w:rsid w:val="003762F4"/>
    <w:rsid w:val="003777D2"/>
    <w:rsid w:val="00387089"/>
    <w:rsid w:val="0039258A"/>
    <w:rsid w:val="003A031D"/>
    <w:rsid w:val="003B3844"/>
    <w:rsid w:val="003D7BD5"/>
    <w:rsid w:val="003F4A5D"/>
    <w:rsid w:val="00410D4D"/>
    <w:rsid w:val="00416B05"/>
    <w:rsid w:val="0041799B"/>
    <w:rsid w:val="00421A23"/>
    <w:rsid w:val="0042286A"/>
    <w:rsid w:val="00423C68"/>
    <w:rsid w:val="0042467D"/>
    <w:rsid w:val="00426BBB"/>
    <w:rsid w:val="00430A63"/>
    <w:rsid w:val="00436CFA"/>
    <w:rsid w:val="00440491"/>
    <w:rsid w:val="00454938"/>
    <w:rsid w:val="0047322B"/>
    <w:rsid w:val="004871FD"/>
    <w:rsid w:val="00497897"/>
    <w:rsid w:val="004B14CA"/>
    <w:rsid w:val="004D7D18"/>
    <w:rsid w:val="004F4EAC"/>
    <w:rsid w:val="004F5900"/>
    <w:rsid w:val="00503C44"/>
    <w:rsid w:val="00504EE4"/>
    <w:rsid w:val="00517927"/>
    <w:rsid w:val="00522578"/>
    <w:rsid w:val="005248DA"/>
    <w:rsid w:val="00532F34"/>
    <w:rsid w:val="00536A82"/>
    <w:rsid w:val="005424DF"/>
    <w:rsid w:val="005543C7"/>
    <w:rsid w:val="00556218"/>
    <w:rsid w:val="00576115"/>
    <w:rsid w:val="0058386F"/>
    <w:rsid w:val="00585852"/>
    <w:rsid w:val="005A0227"/>
    <w:rsid w:val="005A4EA4"/>
    <w:rsid w:val="005B059A"/>
    <w:rsid w:val="005C413A"/>
    <w:rsid w:val="005D642F"/>
    <w:rsid w:val="005E015B"/>
    <w:rsid w:val="005E07E7"/>
    <w:rsid w:val="0060264C"/>
    <w:rsid w:val="0060734C"/>
    <w:rsid w:val="00616318"/>
    <w:rsid w:val="00630BBB"/>
    <w:rsid w:val="00647112"/>
    <w:rsid w:val="00654A6B"/>
    <w:rsid w:val="00654B07"/>
    <w:rsid w:val="00655313"/>
    <w:rsid w:val="0065770B"/>
    <w:rsid w:val="0066248B"/>
    <w:rsid w:val="0066319E"/>
    <w:rsid w:val="00664D98"/>
    <w:rsid w:val="00681A6F"/>
    <w:rsid w:val="00690C83"/>
    <w:rsid w:val="00691740"/>
    <w:rsid w:val="006917EE"/>
    <w:rsid w:val="006961F1"/>
    <w:rsid w:val="0069642A"/>
    <w:rsid w:val="00697697"/>
    <w:rsid w:val="006A0656"/>
    <w:rsid w:val="006A3498"/>
    <w:rsid w:val="006C51CB"/>
    <w:rsid w:val="006D2E7F"/>
    <w:rsid w:val="006D731E"/>
    <w:rsid w:val="006E0766"/>
    <w:rsid w:val="00710A4F"/>
    <w:rsid w:val="00716594"/>
    <w:rsid w:val="00721B24"/>
    <w:rsid w:val="00730FCA"/>
    <w:rsid w:val="0073167E"/>
    <w:rsid w:val="007323E8"/>
    <w:rsid w:val="00732A78"/>
    <w:rsid w:val="0073728A"/>
    <w:rsid w:val="00752546"/>
    <w:rsid w:val="00757000"/>
    <w:rsid w:val="0076696A"/>
    <w:rsid w:val="00767A00"/>
    <w:rsid w:val="007749B3"/>
    <w:rsid w:val="007758CA"/>
    <w:rsid w:val="00787478"/>
    <w:rsid w:val="00787BB0"/>
    <w:rsid w:val="00790A91"/>
    <w:rsid w:val="00794A30"/>
    <w:rsid w:val="007A3A6B"/>
    <w:rsid w:val="007A5EC4"/>
    <w:rsid w:val="007B478B"/>
    <w:rsid w:val="007C5F71"/>
    <w:rsid w:val="007C60A2"/>
    <w:rsid w:val="007D15C0"/>
    <w:rsid w:val="007D1DF0"/>
    <w:rsid w:val="007D6C45"/>
    <w:rsid w:val="007E51C5"/>
    <w:rsid w:val="0080047B"/>
    <w:rsid w:val="008057EB"/>
    <w:rsid w:val="0085087A"/>
    <w:rsid w:val="00852D5C"/>
    <w:rsid w:val="00854F94"/>
    <w:rsid w:val="0086133C"/>
    <w:rsid w:val="008655A1"/>
    <w:rsid w:val="008656E3"/>
    <w:rsid w:val="00874034"/>
    <w:rsid w:val="0089232A"/>
    <w:rsid w:val="00896DAF"/>
    <w:rsid w:val="008A0E41"/>
    <w:rsid w:val="008A4766"/>
    <w:rsid w:val="008A7AB1"/>
    <w:rsid w:val="008A7BCE"/>
    <w:rsid w:val="008C096F"/>
    <w:rsid w:val="008C261A"/>
    <w:rsid w:val="008E4E9E"/>
    <w:rsid w:val="008E4FDC"/>
    <w:rsid w:val="0090061C"/>
    <w:rsid w:val="00901AE9"/>
    <w:rsid w:val="00902794"/>
    <w:rsid w:val="00903C74"/>
    <w:rsid w:val="00910277"/>
    <w:rsid w:val="009106B5"/>
    <w:rsid w:val="00914657"/>
    <w:rsid w:val="009178DD"/>
    <w:rsid w:val="00927D6D"/>
    <w:rsid w:val="0093431A"/>
    <w:rsid w:val="00937C0D"/>
    <w:rsid w:val="00937F72"/>
    <w:rsid w:val="009454B9"/>
    <w:rsid w:val="00946458"/>
    <w:rsid w:val="009627D4"/>
    <w:rsid w:val="00965AE0"/>
    <w:rsid w:val="009671D1"/>
    <w:rsid w:val="00974550"/>
    <w:rsid w:val="00982781"/>
    <w:rsid w:val="00986FAE"/>
    <w:rsid w:val="00991B21"/>
    <w:rsid w:val="009A778F"/>
    <w:rsid w:val="009B3A3C"/>
    <w:rsid w:val="009C220D"/>
    <w:rsid w:val="009D3FC0"/>
    <w:rsid w:val="009D46CC"/>
    <w:rsid w:val="009D7511"/>
    <w:rsid w:val="009E3CEB"/>
    <w:rsid w:val="009E3D75"/>
    <w:rsid w:val="00A05F81"/>
    <w:rsid w:val="00A15D3D"/>
    <w:rsid w:val="00A221D2"/>
    <w:rsid w:val="00A24F5C"/>
    <w:rsid w:val="00A41420"/>
    <w:rsid w:val="00A42A7F"/>
    <w:rsid w:val="00A46EBC"/>
    <w:rsid w:val="00A52ACA"/>
    <w:rsid w:val="00A54475"/>
    <w:rsid w:val="00A55E62"/>
    <w:rsid w:val="00A71C25"/>
    <w:rsid w:val="00A760A2"/>
    <w:rsid w:val="00A80307"/>
    <w:rsid w:val="00AD09F2"/>
    <w:rsid w:val="00AE3BC9"/>
    <w:rsid w:val="00B035C8"/>
    <w:rsid w:val="00B22711"/>
    <w:rsid w:val="00B30FA4"/>
    <w:rsid w:val="00B30FC5"/>
    <w:rsid w:val="00B53085"/>
    <w:rsid w:val="00B60338"/>
    <w:rsid w:val="00B71C57"/>
    <w:rsid w:val="00B72A9D"/>
    <w:rsid w:val="00B7345C"/>
    <w:rsid w:val="00B75DAF"/>
    <w:rsid w:val="00B769C9"/>
    <w:rsid w:val="00B82E01"/>
    <w:rsid w:val="00B91243"/>
    <w:rsid w:val="00B94DED"/>
    <w:rsid w:val="00BA51FB"/>
    <w:rsid w:val="00BA6896"/>
    <w:rsid w:val="00BB440D"/>
    <w:rsid w:val="00BB634E"/>
    <w:rsid w:val="00BE5E2C"/>
    <w:rsid w:val="00BF514B"/>
    <w:rsid w:val="00BF7600"/>
    <w:rsid w:val="00BF7837"/>
    <w:rsid w:val="00C10433"/>
    <w:rsid w:val="00C1785E"/>
    <w:rsid w:val="00C17EEB"/>
    <w:rsid w:val="00C23DE7"/>
    <w:rsid w:val="00C25EDD"/>
    <w:rsid w:val="00C26472"/>
    <w:rsid w:val="00C371A7"/>
    <w:rsid w:val="00C43201"/>
    <w:rsid w:val="00C4728B"/>
    <w:rsid w:val="00C610A5"/>
    <w:rsid w:val="00C63F56"/>
    <w:rsid w:val="00C7402F"/>
    <w:rsid w:val="00C81E24"/>
    <w:rsid w:val="00C84CA4"/>
    <w:rsid w:val="00C86BD9"/>
    <w:rsid w:val="00C9413E"/>
    <w:rsid w:val="00CA08FB"/>
    <w:rsid w:val="00CA1E38"/>
    <w:rsid w:val="00CC171D"/>
    <w:rsid w:val="00CC1A72"/>
    <w:rsid w:val="00CC3B6A"/>
    <w:rsid w:val="00CC7161"/>
    <w:rsid w:val="00CE3764"/>
    <w:rsid w:val="00CE5AD2"/>
    <w:rsid w:val="00CF1AC4"/>
    <w:rsid w:val="00CF56A5"/>
    <w:rsid w:val="00D12520"/>
    <w:rsid w:val="00D22876"/>
    <w:rsid w:val="00D332B2"/>
    <w:rsid w:val="00D33E56"/>
    <w:rsid w:val="00D56814"/>
    <w:rsid w:val="00D56FCA"/>
    <w:rsid w:val="00D57AEC"/>
    <w:rsid w:val="00D600CB"/>
    <w:rsid w:val="00D66415"/>
    <w:rsid w:val="00D7143F"/>
    <w:rsid w:val="00D87F9C"/>
    <w:rsid w:val="00D92789"/>
    <w:rsid w:val="00DA3807"/>
    <w:rsid w:val="00DC0BAA"/>
    <w:rsid w:val="00DC1B56"/>
    <w:rsid w:val="00DC2F9A"/>
    <w:rsid w:val="00DC3D8A"/>
    <w:rsid w:val="00DD34A1"/>
    <w:rsid w:val="00DE4A48"/>
    <w:rsid w:val="00DE6125"/>
    <w:rsid w:val="00E0069B"/>
    <w:rsid w:val="00E135D7"/>
    <w:rsid w:val="00E213EF"/>
    <w:rsid w:val="00E2413C"/>
    <w:rsid w:val="00E27AA4"/>
    <w:rsid w:val="00E31597"/>
    <w:rsid w:val="00E35600"/>
    <w:rsid w:val="00E36609"/>
    <w:rsid w:val="00E603C2"/>
    <w:rsid w:val="00E65F54"/>
    <w:rsid w:val="00E76369"/>
    <w:rsid w:val="00E93554"/>
    <w:rsid w:val="00EB0C72"/>
    <w:rsid w:val="00EB3EF8"/>
    <w:rsid w:val="00EC20CA"/>
    <w:rsid w:val="00EC5C42"/>
    <w:rsid w:val="00EC79C9"/>
    <w:rsid w:val="00EE0D7C"/>
    <w:rsid w:val="00EF1B68"/>
    <w:rsid w:val="00EF5E10"/>
    <w:rsid w:val="00F0219F"/>
    <w:rsid w:val="00F1660A"/>
    <w:rsid w:val="00F166F2"/>
    <w:rsid w:val="00F20C12"/>
    <w:rsid w:val="00F44FD7"/>
    <w:rsid w:val="00F51F60"/>
    <w:rsid w:val="00F5374E"/>
    <w:rsid w:val="00F570A2"/>
    <w:rsid w:val="00F61C44"/>
    <w:rsid w:val="00F70DE6"/>
    <w:rsid w:val="00F77785"/>
    <w:rsid w:val="00F814BE"/>
    <w:rsid w:val="00F83CC8"/>
    <w:rsid w:val="00FA0642"/>
    <w:rsid w:val="00FA42A5"/>
    <w:rsid w:val="00FA5938"/>
    <w:rsid w:val="00FA5BB3"/>
    <w:rsid w:val="00FC2928"/>
    <w:rsid w:val="00FC387F"/>
    <w:rsid w:val="00FD02AC"/>
    <w:rsid w:val="00FD0D3B"/>
    <w:rsid w:val="00FE18D4"/>
    <w:rsid w:val="00FE33BA"/>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paragraph" w:styleId="ListParagraph">
    <w:name w:val="List Paragraph"/>
    <w:basedOn w:val="Normal"/>
    <w:uiPriority w:val="99"/>
    <w:qFormat/>
    <w:rsid w:val="00532F34"/>
    <w:pPr>
      <w:spacing w:line="240" w:lineRule="auto"/>
      <w:ind w:left="720" w:firstLine="0"/>
      <w:contextualSpacing/>
      <w:jc w:val="left"/>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paragraph" w:styleId="ListParagraph">
    <w:name w:val="List Paragraph"/>
    <w:basedOn w:val="Normal"/>
    <w:uiPriority w:val="99"/>
    <w:qFormat/>
    <w:rsid w:val="00532F34"/>
    <w:pPr>
      <w:spacing w:line="240" w:lineRule="auto"/>
      <w:ind w:left="720" w:firstLine="0"/>
      <w:contextualSpacing/>
      <w:jc w:val="left"/>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922252549">
      <w:bodyDiv w:val="1"/>
      <w:marLeft w:val="0"/>
      <w:marRight w:val="0"/>
      <w:marTop w:val="0"/>
      <w:marBottom w:val="0"/>
      <w:divBdr>
        <w:top w:val="none" w:sz="0" w:space="0" w:color="auto"/>
        <w:left w:val="none" w:sz="0" w:space="0" w:color="auto"/>
        <w:bottom w:val="none" w:sz="0" w:space="0" w:color="auto"/>
        <w:right w:val="none" w:sz="0" w:space="0" w:color="auto"/>
      </w:divBdr>
    </w:div>
    <w:div w:id="965546242">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4115</Words>
  <Characters>2347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2004.gada 29.jūnija noteikumos Nr.571 „Ceļu satiksmes noteikumi”” sākotnējās ietekmes novērtējuma ziņojums (anotācija)</vt:lpstr>
    </vt:vector>
  </TitlesOfParts>
  <Company>Satiksmes ministrija</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24.septembra noteikumos Nr.1000 „Valsts akciju sabiedrības „Ceļu satiksmes drošības direkcija” publisko maksas pakalpojumu cenrādis</dc:title>
  <dc:subject>anotācija</dc:subject>
  <dc:creator>Juris Teteris</dc:creator>
  <dc:description>juris.teteris@csdd.gov.lv_x000d_
67025725</dc:description>
  <cp:lastModifiedBy>Baiba Šterna</cp:lastModifiedBy>
  <cp:revision>9</cp:revision>
  <cp:lastPrinted>2014-07-11T09:37:00Z</cp:lastPrinted>
  <dcterms:created xsi:type="dcterms:W3CDTF">2014-09-16T06:56:00Z</dcterms:created>
  <dcterms:modified xsi:type="dcterms:W3CDTF">2014-10-03T10:13:00Z</dcterms:modified>
</cp:coreProperties>
</file>