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4" w:rsidRPr="0059279B" w:rsidRDefault="005B2BB4" w:rsidP="00EB304A">
      <w:pPr>
        <w:pStyle w:val="BodyText2"/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59279B">
        <w:rPr>
          <w:b/>
          <w:sz w:val="26"/>
          <w:szCs w:val="26"/>
        </w:rPr>
        <w:t>Ministru kabineta rīkojuma projekta</w:t>
      </w:r>
    </w:p>
    <w:p w:rsidR="005B2BB4" w:rsidRPr="0059279B" w:rsidRDefault="00595BE5" w:rsidP="00034431">
      <w:pPr>
        <w:keepNext/>
        <w:jc w:val="center"/>
        <w:rPr>
          <w:b/>
          <w:sz w:val="26"/>
          <w:szCs w:val="26"/>
        </w:rPr>
      </w:pPr>
      <w:r w:rsidRPr="0059279B">
        <w:rPr>
          <w:b/>
          <w:spacing w:val="-2"/>
          <w:sz w:val="26"/>
          <w:szCs w:val="26"/>
        </w:rPr>
        <w:t>„</w:t>
      </w:r>
      <w:r w:rsidR="00034431" w:rsidRPr="0059279B">
        <w:rPr>
          <w:b/>
          <w:spacing w:val="-2"/>
          <w:sz w:val="26"/>
          <w:szCs w:val="26"/>
        </w:rPr>
        <w:t xml:space="preserve">Par finanšu līdzekļu piešķiršanu no valsts budžeta programmas 02.00.00 „Līdzekļi neparedzētiem gadījumiem”” </w:t>
      </w:r>
      <w:r w:rsidR="005B2BB4" w:rsidRPr="0059279B">
        <w:rPr>
          <w:b/>
          <w:sz w:val="26"/>
          <w:szCs w:val="26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5B2BB4" w:rsidRPr="0059279B">
          <w:rPr>
            <w:b/>
            <w:sz w:val="26"/>
            <w:szCs w:val="26"/>
          </w:rPr>
          <w:t>ziņojums</w:t>
        </w:r>
      </w:smartTag>
      <w:r w:rsidR="005B2BB4" w:rsidRPr="0059279B">
        <w:rPr>
          <w:b/>
          <w:sz w:val="26"/>
          <w:szCs w:val="26"/>
        </w:rPr>
        <w:t xml:space="preserve"> (anotācija)</w:t>
      </w:r>
    </w:p>
    <w:p w:rsidR="005232C1" w:rsidRPr="0059279B" w:rsidRDefault="005232C1" w:rsidP="00954BF6">
      <w:pPr>
        <w:jc w:val="center"/>
        <w:rPr>
          <w:b/>
          <w:sz w:val="26"/>
          <w:szCs w:val="26"/>
        </w:rPr>
      </w:pPr>
    </w:p>
    <w:p w:rsidR="00E96AEC" w:rsidRPr="0059279B" w:rsidRDefault="00E96AEC" w:rsidP="00954BF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542"/>
        <w:gridCol w:w="5530"/>
      </w:tblGrid>
      <w:tr w:rsidR="00E96AEC" w:rsidRPr="0059279B" w:rsidTr="00FD7BBD">
        <w:trPr>
          <w:trHeight w:val="419"/>
        </w:trPr>
        <w:tc>
          <w:tcPr>
            <w:tcW w:w="5000" w:type="pct"/>
            <w:gridSpan w:val="3"/>
            <w:vAlign w:val="center"/>
          </w:tcPr>
          <w:p w:rsidR="00E96AEC" w:rsidRPr="0059279B" w:rsidRDefault="00E96AEC" w:rsidP="002B44A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59279B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E96AEC" w:rsidRPr="0059279B" w:rsidTr="00FD7BBD">
        <w:trPr>
          <w:trHeight w:val="415"/>
        </w:trPr>
        <w:tc>
          <w:tcPr>
            <w:tcW w:w="226" w:type="pct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1.</w:t>
            </w:r>
          </w:p>
        </w:tc>
        <w:tc>
          <w:tcPr>
            <w:tcW w:w="1864" w:type="pct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Pamatojums</w:t>
            </w:r>
          </w:p>
        </w:tc>
        <w:tc>
          <w:tcPr>
            <w:tcW w:w="2910" w:type="pct"/>
          </w:tcPr>
          <w:p w:rsidR="00E96AEC" w:rsidRPr="0059279B" w:rsidRDefault="00E96AEC" w:rsidP="0014695E">
            <w:pPr>
              <w:jc w:val="both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 xml:space="preserve">Saskaņā ar Ministru kabineta 2010.gada 7.aprīļa noteikumu Nr.300 „Ministru kabineta kārtības rullis” 58.punktu, </w:t>
            </w:r>
            <w:r w:rsidR="00864302" w:rsidRPr="0059279B">
              <w:rPr>
                <w:sz w:val="26"/>
                <w:szCs w:val="26"/>
              </w:rPr>
              <w:t>pamatojoties uz Ministru kabineta 2014.gada 9.decembra sēdes protokola Nr.69 16.§ 3.punkt</w:t>
            </w:r>
            <w:r w:rsidR="0014695E" w:rsidRPr="0059279B">
              <w:rPr>
                <w:sz w:val="26"/>
                <w:szCs w:val="26"/>
              </w:rPr>
              <w:t>u</w:t>
            </w:r>
            <w:r w:rsidR="00864302" w:rsidRPr="0059279B">
              <w:rPr>
                <w:sz w:val="26"/>
                <w:szCs w:val="26"/>
              </w:rPr>
              <w:t>.</w:t>
            </w:r>
          </w:p>
        </w:tc>
      </w:tr>
      <w:tr w:rsidR="00E96AEC" w:rsidRPr="0059279B" w:rsidTr="00FD7BBD">
        <w:trPr>
          <w:trHeight w:val="472"/>
        </w:trPr>
        <w:tc>
          <w:tcPr>
            <w:tcW w:w="226" w:type="pct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2.</w:t>
            </w:r>
          </w:p>
        </w:tc>
        <w:tc>
          <w:tcPr>
            <w:tcW w:w="1864" w:type="pct"/>
          </w:tcPr>
          <w:p w:rsidR="00E96AEC" w:rsidRPr="0059279B" w:rsidRDefault="00E96AEC" w:rsidP="002B44A6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10" w:type="pct"/>
          </w:tcPr>
          <w:p w:rsidR="00D44A72" w:rsidRPr="0059279B" w:rsidRDefault="00E96AEC" w:rsidP="00D44A72">
            <w:pPr>
              <w:jc w:val="both"/>
              <w:rPr>
                <w:rStyle w:val="spelle"/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Satiksmes ministrijas informatīva</w:t>
            </w:r>
            <w:r w:rsidR="004D09B4" w:rsidRPr="0059279B">
              <w:rPr>
                <w:sz w:val="26"/>
                <w:szCs w:val="26"/>
              </w:rPr>
              <w:t>is</w:t>
            </w:r>
            <w:r w:rsidRPr="0059279B">
              <w:rPr>
                <w:sz w:val="26"/>
                <w:szCs w:val="26"/>
              </w:rPr>
              <w:t xml:space="preserve"> ziņojum</w:t>
            </w:r>
            <w:r w:rsidR="004D09B4" w:rsidRPr="0059279B">
              <w:rPr>
                <w:sz w:val="26"/>
                <w:szCs w:val="26"/>
              </w:rPr>
              <w:t>s</w:t>
            </w:r>
            <w:r w:rsidRPr="0059279B">
              <w:rPr>
                <w:sz w:val="26"/>
                <w:szCs w:val="26"/>
              </w:rPr>
              <w:t xml:space="preserve"> „Par AS „Pasažieru vilciens” sabiedriskā transporta pakalpojumu sniegšanu reģionālajos starppilsētu nozīmes maršrutos 2013.gadā un </w:t>
            </w:r>
            <w:r w:rsidR="001A4A5F" w:rsidRPr="0059279B">
              <w:rPr>
                <w:sz w:val="26"/>
                <w:szCs w:val="26"/>
              </w:rPr>
              <w:t>2014.gadā”</w:t>
            </w:r>
            <w:r w:rsidR="004D09B4" w:rsidRPr="0059279B">
              <w:rPr>
                <w:sz w:val="26"/>
                <w:szCs w:val="26"/>
              </w:rPr>
              <w:t xml:space="preserve"> </w:t>
            </w:r>
            <w:r w:rsidR="001A4A5F" w:rsidRPr="0059279B">
              <w:rPr>
                <w:sz w:val="26"/>
                <w:szCs w:val="26"/>
              </w:rPr>
              <w:t xml:space="preserve">tika izskatīts Ministru kabineta 2014.gada 9.decembra sēdē. </w:t>
            </w:r>
            <w:r w:rsidR="00D44A72" w:rsidRPr="0059279B">
              <w:rPr>
                <w:sz w:val="26"/>
                <w:szCs w:val="26"/>
              </w:rPr>
              <w:t>I</w:t>
            </w:r>
            <w:r w:rsidR="0056468C" w:rsidRPr="0059279B">
              <w:rPr>
                <w:sz w:val="26"/>
                <w:szCs w:val="26"/>
              </w:rPr>
              <w:t>nformatīv</w:t>
            </w:r>
            <w:r w:rsidR="00D44A72" w:rsidRPr="0059279B">
              <w:rPr>
                <w:sz w:val="26"/>
                <w:szCs w:val="26"/>
              </w:rPr>
              <w:t xml:space="preserve">ajā </w:t>
            </w:r>
            <w:r w:rsidR="0056468C" w:rsidRPr="0059279B">
              <w:rPr>
                <w:sz w:val="26"/>
                <w:szCs w:val="26"/>
              </w:rPr>
              <w:t>ziņojum</w:t>
            </w:r>
            <w:r w:rsidR="00D44A72" w:rsidRPr="0059279B">
              <w:rPr>
                <w:sz w:val="26"/>
                <w:szCs w:val="26"/>
              </w:rPr>
              <w:t xml:space="preserve">ā norādīts, </w:t>
            </w:r>
            <w:r w:rsidR="0056468C" w:rsidRPr="0059279B">
              <w:rPr>
                <w:sz w:val="26"/>
                <w:szCs w:val="26"/>
              </w:rPr>
              <w:t xml:space="preserve">lai AS „Pasažieru vilciens” saņemtu pilnīgu zaudējumu kompensāciju par valsts pasūtījuma izpildi, uzņēmumam 2014.gadā ir nepieciešams papildus finansējums  10 892 330  </w:t>
            </w:r>
            <w:proofErr w:type="spellStart"/>
            <w:r w:rsidR="0056468C" w:rsidRPr="0059279B">
              <w:rPr>
                <w:i/>
                <w:sz w:val="26"/>
                <w:szCs w:val="26"/>
              </w:rPr>
              <w:t>euro</w:t>
            </w:r>
            <w:proofErr w:type="spellEnd"/>
            <w:r w:rsidR="0056468C" w:rsidRPr="0059279B">
              <w:rPr>
                <w:sz w:val="26"/>
                <w:szCs w:val="26"/>
              </w:rPr>
              <w:t xml:space="preserve"> (</w:t>
            </w:r>
            <w:proofErr w:type="spellStart"/>
            <w:r w:rsidR="0056468C" w:rsidRPr="0059279B">
              <w:rPr>
                <w:sz w:val="26"/>
                <w:szCs w:val="26"/>
              </w:rPr>
              <w:t>t.sk</w:t>
            </w:r>
            <w:proofErr w:type="spellEnd"/>
            <w:r w:rsidR="0056468C" w:rsidRPr="0059279B">
              <w:rPr>
                <w:sz w:val="26"/>
                <w:szCs w:val="26"/>
              </w:rPr>
              <w:t xml:space="preserve">. par 2013.gada nesegtajiem zaudējumiem 4 703 239 </w:t>
            </w:r>
            <w:proofErr w:type="spellStart"/>
            <w:r w:rsidR="0056468C" w:rsidRPr="0059279B">
              <w:rPr>
                <w:i/>
                <w:sz w:val="26"/>
                <w:szCs w:val="26"/>
              </w:rPr>
              <w:t>euro</w:t>
            </w:r>
            <w:proofErr w:type="spellEnd"/>
            <w:r w:rsidR="0056468C" w:rsidRPr="0059279B">
              <w:rPr>
                <w:sz w:val="26"/>
                <w:szCs w:val="26"/>
              </w:rPr>
              <w:t xml:space="preserve">). </w:t>
            </w:r>
            <w:r w:rsidR="00D44A72" w:rsidRPr="0059279B">
              <w:rPr>
                <w:sz w:val="26"/>
                <w:szCs w:val="26"/>
              </w:rPr>
              <w:t xml:space="preserve">Saskaņā ar Ministru kabineta 2014.gada 9.decembra sēdes protokola Nr.69 16.§ 2.punktu </w:t>
            </w:r>
            <w:r w:rsidR="00D44A72" w:rsidRPr="0059279B">
              <w:rPr>
                <w:rStyle w:val="spelle"/>
                <w:sz w:val="26"/>
                <w:szCs w:val="26"/>
              </w:rPr>
              <w:t xml:space="preserve">no valsts budžeta programmas 02.00.00 „Līdzekļi neparedzētiem gadījumiem” Satiksmes ministrijai piešķirti 3 703 239 </w:t>
            </w:r>
            <w:proofErr w:type="spellStart"/>
            <w:r w:rsidR="00D44A72" w:rsidRPr="0059279B">
              <w:rPr>
                <w:i/>
                <w:sz w:val="26"/>
                <w:szCs w:val="26"/>
              </w:rPr>
              <w:t>euro</w:t>
            </w:r>
            <w:proofErr w:type="spellEnd"/>
            <w:r w:rsidR="00D44A72" w:rsidRPr="0059279B">
              <w:rPr>
                <w:rStyle w:val="spelle"/>
                <w:sz w:val="26"/>
                <w:szCs w:val="26"/>
              </w:rPr>
              <w:t xml:space="preserve"> par 2013.gadu un 1 000 000 </w:t>
            </w:r>
            <w:proofErr w:type="spellStart"/>
            <w:r w:rsidR="00D44A72" w:rsidRPr="0059279B">
              <w:rPr>
                <w:i/>
                <w:sz w:val="26"/>
                <w:szCs w:val="26"/>
              </w:rPr>
              <w:t>euro</w:t>
            </w:r>
            <w:proofErr w:type="spellEnd"/>
            <w:r w:rsidR="00D44A72" w:rsidRPr="0059279B">
              <w:rPr>
                <w:rStyle w:val="spelle"/>
                <w:sz w:val="26"/>
                <w:szCs w:val="26"/>
              </w:rPr>
              <w:t xml:space="preserve"> par 2014.gadu, lai segtu akciju sabiedrības „Pasažieru vilciens” nesegtos zaudējumus par sabiedriskā transporta pakalpojumu sniegšanu reģionālajos starppilsētu nozīmes maršrutos pa dzelzceļu. </w:t>
            </w:r>
          </w:p>
          <w:p w:rsidR="00E96AEC" w:rsidRPr="0059279B" w:rsidRDefault="00EC6F7E" w:rsidP="00026A17">
            <w:pPr>
              <w:jc w:val="both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 xml:space="preserve">Tomēr iepriekš piešķirtie līdzekļi nesedz visas izmaksas par </w:t>
            </w:r>
            <w:r w:rsidR="005A42D0" w:rsidRPr="0059279B">
              <w:rPr>
                <w:sz w:val="26"/>
                <w:szCs w:val="26"/>
              </w:rPr>
              <w:t>akciju sabiedrības</w:t>
            </w:r>
            <w:r w:rsidRPr="0059279B">
              <w:rPr>
                <w:sz w:val="26"/>
                <w:szCs w:val="26"/>
              </w:rPr>
              <w:t xml:space="preserve"> </w:t>
            </w:r>
            <w:r w:rsidR="005A42D0" w:rsidRPr="0059279B">
              <w:rPr>
                <w:sz w:val="26"/>
                <w:szCs w:val="26"/>
              </w:rPr>
              <w:t>„Pasažieru vilciens”</w:t>
            </w:r>
            <w:r w:rsidRPr="0059279B">
              <w:rPr>
                <w:sz w:val="26"/>
                <w:szCs w:val="26"/>
              </w:rPr>
              <w:t xml:space="preserve"> faktiski </w:t>
            </w:r>
            <w:r w:rsidR="0096109E" w:rsidRPr="0059279B">
              <w:rPr>
                <w:sz w:val="26"/>
                <w:szCs w:val="26"/>
              </w:rPr>
              <w:t>pasūtīto</w:t>
            </w:r>
            <w:r w:rsidRPr="0059279B">
              <w:rPr>
                <w:sz w:val="26"/>
                <w:szCs w:val="26"/>
              </w:rPr>
              <w:t xml:space="preserve"> dzelzceļa pasažieru pārvadājumu apjomu 2014.gadā</w:t>
            </w:r>
            <w:r w:rsidR="00E96AEC" w:rsidRPr="0059279B">
              <w:rPr>
                <w:sz w:val="26"/>
                <w:szCs w:val="26"/>
              </w:rPr>
              <w:t>.</w:t>
            </w:r>
          </w:p>
          <w:p w:rsidR="00CF0CF5" w:rsidRPr="0059279B" w:rsidRDefault="00CF0CF5" w:rsidP="00993BCA">
            <w:pPr>
              <w:jc w:val="both"/>
              <w:rPr>
                <w:color w:val="FF0000"/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 xml:space="preserve">Ņemot vērā iepriekš minēto, Satiksmes ministrija ir sagatavojusi Ministru kabineta rīkojuma projektu par </w:t>
            </w:r>
            <w:r w:rsidR="009121A7" w:rsidRPr="0059279B">
              <w:rPr>
                <w:sz w:val="26"/>
                <w:szCs w:val="26"/>
              </w:rPr>
              <w:t xml:space="preserve">      </w:t>
            </w:r>
            <w:r w:rsidR="00347D87">
              <w:rPr>
                <w:sz w:val="26"/>
                <w:szCs w:val="26"/>
              </w:rPr>
              <w:t>4</w:t>
            </w:r>
            <w:r w:rsidR="009121A7" w:rsidRPr="0059279B">
              <w:rPr>
                <w:rStyle w:val="spelle"/>
                <w:sz w:val="26"/>
                <w:szCs w:val="26"/>
              </w:rPr>
              <w:t xml:space="preserve"> </w:t>
            </w:r>
            <w:r w:rsidR="00993BCA">
              <w:rPr>
                <w:rStyle w:val="spelle"/>
                <w:sz w:val="26"/>
                <w:szCs w:val="26"/>
              </w:rPr>
              <w:t>9</w:t>
            </w:r>
            <w:r w:rsidR="009121A7" w:rsidRPr="0059279B">
              <w:rPr>
                <w:rStyle w:val="spelle"/>
                <w:sz w:val="26"/>
                <w:szCs w:val="26"/>
              </w:rPr>
              <w:t xml:space="preserve">00 000 </w:t>
            </w:r>
            <w:proofErr w:type="spellStart"/>
            <w:r w:rsidR="009121A7" w:rsidRPr="0059279B">
              <w:rPr>
                <w:i/>
                <w:sz w:val="26"/>
                <w:szCs w:val="26"/>
              </w:rPr>
              <w:t>euro</w:t>
            </w:r>
            <w:proofErr w:type="spellEnd"/>
            <w:r w:rsidR="009121A7" w:rsidRPr="0059279B">
              <w:rPr>
                <w:rStyle w:val="spelle"/>
                <w:sz w:val="26"/>
                <w:szCs w:val="26"/>
              </w:rPr>
              <w:t xml:space="preserve"> piešķiršanu Satiksmes ministrijai, lai segtu akciju sabiedrības „Pasažieru vilciens” nesegtos zaudējumus par sabiedriskā transporta pakalpojumu sniegšanu reģionālajos starppilsētu nozīmes maršrutos pa dzelzceļu par 2014.gadu. </w:t>
            </w:r>
            <w:r w:rsidR="00C14CBE" w:rsidRPr="0059279B">
              <w:rPr>
                <w:rStyle w:val="spelle"/>
                <w:sz w:val="26"/>
                <w:szCs w:val="26"/>
              </w:rPr>
              <w:t xml:space="preserve">Norādītais finansējums </w:t>
            </w:r>
            <w:r w:rsidR="00EC6F7E" w:rsidRPr="0059279B">
              <w:rPr>
                <w:rStyle w:val="spelle"/>
                <w:sz w:val="26"/>
                <w:szCs w:val="26"/>
              </w:rPr>
              <w:t>tiks izmantots lai</w:t>
            </w:r>
            <w:r w:rsidR="00EC6F7E" w:rsidRPr="0059279B">
              <w:rPr>
                <w:sz w:val="26"/>
                <w:szCs w:val="26"/>
              </w:rPr>
              <w:t xml:space="preserve"> nodrošinātu </w:t>
            </w:r>
            <w:r w:rsidR="005A42D0" w:rsidRPr="0059279B">
              <w:rPr>
                <w:sz w:val="26"/>
                <w:szCs w:val="26"/>
              </w:rPr>
              <w:t xml:space="preserve"> akciju sabiedrības „Pasažieru vilciens” </w:t>
            </w:r>
            <w:r w:rsidR="00EC6F7E" w:rsidRPr="0059279B">
              <w:rPr>
                <w:sz w:val="26"/>
                <w:szCs w:val="26"/>
              </w:rPr>
              <w:t xml:space="preserve">maksājumus VAS </w:t>
            </w:r>
            <w:r w:rsidR="005A42D0" w:rsidRPr="0059279B">
              <w:rPr>
                <w:sz w:val="26"/>
                <w:szCs w:val="26"/>
              </w:rPr>
              <w:t>„</w:t>
            </w:r>
            <w:r w:rsidR="00EC6F7E" w:rsidRPr="0059279B">
              <w:rPr>
                <w:sz w:val="26"/>
                <w:szCs w:val="26"/>
              </w:rPr>
              <w:t>Latvijas Dzelzceļš</w:t>
            </w:r>
            <w:r w:rsidR="005A42D0" w:rsidRPr="0059279B">
              <w:rPr>
                <w:sz w:val="26"/>
                <w:szCs w:val="26"/>
              </w:rPr>
              <w:t>”</w:t>
            </w:r>
            <w:r w:rsidR="00EC6F7E" w:rsidRPr="0059279B">
              <w:rPr>
                <w:sz w:val="26"/>
                <w:szCs w:val="26"/>
              </w:rPr>
              <w:t xml:space="preserve"> par </w:t>
            </w:r>
            <w:r w:rsidR="00EC6F7E" w:rsidRPr="0059279B">
              <w:rPr>
                <w:sz w:val="26"/>
                <w:szCs w:val="26"/>
              </w:rPr>
              <w:lastRenderedPageBreak/>
              <w:t xml:space="preserve">publiskās lietošanas dzelzceļa infrastruktūras izmantošanu un uzlabos </w:t>
            </w:r>
            <w:r w:rsidR="005A42D0" w:rsidRPr="0059279B">
              <w:rPr>
                <w:sz w:val="26"/>
                <w:szCs w:val="26"/>
              </w:rPr>
              <w:t xml:space="preserve"> akciju sabiedrības „Pasažieru vilciens” </w:t>
            </w:r>
            <w:r w:rsidR="00EC6F7E" w:rsidRPr="0059279B">
              <w:rPr>
                <w:sz w:val="26"/>
                <w:szCs w:val="26"/>
              </w:rPr>
              <w:t>finanšu rādītājus.</w:t>
            </w:r>
          </w:p>
        </w:tc>
      </w:tr>
      <w:tr w:rsidR="00E96AEC" w:rsidRPr="0059279B" w:rsidTr="00FD7BBD">
        <w:trPr>
          <w:trHeight w:val="476"/>
        </w:trPr>
        <w:tc>
          <w:tcPr>
            <w:tcW w:w="226" w:type="pct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864" w:type="pct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2910" w:type="pct"/>
          </w:tcPr>
          <w:p w:rsidR="00E96AEC" w:rsidRPr="0059279B" w:rsidRDefault="00E96AEC" w:rsidP="002B44A6">
            <w:pPr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Satiksmes ministrija, VSIA „Autotransporta direkcija”.</w:t>
            </w:r>
          </w:p>
        </w:tc>
      </w:tr>
      <w:tr w:rsidR="00E96AEC" w:rsidRPr="0059279B" w:rsidTr="00FD7BBD">
        <w:tc>
          <w:tcPr>
            <w:tcW w:w="226" w:type="pct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4.</w:t>
            </w:r>
          </w:p>
        </w:tc>
        <w:tc>
          <w:tcPr>
            <w:tcW w:w="1864" w:type="pct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Cita informācija</w:t>
            </w:r>
          </w:p>
        </w:tc>
        <w:tc>
          <w:tcPr>
            <w:tcW w:w="2910" w:type="pct"/>
          </w:tcPr>
          <w:p w:rsidR="00E96AEC" w:rsidRPr="0059279B" w:rsidRDefault="001B1650" w:rsidP="009E065B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E96AEC" w:rsidRPr="0059279B">
              <w:rPr>
                <w:sz w:val="26"/>
                <w:szCs w:val="26"/>
              </w:rPr>
              <w:t>av.</w:t>
            </w:r>
          </w:p>
        </w:tc>
      </w:tr>
    </w:tbl>
    <w:p w:rsidR="00E96AEC" w:rsidRPr="0059279B" w:rsidRDefault="00E96AEC" w:rsidP="00E96AEC">
      <w:pPr>
        <w:rPr>
          <w:sz w:val="26"/>
          <w:szCs w:val="26"/>
        </w:rPr>
      </w:pPr>
    </w:p>
    <w:p w:rsidR="00E96AEC" w:rsidRPr="0059279B" w:rsidRDefault="00E96AEC" w:rsidP="00E96AE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43"/>
        <w:gridCol w:w="5529"/>
      </w:tblGrid>
      <w:tr w:rsidR="00E96AEC" w:rsidRPr="0059279B" w:rsidTr="002B44A6">
        <w:trPr>
          <w:trHeight w:val="556"/>
        </w:trPr>
        <w:tc>
          <w:tcPr>
            <w:tcW w:w="9503" w:type="dxa"/>
            <w:gridSpan w:val="3"/>
            <w:vAlign w:val="center"/>
          </w:tcPr>
          <w:p w:rsidR="00E96AEC" w:rsidRPr="0059279B" w:rsidRDefault="00E96AEC" w:rsidP="002B44A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59279B">
              <w:rPr>
                <w:b/>
                <w:sz w:val="26"/>
                <w:szCs w:val="26"/>
              </w:rPr>
              <w:t>II. Tiesību akta projekta ietekme uz sabiedrību, tautsaimniecības attīstību</w:t>
            </w:r>
          </w:p>
          <w:p w:rsidR="00E96AEC" w:rsidRPr="0059279B" w:rsidRDefault="00E96AEC" w:rsidP="002B44A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59279B">
              <w:rPr>
                <w:b/>
                <w:sz w:val="26"/>
                <w:szCs w:val="26"/>
              </w:rPr>
              <w:t>un administratīvo slogu</w:t>
            </w:r>
          </w:p>
        </w:tc>
      </w:tr>
      <w:tr w:rsidR="00E96AEC" w:rsidRPr="0059279B" w:rsidTr="002B44A6">
        <w:trPr>
          <w:trHeight w:val="467"/>
        </w:trPr>
        <w:tc>
          <w:tcPr>
            <w:tcW w:w="431" w:type="dxa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 xml:space="preserve">Sabiedrības </w:t>
            </w:r>
            <w:proofErr w:type="spellStart"/>
            <w:r w:rsidRPr="0059279B">
              <w:rPr>
                <w:sz w:val="26"/>
                <w:szCs w:val="26"/>
              </w:rPr>
              <w:t>mērķgrupas</w:t>
            </w:r>
            <w:proofErr w:type="spellEnd"/>
            <w:r w:rsidRPr="0059279B">
              <w:rPr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5529" w:type="dxa"/>
          </w:tcPr>
          <w:p w:rsidR="00E96AEC" w:rsidRPr="0059279B" w:rsidRDefault="00E96AEC" w:rsidP="00E96AEC">
            <w:pPr>
              <w:shd w:val="clear" w:color="auto" w:fill="FFFFFF"/>
              <w:ind w:left="57" w:right="57"/>
              <w:jc w:val="both"/>
              <w:rPr>
                <w:sz w:val="26"/>
                <w:szCs w:val="26"/>
              </w:rPr>
            </w:pPr>
            <w:bookmarkStart w:id="1" w:name="p21"/>
            <w:bookmarkEnd w:id="1"/>
            <w:r w:rsidRPr="0059279B">
              <w:rPr>
                <w:sz w:val="26"/>
                <w:szCs w:val="26"/>
              </w:rPr>
              <w:t>Satiksmes ministrija, VSIA ”Autotransporta direkcija”, AS „Pasažieru vilciens”.</w:t>
            </w:r>
          </w:p>
          <w:p w:rsidR="00E96AEC" w:rsidRPr="0059279B" w:rsidRDefault="00E96AEC" w:rsidP="00E96AEC">
            <w:pPr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96AEC" w:rsidRPr="0059279B" w:rsidTr="002B44A6">
        <w:trPr>
          <w:trHeight w:val="523"/>
        </w:trPr>
        <w:tc>
          <w:tcPr>
            <w:tcW w:w="431" w:type="dxa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529" w:type="dxa"/>
          </w:tcPr>
          <w:p w:rsidR="00E96AEC" w:rsidRPr="0059279B" w:rsidRDefault="00E96AEC" w:rsidP="002B44A6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Projekts šo jomu neskar.</w:t>
            </w:r>
          </w:p>
        </w:tc>
      </w:tr>
      <w:tr w:rsidR="00E96AEC" w:rsidRPr="0059279B" w:rsidTr="002B44A6">
        <w:trPr>
          <w:trHeight w:val="523"/>
        </w:trPr>
        <w:tc>
          <w:tcPr>
            <w:tcW w:w="431" w:type="dxa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529" w:type="dxa"/>
          </w:tcPr>
          <w:p w:rsidR="00E96AEC" w:rsidRPr="0059279B" w:rsidRDefault="00E96AEC" w:rsidP="002B44A6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Projekts šo jomu neskar.</w:t>
            </w:r>
          </w:p>
        </w:tc>
      </w:tr>
      <w:tr w:rsidR="00E96AEC" w:rsidRPr="0059279B" w:rsidTr="002B44A6">
        <w:trPr>
          <w:trHeight w:val="357"/>
        </w:trPr>
        <w:tc>
          <w:tcPr>
            <w:tcW w:w="431" w:type="dxa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E96AEC" w:rsidRPr="0059279B" w:rsidRDefault="00E96AEC" w:rsidP="002B44A6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Cita informācija</w:t>
            </w:r>
          </w:p>
        </w:tc>
        <w:tc>
          <w:tcPr>
            <w:tcW w:w="5529" w:type="dxa"/>
          </w:tcPr>
          <w:p w:rsidR="00E96AEC" w:rsidRPr="0059279B" w:rsidRDefault="001B1650" w:rsidP="009E065B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E96AEC" w:rsidRPr="0059279B">
              <w:rPr>
                <w:sz w:val="26"/>
                <w:szCs w:val="26"/>
              </w:rPr>
              <w:t>av.</w:t>
            </w:r>
          </w:p>
        </w:tc>
      </w:tr>
    </w:tbl>
    <w:p w:rsidR="00E96AEC" w:rsidRPr="0059279B" w:rsidRDefault="00E96AEC" w:rsidP="00E96AEC">
      <w:pPr>
        <w:spacing w:before="100" w:beforeAutospacing="1" w:after="100" w:afterAutospacing="1" w:line="360" w:lineRule="auto"/>
        <w:ind w:firstLine="300"/>
        <w:rPr>
          <w:rFonts w:ascii="Arial" w:hAnsi="Arial" w:cs="Arial"/>
          <w:color w:val="414142"/>
          <w:sz w:val="26"/>
          <w:szCs w:val="26"/>
        </w:rPr>
      </w:pPr>
      <w:r w:rsidRPr="0059279B">
        <w:rPr>
          <w:rFonts w:ascii="Arial" w:hAnsi="Arial" w:cs="Arial"/>
          <w:color w:val="414142"/>
          <w:sz w:val="26"/>
          <w:szCs w:val="26"/>
        </w:rPr>
        <w:t> </w:t>
      </w:r>
    </w:p>
    <w:tbl>
      <w:tblPr>
        <w:tblW w:w="5280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"/>
        <w:gridCol w:w="355"/>
        <w:gridCol w:w="2866"/>
        <w:gridCol w:w="748"/>
        <w:gridCol w:w="636"/>
        <w:gridCol w:w="1558"/>
        <w:gridCol w:w="899"/>
        <w:gridCol w:w="980"/>
        <w:gridCol w:w="1109"/>
        <w:gridCol w:w="285"/>
      </w:tblGrid>
      <w:tr w:rsidR="00E96AEC" w:rsidRPr="0059279B" w:rsidTr="00661AB7">
        <w:trPr>
          <w:gridAfter w:val="1"/>
          <w:wAfter w:w="149" w:type="pct"/>
        </w:trPr>
        <w:tc>
          <w:tcPr>
            <w:tcW w:w="4851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59279B">
              <w:rPr>
                <w:b/>
                <w:bCs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59279B">
              <w:rPr>
                <w:b/>
                <w:bCs/>
                <w:sz w:val="26"/>
                <w:szCs w:val="26"/>
              </w:rPr>
              <w:t>Rādītāji</w:t>
            </w:r>
          </w:p>
        </w:tc>
        <w:tc>
          <w:tcPr>
            <w:tcW w:w="152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59279B">
              <w:rPr>
                <w:b/>
                <w:bCs/>
                <w:sz w:val="26"/>
                <w:szCs w:val="26"/>
              </w:rPr>
              <w:t>2014.gads</w:t>
            </w:r>
          </w:p>
        </w:tc>
        <w:tc>
          <w:tcPr>
            <w:tcW w:w="15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Turpmākie trīs gadi (euro)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59279B">
              <w:rPr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59279B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59279B">
              <w:rPr>
                <w:b/>
                <w:bCs/>
                <w:sz w:val="26"/>
                <w:szCs w:val="26"/>
              </w:rPr>
              <w:t>2017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Izmaiņas, salīdzinot ar kārtējo (n) gadu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2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4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5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6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1. Budžeta ieņēmumi: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2. Budžeta izdevumi: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777A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 xml:space="preserve">    </w:t>
            </w:r>
            <w:r w:rsidR="00347D87">
              <w:rPr>
                <w:sz w:val="26"/>
                <w:szCs w:val="26"/>
              </w:rPr>
              <w:t>4</w:t>
            </w:r>
            <w:r w:rsidR="008E42FB" w:rsidRPr="0059279B">
              <w:rPr>
                <w:sz w:val="26"/>
                <w:szCs w:val="26"/>
              </w:rPr>
              <w:t> </w:t>
            </w:r>
            <w:r w:rsidR="00777A75">
              <w:rPr>
                <w:sz w:val="26"/>
                <w:szCs w:val="26"/>
              </w:rPr>
              <w:t>9</w:t>
            </w:r>
            <w:r w:rsidR="008E42FB" w:rsidRPr="0059279B">
              <w:rPr>
                <w:sz w:val="26"/>
                <w:szCs w:val="26"/>
              </w:rPr>
              <w:t xml:space="preserve">00 </w:t>
            </w:r>
            <w:r w:rsidR="00C93F99" w:rsidRPr="0059279B">
              <w:rPr>
                <w:sz w:val="26"/>
                <w:szCs w:val="26"/>
              </w:rPr>
              <w:t>0</w:t>
            </w:r>
            <w:r w:rsidR="008E42FB" w:rsidRPr="0059279B">
              <w:rPr>
                <w:sz w:val="26"/>
                <w:szCs w:val="26"/>
              </w:rPr>
              <w:t>00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347D87" w:rsidP="00777A75">
            <w:pPr>
              <w:spacing w:line="360" w:lineRule="auto"/>
              <w:ind w:left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</w:t>
            </w:r>
            <w:r w:rsidR="008E42FB" w:rsidRPr="0059279B">
              <w:rPr>
                <w:sz w:val="26"/>
                <w:szCs w:val="26"/>
              </w:rPr>
              <w:t> </w:t>
            </w:r>
            <w:r w:rsidR="00777A75">
              <w:rPr>
                <w:sz w:val="26"/>
                <w:szCs w:val="26"/>
              </w:rPr>
              <w:t>9</w:t>
            </w:r>
            <w:r w:rsidR="008E42FB" w:rsidRPr="0059279B">
              <w:rPr>
                <w:sz w:val="26"/>
                <w:szCs w:val="26"/>
              </w:rPr>
              <w:t xml:space="preserve">00 </w:t>
            </w:r>
            <w:r w:rsidR="00C93F99" w:rsidRPr="0059279B">
              <w:rPr>
                <w:sz w:val="26"/>
                <w:szCs w:val="26"/>
              </w:rPr>
              <w:t>0</w:t>
            </w:r>
            <w:r w:rsidR="008E42FB" w:rsidRPr="0059279B">
              <w:rPr>
                <w:sz w:val="26"/>
                <w:szCs w:val="26"/>
              </w:rPr>
              <w:t>00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lastRenderedPageBreak/>
              <w:t>2.2. valsts speciālais 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2.3. pašvaldību 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777A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-</w:t>
            </w:r>
            <w:r w:rsidR="00347D87">
              <w:rPr>
                <w:sz w:val="26"/>
                <w:szCs w:val="26"/>
              </w:rPr>
              <w:t>4</w:t>
            </w:r>
            <w:r w:rsidR="008E42FB" w:rsidRPr="0059279B">
              <w:rPr>
                <w:sz w:val="26"/>
                <w:szCs w:val="26"/>
              </w:rPr>
              <w:t> </w:t>
            </w:r>
            <w:r w:rsidR="00777A75">
              <w:rPr>
                <w:sz w:val="26"/>
                <w:szCs w:val="26"/>
              </w:rPr>
              <w:t>9</w:t>
            </w:r>
            <w:r w:rsidR="008E42FB" w:rsidRPr="0059279B">
              <w:rPr>
                <w:sz w:val="26"/>
                <w:szCs w:val="26"/>
              </w:rPr>
              <w:t xml:space="preserve">00 </w:t>
            </w:r>
            <w:r w:rsidR="00C93F99" w:rsidRPr="0059279B">
              <w:rPr>
                <w:sz w:val="26"/>
                <w:szCs w:val="26"/>
              </w:rPr>
              <w:t>0</w:t>
            </w:r>
            <w:r w:rsidR="008E42FB" w:rsidRPr="0059279B">
              <w:rPr>
                <w:sz w:val="26"/>
                <w:szCs w:val="26"/>
              </w:rPr>
              <w:t>00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8E42FB" w:rsidP="00777A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-</w:t>
            </w:r>
            <w:r w:rsidR="00347D87">
              <w:rPr>
                <w:sz w:val="26"/>
                <w:szCs w:val="26"/>
              </w:rPr>
              <w:t>4</w:t>
            </w:r>
            <w:r w:rsidRPr="0059279B">
              <w:rPr>
                <w:sz w:val="26"/>
                <w:szCs w:val="26"/>
              </w:rPr>
              <w:t> </w:t>
            </w:r>
            <w:r w:rsidR="00777A75">
              <w:rPr>
                <w:sz w:val="26"/>
                <w:szCs w:val="26"/>
              </w:rPr>
              <w:t>9</w:t>
            </w:r>
            <w:r w:rsidRPr="0059279B">
              <w:rPr>
                <w:sz w:val="26"/>
                <w:szCs w:val="26"/>
              </w:rPr>
              <w:t xml:space="preserve">00 </w:t>
            </w:r>
            <w:r w:rsidR="00C93F99" w:rsidRPr="0059279B">
              <w:rPr>
                <w:sz w:val="26"/>
                <w:szCs w:val="26"/>
              </w:rPr>
              <w:t>0</w:t>
            </w:r>
            <w:r w:rsidRPr="0059279B">
              <w:rPr>
                <w:sz w:val="26"/>
                <w:szCs w:val="26"/>
              </w:rPr>
              <w:t>00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3.3. pašvaldību budžets</w:t>
            </w:r>
          </w:p>
        </w:tc>
        <w:tc>
          <w:tcPr>
            <w:tcW w:w="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  <w:highlight w:val="yellow"/>
              </w:rPr>
            </w:pPr>
            <w:r w:rsidRPr="0059279B">
              <w:rPr>
                <w:sz w:val="26"/>
                <w:szCs w:val="26"/>
              </w:rPr>
              <w:t>4. Finanšu līdzekļi papildu izde</w:t>
            </w:r>
            <w:r w:rsidRPr="0059279B">
              <w:rPr>
                <w:sz w:val="26"/>
                <w:szCs w:val="26"/>
              </w:rPr>
              <w:softHyphen/>
              <w:t>vumu finansēšanai (kompensējošu izdevumu samazinājumu norāda ar "+" zīmi)</w:t>
            </w:r>
          </w:p>
        </w:tc>
        <w:tc>
          <w:tcPr>
            <w:tcW w:w="718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X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347D87" w:rsidP="00777A7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42FB" w:rsidRPr="0059279B">
              <w:rPr>
                <w:sz w:val="26"/>
                <w:szCs w:val="26"/>
              </w:rPr>
              <w:t> </w:t>
            </w:r>
            <w:r w:rsidR="00777A75">
              <w:rPr>
                <w:sz w:val="26"/>
                <w:szCs w:val="26"/>
              </w:rPr>
              <w:t>9</w:t>
            </w:r>
            <w:r w:rsidR="008E42FB" w:rsidRPr="0059279B">
              <w:rPr>
                <w:sz w:val="26"/>
                <w:szCs w:val="26"/>
              </w:rPr>
              <w:t xml:space="preserve">00 </w:t>
            </w:r>
            <w:r w:rsidR="00C93F99" w:rsidRPr="0059279B">
              <w:rPr>
                <w:sz w:val="26"/>
                <w:szCs w:val="26"/>
              </w:rPr>
              <w:t>0</w:t>
            </w:r>
            <w:r w:rsidR="008E42FB" w:rsidRPr="0059279B">
              <w:rPr>
                <w:sz w:val="26"/>
                <w:szCs w:val="26"/>
              </w:rPr>
              <w:t>00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rPr>
                <w:sz w:val="26"/>
                <w:szCs w:val="26"/>
              </w:rPr>
            </w:pPr>
          </w:p>
        </w:tc>
        <w:tc>
          <w:tcPr>
            <w:tcW w:w="71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718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X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71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71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5.3. pašvaldību budžets</w:t>
            </w:r>
          </w:p>
        </w:tc>
        <w:tc>
          <w:tcPr>
            <w:tcW w:w="71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C4648B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AEC" w:rsidRPr="0059279B" w:rsidRDefault="00E96AEC" w:rsidP="002B44A6">
            <w:pPr>
              <w:jc w:val="center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0</w:t>
            </w:r>
          </w:p>
        </w:tc>
      </w:tr>
      <w:tr w:rsidR="00E96AEC" w:rsidRPr="0059279B" w:rsidTr="00661AB7">
        <w:trPr>
          <w:gridAfter w:val="1"/>
          <w:wAfter w:w="149" w:type="pct"/>
          <w:trHeight w:val="1993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6. Detalizēts ieņēmumu un izdevu</w:t>
            </w:r>
            <w:r w:rsidRPr="0059279B">
              <w:rPr>
                <w:sz w:val="26"/>
                <w:szCs w:val="26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074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AEC" w:rsidRPr="0059279B" w:rsidRDefault="00E96AEC" w:rsidP="002B44A6">
            <w:pPr>
              <w:jc w:val="both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Detalizēts papildus finansējuma aprēķins ir atspoguļots Satiksmes ministrijas informatīvajā ziņojumā „Par AS „Pasažieru vilciens” sabiedriskā transporta pakalpojumu sniegšanu reģionālajos starppilsētu nozīmes maršrutos 2013.gadā un 2014.gadā”</w:t>
            </w:r>
          </w:p>
          <w:p w:rsidR="00E96AEC" w:rsidRPr="0059279B" w:rsidRDefault="00E96AEC" w:rsidP="002B44A6">
            <w:pPr>
              <w:jc w:val="both"/>
              <w:rPr>
                <w:sz w:val="26"/>
                <w:szCs w:val="26"/>
              </w:rPr>
            </w:pP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6.1. detalizēts ieņēmumu aprēķins</w:t>
            </w:r>
          </w:p>
        </w:tc>
        <w:tc>
          <w:tcPr>
            <w:tcW w:w="3074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AEC" w:rsidRPr="0059279B" w:rsidRDefault="00E96AEC" w:rsidP="002B44A6">
            <w:pPr>
              <w:rPr>
                <w:sz w:val="26"/>
                <w:szCs w:val="26"/>
              </w:rPr>
            </w:pP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3074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6AEC" w:rsidRPr="0059279B" w:rsidRDefault="00E96AEC" w:rsidP="002B44A6">
            <w:pPr>
              <w:rPr>
                <w:sz w:val="26"/>
                <w:szCs w:val="26"/>
              </w:rPr>
            </w:pPr>
          </w:p>
        </w:tc>
      </w:tr>
      <w:tr w:rsidR="00E96AEC" w:rsidRPr="0059279B" w:rsidTr="00661AB7">
        <w:trPr>
          <w:gridAfter w:val="1"/>
          <w:wAfter w:w="149" w:type="pct"/>
        </w:trPr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AEC" w:rsidRPr="0059279B" w:rsidRDefault="00E96AEC" w:rsidP="002B44A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7. Cita informācija</w:t>
            </w:r>
          </w:p>
        </w:tc>
        <w:tc>
          <w:tcPr>
            <w:tcW w:w="307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6AEC" w:rsidRPr="0059279B" w:rsidRDefault="00E96AEC" w:rsidP="00777A75">
            <w:pPr>
              <w:jc w:val="both"/>
              <w:rPr>
                <w:sz w:val="26"/>
                <w:szCs w:val="26"/>
              </w:rPr>
            </w:pPr>
            <w:r w:rsidRPr="0059279B">
              <w:rPr>
                <w:rFonts w:eastAsia="Calibri"/>
                <w:sz w:val="26"/>
                <w:szCs w:val="26"/>
              </w:rPr>
              <w:t xml:space="preserve">Projektam nav negatīvas ietekmes uz kopējo valsts budžeta bilanci, jo līdzekļi </w:t>
            </w:r>
            <w:r w:rsidR="00347D87">
              <w:rPr>
                <w:rFonts w:eastAsia="Calibri"/>
                <w:sz w:val="26"/>
                <w:szCs w:val="26"/>
              </w:rPr>
              <w:t>4</w:t>
            </w:r>
            <w:r w:rsidR="00C93F99" w:rsidRPr="0059279B">
              <w:rPr>
                <w:sz w:val="26"/>
                <w:szCs w:val="26"/>
              </w:rPr>
              <w:t xml:space="preserve"> </w:t>
            </w:r>
            <w:r w:rsidR="00777A75">
              <w:rPr>
                <w:sz w:val="26"/>
                <w:szCs w:val="26"/>
              </w:rPr>
              <w:t>9</w:t>
            </w:r>
            <w:r w:rsidR="00C93F99" w:rsidRPr="0059279B">
              <w:rPr>
                <w:sz w:val="26"/>
                <w:szCs w:val="26"/>
              </w:rPr>
              <w:t>00 000</w:t>
            </w:r>
            <w:r w:rsidRPr="0059279B">
              <w:rPr>
                <w:sz w:val="26"/>
                <w:szCs w:val="26"/>
              </w:rPr>
              <w:t xml:space="preserve"> </w:t>
            </w:r>
            <w:proofErr w:type="spellStart"/>
            <w:r w:rsidRPr="0059279B">
              <w:rPr>
                <w:i/>
                <w:sz w:val="26"/>
                <w:szCs w:val="26"/>
              </w:rPr>
              <w:t>euro</w:t>
            </w:r>
            <w:proofErr w:type="spellEnd"/>
            <w:r w:rsidRPr="0059279B">
              <w:rPr>
                <w:i/>
                <w:sz w:val="26"/>
                <w:szCs w:val="26"/>
              </w:rPr>
              <w:t xml:space="preserve"> </w:t>
            </w:r>
            <w:r w:rsidRPr="0059279B">
              <w:rPr>
                <w:sz w:val="26"/>
                <w:szCs w:val="26"/>
              </w:rPr>
              <w:t>apmērā Satiksmes ministrija</w:t>
            </w:r>
            <w:r w:rsidR="009E065B">
              <w:rPr>
                <w:sz w:val="26"/>
                <w:szCs w:val="26"/>
              </w:rPr>
              <w:t>i</w:t>
            </w:r>
            <w:r w:rsidRPr="0059279B">
              <w:rPr>
                <w:sz w:val="26"/>
                <w:szCs w:val="26"/>
              </w:rPr>
              <w:t xml:space="preserve"> </w:t>
            </w:r>
            <w:r w:rsidR="009E065B">
              <w:rPr>
                <w:sz w:val="26"/>
                <w:szCs w:val="26"/>
              </w:rPr>
              <w:t>programmai 99</w:t>
            </w:r>
            <w:r w:rsidRPr="0059279B">
              <w:rPr>
                <w:sz w:val="26"/>
                <w:szCs w:val="26"/>
              </w:rPr>
              <w:t>.0</w:t>
            </w:r>
            <w:r w:rsidR="009E065B">
              <w:rPr>
                <w:sz w:val="26"/>
                <w:szCs w:val="26"/>
              </w:rPr>
              <w:t>0</w:t>
            </w:r>
            <w:r w:rsidRPr="0059279B">
              <w:rPr>
                <w:sz w:val="26"/>
                <w:szCs w:val="26"/>
              </w:rPr>
              <w:t>.00 „</w:t>
            </w:r>
            <w:r w:rsidR="009E065B">
              <w:rPr>
                <w:sz w:val="26"/>
                <w:szCs w:val="26"/>
              </w:rPr>
              <w:t xml:space="preserve">Līdzekļu neparedzētiem gadījumiem izlietojums” </w:t>
            </w:r>
            <w:r w:rsidRPr="0059279B">
              <w:rPr>
                <w:sz w:val="26"/>
                <w:szCs w:val="26"/>
              </w:rPr>
              <w:t xml:space="preserve">tiks pārdalīti no valsts pamatbudžeta programmas </w:t>
            </w:r>
            <w:r w:rsidR="009E065B">
              <w:rPr>
                <w:spacing w:val="-2"/>
                <w:sz w:val="26"/>
                <w:szCs w:val="26"/>
              </w:rPr>
              <w:t>02.00.00 „Līdzekļi</w:t>
            </w:r>
            <w:r w:rsidRPr="0059279B">
              <w:rPr>
                <w:spacing w:val="-2"/>
                <w:sz w:val="26"/>
                <w:szCs w:val="26"/>
              </w:rPr>
              <w:t xml:space="preserve"> neparedzētiem </w:t>
            </w:r>
            <w:r w:rsidR="009E065B">
              <w:rPr>
                <w:spacing w:val="-2"/>
                <w:sz w:val="26"/>
                <w:szCs w:val="26"/>
              </w:rPr>
              <w:t>gadījumiem</w:t>
            </w:r>
            <w:r w:rsidRPr="0059279B">
              <w:rPr>
                <w:spacing w:val="-2"/>
                <w:sz w:val="26"/>
                <w:szCs w:val="26"/>
              </w:rPr>
              <w:t>”</w:t>
            </w:r>
            <w:r w:rsidRPr="0059279B">
              <w:rPr>
                <w:sz w:val="26"/>
                <w:szCs w:val="26"/>
              </w:rPr>
              <w:t xml:space="preserve">, lai nodrošinātu sabiedriskā transporta  nepārtrauktību un segtu </w:t>
            </w:r>
            <w:r w:rsidRPr="0059279B">
              <w:rPr>
                <w:rFonts w:eastAsia="Calibri"/>
                <w:sz w:val="26"/>
                <w:szCs w:val="26"/>
              </w:rPr>
              <w:t>zaudējumus AS „Pasažieru vilciens” pārvadājumos pa dzelzceļu.</w:t>
            </w:r>
          </w:p>
        </w:tc>
      </w:tr>
      <w:tr w:rsidR="00E96AEC" w:rsidRPr="0059279B" w:rsidTr="00661A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107" w:type="pct"/>
          <w:trHeight w:val="381"/>
          <w:jc w:val="center"/>
        </w:trPr>
        <w:tc>
          <w:tcPr>
            <w:tcW w:w="4893" w:type="pct"/>
            <w:gridSpan w:val="9"/>
            <w:vAlign w:val="center"/>
          </w:tcPr>
          <w:p w:rsidR="00E96AEC" w:rsidRPr="0059279B" w:rsidRDefault="00E96AEC" w:rsidP="002B44A6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59279B">
              <w:rPr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E96AEC" w:rsidRPr="0059279B" w:rsidTr="00661A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107" w:type="pct"/>
          <w:trHeight w:val="427"/>
          <w:jc w:val="center"/>
        </w:trPr>
        <w:tc>
          <w:tcPr>
            <w:tcW w:w="184" w:type="pct"/>
          </w:tcPr>
          <w:p w:rsidR="00E96AEC" w:rsidRPr="0059279B" w:rsidRDefault="00E96AEC" w:rsidP="002B44A6">
            <w:pPr>
              <w:pStyle w:val="naisnod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1.</w:t>
            </w:r>
          </w:p>
        </w:tc>
        <w:tc>
          <w:tcPr>
            <w:tcW w:w="1874" w:type="pct"/>
            <w:gridSpan w:val="2"/>
          </w:tcPr>
          <w:p w:rsidR="00E96AEC" w:rsidRPr="0059279B" w:rsidRDefault="00E96AEC" w:rsidP="00FD7BBD">
            <w:pPr>
              <w:pStyle w:val="naisf"/>
              <w:spacing w:before="0" w:after="0"/>
              <w:ind w:left="57" w:right="57" w:firstLine="0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2834" w:type="pct"/>
            <w:gridSpan w:val="6"/>
          </w:tcPr>
          <w:p w:rsidR="00E96AEC" w:rsidRPr="0059279B" w:rsidRDefault="00FD7BBD" w:rsidP="00FD7BB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 w:rsidRPr="0059279B">
              <w:rPr>
                <w:sz w:val="26"/>
                <w:szCs w:val="26"/>
              </w:rPr>
              <w:t>Rīkojuma izpildi nodrošinās Satiksmes ministrija, Finanšu ministrija un VSIA „Autotransporta direkcija”.</w:t>
            </w:r>
          </w:p>
        </w:tc>
      </w:tr>
      <w:tr w:rsidR="00E96AEC" w:rsidRPr="0059279B" w:rsidTr="00661A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107" w:type="pct"/>
          <w:trHeight w:val="463"/>
          <w:jc w:val="center"/>
        </w:trPr>
        <w:tc>
          <w:tcPr>
            <w:tcW w:w="184" w:type="pct"/>
          </w:tcPr>
          <w:p w:rsidR="00E96AEC" w:rsidRPr="0059279B" w:rsidRDefault="00E96AEC" w:rsidP="002B44A6">
            <w:pPr>
              <w:pStyle w:val="naisnod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2.</w:t>
            </w:r>
          </w:p>
        </w:tc>
        <w:tc>
          <w:tcPr>
            <w:tcW w:w="1874" w:type="pct"/>
            <w:gridSpan w:val="2"/>
          </w:tcPr>
          <w:p w:rsidR="00E96AEC" w:rsidRPr="0059279B" w:rsidRDefault="00E96AEC" w:rsidP="00FD7BBD">
            <w:pPr>
              <w:pStyle w:val="naisf"/>
              <w:spacing w:before="0" w:after="0"/>
              <w:ind w:left="57" w:right="57" w:firstLine="0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Projekta izpildes ietekme uz pār</w:t>
            </w:r>
            <w:r w:rsidRPr="0059279B">
              <w:rPr>
                <w:sz w:val="26"/>
                <w:szCs w:val="26"/>
              </w:rPr>
              <w:softHyphen/>
              <w:t>valdes funkcijām un institucionālo struktūru.</w:t>
            </w:r>
          </w:p>
          <w:p w:rsidR="00E96AEC" w:rsidRPr="0059279B" w:rsidRDefault="00E96AEC" w:rsidP="00FD7BBD">
            <w:pPr>
              <w:pStyle w:val="naisf"/>
              <w:spacing w:before="0" w:after="0"/>
              <w:ind w:left="57" w:right="57" w:firstLine="0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lastRenderedPageBreak/>
              <w:t>Jaunu institūciju izveide, esošu institūciju likvidācija vai reorga</w:t>
            </w:r>
            <w:r w:rsidRPr="0059279B">
              <w:rPr>
                <w:sz w:val="26"/>
                <w:szCs w:val="26"/>
              </w:rPr>
              <w:softHyphen/>
              <w:t>nizācija, to ietekme uz institūcijas cilvēkresursiem</w:t>
            </w:r>
          </w:p>
        </w:tc>
        <w:tc>
          <w:tcPr>
            <w:tcW w:w="2834" w:type="pct"/>
            <w:gridSpan w:val="6"/>
          </w:tcPr>
          <w:p w:rsidR="00E96AEC" w:rsidRPr="0059279B" w:rsidRDefault="00E96AEC" w:rsidP="002B44A6">
            <w:pPr>
              <w:shd w:val="clear" w:color="auto" w:fill="FFFFFF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lastRenderedPageBreak/>
              <w:t>Projekts šo jomu neskar.</w:t>
            </w:r>
          </w:p>
        </w:tc>
      </w:tr>
      <w:tr w:rsidR="00E96AEC" w:rsidRPr="0059279B" w:rsidTr="00661A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107" w:type="pct"/>
          <w:trHeight w:val="40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C" w:rsidRPr="0059279B" w:rsidRDefault="00E96AEC" w:rsidP="002B44A6">
            <w:pPr>
              <w:pStyle w:val="naisnod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C" w:rsidRPr="0059279B" w:rsidRDefault="00E96AEC" w:rsidP="00FD7BBD">
            <w:pPr>
              <w:pStyle w:val="naisf"/>
              <w:spacing w:before="0" w:after="0"/>
              <w:ind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Cita informācija</w:t>
            </w:r>
          </w:p>
        </w:tc>
        <w:tc>
          <w:tcPr>
            <w:tcW w:w="2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C" w:rsidRPr="0059279B" w:rsidRDefault="00E96AEC" w:rsidP="002B44A6">
            <w:pPr>
              <w:ind w:left="57" w:right="57"/>
              <w:rPr>
                <w:sz w:val="26"/>
                <w:szCs w:val="26"/>
              </w:rPr>
            </w:pPr>
            <w:r w:rsidRPr="0059279B">
              <w:rPr>
                <w:sz w:val="26"/>
                <w:szCs w:val="26"/>
              </w:rPr>
              <w:t>Nav.</w:t>
            </w:r>
          </w:p>
        </w:tc>
      </w:tr>
    </w:tbl>
    <w:p w:rsidR="004F5331" w:rsidRPr="0059279B" w:rsidRDefault="004F5331" w:rsidP="004F5331">
      <w:pPr>
        <w:rPr>
          <w:vanish/>
          <w:sz w:val="26"/>
          <w:szCs w:val="26"/>
        </w:rPr>
      </w:pPr>
    </w:p>
    <w:p w:rsidR="00C92669" w:rsidRPr="0059279B" w:rsidRDefault="006F38A1" w:rsidP="00C92669">
      <w:pPr>
        <w:spacing w:before="120" w:after="120"/>
        <w:jc w:val="both"/>
        <w:rPr>
          <w:color w:val="000000"/>
          <w:sz w:val="26"/>
          <w:szCs w:val="26"/>
          <w:lang w:eastAsia="en-US"/>
        </w:rPr>
      </w:pPr>
      <w:r w:rsidRPr="0059279B">
        <w:rPr>
          <w:color w:val="000000"/>
          <w:sz w:val="26"/>
          <w:szCs w:val="26"/>
          <w:lang w:eastAsia="en-US"/>
        </w:rPr>
        <w:t>Anotācijas II, IV, V</w:t>
      </w:r>
      <w:r w:rsidR="0042310A" w:rsidRPr="0059279B">
        <w:rPr>
          <w:color w:val="000000"/>
          <w:sz w:val="26"/>
          <w:szCs w:val="26"/>
          <w:lang w:eastAsia="en-US"/>
        </w:rPr>
        <w:t xml:space="preserve"> un VI</w:t>
      </w:r>
      <w:r w:rsidR="00C92669" w:rsidRPr="0059279B">
        <w:rPr>
          <w:color w:val="000000"/>
          <w:sz w:val="26"/>
          <w:szCs w:val="26"/>
          <w:lang w:eastAsia="en-US"/>
        </w:rPr>
        <w:t xml:space="preserve"> sadaļa – projekts šīs jomas neskar.</w:t>
      </w:r>
    </w:p>
    <w:p w:rsidR="00134076" w:rsidRPr="0059279B" w:rsidRDefault="00134076" w:rsidP="0021468A">
      <w:pPr>
        <w:pStyle w:val="naisf"/>
        <w:spacing w:before="0" w:after="0"/>
        <w:ind w:firstLine="0"/>
        <w:rPr>
          <w:sz w:val="26"/>
          <w:szCs w:val="26"/>
        </w:rPr>
      </w:pPr>
    </w:p>
    <w:p w:rsidR="00A7064A" w:rsidRPr="0059279B" w:rsidRDefault="00A7064A" w:rsidP="00CA4D97">
      <w:pPr>
        <w:pStyle w:val="naisf"/>
        <w:spacing w:before="0" w:after="0"/>
        <w:ind w:firstLine="684"/>
        <w:rPr>
          <w:sz w:val="26"/>
          <w:szCs w:val="26"/>
        </w:rPr>
      </w:pPr>
    </w:p>
    <w:p w:rsidR="00CA4D97" w:rsidRPr="0059279B" w:rsidRDefault="002F5055" w:rsidP="00CA4D97">
      <w:pPr>
        <w:pStyle w:val="naisf"/>
        <w:spacing w:before="0" w:after="0"/>
        <w:ind w:firstLine="684"/>
        <w:rPr>
          <w:sz w:val="26"/>
          <w:szCs w:val="26"/>
        </w:rPr>
      </w:pPr>
      <w:r w:rsidRPr="0059279B">
        <w:rPr>
          <w:sz w:val="26"/>
          <w:szCs w:val="26"/>
        </w:rPr>
        <w:tab/>
      </w:r>
      <w:r w:rsidR="00CA4D97" w:rsidRPr="0059279B">
        <w:rPr>
          <w:sz w:val="26"/>
          <w:szCs w:val="26"/>
        </w:rPr>
        <w:t>Satiksmes ministrs</w:t>
      </w:r>
      <w:r w:rsidR="00CA4D97" w:rsidRPr="0059279B">
        <w:rPr>
          <w:sz w:val="26"/>
          <w:szCs w:val="26"/>
        </w:rPr>
        <w:tab/>
      </w:r>
      <w:r w:rsidR="00CA4D97" w:rsidRPr="0059279B">
        <w:rPr>
          <w:sz w:val="26"/>
          <w:szCs w:val="26"/>
        </w:rPr>
        <w:tab/>
      </w:r>
      <w:r w:rsidR="00CA4D97" w:rsidRPr="0059279B">
        <w:rPr>
          <w:sz w:val="26"/>
          <w:szCs w:val="26"/>
        </w:rPr>
        <w:tab/>
      </w:r>
      <w:r w:rsidR="00CA4D97" w:rsidRPr="0059279B">
        <w:rPr>
          <w:sz w:val="26"/>
          <w:szCs w:val="26"/>
        </w:rPr>
        <w:tab/>
      </w:r>
      <w:r w:rsidR="00FF1B44" w:rsidRPr="0059279B">
        <w:rPr>
          <w:sz w:val="26"/>
          <w:szCs w:val="26"/>
        </w:rPr>
        <w:tab/>
      </w:r>
      <w:r w:rsidR="00FF1B44" w:rsidRPr="0059279B">
        <w:rPr>
          <w:sz w:val="26"/>
          <w:szCs w:val="26"/>
        </w:rPr>
        <w:tab/>
      </w:r>
      <w:r w:rsidR="009C35A8" w:rsidRPr="0059279B">
        <w:rPr>
          <w:sz w:val="26"/>
          <w:szCs w:val="26"/>
        </w:rPr>
        <w:tab/>
      </w:r>
      <w:r w:rsidR="002F72B3" w:rsidRPr="0059279B">
        <w:rPr>
          <w:sz w:val="26"/>
          <w:szCs w:val="26"/>
        </w:rPr>
        <w:t>A.</w:t>
      </w:r>
      <w:r w:rsidR="00BD5CD1" w:rsidRPr="0059279B">
        <w:rPr>
          <w:sz w:val="26"/>
          <w:szCs w:val="26"/>
        </w:rPr>
        <w:t>Matīss</w:t>
      </w:r>
    </w:p>
    <w:p w:rsidR="005800F3" w:rsidRPr="0059279B" w:rsidRDefault="005800F3" w:rsidP="000B09C4">
      <w:pPr>
        <w:jc w:val="both"/>
        <w:rPr>
          <w:sz w:val="26"/>
          <w:szCs w:val="26"/>
          <w:lang w:val="de-DE"/>
        </w:rPr>
      </w:pPr>
    </w:p>
    <w:p w:rsidR="00134076" w:rsidRPr="0059279B" w:rsidRDefault="00134076" w:rsidP="001D65E2">
      <w:pPr>
        <w:ind w:firstLine="684"/>
        <w:jc w:val="both"/>
        <w:rPr>
          <w:sz w:val="26"/>
          <w:szCs w:val="26"/>
          <w:lang w:val="de-DE"/>
        </w:rPr>
      </w:pPr>
    </w:p>
    <w:p w:rsidR="002D0DE1" w:rsidRPr="0059279B" w:rsidRDefault="00635FF9" w:rsidP="001D65E2">
      <w:pPr>
        <w:ind w:firstLine="684"/>
        <w:jc w:val="both"/>
        <w:rPr>
          <w:sz w:val="26"/>
          <w:szCs w:val="26"/>
        </w:rPr>
      </w:pPr>
      <w:r w:rsidRPr="0059279B">
        <w:rPr>
          <w:sz w:val="26"/>
          <w:szCs w:val="26"/>
        </w:rPr>
        <w:t>Vizē</w:t>
      </w:r>
      <w:r w:rsidR="00CA4D97" w:rsidRPr="0059279B">
        <w:rPr>
          <w:sz w:val="26"/>
          <w:szCs w:val="26"/>
        </w:rPr>
        <w:t xml:space="preserve">: Valsts </w:t>
      </w:r>
      <w:r w:rsidR="000B0EE7" w:rsidRPr="0059279B">
        <w:rPr>
          <w:sz w:val="26"/>
          <w:szCs w:val="26"/>
        </w:rPr>
        <w:t>sekretār</w:t>
      </w:r>
      <w:r w:rsidR="00347D87">
        <w:rPr>
          <w:sz w:val="26"/>
          <w:szCs w:val="26"/>
        </w:rPr>
        <w:t>s</w:t>
      </w:r>
      <w:r w:rsidR="00680200" w:rsidRPr="0059279B">
        <w:rPr>
          <w:sz w:val="26"/>
          <w:szCs w:val="26"/>
        </w:rPr>
        <w:tab/>
      </w:r>
      <w:r w:rsidR="00680200" w:rsidRPr="0059279B">
        <w:rPr>
          <w:sz w:val="26"/>
          <w:szCs w:val="26"/>
        </w:rPr>
        <w:tab/>
      </w:r>
      <w:r w:rsidR="00680200" w:rsidRPr="0059279B">
        <w:rPr>
          <w:sz w:val="26"/>
          <w:szCs w:val="26"/>
          <w:lang w:val="de-DE"/>
        </w:rPr>
        <w:tab/>
      </w:r>
      <w:r w:rsidR="00680200" w:rsidRPr="0059279B">
        <w:rPr>
          <w:sz w:val="26"/>
          <w:szCs w:val="26"/>
          <w:lang w:val="de-DE"/>
        </w:rPr>
        <w:tab/>
      </w:r>
      <w:r w:rsidR="00680200" w:rsidRPr="0059279B">
        <w:rPr>
          <w:sz w:val="26"/>
          <w:szCs w:val="26"/>
          <w:lang w:val="de-DE"/>
        </w:rPr>
        <w:tab/>
      </w:r>
      <w:r w:rsidR="00680200" w:rsidRPr="0059279B">
        <w:rPr>
          <w:sz w:val="26"/>
          <w:szCs w:val="26"/>
          <w:lang w:val="de-DE"/>
        </w:rPr>
        <w:tab/>
      </w:r>
      <w:proofErr w:type="spellStart"/>
      <w:r w:rsidR="00347D87">
        <w:rPr>
          <w:sz w:val="26"/>
          <w:szCs w:val="26"/>
          <w:lang w:val="de-DE"/>
        </w:rPr>
        <w:t>K.Ozoliņš</w:t>
      </w:r>
      <w:proofErr w:type="spellEnd"/>
    </w:p>
    <w:p w:rsidR="002F72B3" w:rsidRPr="0059279B" w:rsidRDefault="002F72B3" w:rsidP="002F72B3">
      <w:pPr>
        <w:rPr>
          <w:sz w:val="26"/>
          <w:szCs w:val="26"/>
          <w:lang w:val="de-DE"/>
        </w:rPr>
      </w:pPr>
    </w:p>
    <w:p w:rsidR="00E16BBE" w:rsidRPr="0059279B" w:rsidRDefault="00E16BBE" w:rsidP="002F72B3">
      <w:pPr>
        <w:rPr>
          <w:sz w:val="26"/>
          <w:szCs w:val="26"/>
        </w:rPr>
      </w:pPr>
    </w:p>
    <w:p w:rsidR="00B3625F" w:rsidRDefault="00B3625F" w:rsidP="002F72B3">
      <w:pPr>
        <w:rPr>
          <w:sz w:val="22"/>
          <w:szCs w:val="22"/>
        </w:rPr>
      </w:pPr>
    </w:p>
    <w:p w:rsidR="00B3625F" w:rsidRDefault="00B3625F" w:rsidP="002F72B3">
      <w:pPr>
        <w:rPr>
          <w:sz w:val="22"/>
          <w:szCs w:val="22"/>
        </w:rPr>
      </w:pPr>
    </w:p>
    <w:p w:rsidR="002F72B3" w:rsidRPr="008D3FCE" w:rsidRDefault="00661AB7" w:rsidP="002F72B3">
      <w:pPr>
        <w:rPr>
          <w:sz w:val="22"/>
          <w:szCs w:val="22"/>
        </w:rPr>
      </w:pPr>
      <w:r>
        <w:rPr>
          <w:sz w:val="22"/>
          <w:szCs w:val="22"/>
        </w:rPr>
        <w:t>12.12.</w:t>
      </w:r>
      <w:r w:rsidR="00680200">
        <w:rPr>
          <w:sz w:val="22"/>
          <w:szCs w:val="22"/>
        </w:rPr>
        <w:t>201</w:t>
      </w:r>
      <w:r w:rsidR="00BD5CD1">
        <w:rPr>
          <w:sz w:val="22"/>
          <w:szCs w:val="22"/>
        </w:rPr>
        <w:t>4</w:t>
      </w:r>
      <w:r w:rsidR="0027701D">
        <w:rPr>
          <w:sz w:val="22"/>
          <w:szCs w:val="22"/>
        </w:rPr>
        <w:t xml:space="preserve">. </w:t>
      </w:r>
      <w:r w:rsidR="00786695">
        <w:rPr>
          <w:sz w:val="22"/>
          <w:szCs w:val="22"/>
        </w:rPr>
        <w:t>1</w:t>
      </w:r>
      <w:r w:rsidR="007964F9">
        <w:rPr>
          <w:sz w:val="22"/>
          <w:szCs w:val="22"/>
        </w:rPr>
        <w:t>1</w:t>
      </w:r>
      <w:r w:rsidR="002F72B3" w:rsidRPr="008D3FCE">
        <w:rPr>
          <w:sz w:val="22"/>
          <w:szCs w:val="22"/>
        </w:rPr>
        <w:t>:</w:t>
      </w:r>
      <w:r w:rsidR="00C13462">
        <w:rPr>
          <w:sz w:val="22"/>
          <w:szCs w:val="22"/>
        </w:rPr>
        <w:t>30</w:t>
      </w:r>
      <w:r w:rsidR="004F4495" w:rsidRPr="008D3FCE">
        <w:rPr>
          <w:sz w:val="22"/>
          <w:szCs w:val="22"/>
        </w:rPr>
        <w:fldChar w:fldCharType="begin"/>
      </w:r>
      <w:r w:rsidR="002F72B3" w:rsidRPr="008D3FCE">
        <w:rPr>
          <w:sz w:val="22"/>
          <w:szCs w:val="22"/>
        </w:rPr>
        <w:instrText xml:space="preserve"> ASK  </w:instrText>
      </w:r>
      <w:r w:rsidR="004F4495" w:rsidRPr="008D3FCE">
        <w:rPr>
          <w:sz w:val="22"/>
          <w:szCs w:val="22"/>
        </w:rPr>
        <w:fldChar w:fldCharType="end"/>
      </w:r>
    </w:p>
    <w:p w:rsidR="00A13693" w:rsidRDefault="001B1650" w:rsidP="002F72B3">
      <w:pPr>
        <w:rPr>
          <w:sz w:val="22"/>
          <w:szCs w:val="22"/>
        </w:rPr>
      </w:pPr>
      <w:r>
        <w:rPr>
          <w:sz w:val="22"/>
          <w:szCs w:val="22"/>
        </w:rPr>
        <w:t>756</w:t>
      </w:r>
    </w:p>
    <w:p w:rsidR="005B2BB4" w:rsidRPr="00297732" w:rsidRDefault="00AC5C11" w:rsidP="005B2BB4">
      <w:pPr>
        <w:rPr>
          <w:sz w:val="22"/>
          <w:szCs w:val="22"/>
        </w:rPr>
      </w:pPr>
      <w:r>
        <w:rPr>
          <w:sz w:val="22"/>
          <w:szCs w:val="22"/>
        </w:rPr>
        <w:t>Girucka</w:t>
      </w:r>
      <w:r w:rsidR="005B2BB4">
        <w:rPr>
          <w:sz w:val="22"/>
          <w:szCs w:val="22"/>
        </w:rPr>
        <w:t>,</w:t>
      </w:r>
      <w:r w:rsidR="007964F9">
        <w:rPr>
          <w:sz w:val="22"/>
          <w:szCs w:val="22"/>
        </w:rPr>
        <w:t xml:space="preserve"> </w:t>
      </w:r>
      <w:r w:rsidR="005B2BB4" w:rsidRPr="00297732">
        <w:rPr>
          <w:sz w:val="22"/>
          <w:szCs w:val="22"/>
        </w:rPr>
        <w:t>67028</w:t>
      </w:r>
      <w:r w:rsidR="007964F9">
        <w:rPr>
          <w:sz w:val="22"/>
          <w:szCs w:val="22"/>
        </w:rPr>
        <w:t>3</w:t>
      </w:r>
      <w:r>
        <w:rPr>
          <w:sz w:val="22"/>
          <w:szCs w:val="22"/>
        </w:rPr>
        <w:t>81</w:t>
      </w:r>
    </w:p>
    <w:p w:rsidR="005B2BB4" w:rsidRPr="00E579EE" w:rsidRDefault="00AC5C11" w:rsidP="005B2BB4">
      <w:pPr>
        <w:rPr>
          <w:sz w:val="22"/>
          <w:szCs w:val="22"/>
        </w:rPr>
      </w:pPr>
      <w:r>
        <w:rPr>
          <w:sz w:val="22"/>
          <w:szCs w:val="22"/>
        </w:rPr>
        <w:t>iveta.girucka</w:t>
      </w:r>
      <w:r w:rsidR="005B2BB4" w:rsidRPr="00F12402">
        <w:rPr>
          <w:sz w:val="22"/>
          <w:szCs w:val="22"/>
        </w:rPr>
        <w:t>@sam.gov.lv</w:t>
      </w:r>
      <w:r w:rsidR="005B2BB4">
        <w:rPr>
          <w:sz w:val="22"/>
          <w:szCs w:val="22"/>
        </w:rPr>
        <w:t xml:space="preserve">   </w:t>
      </w:r>
    </w:p>
    <w:p w:rsidR="00A13693" w:rsidRPr="008D3FCE" w:rsidRDefault="00A13693" w:rsidP="002F72B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93AF4" w:rsidRPr="00E93AF4" w:rsidRDefault="00E93AF4" w:rsidP="002F72B3">
      <w:pPr>
        <w:jc w:val="both"/>
      </w:pPr>
    </w:p>
    <w:sectPr w:rsidR="00E93AF4" w:rsidRPr="00E93AF4" w:rsidSect="001340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F9" w:rsidRDefault="005704F9">
      <w:r>
        <w:separator/>
      </w:r>
    </w:p>
  </w:endnote>
  <w:endnote w:type="continuationSeparator" w:id="0">
    <w:p w:rsidR="005704F9" w:rsidRDefault="005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E4" w:rsidRPr="007964F9" w:rsidRDefault="007B5BE4" w:rsidP="007B5BE4">
    <w:pPr>
      <w:pStyle w:val="Footer"/>
      <w:rPr>
        <w:bCs/>
        <w:noProof/>
        <w:sz w:val="18"/>
        <w:szCs w:val="18"/>
      </w:rPr>
    </w:pPr>
    <w:r w:rsidRPr="00DC3419">
      <w:rPr>
        <w:sz w:val="20"/>
        <w:szCs w:val="20"/>
      </w:rPr>
      <w:t>SAM</w:t>
    </w:r>
    <w:r>
      <w:rPr>
        <w:sz w:val="20"/>
        <w:szCs w:val="20"/>
      </w:rPr>
      <w:t>Anot</w:t>
    </w:r>
    <w:r w:rsidRPr="00DC3419">
      <w:rPr>
        <w:sz w:val="20"/>
        <w:szCs w:val="20"/>
      </w:rPr>
      <w:t>_</w:t>
    </w:r>
    <w:r>
      <w:rPr>
        <w:sz w:val="20"/>
        <w:szCs w:val="20"/>
      </w:rPr>
      <w:t>121214</w:t>
    </w:r>
    <w:r w:rsidRPr="00DC3419">
      <w:rPr>
        <w:sz w:val="20"/>
        <w:szCs w:val="20"/>
      </w:rPr>
      <w:t>_PV</w:t>
    </w:r>
    <w:r>
      <w:rPr>
        <w:sz w:val="20"/>
        <w:szCs w:val="20"/>
      </w:rPr>
      <w:t>finans</w:t>
    </w:r>
    <w:r w:rsidRPr="00DC3419">
      <w:rPr>
        <w:sz w:val="20"/>
        <w:szCs w:val="20"/>
      </w:rPr>
      <w:t>.;</w:t>
    </w:r>
    <w:r>
      <w:rPr>
        <w:sz w:val="20"/>
        <w:szCs w:val="20"/>
      </w:rPr>
      <w:t xml:space="preserve"> </w:t>
    </w:r>
    <w:r w:rsidRPr="001A5419">
      <w:rPr>
        <w:sz w:val="20"/>
        <w:szCs w:val="20"/>
      </w:rPr>
      <w:t>Ministru kabineta rīkojuma projekt</w:t>
    </w:r>
    <w:r>
      <w:rPr>
        <w:sz w:val="20"/>
        <w:szCs w:val="20"/>
      </w:rPr>
      <w:t>a</w:t>
    </w:r>
    <w:r w:rsidRPr="001A5419">
      <w:rPr>
        <w:sz w:val="20"/>
        <w:szCs w:val="20"/>
      </w:rPr>
      <w:t xml:space="preserve"> „Par finanšu līdzekļu piešķiršanu no valsts budžeta programmas 02.00.00 „Līdzekļi neparedzētiem gadījumiem”</w:t>
    </w:r>
    <w:r>
      <w:rPr>
        <w:sz w:val="20"/>
        <w:szCs w:val="20"/>
      </w:rPr>
      <w:t xml:space="preserve"> </w:t>
    </w:r>
    <w:r w:rsidRPr="007964F9">
      <w:rPr>
        <w:bCs/>
        <w:sz w:val="18"/>
        <w:szCs w:val="18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7964F9">
        <w:rPr>
          <w:bCs/>
          <w:sz w:val="18"/>
          <w:szCs w:val="18"/>
        </w:rPr>
        <w:t>ziņojums</w:t>
      </w:r>
    </w:smartTag>
    <w:r w:rsidRPr="007964F9">
      <w:rPr>
        <w:bCs/>
        <w:sz w:val="18"/>
        <w:szCs w:val="18"/>
      </w:rPr>
      <w:t xml:space="preserve"> (anotācija)</w:t>
    </w:r>
  </w:p>
  <w:p w:rsidR="007B5BE4" w:rsidRPr="007964F9" w:rsidRDefault="007B5BE4" w:rsidP="007B5BE4">
    <w:pPr>
      <w:pStyle w:val="Footer"/>
      <w:jc w:val="both"/>
      <w:rPr>
        <w:bCs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11" w:rsidRPr="007964F9" w:rsidRDefault="00DD7D28" w:rsidP="007B5BE4">
    <w:pPr>
      <w:pStyle w:val="Footer"/>
      <w:rPr>
        <w:bCs/>
        <w:noProof/>
        <w:sz w:val="18"/>
        <w:szCs w:val="18"/>
      </w:rPr>
    </w:pPr>
    <w:r w:rsidRPr="00DC3419">
      <w:rPr>
        <w:sz w:val="20"/>
        <w:szCs w:val="20"/>
      </w:rPr>
      <w:t>SAM</w:t>
    </w:r>
    <w:r>
      <w:rPr>
        <w:sz w:val="20"/>
        <w:szCs w:val="20"/>
      </w:rPr>
      <w:t>Anot</w:t>
    </w:r>
    <w:r w:rsidRPr="00DC3419">
      <w:rPr>
        <w:sz w:val="20"/>
        <w:szCs w:val="20"/>
      </w:rPr>
      <w:t>_</w:t>
    </w:r>
    <w:r w:rsidR="00163C96">
      <w:rPr>
        <w:sz w:val="20"/>
        <w:szCs w:val="20"/>
      </w:rPr>
      <w:t>1212</w:t>
    </w:r>
    <w:r>
      <w:rPr>
        <w:sz w:val="20"/>
        <w:szCs w:val="20"/>
      </w:rPr>
      <w:t>14</w:t>
    </w:r>
    <w:r w:rsidRPr="00DC3419">
      <w:rPr>
        <w:sz w:val="20"/>
        <w:szCs w:val="20"/>
      </w:rPr>
      <w:t>_PV</w:t>
    </w:r>
    <w:r w:rsidR="00163C96">
      <w:rPr>
        <w:sz w:val="20"/>
        <w:szCs w:val="20"/>
      </w:rPr>
      <w:t>finans</w:t>
    </w:r>
    <w:r w:rsidRPr="00DC3419">
      <w:rPr>
        <w:sz w:val="20"/>
        <w:szCs w:val="20"/>
      </w:rPr>
      <w:t>.;</w:t>
    </w:r>
    <w:r w:rsidR="007B5BE4">
      <w:rPr>
        <w:sz w:val="20"/>
        <w:szCs w:val="20"/>
      </w:rPr>
      <w:t xml:space="preserve"> </w:t>
    </w:r>
    <w:r w:rsidR="007B5BE4" w:rsidRPr="001A5419">
      <w:rPr>
        <w:sz w:val="20"/>
        <w:szCs w:val="20"/>
      </w:rPr>
      <w:t>Ministru kabineta rīkojuma projekt</w:t>
    </w:r>
    <w:r w:rsidR="007B5BE4">
      <w:rPr>
        <w:sz w:val="20"/>
        <w:szCs w:val="20"/>
      </w:rPr>
      <w:t>a</w:t>
    </w:r>
    <w:r w:rsidR="007B5BE4" w:rsidRPr="001A5419">
      <w:rPr>
        <w:sz w:val="20"/>
        <w:szCs w:val="20"/>
      </w:rPr>
      <w:t xml:space="preserve"> „Par finanšu līdzekļu piešķiršanu no valsts budžeta programmas 02.00.00 „Līdzekļi neparedzētiem gadījumiem”</w:t>
    </w:r>
    <w:r w:rsidR="007B5BE4">
      <w:rPr>
        <w:sz w:val="20"/>
        <w:szCs w:val="20"/>
      </w:rPr>
      <w:t xml:space="preserve"> </w:t>
    </w:r>
    <w:r w:rsidR="00AC5C11" w:rsidRPr="007964F9">
      <w:rPr>
        <w:bCs/>
        <w:sz w:val="18"/>
        <w:szCs w:val="18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AC5C11" w:rsidRPr="007964F9">
        <w:rPr>
          <w:bCs/>
          <w:sz w:val="18"/>
          <w:szCs w:val="18"/>
        </w:rPr>
        <w:t>ziņojums</w:t>
      </w:r>
    </w:smartTag>
    <w:r w:rsidR="00AC5C11" w:rsidRPr="007964F9">
      <w:rPr>
        <w:bCs/>
        <w:sz w:val="18"/>
        <w:szCs w:val="18"/>
      </w:rPr>
      <w:t xml:space="preserve"> (anotācija)</w:t>
    </w:r>
  </w:p>
  <w:p w:rsidR="000E1619" w:rsidRPr="007964F9" w:rsidRDefault="000E1619" w:rsidP="005B2BB4">
    <w:pPr>
      <w:pStyle w:val="Footer"/>
      <w:jc w:val="both"/>
      <w:rPr>
        <w:bCs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F9" w:rsidRDefault="005704F9">
      <w:r>
        <w:separator/>
      </w:r>
    </w:p>
  </w:footnote>
  <w:footnote w:type="continuationSeparator" w:id="0">
    <w:p w:rsidR="005704F9" w:rsidRDefault="0057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9" w:rsidRDefault="004F4495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6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619" w:rsidRDefault="000E1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9" w:rsidRDefault="004F4495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6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A3E">
      <w:rPr>
        <w:rStyle w:val="PageNumber"/>
        <w:noProof/>
      </w:rPr>
      <w:t>4</w:t>
    </w:r>
    <w:r>
      <w:rPr>
        <w:rStyle w:val="PageNumber"/>
      </w:rPr>
      <w:fldChar w:fldCharType="end"/>
    </w:r>
  </w:p>
  <w:p w:rsidR="000E1619" w:rsidRDefault="000E1619" w:rsidP="001E3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326EF"/>
    <w:multiLevelType w:val="hybridMultilevel"/>
    <w:tmpl w:val="7E920F16"/>
    <w:lvl w:ilvl="0" w:tplc="F1805B6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E6378B"/>
    <w:multiLevelType w:val="hybridMultilevel"/>
    <w:tmpl w:val="6E26496C"/>
    <w:lvl w:ilvl="0" w:tplc="FFF88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E0A27"/>
    <w:multiLevelType w:val="hybridMultilevel"/>
    <w:tmpl w:val="C79088B6"/>
    <w:lvl w:ilvl="0" w:tplc="2AA2F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45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A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8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8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2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0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8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B"/>
    <w:rsid w:val="0000346C"/>
    <w:rsid w:val="00012047"/>
    <w:rsid w:val="00013219"/>
    <w:rsid w:val="00020D89"/>
    <w:rsid w:val="0002135F"/>
    <w:rsid w:val="00026A17"/>
    <w:rsid w:val="0003036F"/>
    <w:rsid w:val="00034431"/>
    <w:rsid w:val="00034952"/>
    <w:rsid w:val="000361C9"/>
    <w:rsid w:val="00036F80"/>
    <w:rsid w:val="00041BCA"/>
    <w:rsid w:val="00047C4B"/>
    <w:rsid w:val="00057365"/>
    <w:rsid w:val="0006409D"/>
    <w:rsid w:val="00065C9B"/>
    <w:rsid w:val="000726B6"/>
    <w:rsid w:val="0007626E"/>
    <w:rsid w:val="00080CF7"/>
    <w:rsid w:val="00081EE5"/>
    <w:rsid w:val="00082055"/>
    <w:rsid w:val="00082221"/>
    <w:rsid w:val="00086EBD"/>
    <w:rsid w:val="00093D5B"/>
    <w:rsid w:val="000A0C76"/>
    <w:rsid w:val="000A1139"/>
    <w:rsid w:val="000A407D"/>
    <w:rsid w:val="000B09C4"/>
    <w:rsid w:val="000B0EE7"/>
    <w:rsid w:val="000B662A"/>
    <w:rsid w:val="000C0098"/>
    <w:rsid w:val="000C7567"/>
    <w:rsid w:val="000D1704"/>
    <w:rsid w:val="000D186A"/>
    <w:rsid w:val="000D6077"/>
    <w:rsid w:val="000E1619"/>
    <w:rsid w:val="000E24E6"/>
    <w:rsid w:val="000E4EB2"/>
    <w:rsid w:val="000E59CB"/>
    <w:rsid w:val="000F14AE"/>
    <w:rsid w:val="000F33CB"/>
    <w:rsid w:val="000F3BF6"/>
    <w:rsid w:val="001042BD"/>
    <w:rsid w:val="00114291"/>
    <w:rsid w:val="0011445C"/>
    <w:rsid w:val="001153E4"/>
    <w:rsid w:val="001230EB"/>
    <w:rsid w:val="00124661"/>
    <w:rsid w:val="00125CA4"/>
    <w:rsid w:val="00134076"/>
    <w:rsid w:val="0013657D"/>
    <w:rsid w:val="00137C15"/>
    <w:rsid w:val="00143CAC"/>
    <w:rsid w:val="0014695E"/>
    <w:rsid w:val="00156E1E"/>
    <w:rsid w:val="00161239"/>
    <w:rsid w:val="00163C96"/>
    <w:rsid w:val="0016426F"/>
    <w:rsid w:val="0017519A"/>
    <w:rsid w:val="0017604A"/>
    <w:rsid w:val="001811F2"/>
    <w:rsid w:val="0019342E"/>
    <w:rsid w:val="001953AB"/>
    <w:rsid w:val="00195C56"/>
    <w:rsid w:val="0019703A"/>
    <w:rsid w:val="001A0473"/>
    <w:rsid w:val="001A0EA8"/>
    <w:rsid w:val="001A26F7"/>
    <w:rsid w:val="001A4A5F"/>
    <w:rsid w:val="001A4E5B"/>
    <w:rsid w:val="001B1650"/>
    <w:rsid w:val="001B1CB3"/>
    <w:rsid w:val="001B2C12"/>
    <w:rsid w:val="001B372B"/>
    <w:rsid w:val="001D5508"/>
    <w:rsid w:val="001D65E2"/>
    <w:rsid w:val="001D7BA8"/>
    <w:rsid w:val="001E26B6"/>
    <w:rsid w:val="001E32EA"/>
    <w:rsid w:val="001E3FDC"/>
    <w:rsid w:val="001E5188"/>
    <w:rsid w:val="001E6D80"/>
    <w:rsid w:val="001F48D2"/>
    <w:rsid w:val="00204590"/>
    <w:rsid w:val="00205BE1"/>
    <w:rsid w:val="002144C6"/>
    <w:rsid w:val="0021468A"/>
    <w:rsid w:val="00217482"/>
    <w:rsid w:val="00220DE4"/>
    <w:rsid w:val="002234A5"/>
    <w:rsid w:val="00224874"/>
    <w:rsid w:val="00232E4E"/>
    <w:rsid w:val="00234018"/>
    <w:rsid w:val="00236978"/>
    <w:rsid w:val="002428EE"/>
    <w:rsid w:val="00243960"/>
    <w:rsid w:val="00253C29"/>
    <w:rsid w:val="0025543A"/>
    <w:rsid w:val="00255B65"/>
    <w:rsid w:val="00264AB9"/>
    <w:rsid w:val="002653B1"/>
    <w:rsid w:val="0027535F"/>
    <w:rsid w:val="0027701D"/>
    <w:rsid w:val="00280483"/>
    <w:rsid w:val="0028122F"/>
    <w:rsid w:val="00282264"/>
    <w:rsid w:val="00290BF9"/>
    <w:rsid w:val="00293F7E"/>
    <w:rsid w:val="002A13BA"/>
    <w:rsid w:val="002A3B66"/>
    <w:rsid w:val="002A6B67"/>
    <w:rsid w:val="002B2484"/>
    <w:rsid w:val="002B2F06"/>
    <w:rsid w:val="002B44A6"/>
    <w:rsid w:val="002B492E"/>
    <w:rsid w:val="002C2D2C"/>
    <w:rsid w:val="002C39A9"/>
    <w:rsid w:val="002C3E45"/>
    <w:rsid w:val="002C425E"/>
    <w:rsid w:val="002D086A"/>
    <w:rsid w:val="002D0DE1"/>
    <w:rsid w:val="002D2A67"/>
    <w:rsid w:val="002D5E3B"/>
    <w:rsid w:val="002E0ED0"/>
    <w:rsid w:val="002E25D5"/>
    <w:rsid w:val="002E6902"/>
    <w:rsid w:val="002F5055"/>
    <w:rsid w:val="002F5109"/>
    <w:rsid w:val="002F72B3"/>
    <w:rsid w:val="002F790E"/>
    <w:rsid w:val="003000A9"/>
    <w:rsid w:val="00300547"/>
    <w:rsid w:val="0030112E"/>
    <w:rsid w:val="00302FCB"/>
    <w:rsid w:val="00303A73"/>
    <w:rsid w:val="00303D2D"/>
    <w:rsid w:val="00307AAA"/>
    <w:rsid w:val="00315C70"/>
    <w:rsid w:val="00316B53"/>
    <w:rsid w:val="00320B0F"/>
    <w:rsid w:val="003210DA"/>
    <w:rsid w:val="00324D7A"/>
    <w:rsid w:val="00326A53"/>
    <w:rsid w:val="003314C0"/>
    <w:rsid w:val="00331FD8"/>
    <w:rsid w:val="00332E2C"/>
    <w:rsid w:val="003405D6"/>
    <w:rsid w:val="00344403"/>
    <w:rsid w:val="00345E32"/>
    <w:rsid w:val="00347D87"/>
    <w:rsid w:val="003502B0"/>
    <w:rsid w:val="003526AD"/>
    <w:rsid w:val="00353D40"/>
    <w:rsid w:val="00361849"/>
    <w:rsid w:val="003618CD"/>
    <w:rsid w:val="00362AB5"/>
    <w:rsid w:val="00370F1A"/>
    <w:rsid w:val="003741AA"/>
    <w:rsid w:val="003800E6"/>
    <w:rsid w:val="00386BAC"/>
    <w:rsid w:val="00386F4F"/>
    <w:rsid w:val="003871DD"/>
    <w:rsid w:val="0039000C"/>
    <w:rsid w:val="00394CD5"/>
    <w:rsid w:val="00394D82"/>
    <w:rsid w:val="003A3123"/>
    <w:rsid w:val="003A3785"/>
    <w:rsid w:val="003A5048"/>
    <w:rsid w:val="003B3A76"/>
    <w:rsid w:val="003B4147"/>
    <w:rsid w:val="003C2F8E"/>
    <w:rsid w:val="003C764B"/>
    <w:rsid w:val="003D190F"/>
    <w:rsid w:val="003D5486"/>
    <w:rsid w:val="003D7B53"/>
    <w:rsid w:val="003E18A7"/>
    <w:rsid w:val="003E3EC9"/>
    <w:rsid w:val="003E5169"/>
    <w:rsid w:val="003F2594"/>
    <w:rsid w:val="003F4EEF"/>
    <w:rsid w:val="003F658E"/>
    <w:rsid w:val="0040418C"/>
    <w:rsid w:val="004146D3"/>
    <w:rsid w:val="00416B3A"/>
    <w:rsid w:val="00420331"/>
    <w:rsid w:val="0042161A"/>
    <w:rsid w:val="0042310A"/>
    <w:rsid w:val="00423855"/>
    <w:rsid w:val="00423F61"/>
    <w:rsid w:val="004300C9"/>
    <w:rsid w:val="00435782"/>
    <w:rsid w:val="00440BD1"/>
    <w:rsid w:val="00446E9E"/>
    <w:rsid w:val="00461074"/>
    <w:rsid w:val="004632AA"/>
    <w:rsid w:val="0046347D"/>
    <w:rsid w:val="004636B1"/>
    <w:rsid w:val="004641C8"/>
    <w:rsid w:val="004701C3"/>
    <w:rsid w:val="004713B5"/>
    <w:rsid w:val="00471490"/>
    <w:rsid w:val="0048521C"/>
    <w:rsid w:val="004923F9"/>
    <w:rsid w:val="00497A0C"/>
    <w:rsid w:val="004A233C"/>
    <w:rsid w:val="004B374D"/>
    <w:rsid w:val="004C003E"/>
    <w:rsid w:val="004C7287"/>
    <w:rsid w:val="004D09B4"/>
    <w:rsid w:val="004D301E"/>
    <w:rsid w:val="004E2D47"/>
    <w:rsid w:val="004E584A"/>
    <w:rsid w:val="004F1F5F"/>
    <w:rsid w:val="004F4495"/>
    <w:rsid w:val="004F476B"/>
    <w:rsid w:val="004F5331"/>
    <w:rsid w:val="00505D61"/>
    <w:rsid w:val="00507537"/>
    <w:rsid w:val="00510993"/>
    <w:rsid w:val="0051743B"/>
    <w:rsid w:val="00517614"/>
    <w:rsid w:val="005232C1"/>
    <w:rsid w:val="0052620D"/>
    <w:rsid w:val="00526873"/>
    <w:rsid w:val="005455BD"/>
    <w:rsid w:val="005525AA"/>
    <w:rsid w:val="00553DC2"/>
    <w:rsid w:val="005576B6"/>
    <w:rsid w:val="005645DA"/>
    <w:rsid w:val="0056468C"/>
    <w:rsid w:val="00564A9A"/>
    <w:rsid w:val="005704F9"/>
    <w:rsid w:val="00570A6A"/>
    <w:rsid w:val="0057107E"/>
    <w:rsid w:val="005800F3"/>
    <w:rsid w:val="00580E44"/>
    <w:rsid w:val="00581C4A"/>
    <w:rsid w:val="00582978"/>
    <w:rsid w:val="00583AF9"/>
    <w:rsid w:val="00586276"/>
    <w:rsid w:val="00586BF9"/>
    <w:rsid w:val="005906C1"/>
    <w:rsid w:val="0059279B"/>
    <w:rsid w:val="005946A6"/>
    <w:rsid w:val="00595BE5"/>
    <w:rsid w:val="00596EF0"/>
    <w:rsid w:val="005A42D0"/>
    <w:rsid w:val="005A69D4"/>
    <w:rsid w:val="005B179C"/>
    <w:rsid w:val="005B2BB4"/>
    <w:rsid w:val="005C0059"/>
    <w:rsid w:val="005C226D"/>
    <w:rsid w:val="005C5FB9"/>
    <w:rsid w:val="005D6B7B"/>
    <w:rsid w:val="005D6C80"/>
    <w:rsid w:val="005E1F84"/>
    <w:rsid w:val="005E5535"/>
    <w:rsid w:val="005F28C8"/>
    <w:rsid w:val="006105F4"/>
    <w:rsid w:val="006125B4"/>
    <w:rsid w:val="0061362D"/>
    <w:rsid w:val="006156A1"/>
    <w:rsid w:val="00616EC6"/>
    <w:rsid w:val="00620119"/>
    <w:rsid w:val="006217B0"/>
    <w:rsid w:val="00625456"/>
    <w:rsid w:val="006321CA"/>
    <w:rsid w:val="006323F8"/>
    <w:rsid w:val="00635FF9"/>
    <w:rsid w:val="006444EB"/>
    <w:rsid w:val="00644B63"/>
    <w:rsid w:val="006466C8"/>
    <w:rsid w:val="00655AAC"/>
    <w:rsid w:val="00655B1B"/>
    <w:rsid w:val="00657CCA"/>
    <w:rsid w:val="00661AB7"/>
    <w:rsid w:val="00663E89"/>
    <w:rsid w:val="00665D2E"/>
    <w:rsid w:val="00665E0B"/>
    <w:rsid w:val="006664DE"/>
    <w:rsid w:val="006746CD"/>
    <w:rsid w:val="00680200"/>
    <w:rsid w:val="006827F2"/>
    <w:rsid w:val="0068303F"/>
    <w:rsid w:val="00685C10"/>
    <w:rsid w:val="00690E10"/>
    <w:rsid w:val="00692780"/>
    <w:rsid w:val="00694D3B"/>
    <w:rsid w:val="006A08F5"/>
    <w:rsid w:val="006A554A"/>
    <w:rsid w:val="006A6A4D"/>
    <w:rsid w:val="006B14AF"/>
    <w:rsid w:val="006B2725"/>
    <w:rsid w:val="006B6C5F"/>
    <w:rsid w:val="006B6CBD"/>
    <w:rsid w:val="006C2318"/>
    <w:rsid w:val="006C4886"/>
    <w:rsid w:val="006C4E20"/>
    <w:rsid w:val="006D0F93"/>
    <w:rsid w:val="006D4D07"/>
    <w:rsid w:val="006D58BC"/>
    <w:rsid w:val="006E1CDD"/>
    <w:rsid w:val="006E5402"/>
    <w:rsid w:val="006F0DAA"/>
    <w:rsid w:val="006F284A"/>
    <w:rsid w:val="006F38A1"/>
    <w:rsid w:val="006F78E0"/>
    <w:rsid w:val="006F7C61"/>
    <w:rsid w:val="0070411E"/>
    <w:rsid w:val="007047BE"/>
    <w:rsid w:val="00712168"/>
    <w:rsid w:val="00714A3F"/>
    <w:rsid w:val="00714B2B"/>
    <w:rsid w:val="0072453D"/>
    <w:rsid w:val="00724863"/>
    <w:rsid w:val="00726858"/>
    <w:rsid w:val="007315D5"/>
    <w:rsid w:val="00732DBA"/>
    <w:rsid w:val="00734D9E"/>
    <w:rsid w:val="0073635D"/>
    <w:rsid w:val="007402EE"/>
    <w:rsid w:val="00742DB9"/>
    <w:rsid w:val="0074300E"/>
    <w:rsid w:val="00750A9E"/>
    <w:rsid w:val="00753471"/>
    <w:rsid w:val="00754486"/>
    <w:rsid w:val="007628B3"/>
    <w:rsid w:val="00764684"/>
    <w:rsid w:val="007656A3"/>
    <w:rsid w:val="00767D37"/>
    <w:rsid w:val="007708BE"/>
    <w:rsid w:val="00770EA8"/>
    <w:rsid w:val="00775219"/>
    <w:rsid w:val="007771F2"/>
    <w:rsid w:val="007773E2"/>
    <w:rsid w:val="00777A75"/>
    <w:rsid w:val="0078193D"/>
    <w:rsid w:val="00786695"/>
    <w:rsid w:val="00787B01"/>
    <w:rsid w:val="00787DF2"/>
    <w:rsid w:val="00790696"/>
    <w:rsid w:val="007945BB"/>
    <w:rsid w:val="007964F9"/>
    <w:rsid w:val="007A165C"/>
    <w:rsid w:val="007A193D"/>
    <w:rsid w:val="007A43EB"/>
    <w:rsid w:val="007A590F"/>
    <w:rsid w:val="007B094D"/>
    <w:rsid w:val="007B5BE4"/>
    <w:rsid w:val="007C1B98"/>
    <w:rsid w:val="007C288D"/>
    <w:rsid w:val="007D356A"/>
    <w:rsid w:val="007D5C17"/>
    <w:rsid w:val="007E0F5C"/>
    <w:rsid w:val="007E2DF6"/>
    <w:rsid w:val="007F0F87"/>
    <w:rsid w:val="008012E3"/>
    <w:rsid w:val="00803A25"/>
    <w:rsid w:val="00817C8E"/>
    <w:rsid w:val="00821038"/>
    <w:rsid w:val="00823D30"/>
    <w:rsid w:val="008241AA"/>
    <w:rsid w:val="00826B5B"/>
    <w:rsid w:val="0082702F"/>
    <w:rsid w:val="00830C13"/>
    <w:rsid w:val="00831AFE"/>
    <w:rsid w:val="00832779"/>
    <w:rsid w:val="00837DB7"/>
    <w:rsid w:val="008437DC"/>
    <w:rsid w:val="00846B0B"/>
    <w:rsid w:val="00850CD4"/>
    <w:rsid w:val="00853765"/>
    <w:rsid w:val="00857624"/>
    <w:rsid w:val="00864302"/>
    <w:rsid w:val="0087217B"/>
    <w:rsid w:val="00873B5F"/>
    <w:rsid w:val="0087711D"/>
    <w:rsid w:val="00877CFD"/>
    <w:rsid w:val="00882F3D"/>
    <w:rsid w:val="00894ED3"/>
    <w:rsid w:val="00895657"/>
    <w:rsid w:val="00897454"/>
    <w:rsid w:val="008A5555"/>
    <w:rsid w:val="008A6789"/>
    <w:rsid w:val="008B2B2E"/>
    <w:rsid w:val="008C3525"/>
    <w:rsid w:val="008C5DF1"/>
    <w:rsid w:val="008D29C0"/>
    <w:rsid w:val="008D60EA"/>
    <w:rsid w:val="008D78A4"/>
    <w:rsid w:val="008E043D"/>
    <w:rsid w:val="008E149A"/>
    <w:rsid w:val="008E42FB"/>
    <w:rsid w:val="008E5615"/>
    <w:rsid w:val="008F28B7"/>
    <w:rsid w:val="008F2B13"/>
    <w:rsid w:val="008F5302"/>
    <w:rsid w:val="008F681F"/>
    <w:rsid w:val="008F71B4"/>
    <w:rsid w:val="009006CA"/>
    <w:rsid w:val="009061CB"/>
    <w:rsid w:val="00907CC6"/>
    <w:rsid w:val="00907D2E"/>
    <w:rsid w:val="00911F50"/>
    <w:rsid w:val="009121A7"/>
    <w:rsid w:val="0091358F"/>
    <w:rsid w:val="00915D97"/>
    <w:rsid w:val="0092042B"/>
    <w:rsid w:val="00920E39"/>
    <w:rsid w:val="00922130"/>
    <w:rsid w:val="00936E09"/>
    <w:rsid w:val="009376F5"/>
    <w:rsid w:val="00954BF6"/>
    <w:rsid w:val="00955251"/>
    <w:rsid w:val="0095561D"/>
    <w:rsid w:val="00960638"/>
    <w:rsid w:val="0096109E"/>
    <w:rsid w:val="00961496"/>
    <w:rsid w:val="00962212"/>
    <w:rsid w:val="00964EB6"/>
    <w:rsid w:val="00965147"/>
    <w:rsid w:val="00965E34"/>
    <w:rsid w:val="009663BE"/>
    <w:rsid w:val="00974363"/>
    <w:rsid w:val="0098674F"/>
    <w:rsid w:val="00993314"/>
    <w:rsid w:val="00993BCA"/>
    <w:rsid w:val="009A13FA"/>
    <w:rsid w:val="009A1C96"/>
    <w:rsid w:val="009A379C"/>
    <w:rsid w:val="009A7F38"/>
    <w:rsid w:val="009B420B"/>
    <w:rsid w:val="009B67F2"/>
    <w:rsid w:val="009C2A57"/>
    <w:rsid w:val="009C35A8"/>
    <w:rsid w:val="009C5108"/>
    <w:rsid w:val="009D1502"/>
    <w:rsid w:val="009D2376"/>
    <w:rsid w:val="009D287F"/>
    <w:rsid w:val="009D79F9"/>
    <w:rsid w:val="009E065B"/>
    <w:rsid w:val="009E06BF"/>
    <w:rsid w:val="009E49E0"/>
    <w:rsid w:val="009E4A3F"/>
    <w:rsid w:val="009E787E"/>
    <w:rsid w:val="009F109F"/>
    <w:rsid w:val="009F4E03"/>
    <w:rsid w:val="009F7751"/>
    <w:rsid w:val="00A01CAE"/>
    <w:rsid w:val="00A07D00"/>
    <w:rsid w:val="00A106EB"/>
    <w:rsid w:val="00A13693"/>
    <w:rsid w:val="00A1671A"/>
    <w:rsid w:val="00A213CF"/>
    <w:rsid w:val="00A232B8"/>
    <w:rsid w:val="00A34270"/>
    <w:rsid w:val="00A34B9B"/>
    <w:rsid w:val="00A3603A"/>
    <w:rsid w:val="00A40E4D"/>
    <w:rsid w:val="00A40FFB"/>
    <w:rsid w:val="00A472AE"/>
    <w:rsid w:val="00A51C8E"/>
    <w:rsid w:val="00A55129"/>
    <w:rsid w:val="00A55468"/>
    <w:rsid w:val="00A62EAA"/>
    <w:rsid w:val="00A64ED5"/>
    <w:rsid w:val="00A657C4"/>
    <w:rsid w:val="00A70166"/>
    <w:rsid w:val="00A7064A"/>
    <w:rsid w:val="00A726DD"/>
    <w:rsid w:val="00A735A6"/>
    <w:rsid w:val="00A750D6"/>
    <w:rsid w:val="00A81833"/>
    <w:rsid w:val="00A837A1"/>
    <w:rsid w:val="00A911EB"/>
    <w:rsid w:val="00A92D54"/>
    <w:rsid w:val="00A937A4"/>
    <w:rsid w:val="00A967D8"/>
    <w:rsid w:val="00A96A68"/>
    <w:rsid w:val="00AA2550"/>
    <w:rsid w:val="00AA3656"/>
    <w:rsid w:val="00AA6096"/>
    <w:rsid w:val="00AB1176"/>
    <w:rsid w:val="00AC026B"/>
    <w:rsid w:val="00AC15AF"/>
    <w:rsid w:val="00AC209F"/>
    <w:rsid w:val="00AC4882"/>
    <w:rsid w:val="00AC5619"/>
    <w:rsid w:val="00AC5C11"/>
    <w:rsid w:val="00AE1910"/>
    <w:rsid w:val="00AE3FAE"/>
    <w:rsid w:val="00AE4A5A"/>
    <w:rsid w:val="00AF703A"/>
    <w:rsid w:val="00AF7EB0"/>
    <w:rsid w:val="00B0067F"/>
    <w:rsid w:val="00B020F5"/>
    <w:rsid w:val="00B02C22"/>
    <w:rsid w:val="00B160EA"/>
    <w:rsid w:val="00B165F0"/>
    <w:rsid w:val="00B21225"/>
    <w:rsid w:val="00B23BB9"/>
    <w:rsid w:val="00B3217A"/>
    <w:rsid w:val="00B324C9"/>
    <w:rsid w:val="00B34753"/>
    <w:rsid w:val="00B3625F"/>
    <w:rsid w:val="00B424FF"/>
    <w:rsid w:val="00B4656B"/>
    <w:rsid w:val="00B5030C"/>
    <w:rsid w:val="00B54BB1"/>
    <w:rsid w:val="00B615B6"/>
    <w:rsid w:val="00B75759"/>
    <w:rsid w:val="00B77D3D"/>
    <w:rsid w:val="00B80B4B"/>
    <w:rsid w:val="00B80D78"/>
    <w:rsid w:val="00B8464E"/>
    <w:rsid w:val="00B85690"/>
    <w:rsid w:val="00B90E6D"/>
    <w:rsid w:val="00BA2B74"/>
    <w:rsid w:val="00BA4F62"/>
    <w:rsid w:val="00BA66D8"/>
    <w:rsid w:val="00BB0163"/>
    <w:rsid w:val="00BB2042"/>
    <w:rsid w:val="00BB4432"/>
    <w:rsid w:val="00BC3551"/>
    <w:rsid w:val="00BC4EAE"/>
    <w:rsid w:val="00BC5CBE"/>
    <w:rsid w:val="00BC63F5"/>
    <w:rsid w:val="00BC79BD"/>
    <w:rsid w:val="00BD0FB4"/>
    <w:rsid w:val="00BD46C4"/>
    <w:rsid w:val="00BD4D2C"/>
    <w:rsid w:val="00BD5A0E"/>
    <w:rsid w:val="00BD5CD1"/>
    <w:rsid w:val="00BE3117"/>
    <w:rsid w:val="00BE63F2"/>
    <w:rsid w:val="00BF7606"/>
    <w:rsid w:val="00C0549C"/>
    <w:rsid w:val="00C06DEE"/>
    <w:rsid w:val="00C07800"/>
    <w:rsid w:val="00C110F4"/>
    <w:rsid w:val="00C12405"/>
    <w:rsid w:val="00C13462"/>
    <w:rsid w:val="00C14176"/>
    <w:rsid w:val="00C14CBE"/>
    <w:rsid w:val="00C1636A"/>
    <w:rsid w:val="00C22E38"/>
    <w:rsid w:val="00C23DA0"/>
    <w:rsid w:val="00C30F56"/>
    <w:rsid w:val="00C32E54"/>
    <w:rsid w:val="00C352CD"/>
    <w:rsid w:val="00C35B49"/>
    <w:rsid w:val="00C4065B"/>
    <w:rsid w:val="00C45A05"/>
    <w:rsid w:val="00C4648B"/>
    <w:rsid w:val="00C55ACD"/>
    <w:rsid w:val="00C55E9B"/>
    <w:rsid w:val="00C618C3"/>
    <w:rsid w:val="00C61C40"/>
    <w:rsid w:val="00C61C9F"/>
    <w:rsid w:val="00C678C5"/>
    <w:rsid w:val="00C74D40"/>
    <w:rsid w:val="00C775BC"/>
    <w:rsid w:val="00C82E6F"/>
    <w:rsid w:val="00C918F4"/>
    <w:rsid w:val="00C92669"/>
    <w:rsid w:val="00C93F99"/>
    <w:rsid w:val="00CA143A"/>
    <w:rsid w:val="00CA3D80"/>
    <w:rsid w:val="00CA497E"/>
    <w:rsid w:val="00CA4A46"/>
    <w:rsid w:val="00CA4D2C"/>
    <w:rsid w:val="00CA4D97"/>
    <w:rsid w:val="00CC0B16"/>
    <w:rsid w:val="00CC3D65"/>
    <w:rsid w:val="00CD2F35"/>
    <w:rsid w:val="00CD43A9"/>
    <w:rsid w:val="00CE0D73"/>
    <w:rsid w:val="00CE4F76"/>
    <w:rsid w:val="00CE7286"/>
    <w:rsid w:val="00CF0CF5"/>
    <w:rsid w:val="00CF1E9E"/>
    <w:rsid w:val="00CF61EA"/>
    <w:rsid w:val="00CF6640"/>
    <w:rsid w:val="00D06C5E"/>
    <w:rsid w:val="00D177C8"/>
    <w:rsid w:val="00D2196A"/>
    <w:rsid w:val="00D22995"/>
    <w:rsid w:val="00D23190"/>
    <w:rsid w:val="00D24017"/>
    <w:rsid w:val="00D4216A"/>
    <w:rsid w:val="00D42F7F"/>
    <w:rsid w:val="00D44A72"/>
    <w:rsid w:val="00D5181D"/>
    <w:rsid w:val="00D522D7"/>
    <w:rsid w:val="00D52999"/>
    <w:rsid w:val="00D54BF5"/>
    <w:rsid w:val="00D56667"/>
    <w:rsid w:val="00D57356"/>
    <w:rsid w:val="00D70B9F"/>
    <w:rsid w:val="00D7172C"/>
    <w:rsid w:val="00D72FC2"/>
    <w:rsid w:val="00D74171"/>
    <w:rsid w:val="00D80062"/>
    <w:rsid w:val="00D82466"/>
    <w:rsid w:val="00D90273"/>
    <w:rsid w:val="00D93F9A"/>
    <w:rsid w:val="00D955D1"/>
    <w:rsid w:val="00DA14A1"/>
    <w:rsid w:val="00DA1C69"/>
    <w:rsid w:val="00DA5CE6"/>
    <w:rsid w:val="00DA7CB2"/>
    <w:rsid w:val="00DB0EEE"/>
    <w:rsid w:val="00DB362A"/>
    <w:rsid w:val="00DB61D3"/>
    <w:rsid w:val="00DC1956"/>
    <w:rsid w:val="00DD17FF"/>
    <w:rsid w:val="00DD7D28"/>
    <w:rsid w:val="00DE2005"/>
    <w:rsid w:val="00DE3093"/>
    <w:rsid w:val="00DF2791"/>
    <w:rsid w:val="00DF4528"/>
    <w:rsid w:val="00DF5B86"/>
    <w:rsid w:val="00E0504C"/>
    <w:rsid w:val="00E11A18"/>
    <w:rsid w:val="00E15A3C"/>
    <w:rsid w:val="00E160CC"/>
    <w:rsid w:val="00E16BBE"/>
    <w:rsid w:val="00E20F9B"/>
    <w:rsid w:val="00E246B3"/>
    <w:rsid w:val="00E27721"/>
    <w:rsid w:val="00E300F2"/>
    <w:rsid w:val="00E30639"/>
    <w:rsid w:val="00E30867"/>
    <w:rsid w:val="00E31ABA"/>
    <w:rsid w:val="00E4676F"/>
    <w:rsid w:val="00E51553"/>
    <w:rsid w:val="00E528A7"/>
    <w:rsid w:val="00E57D07"/>
    <w:rsid w:val="00E611EE"/>
    <w:rsid w:val="00E66545"/>
    <w:rsid w:val="00E74ED5"/>
    <w:rsid w:val="00E829F1"/>
    <w:rsid w:val="00E84A3E"/>
    <w:rsid w:val="00E85102"/>
    <w:rsid w:val="00E87E8F"/>
    <w:rsid w:val="00E93AF4"/>
    <w:rsid w:val="00E96AEC"/>
    <w:rsid w:val="00E97077"/>
    <w:rsid w:val="00EA5120"/>
    <w:rsid w:val="00EA6EBE"/>
    <w:rsid w:val="00EA7237"/>
    <w:rsid w:val="00EB0BFB"/>
    <w:rsid w:val="00EB304A"/>
    <w:rsid w:val="00EC6F7E"/>
    <w:rsid w:val="00ED0580"/>
    <w:rsid w:val="00ED1F78"/>
    <w:rsid w:val="00ED3A2E"/>
    <w:rsid w:val="00ED499F"/>
    <w:rsid w:val="00EE4EDB"/>
    <w:rsid w:val="00EF754A"/>
    <w:rsid w:val="00F003CE"/>
    <w:rsid w:val="00F02259"/>
    <w:rsid w:val="00F04ECE"/>
    <w:rsid w:val="00F06D6D"/>
    <w:rsid w:val="00F1037B"/>
    <w:rsid w:val="00F10C2D"/>
    <w:rsid w:val="00F12402"/>
    <w:rsid w:val="00F1592A"/>
    <w:rsid w:val="00F20635"/>
    <w:rsid w:val="00F253FC"/>
    <w:rsid w:val="00F256EB"/>
    <w:rsid w:val="00F31C0E"/>
    <w:rsid w:val="00F351BA"/>
    <w:rsid w:val="00F45EB4"/>
    <w:rsid w:val="00F54A8E"/>
    <w:rsid w:val="00F6314A"/>
    <w:rsid w:val="00F631B6"/>
    <w:rsid w:val="00F63D17"/>
    <w:rsid w:val="00F74451"/>
    <w:rsid w:val="00F76035"/>
    <w:rsid w:val="00F8464C"/>
    <w:rsid w:val="00F92184"/>
    <w:rsid w:val="00FA3FDB"/>
    <w:rsid w:val="00FA4083"/>
    <w:rsid w:val="00FA4D1F"/>
    <w:rsid w:val="00FA5CF5"/>
    <w:rsid w:val="00FB06F3"/>
    <w:rsid w:val="00FC5333"/>
    <w:rsid w:val="00FC7C16"/>
    <w:rsid w:val="00FD42A8"/>
    <w:rsid w:val="00FD7BBD"/>
    <w:rsid w:val="00FE1454"/>
    <w:rsid w:val="00FE7B66"/>
    <w:rsid w:val="00FF1B44"/>
    <w:rsid w:val="00FF2495"/>
    <w:rsid w:val="00FF264C"/>
    <w:rsid w:val="00FF45DD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495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rsid w:val="00A9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semiHidden/>
    <w:rsid w:val="001D7BA8"/>
    <w:rPr>
      <w:vertAlign w:val="superscript"/>
    </w:rPr>
  </w:style>
  <w:style w:type="paragraph" w:styleId="Header">
    <w:name w:val="header"/>
    <w:basedOn w:val="Normal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semiHidden/>
    <w:rsid w:val="001230EB"/>
    <w:rPr>
      <w:sz w:val="16"/>
      <w:szCs w:val="16"/>
    </w:rPr>
  </w:style>
  <w:style w:type="paragraph" w:styleId="CommentText">
    <w:name w:val="annotation text"/>
    <w:basedOn w:val="Normal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paragraph" w:styleId="ListParagraph">
    <w:name w:val="List Paragraph"/>
    <w:basedOn w:val="Normal"/>
    <w:uiPriority w:val="34"/>
    <w:qFormat/>
    <w:rsid w:val="00CA4D97"/>
    <w:pPr>
      <w:ind w:left="720"/>
      <w:contextualSpacing/>
    </w:pPr>
    <w:rPr>
      <w:rFonts w:eastAsia="Calibri"/>
      <w:sz w:val="28"/>
      <w:szCs w:val="20"/>
    </w:rPr>
  </w:style>
  <w:style w:type="paragraph" w:styleId="BodyText">
    <w:name w:val="Body Text"/>
    <w:basedOn w:val="Normal"/>
    <w:link w:val="BodyTextChar"/>
    <w:rsid w:val="005B2BB4"/>
    <w:pPr>
      <w:jc w:val="center"/>
    </w:pPr>
    <w:rPr>
      <w:sz w:val="28"/>
      <w:lang w:val="en-US" w:eastAsia="en-US"/>
    </w:rPr>
  </w:style>
  <w:style w:type="character" w:customStyle="1" w:styleId="BodyTextChar">
    <w:name w:val="Body Text Char"/>
    <w:link w:val="BodyText"/>
    <w:locked/>
    <w:rsid w:val="005B2BB4"/>
    <w:rPr>
      <w:sz w:val="28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5B2BB4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5B2BB4"/>
    <w:rPr>
      <w:sz w:val="24"/>
      <w:szCs w:val="24"/>
      <w:lang w:val="lv-LV" w:eastAsia="lv-LV" w:bidi="ar-SA"/>
    </w:rPr>
  </w:style>
  <w:style w:type="character" w:customStyle="1" w:styleId="FooterChar">
    <w:name w:val="Footer Char"/>
    <w:link w:val="Footer"/>
    <w:locked/>
    <w:rsid w:val="005B2BB4"/>
    <w:rPr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rsid w:val="00E96A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96AE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E96AEC"/>
    <w:rPr>
      <w:i/>
      <w:iCs/>
    </w:rPr>
  </w:style>
  <w:style w:type="character" w:customStyle="1" w:styleId="spelle">
    <w:name w:val="spelle"/>
    <w:rsid w:val="00D4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495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rsid w:val="00A9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semiHidden/>
    <w:rsid w:val="001D7BA8"/>
    <w:rPr>
      <w:vertAlign w:val="superscript"/>
    </w:rPr>
  </w:style>
  <w:style w:type="paragraph" w:styleId="Header">
    <w:name w:val="header"/>
    <w:basedOn w:val="Normal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semiHidden/>
    <w:rsid w:val="001230EB"/>
    <w:rPr>
      <w:sz w:val="16"/>
      <w:szCs w:val="16"/>
    </w:rPr>
  </w:style>
  <w:style w:type="paragraph" w:styleId="CommentText">
    <w:name w:val="annotation text"/>
    <w:basedOn w:val="Normal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paragraph" w:styleId="ListParagraph">
    <w:name w:val="List Paragraph"/>
    <w:basedOn w:val="Normal"/>
    <w:uiPriority w:val="34"/>
    <w:qFormat/>
    <w:rsid w:val="00CA4D97"/>
    <w:pPr>
      <w:ind w:left="720"/>
      <w:contextualSpacing/>
    </w:pPr>
    <w:rPr>
      <w:rFonts w:eastAsia="Calibri"/>
      <w:sz w:val="28"/>
      <w:szCs w:val="20"/>
    </w:rPr>
  </w:style>
  <w:style w:type="paragraph" w:styleId="BodyText">
    <w:name w:val="Body Text"/>
    <w:basedOn w:val="Normal"/>
    <w:link w:val="BodyTextChar"/>
    <w:rsid w:val="005B2BB4"/>
    <w:pPr>
      <w:jc w:val="center"/>
    </w:pPr>
    <w:rPr>
      <w:sz w:val="28"/>
      <w:lang w:val="en-US" w:eastAsia="en-US"/>
    </w:rPr>
  </w:style>
  <w:style w:type="character" w:customStyle="1" w:styleId="BodyTextChar">
    <w:name w:val="Body Text Char"/>
    <w:link w:val="BodyText"/>
    <w:locked/>
    <w:rsid w:val="005B2BB4"/>
    <w:rPr>
      <w:sz w:val="28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5B2BB4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5B2BB4"/>
    <w:rPr>
      <w:sz w:val="24"/>
      <w:szCs w:val="24"/>
      <w:lang w:val="lv-LV" w:eastAsia="lv-LV" w:bidi="ar-SA"/>
    </w:rPr>
  </w:style>
  <w:style w:type="character" w:customStyle="1" w:styleId="FooterChar">
    <w:name w:val="Footer Char"/>
    <w:link w:val="Footer"/>
    <w:locked/>
    <w:rsid w:val="005B2BB4"/>
    <w:rPr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rsid w:val="00E96A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96AE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E96AEC"/>
    <w:rPr>
      <w:i/>
      <w:iCs/>
    </w:rPr>
  </w:style>
  <w:style w:type="character" w:customStyle="1" w:styleId="spelle">
    <w:name w:val="spelle"/>
    <w:rsid w:val="00D4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85B-0BBD-47C7-B38A-D84BCF2D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657</Words>
  <Characters>5089</Characters>
  <Application>Microsoft Office Word</Application>
  <DocSecurity>0</DocSecurity>
  <Lines>339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gadījumiem””</vt:lpstr>
    </vt:vector>
  </TitlesOfParts>
  <Company>Satiksmes ministrija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gadījumiem””</dc:title>
  <dc:subject>Anotācija</dc:subject>
  <dc:creator>Iveta Girucka</dc:creator>
  <dc:description>Iveta.girucka@sam.gov.lv_x000d_
67028381</dc:description>
  <cp:lastModifiedBy>Iveta Girucka</cp:lastModifiedBy>
  <cp:revision>11</cp:revision>
  <cp:lastPrinted>2014-12-19T08:31:00Z</cp:lastPrinted>
  <dcterms:created xsi:type="dcterms:W3CDTF">2014-12-15T07:46:00Z</dcterms:created>
  <dcterms:modified xsi:type="dcterms:W3CDTF">2014-12-19T09:20:00Z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