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A81D6C" w:rsidRDefault="00BD5A22" w:rsidP="00C42E6D">
      <w:pPr>
        <w:pStyle w:val="naislab"/>
        <w:spacing w:before="0" w:after="0"/>
        <w:jc w:val="center"/>
        <w:outlineLvl w:val="0"/>
        <w:rPr>
          <w:b/>
          <w:sz w:val="26"/>
          <w:szCs w:val="26"/>
        </w:rPr>
      </w:pPr>
      <w:r w:rsidRPr="00A81D6C">
        <w:rPr>
          <w:b/>
          <w:sz w:val="26"/>
          <w:szCs w:val="26"/>
        </w:rPr>
        <w:t xml:space="preserve">Ministru kabineta rīkojuma projekta „Par valstij dividendēs izmaksājamo valsts akciju sabiedrības „Latvijas </w:t>
      </w:r>
      <w:r w:rsidR="003D4C3C" w:rsidRPr="00A81D6C">
        <w:rPr>
          <w:b/>
          <w:sz w:val="26"/>
          <w:szCs w:val="26"/>
        </w:rPr>
        <w:t>Pasts</w:t>
      </w:r>
      <w:r w:rsidRPr="00A81D6C">
        <w:rPr>
          <w:b/>
          <w:sz w:val="26"/>
          <w:szCs w:val="26"/>
        </w:rPr>
        <w:t>” peļņas daļu”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
        <w:gridCol w:w="2479"/>
        <w:gridCol w:w="6978"/>
      </w:tblGrid>
      <w:tr w:rsidR="00852042" w:rsidRPr="00A81D6C">
        <w:tc>
          <w:tcPr>
            <w:tcW w:w="9725" w:type="dxa"/>
            <w:gridSpan w:val="3"/>
            <w:vAlign w:val="center"/>
          </w:tcPr>
          <w:p w:rsidR="00852042" w:rsidRPr="00A81D6C" w:rsidRDefault="00852042" w:rsidP="006C4607">
            <w:pPr>
              <w:pStyle w:val="naisnod"/>
              <w:spacing w:before="0" w:after="0"/>
              <w:rPr>
                <w:sz w:val="26"/>
                <w:szCs w:val="26"/>
              </w:rPr>
            </w:pPr>
            <w:r w:rsidRPr="00A81D6C">
              <w:rPr>
                <w:sz w:val="26"/>
                <w:szCs w:val="26"/>
              </w:rPr>
              <w:t>I</w:t>
            </w:r>
            <w:r w:rsidR="000941C5" w:rsidRPr="00A81D6C">
              <w:rPr>
                <w:sz w:val="26"/>
                <w:szCs w:val="26"/>
              </w:rPr>
              <w:t>.</w:t>
            </w:r>
            <w:r w:rsidRPr="00A81D6C">
              <w:rPr>
                <w:sz w:val="26"/>
                <w:szCs w:val="26"/>
              </w:rPr>
              <w:t xml:space="preserve"> Tiesību akta </w:t>
            </w:r>
            <w:r w:rsidR="002E3FF4" w:rsidRPr="00A81D6C">
              <w:rPr>
                <w:sz w:val="26"/>
                <w:szCs w:val="26"/>
              </w:rPr>
              <w:t xml:space="preserve">projekta </w:t>
            </w:r>
            <w:r w:rsidRPr="00A81D6C">
              <w:rPr>
                <w:sz w:val="26"/>
                <w:szCs w:val="26"/>
              </w:rPr>
              <w:t>izstrādes nepieciešamība</w:t>
            </w:r>
          </w:p>
        </w:tc>
      </w:tr>
      <w:tr w:rsidR="00262E2B" w:rsidRPr="00A81D6C" w:rsidTr="00345EC4">
        <w:trPr>
          <w:trHeight w:val="630"/>
        </w:trPr>
        <w:tc>
          <w:tcPr>
            <w:tcW w:w="268" w:type="dxa"/>
          </w:tcPr>
          <w:p w:rsidR="00262E2B" w:rsidRPr="00A81D6C" w:rsidRDefault="00262E2B" w:rsidP="006C4607">
            <w:pPr>
              <w:pStyle w:val="naiskr"/>
              <w:spacing w:before="0" w:after="0"/>
              <w:rPr>
                <w:sz w:val="26"/>
                <w:szCs w:val="26"/>
              </w:rPr>
            </w:pPr>
            <w:r w:rsidRPr="00A81D6C">
              <w:rPr>
                <w:sz w:val="26"/>
                <w:szCs w:val="26"/>
              </w:rPr>
              <w:t>1.</w:t>
            </w:r>
          </w:p>
        </w:tc>
        <w:tc>
          <w:tcPr>
            <w:tcW w:w="2479" w:type="dxa"/>
          </w:tcPr>
          <w:p w:rsidR="00262E2B" w:rsidRPr="00A81D6C" w:rsidRDefault="002D7F54" w:rsidP="006C4607">
            <w:pPr>
              <w:pStyle w:val="naiskr"/>
              <w:spacing w:before="0" w:after="0"/>
              <w:ind w:hanging="10"/>
              <w:rPr>
                <w:sz w:val="26"/>
                <w:szCs w:val="26"/>
              </w:rPr>
            </w:pPr>
            <w:r w:rsidRPr="00A81D6C">
              <w:rPr>
                <w:sz w:val="26"/>
                <w:szCs w:val="26"/>
              </w:rPr>
              <w:t>Pamatojums</w:t>
            </w:r>
          </w:p>
        </w:tc>
        <w:tc>
          <w:tcPr>
            <w:tcW w:w="6978" w:type="dxa"/>
          </w:tcPr>
          <w:p w:rsidR="0030417A" w:rsidRPr="00A81D6C" w:rsidRDefault="0030417A" w:rsidP="0030417A">
            <w:pPr>
              <w:pStyle w:val="BodyText"/>
              <w:ind w:firstLine="720"/>
              <w:jc w:val="both"/>
              <w:rPr>
                <w:b w:val="0"/>
                <w:sz w:val="26"/>
                <w:szCs w:val="26"/>
              </w:rPr>
            </w:pPr>
            <w:r w:rsidRPr="00A81D6C">
              <w:rPr>
                <w:b w:val="0"/>
                <w:sz w:val="26"/>
                <w:szCs w:val="26"/>
              </w:rPr>
              <w:t>Ministru kabineta 2009.gada 15.decembra noteikumu Nr.1471 „Kārtība, kādā tiek noteikta un ieskaitīta valsts budžetā izmaksājamā peļņas daļa par valsts kapitāla izmantošanu” 4.</w:t>
            </w:r>
            <w:r w:rsidRPr="00A81D6C">
              <w:rPr>
                <w:b w:val="0"/>
                <w:sz w:val="26"/>
                <w:szCs w:val="26"/>
                <w:vertAlign w:val="superscript"/>
              </w:rPr>
              <w:t xml:space="preserve">2 </w:t>
            </w:r>
            <w:r w:rsidRPr="00A81D6C">
              <w:rPr>
                <w:b w:val="0"/>
                <w:sz w:val="26"/>
                <w:szCs w:val="26"/>
              </w:rPr>
              <w:t>punkts paredz, ka kapitālsabiedrībām, kurās visas kapitāla daļas tieši pieder valstij minimālo dividendēs izmaksājamo peļņas daļu 2014.gadā (par 2013.gada pārskata gadu) nosaka un aprēķina 90 procentu apmērā no attiecīgās kapitālsabiedrības tīrās peļņas.</w:t>
            </w:r>
          </w:p>
          <w:p w:rsidR="0030417A" w:rsidRPr="00A81D6C" w:rsidRDefault="0030417A" w:rsidP="0030417A">
            <w:pPr>
              <w:pStyle w:val="BodyText"/>
              <w:ind w:firstLine="720"/>
              <w:jc w:val="both"/>
              <w:rPr>
                <w:b w:val="0"/>
                <w:sz w:val="26"/>
                <w:szCs w:val="26"/>
              </w:rPr>
            </w:pPr>
            <w:r w:rsidRPr="00A81D6C">
              <w:rPr>
                <w:b w:val="0"/>
                <w:sz w:val="26"/>
                <w:szCs w:val="26"/>
              </w:rPr>
              <w:t>Likuma „Par valsts un pašvaldību kapitāla daļām un kapitālsabiedrībām” 3.panta pirmā un trešā daļa paredz, ka Ministru kabinets nosaka valsts kapitālsabiedrībām minimālo izmaksājamo peļņas daļu (procentos no sabiedrības tīrās peļņas) un, pēc kapitāla daļu turētāja priekšlikuma, kapitālsabiedrībai var noteikt atšķirīgu minimālo dividendēs izmaksājamo peļņas daļu.</w:t>
            </w:r>
          </w:p>
          <w:p w:rsidR="0030417A" w:rsidRPr="00A81D6C" w:rsidRDefault="0030417A" w:rsidP="0030417A">
            <w:pPr>
              <w:pStyle w:val="BodyText"/>
              <w:ind w:firstLine="720"/>
              <w:jc w:val="both"/>
              <w:rPr>
                <w:b w:val="0"/>
                <w:sz w:val="26"/>
                <w:szCs w:val="26"/>
              </w:rPr>
            </w:pPr>
            <w:r w:rsidRPr="00A81D6C">
              <w:rPr>
                <w:b w:val="0"/>
                <w:sz w:val="26"/>
                <w:szCs w:val="26"/>
              </w:rPr>
              <w:t>Ministru kabineta 2009.gada 15.decembra noteikumu Nr.1471 „Kārtība, kādā tiek noteikta un ieskaitīta valsts budžetā izmaksājamā peļņas daļa par valsts kapitāla izmantošanu” 5.punkts paredz, ka Ministru kabinets pēc kapitāla daļu turētāja pamatota priekšlikuma valsts kapitālsabiedrībai var noteikt atšķirīgu dividendēs izmaksājamo minimālo peļņas daļu par attiecīgo pārskata gadu nekā noteikts šo noteikumu 4.</w:t>
            </w:r>
            <w:r w:rsidRPr="00A81D6C">
              <w:rPr>
                <w:b w:val="0"/>
                <w:sz w:val="26"/>
                <w:szCs w:val="26"/>
                <w:vertAlign w:val="superscript"/>
              </w:rPr>
              <w:t xml:space="preserve">2 </w:t>
            </w:r>
            <w:r w:rsidRPr="00A81D6C">
              <w:rPr>
                <w:b w:val="0"/>
                <w:sz w:val="26"/>
                <w:szCs w:val="26"/>
              </w:rPr>
              <w:t>punktā.</w:t>
            </w:r>
          </w:p>
          <w:p w:rsidR="00E06B61" w:rsidRPr="00A81D6C" w:rsidRDefault="0030417A" w:rsidP="00AD0F15">
            <w:pPr>
              <w:pStyle w:val="naiskr"/>
              <w:jc w:val="both"/>
              <w:rPr>
                <w:sz w:val="26"/>
                <w:szCs w:val="26"/>
              </w:rPr>
            </w:pPr>
            <w:r w:rsidRPr="00A81D6C">
              <w:rPr>
                <w:sz w:val="26"/>
                <w:szCs w:val="26"/>
              </w:rPr>
              <w:t xml:space="preserve">Pamatojoties uz augstākminēto Ministru kabineta rīkojuma projekts </w:t>
            </w:r>
            <w:r w:rsidR="00A81D6C">
              <w:t xml:space="preserve"> </w:t>
            </w:r>
            <w:r w:rsidR="00A81D6C" w:rsidRPr="00A81D6C">
              <w:rPr>
                <w:sz w:val="26"/>
                <w:szCs w:val="26"/>
              </w:rPr>
              <w:t>paredz kapitālsabiedrībai par 2013.gadu valsts budžetā dividendēs izmaksājamo peļņas daļu noteikt 0% apmērā no tīrās peļņas</w:t>
            </w:r>
            <w:r w:rsidR="00A81D6C">
              <w:rPr>
                <w:sz w:val="26"/>
                <w:szCs w:val="26"/>
              </w:rPr>
              <w:t>.</w:t>
            </w:r>
          </w:p>
        </w:tc>
      </w:tr>
      <w:tr w:rsidR="00262E2B" w:rsidRPr="00A81D6C" w:rsidTr="00345EC4">
        <w:trPr>
          <w:trHeight w:val="472"/>
        </w:trPr>
        <w:tc>
          <w:tcPr>
            <w:tcW w:w="268" w:type="dxa"/>
          </w:tcPr>
          <w:p w:rsidR="00262E2B" w:rsidRPr="00A81D6C" w:rsidRDefault="00262E2B" w:rsidP="006C4607">
            <w:pPr>
              <w:pStyle w:val="naiskr"/>
              <w:spacing w:before="0" w:after="0"/>
              <w:rPr>
                <w:sz w:val="26"/>
                <w:szCs w:val="26"/>
              </w:rPr>
            </w:pPr>
            <w:r w:rsidRPr="00A81D6C">
              <w:rPr>
                <w:sz w:val="26"/>
                <w:szCs w:val="26"/>
              </w:rPr>
              <w:t>2.</w:t>
            </w:r>
          </w:p>
        </w:tc>
        <w:tc>
          <w:tcPr>
            <w:tcW w:w="2479" w:type="dxa"/>
          </w:tcPr>
          <w:p w:rsidR="00262E2B" w:rsidRPr="00A81D6C" w:rsidRDefault="00345EC4" w:rsidP="006C4607">
            <w:pPr>
              <w:pStyle w:val="naiskr"/>
              <w:tabs>
                <w:tab w:val="left" w:pos="170"/>
              </w:tabs>
              <w:spacing w:before="0" w:after="0"/>
              <w:rPr>
                <w:sz w:val="26"/>
                <w:szCs w:val="26"/>
              </w:rPr>
            </w:pPr>
            <w:r w:rsidRPr="00A81D6C">
              <w:rPr>
                <w:sz w:val="26"/>
                <w:szCs w:val="26"/>
              </w:rPr>
              <w:t>Pašreizējā situācija un problēmas, kuru risināšanai tiesību akta projekts izstrādāts, tiesiskā regulējuma mērķis un būtība</w:t>
            </w:r>
          </w:p>
        </w:tc>
        <w:tc>
          <w:tcPr>
            <w:tcW w:w="6978" w:type="dxa"/>
          </w:tcPr>
          <w:p w:rsidR="00F117B0" w:rsidRPr="00A81D6C" w:rsidRDefault="00F117B0" w:rsidP="00F117B0">
            <w:pPr>
              <w:pStyle w:val="ListParagraph"/>
              <w:ind w:left="0"/>
              <w:jc w:val="both"/>
              <w:rPr>
                <w:sz w:val="26"/>
                <w:szCs w:val="26"/>
              </w:rPr>
            </w:pPr>
            <w:r w:rsidRPr="00A81D6C">
              <w:rPr>
                <w:sz w:val="26"/>
                <w:szCs w:val="26"/>
              </w:rPr>
              <w:t>Uz 2013.gada 31.decembri valsts akciju sabiedrības „Latvijas Pasts” iepriekšējo gadu finansiālie rezultāti – uzkrātie zaudējumi bija 28 851 041 EUR (20 276 627 LVL) apmērā, tajā skaitā, universālā pasta pakalpojuma saistību izpildes rezultātā radītie zaudējumi laika posmā no 2007.-2012.gadam 23 416 016 EUR (16 456 870 LVL). Līdz šobrīd spēkā esošajam Pasta likumam, kas stājās spēkā 2009.gada 03.jūlijā, tika lietots termins „vispārējie pasta pakalpojumi”, bet saskaņā ar šobrīd spēkā esošo Pasta likumu tiek lietots termins „universālais pasta pakalpojums”.</w:t>
            </w:r>
          </w:p>
          <w:p w:rsidR="00165FB8" w:rsidRPr="00A81D6C" w:rsidRDefault="00F117B0" w:rsidP="00165FB8">
            <w:pPr>
              <w:pStyle w:val="ListParagraph"/>
              <w:ind w:left="0"/>
              <w:jc w:val="both"/>
              <w:rPr>
                <w:sz w:val="26"/>
                <w:szCs w:val="26"/>
              </w:rPr>
            </w:pPr>
            <w:r w:rsidRPr="00A81D6C">
              <w:rPr>
                <w:sz w:val="26"/>
                <w:szCs w:val="26"/>
              </w:rPr>
              <w:t xml:space="preserve">Uz 2013.gada 31.decembri </w:t>
            </w:r>
            <w:r w:rsidR="00165FB8" w:rsidRPr="00A81D6C">
              <w:rPr>
                <w:sz w:val="26"/>
                <w:szCs w:val="26"/>
              </w:rPr>
              <w:t>apgrozāmie līdzekļi pārsniedza kapitālsabiedrības īstermiņa saistības par 1,36 milj. LVL un kopējās likviditātes rādītājs bija 1,02, līdz ar to ar īstermiņa aktīviem būtu iespējams segt īstermiņa saistības.</w:t>
            </w:r>
          </w:p>
          <w:p w:rsidR="00165FB8" w:rsidRPr="00A81D6C" w:rsidRDefault="00165FB8" w:rsidP="00165FB8">
            <w:pPr>
              <w:pStyle w:val="ListParagraph"/>
              <w:ind w:left="0"/>
              <w:jc w:val="both"/>
              <w:rPr>
                <w:sz w:val="26"/>
                <w:szCs w:val="26"/>
              </w:rPr>
            </w:pPr>
            <w:r w:rsidRPr="00A81D6C">
              <w:rPr>
                <w:sz w:val="26"/>
                <w:szCs w:val="26"/>
              </w:rPr>
              <w:t>Kapitālsabiedrības tekošās likviditātes rādītājs ir 1. Kopējo saistību īpatsvars bilancē ir 86,6%, savukārt saistību attiecība pret pašu kapitālu ir 7,46. Neto peļņas rentabilitāte 2013.gadā bija 7,84%.</w:t>
            </w:r>
          </w:p>
          <w:p w:rsidR="00F117B0" w:rsidRPr="00A81D6C" w:rsidRDefault="00F117B0" w:rsidP="00F117B0">
            <w:pPr>
              <w:pStyle w:val="ListParagraph"/>
              <w:ind w:left="0"/>
              <w:jc w:val="both"/>
              <w:rPr>
                <w:sz w:val="26"/>
                <w:szCs w:val="26"/>
              </w:rPr>
            </w:pPr>
            <w:r w:rsidRPr="00A81D6C">
              <w:rPr>
                <w:sz w:val="26"/>
                <w:szCs w:val="26"/>
              </w:rPr>
              <w:t xml:space="preserve">Saskaņā ar Sabiedrisko pakalpojumu regulēšanas komisijas apstiprināto universālā pasta pakalpojuma saistību izpildes tīro </w:t>
            </w:r>
            <w:r w:rsidRPr="00A81D6C">
              <w:rPr>
                <w:sz w:val="26"/>
                <w:szCs w:val="26"/>
              </w:rPr>
              <w:lastRenderedPageBreak/>
              <w:t>izmaksu aprēķina metodiku aprēķināt</w:t>
            </w:r>
            <w:r w:rsidR="00391ED2">
              <w:rPr>
                <w:sz w:val="26"/>
                <w:szCs w:val="26"/>
              </w:rPr>
              <w:t>a</w:t>
            </w:r>
            <w:r w:rsidRPr="00A81D6C">
              <w:rPr>
                <w:sz w:val="26"/>
                <w:szCs w:val="26"/>
              </w:rPr>
              <w:t>s valsts akciju sabiedrības „Latvijas Pasts” universālā pasta pakalpojuma tīrās izmaksas</w:t>
            </w:r>
            <w:r w:rsidR="00391ED2">
              <w:rPr>
                <w:sz w:val="26"/>
                <w:szCs w:val="26"/>
              </w:rPr>
              <w:t>.</w:t>
            </w:r>
            <w:r w:rsidRPr="00A81D6C">
              <w:rPr>
                <w:sz w:val="26"/>
                <w:szCs w:val="26"/>
              </w:rPr>
              <w:t xml:space="preserve"> </w:t>
            </w:r>
            <w:r w:rsidR="00391ED2">
              <w:rPr>
                <w:sz w:val="26"/>
                <w:szCs w:val="26"/>
              </w:rPr>
              <w:t xml:space="preserve">Universālā pasta sniegšana </w:t>
            </w:r>
            <w:r w:rsidRPr="00A81D6C">
              <w:rPr>
                <w:sz w:val="26"/>
                <w:szCs w:val="26"/>
              </w:rPr>
              <w:t xml:space="preserve">2013.gadā </w:t>
            </w:r>
            <w:r w:rsidR="00391ED2">
              <w:rPr>
                <w:sz w:val="26"/>
                <w:szCs w:val="26"/>
              </w:rPr>
              <w:t>radīja peļņu</w:t>
            </w:r>
            <w:r w:rsidRPr="00A81D6C">
              <w:rPr>
                <w:sz w:val="26"/>
                <w:szCs w:val="26"/>
              </w:rPr>
              <w:t xml:space="preserve"> </w:t>
            </w:r>
            <w:r w:rsidR="00165FB8" w:rsidRPr="00A81D6C">
              <w:rPr>
                <w:sz w:val="26"/>
                <w:szCs w:val="26"/>
              </w:rPr>
              <w:t>657 679 LVL (935 793 EUR)</w:t>
            </w:r>
            <w:r w:rsidR="00391ED2">
              <w:rPr>
                <w:sz w:val="26"/>
                <w:szCs w:val="26"/>
              </w:rPr>
              <w:t xml:space="preserve"> apmērā</w:t>
            </w:r>
            <w:r w:rsidRPr="00A81D6C">
              <w:rPr>
                <w:sz w:val="26"/>
                <w:szCs w:val="26"/>
              </w:rPr>
              <w:t xml:space="preserve">. Valsts akciju sabiedrības „Latvijas Pasts” 2013.gada pārskata peļņā ir ietverta aprēķinātā, bet no valsts budžeta nesaņemtā kompensācija zaudējumu segšanai, kas rodas no abonēto preses izdevumu piegādes pakalpojumu sniegšanas, </w:t>
            </w:r>
            <w:r w:rsidR="00165FB8" w:rsidRPr="00A81D6C">
              <w:rPr>
                <w:sz w:val="26"/>
                <w:szCs w:val="26"/>
              </w:rPr>
              <w:t xml:space="preserve">3,016 milj. LVL </w:t>
            </w:r>
            <w:r w:rsidRPr="00A81D6C">
              <w:rPr>
                <w:sz w:val="26"/>
                <w:szCs w:val="26"/>
              </w:rPr>
              <w:t>apmērā.</w:t>
            </w:r>
          </w:p>
          <w:p w:rsidR="00F117B0" w:rsidRPr="00A81D6C" w:rsidRDefault="00F117B0" w:rsidP="00F117B0">
            <w:pPr>
              <w:pStyle w:val="ListParagraph"/>
              <w:ind w:left="0"/>
              <w:jc w:val="both"/>
              <w:rPr>
                <w:sz w:val="26"/>
                <w:szCs w:val="26"/>
              </w:rPr>
            </w:pPr>
            <w:r w:rsidRPr="00A81D6C">
              <w:rPr>
                <w:sz w:val="26"/>
                <w:szCs w:val="26"/>
              </w:rPr>
              <w:t>Valsts akciju sabiedrības zvērināts revidents KPMG Baltics SIA akcentējot apstākļus, vērš uzmanību uz to, ka valsts akciju sabiedrības „Latvijas Pasts” spēja turpināt savu darbību nākotnē ir atkarīga no vadības spējām saglabāt operatīvās darbības rezultātus, no vienošanās ar kreditoriem, kā arī no akcionāra finansiālā atbalsta.</w:t>
            </w:r>
          </w:p>
          <w:p w:rsidR="00F117B0" w:rsidRPr="00A81D6C" w:rsidRDefault="00F117B0" w:rsidP="00F117B0">
            <w:pPr>
              <w:pStyle w:val="ListParagraph"/>
              <w:ind w:left="0"/>
              <w:jc w:val="both"/>
              <w:rPr>
                <w:sz w:val="26"/>
                <w:szCs w:val="26"/>
              </w:rPr>
            </w:pPr>
            <w:r w:rsidRPr="00A81D6C">
              <w:rPr>
                <w:sz w:val="26"/>
                <w:szCs w:val="26"/>
              </w:rPr>
              <w:t>Valsts akciju sabiedrības „Latvijas Pasts” 2013.gada pārskata peļņa ir 3 188 545 LVL jeb 4 536 891 EUR.</w:t>
            </w:r>
          </w:p>
          <w:p w:rsidR="00A81D6C" w:rsidRPr="00A81D6C" w:rsidRDefault="00A81D6C" w:rsidP="00F117B0">
            <w:pPr>
              <w:pStyle w:val="ListParagraph"/>
              <w:ind w:left="0"/>
              <w:jc w:val="both"/>
              <w:rPr>
                <w:sz w:val="26"/>
                <w:szCs w:val="26"/>
              </w:rPr>
            </w:pPr>
            <w:r w:rsidRPr="00A81D6C">
              <w:rPr>
                <w:sz w:val="26"/>
                <w:szCs w:val="26"/>
              </w:rPr>
              <w:t>Saskaņā ar likuma „Par valsts un pašvaldību kapitāla daļām un kapitālsabiedrībām” 3.panta trešo daļu un Ministru kabineta 2009.gada 15.decembra noteikumu Nr.1471 „Kārtība, kādā tiek noteikta valsts budžetā izmaksājamā peļņas daļa par valsts kapitāla izmantošanu” 4.</w:t>
            </w:r>
            <w:r w:rsidR="00AC4FD5">
              <w:rPr>
                <w:sz w:val="26"/>
                <w:szCs w:val="26"/>
                <w:vertAlign w:val="superscript"/>
              </w:rPr>
              <w:t>2</w:t>
            </w:r>
            <w:r w:rsidRPr="00A81D6C">
              <w:rPr>
                <w:sz w:val="26"/>
                <w:szCs w:val="26"/>
              </w:rPr>
              <w:t xml:space="preserve">punktu minimālo dividendēs izmaksājamo peļņas daļu par 2013. pārskata gadu kapitālsabiedrībām, kurās visas kapitāla daļas tieši vai pastarpināti pieder valstij nosaka, – 90 procentu apmērā no attiecīgās kapitālsabiedrības tīrās peļņas, ja valsts budžeta likumā kārtējam gadam nav noteikts citādi. Tādejādi kapitālsabiedrībai pēc lēmuma pieņemšanas par dividenžu sadali Valsts kasē par 2013.gadu būtu jāieskaita dividendes 4 083 202 </w:t>
            </w:r>
            <w:proofErr w:type="spellStart"/>
            <w:r w:rsidRPr="00A81D6C">
              <w:rPr>
                <w:sz w:val="26"/>
                <w:szCs w:val="26"/>
              </w:rPr>
              <w:t>euro</w:t>
            </w:r>
            <w:proofErr w:type="spellEnd"/>
            <w:r w:rsidRPr="00A81D6C">
              <w:rPr>
                <w:sz w:val="26"/>
                <w:szCs w:val="26"/>
              </w:rPr>
              <w:t xml:space="preserve"> (Ls 2 869 691) apmērā.</w:t>
            </w:r>
          </w:p>
          <w:p w:rsidR="00A81D6C" w:rsidRPr="00A81D6C" w:rsidRDefault="00A81D6C" w:rsidP="00F117B0">
            <w:pPr>
              <w:pStyle w:val="ListParagraph"/>
              <w:ind w:left="0"/>
              <w:jc w:val="both"/>
              <w:rPr>
                <w:sz w:val="26"/>
                <w:szCs w:val="26"/>
              </w:rPr>
            </w:pPr>
          </w:p>
          <w:p w:rsidR="00F117B0" w:rsidRPr="00A81D6C" w:rsidRDefault="00F117B0" w:rsidP="00F117B0">
            <w:pPr>
              <w:pStyle w:val="ListParagraph"/>
              <w:ind w:left="0"/>
              <w:jc w:val="both"/>
              <w:rPr>
                <w:sz w:val="26"/>
                <w:szCs w:val="26"/>
              </w:rPr>
            </w:pPr>
            <w:r w:rsidRPr="00A81D6C">
              <w:rPr>
                <w:sz w:val="26"/>
                <w:szCs w:val="26"/>
              </w:rPr>
              <w:t xml:space="preserve">VAS „Latvijas Pasts” uzkrātie zaudējumi 2013.gada 31.decembrī bija 28 851 041 EUR (20 276 627 LVL), tajā skaitā, universālā pasta pakalpojuma </w:t>
            </w:r>
            <w:r w:rsidR="00391ED2">
              <w:rPr>
                <w:sz w:val="26"/>
                <w:szCs w:val="26"/>
              </w:rPr>
              <w:t>uzkrātie</w:t>
            </w:r>
            <w:r w:rsidRPr="00A81D6C">
              <w:rPr>
                <w:sz w:val="26"/>
                <w:szCs w:val="26"/>
              </w:rPr>
              <w:t xml:space="preserve"> zaudējumi laika posmā no 2007.–2012.gadam veido 23 416 016 EUR (16 456 870 LVL).</w:t>
            </w:r>
          </w:p>
          <w:p w:rsidR="00F117B0" w:rsidRPr="00A81D6C" w:rsidRDefault="00F117B0" w:rsidP="00F117B0">
            <w:pPr>
              <w:pStyle w:val="ListParagraph"/>
              <w:ind w:left="0"/>
              <w:jc w:val="both"/>
              <w:rPr>
                <w:sz w:val="26"/>
                <w:szCs w:val="26"/>
              </w:rPr>
            </w:pPr>
            <w:r w:rsidRPr="00A81D6C">
              <w:rPr>
                <w:sz w:val="26"/>
                <w:szCs w:val="26"/>
              </w:rPr>
              <w:t>Pašreizējās kredītsaistības (neatmaksātā daļa no kredītlīnijas) AS „Citadele banka” uz 2014.gada 31.martu ir 12 355 000 EUR.</w:t>
            </w:r>
          </w:p>
          <w:p w:rsidR="00F117B0" w:rsidRPr="00A81D6C" w:rsidRDefault="00F117B0" w:rsidP="00F117B0">
            <w:pPr>
              <w:pStyle w:val="ListParagraph"/>
              <w:ind w:left="0"/>
              <w:jc w:val="both"/>
              <w:rPr>
                <w:sz w:val="26"/>
                <w:szCs w:val="26"/>
              </w:rPr>
            </w:pPr>
            <w:r w:rsidRPr="00A81D6C">
              <w:rPr>
                <w:sz w:val="26"/>
                <w:szCs w:val="26"/>
              </w:rPr>
              <w:t>Tādējādi nepieciešams 2013.gada peļņu 3 188 545 LVL jeb 4 536 891 EUR apmērā novirzīt iepriekšējo gadu universālā pasta pakalpojuma zaudējumu segšanai.</w:t>
            </w:r>
          </w:p>
          <w:p w:rsidR="000706B4" w:rsidRPr="00A81D6C" w:rsidRDefault="000706B4" w:rsidP="000706B4">
            <w:pPr>
              <w:pStyle w:val="ListParagraph"/>
              <w:ind w:left="0"/>
              <w:jc w:val="both"/>
              <w:rPr>
                <w:sz w:val="26"/>
                <w:szCs w:val="26"/>
              </w:rPr>
            </w:pPr>
            <w:r w:rsidRPr="00A81D6C">
              <w:rPr>
                <w:sz w:val="26"/>
                <w:szCs w:val="26"/>
              </w:rPr>
              <w:t>Sabiedrības peļņa iepriekšējā darbības gadā, galvenokārt, izveidojās optimizējot darbību un ietaupot līdzekļus atsakoties no vairākiem iepriekš plānotiem projektiem.</w:t>
            </w:r>
          </w:p>
          <w:p w:rsidR="000706B4" w:rsidRPr="00A81D6C" w:rsidRDefault="000706B4" w:rsidP="000706B4">
            <w:pPr>
              <w:pStyle w:val="ListParagraph"/>
              <w:ind w:left="0"/>
              <w:jc w:val="both"/>
              <w:rPr>
                <w:sz w:val="26"/>
                <w:szCs w:val="26"/>
              </w:rPr>
            </w:pPr>
            <w:r w:rsidRPr="00A81D6C">
              <w:rPr>
                <w:sz w:val="26"/>
                <w:szCs w:val="26"/>
              </w:rPr>
              <w:t xml:space="preserve">Tā kā iepriekšējā gada peļņa ir tikusi gūta uz vienreizējiem optimizācijas pasākumiem un atsevišķu pakalpojumu darbības uzlabošanu, tas nav radījis ieņēmumu palielinājumu – neto apgrozījums 2013.gadā bija par 0,4 milj. LVL (0,6 milj. EUR) mazāks nekā 2012.gadā – un sabiedrības rīcībā nav pietiekamu brīvo naudas līdzekļu, lai veiktu dividenžu samaksu vienlaicīgi turpinot uzņēmuma darbības attīstību un konkurētspējas </w:t>
            </w:r>
            <w:r w:rsidRPr="00A81D6C">
              <w:rPr>
                <w:sz w:val="26"/>
                <w:szCs w:val="26"/>
              </w:rPr>
              <w:lastRenderedPageBreak/>
              <w:t>saglabāšanu. Lai veiktu dividenžu izmaksu, VAS „Latvijas Pasts” papildus jau esošajām kredītsaistībām šādi līdzekļi būs jāaizņemas, radot ne tikai papildus kredītsaistības, bet arī papildus izmaksas procentu maksājumiem.</w:t>
            </w:r>
          </w:p>
          <w:p w:rsidR="00F117B0" w:rsidRPr="00A81D6C" w:rsidRDefault="00F117B0" w:rsidP="00F117B0">
            <w:pPr>
              <w:pStyle w:val="ListParagraph"/>
              <w:ind w:left="0"/>
              <w:jc w:val="both"/>
              <w:rPr>
                <w:sz w:val="26"/>
                <w:szCs w:val="26"/>
              </w:rPr>
            </w:pPr>
            <w:r w:rsidRPr="00A81D6C">
              <w:rPr>
                <w:sz w:val="26"/>
                <w:szCs w:val="26"/>
              </w:rPr>
              <w:t>Saskaņā ar Ministru kabineta 2009.gada 15.decembra noteikumu Nr.1471 „Kārtība, kādā tiek noteikta un ieskaitīta valsts budžetā izmaksājamā peļņas daļa par valsts kapitāla izmantošanu” 5.punktu Ministru kabinets pēc kapitāla daļu turētāja pamatota priekšlikuma valsts kapitālsabiedrībai var noteikt atšķirīgu dividendēs izmaksājamo minimālo peļņas daļu par attiecīgo pārskata gadu, ja ir nepieciešams novērst draudus komercdarbības ilgtspējīgai attīstībai un konkurētspējas saglabāšanai.</w:t>
            </w:r>
          </w:p>
          <w:p w:rsidR="00AA37FB" w:rsidRPr="00A81D6C" w:rsidRDefault="00F117B0" w:rsidP="00F117B0">
            <w:pPr>
              <w:pStyle w:val="naiskr"/>
              <w:spacing w:before="0" w:after="0"/>
              <w:ind w:firstLine="283"/>
              <w:jc w:val="both"/>
              <w:rPr>
                <w:sz w:val="26"/>
                <w:szCs w:val="26"/>
              </w:rPr>
            </w:pPr>
            <w:r w:rsidRPr="00A81D6C">
              <w:rPr>
                <w:sz w:val="26"/>
                <w:szCs w:val="26"/>
              </w:rPr>
              <w:t>Augstākminēto iemeslu dēļ valsts akciju sabiedrības „Latvijas Pasts” pārskata gada peļņu 3 188 545 LVL jeb 4 536 891 EUR apmērā nepieciešams novirzīt iepriekšējo gadu zaudējumu segšanai, kuri radušies iepriekšējos gados, nodrošinot universālā pasta pakalpojuma saistību izpildi.</w:t>
            </w:r>
          </w:p>
          <w:p w:rsidR="00F117B0" w:rsidRPr="00A81D6C" w:rsidRDefault="00F117B0" w:rsidP="00696504">
            <w:pPr>
              <w:autoSpaceDE w:val="0"/>
              <w:autoSpaceDN w:val="0"/>
              <w:adjustRightInd w:val="0"/>
              <w:jc w:val="both"/>
              <w:rPr>
                <w:sz w:val="26"/>
                <w:szCs w:val="26"/>
              </w:rPr>
            </w:pPr>
            <w:r w:rsidRPr="00A81D6C">
              <w:rPr>
                <w:sz w:val="26"/>
                <w:szCs w:val="26"/>
              </w:rPr>
              <w:t>Ministru kabineta rīkojuma projekts „Par valstij dividendēs izmaksājamo valsts akciju sabiedrības „Latv</w:t>
            </w:r>
            <w:r w:rsidR="00696504" w:rsidRPr="00A81D6C">
              <w:rPr>
                <w:sz w:val="26"/>
                <w:szCs w:val="26"/>
              </w:rPr>
              <w:t>ijas Pasts” peļņas daļu” paredz, ka 2013.gadā gūtā peļņa tiek novirzīta tikai to valsts akciju sabiedrības "Latvijas Pasts" zaudējumu segšanai, kuri radušies iepriekšējos gados, lai sabiedrības interesēs nodrošinātu universālā pasta pakalpojuma saistību izpildi, tādējādi samazinot saistību apjomu, tajā skaitā aizņemtā kapitāla attiecību pret pašu kapitālu.</w:t>
            </w:r>
          </w:p>
          <w:p w:rsidR="00F117B0" w:rsidRPr="00A81D6C" w:rsidRDefault="00F117B0" w:rsidP="009F5DB6">
            <w:pPr>
              <w:pStyle w:val="naiskr"/>
              <w:spacing w:before="0" w:after="0"/>
              <w:ind w:firstLine="283"/>
              <w:jc w:val="both"/>
              <w:rPr>
                <w:sz w:val="26"/>
                <w:szCs w:val="26"/>
              </w:rPr>
            </w:pPr>
            <w:r w:rsidRPr="00A81D6C">
              <w:rPr>
                <w:sz w:val="26"/>
                <w:szCs w:val="26"/>
              </w:rPr>
              <w:t>Atbilstoši Ministru kabineta 2009.gada 15.decembra noteikumu Nr.1471 „Kārtība, kādā tiek noteikta un ieskaitīta valsts budžetā izmaksājamā peļņas daļa par valsts kapitāla izmantošanu” 5.1.</w:t>
            </w:r>
            <w:r w:rsidRPr="00A81D6C">
              <w:rPr>
                <w:sz w:val="26"/>
                <w:szCs w:val="26"/>
                <w:vertAlign w:val="superscript"/>
              </w:rPr>
              <w:t xml:space="preserve"> </w:t>
            </w:r>
            <w:r w:rsidRPr="00A81D6C">
              <w:rPr>
                <w:sz w:val="26"/>
                <w:szCs w:val="26"/>
              </w:rPr>
              <w:t xml:space="preserve">apakšpunktam, lai nodrošinātu valsts akciju sabiedrības „Latvijas Pasts” ilgtspējīgu attīstību un konkurētspējas saglabāšanu, nepieciešams samazināt iepriekšējo gadu uzkrātos universālā pasta pakalpojuma zaudējumus, </w:t>
            </w:r>
            <w:r w:rsidR="009F5DB6" w:rsidRPr="00A81D6C">
              <w:rPr>
                <w:sz w:val="26"/>
                <w:szCs w:val="26"/>
              </w:rPr>
              <w:t>uzlabot likviditātes rādītājus un atbilstoši grafikam spētu segt esošās kredītsaistības, kā arī uzlabot rentabilitātes rādītājus, kas iepriekšējā pārskata periodā bija nedaudz labāki</w:t>
            </w:r>
            <w:r w:rsidRPr="00A81D6C">
              <w:rPr>
                <w:sz w:val="26"/>
                <w:szCs w:val="26"/>
              </w:rPr>
              <w:t>.</w:t>
            </w:r>
          </w:p>
        </w:tc>
      </w:tr>
      <w:tr w:rsidR="00262E2B" w:rsidRPr="00A81D6C" w:rsidTr="00345EC4">
        <w:trPr>
          <w:trHeight w:val="476"/>
        </w:trPr>
        <w:tc>
          <w:tcPr>
            <w:tcW w:w="268" w:type="dxa"/>
          </w:tcPr>
          <w:p w:rsidR="00262E2B" w:rsidRPr="00A81D6C" w:rsidRDefault="00345EC4" w:rsidP="006C4607">
            <w:pPr>
              <w:pStyle w:val="naiskr"/>
              <w:spacing w:before="0" w:after="0"/>
              <w:rPr>
                <w:sz w:val="26"/>
                <w:szCs w:val="26"/>
              </w:rPr>
            </w:pPr>
            <w:r w:rsidRPr="00A81D6C">
              <w:rPr>
                <w:sz w:val="26"/>
                <w:szCs w:val="26"/>
              </w:rPr>
              <w:lastRenderedPageBreak/>
              <w:t>3</w:t>
            </w:r>
            <w:r w:rsidR="00262E2B" w:rsidRPr="00A81D6C">
              <w:rPr>
                <w:sz w:val="26"/>
                <w:szCs w:val="26"/>
              </w:rPr>
              <w:t>.</w:t>
            </w:r>
          </w:p>
        </w:tc>
        <w:tc>
          <w:tcPr>
            <w:tcW w:w="2479" w:type="dxa"/>
          </w:tcPr>
          <w:p w:rsidR="00262E2B" w:rsidRPr="00A81D6C" w:rsidRDefault="001A4066" w:rsidP="006C4607">
            <w:pPr>
              <w:pStyle w:val="naiskr"/>
              <w:spacing w:before="0" w:after="0"/>
              <w:rPr>
                <w:sz w:val="26"/>
                <w:szCs w:val="26"/>
              </w:rPr>
            </w:pPr>
            <w:r w:rsidRPr="00A81D6C">
              <w:rPr>
                <w:sz w:val="26"/>
                <w:szCs w:val="26"/>
              </w:rPr>
              <w:t>Projekta i</w:t>
            </w:r>
            <w:r w:rsidR="00262E2B" w:rsidRPr="00A81D6C">
              <w:rPr>
                <w:sz w:val="26"/>
                <w:szCs w:val="26"/>
              </w:rPr>
              <w:t>zstrād</w:t>
            </w:r>
            <w:r w:rsidR="00420870" w:rsidRPr="00A81D6C">
              <w:rPr>
                <w:sz w:val="26"/>
                <w:szCs w:val="26"/>
              </w:rPr>
              <w:t xml:space="preserve">ē </w:t>
            </w:r>
            <w:r w:rsidR="00262E2B" w:rsidRPr="00A81D6C">
              <w:rPr>
                <w:sz w:val="26"/>
                <w:szCs w:val="26"/>
              </w:rPr>
              <w:t>iesaistītās institūcijas</w:t>
            </w:r>
          </w:p>
        </w:tc>
        <w:tc>
          <w:tcPr>
            <w:tcW w:w="6978" w:type="dxa"/>
          </w:tcPr>
          <w:p w:rsidR="00F117B0" w:rsidRPr="00A81D6C" w:rsidRDefault="00F117B0" w:rsidP="00F117B0">
            <w:pPr>
              <w:spacing w:before="75" w:after="75"/>
              <w:rPr>
                <w:sz w:val="26"/>
                <w:szCs w:val="26"/>
              </w:rPr>
            </w:pPr>
            <w:r w:rsidRPr="00A81D6C">
              <w:rPr>
                <w:sz w:val="26"/>
                <w:szCs w:val="26"/>
              </w:rPr>
              <w:t>Satiksmes ministrija</w:t>
            </w:r>
          </w:p>
          <w:p w:rsidR="001A4224" w:rsidRPr="00A81D6C" w:rsidRDefault="00F117B0" w:rsidP="00F117B0">
            <w:pPr>
              <w:pStyle w:val="naiskr"/>
              <w:spacing w:before="0" w:after="0"/>
              <w:jc w:val="both"/>
              <w:rPr>
                <w:sz w:val="26"/>
                <w:szCs w:val="26"/>
              </w:rPr>
            </w:pPr>
            <w:r w:rsidRPr="00A81D6C">
              <w:rPr>
                <w:sz w:val="26"/>
                <w:szCs w:val="26"/>
              </w:rPr>
              <w:t>Valsts akciju sabiedrība „Latvijas Pasts”</w:t>
            </w:r>
          </w:p>
        </w:tc>
      </w:tr>
      <w:tr w:rsidR="00262E2B" w:rsidRPr="00A81D6C" w:rsidTr="00345EC4">
        <w:tc>
          <w:tcPr>
            <w:tcW w:w="268" w:type="dxa"/>
          </w:tcPr>
          <w:p w:rsidR="00262E2B" w:rsidRPr="00A81D6C" w:rsidRDefault="00345EC4" w:rsidP="006C4607">
            <w:pPr>
              <w:pStyle w:val="naiskr"/>
              <w:spacing w:before="0" w:after="0"/>
              <w:rPr>
                <w:sz w:val="26"/>
                <w:szCs w:val="26"/>
              </w:rPr>
            </w:pPr>
            <w:r w:rsidRPr="00A81D6C">
              <w:rPr>
                <w:sz w:val="26"/>
                <w:szCs w:val="26"/>
              </w:rPr>
              <w:t>4</w:t>
            </w:r>
            <w:r w:rsidR="00262E2B" w:rsidRPr="00A81D6C">
              <w:rPr>
                <w:sz w:val="26"/>
                <w:szCs w:val="26"/>
              </w:rPr>
              <w:t>.</w:t>
            </w:r>
          </w:p>
        </w:tc>
        <w:tc>
          <w:tcPr>
            <w:tcW w:w="2479" w:type="dxa"/>
          </w:tcPr>
          <w:p w:rsidR="00262E2B" w:rsidRPr="00A81D6C" w:rsidRDefault="00262E2B" w:rsidP="006C4607">
            <w:pPr>
              <w:pStyle w:val="naiskr"/>
              <w:spacing w:before="0" w:after="0"/>
              <w:rPr>
                <w:sz w:val="26"/>
                <w:szCs w:val="26"/>
              </w:rPr>
            </w:pPr>
            <w:r w:rsidRPr="00A81D6C">
              <w:rPr>
                <w:sz w:val="26"/>
                <w:szCs w:val="26"/>
              </w:rPr>
              <w:t>Cita informācija</w:t>
            </w:r>
          </w:p>
        </w:tc>
        <w:tc>
          <w:tcPr>
            <w:tcW w:w="6978" w:type="dxa"/>
          </w:tcPr>
          <w:p w:rsidR="007463F2" w:rsidRPr="00A81D6C" w:rsidRDefault="001632CD" w:rsidP="00203F04">
            <w:pPr>
              <w:pStyle w:val="naiskr"/>
              <w:spacing w:before="0" w:after="0"/>
              <w:ind w:firstLine="283"/>
              <w:jc w:val="both"/>
              <w:rPr>
                <w:sz w:val="26"/>
                <w:szCs w:val="26"/>
              </w:rPr>
            </w:pPr>
            <w:r w:rsidRPr="00A81D6C">
              <w:rPr>
                <w:sz w:val="26"/>
                <w:szCs w:val="26"/>
              </w:rPr>
              <w:t>Nav.</w:t>
            </w:r>
          </w:p>
          <w:p w:rsidR="00280AC1" w:rsidRPr="00A81D6C" w:rsidRDefault="00280AC1" w:rsidP="00203F04">
            <w:pPr>
              <w:pStyle w:val="naiskr"/>
              <w:spacing w:before="0" w:after="0"/>
              <w:ind w:firstLine="283"/>
              <w:jc w:val="both"/>
              <w:rPr>
                <w:sz w:val="26"/>
                <w:szCs w:val="26"/>
              </w:rPr>
            </w:pPr>
          </w:p>
          <w:p w:rsidR="00280AC1" w:rsidRPr="00A81D6C" w:rsidRDefault="00280AC1" w:rsidP="00203F04">
            <w:pPr>
              <w:pStyle w:val="naiskr"/>
              <w:spacing w:before="0" w:after="0"/>
              <w:ind w:firstLine="283"/>
              <w:jc w:val="both"/>
              <w:rPr>
                <w:sz w:val="26"/>
                <w:szCs w:val="26"/>
              </w:rPr>
            </w:pPr>
          </w:p>
        </w:tc>
      </w:tr>
    </w:tbl>
    <w:p w:rsidR="001633CA" w:rsidRPr="00A81D6C" w:rsidRDefault="001633CA" w:rsidP="001633CA">
      <w:pPr>
        <w:rPr>
          <w:vanish/>
          <w:sz w:val="26"/>
          <w:szCs w:val="26"/>
        </w:rPr>
      </w:pPr>
    </w:p>
    <w:p w:rsidR="00BC0D18" w:rsidRPr="00A81D6C" w:rsidRDefault="00BC0D18" w:rsidP="00C31E36">
      <w:pPr>
        <w:ind w:firstLine="720"/>
        <w:jc w:val="both"/>
        <w:rPr>
          <w:sz w:val="26"/>
          <w:szCs w:val="26"/>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79"/>
        <w:gridCol w:w="1535"/>
        <w:gridCol w:w="1421"/>
        <w:gridCol w:w="1192"/>
        <w:gridCol w:w="1130"/>
        <w:gridCol w:w="1384"/>
      </w:tblGrid>
      <w:tr w:rsidR="00697E71" w:rsidRPr="00A81D6C" w:rsidTr="00697E71">
        <w:tc>
          <w:tcPr>
            <w:tcW w:w="5000" w:type="pct"/>
            <w:gridSpan w:val="6"/>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jc w:val="center"/>
              <w:rPr>
                <w:b/>
                <w:bCs/>
                <w:sz w:val="26"/>
                <w:szCs w:val="26"/>
              </w:rPr>
            </w:pPr>
            <w:r w:rsidRPr="00A81D6C">
              <w:rPr>
                <w:b/>
                <w:bCs/>
                <w:sz w:val="26"/>
                <w:szCs w:val="26"/>
              </w:rPr>
              <w:t>III. Tiesību akta projekta ietekme uz valsts budžetu un pašvaldību budžetiem</w:t>
            </w:r>
          </w:p>
        </w:tc>
      </w:tr>
      <w:tr w:rsidR="00697E71" w:rsidRPr="00A81D6C" w:rsidTr="00697E71">
        <w:tc>
          <w:tcPr>
            <w:tcW w:w="1545" w:type="pct"/>
            <w:vMerge w:val="restar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b/>
                <w:bCs/>
                <w:sz w:val="26"/>
                <w:szCs w:val="26"/>
              </w:rPr>
            </w:pPr>
            <w:r w:rsidRPr="00A81D6C">
              <w:rPr>
                <w:b/>
                <w:bCs/>
                <w:sz w:val="26"/>
                <w:szCs w:val="26"/>
              </w:rPr>
              <w:t>Rādītāji</w:t>
            </w:r>
          </w:p>
        </w:tc>
        <w:tc>
          <w:tcPr>
            <w:tcW w:w="1533" w:type="pct"/>
            <w:gridSpan w:val="2"/>
            <w:vMerge w:val="restar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ind w:firstLine="253"/>
              <w:rPr>
                <w:b/>
                <w:bCs/>
                <w:sz w:val="26"/>
                <w:szCs w:val="26"/>
              </w:rPr>
            </w:pPr>
            <w:r w:rsidRPr="00A81D6C">
              <w:rPr>
                <w:b/>
                <w:bCs/>
                <w:sz w:val="26"/>
                <w:szCs w:val="26"/>
              </w:rPr>
              <w:t>2014.gads</w:t>
            </w:r>
          </w:p>
        </w:tc>
        <w:tc>
          <w:tcPr>
            <w:tcW w:w="1922" w:type="pct"/>
            <w:gridSpan w:val="3"/>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ind w:firstLine="253"/>
              <w:rPr>
                <w:sz w:val="26"/>
                <w:szCs w:val="26"/>
              </w:rPr>
            </w:pPr>
            <w:r w:rsidRPr="00A81D6C">
              <w:rPr>
                <w:sz w:val="26"/>
                <w:szCs w:val="26"/>
              </w:rPr>
              <w:t>Turpmākie trīs gadi (</w:t>
            </w:r>
            <w:proofErr w:type="spellStart"/>
            <w:r w:rsidRPr="00A81D6C">
              <w:rPr>
                <w:i/>
                <w:sz w:val="26"/>
                <w:szCs w:val="26"/>
              </w:rPr>
              <w:t>euro</w:t>
            </w:r>
            <w:proofErr w:type="spellEnd"/>
            <w:r w:rsidRPr="00A81D6C">
              <w:rPr>
                <w:sz w:val="26"/>
                <w:szCs w:val="26"/>
              </w:rPr>
              <w:t>)</w:t>
            </w:r>
          </w:p>
        </w:tc>
      </w:tr>
      <w:tr w:rsidR="00697E71" w:rsidRPr="00A81D6C" w:rsidTr="00697E71">
        <w:tc>
          <w:tcPr>
            <w:tcW w:w="1545"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rPr>
                <w:b/>
                <w:bCs/>
                <w:sz w:val="26"/>
                <w:szCs w:val="26"/>
              </w:rPr>
            </w:pPr>
          </w:p>
        </w:tc>
        <w:tc>
          <w:tcPr>
            <w:tcW w:w="1533" w:type="pct"/>
            <w:gridSpan w:val="2"/>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ind w:firstLine="253"/>
              <w:rPr>
                <w:b/>
                <w:bCs/>
                <w:sz w:val="26"/>
                <w:szCs w:val="26"/>
              </w:rPr>
            </w:pP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spacing w:before="100" w:beforeAutospacing="1" w:after="100" w:afterAutospacing="1"/>
              <w:ind w:firstLine="253"/>
              <w:rPr>
                <w:b/>
                <w:bCs/>
                <w:sz w:val="26"/>
                <w:szCs w:val="26"/>
              </w:rPr>
            </w:pPr>
            <w:r w:rsidRPr="00A81D6C">
              <w:rPr>
                <w:b/>
                <w:bCs/>
                <w:sz w:val="26"/>
                <w:szCs w:val="26"/>
              </w:rPr>
              <w:t>2015</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ind w:firstLine="253"/>
              <w:rPr>
                <w:b/>
                <w:bCs/>
                <w:sz w:val="26"/>
                <w:szCs w:val="26"/>
              </w:rPr>
            </w:pPr>
            <w:r w:rsidRPr="00A81D6C">
              <w:rPr>
                <w:b/>
                <w:bCs/>
                <w:sz w:val="26"/>
                <w:szCs w:val="26"/>
              </w:rPr>
              <w:t>2016</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ind w:firstLine="253"/>
              <w:rPr>
                <w:b/>
                <w:bCs/>
                <w:sz w:val="26"/>
                <w:szCs w:val="26"/>
              </w:rPr>
            </w:pPr>
            <w:r w:rsidRPr="00A81D6C">
              <w:rPr>
                <w:b/>
                <w:bCs/>
                <w:sz w:val="26"/>
                <w:szCs w:val="26"/>
              </w:rPr>
              <w:t>2017</w:t>
            </w:r>
          </w:p>
        </w:tc>
      </w:tr>
      <w:tr w:rsidR="00697E71" w:rsidRPr="00A81D6C" w:rsidTr="00697E71">
        <w:tc>
          <w:tcPr>
            <w:tcW w:w="1545"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rPr>
                <w:b/>
                <w:bCs/>
                <w:sz w:val="26"/>
                <w:szCs w:val="26"/>
              </w:rPr>
            </w:pP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ind w:firstLine="111"/>
              <w:rPr>
                <w:sz w:val="26"/>
                <w:szCs w:val="26"/>
              </w:rPr>
            </w:pPr>
            <w:r w:rsidRPr="00A81D6C">
              <w:rPr>
                <w:sz w:val="26"/>
                <w:szCs w:val="26"/>
              </w:rPr>
              <w:t xml:space="preserve">Saskaņā ar valsts </w:t>
            </w:r>
            <w:r w:rsidRPr="00A81D6C">
              <w:rPr>
                <w:sz w:val="26"/>
                <w:szCs w:val="26"/>
              </w:rPr>
              <w:lastRenderedPageBreak/>
              <w:t>budžetu kārtējam gadam</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rPr>
                <w:sz w:val="26"/>
                <w:szCs w:val="26"/>
              </w:rPr>
            </w:pPr>
            <w:r w:rsidRPr="00A81D6C">
              <w:rPr>
                <w:sz w:val="26"/>
                <w:szCs w:val="26"/>
              </w:rPr>
              <w:lastRenderedPageBreak/>
              <w:t xml:space="preserve">Izmaiņas kārtējā gadā, </w:t>
            </w:r>
            <w:r w:rsidRPr="00A81D6C">
              <w:rPr>
                <w:sz w:val="26"/>
                <w:szCs w:val="26"/>
              </w:rPr>
              <w:lastRenderedPageBreak/>
              <w:t>salīdzinot ar budžetu kārtējam gadam</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ind w:hanging="11"/>
              <w:rPr>
                <w:sz w:val="26"/>
                <w:szCs w:val="26"/>
              </w:rPr>
            </w:pPr>
            <w:r w:rsidRPr="00A81D6C">
              <w:rPr>
                <w:sz w:val="26"/>
                <w:szCs w:val="26"/>
              </w:rPr>
              <w:lastRenderedPageBreak/>
              <w:t xml:space="preserve">Izmaiņas, salīdzinot </w:t>
            </w:r>
            <w:r w:rsidRPr="00A81D6C">
              <w:rPr>
                <w:sz w:val="26"/>
                <w:szCs w:val="26"/>
              </w:rPr>
              <w:lastRenderedPageBreak/>
              <w:t>ar kārtējo (n) gadu</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rPr>
                <w:sz w:val="26"/>
                <w:szCs w:val="26"/>
              </w:rPr>
            </w:pPr>
            <w:r w:rsidRPr="00A81D6C">
              <w:rPr>
                <w:sz w:val="26"/>
                <w:szCs w:val="26"/>
              </w:rPr>
              <w:lastRenderedPageBreak/>
              <w:t xml:space="preserve">Izmaiņas, salīdzinot </w:t>
            </w:r>
            <w:r w:rsidRPr="00A81D6C">
              <w:rPr>
                <w:sz w:val="26"/>
                <w:szCs w:val="26"/>
              </w:rPr>
              <w:lastRenderedPageBreak/>
              <w:t>ar kārtējo (n) gadu</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rPr>
                <w:sz w:val="26"/>
                <w:szCs w:val="26"/>
              </w:rPr>
            </w:pPr>
            <w:r w:rsidRPr="00A81D6C">
              <w:rPr>
                <w:sz w:val="26"/>
                <w:szCs w:val="26"/>
              </w:rPr>
              <w:lastRenderedPageBreak/>
              <w:t xml:space="preserve">Izmaiņas, salīdzinot ar </w:t>
            </w:r>
            <w:r w:rsidRPr="00A81D6C">
              <w:rPr>
                <w:sz w:val="26"/>
                <w:szCs w:val="26"/>
              </w:rPr>
              <w:lastRenderedPageBreak/>
              <w:t>kārtējo (n) gadu</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sz w:val="26"/>
                <w:szCs w:val="26"/>
              </w:rPr>
            </w:pPr>
            <w:r w:rsidRPr="00A81D6C">
              <w:rPr>
                <w:sz w:val="26"/>
                <w:szCs w:val="26"/>
              </w:rPr>
              <w:lastRenderedPageBreak/>
              <w:t>1</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sz w:val="26"/>
                <w:szCs w:val="26"/>
              </w:rPr>
            </w:pPr>
            <w:r w:rsidRPr="00A81D6C">
              <w:rPr>
                <w:sz w:val="26"/>
                <w:szCs w:val="26"/>
              </w:rPr>
              <w:t>2</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sz w:val="26"/>
                <w:szCs w:val="26"/>
              </w:rPr>
            </w:pPr>
            <w:r w:rsidRPr="00A81D6C">
              <w:rPr>
                <w:sz w:val="26"/>
                <w:szCs w:val="26"/>
              </w:rPr>
              <w:t>3</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sz w:val="26"/>
                <w:szCs w:val="26"/>
              </w:rPr>
            </w:pPr>
            <w:r w:rsidRPr="00A81D6C">
              <w:rPr>
                <w:sz w:val="26"/>
                <w:szCs w:val="26"/>
              </w:rPr>
              <w:t>4</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sz w:val="26"/>
                <w:szCs w:val="26"/>
              </w:rPr>
            </w:pPr>
            <w:r w:rsidRPr="00A81D6C">
              <w:rPr>
                <w:sz w:val="26"/>
                <w:szCs w:val="26"/>
              </w:rPr>
              <w:t>5</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sz w:val="26"/>
                <w:szCs w:val="26"/>
              </w:rPr>
            </w:pPr>
            <w:r w:rsidRPr="00A81D6C">
              <w:rPr>
                <w:sz w:val="26"/>
                <w:szCs w:val="26"/>
              </w:rPr>
              <w:t>6</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1. Budžeta ieņēmumi:</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9B7999" w:rsidP="008433EF">
            <w:pPr>
              <w:spacing w:line="360" w:lineRule="auto"/>
              <w:jc w:val="center"/>
              <w:rPr>
                <w:sz w:val="26"/>
                <w:szCs w:val="26"/>
              </w:rPr>
            </w:pPr>
            <w:r w:rsidRPr="00A81D6C">
              <w:rPr>
                <w:sz w:val="26"/>
                <w:szCs w:val="26"/>
              </w:rPr>
              <w:t xml:space="preserve">145 734 105  </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8433EF">
            <w:pPr>
              <w:spacing w:line="360" w:lineRule="auto"/>
              <w:jc w:val="center"/>
              <w:rPr>
                <w:sz w:val="26"/>
                <w:szCs w:val="26"/>
              </w:rPr>
            </w:pPr>
            <w:r w:rsidRPr="00A81D6C">
              <w:rPr>
                <w:sz w:val="26"/>
                <w:szCs w:val="26"/>
              </w:rPr>
              <w:t>-</w:t>
            </w:r>
            <w:r w:rsidR="009B7999" w:rsidRPr="00A81D6C">
              <w:rPr>
                <w:sz w:val="26"/>
                <w:szCs w:val="26"/>
              </w:rPr>
              <w:t xml:space="preserve"> </w:t>
            </w:r>
            <w:r w:rsidRPr="00A81D6C">
              <w:rPr>
                <w:sz w:val="26"/>
                <w:szCs w:val="26"/>
              </w:rPr>
              <w:t>4 083 202</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1.1. valsts pamatbudžets, tai skaitā ieņēmumi no maksas pakalpojumiem un citi pašu ieņēmumi</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9B7999" w:rsidP="00697E71">
            <w:pPr>
              <w:jc w:val="center"/>
              <w:rPr>
                <w:sz w:val="26"/>
                <w:szCs w:val="26"/>
              </w:rPr>
            </w:pPr>
            <w:r w:rsidRPr="00A81D6C">
              <w:rPr>
                <w:sz w:val="26"/>
                <w:szCs w:val="26"/>
              </w:rPr>
              <w:t xml:space="preserve">145 734 105  </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w:t>
            </w:r>
            <w:r w:rsidR="009B7999" w:rsidRPr="00A81D6C">
              <w:rPr>
                <w:sz w:val="26"/>
                <w:szCs w:val="26"/>
              </w:rPr>
              <w:t xml:space="preserve"> </w:t>
            </w:r>
            <w:r w:rsidRPr="00A81D6C">
              <w:rPr>
                <w:sz w:val="26"/>
                <w:szCs w:val="26"/>
              </w:rPr>
              <w:t>4 083 202</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1.2. valsts speciālais 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1.3. pašvaldību 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2. Budžeta izdevumi:</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spacing w:line="360" w:lineRule="auto"/>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spacing w:line="360" w:lineRule="auto"/>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2.1. valsts pamatbudžets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9B7999" w:rsidP="00697E71">
            <w:pPr>
              <w:spacing w:line="360" w:lineRule="auto"/>
              <w:jc w:val="center"/>
              <w:rPr>
                <w:sz w:val="26"/>
                <w:szCs w:val="26"/>
              </w:rPr>
            </w:pPr>
            <w:r w:rsidRPr="00A81D6C">
              <w:rPr>
                <w:sz w:val="26"/>
                <w:szCs w:val="26"/>
              </w:rPr>
              <w:t xml:space="preserve">145 734 105  </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spacing w:line="360" w:lineRule="auto"/>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2.2. valsts speciālais 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2.3. pašvaldību 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3. Finansiālā ietekme:</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spacing w:line="360" w:lineRule="auto"/>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spacing w:line="360" w:lineRule="auto"/>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3.1. valsts pamatbudžets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spacing w:line="360" w:lineRule="auto"/>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spacing w:line="360" w:lineRule="auto"/>
              <w:jc w:val="center"/>
              <w:rPr>
                <w:sz w:val="26"/>
                <w:szCs w:val="26"/>
              </w:rPr>
            </w:pPr>
            <w:r w:rsidRPr="00A81D6C">
              <w:rPr>
                <w:sz w:val="26"/>
                <w:szCs w:val="26"/>
              </w:rPr>
              <w:t>-</w:t>
            </w:r>
            <w:r w:rsidR="009B7999" w:rsidRPr="00A81D6C">
              <w:rPr>
                <w:sz w:val="26"/>
                <w:szCs w:val="26"/>
              </w:rPr>
              <w:t xml:space="preserve"> </w:t>
            </w:r>
            <w:r w:rsidRPr="00A81D6C">
              <w:rPr>
                <w:sz w:val="26"/>
                <w:szCs w:val="26"/>
              </w:rPr>
              <w:t>4 083 202</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3.2. speciālais 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3.3. pašvaldību budžets</w:t>
            </w:r>
          </w:p>
        </w:tc>
        <w:tc>
          <w:tcPr>
            <w:tcW w:w="79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697E71">
            <w:pPr>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vMerge w:val="restar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highlight w:val="yellow"/>
              </w:rPr>
            </w:pPr>
            <w:r w:rsidRPr="00A81D6C">
              <w:rPr>
                <w:sz w:val="26"/>
                <w:szCs w:val="26"/>
              </w:rPr>
              <w:t>4. Finanšu līdzekļi papildu izde</w:t>
            </w:r>
            <w:r w:rsidRPr="00A81D6C">
              <w:rPr>
                <w:sz w:val="26"/>
                <w:szCs w:val="26"/>
              </w:rPr>
              <w:softHyphen/>
              <w:t>vumu finansēšanai (kompensējošu izdevumu samazinājumu norāda ar "+" zīmi)</w:t>
            </w:r>
          </w:p>
        </w:tc>
        <w:tc>
          <w:tcPr>
            <w:tcW w:w="796" w:type="pct"/>
            <w:vMerge w:val="restar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spacing w:before="100" w:beforeAutospacing="1" w:after="100" w:afterAutospacing="1"/>
              <w:jc w:val="center"/>
              <w:rPr>
                <w:sz w:val="26"/>
                <w:szCs w:val="26"/>
              </w:rPr>
            </w:pPr>
            <w:r w:rsidRPr="00A81D6C">
              <w:rPr>
                <w:sz w:val="26"/>
                <w:szCs w:val="26"/>
              </w:rPr>
              <w:t>X</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2A56EC" w:rsidP="002A56EC">
            <w:pPr>
              <w:jc w:val="center"/>
              <w:rPr>
                <w:sz w:val="26"/>
                <w:szCs w:val="26"/>
              </w:rPr>
            </w:pPr>
            <w:r w:rsidRPr="00A81D6C">
              <w:rPr>
                <w:sz w:val="26"/>
                <w:szCs w:val="26"/>
              </w:rPr>
              <w:t>Projekts šo jomu neskar</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rPr>
                <w:sz w:val="26"/>
                <w:szCs w:val="26"/>
              </w:rPr>
            </w:pPr>
          </w:p>
        </w:tc>
        <w:tc>
          <w:tcPr>
            <w:tcW w:w="796"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rPr>
                <w:sz w:val="26"/>
                <w:szCs w:val="26"/>
              </w:rPr>
            </w:pP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jc w:val="center"/>
              <w:rPr>
                <w:sz w:val="26"/>
                <w:szCs w:val="26"/>
              </w:rPr>
            </w:pPr>
            <w:r w:rsidRPr="00A81D6C">
              <w:rPr>
                <w:sz w:val="26"/>
                <w:szCs w:val="26"/>
              </w:rPr>
              <w:t>Projekts šo jomu neskar</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rPr>
                <w:sz w:val="26"/>
                <w:szCs w:val="26"/>
              </w:rPr>
            </w:pPr>
          </w:p>
        </w:tc>
        <w:tc>
          <w:tcPr>
            <w:tcW w:w="796"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rPr>
                <w:sz w:val="26"/>
                <w:szCs w:val="26"/>
              </w:rPr>
            </w:pP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jc w:val="center"/>
              <w:rPr>
                <w:sz w:val="26"/>
                <w:szCs w:val="26"/>
              </w:rPr>
            </w:pPr>
            <w:r w:rsidRPr="00A81D6C">
              <w:rPr>
                <w:sz w:val="26"/>
                <w:szCs w:val="26"/>
              </w:rPr>
              <w:t>Projekts šo jomu neskar</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5. Precizēta finansiālā ietekme:</w:t>
            </w:r>
          </w:p>
        </w:tc>
        <w:tc>
          <w:tcPr>
            <w:tcW w:w="796" w:type="pct"/>
            <w:vMerge w:val="restar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spacing w:before="100" w:beforeAutospacing="1" w:after="100" w:afterAutospacing="1"/>
              <w:jc w:val="center"/>
              <w:rPr>
                <w:sz w:val="26"/>
                <w:szCs w:val="26"/>
              </w:rPr>
            </w:pPr>
            <w:r w:rsidRPr="00A81D6C">
              <w:rPr>
                <w:sz w:val="26"/>
                <w:szCs w:val="26"/>
              </w:rPr>
              <w:t>X</w:t>
            </w: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jc w:val="center"/>
              <w:rPr>
                <w:sz w:val="26"/>
                <w:szCs w:val="26"/>
              </w:rPr>
            </w:pPr>
            <w:r w:rsidRPr="00A81D6C">
              <w:rPr>
                <w:sz w:val="26"/>
                <w:szCs w:val="26"/>
              </w:rPr>
              <w:t>0</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5.1. valsts pamatbudžets</w:t>
            </w:r>
          </w:p>
        </w:tc>
        <w:tc>
          <w:tcPr>
            <w:tcW w:w="796"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jc w:val="center"/>
              <w:rPr>
                <w:sz w:val="26"/>
                <w:szCs w:val="26"/>
              </w:rPr>
            </w:pPr>
            <w:r w:rsidRPr="00A81D6C">
              <w:rPr>
                <w:sz w:val="26"/>
                <w:szCs w:val="26"/>
              </w:rPr>
              <w:t>Projekts šo jomu neskar</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5.2. speciālais budžets</w:t>
            </w:r>
          </w:p>
        </w:tc>
        <w:tc>
          <w:tcPr>
            <w:tcW w:w="796"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jc w:val="center"/>
              <w:rPr>
                <w:sz w:val="26"/>
                <w:szCs w:val="26"/>
              </w:rPr>
            </w:pPr>
            <w:r w:rsidRPr="00A81D6C">
              <w:rPr>
                <w:sz w:val="26"/>
                <w:szCs w:val="26"/>
              </w:rPr>
              <w:t>Projekts šo jomu neskar</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5.3. pašvaldību budžets</w:t>
            </w:r>
          </w:p>
        </w:tc>
        <w:tc>
          <w:tcPr>
            <w:tcW w:w="796" w:type="pct"/>
            <w:vMerge/>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p>
        </w:tc>
        <w:tc>
          <w:tcPr>
            <w:tcW w:w="73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697E71">
            <w:pPr>
              <w:jc w:val="center"/>
              <w:rPr>
                <w:sz w:val="26"/>
                <w:szCs w:val="26"/>
              </w:rPr>
            </w:pPr>
            <w:r w:rsidRPr="00A81D6C">
              <w:rPr>
                <w:sz w:val="26"/>
                <w:szCs w:val="26"/>
              </w:rPr>
              <w:t>Projekts šo jomu neskar</w:t>
            </w:r>
          </w:p>
        </w:tc>
        <w:tc>
          <w:tcPr>
            <w:tcW w:w="618"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586"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c>
          <w:tcPr>
            <w:tcW w:w="717" w:type="pct"/>
            <w:tcBorders>
              <w:top w:val="outset" w:sz="6" w:space="0" w:color="000000"/>
              <w:left w:val="outset" w:sz="6" w:space="0" w:color="000000"/>
              <w:bottom w:val="outset" w:sz="6" w:space="0" w:color="000000"/>
              <w:right w:val="outset" w:sz="6" w:space="0" w:color="000000"/>
            </w:tcBorders>
            <w:vAlign w:val="center"/>
          </w:tcPr>
          <w:p w:rsidR="00697E71" w:rsidRPr="00A81D6C" w:rsidRDefault="00697E71" w:rsidP="008433EF">
            <w:pPr>
              <w:jc w:val="center"/>
              <w:rPr>
                <w:sz w:val="26"/>
                <w:szCs w:val="26"/>
              </w:rPr>
            </w:pPr>
            <w:r w:rsidRPr="00A81D6C">
              <w:rPr>
                <w:sz w:val="26"/>
                <w:szCs w:val="26"/>
              </w:rPr>
              <w:t>0</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6. Detalizēts ieņēmumu un izdevu</w:t>
            </w:r>
            <w:r w:rsidRPr="00A81D6C">
              <w:rPr>
                <w:sz w:val="26"/>
                <w:szCs w:val="26"/>
              </w:rPr>
              <w:softHyphen/>
              <w:t xml:space="preserve">mu aprēķins (ja nepieciešams, detalizētu ieņēmumu un izdevumu </w:t>
            </w:r>
            <w:r w:rsidRPr="00A81D6C">
              <w:rPr>
                <w:sz w:val="26"/>
                <w:szCs w:val="26"/>
              </w:rPr>
              <w:lastRenderedPageBreak/>
              <w:t>aprēķinu var pievienot anotācijas pielikumā):</w:t>
            </w:r>
          </w:p>
        </w:tc>
        <w:tc>
          <w:tcPr>
            <w:tcW w:w="3455" w:type="pct"/>
            <w:gridSpan w:val="5"/>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697E71" w:rsidRPr="00A81D6C" w:rsidRDefault="00A81D6C" w:rsidP="008433EF">
            <w:pPr>
              <w:ind w:hanging="30"/>
              <w:rPr>
                <w:sz w:val="26"/>
                <w:szCs w:val="26"/>
              </w:rPr>
            </w:pPr>
            <w:r w:rsidRPr="00A81D6C">
              <w:rPr>
                <w:sz w:val="26"/>
                <w:szCs w:val="26"/>
              </w:rPr>
              <w:lastRenderedPageBreak/>
              <w:t>Projekts šo jomu neskar</w:t>
            </w: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lastRenderedPageBreak/>
              <w:t>6.1. detalizēts ieņēmumu aprēķins</w:t>
            </w:r>
          </w:p>
        </w:tc>
        <w:tc>
          <w:tcPr>
            <w:tcW w:w="3455"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rsidR="00697E71" w:rsidRPr="00A81D6C" w:rsidRDefault="00697E71" w:rsidP="008433EF">
            <w:pPr>
              <w:rPr>
                <w:sz w:val="26"/>
                <w:szCs w:val="26"/>
              </w:rPr>
            </w:pP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6.2. detalizēts izdevumu aprēķins</w:t>
            </w:r>
          </w:p>
        </w:tc>
        <w:tc>
          <w:tcPr>
            <w:tcW w:w="3455"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rsidR="00697E71" w:rsidRPr="00A81D6C" w:rsidRDefault="00697E71" w:rsidP="008433EF">
            <w:pPr>
              <w:rPr>
                <w:sz w:val="26"/>
                <w:szCs w:val="26"/>
              </w:rPr>
            </w:pPr>
          </w:p>
        </w:tc>
      </w:tr>
      <w:tr w:rsidR="00697E71" w:rsidRPr="00A81D6C" w:rsidTr="00697E71">
        <w:tc>
          <w:tcPr>
            <w:tcW w:w="1545" w:type="pct"/>
            <w:tcBorders>
              <w:top w:val="outset" w:sz="6" w:space="0" w:color="000000"/>
              <w:left w:val="outset" w:sz="6" w:space="0" w:color="000000"/>
              <w:bottom w:val="outset" w:sz="6" w:space="0" w:color="000000"/>
              <w:right w:val="outset" w:sz="6" w:space="0" w:color="000000"/>
            </w:tcBorders>
          </w:tcPr>
          <w:p w:rsidR="00697E71" w:rsidRPr="00A81D6C" w:rsidRDefault="00697E71" w:rsidP="008433EF">
            <w:pPr>
              <w:spacing w:before="100" w:beforeAutospacing="1" w:after="100" w:afterAutospacing="1"/>
              <w:rPr>
                <w:sz w:val="26"/>
                <w:szCs w:val="26"/>
              </w:rPr>
            </w:pPr>
            <w:r w:rsidRPr="00A81D6C">
              <w:rPr>
                <w:sz w:val="26"/>
                <w:szCs w:val="26"/>
              </w:rPr>
              <w:t>7. Cita informācija</w:t>
            </w:r>
          </w:p>
        </w:tc>
        <w:tc>
          <w:tcPr>
            <w:tcW w:w="3455" w:type="pct"/>
            <w:gridSpan w:val="5"/>
            <w:tcBorders>
              <w:top w:val="outset" w:sz="6" w:space="0" w:color="000000"/>
              <w:left w:val="outset" w:sz="6" w:space="0" w:color="000000"/>
              <w:bottom w:val="outset" w:sz="6" w:space="0" w:color="000000"/>
              <w:right w:val="outset" w:sz="6" w:space="0" w:color="000000"/>
            </w:tcBorders>
            <w:shd w:val="clear" w:color="auto" w:fill="auto"/>
          </w:tcPr>
          <w:p w:rsidR="00697E71" w:rsidRPr="00A81D6C" w:rsidRDefault="00697E71" w:rsidP="00697E71">
            <w:pPr>
              <w:jc w:val="both"/>
              <w:rPr>
                <w:sz w:val="26"/>
                <w:szCs w:val="26"/>
              </w:rPr>
            </w:pPr>
            <w:r w:rsidRPr="00A81D6C">
              <w:rPr>
                <w:color w:val="000000"/>
                <w:sz w:val="26"/>
                <w:szCs w:val="26"/>
              </w:rPr>
              <w:t xml:space="preserve">Nav </w:t>
            </w:r>
          </w:p>
        </w:tc>
      </w:tr>
    </w:tbl>
    <w:p w:rsidR="00280AC1" w:rsidRPr="00A81D6C" w:rsidRDefault="00280AC1" w:rsidP="00C31E36">
      <w:pPr>
        <w:ind w:firstLine="720"/>
        <w:jc w:val="both"/>
        <w:rPr>
          <w:sz w:val="26"/>
          <w:szCs w:val="26"/>
        </w:rPr>
      </w:pPr>
    </w:p>
    <w:tbl>
      <w:tblPr>
        <w:tblW w:w="9640" w:type="dxa"/>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6"/>
        <w:gridCol w:w="3998"/>
        <w:gridCol w:w="5216"/>
      </w:tblGrid>
      <w:tr w:rsidR="00BC0D18" w:rsidRPr="00A81D6C" w:rsidTr="00BC0D18">
        <w:tc>
          <w:tcPr>
            <w:tcW w:w="9640" w:type="dxa"/>
            <w:gridSpan w:val="3"/>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jc w:val="center"/>
              <w:rPr>
                <w:b/>
                <w:bCs/>
                <w:sz w:val="26"/>
                <w:szCs w:val="26"/>
              </w:rPr>
            </w:pPr>
            <w:r w:rsidRPr="00A81D6C">
              <w:rPr>
                <w:b/>
                <w:bCs/>
                <w:sz w:val="26"/>
                <w:szCs w:val="26"/>
              </w:rPr>
              <w:t>VII. Tiesību akta projekta izpildes nodrošināšana un tās ietekme uz institūcijām</w:t>
            </w:r>
          </w:p>
        </w:tc>
      </w:tr>
      <w:tr w:rsidR="00BC0D18" w:rsidRPr="00A81D6C" w:rsidTr="00BC0D18">
        <w:tc>
          <w:tcPr>
            <w:tcW w:w="426"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1.</w:t>
            </w:r>
          </w:p>
        </w:tc>
        <w:tc>
          <w:tcPr>
            <w:tcW w:w="3998"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Projekta izpildē iesaistītās institūcijas</w:t>
            </w:r>
          </w:p>
        </w:tc>
        <w:tc>
          <w:tcPr>
            <w:tcW w:w="5216" w:type="dxa"/>
            <w:tcBorders>
              <w:top w:val="outset" w:sz="6" w:space="0" w:color="000000"/>
              <w:left w:val="outset" w:sz="6" w:space="0" w:color="000000"/>
              <w:bottom w:val="outset" w:sz="6" w:space="0" w:color="000000"/>
              <w:right w:val="outset" w:sz="6" w:space="0" w:color="000000"/>
            </w:tcBorders>
          </w:tcPr>
          <w:p w:rsidR="00BC0D18" w:rsidRPr="00A81D6C" w:rsidRDefault="00F117B0" w:rsidP="00BC0D18">
            <w:pPr>
              <w:ind w:right="-109"/>
              <w:rPr>
                <w:sz w:val="26"/>
                <w:szCs w:val="26"/>
              </w:rPr>
            </w:pPr>
            <w:r w:rsidRPr="00A81D6C">
              <w:rPr>
                <w:iCs/>
                <w:sz w:val="26"/>
                <w:szCs w:val="26"/>
              </w:rPr>
              <w:t>Satiksmes ministrija un valsts akciju sabiedrība „Latvijas Pasts”</w:t>
            </w:r>
          </w:p>
        </w:tc>
      </w:tr>
      <w:tr w:rsidR="00BC0D18" w:rsidRPr="00A81D6C" w:rsidTr="00BC0D18">
        <w:tc>
          <w:tcPr>
            <w:tcW w:w="426"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2.</w:t>
            </w:r>
          </w:p>
        </w:tc>
        <w:tc>
          <w:tcPr>
            <w:tcW w:w="3998"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 xml:space="preserve">Projekta izpildes ietekme uz pārvaldes funkcijām un institucionālo struktūru. </w:t>
            </w:r>
          </w:p>
          <w:p w:rsidR="00BC0D18" w:rsidRPr="00A81D6C" w:rsidRDefault="00BC0D18" w:rsidP="00BC0D18">
            <w:pPr>
              <w:rPr>
                <w:sz w:val="26"/>
                <w:szCs w:val="26"/>
              </w:rPr>
            </w:pPr>
            <w:r w:rsidRPr="00A81D6C">
              <w:rPr>
                <w:sz w:val="26"/>
                <w:szCs w:val="26"/>
              </w:rPr>
              <w:t>Jaunu institūciju izveide, esošu institūciju likvidācija vai reorganizācija, to ietekme uz institūcijas cilvēkresursiem</w:t>
            </w:r>
          </w:p>
        </w:tc>
        <w:tc>
          <w:tcPr>
            <w:tcW w:w="5216"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Projekts šo jomu neskar</w:t>
            </w:r>
          </w:p>
        </w:tc>
      </w:tr>
      <w:tr w:rsidR="00BC0D18" w:rsidRPr="00A81D6C" w:rsidTr="00BC0D18">
        <w:tc>
          <w:tcPr>
            <w:tcW w:w="426"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3.</w:t>
            </w:r>
          </w:p>
        </w:tc>
        <w:tc>
          <w:tcPr>
            <w:tcW w:w="3998"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Cita informācija</w:t>
            </w:r>
          </w:p>
        </w:tc>
        <w:tc>
          <w:tcPr>
            <w:tcW w:w="5216" w:type="dxa"/>
            <w:tcBorders>
              <w:top w:val="outset" w:sz="6" w:space="0" w:color="000000"/>
              <w:left w:val="outset" w:sz="6" w:space="0" w:color="000000"/>
              <w:bottom w:val="outset" w:sz="6" w:space="0" w:color="000000"/>
              <w:right w:val="outset" w:sz="6" w:space="0" w:color="000000"/>
            </w:tcBorders>
          </w:tcPr>
          <w:p w:rsidR="00BC0D18" w:rsidRPr="00A81D6C" w:rsidRDefault="00BC0D18" w:rsidP="00BC0D18">
            <w:pPr>
              <w:rPr>
                <w:sz w:val="26"/>
                <w:szCs w:val="26"/>
              </w:rPr>
            </w:pPr>
            <w:r w:rsidRPr="00A81D6C">
              <w:rPr>
                <w:sz w:val="26"/>
                <w:szCs w:val="26"/>
              </w:rPr>
              <w:t>Nav</w:t>
            </w:r>
          </w:p>
        </w:tc>
      </w:tr>
    </w:tbl>
    <w:p w:rsidR="00214094" w:rsidRPr="00A81D6C" w:rsidRDefault="00214094" w:rsidP="006C4607">
      <w:pPr>
        <w:pStyle w:val="naisf"/>
        <w:tabs>
          <w:tab w:val="left" w:pos="5760"/>
        </w:tabs>
        <w:spacing w:before="0" w:after="0"/>
        <w:ind w:firstLine="720"/>
        <w:rPr>
          <w:sz w:val="26"/>
          <w:szCs w:val="26"/>
        </w:rPr>
      </w:pPr>
    </w:p>
    <w:p w:rsidR="00214094" w:rsidRPr="00A81D6C" w:rsidRDefault="00345EC4" w:rsidP="006C4607">
      <w:pPr>
        <w:pStyle w:val="naisf"/>
        <w:tabs>
          <w:tab w:val="left" w:pos="5760"/>
        </w:tabs>
        <w:spacing w:before="0" w:after="0"/>
        <w:ind w:firstLine="720"/>
        <w:rPr>
          <w:sz w:val="26"/>
          <w:szCs w:val="26"/>
        </w:rPr>
      </w:pPr>
      <w:r w:rsidRPr="00A81D6C">
        <w:rPr>
          <w:sz w:val="26"/>
          <w:szCs w:val="26"/>
        </w:rPr>
        <w:t xml:space="preserve">Anotācijas </w:t>
      </w:r>
      <w:r w:rsidR="00AA37FB" w:rsidRPr="00A81D6C">
        <w:rPr>
          <w:sz w:val="26"/>
          <w:szCs w:val="26"/>
        </w:rPr>
        <w:t xml:space="preserve">II., </w:t>
      </w:r>
      <w:r w:rsidR="00BC0D18" w:rsidRPr="00A81D6C">
        <w:rPr>
          <w:sz w:val="26"/>
          <w:szCs w:val="26"/>
        </w:rPr>
        <w:t>IV., V.</w:t>
      </w:r>
      <w:r w:rsidRPr="00A81D6C">
        <w:rPr>
          <w:sz w:val="26"/>
          <w:szCs w:val="26"/>
        </w:rPr>
        <w:t xml:space="preserve"> un</w:t>
      </w:r>
      <w:r w:rsidR="00BC0D18" w:rsidRPr="00A81D6C">
        <w:rPr>
          <w:sz w:val="26"/>
          <w:szCs w:val="26"/>
        </w:rPr>
        <w:t xml:space="preserve"> VI. </w:t>
      </w:r>
      <w:r w:rsidR="00434D2C" w:rsidRPr="00A81D6C">
        <w:rPr>
          <w:sz w:val="26"/>
          <w:szCs w:val="26"/>
        </w:rPr>
        <w:t>sadaļa – projekts šīs jomas neskar.</w:t>
      </w:r>
    </w:p>
    <w:p w:rsidR="00697E71" w:rsidRPr="00A81D6C" w:rsidRDefault="00697E71" w:rsidP="006C4607">
      <w:pPr>
        <w:pStyle w:val="naisf"/>
        <w:tabs>
          <w:tab w:val="left" w:pos="5760"/>
        </w:tabs>
        <w:spacing w:before="0" w:after="0"/>
        <w:ind w:firstLine="720"/>
        <w:rPr>
          <w:sz w:val="26"/>
          <w:szCs w:val="26"/>
        </w:rPr>
      </w:pPr>
    </w:p>
    <w:p w:rsidR="00434D2C" w:rsidRPr="00A81D6C" w:rsidRDefault="00F117B0" w:rsidP="00697E71">
      <w:pPr>
        <w:pStyle w:val="naisf"/>
        <w:tabs>
          <w:tab w:val="left" w:pos="6804"/>
        </w:tabs>
        <w:ind w:firstLine="0"/>
        <w:rPr>
          <w:sz w:val="26"/>
          <w:szCs w:val="26"/>
        </w:rPr>
      </w:pPr>
      <w:r w:rsidRPr="00A81D6C">
        <w:rPr>
          <w:sz w:val="26"/>
          <w:szCs w:val="26"/>
        </w:rPr>
        <w:t xml:space="preserve">Satiksmes ministrs </w:t>
      </w:r>
      <w:r w:rsidRPr="00A81D6C">
        <w:rPr>
          <w:sz w:val="26"/>
          <w:szCs w:val="26"/>
        </w:rPr>
        <w:tab/>
      </w:r>
      <w:r w:rsidRPr="00A81D6C">
        <w:rPr>
          <w:sz w:val="26"/>
          <w:szCs w:val="26"/>
        </w:rPr>
        <w:tab/>
        <w:t>A.</w:t>
      </w:r>
      <w:r w:rsidR="00434D2C" w:rsidRPr="00A81D6C">
        <w:rPr>
          <w:sz w:val="26"/>
          <w:szCs w:val="26"/>
        </w:rPr>
        <w:t>Matīss</w:t>
      </w:r>
    </w:p>
    <w:p w:rsidR="00082943" w:rsidRPr="00A81D6C" w:rsidRDefault="00082943" w:rsidP="001A4224">
      <w:pPr>
        <w:pStyle w:val="naisf"/>
        <w:tabs>
          <w:tab w:val="left" w:pos="6804"/>
        </w:tabs>
        <w:ind w:firstLine="0"/>
        <w:rPr>
          <w:sz w:val="26"/>
          <w:szCs w:val="26"/>
        </w:rPr>
      </w:pPr>
    </w:p>
    <w:p w:rsidR="00AB0695" w:rsidRPr="00A81D6C" w:rsidRDefault="00CE3327" w:rsidP="0025686D">
      <w:pPr>
        <w:pStyle w:val="naisf"/>
        <w:tabs>
          <w:tab w:val="left" w:pos="6804"/>
        </w:tabs>
        <w:spacing w:before="0" w:after="0"/>
        <w:ind w:firstLine="0"/>
        <w:rPr>
          <w:sz w:val="26"/>
          <w:szCs w:val="26"/>
        </w:rPr>
      </w:pPr>
      <w:r w:rsidRPr="00A81D6C">
        <w:rPr>
          <w:sz w:val="26"/>
          <w:szCs w:val="26"/>
        </w:rPr>
        <w:t>Vīza: Valsts sekretār</w:t>
      </w:r>
      <w:r w:rsidR="00F117B0" w:rsidRPr="00A81D6C">
        <w:rPr>
          <w:sz w:val="26"/>
          <w:szCs w:val="26"/>
        </w:rPr>
        <w:t>s</w:t>
      </w:r>
      <w:r w:rsidR="00F117B0" w:rsidRPr="00A81D6C">
        <w:rPr>
          <w:sz w:val="26"/>
          <w:szCs w:val="26"/>
        </w:rPr>
        <w:tab/>
      </w:r>
      <w:r w:rsidR="00F117B0" w:rsidRPr="00A81D6C">
        <w:rPr>
          <w:sz w:val="26"/>
          <w:szCs w:val="26"/>
        </w:rPr>
        <w:tab/>
        <w:t>K</w:t>
      </w:r>
      <w:r w:rsidR="00AB0695" w:rsidRPr="00A81D6C">
        <w:rPr>
          <w:sz w:val="26"/>
          <w:szCs w:val="26"/>
        </w:rPr>
        <w:t>.</w:t>
      </w:r>
      <w:r w:rsidR="00F117B0" w:rsidRPr="00A81D6C">
        <w:rPr>
          <w:sz w:val="26"/>
          <w:szCs w:val="26"/>
        </w:rPr>
        <w:t>Ozoliņš</w:t>
      </w:r>
    </w:p>
    <w:p w:rsidR="00D812CD" w:rsidRPr="00A81D6C" w:rsidRDefault="00D812CD" w:rsidP="0025686D">
      <w:pPr>
        <w:pStyle w:val="naisf"/>
        <w:tabs>
          <w:tab w:val="left" w:pos="6804"/>
        </w:tabs>
        <w:spacing w:before="0" w:after="0"/>
        <w:ind w:firstLine="0"/>
        <w:rPr>
          <w:sz w:val="28"/>
          <w:szCs w:val="28"/>
        </w:rPr>
      </w:pPr>
    </w:p>
    <w:p w:rsidR="00D812CD" w:rsidRDefault="00D812CD" w:rsidP="0025686D">
      <w:pPr>
        <w:pStyle w:val="naisf"/>
        <w:tabs>
          <w:tab w:val="left" w:pos="6804"/>
        </w:tabs>
        <w:spacing w:before="0" w:after="0"/>
        <w:ind w:firstLine="0"/>
      </w:pPr>
    </w:p>
    <w:p w:rsidR="00D812CD" w:rsidRDefault="00D812CD" w:rsidP="0025686D">
      <w:pPr>
        <w:pStyle w:val="naisf"/>
        <w:tabs>
          <w:tab w:val="left" w:pos="6804"/>
        </w:tabs>
        <w:spacing w:before="0" w:after="0"/>
        <w:ind w:firstLine="0"/>
      </w:pPr>
    </w:p>
    <w:p w:rsidR="00D812CD" w:rsidRDefault="00D812CD" w:rsidP="0025686D">
      <w:pPr>
        <w:pStyle w:val="naisf"/>
        <w:tabs>
          <w:tab w:val="left" w:pos="6804"/>
        </w:tabs>
        <w:spacing w:before="0" w:after="0"/>
        <w:ind w:firstLine="0"/>
      </w:pPr>
    </w:p>
    <w:p w:rsidR="00D812CD" w:rsidRDefault="00F54411" w:rsidP="00D812CD">
      <w:pPr>
        <w:ind w:firstLine="660"/>
        <w:jc w:val="both"/>
        <w:rPr>
          <w:sz w:val="20"/>
          <w:szCs w:val="20"/>
        </w:rPr>
      </w:pPr>
      <w:r>
        <w:rPr>
          <w:sz w:val="20"/>
          <w:szCs w:val="20"/>
        </w:rPr>
        <w:t>17</w:t>
      </w:r>
      <w:r w:rsidR="00D812CD">
        <w:rPr>
          <w:sz w:val="20"/>
          <w:szCs w:val="20"/>
        </w:rPr>
        <w:t>.07.2013. 1</w:t>
      </w:r>
      <w:r w:rsidR="00A81D6C">
        <w:rPr>
          <w:sz w:val="20"/>
          <w:szCs w:val="20"/>
        </w:rPr>
        <w:t>5</w:t>
      </w:r>
      <w:r w:rsidR="00D812CD">
        <w:rPr>
          <w:sz w:val="20"/>
          <w:szCs w:val="20"/>
        </w:rPr>
        <w:t>:30</w:t>
      </w:r>
    </w:p>
    <w:p w:rsidR="00D812CD" w:rsidRDefault="00D812CD" w:rsidP="00D812CD">
      <w:pPr>
        <w:ind w:firstLine="660"/>
        <w:jc w:val="both"/>
        <w:rPr>
          <w:sz w:val="20"/>
          <w:szCs w:val="20"/>
        </w:rPr>
      </w:pPr>
      <w:r>
        <w:rPr>
          <w:sz w:val="20"/>
          <w:szCs w:val="20"/>
        </w:rPr>
        <w:t>1</w:t>
      </w:r>
      <w:r w:rsidR="00A81D6C">
        <w:rPr>
          <w:sz w:val="20"/>
          <w:szCs w:val="20"/>
        </w:rPr>
        <w:t>35</w:t>
      </w:r>
      <w:r w:rsidR="00141B92">
        <w:rPr>
          <w:sz w:val="20"/>
          <w:szCs w:val="20"/>
        </w:rPr>
        <w:t>7</w:t>
      </w:r>
      <w:bookmarkStart w:id="0" w:name="_GoBack"/>
      <w:bookmarkEnd w:id="0"/>
    </w:p>
    <w:p w:rsidR="00D812CD" w:rsidRDefault="00D812CD" w:rsidP="00D812CD">
      <w:pPr>
        <w:ind w:firstLine="660"/>
        <w:jc w:val="both"/>
        <w:rPr>
          <w:sz w:val="20"/>
          <w:szCs w:val="20"/>
        </w:rPr>
      </w:pPr>
      <w:r>
        <w:rPr>
          <w:sz w:val="20"/>
          <w:szCs w:val="20"/>
        </w:rPr>
        <w:t>L.Pūce</w:t>
      </w:r>
    </w:p>
    <w:p w:rsidR="00D812CD" w:rsidRDefault="00D812CD" w:rsidP="00D812CD">
      <w:pPr>
        <w:ind w:firstLine="660"/>
        <w:jc w:val="both"/>
        <w:rPr>
          <w:sz w:val="20"/>
          <w:szCs w:val="20"/>
        </w:rPr>
      </w:pPr>
      <w:r>
        <w:rPr>
          <w:sz w:val="20"/>
          <w:szCs w:val="20"/>
        </w:rPr>
        <w:t>67028237; Linda.Puce@sam.gov.lv</w:t>
      </w:r>
    </w:p>
    <w:p w:rsidR="00D812CD" w:rsidRDefault="00D812CD" w:rsidP="0025686D">
      <w:pPr>
        <w:pStyle w:val="naisf"/>
        <w:tabs>
          <w:tab w:val="left" w:pos="6804"/>
        </w:tabs>
        <w:spacing w:before="0" w:after="0"/>
        <w:ind w:firstLine="0"/>
        <w:rPr>
          <w:color w:val="000000"/>
          <w:sz w:val="20"/>
          <w:szCs w:val="20"/>
        </w:rPr>
      </w:pPr>
    </w:p>
    <w:sectPr w:rsidR="00D812CD"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E7" w:rsidRDefault="005018E7">
      <w:r>
        <w:separator/>
      </w:r>
    </w:p>
  </w:endnote>
  <w:endnote w:type="continuationSeparator" w:id="0">
    <w:p w:rsidR="005018E7" w:rsidRDefault="0050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Pr="00A65620" w:rsidRDefault="00A65620" w:rsidP="00A65620">
    <w:pPr>
      <w:pStyle w:val="Footer"/>
    </w:pPr>
    <w:r w:rsidRPr="00A65620">
      <w:rPr>
        <w:sz w:val="20"/>
        <w:szCs w:val="20"/>
      </w:rPr>
      <w:t>SAManot_</w:t>
    </w:r>
    <w:r w:rsidR="00AE1563">
      <w:rPr>
        <w:sz w:val="20"/>
        <w:szCs w:val="20"/>
      </w:rPr>
      <w:t>17</w:t>
    </w:r>
    <w:r w:rsidRPr="00A65620">
      <w:rPr>
        <w:sz w:val="20"/>
        <w:szCs w:val="20"/>
      </w:rPr>
      <w:t>0714_LPdivid; Ministru kabineta rīkojuma projekta „Par valstij dividendēs izmaksājamo valsts akciju sabiedrības „Latvijas Pasts” peļņas daļu”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Pr="001F6097" w:rsidRDefault="001F6097" w:rsidP="001F6097">
    <w:pPr>
      <w:pStyle w:val="Footer"/>
      <w:jc w:val="both"/>
    </w:pPr>
    <w:r w:rsidRPr="001F6097">
      <w:rPr>
        <w:sz w:val="20"/>
        <w:szCs w:val="20"/>
      </w:rPr>
      <w:t>SAManot_</w:t>
    </w:r>
    <w:r w:rsidR="00AE1563">
      <w:rPr>
        <w:sz w:val="20"/>
        <w:szCs w:val="20"/>
      </w:rPr>
      <w:t>17</w:t>
    </w:r>
    <w:r w:rsidR="003D4C3C">
      <w:rPr>
        <w:sz w:val="20"/>
        <w:szCs w:val="20"/>
      </w:rPr>
      <w:t>0714</w:t>
    </w:r>
    <w:r w:rsidRPr="001F6097">
      <w:rPr>
        <w:sz w:val="20"/>
        <w:szCs w:val="20"/>
      </w:rPr>
      <w:t>_L</w:t>
    </w:r>
    <w:r w:rsidR="003D4C3C">
      <w:rPr>
        <w:sz w:val="20"/>
        <w:szCs w:val="20"/>
      </w:rPr>
      <w:t>P</w:t>
    </w:r>
    <w:r w:rsidRPr="001F6097">
      <w:rPr>
        <w:sz w:val="20"/>
        <w:szCs w:val="20"/>
      </w:rPr>
      <w:t xml:space="preserve">divid; Ministru kabineta rīkojuma projekta „Par valstij dividendēs izmaksājamo valsts akciju sabiedrības „Latvijas </w:t>
    </w:r>
    <w:r w:rsidR="003D4C3C">
      <w:rPr>
        <w:sz w:val="20"/>
        <w:szCs w:val="20"/>
      </w:rPr>
      <w:t>Pasts</w:t>
    </w:r>
    <w:r w:rsidRPr="001F6097">
      <w:rPr>
        <w:sz w:val="20"/>
        <w:szCs w:val="20"/>
      </w:rPr>
      <w:t>” peļņas daļu”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E7" w:rsidRDefault="005018E7">
      <w:r>
        <w:separator/>
      </w:r>
    </w:p>
  </w:footnote>
  <w:footnote w:type="continuationSeparator" w:id="0">
    <w:p w:rsidR="005018E7" w:rsidRDefault="0050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Default="00BC0D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D18" w:rsidRDefault="00BC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Default="00BC0D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3BF">
      <w:rPr>
        <w:rStyle w:val="PageNumber"/>
        <w:noProof/>
      </w:rPr>
      <w:t>2</w:t>
    </w:r>
    <w:r>
      <w:rPr>
        <w:rStyle w:val="PageNumber"/>
      </w:rPr>
      <w:fldChar w:fldCharType="end"/>
    </w:r>
  </w:p>
  <w:p w:rsidR="00BC0D18" w:rsidRDefault="00BC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4">
    <w:nsid w:val="73537738"/>
    <w:multiLevelType w:val="hybridMultilevel"/>
    <w:tmpl w:val="ECE0F2D4"/>
    <w:lvl w:ilvl="0" w:tplc="2F78565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16023"/>
    <w:rsid w:val="000162DF"/>
    <w:rsid w:val="00017838"/>
    <w:rsid w:val="00017A60"/>
    <w:rsid w:val="00020FE1"/>
    <w:rsid w:val="0002247C"/>
    <w:rsid w:val="00022E13"/>
    <w:rsid w:val="00026DC7"/>
    <w:rsid w:val="000307CB"/>
    <w:rsid w:val="00032388"/>
    <w:rsid w:val="00035CE2"/>
    <w:rsid w:val="0004024A"/>
    <w:rsid w:val="00041114"/>
    <w:rsid w:val="000444FF"/>
    <w:rsid w:val="00045307"/>
    <w:rsid w:val="0005553B"/>
    <w:rsid w:val="000604D2"/>
    <w:rsid w:val="000606E6"/>
    <w:rsid w:val="000706B4"/>
    <w:rsid w:val="00082943"/>
    <w:rsid w:val="0009005E"/>
    <w:rsid w:val="00091E50"/>
    <w:rsid w:val="0009397C"/>
    <w:rsid w:val="000941C5"/>
    <w:rsid w:val="000948C1"/>
    <w:rsid w:val="000A21F2"/>
    <w:rsid w:val="000A6451"/>
    <w:rsid w:val="000B064E"/>
    <w:rsid w:val="000B0FDE"/>
    <w:rsid w:val="000B69CF"/>
    <w:rsid w:val="000C09AA"/>
    <w:rsid w:val="000C790C"/>
    <w:rsid w:val="000C7F30"/>
    <w:rsid w:val="000D2987"/>
    <w:rsid w:val="000E5542"/>
    <w:rsid w:val="000E6966"/>
    <w:rsid w:val="000F00E7"/>
    <w:rsid w:val="000F061D"/>
    <w:rsid w:val="000F4794"/>
    <w:rsid w:val="000F4D64"/>
    <w:rsid w:val="00124F12"/>
    <w:rsid w:val="00140E3D"/>
    <w:rsid w:val="00141B92"/>
    <w:rsid w:val="00144E3A"/>
    <w:rsid w:val="0015060C"/>
    <w:rsid w:val="0016018A"/>
    <w:rsid w:val="00161F0E"/>
    <w:rsid w:val="001632CD"/>
    <w:rsid w:val="001633CA"/>
    <w:rsid w:val="00164FC9"/>
    <w:rsid w:val="00165FB8"/>
    <w:rsid w:val="00170E2A"/>
    <w:rsid w:val="00174192"/>
    <w:rsid w:val="001750CD"/>
    <w:rsid w:val="00177394"/>
    <w:rsid w:val="00182C18"/>
    <w:rsid w:val="00183CC2"/>
    <w:rsid w:val="001900E4"/>
    <w:rsid w:val="00190F88"/>
    <w:rsid w:val="00195FDE"/>
    <w:rsid w:val="001A4066"/>
    <w:rsid w:val="001A4224"/>
    <w:rsid w:val="001A6AE4"/>
    <w:rsid w:val="001B01FD"/>
    <w:rsid w:val="001B4A71"/>
    <w:rsid w:val="001D5B54"/>
    <w:rsid w:val="001E1DBF"/>
    <w:rsid w:val="001E40C8"/>
    <w:rsid w:val="001E4639"/>
    <w:rsid w:val="001E4A7D"/>
    <w:rsid w:val="001E5FFE"/>
    <w:rsid w:val="001F4209"/>
    <w:rsid w:val="001F4268"/>
    <w:rsid w:val="001F43A8"/>
    <w:rsid w:val="001F5CD6"/>
    <w:rsid w:val="001F6097"/>
    <w:rsid w:val="00202683"/>
    <w:rsid w:val="00203F04"/>
    <w:rsid w:val="0021263D"/>
    <w:rsid w:val="00212D72"/>
    <w:rsid w:val="00213F0C"/>
    <w:rsid w:val="00214094"/>
    <w:rsid w:val="0021592D"/>
    <w:rsid w:val="00216DC5"/>
    <w:rsid w:val="00222968"/>
    <w:rsid w:val="00222D76"/>
    <w:rsid w:val="00223EB1"/>
    <w:rsid w:val="00231344"/>
    <w:rsid w:val="0023436E"/>
    <w:rsid w:val="002347C0"/>
    <w:rsid w:val="00234BCE"/>
    <w:rsid w:val="002414A1"/>
    <w:rsid w:val="00241A6C"/>
    <w:rsid w:val="00242D2B"/>
    <w:rsid w:val="00250FF2"/>
    <w:rsid w:val="0025686D"/>
    <w:rsid w:val="00262E2B"/>
    <w:rsid w:val="00263676"/>
    <w:rsid w:val="00265BC8"/>
    <w:rsid w:val="0026692F"/>
    <w:rsid w:val="00270429"/>
    <w:rsid w:val="002723E9"/>
    <w:rsid w:val="00273E6F"/>
    <w:rsid w:val="00275389"/>
    <w:rsid w:val="00277929"/>
    <w:rsid w:val="00280AC1"/>
    <w:rsid w:val="002834C3"/>
    <w:rsid w:val="00283B82"/>
    <w:rsid w:val="002846E9"/>
    <w:rsid w:val="00284C34"/>
    <w:rsid w:val="002904B8"/>
    <w:rsid w:val="0029066C"/>
    <w:rsid w:val="002A1E7F"/>
    <w:rsid w:val="002A56EC"/>
    <w:rsid w:val="002B50DB"/>
    <w:rsid w:val="002C12AB"/>
    <w:rsid w:val="002C7CAC"/>
    <w:rsid w:val="002D3306"/>
    <w:rsid w:val="002D35B0"/>
    <w:rsid w:val="002D48AA"/>
    <w:rsid w:val="002D7BAA"/>
    <w:rsid w:val="002D7F54"/>
    <w:rsid w:val="002E2256"/>
    <w:rsid w:val="002E3FF4"/>
    <w:rsid w:val="002F4BC5"/>
    <w:rsid w:val="002F5A14"/>
    <w:rsid w:val="002F78C8"/>
    <w:rsid w:val="00301CF3"/>
    <w:rsid w:val="0030417A"/>
    <w:rsid w:val="00304A38"/>
    <w:rsid w:val="003058E7"/>
    <w:rsid w:val="0032715C"/>
    <w:rsid w:val="00333D3A"/>
    <w:rsid w:val="00335FA8"/>
    <w:rsid w:val="00337CA5"/>
    <w:rsid w:val="00343889"/>
    <w:rsid w:val="003454F0"/>
    <w:rsid w:val="00345EC4"/>
    <w:rsid w:val="00352A84"/>
    <w:rsid w:val="00352DC8"/>
    <w:rsid w:val="003601B4"/>
    <w:rsid w:val="00362478"/>
    <w:rsid w:val="00373722"/>
    <w:rsid w:val="00375B25"/>
    <w:rsid w:val="0038132C"/>
    <w:rsid w:val="00382626"/>
    <w:rsid w:val="00385EF7"/>
    <w:rsid w:val="00391ED2"/>
    <w:rsid w:val="00395EDA"/>
    <w:rsid w:val="00396542"/>
    <w:rsid w:val="0039685B"/>
    <w:rsid w:val="003A31A6"/>
    <w:rsid w:val="003A7F0C"/>
    <w:rsid w:val="003A7F79"/>
    <w:rsid w:val="003B3C7E"/>
    <w:rsid w:val="003B55E3"/>
    <w:rsid w:val="003B6404"/>
    <w:rsid w:val="003C449B"/>
    <w:rsid w:val="003C4A73"/>
    <w:rsid w:val="003D21FF"/>
    <w:rsid w:val="003D45DD"/>
    <w:rsid w:val="003D4C3C"/>
    <w:rsid w:val="003D67FF"/>
    <w:rsid w:val="003D7A55"/>
    <w:rsid w:val="003F0112"/>
    <w:rsid w:val="003F071A"/>
    <w:rsid w:val="003F160B"/>
    <w:rsid w:val="003F3D36"/>
    <w:rsid w:val="00400032"/>
    <w:rsid w:val="00400B5B"/>
    <w:rsid w:val="00401ED8"/>
    <w:rsid w:val="00405A00"/>
    <w:rsid w:val="0041131D"/>
    <w:rsid w:val="004121AC"/>
    <w:rsid w:val="00420870"/>
    <w:rsid w:val="00423530"/>
    <w:rsid w:val="0042524B"/>
    <w:rsid w:val="00432D0C"/>
    <w:rsid w:val="00433765"/>
    <w:rsid w:val="0043384E"/>
    <w:rsid w:val="00434D2C"/>
    <w:rsid w:val="0043791B"/>
    <w:rsid w:val="00441483"/>
    <w:rsid w:val="00441BCB"/>
    <w:rsid w:val="0045176A"/>
    <w:rsid w:val="00456332"/>
    <w:rsid w:val="00461826"/>
    <w:rsid w:val="00463B37"/>
    <w:rsid w:val="00471306"/>
    <w:rsid w:val="00477673"/>
    <w:rsid w:val="004800F9"/>
    <w:rsid w:val="00482C51"/>
    <w:rsid w:val="004833E3"/>
    <w:rsid w:val="004836DC"/>
    <w:rsid w:val="00485B39"/>
    <w:rsid w:val="00485E86"/>
    <w:rsid w:val="0049134A"/>
    <w:rsid w:val="00492513"/>
    <w:rsid w:val="004948C2"/>
    <w:rsid w:val="004A58CB"/>
    <w:rsid w:val="004B1795"/>
    <w:rsid w:val="004B56DD"/>
    <w:rsid w:val="004C020F"/>
    <w:rsid w:val="004C1AFD"/>
    <w:rsid w:val="004C558B"/>
    <w:rsid w:val="004F1F88"/>
    <w:rsid w:val="004F2FC0"/>
    <w:rsid w:val="004F5F1B"/>
    <w:rsid w:val="005018E7"/>
    <w:rsid w:val="00502374"/>
    <w:rsid w:val="005060A1"/>
    <w:rsid w:val="00516072"/>
    <w:rsid w:val="00520392"/>
    <w:rsid w:val="00525790"/>
    <w:rsid w:val="005332EC"/>
    <w:rsid w:val="00534418"/>
    <w:rsid w:val="005353AB"/>
    <w:rsid w:val="00543834"/>
    <w:rsid w:val="005560BC"/>
    <w:rsid w:val="005573BE"/>
    <w:rsid w:val="00572700"/>
    <w:rsid w:val="0057373F"/>
    <w:rsid w:val="00573C2F"/>
    <w:rsid w:val="005748CD"/>
    <w:rsid w:val="00575BAD"/>
    <w:rsid w:val="00580468"/>
    <w:rsid w:val="00582231"/>
    <w:rsid w:val="0058603B"/>
    <w:rsid w:val="0059431B"/>
    <w:rsid w:val="005A00AF"/>
    <w:rsid w:val="005A0A87"/>
    <w:rsid w:val="005A0B71"/>
    <w:rsid w:val="005A39CC"/>
    <w:rsid w:val="005B0285"/>
    <w:rsid w:val="005B3DC0"/>
    <w:rsid w:val="005B4730"/>
    <w:rsid w:val="005B4CBC"/>
    <w:rsid w:val="005C03BA"/>
    <w:rsid w:val="005C6E9E"/>
    <w:rsid w:val="005E05D7"/>
    <w:rsid w:val="005E1EF8"/>
    <w:rsid w:val="005E41E7"/>
    <w:rsid w:val="005E450F"/>
    <w:rsid w:val="005E4550"/>
    <w:rsid w:val="005F6050"/>
    <w:rsid w:val="00612AA1"/>
    <w:rsid w:val="006145A9"/>
    <w:rsid w:val="0062298A"/>
    <w:rsid w:val="00626514"/>
    <w:rsid w:val="00626589"/>
    <w:rsid w:val="00631DA1"/>
    <w:rsid w:val="006339A0"/>
    <w:rsid w:val="00635864"/>
    <w:rsid w:val="006413A8"/>
    <w:rsid w:val="00642E56"/>
    <w:rsid w:val="00643811"/>
    <w:rsid w:val="00646232"/>
    <w:rsid w:val="00651E00"/>
    <w:rsid w:val="00662F53"/>
    <w:rsid w:val="00666705"/>
    <w:rsid w:val="006715B1"/>
    <w:rsid w:val="00674572"/>
    <w:rsid w:val="00674E93"/>
    <w:rsid w:val="006805E1"/>
    <w:rsid w:val="0068364E"/>
    <w:rsid w:val="00687763"/>
    <w:rsid w:val="00692B0D"/>
    <w:rsid w:val="00693680"/>
    <w:rsid w:val="00693E0E"/>
    <w:rsid w:val="0069646D"/>
    <w:rsid w:val="00696504"/>
    <w:rsid w:val="00697164"/>
    <w:rsid w:val="00697E71"/>
    <w:rsid w:val="006A1AE3"/>
    <w:rsid w:val="006A560B"/>
    <w:rsid w:val="006B0D20"/>
    <w:rsid w:val="006C30E1"/>
    <w:rsid w:val="006C327B"/>
    <w:rsid w:val="006C4607"/>
    <w:rsid w:val="006C7877"/>
    <w:rsid w:val="006D1F39"/>
    <w:rsid w:val="006D48F1"/>
    <w:rsid w:val="006E128A"/>
    <w:rsid w:val="006E27A7"/>
    <w:rsid w:val="006F12C1"/>
    <w:rsid w:val="006F2690"/>
    <w:rsid w:val="006F45BE"/>
    <w:rsid w:val="007004FC"/>
    <w:rsid w:val="00705B77"/>
    <w:rsid w:val="00706670"/>
    <w:rsid w:val="00711AC5"/>
    <w:rsid w:val="00711F59"/>
    <w:rsid w:val="00720DBD"/>
    <w:rsid w:val="0072417C"/>
    <w:rsid w:val="00734450"/>
    <w:rsid w:val="007362E3"/>
    <w:rsid w:val="00740B24"/>
    <w:rsid w:val="007458AA"/>
    <w:rsid w:val="00745F67"/>
    <w:rsid w:val="007463F2"/>
    <w:rsid w:val="0075039E"/>
    <w:rsid w:val="00752D9D"/>
    <w:rsid w:val="00754784"/>
    <w:rsid w:val="00754DCF"/>
    <w:rsid w:val="007556ED"/>
    <w:rsid w:val="00757C6E"/>
    <w:rsid w:val="00762A59"/>
    <w:rsid w:val="00762BDA"/>
    <w:rsid w:val="00762C99"/>
    <w:rsid w:val="00764D46"/>
    <w:rsid w:val="00775E5E"/>
    <w:rsid w:val="007805FD"/>
    <w:rsid w:val="00780925"/>
    <w:rsid w:val="00784422"/>
    <w:rsid w:val="007957F9"/>
    <w:rsid w:val="007A758A"/>
    <w:rsid w:val="007B3B54"/>
    <w:rsid w:val="007B3FA0"/>
    <w:rsid w:val="007B4465"/>
    <w:rsid w:val="007C07AE"/>
    <w:rsid w:val="007C0F2C"/>
    <w:rsid w:val="007C2BCC"/>
    <w:rsid w:val="007C4EF0"/>
    <w:rsid w:val="007D099D"/>
    <w:rsid w:val="007D5633"/>
    <w:rsid w:val="007D5BA2"/>
    <w:rsid w:val="007E2664"/>
    <w:rsid w:val="007E3ABF"/>
    <w:rsid w:val="007E571B"/>
    <w:rsid w:val="007E5BFA"/>
    <w:rsid w:val="007E6689"/>
    <w:rsid w:val="007E731C"/>
    <w:rsid w:val="007E795A"/>
    <w:rsid w:val="007F0843"/>
    <w:rsid w:val="007F0A03"/>
    <w:rsid w:val="00810040"/>
    <w:rsid w:val="00811689"/>
    <w:rsid w:val="00811BCA"/>
    <w:rsid w:val="008134C0"/>
    <w:rsid w:val="008152B3"/>
    <w:rsid w:val="0082023A"/>
    <w:rsid w:val="00821A7A"/>
    <w:rsid w:val="008253F8"/>
    <w:rsid w:val="008325E4"/>
    <w:rsid w:val="00832A2B"/>
    <w:rsid w:val="00841DFD"/>
    <w:rsid w:val="00845811"/>
    <w:rsid w:val="00845E2A"/>
    <w:rsid w:val="00846994"/>
    <w:rsid w:val="008503D1"/>
    <w:rsid w:val="00850451"/>
    <w:rsid w:val="00851E99"/>
    <w:rsid w:val="00852042"/>
    <w:rsid w:val="008534C9"/>
    <w:rsid w:val="0085599D"/>
    <w:rsid w:val="00862549"/>
    <w:rsid w:val="00870F0E"/>
    <w:rsid w:val="0087510C"/>
    <w:rsid w:val="00891D04"/>
    <w:rsid w:val="00895957"/>
    <w:rsid w:val="008965C1"/>
    <w:rsid w:val="008968D2"/>
    <w:rsid w:val="0089738E"/>
    <w:rsid w:val="008A1CD9"/>
    <w:rsid w:val="008B5337"/>
    <w:rsid w:val="008B5FDB"/>
    <w:rsid w:val="008B6364"/>
    <w:rsid w:val="008B6502"/>
    <w:rsid w:val="008B6DB3"/>
    <w:rsid w:val="008C1E59"/>
    <w:rsid w:val="008C50F4"/>
    <w:rsid w:val="008C5649"/>
    <w:rsid w:val="008D54EA"/>
    <w:rsid w:val="008D5E11"/>
    <w:rsid w:val="008E44A2"/>
    <w:rsid w:val="008E697D"/>
    <w:rsid w:val="008F03C5"/>
    <w:rsid w:val="008F0DA6"/>
    <w:rsid w:val="008F35A5"/>
    <w:rsid w:val="008F4237"/>
    <w:rsid w:val="008F7CC1"/>
    <w:rsid w:val="00901F25"/>
    <w:rsid w:val="00903263"/>
    <w:rsid w:val="0090525E"/>
    <w:rsid w:val="00906A21"/>
    <w:rsid w:val="009079C3"/>
    <w:rsid w:val="00910462"/>
    <w:rsid w:val="00915AB1"/>
    <w:rsid w:val="00917532"/>
    <w:rsid w:val="009235BA"/>
    <w:rsid w:val="00924023"/>
    <w:rsid w:val="00924CE2"/>
    <w:rsid w:val="00925B9F"/>
    <w:rsid w:val="00931AED"/>
    <w:rsid w:val="009476A3"/>
    <w:rsid w:val="00947A7A"/>
    <w:rsid w:val="00953215"/>
    <w:rsid w:val="0095334F"/>
    <w:rsid w:val="009544CA"/>
    <w:rsid w:val="00965897"/>
    <w:rsid w:val="0096765C"/>
    <w:rsid w:val="009727E4"/>
    <w:rsid w:val="00977652"/>
    <w:rsid w:val="009840A2"/>
    <w:rsid w:val="009934C5"/>
    <w:rsid w:val="00993FE6"/>
    <w:rsid w:val="0099448A"/>
    <w:rsid w:val="00994C0F"/>
    <w:rsid w:val="009A0D1E"/>
    <w:rsid w:val="009A0E9B"/>
    <w:rsid w:val="009B136A"/>
    <w:rsid w:val="009B22D7"/>
    <w:rsid w:val="009B72ED"/>
    <w:rsid w:val="009B7999"/>
    <w:rsid w:val="009C50C7"/>
    <w:rsid w:val="009C6DEB"/>
    <w:rsid w:val="009D6504"/>
    <w:rsid w:val="009E12D7"/>
    <w:rsid w:val="009E4E3E"/>
    <w:rsid w:val="009E661A"/>
    <w:rsid w:val="009F4467"/>
    <w:rsid w:val="009F52C9"/>
    <w:rsid w:val="009F5DB6"/>
    <w:rsid w:val="009F6B84"/>
    <w:rsid w:val="009F7E6C"/>
    <w:rsid w:val="00A05DA7"/>
    <w:rsid w:val="00A06781"/>
    <w:rsid w:val="00A072E1"/>
    <w:rsid w:val="00A074C3"/>
    <w:rsid w:val="00A1509C"/>
    <w:rsid w:val="00A21773"/>
    <w:rsid w:val="00A23C71"/>
    <w:rsid w:val="00A249B9"/>
    <w:rsid w:val="00A34260"/>
    <w:rsid w:val="00A3435D"/>
    <w:rsid w:val="00A43129"/>
    <w:rsid w:val="00A54A2D"/>
    <w:rsid w:val="00A650D8"/>
    <w:rsid w:val="00A65620"/>
    <w:rsid w:val="00A70CFD"/>
    <w:rsid w:val="00A72A0B"/>
    <w:rsid w:val="00A81D6C"/>
    <w:rsid w:val="00A81E42"/>
    <w:rsid w:val="00A864FE"/>
    <w:rsid w:val="00A86F41"/>
    <w:rsid w:val="00A87D04"/>
    <w:rsid w:val="00A91BB9"/>
    <w:rsid w:val="00A950C5"/>
    <w:rsid w:val="00AA1D25"/>
    <w:rsid w:val="00AA1E7B"/>
    <w:rsid w:val="00AA37FB"/>
    <w:rsid w:val="00AA3FA1"/>
    <w:rsid w:val="00AB0695"/>
    <w:rsid w:val="00AB2B1A"/>
    <w:rsid w:val="00AB397F"/>
    <w:rsid w:val="00AB5832"/>
    <w:rsid w:val="00AB66C4"/>
    <w:rsid w:val="00AC02DE"/>
    <w:rsid w:val="00AC4FD5"/>
    <w:rsid w:val="00AC51F2"/>
    <w:rsid w:val="00AD0F15"/>
    <w:rsid w:val="00AD3269"/>
    <w:rsid w:val="00AE1563"/>
    <w:rsid w:val="00AE1E13"/>
    <w:rsid w:val="00AE5066"/>
    <w:rsid w:val="00AE5E24"/>
    <w:rsid w:val="00AE61B7"/>
    <w:rsid w:val="00AE6CBA"/>
    <w:rsid w:val="00AE79AD"/>
    <w:rsid w:val="00AF35E4"/>
    <w:rsid w:val="00AF5CDE"/>
    <w:rsid w:val="00B00126"/>
    <w:rsid w:val="00B04C8D"/>
    <w:rsid w:val="00B06674"/>
    <w:rsid w:val="00B11A57"/>
    <w:rsid w:val="00B12534"/>
    <w:rsid w:val="00B13CC1"/>
    <w:rsid w:val="00B14966"/>
    <w:rsid w:val="00B171BF"/>
    <w:rsid w:val="00B211C3"/>
    <w:rsid w:val="00B25597"/>
    <w:rsid w:val="00B25A7B"/>
    <w:rsid w:val="00B267B9"/>
    <w:rsid w:val="00B3071C"/>
    <w:rsid w:val="00B33E09"/>
    <w:rsid w:val="00B50708"/>
    <w:rsid w:val="00B50C68"/>
    <w:rsid w:val="00B51293"/>
    <w:rsid w:val="00B52B1E"/>
    <w:rsid w:val="00B55481"/>
    <w:rsid w:val="00B56C32"/>
    <w:rsid w:val="00B57ACF"/>
    <w:rsid w:val="00B64BB1"/>
    <w:rsid w:val="00B73166"/>
    <w:rsid w:val="00B75A48"/>
    <w:rsid w:val="00B771B1"/>
    <w:rsid w:val="00B8426C"/>
    <w:rsid w:val="00B8574B"/>
    <w:rsid w:val="00B91B8D"/>
    <w:rsid w:val="00B92DF5"/>
    <w:rsid w:val="00B94E90"/>
    <w:rsid w:val="00B97A24"/>
    <w:rsid w:val="00BA5BD7"/>
    <w:rsid w:val="00BB0A82"/>
    <w:rsid w:val="00BB7C94"/>
    <w:rsid w:val="00BC0A9D"/>
    <w:rsid w:val="00BC0D18"/>
    <w:rsid w:val="00BD5A22"/>
    <w:rsid w:val="00BE4D16"/>
    <w:rsid w:val="00BF40ED"/>
    <w:rsid w:val="00BF5BC2"/>
    <w:rsid w:val="00BF68DD"/>
    <w:rsid w:val="00C1133D"/>
    <w:rsid w:val="00C11CB3"/>
    <w:rsid w:val="00C1281B"/>
    <w:rsid w:val="00C254EF"/>
    <w:rsid w:val="00C2643E"/>
    <w:rsid w:val="00C27A08"/>
    <w:rsid w:val="00C27E1B"/>
    <w:rsid w:val="00C31312"/>
    <w:rsid w:val="00C31E36"/>
    <w:rsid w:val="00C326C6"/>
    <w:rsid w:val="00C35295"/>
    <w:rsid w:val="00C36ADD"/>
    <w:rsid w:val="00C36E74"/>
    <w:rsid w:val="00C40595"/>
    <w:rsid w:val="00C41621"/>
    <w:rsid w:val="00C42E6D"/>
    <w:rsid w:val="00C42FEA"/>
    <w:rsid w:val="00C449FA"/>
    <w:rsid w:val="00C46106"/>
    <w:rsid w:val="00C4727C"/>
    <w:rsid w:val="00C5384F"/>
    <w:rsid w:val="00C56964"/>
    <w:rsid w:val="00C577CB"/>
    <w:rsid w:val="00C578D4"/>
    <w:rsid w:val="00C656D5"/>
    <w:rsid w:val="00C67103"/>
    <w:rsid w:val="00C71BB9"/>
    <w:rsid w:val="00C71EF6"/>
    <w:rsid w:val="00C7254B"/>
    <w:rsid w:val="00C74708"/>
    <w:rsid w:val="00C83324"/>
    <w:rsid w:val="00C90304"/>
    <w:rsid w:val="00C917A1"/>
    <w:rsid w:val="00C94C28"/>
    <w:rsid w:val="00C94CE4"/>
    <w:rsid w:val="00C95FF2"/>
    <w:rsid w:val="00C96670"/>
    <w:rsid w:val="00C96681"/>
    <w:rsid w:val="00CB0247"/>
    <w:rsid w:val="00CB3440"/>
    <w:rsid w:val="00CB3466"/>
    <w:rsid w:val="00CC1692"/>
    <w:rsid w:val="00CC6D13"/>
    <w:rsid w:val="00CD138B"/>
    <w:rsid w:val="00CD3E31"/>
    <w:rsid w:val="00CD3E6A"/>
    <w:rsid w:val="00CD49FD"/>
    <w:rsid w:val="00CD74A3"/>
    <w:rsid w:val="00CD7518"/>
    <w:rsid w:val="00CE0527"/>
    <w:rsid w:val="00CE3327"/>
    <w:rsid w:val="00CE5B23"/>
    <w:rsid w:val="00CF211D"/>
    <w:rsid w:val="00CF70AD"/>
    <w:rsid w:val="00CF7729"/>
    <w:rsid w:val="00D00059"/>
    <w:rsid w:val="00D107FA"/>
    <w:rsid w:val="00D12275"/>
    <w:rsid w:val="00D12766"/>
    <w:rsid w:val="00D12B1B"/>
    <w:rsid w:val="00D1323C"/>
    <w:rsid w:val="00D20867"/>
    <w:rsid w:val="00D20FF4"/>
    <w:rsid w:val="00D24D2C"/>
    <w:rsid w:val="00D35881"/>
    <w:rsid w:val="00D35B08"/>
    <w:rsid w:val="00D40BAB"/>
    <w:rsid w:val="00D42776"/>
    <w:rsid w:val="00D42DFA"/>
    <w:rsid w:val="00D43055"/>
    <w:rsid w:val="00D508C2"/>
    <w:rsid w:val="00D64098"/>
    <w:rsid w:val="00D71948"/>
    <w:rsid w:val="00D812CD"/>
    <w:rsid w:val="00D82436"/>
    <w:rsid w:val="00D84DDF"/>
    <w:rsid w:val="00D86B35"/>
    <w:rsid w:val="00D91372"/>
    <w:rsid w:val="00D94C13"/>
    <w:rsid w:val="00DA7DA5"/>
    <w:rsid w:val="00DB073B"/>
    <w:rsid w:val="00DB78F0"/>
    <w:rsid w:val="00DC0CEA"/>
    <w:rsid w:val="00DC2E43"/>
    <w:rsid w:val="00DD095C"/>
    <w:rsid w:val="00DD1020"/>
    <w:rsid w:val="00DD1330"/>
    <w:rsid w:val="00DE0B83"/>
    <w:rsid w:val="00DE1A81"/>
    <w:rsid w:val="00DE1C13"/>
    <w:rsid w:val="00DE3CFC"/>
    <w:rsid w:val="00DE4E10"/>
    <w:rsid w:val="00DE589E"/>
    <w:rsid w:val="00DF1796"/>
    <w:rsid w:val="00DF6EA8"/>
    <w:rsid w:val="00E02ABF"/>
    <w:rsid w:val="00E04553"/>
    <w:rsid w:val="00E06B61"/>
    <w:rsid w:val="00E14995"/>
    <w:rsid w:val="00E14F77"/>
    <w:rsid w:val="00E179CD"/>
    <w:rsid w:val="00E21E87"/>
    <w:rsid w:val="00E23E8D"/>
    <w:rsid w:val="00E32FA5"/>
    <w:rsid w:val="00E37F98"/>
    <w:rsid w:val="00E46559"/>
    <w:rsid w:val="00E53D0B"/>
    <w:rsid w:val="00E5403A"/>
    <w:rsid w:val="00E54547"/>
    <w:rsid w:val="00E658E3"/>
    <w:rsid w:val="00E6670C"/>
    <w:rsid w:val="00E67A52"/>
    <w:rsid w:val="00E76F0A"/>
    <w:rsid w:val="00E776E8"/>
    <w:rsid w:val="00E80A49"/>
    <w:rsid w:val="00E842D0"/>
    <w:rsid w:val="00E92C1F"/>
    <w:rsid w:val="00E9400E"/>
    <w:rsid w:val="00E95D4B"/>
    <w:rsid w:val="00E97C47"/>
    <w:rsid w:val="00EB199F"/>
    <w:rsid w:val="00EC23F7"/>
    <w:rsid w:val="00EC4BD8"/>
    <w:rsid w:val="00EC63EB"/>
    <w:rsid w:val="00EC7029"/>
    <w:rsid w:val="00ED06FA"/>
    <w:rsid w:val="00ED33B7"/>
    <w:rsid w:val="00ED412F"/>
    <w:rsid w:val="00EE0EF6"/>
    <w:rsid w:val="00EF3102"/>
    <w:rsid w:val="00EF36B2"/>
    <w:rsid w:val="00EF76E8"/>
    <w:rsid w:val="00F1087A"/>
    <w:rsid w:val="00F117B0"/>
    <w:rsid w:val="00F1246B"/>
    <w:rsid w:val="00F16871"/>
    <w:rsid w:val="00F201EC"/>
    <w:rsid w:val="00F208A9"/>
    <w:rsid w:val="00F213ED"/>
    <w:rsid w:val="00F26B0C"/>
    <w:rsid w:val="00F41D75"/>
    <w:rsid w:val="00F5139D"/>
    <w:rsid w:val="00F54411"/>
    <w:rsid w:val="00F623BF"/>
    <w:rsid w:val="00F63DAC"/>
    <w:rsid w:val="00F729F0"/>
    <w:rsid w:val="00F7454F"/>
    <w:rsid w:val="00F77988"/>
    <w:rsid w:val="00F77F48"/>
    <w:rsid w:val="00F803BA"/>
    <w:rsid w:val="00F94C42"/>
    <w:rsid w:val="00FA1076"/>
    <w:rsid w:val="00FB30F1"/>
    <w:rsid w:val="00FB5208"/>
    <w:rsid w:val="00FB53E7"/>
    <w:rsid w:val="00FC1689"/>
    <w:rsid w:val="00FC2EC1"/>
    <w:rsid w:val="00FD077B"/>
    <w:rsid w:val="00FD2A8A"/>
    <w:rsid w:val="00FD6380"/>
    <w:rsid w:val="00FE6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table" w:styleId="LightShading-Accent1">
    <w:name w:val="Light Shading Accent 1"/>
    <w:basedOn w:val="TableNormal"/>
    <w:uiPriority w:val="60"/>
    <w:rsid w:val="0099448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9B136A"/>
    <w:pPr>
      <w:jc w:val="center"/>
    </w:pPr>
    <w:rPr>
      <w:b/>
      <w:sz w:val="28"/>
      <w:szCs w:val="20"/>
      <w:lang w:eastAsia="en-US"/>
    </w:rPr>
  </w:style>
  <w:style w:type="character" w:customStyle="1" w:styleId="BodyTextChar">
    <w:name w:val="Body Text Char"/>
    <w:link w:val="BodyText"/>
    <w:rsid w:val="009B136A"/>
    <w:rPr>
      <w:b/>
      <w:sz w:val="28"/>
      <w:lang w:eastAsia="en-US"/>
    </w:rPr>
  </w:style>
  <w:style w:type="paragraph" w:styleId="ListParagraph">
    <w:name w:val="List Paragraph"/>
    <w:basedOn w:val="Normal"/>
    <w:qFormat/>
    <w:rsid w:val="0030417A"/>
    <w:pPr>
      <w:ind w:left="720"/>
      <w:contextualSpacing/>
    </w:pPr>
    <w:rPr>
      <w:rFonts w:eastAsia="Calibr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table" w:styleId="LightShading-Accent1">
    <w:name w:val="Light Shading Accent 1"/>
    <w:basedOn w:val="TableNormal"/>
    <w:uiPriority w:val="60"/>
    <w:rsid w:val="0099448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9B136A"/>
    <w:pPr>
      <w:jc w:val="center"/>
    </w:pPr>
    <w:rPr>
      <w:b/>
      <w:sz w:val="28"/>
      <w:szCs w:val="20"/>
      <w:lang w:eastAsia="en-US"/>
    </w:rPr>
  </w:style>
  <w:style w:type="character" w:customStyle="1" w:styleId="BodyTextChar">
    <w:name w:val="Body Text Char"/>
    <w:link w:val="BodyText"/>
    <w:rsid w:val="009B136A"/>
    <w:rPr>
      <w:b/>
      <w:sz w:val="28"/>
      <w:lang w:eastAsia="en-US"/>
    </w:rPr>
  </w:style>
  <w:style w:type="paragraph" w:styleId="ListParagraph">
    <w:name w:val="List Paragraph"/>
    <w:basedOn w:val="Normal"/>
    <w:qFormat/>
    <w:rsid w:val="0030417A"/>
    <w:pPr>
      <w:ind w:left="720"/>
      <w:contextualSpacing/>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038">
      <w:bodyDiv w:val="1"/>
      <w:marLeft w:val="0"/>
      <w:marRight w:val="0"/>
      <w:marTop w:val="0"/>
      <w:marBottom w:val="0"/>
      <w:divBdr>
        <w:top w:val="none" w:sz="0" w:space="0" w:color="auto"/>
        <w:left w:val="none" w:sz="0" w:space="0" w:color="auto"/>
        <w:bottom w:val="none" w:sz="0" w:space="0" w:color="auto"/>
        <w:right w:val="none" w:sz="0" w:space="0" w:color="auto"/>
      </w:divBdr>
      <w:divsChild>
        <w:div w:id="271405369">
          <w:marLeft w:val="0"/>
          <w:marRight w:val="0"/>
          <w:marTop w:val="0"/>
          <w:marBottom w:val="0"/>
          <w:divBdr>
            <w:top w:val="none" w:sz="0" w:space="0" w:color="auto"/>
            <w:left w:val="none" w:sz="0" w:space="0" w:color="auto"/>
            <w:bottom w:val="none" w:sz="0" w:space="0" w:color="auto"/>
            <w:right w:val="none" w:sz="0" w:space="0" w:color="auto"/>
          </w:divBdr>
          <w:divsChild>
            <w:div w:id="739213298">
              <w:marLeft w:val="0"/>
              <w:marRight w:val="0"/>
              <w:marTop w:val="0"/>
              <w:marBottom w:val="0"/>
              <w:divBdr>
                <w:top w:val="none" w:sz="0" w:space="0" w:color="auto"/>
                <w:left w:val="none" w:sz="0" w:space="0" w:color="auto"/>
                <w:bottom w:val="none" w:sz="0" w:space="0" w:color="auto"/>
                <w:right w:val="none" w:sz="0" w:space="0" w:color="auto"/>
              </w:divBdr>
              <w:divsChild>
                <w:div w:id="1955675872">
                  <w:marLeft w:val="0"/>
                  <w:marRight w:val="0"/>
                  <w:marTop w:val="0"/>
                  <w:marBottom w:val="0"/>
                  <w:divBdr>
                    <w:top w:val="none" w:sz="0" w:space="0" w:color="auto"/>
                    <w:left w:val="none" w:sz="0" w:space="0" w:color="auto"/>
                    <w:bottom w:val="none" w:sz="0" w:space="0" w:color="auto"/>
                    <w:right w:val="none" w:sz="0" w:space="0" w:color="auto"/>
                  </w:divBdr>
                  <w:divsChild>
                    <w:div w:id="857813709">
                      <w:marLeft w:val="0"/>
                      <w:marRight w:val="0"/>
                      <w:marTop w:val="0"/>
                      <w:marBottom w:val="0"/>
                      <w:divBdr>
                        <w:top w:val="none" w:sz="0" w:space="0" w:color="auto"/>
                        <w:left w:val="none" w:sz="0" w:space="0" w:color="auto"/>
                        <w:bottom w:val="none" w:sz="0" w:space="0" w:color="auto"/>
                        <w:right w:val="none" w:sz="0" w:space="0" w:color="auto"/>
                      </w:divBdr>
                      <w:divsChild>
                        <w:div w:id="1108814668">
                          <w:marLeft w:val="0"/>
                          <w:marRight w:val="0"/>
                          <w:marTop w:val="0"/>
                          <w:marBottom w:val="0"/>
                          <w:divBdr>
                            <w:top w:val="none" w:sz="0" w:space="0" w:color="auto"/>
                            <w:left w:val="none" w:sz="0" w:space="0" w:color="auto"/>
                            <w:bottom w:val="none" w:sz="0" w:space="0" w:color="auto"/>
                            <w:right w:val="none" w:sz="0" w:space="0" w:color="auto"/>
                          </w:divBdr>
                          <w:divsChild>
                            <w:div w:id="18896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97F2-1483-49D8-BFED-BC374B1C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1357</Words>
  <Characters>8632</Characters>
  <Application>Microsoft Office Word</Application>
  <DocSecurity>0</DocSecurity>
  <Lines>366</Lines>
  <Paragraphs>182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valstij dividendēs izmaksājamo valsts akciju sabiedrības "Latvijas Pasts" peļņas daļu</vt:lpstr>
      <vt:lpstr>Ministru kabineta noteikumu projekta „Grozījums Ministru kabineta 2006.gada 15.augusta noteikumos Nr.657 „Gaisa kuģu lidojumiem nepieciešamās meteoroloģiskās informācijas sniegšanas kārtība”” sākotnējās ietekmes izvērtēšanas ziņojums (anotācija)</vt:lpstr>
    </vt:vector>
  </TitlesOfParts>
  <Company>Satiksmes ministrija</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valstij dividendēs izmaksājamo valsts akciju sabiedrības "Latvijas Pasts" peļņas daļu</dc:title>
  <dc:subject>Anotācija</dc:subject>
  <dc:creator/>
  <dc:description>Pūce 67028237_x000d_
linda.puce@sam.gov.lv_x000d_
_x000d_
arnis.muižnieks@sam.gov.lv</dc:description>
  <cp:lastModifiedBy>Linda Pūce</cp:lastModifiedBy>
  <cp:revision>7</cp:revision>
  <cp:lastPrinted>2014-07-17T12:16:00Z</cp:lastPrinted>
  <dcterms:created xsi:type="dcterms:W3CDTF">2014-07-17T08:50:00Z</dcterms:created>
  <dcterms:modified xsi:type="dcterms:W3CDTF">2014-07-17T12:16:00Z</dcterms:modified>
</cp:coreProperties>
</file>