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09" w:rsidRDefault="008E3E94" w:rsidP="00697072">
      <w:pPr>
        <w:ind w:firstLine="0"/>
        <w:jc w:val="both"/>
        <w:rPr>
          <w:b/>
          <w:bCs/>
        </w:rPr>
      </w:pPr>
      <w:r w:rsidRPr="008E3E94">
        <w:rPr>
          <w:b/>
          <w:bCs/>
        </w:rPr>
        <w:t xml:space="preserve">Ministru kabineta </w:t>
      </w:r>
      <w:r>
        <w:rPr>
          <w:b/>
          <w:bCs/>
        </w:rPr>
        <w:t xml:space="preserve">noteikumu </w:t>
      </w:r>
      <w:r w:rsidRPr="003D6F09">
        <w:rPr>
          <w:b/>
          <w:bCs/>
        </w:rPr>
        <w:t xml:space="preserve">projekta </w:t>
      </w:r>
      <w:r>
        <w:rPr>
          <w:b/>
          <w:bCs/>
        </w:rPr>
        <w:t>„</w:t>
      </w:r>
      <w:r w:rsidR="00B6740C" w:rsidRPr="00B6740C">
        <w:rPr>
          <w:b/>
          <w:bCs/>
        </w:rPr>
        <w:t>Grozījumi Ministru kabineta 20</w:t>
      </w:r>
      <w:r w:rsidR="006B7AFF">
        <w:rPr>
          <w:b/>
          <w:bCs/>
        </w:rPr>
        <w:t>12</w:t>
      </w:r>
      <w:r w:rsidR="00B6740C" w:rsidRPr="00B6740C">
        <w:rPr>
          <w:b/>
          <w:bCs/>
        </w:rPr>
        <w:t>.gada 21.</w:t>
      </w:r>
      <w:r w:rsidR="006B7AFF">
        <w:rPr>
          <w:b/>
          <w:bCs/>
        </w:rPr>
        <w:t>februāra</w:t>
      </w:r>
      <w:r w:rsidR="00B6740C" w:rsidRPr="00B6740C">
        <w:rPr>
          <w:b/>
          <w:bCs/>
        </w:rPr>
        <w:t xml:space="preserve"> noteikumos Nr.</w:t>
      </w:r>
      <w:r w:rsidR="006B7AFF">
        <w:rPr>
          <w:b/>
          <w:bCs/>
        </w:rPr>
        <w:t>121</w:t>
      </w:r>
      <w:r w:rsidR="00B6740C" w:rsidRPr="00B6740C">
        <w:rPr>
          <w:b/>
          <w:bCs/>
        </w:rPr>
        <w:t xml:space="preserve"> „</w:t>
      </w:r>
      <w:r w:rsidR="006B7AFF" w:rsidRPr="006B7AFF">
        <w:rPr>
          <w:b/>
          <w:bCs/>
        </w:rPr>
        <w:t>Kārtība, kādā izsniedz, anulē vai uz laiku aptur speciālās atļaujas (licences) un licences kartītes komercpārvadājumu veikšanai ar autotransportu un izsniedz autopārvadājumu vadītāja profesionālās kompetences sertifikātus</w:t>
      </w:r>
      <w:r w:rsidR="00B6740C" w:rsidRPr="00B6740C">
        <w:rPr>
          <w:b/>
          <w:bCs/>
        </w:rPr>
        <w:t>”</w:t>
      </w:r>
      <w:r w:rsidR="00B6740C">
        <w:rPr>
          <w:b/>
          <w:bCs/>
        </w:rPr>
        <w:t>”</w:t>
      </w:r>
      <w:r w:rsidR="003D6F09" w:rsidRPr="003D6F09">
        <w:rPr>
          <w:b/>
          <w:bCs/>
        </w:rPr>
        <w:t xml:space="preserve"> sākotnējās ietekmes novērtējuma ziņojums (anotācija)</w:t>
      </w:r>
    </w:p>
    <w:p w:rsidR="001531F1" w:rsidRDefault="001531F1" w:rsidP="00697072">
      <w:pPr>
        <w:ind w:firstLine="0"/>
        <w:jc w:val="both"/>
        <w:rPr>
          <w:b/>
          <w:bCs/>
        </w:rPr>
      </w:pPr>
    </w:p>
    <w:p w:rsidR="00A625D4" w:rsidRPr="003D6F09" w:rsidRDefault="00A625D4" w:rsidP="00697072">
      <w:pPr>
        <w:ind w:firstLine="0"/>
        <w:jc w:val="both"/>
        <w:rPr>
          <w:b/>
          <w:bCs/>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411"/>
        <w:gridCol w:w="6310"/>
      </w:tblGrid>
      <w:tr w:rsidR="003D6F09" w:rsidRPr="003D6F09" w:rsidTr="003D6F0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3D6F09" w:rsidRDefault="003D6F09" w:rsidP="00697072">
            <w:pPr>
              <w:ind w:firstLine="0"/>
              <w:jc w:val="both"/>
              <w:rPr>
                <w:b/>
                <w:bCs/>
              </w:rPr>
            </w:pPr>
            <w:r w:rsidRPr="003D6F09">
              <w:rPr>
                <w:b/>
                <w:bCs/>
              </w:rPr>
              <w:t>I. Tiesību akta projekta izstrādes nepieciešamība</w:t>
            </w:r>
          </w:p>
        </w:tc>
      </w:tr>
      <w:tr w:rsidR="003D6F09" w:rsidRPr="003D6F09" w:rsidTr="006B14EF">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1.</w:t>
            </w:r>
          </w:p>
        </w:tc>
        <w:tc>
          <w:tcPr>
            <w:tcW w:w="1291"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Pamatojums</w:t>
            </w:r>
          </w:p>
        </w:tc>
        <w:tc>
          <w:tcPr>
            <w:tcW w:w="3398" w:type="pct"/>
            <w:tcBorders>
              <w:top w:val="outset" w:sz="6" w:space="0" w:color="auto"/>
              <w:left w:val="outset" w:sz="6" w:space="0" w:color="auto"/>
              <w:bottom w:val="outset" w:sz="6" w:space="0" w:color="auto"/>
              <w:right w:val="outset" w:sz="6" w:space="0" w:color="auto"/>
            </w:tcBorders>
            <w:hideMark/>
          </w:tcPr>
          <w:p w:rsidR="007F1673" w:rsidRDefault="00AC4A53" w:rsidP="00697072">
            <w:pPr>
              <w:ind w:firstLine="0"/>
              <w:jc w:val="both"/>
              <w:rPr>
                <w:rFonts w:eastAsia="Calibri" w:cs="Times New Roman"/>
                <w:szCs w:val="28"/>
              </w:rPr>
            </w:pPr>
            <w:r>
              <w:rPr>
                <w:rFonts w:eastAsia="Calibri" w:cs="Times New Roman"/>
                <w:szCs w:val="28"/>
              </w:rPr>
              <w:t xml:space="preserve">1) </w:t>
            </w:r>
            <w:r w:rsidR="007F1673" w:rsidRPr="007F1673">
              <w:rPr>
                <w:rFonts w:eastAsia="Calibri" w:cs="Times New Roman"/>
                <w:szCs w:val="28"/>
              </w:rPr>
              <w:t>Autopārvadājumu likuma 6.panta ceturt</w:t>
            </w:r>
            <w:r w:rsidR="007F1673">
              <w:rPr>
                <w:rFonts w:eastAsia="Calibri" w:cs="Times New Roman"/>
                <w:szCs w:val="28"/>
              </w:rPr>
              <w:t>ā</w:t>
            </w:r>
            <w:r w:rsidR="007F1673" w:rsidRPr="007F1673">
              <w:rPr>
                <w:rFonts w:eastAsia="Calibri" w:cs="Times New Roman"/>
                <w:szCs w:val="28"/>
              </w:rPr>
              <w:t xml:space="preserve"> daļ</w:t>
            </w:r>
            <w:r w:rsidR="007F1673">
              <w:rPr>
                <w:rFonts w:eastAsia="Calibri" w:cs="Times New Roman"/>
                <w:szCs w:val="28"/>
              </w:rPr>
              <w:t>a</w:t>
            </w:r>
            <w:r w:rsidR="00EB5A8F">
              <w:rPr>
                <w:rFonts w:eastAsia="Calibri" w:cs="Times New Roman"/>
                <w:szCs w:val="28"/>
              </w:rPr>
              <w:t xml:space="preserve"> un </w:t>
            </w:r>
            <w:r w:rsidR="00EB5A8F" w:rsidRPr="00EB5A8F">
              <w:rPr>
                <w:rFonts w:eastAsia="Calibri" w:cs="Times New Roman"/>
                <w:szCs w:val="28"/>
              </w:rPr>
              <w:t>30.panta piektā daļa</w:t>
            </w:r>
            <w:r w:rsidR="007F1673">
              <w:rPr>
                <w:rFonts w:eastAsia="Calibri" w:cs="Times New Roman"/>
                <w:szCs w:val="28"/>
              </w:rPr>
              <w:t>.</w:t>
            </w:r>
          </w:p>
          <w:p w:rsidR="00042D07" w:rsidRPr="006B7AFF" w:rsidRDefault="004B5EEF" w:rsidP="00697072">
            <w:pPr>
              <w:ind w:firstLine="0"/>
              <w:jc w:val="both"/>
              <w:rPr>
                <w:rFonts w:eastAsia="Calibri" w:cs="Times New Roman"/>
                <w:szCs w:val="28"/>
              </w:rPr>
            </w:pPr>
            <w:r>
              <w:rPr>
                <w:rFonts w:eastAsia="Calibri" w:cs="Times New Roman"/>
                <w:szCs w:val="28"/>
              </w:rPr>
              <w:t>2</w:t>
            </w:r>
            <w:r w:rsidR="00AC4A53">
              <w:rPr>
                <w:rFonts w:eastAsia="Calibri" w:cs="Times New Roman"/>
                <w:szCs w:val="28"/>
              </w:rPr>
              <w:t xml:space="preserve">) </w:t>
            </w:r>
            <w:r w:rsidR="00CD22BA" w:rsidRPr="00B80C7A">
              <w:rPr>
                <w:rFonts w:eastAsia="Calibri" w:cs="Times New Roman"/>
                <w:szCs w:val="28"/>
              </w:rPr>
              <w:t>Valsts kontroles 2013.gada 14.novembra revīzijas ziņojum</w:t>
            </w:r>
            <w:r w:rsidR="00CD22BA">
              <w:rPr>
                <w:rFonts w:eastAsia="Calibri" w:cs="Times New Roman"/>
                <w:szCs w:val="28"/>
              </w:rPr>
              <w:t>s</w:t>
            </w:r>
            <w:r w:rsidR="00CD22BA" w:rsidRPr="00B80C7A">
              <w:rPr>
                <w:rFonts w:eastAsia="Calibri" w:cs="Times New Roman"/>
                <w:szCs w:val="28"/>
              </w:rPr>
              <w:t xml:space="preserve"> Nr.5.1-2-11-</w:t>
            </w:r>
            <w:r w:rsidR="00CD22BA">
              <w:rPr>
                <w:rFonts w:eastAsia="Calibri" w:cs="Times New Roman"/>
                <w:szCs w:val="28"/>
              </w:rPr>
              <w:t>9</w:t>
            </w:r>
            <w:r w:rsidR="00CD22BA" w:rsidRPr="00B80C7A">
              <w:rPr>
                <w:rFonts w:eastAsia="Calibri" w:cs="Times New Roman"/>
                <w:szCs w:val="28"/>
              </w:rPr>
              <w:t>/2013 „Starptautisko autopārvadājumu nodrošināšanā iesaistīto institūciju darbības atbilstība normatīvo aktu prasībām un Latvijas Republikas-Krievijas Federācijas valdību nolīguma par automobiļu starptautisko satiksmi izpildes izvērtējums”</w:t>
            </w:r>
            <w:r w:rsidR="00042D07">
              <w:rPr>
                <w:rFonts w:eastAsia="Calibri" w:cs="Times New Roman"/>
                <w:szCs w:val="28"/>
              </w:rPr>
              <w:t>.</w:t>
            </w:r>
          </w:p>
        </w:tc>
      </w:tr>
      <w:tr w:rsidR="003D6F09" w:rsidRPr="003D6F09" w:rsidTr="006B14E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2.</w:t>
            </w:r>
          </w:p>
        </w:tc>
        <w:tc>
          <w:tcPr>
            <w:tcW w:w="1291"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Pašreizējā situācija un problēmas, kuru risināšanai tiesību akta projekts izstrādāts, tiesiskā regulējuma mērķis un būtība</w:t>
            </w:r>
          </w:p>
        </w:tc>
        <w:tc>
          <w:tcPr>
            <w:tcW w:w="3398" w:type="pct"/>
            <w:tcBorders>
              <w:top w:val="outset" w:sz="6" w:space="0" w:color="auto"/>
              <w:left w:val="outset" w:sz="6" w:space="0" w:color="auto"/>
              <w:bottom w:val="outset" w:sz="6" w:space="0" w:color="auto"/>
              <w:right w:val="outset" w:sz="6" w:space="0" w:color="auto"/>
            </w:tcBorders>
          </w:tcPr>
          <w:p w:rsidR="00A74FDF" w:rsidRDefault="00670AAF" w:rsidP="00697072">
            <w:pPr>
              <w:ind w:firstLine="0"/>
              <w:jc w:val="both"/>
            </w:pPr>
            <w:r>
              <w:t xml:space="preserve">1. </w:t>
            </w:r>
            <w:r w:rsidR="004E4878">
              <w:t>Valsts kontrole</w:t>
            </w:r>
            <w:r w:rsidR="00150DD5">
              <w:t xml:space="preserve"> 2013.gadā veica VSIA „Autotransporta direkcija” (turpmāk – Autotransporta direkcija) </w:t>
            </w:r>
            <w:r w:rsidR="00150DD5" w:rsidRPr="00150DD5">
              <w:t>likumības revīzij</w:t>
            </w:r>
            <w:r w:rsidR="00150DD5">
              <w:t>u</w:t>
            </w:r>
            <w:r w:rsidR="00150DD5" w:rsidRPr="00150DD5">
              <w:t xml:space="preserve"> „Starptautisko autopārvadājumu nodrošināšanā iesaistīto institūciju darbības atbilstība normatīvo aktu prasībām un Latvijas Republikas – Krievijas Federācijas valdību nolīguma par automobiļu starptautisko satiksmi izpildes izvērtējums”.</w:t>
            </w:r>
            <w:r w:rsidR="00150DD5">
              <w:t xml:space="preserve"> </w:t>
            </w:r>
            <w:r w:rsidR="00985DD7">
              <w:t xml:space="preserve">Revīzijas laikā </w:t>
            </w:r>
            <w:r w:rsidR="00231D0F">
              <w:t xml:space="preserve">cita starpā </w:t>
            </w:r>
            <w:r w:rsidR="00985DD7">
              <w:t xml:space="preserve">tika </w:t>
            </w:r>
            <w:r w:rsidR="00A05FCF">
              <w:t xml:space="preserve">konstatētas </w:t>
            </w:r>
            <w:r w:rsidR="00A05FCF" w:rsidRPr="0044068E">
              <w:t>pretrunas</w:t>
            </w:r>
            <w:r w:rsidR="00A05FCF" w:rsidRPr="00402EF6">
              <w:t xml:space="preserve"> </w:t>
            </w:r>
            <w:r w:rsidR="00A05FCF">
              <w:t>likumā</w:t>
            </w:r>
            <w:r w:rsidR="00A05FCF" w:rsidRPr="00402EF6">
              <w:t xml:space="preserve"> „Par nodokļiem un nodevām”</w:t>
            </w:r>
            <w:r w:rsidR="00A05FCF">
              <w:t xml:space="preserve"> un</w:t>
            </w:r>
            <w:r w:rsidR="00CF772E">
              <w:t xml:space="preserve"> Ministru kabineta </w:t>
            </w:r>
            <w:r w:rsidR="00A05FCF" w:rsidRPr="004E2013">
              <w:t>20</w:t>
            </w:r>
            <w:r w:rsidR="00A05FCF">
              <w:t>12</w:t>
            </w:r>
            <w:r w:rsidR="00A05FCF" w:rsidRPr="004E2013">
              <w:t>.gada 21.</w:t>
            </w:r>
            <w:r w:rsidR="00A05FCF">
              <w:t>februāra</w:t>
            </w:r>
            <w:r w:rsidR="00A05FCF" w:rsidRPr="004E2013">
              <w:t xml:space="preserve"> noteikum</w:t>
            </w:r>
            <w:r w:rsidR="00A05FCF">
              <w:t>os</w:t>
            </w:r>
            <w:r w:rsidR="00A05FCF" w:rsidRPr="004E2013">
              <w:t xml:space="preserve"> Nr.</w:t>
            </w:r>
            <w:r w:rsidR="00A05FCF">
              <w:t>121 „</w:t>
            </w:r>
            <w:r w:rsidR="00A05FCF" w:rsidRPr="004E2013">
              <w:t>Kārtība, kādā izsniedz, uz laiku aptur vai anulē speciālās atļaujas (licences) un licences kartītes komercpārvadājumu veikšanai ar autotransportu un izsniedz autopārvadājumu vadītāja profesionālās kompetences sertifikātus”</w:t>
            </w:r>
            <w:r w:rsidR="00A05FCF">
              <w:t xml:space="preserve"> (turpmāk – noteikumi Nr.121) saistībā ar licences apturēšanu un anulēšanu. </w:t>
            </w:r>
            <w:r w:rsidR="00A05FCF" w:rsidRPr="00A05FCF">
              <w:t>Likums „Par nodokļiem un nodevām”</w:t>
            </w:r>
            <w:r w:rsidR="00AD0AB6">
              <w:t xml:space="preserve"> (34.</w:t>
            </w:r>
            <w:r w:rsidR="00AD0AB6" w:rsidRPr="00AD0AB6">
              <w:rPr>
                <w:vertAlign w:val="superscript"/>
              </w:rPr>
              <w:t>1</w:t>
            </w:r>
            <w:r w:rsidR="00AD0AB6">
              <w:t xml:space="preserve"> panta sestās daļas 4.punkts)</w:t>
            </w:r>
            <w:r w:rsidR="00A05FCF" w:rsidRPr="00A05FCF">
              <w:t xml:space="preserve"> nosaka pienākumu Valsts ieņēmumu dienestam pēc lēmuma par nodokļu maksātāja saimnieciskās darbības apturēšanu pieņemšanas iesniegt atbildīgajā institūcijā obligāti izpildāmu prasību </w:t>
            </w:r>
            <w:r w:rsidR="00A05FCF" w:rsidRPr="000D346E">
              <w:rPr>
                <w:u w:val="single"/>
              </w:rPr>
              <w:t>apturēt</w:t>
            </w:r>
            <w:r w:rsidR="00A05FCF" w:rsidRPr="00A05FCF">
              <w:t xml:space="preserve"> nodokļu maksātājam izsniegto speciālo atļauju (licenci) veikt </w:t>
            </w:r>
            <w:r w:rsidR="00A05FCF" w:rsidRPr="00A05FCF">
              <w:lastRenderedPageBreak/>
              <w:t>komercdarbību.</w:t>
            </w:r>
            <w:r w:rsidR="00A05FCF">
              <w:t xml:space="preserve"> Savukārt noteikumu Nr.121 36.3.apakšpunkts </w:t>
            </w:r>
            <w:r w:rsidR="00A05FCF" w:rsidRPr="00A05FCF">
              <w:t>nosaka, ka, ja pārvadātājs neievēro normatīvo aktu prasības</w:t>
            </w:r>
            <w:r w:rsidR="00A05FCF">
              <w:t xml:space="preserve"> </w:t>
            </w:r>
            <w:r w:rsidR="00A05FCF" w:rsidRPr="00A05FCF">
              <w:t xml:space="preserve">nodokļu jomā, tad, izvērtējot pārkāpuma smagumu un komercpārvadājumos izmantoto autotransporta līdzekļu skaitu, licenci var </w:t>
            </w:r>
            <w:r w:rsidR="00A05FCF" w:rsidRPr="000D346E">
              <w:rPr>
                <w:u w:val="single"/>
              </w:rPr>
              <w:t>anulēt</w:t>
            </w:r>
            <w:r w:rsidR="00A05FCF" w:rsidRPr="00A05FCF">
              <w:t>.</w:t>
            </w:r>
          </w:p>
          <w:p w:rsidR="00AD0AB6" w:rsidRDefault="00A74FDF" w:rsidP="00697072">
            <w:pPr>
              <w:ind w:firstLine="0"/>
              <w:jc w:val="both"/>
            </w:pPr>
            <w:r w:rsidRPr="0044068E">
              <w:t xml:space="preserve">Lai novērstu pretrunas </w:t>
            </w:r>
            <w:r w:rsidR="00A05FCF">
              <w:t>iepriekšminētajos</w:t>
            </w:r>
            <w:r w:rsidRPr="0044068E">
              <w:t xml:space="preserve"> normatīvajos aktos</w:t>
            </w:r>
            <w:r w:rsidR="00A05FCF">
              <w:t xml:space="preserve"> </w:t>
            </w:r>
            <w:r w:rsidRPr="0044068E">
              <w:t xml:space="preserve">un nodrošinātu tiesisku administratīvo aktu (lēmumu) izdošanu, </w:t>
            </w:r>
            <w:r w:rsidR="00E51E95" w:rsidRPr="0044068E">
              <w:t>vienlaikus nodrošinot</w:t>
            </w:r>
            <w:r w:rsidRPr="0044068E">
              <w:t xml:space="preserve"> iespēju pārvadātājam turpināt komercdarbību pēc pārkāpumu novēršanas, </w:t>
            </w:r>
            <w:r w:rsidR="006A5057">
              <w:t>nepieciešams izdarīt</w:t>
            </w:r>
            <w:r w:rsidRPr="0044068E">
              <w:t xml:space="preserve"> grozījumus</w:t>
            </w:r>
            <w:r w:rsidR="006A5057">
              <w:t xml:space="preserve"> noteikumos Nr.121</w:t>
            </w:r>
            <w:r w:rsidR="00FD3B90">
              <w:t>, paredzot, ka par</w:t>
            </w:r>
            <w:r w:rsidR="00FD3B90" w:rsidRPr="00A05FCF">
              <w:t xml:space="preserve"> normatīvo aktu prasīb</w:t>
            </w:r>
            <w:r w:rsidR="00FD3B90">
              <w:t xml:space="preserve">u </w:t>
            </w:r>
            <w:r w:rsidR="007E6D3B" w:rsidRPr="00A05FCF">
              <w:t>neievēro</w:t>
            </w:r>
            <w:r w:rsidR="007E6D3B">
              <w:t>šanu</w:t>
            </w:r>
            <w:r w:rsidR="007E6D3B" w:rsidRPr="00A05FCF">
              <w:t xml:space="preserve"> </w:t>
            </w:r>
            <w:r w:rsidR="00FD3B90" w:rsidRPr="00A05FCF">
              <w:t>nodokļu jomā</w:t>
            </w:r>
            <w:r w:rsidR="00165773">
              <w:t xml:space="preserve">, ja </w:t>
            </w:r>
            <w:r w:rsidR="00165773" w:rsidRPr="0073678F">
              <w:rPr>
                <w:rFonts w:eastAsia="Times New Roman" w:cs="Times New Roman"/>
                <w:szCs w:val="28"/>
                <w:lang w:eastAsia="lv-LV"/>
              </w:rPr>
              <w:t xml:space="preserve">Valsts ieņēmumu dienests pieņēmis lēmumu par </w:t>
            </w:r>
            <w:r w:rsidR="00165773">
              <w:t xml:space="preserve">pārvadātāja </w:t>
            </w:r>
            <w:r w:rsidR="00165773" w:rsidRPr="0073678F">
              <w:rPr>
                <w:rFonts w:eastAsia="Times New Roman" w:cs="Times New Roman"/>
                <w:szCs w:val="28"/>
                <w:lang w:eastAsia="lv-LV"/>
              </w:rPr>
              <w:t>saimnieciskās darbības apturēšanu</w:t>
            </w:r>
            <w:r w:rsidR="00165773">
              <w:rPr>
                <w:rFonts w:eastAsia="Times New Roman" w:cs="Times New Roman"/>
                <w:szCs w:val="28"/>
                <w:lang w:eastAsia="lv-LV"/>
              </w:rPr>
              <w:t>,</w:t>
            </w:r>
            <w:r w:rsidR="00165773" w:rsidRPr="00A05FCF">
              <w:t xml:space="preserve"> </w:t>
            </w:r>
            <w:r w:rsidR="00FD3B90" w:rsidRPr="00A05FCF">
              <w:t>licenc</w:t>
            </w:r>
            <w:r w:rsidR="00FD3B90">
              <w:t>es darbību var uz laiku apturēt.</w:t>
            </w:r>
            <w:r w:rsidR="00165773">
              <w:t xml:space="preserve"> </w:t>
            </w:r>
          </w:p>
          <w:p w:rsidR="00A74FDF" w:rsidRPr="00814325" w:rsidRDefault="00165773" w:rsidP="00B605FE">
            <w:pPr>
              <w:ind w:firstLine="0"/>
              <w:jc w:val="both"/>
            </w:pPr>
            <w:r>
              <w:t xml:space="preserve">Tiek precizēts arī regulējums par licences anulēšanu gadījumā, ja netiek ievērotas </w:t>
            </w:r>
            <w:r w:rsidRPr="00A05FCF">
              <w:t>normatīvo aktu prasīb</w:t>
            </w:r>
            <w:r>
              <w:t xml:space="preserve">as </w:t>
            </w:r>
            <w:r w:rsidRPr="00A05FCF">
              <w:t>nodokļu jomā</w:t>
            </w:r>
            <w:r>
              <w:t xml:space="preserve">, paskaidrojot, kādā gadījumā licenci var anulēt. </w:t>
            </w:r>
            <w:r w:rsidR="00AD0AB6" w:rsidRPr="00814325">
              <w:t>Saskaņā ar likuma „Par Valsts ieņēmumu dienestu”</w:t>
            </w:r>
            <w:r w:rsidR="009C78B2" w:rsidRPr="00814325">
              <w:t xml:space="preserve"> </w:t>
            </w:r>
            <w:proofErr w:type="gramStart"/>
            <w:r w:rsidR="00AD0AB6" w:rsidRPr="00814325">
              <w:t>10.panta</w:t>
            </w:r>
            <w:proofErr w:type="gramEnd"/>
            <w:r w:rsidR="00AD0AB6" w:rsidRPr="00814325">
              <w:t xml:space="preserve"> otrās daļas 7.punktu Valsts ieņēmumu dienestam ir tiesības iesniegt </w:t>
            </w:r>
            <w:r w:rsidR="009C78B2" w:rsidRPr="00814325">
              <w:t xml:space="preserve">ministrijām, pašvaldībām un citām institūcijām obligāti izpildāmu prasību </w:t>
            </w:r>
            <w:r w:rsidR="009C78B2" w:rsidRPr="00814325">
              <w:rPr>
                <w:u w:val="single"/>
              </w:rPr>
              <w:t>atsaukt</w:t>
            </w:r>
            <w:r w:rsidR="009C78B2" w:rsidRPr="00814325">
              <w:t xml:space="preserve"> nodokļu maksātājam izsniegto speciālo atļauju (licenci) veikt uzņēmējdarbību, ja juridiskā, fiziskā vai cita persona, kas veic uzņēmējdarbību, nereģistrējas kā nodokļu maksātājs vai arī neiesniedz nodokļu likumos paredzētās deklarācijas vai nodokļu aprēķinus, visus saimniecības un grāmatvedības dokumentus, bez kuriem nodokļu administrācijas ierēdņi nevar noteikt nodokļu bāzi, vai nerada iespēju iekasēt nodokļus.</w:t>
            </w:r>
            <w:r w:rsidR="00B605FE" w:rsidRPr="00814325">
              <w:t xml:space="preserve"> Savukārt likuma „Par nodokļiem un nodevām” </w:t>
            </w:r>
            <w:proofErr w:type="gramStart"/>
            <w:r w:rsidR="00B605FE" w:rsidRPr="00814325">
              <w:t>34.panta</w:t>
            </w:r>
            <w:proofErr w:type="gramEnd"/>
            <w:r w:rsidR="00B605FE" w:rsidRPr="00814325">
              <w:t xml:space="preserve"> piektās daļas 1.punkts nosaka, ka 34.panta pirmajā daļā un otrās daļas 2. un 3.punktā minētajos gadījumos pēc nodokļu administrācijas pieprasījuma ministrijas, pašvaldības un citas institūcijas </w:t>
            </w:r>
            <w:r w:rsidR="00B605FE" w:rsidRPr="00814325">
              <w:rPr>
                <w:u w:val="single"/>
              </w:rPr>
              <w:t>atsauc</w:t>
            </w:r>
            <w:r w:rsidR="00B605FE" w:rsidRPr="00814325">
              <w:t xml:space="preserve"> nodokļu maksātājam izsniegto atļauju (licenci) veikt komercdarbību.</w:t>
            </w:r>
          </w:p>
          <w:p w:rsidR="001531F1" w:rsidRDefault="001531F1" w:rsidP="00697072">
            <w:pPr>
              <w:ind w:firstLine="0"/>
              <w:jc w:val="both"/>
            </w:pPr>
          </w:p>
          <w:p w:rsidR="004E2C48" w:rsidRPr="0005506E" w:rsidRDefault="00165773" w:rsidP="00697072">
            <w:pPr>
              <w:ind w:firstLine="0"/>
              <w:jc w:val="both"/>
              <w:rPr>
                <w:rFonts w:eastAsia="Times New Roman" w:cs="Times New Roman"/>
                <w:szCs w:val="28"/>
                <w:lang w:eastAsia="lv-LV"/>
              </w:rPr>
            </w:pPr>
            <w:r>
              <w:t xml:space="preserve">2. </w:t>
            </w:r>
            <w:r w:rsidR="004E2C48" w:rsidRPr="0005506E">
              <w:rPr>
                <w:rFonts w:eastAsia="Times New Roman" w:cs="Times New Roman"/>
                <w:szCs w:val="28"/>
                <w:lang w:eastAsia="lv-LV"/>
              </w:rPr>
              <w:t xml:space="preserve">Lai mazinātu administratīvo slogu personām, kurām nepieciešams saņemt </w:t>
            </w:r>
            <w:r w:rsidR="004E2C48">
              <w:rPr>
                <w:rFonts w:eastAsia="Times New Roman" w:cs="Times New Roman"/>
                <w:szCs w:val="28"/>
                <w:lang w:eastAsia="lv-LV"/>
              </w:rPr>
              <w:t>licenci, licences kartīti vai profesionālās kompetences sertifikātu</w:t>
            </w:r>
            <w:r w:rsidR="004E2C48" w:rsidRPr="0005506E">
              <w:rPr>
                <w:rFonts w:eastAsia="Times New Roman" w:cs="Times New Roman"/>
                <w:szCs w:val="28"/>
                <w:lang w:eastAsia="lv-LV"/>
              </w:rPr>
              <w:t xml:space="preserve">, un paaugstinātu </w:t>
            </w:r>
            <w:r w:rsidR="004E2C48" w:rsidRPr="0005506E">
              <w:rPr>
                <w:rFonts w:eastAsia="Times New Roman" w:cs="Times New Roman"/>
                <w:szCs w:val="28"/>
                <w:lang w:eastAsia="lv-LV"/>
              </w:rPr>
              <w:lastRenderedPageBreak/>
              <w:t xml:space="preserve">Autotransporta direkcijas sniegto pakalpojumu efektivitāti, plānots izstrādāt informācijas sistēmas funkcionalitāti, lai attiecīgo pakalpojumu saņemšanai personas varētu pieteikties arī elektroniski, </w:t>
            </w:r>
            <w:r w:rsidR="000D346E" w:rsidRPr="00266190">
              <w:rPr>
                <w:rFonts w:eastAsia="Times New Roman" w:cs="Times New Roman"/>
                <w:szCs w:val="28"/>
                <w:lang w:eastAsia="lv-LV"/>
              </w:rPr>
              <w:t xml:space="preserve">aizpildot speciālu tiešsaistes formu </w:t>
            </w:r>
            <w:r w:rsidR="004E2C48" w:rsidRPr="0005506E">
              <w:rPr>
                <w:rFonts w:eastAsia="Times New Roman" w:cs="Times New Roman"/>
                <w:szCs w:val="28"/>
                <w:lang w:eastAsia="lv-LV"/>
              </w:rPr>
              <w:t xml:space="preserve">Autotransporta direkcijas mājaslapā (e-pakalpojumus). Elektronisko dokumentu apmaiņai un personas identifikācijas pārbaudei plānots izmantot Vienoto valsts un pašvaldību pakalpojumu portālu </w:t>
            </w:r>
            <w:hyperlink r:id="rId9" w:history="1">
              <w:r w:rsidR="004E2C48" w:rsidRPr="0005506E">
                <w:rPr>
                  <w:rStyle w:val="Hyperlink"/>
                  <w:rFonts w:eastAsia="Times New Roman" w:cs="Times New Roman"/>
                  <w:szCs w:val="28"/>
                  <w:lang w:eastAsia="lv-LV"/>
                </w:rPr>
                <w:t>www.latvija.lv</w:t>
              </w:r>
            </w:hyperlink>
            <w:r w:rsidR="004E2C48" w:rsidRPr="0005506E">
              <w:rPr>
                <w:rFonts w:eastAsia="Times New Roman" w:cs="Times New Roman"/>
                <w:szCs w:val="28"/>
                <w:lang w:eastAsia="lv-LV"/>
              </w:rPr>
              <w:t xml:space="preserve"> (turpmāk – portāls). Tādējādi </w:t>
            </w:r>
            <w:r w:rsidR="008B7AA1">
              <w:rPr>
                <w:rFonts w:eastAsia="Times New Roman" w:cs="Times New Roman"/>
                <w:szCs w:val="28"/>
                <w:lang w:eastAsia="lv-LV"/>
              </w:rPr>
              <w:t>pieteikties licences, licences kartītes saņemšanai</w:t>
            </w:r>
            <w:r w:rsidR="007D3B72">
              <w:rPr>
                <w:rFonts w:eastAsia="Times New Roman" w:cs="Times New Roman"/>
                <w:szCs w:val="28"/>
                <w:lang w:eastAsia="lv-LV"/>
              </w:rPr>
              <w:t xml:space="preserve">, </w:t>
            </w:r>
            <w:r w:rsidR="008B7AA1">
              <w:rPr>
                <w:rFonts w:eastAsia="Times New Roman" w:cs="Times New Roman"/>
                <w:szCs w:val="28"/>
                <w:lang w:eastAsia="lv-LV"/>
              </w:rPr>
              <w:t>profesionālās kompetences eksāmena kārtošanai</w:t>
            </w:r>
            <w:r w:rsidR="007D3B72">
              <w:rPr>
                <w:rFonts w:eastAsia="Times New Roman" w:cs="Times New Roman"/>
                <w:szCs w:val="28"/>
                <w:lang w:eastAsia="lv-LV"/>
              </w:rPr>
              <w:t xml:space="preserve"> un informēt atbildīgo iestādi par komercdarbības pārtraukšanu</w:t>
            </w:r>
            <w:r w:rsidR="004A56CA">
              <w:rPr>
                <w:rFonts w:eastAsia="Times New Roman" w:cs="Times New Roman"/>
                <w:szCs w:val="28"/>
                <w:lang w:eastAsia="lv-LV"/>
              </w:rPr>
              <w:t>,</w:t>
            </w:r>
            <w:r w:rsidR="007D3B72">
              <w:rPr>
                <w:rFonts w:eastAsia="Times New Roman" w:cs="Times New Roman"/>
                <w:szCs w:val="28"/>
                <w:lang w:eastAsia="lv-LV"/>
              </w:rPr>
              <w:t xml:space="preserve"> </w:t>
            </w:r>
            <w:r w:rsidR="008B7AA1">
              <w:rPr>
                <w:rFonts w:eastAsia="Times New Roman" w:cs="Times New Roman"/>
                <w:szCs w:val="28"/>
                <w:lang w:eastAsia="lv-LV"/>
              </w:rPr>
              <w:t xml:space="preserve"> </w:t>
            </w:r>
            <w:r w:rsidR="004A56CA" w:rsidRPr="0005506E">
              <w:rPr>
                <w:rFonts w:eastAsia="Times New Roman" w:cs="Times New Roman"/>
                <w:szCs w:val="28"/>
                <w:lang w:eastAsia="lv-LV"/>
              </w:rPr>
              <w:t xml:space="preserve">izmantojot Autotransporta direkcijas </w:t>
            </w:r>
            <w:r w:rsidR="004A56CA">
              <w:rPr>
                <w:rFonts w:eastAsia="Times New Roman" w:cs="Times New Roman"/>
                <w:szCs w:val="28"/>
                <w:lang w:eastAsia="lv-LV"/>
              </w:rPr>
              <w:t>mājas</w:t>
            </w:r>
            <w:r w:rsidR="004A56CA" w:rsidRPr="0005506E">
              <w:rPr>
                <w:rFonts w:eastAsia="Times New Roman" w:cs="Times New Roman"/>
                <w:szCs w:val="28"/>
                <w:lang w:eastAsia="lv-LV"/>
              </w:rPr>
              <w:t>lapā pieejamo elektronisko pakalpojumu, person</w:t>
            </w:r>
            <w:r w:rsidR="004A56CA">
              <w:rPr>
                <w:rFonts w:eastAsia="Times New Roman" w:cs="Times New Roman"/>
                <w:szCs w:val="28"/>
                <w:lang w:eastAsia="lv-LV"/>
              </w:rPr>
              <w:t>as</w:t>
            </w:r>
            <w:r w:rsidR="004A56CA" w:rsidRPr="0005506E">
              <w:rPr>
                <w:rFonts w:eastAsia="Times New Roman" w:cs="Times New Roman"/>
                <w:szCs w:val="28"/>
                <w:lang w:eastAsia="lv-LV"/>
              </w:rPr>
              <w:t xml:space="preserve"> </w:t>
            </w:r>
            <w:r w:rsidR="004A56CA">
              <w:rPr>
                <w:rFonts w:eastAsia="Times New Roman" w:cs="Times New Roman"/>
                <w:szCs w:val="28"/>
                <w:lang w:eastAsia="lv-LV"/>
              </w:rPr>
              <w:t>varēs arī</w:t>
            </w:r>
            <w:r w:rsidR="004A56CA" w:rsidRPr="0005506E">
              <w:rPr>
                <w:rFonts w:eastAsia="Times New Roman" w:cs="Times New Roman"/>
                <w:szCs w:val="28"/>
                <w:lang w:eastAsia="lv-LV"/>
              </w:rPr>
              <w:t xml:space="preserve"> bez elektroniskā paraksta, tikai ar </w:t>
            </w:r>
            <w:r w:rsidR="004A56CA">
              <w:rPr>
                <w:rFonts w:eastAsia="Times New Roman" w:cs="Times New Roman"/>
                <w:szCs w:val="28"/>
                <w:lang w:eastAsia="lv-LV"/>
              </w:rPr>
              <w:t>identificēšanos</w:t>
            </w:r>
            <w:r w:rsidR="004A56CA" w:rsidRPr="0005506E">
              <w:rPr>
                <w:rFonts w:eastAsia="Times New Roman" w:cs="Times New Roman"/>
                <w:szCs w:val="28"/>
                <w:lang w:eastAsia="lv-LV"/>
              </w:rPr>
              <w:t xml:space="preserve"> minētajā portālā</w:t>
            </w:r>
            <w:r w:rsidR="004E2C48" w:rsidRPr="0005506E">
              <w:rPr>
                <w:rFonts w:eastAsia="Times New Roman" w:cs="Times New Roman"/>
                <w:szCs w:val="28"/>
                <w:lang w:eastAsia="lv-LV"/>
              </w:rPr>
              <w:t xml:space="preserve">.  </w:t>
            </w:r>
          </w:p>
          <w:p w:rsidR="004E2C48" w:rsidRPr="0005506E" w:rsidRDefault="004E2C48" w:rsidP="00697072">
            <w:pPr>
              <w:ind w:firstLine="0"/>
              <w:jc w:val="both"/>
              <w:rPr>
                <w:rFonts w:eastAsia="Times New Roman" w:cs="Times New Roman"/>
                <w:szCs w:val="28"/>
                <w:lang w:eastAsia="lv-LV"/>
              </w:rPr>
            </w:pPr>
            <w:r w:rsidRPr="0005506E">
              <w:rPr>
                <w:rFonts w:eastAsia="Times New Roman" w:cs="Times New Roman"/>
                <w:szCs w:val="28"/>
                <w:lang w:eastAsia="lv-LV"/>
              </w:rPr>
              <w:t xml:space="preserve">Ievērojot minēto, ar noteikumu projektu tiek precizēta kārtība, kādā pārvadātājs vai tā pilnvarotais pārstāvis var pieteikties pakalpojuma – </w:t>
            </w:r>
            <w:r>
              <w:rPr>
                <w:rFonts w:eastAsia="Times New Roman" w:cs="Times New Roman"/>
                <w:szCs w:val="28"/>
                <w:lang w:eastAsia="lv-LV"/>
              </w:rPr>
              <w:t xml:space="preserve">licences, licences kartītes </w:t>
            </w:r>
            <w:r w:rsidR="000D346E">
              <w:rPr>
                <w:rFonts w:eastAsia="Times New Roman" w:cs="Times New Roman"/>
                <w:szCs w:val="28"/>
                <w:lang w:eastAsia="lv-LV"/>
              </w:rPr>
              <w:t xml:space="preserve">saņemšanai </w:t>
            </w:r>
            <w:r>
              <w:rPr>
                <w:rFonts w:eastAsia="Times New Roman" w:cs="Times New Roman"/>
                <w:szCs w:val="28"/>
                <w:lang w:eastAsia="lv-LV"/>
              </w:rPr>
              <w:t xml:space="preserve">vai profesionālās kompetences </w:t>
            </w:r>
            <w:r w:rsidR="00266190">
              <w:rPr>
                <w:rFonts w:eastAsia="Times New Roman" w:cs="Times New Roman"/>
                <w:szCs w:val="28"/>
                <w:lang w:eastAsia="lv-LV"/>
              </w:rPr>
              <w:t>eksāmena kārtošanai</w:t>
            </w:r>
            <w:r w:rsidRPr="0005506E">
              <w:rPr>
                <w:rFonts w:eastAsia="Times New Roman" w:cs="Times New Roman"/>
                <w:szCs w:val="28"/>
                <w:lang w:eastAsia="lv-LV"/>
              </w:rPr>
              <w:t>, paredzot, ka iesniegumu Autotransporta direkcijā var iesniegt: 1) personīgi Autotransporta direkcijā; 2) pa pastu; 3) elektroniski normatīvajos aktos par elektronisko dokumentu</w:t>
            </w:r>
            <w:r w:rsidR="00266190">
              <w:rPr>
                <w:rFonts w:eastAsia="Times New Roman" w:cs="Times New Roman"/>
                <w:szCs w:val="28"/>
                <w:lang w:eastAsia="lv-LV"/>
              </w:rPr>
              <w:t xml:space="preserve"> noformēšanu noteiktajā kārtībā.</w:t>
            </w:r>
            <w:r w:rsidRPr="0005506E">
              <w:rPr>
                <w:rFonts w:eastAsia="Times New Roman" w:cs="Times New Roman"/>
                <w:szCs w:val="28"/>
                <w:lang w:eastAsia="lv-LV"/>
              </w:rPr>
              <w:t xml:space="preserve"> </w:t>
            </w:r>
            <w:r w:rsidR="00266190">
              <w:rPr>
                <w:rFonts w:eastAsia="Times New Roman" w:cs="Times New Roman"/>
                <w:szCs w:val="28"/>
                <w:lang w:eastAsia="lv-LV"/>
              </w:rPr>
              <w:t>Iepriekšminēto pakalpojumu saņemšanai varēs pieteikties arī</w:t>
            </w:r>
            <w:r w:rsidRPr="0005506E">
              <w:rPr>
                <w:rFonts w:eastAsia="Times New Roman" w:cs="Times New Roman"/>
                <w:szCs w:val="28"/>
                <w:lang w:eastAsia="lv-LV"/>
              </w:rPr>
              <w:t xml:space="preserve"> elektroniski, </w:t>
            </w:r>
            <w:r w:rsidR="00266190" w:rsidRPr="00266190">
              <w:rPr>
                <w:rFonts w:eastAsia="Times New Roman" w:cs="Times New Roman"/>
                <w:szCs w:val="28"/>
                <w:lang w:eastAsia="lv-LV"/>
              </w:rPr>
              <w:t>aizpildot speciālu tiešsaistes formu Autotransporta direkcijas tīmekļa vietnē www.atd (e-pakalpojums), identifikācijai izmantojot vienotajā valsts un pašvaldību pakalpojumu portālā www.latvija.lv pieejamos personas identifikācijas līdzekļus</w:t>
            </w:r>
            <w:r w:rsidRPr="0005506E">
              <w:rPr>
                <w:rFonts w:eastAsia="Times New Roman" w:cs="Times New Roman"/>
                <w:szCs w:val="28"/>
                <w:lang w:eastAsia="lv-LV"/>
              </w:rPr>
              <w:t xml:space="preserve">. </w:t>
            </w:r>
          </w:p>
          <w:p w:rsidR="001531F1" w:rsidRDefault="001531F1" w:rsidP="00697072">
            <w:pPr>
              <w:ind w:firstLine="0"/>
              <w:jc w:val="both"/>
              <w:rPr>
                <w:rFonts w:eastAsia="Times New Roman" w:cs="Times New Roman"/>
                <w:szCs w:val="28"/>
                <w:lang w:eastAsia="lv-LV"/>
              </w:rPr>
            </w:pPr>
          </w:p>
          <w:p w:rsidR="00950E63" w:rsidRDefault="00950E63" w:rsidP="00697072">
            <w:pPr>
              <w:ind w:firstLine="0"/>
              <w:jc w:val="both"/>
              <w:rPr>
                <w:rFonts w:eastAsia="Times New Roman" w:cs="Times New Roman"/>
                <w:szCs w:val="28"/>
                <w:lang w:eastAsia="lv-LV"/>
              </w:rPr>
            </w:pPr>
            <w:r>
              <w:rPr>
                <w:rFonts w:eastAsia="Times New Roman" w:cs="Times New Roman"/>
                <w:szCs w:val="28"/>
                <w:lang w:eastAsia="lv-LV"/>
              </w:rPr>
              <w:t xml:space="preserve">3. </w:t>
            </w:r>
            <w:r w:rsidR="00A77D5E">
              <w:rPr>
                <w:rFonts w:eastAsia="Times New Roman" w:cs="Times New Roman"/>
                <w:szCs w:val="28"/>
                <w:lang w:eastAsia="lv-LV"/>
              </w:rPr>
              <w:t xml:space="preserve">Noteikumi Nr.121 paredz, ka lēmumu par licences izsniegšanu Autotransporta direkcija pieņem 30 dienu laikā pēc iesnieguma saņemšanas. Lai izvērtētu pārvadātāja atbilstību, atbilstoši noteikumu 13.3.apakšpunktam tiek nosūtīts pieprasījums Iekšlietu ministrijas Informācijas centra Sodu reģistram. Gadījumā ja pieprasījumā minētā persona ir bijusi sodīta ārzemēs, tad nereti atbilde tiek saņemta laika periodā, kas ilgāks par 30 dienām. Lai nebūtu </w:t>
            </w:r>
            <w:r w:rsidR="00A77D5E">
              <w:rPr>
                <w:rFonts w:eastAsia="Times New Roman" w:cs="Times New Roman"/>
                <w:szCs w:val="28"/>
                <w:lang w:eastAsia="lv-LV"/>
              </w:rPr>
              <w:lastRenderedPageBreak/>
              <w:t>pretrunas ar noteikumos Nr.121 minēto</w:t>
            </w:r>
            <w:r w:rsidR="00C4652B">
              <w:rPr>
                <w:rFonts w:eastAsia="Times New Roman" w:cs="Times New Roman"/>
                <w:szCs w:val="28"/>
                <w:lang w:eastAsia="lv-LV"/>
              </w:rPr>
              <w:t xml:space="preserve"> termiņu (30 dienas)</w:t>
            </w:r>
            <w:r w:rsidR="00A77D5E">
              <w:rPr>
                <w:rFonts w:eastAsia="Times New Roman" w:cs="Times New Roman"/>
                <w:szCs w:val="28"/>
                <w:lang w:eastAsia="lv-LV"/>
              </w:rPr>
              <w:t>, nepieciešams izslēgt prasību par iepriekšminēto termiņu lēmuma pieņemšanai. Tādā gadījumā termiņus noteiks Administratīvā procesa likums</w:t>
            </w:r>
            <w:r w:rsidR="00C4652B">
              <w:rPr>
                <w:rFonts w:eastAsia="Times New Roman" w:cs="Times New Roman"/>
                <w:szCs w:val="28"/>
                <w:lang w:eastAsia="lv-LV"/>
              </w:rPr>
              <w:t>, saskaņā ar kuru nepieciešamības gadījumā 30 dienu termiņu iespējams pagarināt.</w:t>
            </w:r>
            <w:r w:rsidR="00A77D5E">
              <w:rPr>
                <w:rFonts w:eastAsia="Times New Roman" w:cs="Times New Roman"/>
                <w:szCs w:val="28"/>
                <w:lang w:eastAsia="lv-LV"/>
              </w:rPr>
              <w:t xml:space="preserve"> </w:t>
            </w:r>
          </w:p>
          <w:p w:rsidR="001531F1" w:rsidRDefault="001531F1" w:rsidP="00697072">
            <w:pPr>
              <w:ind w:firstLine="0"/>
              <w:jc w:val="both"/>
              <w:rPr>
                <w:rFonts w:eastAsia="Times New Roman" w:cs="Times New Roman"/>
                <w:szCs w:val="28"/>
                <w:lang w:eastAsia="lv-LV"/>
              </w:rPr>
            </w:pPr>
          </w:p>
          <w:p w:rsidR="0040181E" w:rsidRPr="00D80E33" w:rsidRDefault="00B92DB0" w:rsidP="00697072">
            <w:pPr>
              <w:ind w:firstLine="0"/>
              <w:jc w:val="both"/>
              <w:rPr>
                <w:szCs w:val="28"/>
              </w:rPr>
            </w:pPr>
            <w:r>
              <w:t xml:space="preserve">4. </w:t>
            </w:r>
            <w:r w:rsidR="001364BA" w:rsidRPr="009F1070">
              <w:t xml:space="preserve">Atbilstoši </w:t>
            </w:r>
            <w:r w:rsidR="00C72C88" w:rsidRPr="00EB5A8F">
              <w:t xml:space="preserve">Eiropas Parlamenta un Padomes </w:t>
            </w:r>
            <w:proofErr w:type="gramStart"/>
            <w:r w:rsidR="00C72C88" w:rsidRPr="00EB5A8F">
              <w:t>2009.gada</w:t>
            </w:r>
            <w:proofErr w:type="gramEnd"/>
            <w:r w:rsidR="00C72C88" w:rsidRPr="00EB5A8F">
              <w:t xml:space="preserve"> 21.oktobra Regula (EK) Nr. 1071/2009, ar ko nosaka kopīgus noteikumus par autopārvadātāja profesionālās darbības veikšanas nosacījumiem un atceļ Padomes Direktīvu 96/26/EK</w:t>
            </w:r>
            <w:r w:rsidR="00C72C88">
              <w:t xml:space="preserve"> (turpmāk - </w:t>
            </w:r>
            <w:r w:rsidR="007E76FE" w:rsidRPr="009F1070">
              <w:rPr>
                <w:szCs w:val="28"/>
              </w:rPr>
              <w:t>regula Nr.1071/2009</w:t>
            </w:r>
            <w:r w:rsidR="00C72C88">
              <w:rPr>
                <w:szCs w:val="28"/>
              </w:rPr>
              <w:t>)</w:t>
            </w:r>
            <w:r w:rsidR="007E76FE" w:rsidRPr="009F1070">
              <w:rPr>
                <w:szCs w:val="28"/>
              </w:rPr>
              <w:t xml:space="preserve"> 4.panta 2.punkta </w:t>
            </w:r>
            <w:r w:rsidR="00D244A9">
              <w:rPr>
                <w:szCs w:val="28"/>
              </w:rPr>
              <w:t>c</w:t>
            </w:r>
            <w:r w:rsidR="007E76FE" w:rsidRPr="009F1070">
              <w:rPr>
                <w:szCs w:val="28"/>
              </w:rPr>
              <w:t>) apakšpunktam dalībvalsts var pieņemt lēmumu par to uzņēmumu skait</w:t>
            </w:r>
            <w:r w:rsidR="00B632A1">
              <w:rPr>
                <w:szCs w:val="28"/>
              </w:rPr>
              <w:t>a samazināšanu</w:t>
            </w:r>
            <w:r w:rsidR="006A0B86">
              <w:rPr>
                <w:szCs w:val="28"/>
              </w:rPr>
              <w:t xml:space="preserve"> (līdz vienam)</w:t>
            </w:r>
            <w:r w:rsidR="007E76FE" w:rsidRPr="009F1070">
              <w:rPr>
                <w:szCs w:val="28"/>
              </w:rPr>
              <w:t>, ko var vadīt pārvadājumu vadītājs.</w:t>
            </w:r>
            <w:r w:rsidR="00B632A1">
              <w:rPr>
                <w:szCs w:val="28"/>
              </w:rPr>
              <w:t xml:space="preserve"> </w:t>
            </w:r>
            <w:r w:rsidR="00B632A1" w:rsidRPr="00D80E33">
              <w:rPr>
                <w:szCs w:val="28"/>
              </w:rPr>
              <w:t>Dalībvalst</w:t>
            </w:r>
            <w:r w:rsidR="006A0B86" w:rsidRPr="00D80E33">
              <w:rPr>
                <w:szCs w:val="28"/>
              </w:rPr>
              <w:t>s</w:t>
            </w:r>
            <w:r w:rsidR="00B632A1" w:rsidRPr="00D80E33">
              <w:rPr>
                <w:szCs w:val="28"/>
              </w:rPr>
              <w:t xml:space="preserve"> rīcības b</w:t>
            </w:r>
            <w:r w:rsidR="00696A72">
              <w:rPr>
                <w:szCs w:val="28"/>
              </w:rPr>
              <w:t>rīvība paredz iespēju samazināt</w:t>
            </w:r>
            <w:r w:rsidR="00B632A1" w:rsidRPr="00D80E33">
              <w:rPr>
                <w:szCs w:val="28"/>
              </w:rPr>
              <w:t xml:space="preserve"> gan uzņēmumu skaitu</w:t>
            </w:r>
            <w:r w:rsidR="000C1D87" w:rsidRPr="00D80E33">
              <w:rPr>
                <w:szCs w:val="28"/>
              </w:rPr>
              <w:t>,</w:t>
            </w:r>
            <w:r w:rsidR="00B632A1" w:rsidRPr="00D80E33">
              <w:rPr>
                <w:szCs w:val="28"/>
              </w:rPr>
              <w:t xml:space="preserve"> gan autoparka apjomu, ko viens pārvadājumu vadītājs var pārvaldīt</w:t>
            </w:r>
            <w:r w:rsidR="006A0B86" w:rsidRPr="00D80E33">
              <w:rPr>
                <w:szCs w:val="28"/>
              </w:rPr>
              <w:t xml:space="preserve">. Ņemot vērā regulas Nr.1071/2009 </w:t>
            </w:r>
            <w:proofErr w:type="gramStart"/>
            <w:r w:rsidR="006A0B86" w:rsidRPr="00D80E33">
              <w:rPr>
                <w:szCs w:val="28"/>
              </w:rPr>
              <w:t>4.panta</w:t>
            </w:r>
            <w:proofErr w:type="gramEnd"/>
            <w:r w:rsidR="006A0B86" w:rsidRPr="00D80E33">
              <w:rPr>
                <w:szCs w:val="28"/>
              </w:rPr>
              <w:t xml:space="preserve"> 2.punkta d) apakšpunktu, kas nosaka, ka atbildīgā persona savus pienākumus veic tikai uzņēmuma interesēs un tās atbildība ir neatkarīga no jebkura uzņēmuma, kura labā attiecīgais uzņēmums veic pārvadājumu darbības</w:t>
            </w:r>
            <w:r w:rsidR="000C1D87" w:rsidRPr="00D80E33">
              <w:rPr>
                <w:szCs w:val="28"/>
              </w:rPr>
              <w:t>,</w:t>
            </w:r>
            <w:r w:rsidR="006341E7" w:rsidRPr="00D80E33">
              <w:rPr>
                <w:szCs w:val="28"/>
              </w:rPr>
              <w:t xml:space="preserve"> </w:t>
            </w:r>
            <w:r w:rsidR="000C1D87" w:rsidRPr="00D80E33">
              <w:rPr>
                <w:szCs w:val="28"/>
              </w:rPr>
              <w:t>n</w:t>
            </w:r>
            <w:r w:rsidR="006341E7" w:rsidRPr="00D80E33">
              <w:rPr>
                <w:szCs w:val="28"/>
              </w:rPr>
              <w:t>oteikumu projektā</w:t>
            </w:r>
            <w:r w:rsidR="006A0B86" w:rsidRPr="00D80E33">
              <w:rPr>
                <w:szCs w:val="28"/>
              </w:rPr>
              <w:t xml:space="preserve"> tiek noteikts, ka pārvadājumu vadītājs var vadīt pārvadājumu operācijas vienā uzņēmumā vai divos </w:t>
            </w:r>
            <w:r w:rsidR="00BF0795" w:rsidRPr="00D80E33">
              <w:rPr>
                <w:szCs w:val="28"/>
              </w:rPr>
              <w:t>uzņēmumos</w:t>
            </w:r>
            <w:r w:rsidR="002C11AC" w:rsidRPr="00D80E33">
              <w:rPr>
                <w:szCs w:val="28"/>
              </w:rPr>
              <w:t>.</w:t>
            </w:r>
            <w:r w:rsidR="006A0B86" w:rsidRPr="000C1D87">
              <w:rPr>
                <w:b/>
                <w:szCs w:val="28"/>
              </w:rPr>
              <w:t xml:space="preserve"> </w:t>
            </w:r>
            <w:r w:rsidR="007E76FE" w:rsidRPr="009F1070">
              <w:rPr>
                <w:szCs w:val="28"/>
              </w:rPr>
              <w:t xml:space="preserve">MK noteikumi Nr.121 nosaka, ka pārvadātājs izvēlas pārvadājumu vadītāju, kurš vada pārvadājumu operācijas vienā uzņēmumā vai </w:t>
            </w:r>
            <w:r w:rsidR="007E76FE" w:rsidRPr="009F1070">
              <w:rPr>
                <w:spacing w:val="-2"/>
                <w:szCs w:val="28"/>
              </w:rPr>
              <w:t>divos uzņēmumos, ja abos uzņēmumos ir vismaz viens kopīgs dalībnieks</w:t>
            </w:r>
            <w:r w:rsidR="007E76FE" w:rsidRPr="009F1070">
              <w:rPr>
                <w:szCs w:val="28"/>
              </w:rPr>
              <w:t xml:space="preserve"> un valdes (padomes) loceklis. </w:t>
            </w:r>
            <w:r w:rsidR="000E4B3B" w:rsidRPr="009F1070">
              <w:rPr>
                <w:szCs w:val="28"/>
              </w:rPr>
              <w:t>Nereti ir gadījumi, kad</w:t>
            </w:r>
            <w:r w:rsidR="006341E7">
              <w:rPr>
                <w:szCs w:val="28"/>
              </w:rPr>
              <w:t xml:space="preserve"> vienas ģimenes locekļiem katram ir savs uzņēmums</w:t>
            </w:r>
            <w:r w:rsidR="000E4B3B" w:rsidRPr="009F1070">
              <w:rPr>
                <w:szCs w:val="28"/>
              </w:rPr>
              <w:t xml:space="preserve">. </w:t>
            </w:r>
            <w:r w:rsidR="000E4B3B" w:rsidRPr="00D80E33">
              <w:rPr>
                <w:szCs w:val="28"/>
              </w:rPr>
              <w:t>Lai mazinātu administratīvo slogu pārvadātājiem</w:t>
            </w:r>
            <w:r w:rsidR="006341E7" w:rsidRPr="00D80E33">
              <w:rPr>
                <w:szCs w:val="28"/>
              </w:rPr>
              <w:t xml:space="preserve">, kas ir vienas ģimenes </w:t>
            </w:r>
            <w:r w:rsidR="00BF0795" w:rsidRPr="00D80E33">
              <w:rPr>
                <w:szCs w:val="28"/>
              </w:rPr>
              <w:t xml:space="preserve">locekļi un vada </w:t>
            </w:r>
            <w:r w:rsidR="006341E7" w:rsidRPr="00D80E33">
              <w:rPr>
                <w:szCs w:val="28"/>
              </w:rPr>
              <w:t>dažādu</w:t>
            </w:r>
            <w:r w:rsidR="00BF0795" w:rsidRPr="00D80E33">
              <w:rPr>
                <w:szCs w:val="28"/>
              </w:rPr>
              <w:t>s</w:t>
            </w:r>
            <w:r w:rsidR="006341E7" w:rsidRPr="00D80E33">
              <w:rPr>
                <w:szCs w:val="28"/>
              </w:rPr>
              <w:t xml:space="preserve"> uzņēmum</w:t>
            </w:r>
            <w:r w:rsidR="00BF0795" w:rsidRPr="00D80E33">
              <w:rPr>
                <w:szCs w:val="28"/>
              </w:rPr>
              <w:t>us</w:t>
            </w:r>
            <w:r w:rsidR="000E4B3B" w:rsidRPr="00D80E33">
              <w:rPr>
                <w:szCs w:val="28"/>
              </w:rPr>
              <w:t>, būtu n</w:t>
            </w:r>
            <w:r w:rsidR="00CC502B" w:rsidRPr="00D80E33">
              <w:rPr>
                <w:szCs w:val="28"/>
              </w:rPr>
              <w:t xml:space="preserve">epieciešams </w:t>
            </w:r>
            <w:r w:rsidR="0040181E" w:rsidRPr="00D80E33">
              <w:rPr>
                <w:szCs w:val="28"/>
              </w:rPr>
              <w:t>paredzēt, ka arī divos uzņēmumos, ko vada vienas ģimenes locekļi, varēs nodarbināt vienu pārvadājumu vadītāju.</w:t>
            </w:r>
          </w:p>
          <w:p w:rsidR="001531F1" w:rsidRDefault="001531F1" w:rsidP="00697072">
            <w:pPr>
              <w:ind w:firstLine="0"/>
              <w:jc w:val="both"/>
            </w:pPr>
          </w:p>
          <w:p w:rsidR="004B2208" w:rsidRPr="00CE32A1" w:rsidRDefault="005733D5" w:rsidP="004B2208">
            <w:pPr>
              <w:ind w:firstLine="0"/>
              <w:jc w:val="both"/>
            </w:pPr>
            <w:r w:rsidRPr="00CE32A1">
              <w:t>5</w:t>
            </w:r>
            <w:r w:rsidR="00B736B5">
              <w:t>.</w:t>
            </w:r>
            <w:r w:rsidR="0067151E" w:rsidRPr="00CE32A1">
              <w:t xml:space="preserve"> </w:t>
            </w:r>
            <w:r w:rsidR="004B2208" w:rsidRPr="00CE32A1">
              <w:t xml:space="preserve">Labas reputācijas prasība atbilstoši regulas Nr. 1071/2009 </w:t>
            </w:r>
            <w:proofErr w:type="gramStart"/>
            <w:r w:rsidR="004B2208" w:rsidRPr="00CE32A1">
              <w:t>6.panta</w:t>
            </w:r>
            <w:proofErr w:type="gramEnd"/>
            <w:r w:rsidR="004B2208" w:rsidRPr="00CE32A1">
              <w:t xml:space="preserve"> 1.punktam attiecināma uz uzņēmumu un pārvadājumu vadītāju. Lai pārliecinātos par labu reputāciju, Iekšlietu ministrijas Informācijas </w:t>
            </w:r>
            <w:r w:rsidR="004B2208" w:rsidRPr="00CE32A1">
              <w:lastRenderedPageBreak/>
              <w:t xml:space="preserve">centra Sodu reģistrā tiek pieprasītas ziņas </w:t>
            </w:r>
            <w:r w:rsidR="004B2208" w:rsidRPr="00CE32A1">
              <w:rPr>
                <w:u w:val="single"/>
              </w:rPr>
              <w:t>par personu</w:t>
            </w:r>
            <w:r w:rsidR="004B2208" w:rsidRPr="00CE32A1">
              <w:t xml:space="preserve">. Savukārt noteikumu 13.3.apakšpunkts paredz pieprasīt ziņas par </w:t>
            </w:r>
            <w:r w:rsidR="004B2208" w:rsidRPr="00CE32A1">
              <w:rPr>
                <w:u w:val="single"/>
              </w:rPr>
              <w:t>uzņēmuma</w:t>
            </w:r>
            <w:r w:rsidR="004B2208" w:rsidRPr="00CE32A1">
              <w:t xml:space="preserve"> vai pārvadājumu vadītāja kriminālo sodāmību vai uzliktajiem administratīvajiem sodiem autopārvadājumu jomā</w:t>
            </w:r>
            <w:r w:rsidR="004B2208" w:rsidRPr="00D80E33">
              <w:t xml:space="preserve">. </w:t>
            </w:r>
            <w:r w:rsidR="00B07DD7" w:rsidRPr="00D80E33">
              <w:t>Saskaņā ar Krimināllikumā ietverto regulējumu juridiskai personai netiek piemērots kriminālsods, bet gan piespiedu ietekmēšanas līdzeklis, līdz ar to juridiskajai personai nav sodāmības.</w:t>
            </w:r>
            <w:r w:rsidR="00B07DD7">
              <w:rPr>
                <w:b/>
              </w:rPr>
              <w:t xml:space="preserve"> </w:t>
            </w:r>
            <w:r w:rsidR="004B2208" w:rsidRPr="00CE32A1">
              <w:t>Tādējādi nepieciešams precizēt personu loku, par kurām pieprasāmas ziņas Iekšlietu ministrijas Informācijas centra Sodu reģistrā.</w:t>
            </w:r>
          </w:p>
          <w:p w:rsidR="00750D9B" w:rsidRDefault="004B2208" w:rsidP="003F198C">
            <w:pPr>
              <w:ind w:firstLine="0"/>
              <w:jc w:val="both"/>
            </w:pPr>
            <w:r w:rsidRPr="00CE32A1">
              <w:t xml:space="preserve">Noteikumu </w:t>
            </w:r>
            <w:r w:rsidRPr="000F28FC">
              <w:t xml:space="preserve">projekts paredz šīs prasības attiecināt uz uzņēmuma </w:t>
            </w:r>
            <w:r w:rsidR="00750D9B" w:rsidRPr="000F28FC">
              <w:t>likumiskajiem pārstāvjiem</w:t>
            </w:r>
            <w:r w:rsidRPr="000F28FC">
              <w:t xml:space="preserve"> atbilstoši </w:t>
            </w:r>
            <w:r w:rsidR="00750D9B" w:rsidRPr="000F28FC">
              <w:t xml:space="preserve">Civillikuma1410.pantam – </w:t>
            </w:r>
            <w:r w:rsidR="00E23C28" w:rsidRPr="000F28FC">
              <w:t xml:space="preserve">uz </w:t>
            </w:r>
            <w:r w:rsidR="00750D9B" w:rsidRPr="000F28FC">
              <w:t>person</w:t>
            </w:r>
            <w:r w:rsidR="00E23C28" w:rsidRPr="000F28FC">
              <w:t>ām</w:t>
            </w:r>
            <w:r w:rsidR="00750D9B" w:rsidRPr="000F28FC">
              <w:t xml:space="preserve">, kuras uz likuma pamata var pārstāvēt uzņēmumu. </w:t>
            </w:r>
            <w:r w:rsidR="00750D9B">
              <w:t xml:space="preserve"> </w:t>
            </w:r>
          </w:p>
          <w:p w:rsidR="001531F1" w:rsidRDefault="001531F1" w:rsidP="00697072">
            <w:pPr>
              <w:ind w:firstLine="0"/>
              <w:jc w:val="both"/>
            </w:pPr>
          </w:p>
          <w:p w:rsidR="00814325" w:rsidRPr="00827D32" w:rsidRDefault="005733D5" w:rsidP="00CE32A1">
            <w:pPr>
              <w:ind w:firstLine="0"/>
              <w:jc w:val="both"/>
              <w:rPr>
                <w:b/>
              </w:rPr>
            </w:pPr>
            <w:r>
              <w:t xml:space="preserve">6. </w:t>
            </w:r>
            <w:r w:rsidR="00937238">
              <w:t xml:space="preserve">Noteikumu projekts precizē un konkretizē gadījumus, kādos anulē licenci. </w:t>
            </w:r>
            <w:r w:rsidR="004A6405" w:rsidRPr="00814325">
              <w:t xml:space="preserve">Ja uzņēmums vairs neveic uzņēmējdarbību, licenci nepieciešams anulēt. To paredz arī Regulas Nr.1071/2009 </w:t>
            </w:r>
            <w:proofErr w:type="gramStart"/>
            <w:r w:rsidR="004A6405" w:rsidRPr="00814325">
              <w:t>3.panta</w:t>
            </w:r>
            <w:proofErr w:type="gramEnd"/>
            <w:r w:rsidR="004A6405" w:rsidRPr="00814325">
              <w:t xml:space="preserve"> 1.punkta a) apakšpunkts. </w:t>
            </w:r>
            <w:r w:rsidR="00814325" w:rsidRPr="00D80E33">
              <w:t xml:space="preserve">Komersants (pārvadātājs) kompetentās iestādes </w:t>
            </w:r>
            <w:r w:rsidR="00CE32A1" w:rsidRPr="00D80E33">
              <w:t>rīcību</w:t>
            </w:r>
            <w:r w:rsidR="00814325" w:rsidRPr="00D80E33">
              <w:t xml:space="preserve"> var apstrīdēt Satiksmes ministrijā Administratīvā procesa likuma noteiktajā kārtībā.</w:t>
            </w:r>
            <w:r w:rsidR="00814325">
              <w:rPr>
                <w:b/>
              </w:rPr>
              <w:t xml:space="preserve"> </w:t>
            </w:r>
          </w:p>
        </w:tc>
      </w:tr>
      <w:tr w:rsidR="003D6F09" w:rsidRPr="003D6F09" w:rsidTr="006B14E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lastRenderedPageBreak/>
              <w:t>3.</w:t>
            </w:r>
          </w:p>
        </w:tc>
        <w:tc>
          <w:tcPr>
            <w:tcW w:w="1291"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Projekta izstrādē iesaistītās institūcijas</w:t>
            </w:r>
          </w:p>
        </w:tc>
        <w:tc>
          <w:tcPr>
            <w:tcW w:w="3398" w:type="pct"/>
            <w:tcBorders>
              <w:top w:val="outset" w:sz="6" w:space="0" w:color="auto"/>
              <w:left w:val="outset" w:sz="6" w:space="0" w:color="auto"/>
              <w:bottom w:val="outset" w:sz="6" w:space="0" w:color="auto"/>
              <w:right w:val="outset" w:sz="6" w:space="0" w:color="auto"/>
            </w:tcBorders>
            <w:hideMark/>
          </w:tcPr>
          <w:p w:rsidR="003D6F09" w:rsidRPr="003D6F09" w:rsidRDefault="00FF5931" w:rsidP="00697072">
            <w:pPr>
              <w:ind w:firstLine="0"/>
              <w:jc w:val="both"/>
            </w:pPr>
            <w:r>
              <w:t>Satiksmes ministrija, V</w:t>
            </w:r>
            <w:r w:rsidR="00EF2969">
              <w:t>SIA „Autotransporta direkcija”</w:t>
            </w:r>
          </w:p>
        </w:tc>
      </w:tr>
      <w:tr w:rsidR="003D6F09" w:rsidRPr="003D6F09" w:rsidTr="006B14E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4.</w:t>
            </w:r>
          </w:p>
        </w:tc>
        <w:tc>
          <w:tcPr>
            <w:tcW w:w="1291"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Cita informācija</w:t>
            </w:r>
          </w:p>
        </w:tc>
        <w:tc>
          <w:tcPr>
            <w:tcW w:w="3398" w:type="pct"/>
            <w:tcBorders>
              <w:top w:val="outset" w:sz="6" w:space="0" w:color="auto"/>
              <w:left w:val="outset" w:sz="6" w:space="0" w:color="auto"/>
              <w:bottom w:val="outset" w:sz="6" w:space="0" w:color="auto"/>
              <w:right w:val="outset" w:sz="6" w:space="0" w:color="auto"/>
            </w:tcBorders>
          </w:tcPr>
          <w:p w:rsidR="003D6F09" w:rsidRPr="003D6F09" w:rsidRDefault="001B2709" w:rsidP="00697072">
            <w:pPr>
              <w:ind w:firstLine="0"/>
              <w:jc w:val="both"/>
            </w:pPr>
            <w:r>
              <w:t>Nav</w:t>
            </w:r>
          </w:p>
        </w:tc>
      </w:tr>
    </w:tbl>
    <w:p w:rsidR="003D6F09" w:rsidRDefault="003D6F09" w:rsidP="00697072">
      <w:pPr>
        <w:ind w:firstLine="0"/>
        <w:jc w:val="both"/>
      </w:pPr>
      <w:r w:rsidRPr="003D6F09">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411"/>
        <w:gridCol w:w="6310"/>
      </w:tblGrid>
      <w:tr w:rsidR="003D6F09" w:rsidRPr="003D6F09" w:rsidTr="003D6F09">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3D6F09" w:rsidRDefault="003D6F09" w:rsidP="00697072">
            <w:pPr>
              <w:ind w:firstLine="0"/>
              <w:jc w:val="both"/>
              <w:rPr>
                <w:b/>
                <w:bCs/>
              </w:rPr>
            </w:pPr>
            <w:r w:rsidRPr="003D6F09">
              <w:rPr>
                <w:b/>
                <w:bCs/>
              </w:rPr>
              <w:t>II. Tiesību akta projekta ietekme uz sabiedrību, tautsaimniecības attīstību un administratīvo slogu</w:t>
            </w:r>
          </w:p>
        </w:tc>
      </w:tr>
      <w:tr w:rsidR="00F81D26" w:rsidRPr="003D6F09" w:rsidTr="006B14E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81D26" w:rsidRPr="003D6F09" w:rsidRDefault="00F81D26" w:rsidP="00697072">
            <w:pPr>
              <w:ind w:firstLine="0"/>
              <w:jc w:val="both"/>
            </w:pPr>
            <w:r w:rsidRPr="003D6F09">
              <w:t>1.</w:t>
            </w:r>
          </w:p>
        </w:tc>
        <w:tc>
          <w:tcPr>
            <w:tcW w:w="1291" w:type="pct"/>
            <w:tcBorders>
              <w:top w:val="outset" w:sz="6" w:space="0" w:color="auto"/>
              <w:left w:val="outset" w:sz="6" w:space="0" w:color="auto"/>
              <w:bottom w:val="outset" w:sz="6" w:space="0" w:color="auto"/>
              <w:right w:val="outset" w:sz="6" w:space="0" w:color="auto"/>
            </w:tcBorders>
            <w:hideMark/>
          </w:tcPr>
          <w:p w:rsidR="00F81D26" w:rsidRPr="003D6F09" w:rsidRDefault="00F81D26" w:rsidP="00697072">
            <w:pPr>
              <w:ind w:firstLine="0"/>
              <w:jc w:val="both"/>
            </w:pPr>
            <w:r w:rsidRPr="003D6F09">
              <w:t>Sabiedrības mērķgrupas, kuras tiesiskais regulējums ietekmē vai varētu ietekmēt</w:t>
            </w:r>
          </w:p>
        </w:tc>
        <w:tc>
          <w:tcPr>
            <w:tcW w:w="3398" w:type="pct"/>
            <w:tcBorders>
              <w:top w:val="outset" w:sz="6" w:space="0" w:color="auto"/>
              <w:left w:val="outset" w:sz="6" w:space="0" w:color="auto"/>
              <w:bottom w:val="outset" w:sz="6" w:space="0" w:color="auto"/>
              <w:right w:val="outset" w:sz="6" w:space="0" w:color="auto"/>
            </w:tcBorders>
            <w:hideMark/>
          </w:tcPr>
          <w:p w:rsidR="00F63375" w:rsidRDefault="00A74FDF" w:rsidP="00697072">
            <w:pPr>
              <w:spacing w:before="68" w:after="68"/>
              <w:ind w:firstLine="0"/>
              <w:jc w:val="both"/>
              <w:rPr>
                <w:rFonts w:eastAsia="Times New Roman"/>
                <w:szCs w:val="28"/>
                <w:lang w:eastAsia="lv-LV"/>
              </w:rPr>
            </w:pPr>
            <w:r>
              <w:rPr>
                <w:rFonts w:eastAsia="Times New Roman"/>
                <w:szCs w:val="28"/>
                <w:lang w:eastAsia="lv-LV"/>
              </w:rPr>
              <w:t>L</w:t>
            </w:r>
            <w:r w:rsidR="003750F2" w:rsidRPr="00B35A58">
              <w:rPr>
                <w:rFonts w:eastAsia="Times New Roman"/>
                <w:szCs w:val="28"/>
                <w:lang w:eastAsia="lv-LV"/>
              </w:rPr>
              <w:t xml:space="preserve">icencēti autopārvadātāji un pārvadātāji, kas saņēmuši Eiropas Kopienas atļaujas. </w:t>
            </w:r>
          </w:p>
          <w:p w:rsidR="004A59B7" w:rsidRPr="00B35A58" w:rsidRDefault="00C348B0" w:rsidP="0032446C">
            <w:pPr>
              <w:spacing w:before="68" w:after="68"/>
              <w:ind w:firstLine="0"/>
              <w:jc w:val="both"/>
              <w:rPr>
                <w:rFonts w:eastAsia="Times New Roman"/>
                <w:color w:val="FF0000"/>
                <w:szCs w:val="28"/>
                <w:lang w:eastAsia="lv-LV"/>
              </w:rPr>
            </w:pPr>
            <w:r>
              <w:rPr>
                <w:rFonts w:eastAsia="Times New Roman"/>
                <w:szCs w:val="28"/>
                <w:lang w:eastAsia="lv-LV"/>
              </w:rPr>
              <w:t xml:space="preserve">Uz </w:t>
            </w:r>
            <w:proofErr w:type="gramStart"/>
            <w:r w:rsidRPr="0032446C">
              <w:rPr>
                <w:rFonts w:eastAsia="Times New Roman"/>
                <w:szCs w:val="28"/>
                <w:lang w:eastAsia="lv-LV"/>
              </w:rPr>
              <w:t>1.</w:t>
            </w:r>
            <w:r w:rsidR="0032446C">
              <w:rPr>
                <w:rFonts w:eastAsia="Times New Roman"/>
                <w:szCs w:val="28"/>
                <w:lang w:eastAsia="lv-LV"/>
              </w:rPr>
              <w:t>oktobri</w:t>
            </w:r>
            <w:proofErr w:type="gramEnd"/>
            <w:r>
              <w:rPr>
                <w:rFonts w:eastAsia="Times New Roman"/>
                <w:szCs w:val="28"/>
                <w:lang w:eastAsia="lv-LV"/>
              </w:rPr>
              <w:t xml:space="preserve"> bija </w:t>
            </w:r>
            <w:r w:rsidR="0032446C">
              <w:rPr>
                <w:rFonts w:eastAsia="Times New Roman"/>
                <w:szCs w:val="28"/>
                <w:lang w:eastAsia="lv-LV"/>
              </w:rPr>
              <w:t>spēkā</w:t>
            </w:r>
            <w:r w:rsidR="00777C9C">
              <w:rPr>
                <w:rFonts w:eastAsia="Times New Roman"/>
                <w:szCs w:val="28"/>
                <w:lang w:eastAsia="lv-LV"/>
              </w:rPr>
              <w:t xml:space="preserve"> </w:t>
            </w:r>
            <w:r w:rsidR="0032446C">
              <w:rPr>
                <w:rFonts w:eastAsia="Times New Roman"/>
                <w:szCs w:val="28"/>
                <w:lang w:eastAsia="lv-LV"/>
              </w:rPr>
              <w:t>4712</w:t>
            </w:r>
            <w:r>
              <w:rPr>
                <w:rFonts w:eastAsia="Times New Roman"/>
                <w:szCs w:val="28"/>
                <w:lang w:eastAsia="lv-LV"/>
              </w:rPr>
              <w:t xml:space="preserve"> licences</w:t>
            </w:r>
            <w:r w:rsidR="00777C9C">
              <w:rPr>
                <w:rFonts w:eastAsia="Times New Roman"/>
                <w:szCs w:val="28"/>
                <w:lang w:eastAsia="lv-LV"/>
              </w:rPr>
              <w:t xml:space="preserve"> un</w:t>
            </w:r>
            <w:r>
              <w:rPr>
                <w:rFonts w:eastAsia="Times New Roman"/>
                <w:szCs w:val="28"/>
                <w:lang w:eastAsia="lv-LV"/>
              </w:rPr>
              <w:t xml:space="preserve"> </w:t>
            </w:r>
            <w:r w:rsidR="0032446C">
              <w:rPr>
                <w:rFonts w:eastAsia="Times New Roman"/>
                <w:szCs w:val="28"/>
                <w:lang w:eastAsia="lv-LV"/>
              </w:rPr>
              <w:t>3663</w:t>
            </w:r>
            <w:r>
              <w:rPr>
                <w:rFonts w:eastAsia="Times New Roman"/>
                <w:szCs w:val="28"/>
                <w:lang w:eastAsia="lv-LV"/>
              </w:rPr>
              <w:t xml:space="preserve"> </w:t>
            </w:r>
            <w:r w:rsidR="0032446C" w:rsidRPr="00B35A58">
              <w:rPr>
                <w:rFonts w:eastAsia="Times New Roman"/>
                <w:szCs w:val="28"/>
                <w:lang w:eastAsia="lv-LV"/>
              </w:rPr>
              <w:t xml:space="preserve">Eiropas Kopienas </w:t>
            </w:r>
            <w:r>
              <w:rPr>
                <w:rFonts w:eastAsia="Times New Roman"/>
                <w:szCs w:val="28"/>
                <w:lang w:eastAsia="lv-LV"/>
              </w:rPr>
              <w:t>atļaujas</w:t>
            </w:r>
            <w:r w:rsidR="00826B7B">
              <w:rPr>
                <w:rFonts w:eastAsia="Times New Roman"/>
                <w:szCs w:val="28"/>
                <w:lang w:eastAsia="lv-LV"/>
              </w:rPr>
              <w:t>.</w:t>
            </w:r>
          </w:p>
        </w:tc>
      </w:tr>
      <w:tr w:rsidR="003D6F09" w:rsidRPr="003D6F09" w:rsidTr="006B14EF">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2.</w:t>
            </w:r>
          </w:p>
        </w:tc>
        <w:tc>
          <w:tcPr>
            <w:tcW w:w="1291"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Tiesiskā regulējuma ietekme uz tautsaimniecību un administratīvo slogu</w:t>
            </w:r>
          </w:p>
        </w:tc>
        <w:tc>
          <w:tcPr>
            <w:tcW w:w="3398" w:type="pct"/>
            <w:tcBorders>
              <w:top w:val="outset" w:sz="6" w:space="0" w:color="auto"/>
              <w:left w:val="outset" w:sz="6" w:space="0" w:color="auto"/>
              <w:bottom w:val="outset" w:sz="6" w:space="0" w:color="auto"/>
              <w:right w:val="outset" w:sz="6" w:space="0" w:color="auto"/>
            </w:tcBorders>
            <w:hideMark/>
          </w:tcPr>
          <w:p w:rsidR="002349E6" w:rsidRDefault="002349E6" w:rsidP="00697072">
            <w:pPr>
              <w:ind w:firstLine="0"/>
              <w:jc w:val="both"/>
            </w:pPr>
            <w:r w:rsidRPr="0023579B">
              <w:t>Projekta tiesiskais regulējums nemaina pārvadātāju tiesības un pienākumus, kā arī veicamās darbības.</w:t>
            </w:r>
            <w:r>
              <w:t xml:space="preserve"> </w:t>
            </w:r>
          </w:p>
          <w:p w:rsidR="00E51E95" w:rsidRDefault="00E51E95" w:rsidP="00697072">
            <w:pPr>
              <w:ind w:firstLine="0"/>
              <w:jc w:val="both"/>
            </w:pPr>
            <w:r>
              <w:t xml:space="preserve">Tiks </w:t>
            </w:r>
            <w:r w:rsidRPr="0044068E">
              <w:t>novērst</w:t>
            </w:r>
            <w:r>
              <w:t>as</w:t>
            </w:r>
            <w:r w:rsidRPr="0044068E">
              <w:t xml:space="preserve"> pretrunas </w:t>
            </w:r>
            <w:r>
              <w:t>ārējos</w:t>
            </w:r>
            <w:r w:rsidRPr="0044068E">
              <w:t xml:space="preserve"> normatīvajos aktos</w:t>
            </w:r>
            <w:r>
              <w:t xml:space="preserve"> </w:t>
            </w:r>
            <w:r w:rsidRPr="0044068E">
              <w:t>un nodrošināt</w:t>
            </w:r>
            <w:r>
              <w:t>a</w:t>
            </w:r>
            <w:r w:rsidRPr="0044068E">
              <w:t xml:space="preserve"> tiesisku administratīvo aktu (lēmumu) izdošan</w:t>
            </w:r>
            <w:r>
              <w:t>a</w:t>
            </w:r>
            <w:r w:rsidRPr="0044068E">
              <w:t xml:space="preserve">, vienlaikus nodrošinot iespēju pārvadātājam </w:t>
            </w:r>
            <w:r w:rsidRPr="0044068E">
              <w:lastRenderedPageBreak/>
              <w:t>turpināt komercdarbību pēc pārkāpumu novēršanas</w:t>
            </w:r>
            <w:r>
              <w:t xml:space="preserve">. </w:t>
            </w:r>
          </w:p>
          <w:p w:rsidR="00E51E95" w:rsidRDefault="00F06820" w:rsidP="00697072">
            <w:pPr>
              <w:ind w:firstLine="0"/>
              <w:jc w:val="both"/>
            </w:pPr>
            <w:r>
              <w:t xml:space="preserve">Turpmāk vienas ģimenes </w:t>
            </w:r>
            <w:r w:rsidR="001478D9">
              <w:t>div</w:t>
            </w:r>
            <w:r w:rsidR="00F7384E">
              <w:t>os</w:t>
            </w:r>
            <w:r>
              <w:t xml:space="preserve"> uzņēmum</w:t>
            </w:r>
            <w:r w:rsidR="00F7384E">
              <w:t>os</w:t>
            </w:r>
            <w:r>
              <w:t xml:space="preserve"> </w:t>
            </w:r>
            <w:r w:rsidR="001478D9">
              <w:t>varēs</w:t>
            </w:r>
            <w:r>
              <w:t xml:space="preserve"> </w:t>
            </w:r>
            <w:r w:rsidR="00F7384E">
              <w:t>nodarbināt vienu pārvadājumu vadītāju</w:t>
            </w:r>
            <w:r>
              <w:t xml:space="preserve">, tādējādi mazinot administratīvo slogu. </w:t>
            </w:r>
          </w:p>
          <w:p w:rsidR="00F63375" w:rsidRDefault="00F63375" w:rsidP="00697072">
            <w:pPr>
              <w:ind w:firstLine="0"/>
              <w:jc w:val="both"/>
            </w:pPr>
            <w:r w:rsidRPr="00F06820">
              <w:t>Tādējādi tiks nodrošināts vienotāks un efektīvāks uz godīgiem konkurences noteikumiem veidots autopārvadājumu tirgus.</w:t>
            </w:r>
          </w:p>
          <w:p w:rsidR="00F06820" w:rsidRPr="003D6F09" w:rsidRDefault="000F6A81" w:rsidP="001B2709">
            <w:pPr>
              <w:ind w:firstLine="0"/>
              <w:jc w:val="both"/>
            </w:pPr>
            <w:r>
              <w:rPr>
                <w:rFonts w:cs="Times New Roman"/>
                <w:szCs w:val="28"/>
                <w:lang w:eastAsia="lv-LV"/>
              </w:rPr>
              <w:t>T</w:t>
            </w:r>
            <w:r w:rsidR="001B2709">
              <w:rPr>
                <w:rFonts w:cs="Times New Roman"/>
                <w:szCs w:val="28"/>
                <w:lang w:eastAsia="lv-LV"/>
              </w:rPr>
              <w:t xml:space="preserve">iks nodrošināta iespēja </w:t>
            </w:r>
            <w:r w:rsidR="00F06820" w:rsidRPr="00C61601">
              <w:rPr>
                <w:rFonts w:cs="Times New Roman"/>
                <w:szCs w:val="28"/>
                <w:lang w:eastAsia="lv-LV"/>
              </w:rPr>
              <w:t>pakalpojumu saņemšanai pieteik</w:t>
            </w:r>
            <w:r w:rsidR="001B2709">
              <w:rPr>
                <w:rFonts w:cs="Times New Roman"/>
                <w:szCs w:val="28"/>
                <w:lang w:eastAsia="lv-LV"/>
              </w:rPr>
              <w:t>t</w:t>
            </w:r>
            <w:r w:rsidR="00F06820" w:rsidRPr="00C61601">
              <w:rPr>
                <w:rFonts w:cs="Times New Roman"/>
                <w:szCs w:val="28"/>
                <w:lang w:eastAsia="lv-LV"/>
              </w:rPr>
              <w:t xml:space="preserve">ies elektroniski, izmantojot e-pakalpojumu </w:t>
            </w:r>
            <w:r w:rsidR="00F06820" w:rsidRPr="00C61601">
              <w:rPr>
                <w:rFonts w:eastAsia="Times New Roman" w:cs="Times New Roman"/>
                <w:szCs w:val="28"/>
                <w:lang w:eastAsia="lv-LV"/>
              </w:rPr>
              <w:t>Autotransporta direkcijas mājaslapā</w:t>
            </w:r>
            <w:r w:rsidR="00F06820" w:rsidRPr="00C61601">
              <w:rPr>
                <w:rFonts w:cs="Times New Roman"/>
                <w:szCs w:val="28"/>
                <w:lang w:eastAsia="lv-LV"/>
              </w:rPr>
              <w:t xml:space="preserve">, tādējādi uzlabojot </w:t>
            </w:r>
            <w:r w:rsidR="00F06820" w:rsidRPr="00C61601">
              <w:rPr>
                <w:rFonts w:eastAsia="Times New Roman" w:cs="Times New Roman"/>
                <w:szCs w:val="28"/>
                <w:lang w:eastAsia="lv-LV"/>
              </w:rPr>
              <w:t>Autotransporta d</w:t>
            </w:r>
            <w:r w:rsidR="00F06820" w:rsidRPr="00C61601">
              <w:rPr>
                <w:rFonts w:cs="Times New Roman"/>
                <w:szCs w:val="28"/>
                <w:lang w:eastAsia="lv-LV"/>
              </w:rPr>
              <w:t>irekcijas darba efektivitāti un samazinot administratīvo slogu</w:t>
            </w:r>
            <w:r w:rsidR="00F06820">
              <w:rPr>
                <w:rFonts w:cs="Times New Roman"/>
                <w:szCs w:val="28"/>
                <w:lang w:eastAsia="lv-LV"/>
              </w:rPr>
              <w:t xml:space="preserve"> pārvadātājiem.</w:t>
            </w:r>
          </w:p>
        </w:tc>
      </w:tr>
      <w:tr w:rsidR="003D6F09" w:rsidRPr="003D6F09" w:rsidTr="006B14EF">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lastRenderedPageBreak/>
              <w:t>3.</w:t>
            </w:r>
          </w:p>
        </w:tc>
        <w:tc>
          <w:tcPr>
            <w:tcW w:w="1291"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Administratīvo izmaksu monetārs novērtējums</w:t>
            </w:r>
          </w:p>
        </w:tc>
        <w:tc>
          <w:tcPr>
            <w:tcW w:w="3398" w:type="pct"/>
            <w:tcBorders>
              <w:top w:val="outset" w:sz="6" w:space="0" w:color="auto"/>
              <w:left w:val="outset" w:sz="6" w:space="0" w:color="auto"/>
              <w:bottom w:val="outset" w:sz="6" w:space="0" w:color="auto"/>
              <w:right w:val="outset" w:sz="6" w:space="0" w:color="auto"/>
            </w:tcBorders>
            <w:hideMark/>
          </w:tcPr>
          <w:p w:rsidR="002C2042" w:rsidRPr="002C2042" w:rsidRDefault="002C2042" w:rsidP="0074450B">
            <w:pPr>
              <w:ind w:firstLine="0"/>
              <w:jc w:val="both"/>
              <w:rPr>
                <w:rFonts w:eastAsia="Times New Roman"/>
                <w:szCs w:val="28"/>
                <w:lang w:eastAsia="lv-LV"/>
              </w:rPr>
            </w:pPr>
            <w:r w:rsidRPr="002C2042">
              <w:rPr>
                <w:rFonts w:eastAsia="Times New Roman"/>
                <w:szCs w:val="28"/>
                <w:lang w:eastAsia="lv-LV"/>
              </w:rPr>
              <w:t>Administratīv</w:t>
            </w:r>
            <w:r w:rsidR="00696A72">
              <w:rPr>
                <w:rFonts w:eastAsia="Times New Roman"/>
                <w:szCs w:val="28"/>
                <w:lang w:eastAsia="lv-LV"/>
              </w:rPr>
              <w:t>o</w:t>
            </w:r>
            <w:r w:rsidRPr="002C2042">
              <w:rPr>
                <w:rFonts w:eastAsia="Times New Roman"/>
                <w:szCs w:val="28"/>
                <w:lang w:eastAsia="lv-LV"/>
              </w:rPr>
              <w:t xml:space="preserve"> izmaksu samazinājums gada laikā autopārvadātājiem nepārsniedz 2000 euro. </w:t>
            </w:r>
          </w:p>
          <w:p w:rsidR="003D6F09" w:rsidRPr="003D6F09" w:rsidRDefault="002C2042" w:rsidP="0074450B">
            <w:pPr>
              <w:ind w:firstLine="0"/>
              <w:jc w:val="both"/>
            </w:pPr>
            <w:r w:rsidRPr="002C2042">
              <w:rPr>
                <w:rFonts w:eastAsia="Times New Roman"/>
                <w:szCs w:val="28"/>
                <w:lang w:eastAsia="lv-LV"/>
              </w:rPr>
              <w:t>Tiesiskais regulējums Autotransporta direkcijai nerada papildus izmaksas saistībā ar informācijas pieņemšanas, apstrādes vai uzglabāšanas pienākumiem.</w:t>
            </w:r>
          </w:p>
        </w:tc>
      </w:tr>
      <w:tr w:rsidR="003D6F09" w:rsidRPr="003D6F09" w:rsidTr="006B14EF">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4.</w:t>
            </w:r>
          </w:p>
        </w:tc>
        <w:tc>
          <w:tcPr>
            <w:tcW w:w="1291"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Cita informācija</w:t>
            </w:r>
          </w:p>
        </w:tc>
        <w:tc>
          <w:tcPr>
            <w:tcW w:w="3398" w:type="pct"/>
            <w:tcBorders>
              <w:top w:val="outset" w:sz="6" w:space="0" w:color="auto"/>
              <w:left w:val="outset" w:sz="6" w:space="0" w:color="auto"/>
              <w:bottom w:val="outset" w:sz="6" w:space="0" w:color="auto"/>
              <w:right w:val="outset" w:sz="6" w:space="0" w:color="auto"/>
            </w:tcBorders>
            <w:hideMark/>
          </w:tcPr>
          <w:p w:rsidR="003D6F09" w:rsidRPr="003D6F09" w:rsidRDefault="0009515D" w:rsidP="00697072">
            <w:pPr>
              <w:ind w:firstLine="0"/>
              <w:jc w:val="both"/>
            </w:pPr>
            <w:r>
              <w:t>Nav</w:t>
            </w:r>
          </w:p>
        </w:tc>
      </w:tr>
    </w:tbl>
    <w:p w:rsidR="00697FE5" w:rsidRDefault="00697FE5" w:rsidP="00697FE5">
      <w:pPr>
        <w:ind w:firstLine="0"/>
        <w:jc w:val="both"/>
      </w:pPr>
      <w:r w:rsidRPr="003D6F09">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697FE5" w:rsidRPr="003D6F09" w:rsidTr="00A67AF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7FE5" w:rsidRPr="003D6F09" w:rsidRDefault="00697FE5" w:rsidP="00A67AF4">
            <w:pPr>
              <w:ind w:firstLine="0"/>
              <w:rPr>
                <w:b/>
                <w:bCs/>
              </w:rPr>
            </w:pPr>
            <w:r w:rsidRPr="003D6F09">
              <w:rPr>
                <w:b/>
                <w:bCs/>
              </w:rPr>
              <w:t>V. Tiesību akta projekta atbilstība Latvijas Republikas starptautiskajām saistībām</w:t>
            </w:r>
          </w:p>
        </w:tc>
      </w:tr>
      <w:tr w:rsidR="00697FE5" w:rsidRPr="003D6F09" w:rsidTr="00A67AF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t>1.</w:t>
            </w:r>
          </w:p>
        </w:tc>
        <w:tc>
          <w:tcPr>
            <w:tcW w:w="4890" w:type="dxa"/>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rsidR="00697FE5" w:rsidRPr="003D6F09" w:rsidRDefault="00697FE5" w:rsidP="0074450B">
            <w:pPr>
              <w:ind w:firstLine="0"/>
              <w:jc w:val="both"/>
            </w:pPr>
            <w:r w:rsidRPr="00EB5A8F">
              <w:t>Eiropas Parlamenta un Padomes 2009.gada 21.oktobra Regula (EK) Nr. 1071/2009, ar ko nosaka kopīgus noteikumus par autopārvadātāja profesionālās darbības veikšanas nosacījumiem un atceļ Padomes Direktīvu 96/26/EK</w:t>
            </w:r>
          </w:p>
        </w:tc>
      </w:tr>
      <w:tr w:rsidR="00697FE5" w:rsidRPr="003D6F09" w:rsidTr="00A67AF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t>2.</w:t>
            </w:r>
          </w:p>
        </w:tc>
        <w:tc>
          <w:tcPr>
            <w:tcW w:w="4890" w:type="dxa"/>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t>P</w:t>
            </w:r>
            <w:r w:rsidRPr="00C608C5">
              <w:t>rojekts šo jomu neskar</w:t>
            </w:r>
            <w:r>
              <w:t>.</w:t>
            </w:r>
          </w:p>
        </w:tc>
      </w:tr>
      <w:tr w:rsidR="00697FE5" w:rsidRPr="003D6F09" w:rsidTr="00A67AF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t>3.</w:t>
            </w:r>
          </w:p>
        </w:tc>
        <w:tc>
          <w:tcPr>
            <w:tcW w:w="4890" w:type="dxa"/>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t>Cita informācija</w:t>
            </w:r>
          </w:p>
        </w:tc>
        <w:tc>
          <w:tcPr>
            <w:tcW w:w="3300" w:type="pct"/>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t>Nav</w:t>
            </w:r>
          </w:p>
        </w:tc>
      </w:tr>
    </w:tbl>
    <w:p w:rsidR="00697FE5" w:rsidRPr="003D6F09" w:rsidRDefault="00697FE5" w:rsidP="00697FE5">
      <w:pPr>
        <w:ind w:firstLine="0"/>
      </w:pPr>
      <w:r w:rsidRPr="003D6F09">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4"/>
        <w:gridCol w:w="1703"/>
        <w:gridCol w:w="2427"/>
        <w:gridCol w:w="2837"/>
      </w:tblGrid>
      <w:tr w:rsidR="00697FE5" w:rsidRPr="003D6F09" w:rsidTr="00A67AF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97FE5" w:rsidRPr="003D6F09" w:rsidRDefault="00697FE5" w:rsidP="00A67AF4">
            <w:pPr>
              <w:ind w:firstLine="0"/>
              <w:rPr>
                <w:b/>
                <w:bCs/>
              </w:rPr>
            </w:pPr>
            <w:r w:rsidRPr="003D6F09">
              <w:rPr>
                <w:b/>
                <w:bCs/>
              </w:rPr>
              <w:t>1.tabula</w:t>
            </w:r>
            <w:r w:rsidRPr="003D6F09">
              <w:rPr>
                <w:b/>
                <w:bCs/>
              </w:rPr>
              <w:br/>
              <w:t>Tiesību akta projekta atbilstība ES tiesību aktiem</w:t>
            </w:r>
          </w:p>
        </w:tc>
      </w:tr>
      <w:tr w:rsidR="00697FE5" w:rsidRPr="003D6F09" w:rsidTr="005231BE">
        <w:trPr>
          <w:tblCellSpacing w:w="15" w:type="dxa"/>
          <w:jc w:val="center"/>
        </w:trPr>
        <w:tc>
          <w:tcPr>
            <w:tcW w:w="1206" w:type="pct"/>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t>Attiecīgā ES tiesību akta datums, numurs un nosaukums</w:t>
            </w:r>
          </w:p>
        </w:tc>
        <w:tc>
          <w:tcPr>
            <w:tcW w:w="3745" w:type="pct"/>
            <w:gridSpan w:val="3"/>
            <w:tcBorders>
              <w:top w:val="outset" w:sz="6" w:space="0" w:color="auto"/>
              <w:left w:val="outset" w:sz="6" w:space="0" w:color="auto"/>
              <w:bottom w:val="outset" w:sz="6" w:space="0" w:color="auto"/>
              <w:right w:val="outset" w:sz="6" w:space="0" w:color="auto"/>
            </w:tcBorders>
            <w:hideMark/>
          </w:tcPr>
          <w:p w:rsidR="00697FE5" w:rsidRPr="003D6F09" w:rsidRDefault="002F43A9" w:rsidP="0074450B">
            <w:pPr>
              <w:ind w:firstLine="0"/>
              <w:jc w:val="both"/>
            </w:pPr>
            <w:r w:rsidRPr="00EB5A8F">
              <w:t>Eiropas Parlamenta un Padomes 2009.gada 21.oktobra Regula (EK) Nr. 1071/2009, ar ko nosaka kopīgus noteikumus par autopārvadātāja profesionālās darbības veikšanas nosacījumiem un atceļ Padomes Direktīvu 96/26/EK</w:t>
            </w:r>
          </w:p>
        </w:tc>
      </w:tr>
      <w:tr w:rsidR="00697FE5" w:rsidRPr="003D6F09" w:rsidTr="005231BE">
        <w:trPr>
          <w:tblCellSpacing w:w="15" w:type="dxa"/>
          <w:jc w:val="center"/>
        </w:trPr>
        <w:tc>
          <w:tcPr>
            <w:tcW w:w="1206" w:type="pct"/>
            <w:tcBorders>
              <w:top w:val="outset" w:sz="6" w:space="0" w:color="auto"/>
              <w:left w:val="outset" w:sz="6" w:space="0" w:color="auto"/>
              <w:bottom w:val="outset" w:sz="6" w:space="0" w:color="auto"/>
              <w:right w:val="outset" w:sz="6" w:space="0" w:color="auto"/>
            </w:tcBorders>
            <w:vAlign w:val="center"/>
            <w:hideMark/>
          </w:tcPr>
          <w:p w:rsidR="00697FE5" w:rsidRPr="003D6F09" w:rsidRDefault="00697FE5" w:rsidP="00A67AF4">
            <w:pPr>
              <w:ind w:firstLine="0"/>
            </w:pPr>
            <w:r w:rsidRPr="003D6F09">
              <w:lastRenderedPageBreak/>
              <w:t>A</w:t>
            </w:r>
          </w:p>
        </w:tc>
        <w:tc>
          <w:tcPr>
            <w:tcW w:w="913" w:type="pct"/>
            <w:tcBorders>
              <w:top w:val="outset" w:sz="6" w:space="0" w:color="auto"/>
              <w:left w:val="outset" w:sz="6" w:space="0" w:color="auto"/>
              <w:bottom w:val="outset" w:sz="6" w:space="0" w:color="auto"/>
              <w:right w:val="outset" w:sz="6" w:space="0" w:color="auto"/>
            </w:tcBorders>
            <w:vAlign w:val="center"/>
            <w:hideMark/>
          </w:tcPr>
          <w:p w:rsidR="00697FE5" w:rsidRPr="003D6F09" w:rsidRDefault="00697FE5" w:rsidP="00A67AF4">
            <w:pPr>
              <w:ind w:firstLine="0"/>
            </w:pPr>
            <w:r w:rsidRPr="003D6F09">
              <w:t>B</w:t>
            </w:r>
          </w:p>
        </w:tc>
        <w:tc>
          <w:tcPr>
            <w:tcW w:w="1308" w:type="pct"/>
            <w:tcBorders>
              <w:top w:val="outset" w:sz="6" w:space="0" w:color="auto"/>
              <w:left w:val="outset" w:sz="6" w:space="0" w:color="auto"/>
              <w:bottom w:val="outset" w:sz="6" w:space="0" w:color="auto"/>
              <w:right w:val="outset" w:sz="6" w:space="0" w:color="auto"/>
            </w:tcBorders>
            <w:vAlign w:val="center"/>
            <w:hideMark/>
          </w:tcPr>
          <w:p w:rsidR="00697FE5" w:rsidRPr="003D6F09" w:rsidRDefault="00697FE5" w:rsidP="00A67AF4">
            <w:pPr>
              <w:ind w:firstLine="0"/>
            </w:pPr>
            <w:r w:rsidRPr="003D6F09">
              <w:t>C</w:t>
            </w:r>
          </w:p>
        </w:tc>
        <w:tc>
          <w:tcPr>
            <w:tcW w:w="1491" w:type="pct"/>
            <w:tcBorders>
              <w:top w:val="outset" w:sz="6" w:space="0" w:color="auto"/>
              <w:left w:val="outset" w:sz="6" w:space="0" w:color="auto"/>
              <w:bottom w:val="outset" w:sz="6" w:space="0" w:color="auto"/>
              <w:right w:val="outset" w:sz="6" w:space="0" w:color="auto"/>
            </w:tcBorders>
            <w:vAlign w:val="center"/>
            <w:hideMark/>
          </w:tcPr>
          <w:p w:rsidR="00697FE5" w:rsidRPr="003D6F09" w:rsidRDefault="00697FE5" w:rsidP="00A67AF4">
            <w:pPr>
              <w:ind w:firstLine="0"/>
            </w:pPr>
            <w:r w:rsidRPr="003D6F09">
              <w:t>D</w:t>
            </w:r>
          </w:p>
        </w:tc>
      </w:tr>
      <w:tr w:rsidR="00697FE5" w:rsidRPr="003D6F09" w:rsidTr="005231BE">
        <w:trPr>
          <w:tblCellSpacing w:w="15" w:type="dxa"/>
          <w:jc w:val="center"/>
        </w:trPr>
        <w:tc>
          <w:tcPr>
            <w:tcW w:w="1206" w:type="pct"/>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t>Attiecīgā ES tiesību akta panta numurs (uzskaitot katru tiesību akta vienību – pantu, daļu, punktu, apakšpunktu)</w:t>
            </w:r>
          </w:p>
        </w:tc>
        <w:tc>
          <w:tcPr>
            <w:tcW w:w="913" w:type="pct"/>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t>Projekta vienība, kas pārņem vai ievieš katru šīs tabulas A ailē minēto ES tiesību akta vienību, vai tiesību akts, kur attiecīgā ES tiesību akta vienība pārņemta vai ieviesta</w:t>
            </w:r>
          </w:p>
        </w:tc>
        <w:tc>
          <w:tcPr>
            <w:tcW w:w="1308" w:type="pct"/>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t xml:space="preserve">Informācija par to, vai šīs tabulas A ailē minētās ES tiesību akta vienības tiek pārņemtas vai ieviestas pilnībā vai daļēji. </w:t>
            </w:r>
          </w:p>
          <w:p w:rsidR="00697FE5" w:rsidRPr="003D6F09" w:rsidRDefault="00697FE5" w:rsidP="00A67AF4">
            <w:pPr>
              <w:ind w:firstLine="0"/>
            </w:pPr>
            <w:r w:rsidRPr="003D6F09">
              <w:t>Ja attiecīgā ES tiesību akta vienība tiek pārņemta vai ieviesta daļēji, sniedz attiecīgu skaidrojumu, kā arī precīzi norāda, kad un kādā veidā ES tiesību akta vienība tiks pārņemta vai ieviesta pilnībā.</w:t>
            </w:r>
          </w:p>
          <w:p w:rsidR="00697FE5" w:rsidRPr="003D6F09" w:rsidRDefault="00697FE5" w:rsidP="00A67AF4">
            <w:pPr>
              <w:ind w:firstLine="0"/>
            </w:pPr>
            <w:r w:rsidRPr="003D6F09">
              <w:t>Norāda institūciju, kas ir atbildīga par šo saistību izpildi pilnībā</w:t>
            </w:r>
          </w:p>
        </w:tc>
        <w:tc>
          <w:tcPr>
            <w:tcW w:w="1491" w:type="pct"/>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t xml:space="preserve">Informācija par to, vai šīs tabulas B ailē minētās projekta vienības paredz stingrākas prasības nekā šīs tabulas A ailē minētās ES tiesību akta vienības. </w:t>
            </w:r>
          </w:p>
          <w:p w:rsidR="00697FE5" w:rsidRPr="003D6F09" w:rsidRDefault="00697FE5" w:rsidP="00A67AF4">
            <w:pPr>
              <w:ind w:firstLine="0"/>
            </w:pPr>
            <w:r w:rsidRPr="003D6F09">
              <w:t>Ja projekts satur stingrākas prasības nekā attiecīgais ES tiesību akts, norāda pamatojumu un samērīgumu.</w:t>
            </w:r>
          </w:p>
          <w:p w:rsidR="00697FE5" w:rsidRPr="003D6F09" w:rsidRDefault="00697FE5" w:rsidP="00A67AF4">
            <w:pPr>
              <w:ind w:firstLine="0"/>
            </w:pPr>
            <w:r w:rsidRPr="003D6F09">
              <w:t>Norāda iespējamās alternatīvas (t.sk. alternatīvas, kas neparedz tiesiskā regulējuma izstrādi) – kādos gadījumos būtu iespējams izvairīties no stingrāku prasību noteikšanas, nekā paredzēts attiecīgajos ES tiesību aktos</w:t>
            </w:r>
          </w:p>
        </w:tc>
      </w:tr>
      <w:tr w:rsidR="00697FE5" w:rsidRPr="0026672A" w:rsidTr="005231BE">
        <w:trPr>
          <w:tblCellSpacing w:w="15" w:type="dxa"/>
          <w:jc w:val="center"/>
        </w:trPr>
        <w:tc>
          <w:tcPr>
            <w:tcW w:w="1206" w:type="pct"/>
            <w:tcBorders>
              <w:top w:val="outset" w:sz="6" w:space="0" w:color="auto"/>
              <w:left w:val="outset" w:sz="6" w:space="0" w:color="auto"/>
              <w:bottom w:val="outset" w:sz="6" w:space="0" w:color="auto"/>
              <w:right w:val="outset" w:sz="6" w:space="0" w:color="auto"/>
            </w:tcBorders>
            <w:hideMark/>
          </w:tcPr>
          <w:p w:rsidR="00697FE5" w:rsidRPr="0026672A" w:rsidRDefault="00697FE5" w:rsidP="00A67AF4">
            <w:pPr>
              <w:ind w:firstLine="0"/>
            </w:pPr>
            <w:r w:rsidRPr="0026672A">
              <w:t xml:space="preserve">4.panta 2.punkta </w:t>
            </w:r>
            <w:r w:rsidR="00782BA1" w:rsidRPr="0026672A">
              <w:t>c</w:t>
            </w:r>
            <w:r w:rsidR="0008402A" w:rsidRPr="0026672A">
              <w:t>)</w:t>
            </w:r>
            <w:r w:rsidRPr="0026672A">
              <w:t xml:space="preserve"> apakšpunkts</w:t>
            </w:r>
          </w:p>
        </w:tc>
        <w:tc>
          <w:tcPr>
            <w:tcW w:w="913" w:type="pct"/>
            <w:tcBorders>
              <w:top w:val="outset" w:sz="6" w:space="0" w:color="auto"/>
              <w:left w:val="outset" w:sz="6" w:space="0" w:color="auto"/>
              <w:bottom w:val="outset" w:sz="6" w:space="0" w:color="auto"/>
              <w:right w:val="outset" w:sz="6" w:space="0" w:color="auto"/>
            </w:tcBorders>
            <w:hideMark/>
          </w:tcPr>
          <w:p w:rsidR="00697FE5" w:rsidRPr="0026672A" w:rsidRDefault="00697FE5" w:rsidP="00A67AF4">
            <w:pPr>
              <w:ind w:firstLine="0"/>
            </w:pPr>
            <w:r w:rsidRPr="0026672A">
              <w:t>1.punkts</w:t>
            </w:r>
          </w:p>
        </w:tc>
        <w:tc>
          <w:tcPr>
            <w:tcW w:w="1308" w:type="pct"/>
            <w:tcBorders>
              <w:top w:val="outset" w:sz="6" w:space="0" w:color="auto"/>
              <w:left w:val="outset" w:sz="6" w:space="0" w:color="auto"/>
              <w:bottom w:val="outset" w:sz="6" w:space="0" w:color="auto"/>
              <w:right w:val="outset" w:sz="6" w:space="0" w:color="auto"/>
            </w:tcBorders>
            <w:hideMark/>
          </w:tcPr>
          <w:p w:rsidR="00697FE5" w:rsidRPr="0026672A" w:rsidRDefault="00697FE5" w:rsidP="00A67AF4">
            <w:pPr>
              <w:ind w:firstLine="0"/>
            </w:pPr>
            <w:r w:rsidRPr="0026672A">
              <w:t xml:space="preserve">Prasības tiek ieviestas pilnībā. </w:t>
            </w:r>
          </w:p>
          <w:p w:rsidR="00697FE5" w:rsidRPr="0026672A" w:rsidRDefault="00697FE5" w:rsidP="00A67AF4">
            <w:pPr>
              <w:ind w:firstLine="0"/>
            </w:pPr>
          </w:p>
        </w:tc>
        <w:tc>
          <w:tcPr>
            <w:tcW w:w="1491" w:type="pct"/>
            <w:tcBorders>
              <w:top w:val="outset" w:sz="6" w:space="0" w:color="auto"/>
              <w:left w:val="outset" w:sz="6" w:space="0" w:color="auto"/>
              <w:bottom w:val="outset" w:sz="6" w:space="0" w:color="auto"/>
              <w:right w:val="outset" w:sz="6" w:space="0" w:color="auto"/>
            </w:tcBorders>
            <w:hideMark/>
          </w:tcPr>
          <w:p w:rsidR="00697FE5" w:rsidRPr="0026672A" w:rsidRDefault="00697FE5" w:rsidP="00A67AF4">
            <w:pPr>
              <w:ind w:firstLine="0"/>
            </w:pPr>
            <w:r w:rsidRPr="0026672A">
              <w:t xml:space="preserve">Noteikumu projekts neparedz stingrākas prasības. </w:t>
            </w:r>
          </w:p>
        </w:tc>
      </w:tr>
      <w:tr w:rsidR="005231BE" w:rsidRPr="0026672A" w:rsidTr="005231BE">
        <w:trPr>
          <w:tblCellSpacing w:w="15" w:type="dxa"/>
          <w:jc w:val="center"/>
        </w:trPr>
        <w:tc>
          <w:tcPr>
            <w:tcW w:w="1206" w:type="pct"/>
            <w:tcBorders>
              <w:top w:val="outset" w:sz="6" w:space="0" w:color="auto"/>
              <w:left w:val="outset" w:sz="6" w:space="0" w:color="auto"/>
              <w:bottom w:val="outset" w:sz="6" w:space="0" w:color="auto"/>
              <w:right w:val="outset" w:sz="6" w:space="0" w:color="auto"/>
            </w:tcBorders>
          </w:tcPr>
          <w:p w:rsidR="005231BE" w:rsidRPr="0026672A" w:rsidRDefault="005231BE" w:rsidP="00697FE5">
            <w:pPr>
              <w:ind w:firstLine="0"/>
            </w:pPr>
            <w:r w:rsidRPr="0026672A">
              <w:t>3.pants; 13.panta 1.punkta c) apakšpunkts un 3.punkts</w:t>
            </w:r>
          </w:p>
        </w:tc>
        <w:tc>
          <w:tcPr>
            <w:tcW w:w="913" w:type="pct"/>
            <w:tcBorders>
              <w:top w:val="outset" w:sz="6" w:space="0" w:color="auto"/>
              <w:left w:val="outset" w:sz="6" w:space="0" w:color="auto"/>
              <w:bottom w:val="outset" w:sz="6" w:space="0" w:color="auto"/>
              <w:right w:val="outset" w:sz="6" w:space="0" w:color="auto"/>
            </w:tcBorders>
          </w:tcPr>
          <w:p w:rsidR="005231BE" w:rsidRPr="0026672A" w:rsidRDefault="00711064" w:rsidP="00A67AF4">
            <w:pPr>
              <w:ind w:firstLine="0"/>
            </w:pPr>
            <w:r>
              <w:t>8</w:t>
            </w:r>
            <w:r w:rsidR="005231BE" w:rsidRPr="0026672A">
              <w:t>.punkts</w:t>
            </w:r>
          </w:p>
        </w:tc>
        <w:tc>
          <w:tcPr>
            <w:tcW w:w="1308" w:type="pct"/>
            <w:tcBorders>
              <w:top w:val="outset" w:sz="6" w:space="0" w:color="auto"/>
              <w:left w:val="outset" w:sz="6" w:space="0" w:color="auto"/>
              <w:bottom w:val="outset" w:sz="6" w:space="0" w:color="auto"/>
              <w:right w:val="outset" w:sz="6" w:space="0" w:color="auto"/>
            </w:tcBorders>
          </w:tcPr>
          <w:p w:rsidR="005231BE" w:rsidRPr="0026672A" w:rsidRDefault="005231BE" w:rsidP="00391341">
            <w:pPr>
              <w:ind w:firstLine="0"/>
            </w:pPr>
            <w:r w:rsidRPr="0026672A">
              <w:t xml:space="preserve">Prasības tiek ieviestas pilnībā. </w:t>
            </w:r>
          </w:p>
          <w:p w:rsidR="005231BE" w:rsidRPr="0026672A" w:rsidRDefault="005231BE" w:rsidP="00A67AF4">
            <w:pPr>
              <w:ind w:firstLine="0"/>
            </w:pPr>
          </w:p>
        </w:tc>
        <w:tc>
          <w:tcPr>
            <w:tcW w:w="1491" w:type="pct"/>
            <w:tcBorders>
              <w:top w:val="outset" w:sz="6" w:space="0" w:color="auto"/>
              <w:left w:val="outset" w:sz="6" w:space="0" w:color="auto"/>
              <w:bottom w:val="outset" w:sz="6" w:space="0" w:color="auto"/>
              <w:right w:val="outset" w:sz="6" w:space="0" w:color="auto"/>
            </w:tcBorders>
          </w:tcPr>
          <w:p w:rsidR="005231BE" w:rsidRPr="0026672A" w:rsidRDefault="005231BE" w:rsidP="00A67AF4">
            <w:pPr>
              <w:ind w:firstLine="0"/>
            </w:pPr>
            <w:r w:rsidRPr="0026672A">
              <w:t xml:space="preserve">Noteikumu projekts neparedz stingrākas prasības. </w:t>
            </w:r>
          </w:p>
        </w:tc>
      </w:tr>
      <w:tr w:rsidR="005231BE" w:rsidRPr="0026672A" w:rsidTr="005231BE">
        <w:trPr>
          <w:tblCellSpacing w:w="15" w:type="dxa"/>
          <w:jc w:val="center"/>
        </w:trPr>
        <w:tc>
          <w:tcPr>
            <w:tcW w:w="1206" w:type="pct"/>
            <w:tcBorders>
              <w:top w:val="outset" w:sz="6" w:space="0" w:color="auto"/>
              <w:left w:val="outset" w:sz="6" w:space="0" w:color="auto"/>
              <w:bottom w:val="outset" w:sz="6" w:space="0" w:color="auto"/>
              <w:right w:val="outset" w:sz="6" w:space="0" w:color="auto"/>
            </w:tcBorders>
          </w:tcPr>
          <w:p w:rsidR="005231BE" w:rsidRPr="0026672A" w:rsidRDefault="005231BE" w:rsidP="00A67AF4">
            <w:pPr>
              <w:ind w:firstLine="0"/>
            </w:pPr>
            <w:r w:rsidRPr="0026672A">
              <w:t>3.pants; 13.panta 1.punkta c) apakšpunkts un 3.punkts</w:t>
            </w:r>
          </w:p>
        </w:tc>
        <w:tc>
          <w:tcPr>
            <w:tcW w:w="913" w:type="pct"/>
            <w:tcBorders>
              <w:top w:val="outset" w:sz="6" w:space="0" w:color="auto"/>
              <w:left w:val="outset" w:sz="6" w:space="0" w:color="auto"/>
              <w:bottom w:val="outset" w:sz="6" w:space="0" w:color="auto"/>
              <w:right w:val="outset" w:sz="6" w:space="0" w:color="auto"/>
            </w:tcBorders>
          </w:tcPr>
          <w:p w:rsidR="005231BE" w:rsidRPr="0026672A" w:rsidRDefault="00711064" w:rsidP="00A67AF4">
            <w:pPr>
              <w:ind w:firstLine="0"/>
            </w:pPr>
            <w:r>
              <w:t>9</w:t>
            </w:r>
            <w:r w:rsidR="005231BE" w:rsidRPr="0026672A">
              <w:t>.punkts</w:t>
            </w:r>
          </w:p>
        </w:tc>
        <w:tc>
          <w:tcPr>
            <w:tcW w:w="1308" w:type="pct"/>
            <w:tcBorders>
              <w:top w:val="outset" w:sz="6" w:space="0" w:color="auto"/>
              <w:left w:val="outset" w:sz="6" w:space="0" w:color="auto"/>
              <w:bottom w:val="outset" w:sz="6" w:space="0" w:color="auto"/>
              <w:right w:val="outset" w:sz="6" w:space="0" w:color="auto"/>
            </w:tcBorders>
          </w:tcPr>
          <w:p w:rsidR="005231BE" w:rsidRPr="0026672A" w:rsidRDefault="005231BE" w:rsidP="00391341">
            <w:pPr>
              <w:ind w:firstLine="0"/>
            </w:pPr>
            <w:r w:rsidRPr="0026672A">
              <w:t xml:space="preserve">Prasības tiek ieviestas pilnībā. </w:t>
            </w:r>
          </w:p>
          <w:p w:rsidR="005231BE" w:rsidRPr="0026672A" w:rsidRDefault="005231BE" w:rsidP="00A67AF4">
            <w:pPr>
              <w:ind w:firstLine="0"/>
            </w:pPr>
          </w:p>
        </w:tc>
        <w:tc>
          <w:tcPr>
            <w:tcW w:w="1491" w:type="pct"/>
            <w:tcBorders>
              <w:top w:val="outset" w:sz="6" w:space="0" w:color="auto"/>
              <w:left w:val="outset" w:sz="6" w:space="0" w:color="auto"/>
              <w:bottom w:val="outset" w:sz="6" w:space="0" w:color="auto"/>
              <w:right w:val="outset" w:sz="6" w:space="0" w:color="auto"/>
            </w:tcBorders>
          </w:tcPr>
          <w:p w:rsidR="005231BE" w:rsidRPr="0026672A" w:rsidRDefault="005231BE" w:rsidP="00A67AF4">
            <w:pPr>
              <w:ind w:firstLine="0"/>
            </w:pPr>
            <w:r w:rsidRPr="0026672A">
              <w:t xml:space="preserve">Noteikumu projekts neparedz stingrākas prasības. </w:t>
            </w:r>
          </w:p>
        </w:tc>
      </w:tr>
      <w:tr w:rsidR="005231BE" w:rsidRPr="003D6F09" w:rsidTr="005231BE">
        <w:trPr>
          <w:tblCellSpacing w:w="15" w:type="dxa"/>
          <w:jc w:val="center"/>
        </w:trPr>
        <w:tc>
          <w:tcPr>
            <w:tcW w:w="1206" w:type="pct"/>
            <w:tcBorders>
              <w:top w:val="outset" w:sz="6" w:space="0" w:color="auto"/>
              <w:left w:val="outset" w:sz="6" w:space="0" w:color="auto"/>
              <w:bottom w:val="outset" w:sz="6" w:space="0" w:color="auto"/>
              <w:right w:val="outset" w:sz="6" w:space="0" w:color="auto"/>
            </w:tcBorders>
          </w:tcPr>
          <w:p w:rsidR="005231BE" w:rsidRPr="0026672A" w:rsidRDefault="005231BE" w:rsidP="0008402A">
            <w:pPr>
              <w:ind w:firstLine="0"/>
            </w:pPr>
            <w:r w:rsidRPr="0026672A">
              <w:t>3.pants; 13.panta 3.punkts</w:t>
            </w:r>
          </w:p>
        </w:tc>
        <w:tc>
          <w:tcPr>
            <w:tcW w:w="913" w:type="pct"/>
            <w:tcBorders>
              <w:top w:val="outset" w:sz="6" w:space="0" w:color="auto"/>
              <w:left w:val="outset" w:sz="6" w:space="0" w:color="auto"/>
              <w:bottom w:val="outset" w:sz="6" w:space="0" w:color="auto"/>
              <w:right w:val="outset" w:sz="6" w:space="0" w:color="auto"/>
            </w:tcBorders>
          </w:tcPr>
          <w:p w:rsidR="005231BE" w:rsidRPr="0026672A" w:rsidRDefault="00BB7C74" w:rsidP="00711064">
            <w:pPr>
              <w:ind w:firstLine="0"/>
            </w:pPr>
            <w:r w:rsidRPr="0026672A">
              <w:t>1</w:t>
            </w:r>
            <w:r w:rsidR="00711064">
              <w:t>1</w:t>
            </w:r>
            <w:r w:rsidR="005231BE" w:rsidRPr="0026672A">
              <w:t>.punkts</w:t>
            </w:r>
          </w:p>
        </w:tc>
        <w:tc>
          <w:tcPr>
            <w:tcW w:w="1308" w:type="pct"/>
            <w:tcBorders>
              <w:top w:val="outset" w:sz="6" w:space="0" w:color="auto"/>
              <w:left w:val="outset" w:sz="6" w:space="0" w:color="auto"/>
              <w:bottom w:val="outset" w:sz="6" w:space="0" w:color="auto"/>
              <w:right w:val="outset" w:sz="6" w:space="0" w:color="auto"/>
            </w:tcBorders>
          </w:tcPr>
          <w:p w:rsidR="005231BE" w:rsidRPr="0026672A" w:rsidRDefault="005231BE" w:rsidP="00391341">
            <w:pPr>
              <w:ind w:firstLine="0"/>
            </w:pPr>
            <w:r w:rsidRPr="0026672A">
              <w:t xml:space="preserve">Prasības tiek ieviestas pilnībā. </w:t>
            </w:r>
          </w:p>
          <w:p w:rsidR="005231BE" w:rsidRPr="0026672A" w:rsidRDefault="005231BE" w:rsidP="00A67AF4">
            <w:pPr>
              <w:ind w:firstLine="0"/>
            </w:pPr>
          </w:p>
        </w:tc>
        <w:tc>
          <w:tcPr>
            <w:tcW w:w="1491" w:type="pct"/>
            <w:tcBorders>
              <w:top w:val="outset" w:sz="6" w:space="0" w:color="auto"/>
              <w:left w:val="outset" w:sz="6" w:space="0" w:color="auto"/>
              <w:bottom w:val="outset" w:sz="6" w:space="0" w:color="auto"/>
              <w:right w:val="outset" w:sz="6" w:space="0" w:color="auto"/>
            </w:tcBorders>
          </w:tcPr>
          <w:p w:rsidR="005231BE" w:rsidRPr="0026672A" w:rsidRDefault="005231BE" w:rsidP="00A67AF4">
            <w:pPr>
              <w:ind w:firstLine="0"/>
            </w:pPr>
            <w:r w:rsidRPr="0026672A">
              <w:t xml:space="preserve">Noteikumu projekts neparedz stingrākas prasības. </w:t>
            </w:r>
          </w:p>
        </w:tc>
      </w:tr>
      <w:tr w:rsidR="00697FE5" w:rsidRPr="003D6F09" w:rsidTr="005231BE">
        <w:trPr>
          <w:tblCellSpacing w:w="15" w:type="dxa"/>
          <w:jc w:val="center"/>
        </w:trPr>
        <w:tc>
          <w:tcPr>
            <w:tcW w:w="1206" w:type="pct"/>
            <w:tcBorders>
              <w:top w:val="outset" w:sz="6" w:space="0" w:color="auto"/>
              <w:left w:val="outset" w:sz="6" w:space="0" w:color="auto"/>
              <w:bottom w:val="outset" w:sz="6" w:space="0" w:color="auto"/>
              <w:right w:val="outset" w:sz="6" w:space="0" w:color="auto"/>
            </w:tcBorders>
          </w:tcPr>
          <w:p w:rsidR="00697FE5" w:rsidRPr="00FA27AF" w:rsidRDefault="00697FE5" w:rsidP="00A67AF4">
            <w:pPr>
              <w:ind w:firstLine="0"/>
              <w:rPr>
                <w:highlight w:val="yellow"/>
              </w:rPr>
            </w:pPr>
          </w:p>
        </w:tc>
        <w:tc>
          <w:tcPr>
            <w:tcW w:w="913" w:type="pct"/>
            <w:tcBorders>
              <w:top w:val="outset" w:sz="6" w:space="0" w:color="auto"/>
              <w:left w:val="outset" w:sz="6" w:space="0" w:color="auto"/>
              <w:bottom w:val="outset" w:sz="6" w:space="0" w:color="auto"/>
              <w:right w:val="outset" w:sz="6" w:space="0" w:color="auto"/>
            </w:tcBorders>
          </w:tcPr>
          <w:p w:rsidR="00697FE5" w:rsidRPr="00FA27AF" w:rsidRDefault="00697FE5" w:rsidP="00A67AF4">
            <w:pPr>
              <w:ind w:firstLine="0"/>
              <w:rPr>
                <w:highlight w:val="yellow"/>
              </w:rPr>
            </w:pPr>
          </w:p>
        </w:tc>
        <w:tc>
          <w:tcPr>
            <w:tcW w:w="1308" w:type="pct"/>
            <w:tcBorders>
              <w:top w:val="outset" w:sz="6" w:space="0" w:color="auto"/>
              <w:left w:val="outset" w:sz="6" w:space="0" w:color="auto"/>
              <w:bottom w:val="outset" w:sz="6" w:space="0" w:color="auto"/>
              <w:right w:val="outset" w:sz="6" w:space="0" w:color="auto"/>
            </w:tcBorders>
          </w:tcPr>
          <w:p w:rsidR="00697FE5" w:rsidRPr="00FA27AF" w:rsidRDefault="00697FE5" w:rsidP="00A67AF4">
            <w:pPr>
              <w:ind w:firstLine="0"/>
              <w:rPr>
                <w:highlight w:val="yellow"/>
              </w:rPr>
            </w:pPr>
          </w:p>
        </w:tc>
        <w:tc>
          <w:tcPr>
            <w:tcW w:w="1491" w:type="pct"/>
            <w:tcBorders>
              <w:top w:val="outset" w:sz="6" w:space="0" w:color="auto"/>
              <w:left w:val="outset" w:sz="6" w:space="0" w:color="auto"/>
              <w:bottom w:val="outset" w:sz="6" w:space="0" w:color="auto"/>
              <w:right w:val="outset" w:sz="6" w:space="0" w:color="auto"/>
            </w:tcBorders>
          </w:tcPr>
          <w:p w:rsidR="00697FE5" w:rsidRPr="00FA27AF" w:rsidRDefault="00697FE5" w:rsidP="00A67AF4">
            <w:pPr>
              <w:ind w:firstLine="0"/>
              <w:rPr>
                <w:highlight w:val="yellow"/>
              </w:rPr>
            </w:pPr>
          </w:p>
        </w:tc>
      </w:tr>
      <w:tr w:rsidR="00697FE5" w:rsidRPr="003D6F09" w:rsidTr="005231BE">
        <w:trPr>
          <w:tblCellSpacing w:w="15" w:type="dxa"/>
          <w:jc w:val="center"/>
        </w:trPr>
        <w:tc>
          <w:tcPr>
            <w:tcW w:w="1206" w:type="pct"/>
            <w:tcBorders>
              <w:top w:val="outset" w:sz="6" w:space="0" w:color="auto"/>
              <w:left w:val="outset" w:sz="6" w:space="0" w:color="auto"/>
              <w:bottom w:val="outset" w:sz="6" w:space="0" w:color="auto"/>
              <w:right w:val="outset" w:sz="6" w:space="0" w:color="auto"/>
            </w:tcBorders>
            <w:hideMark/>
          </w:tcPr>
          <w:p w:rsidR="00697FE5" w:rsidRPr="00FA27AF" w:rsidRDefault="00697FE5" w:rsidP="00A67AF4">
            <w:pPr>
              <w:ind w:firstLine="0"/>
              <w:rPr>
                <w:highlight w:val="yellow"/>
              </w:rPr>
            </w:pPr>
            <w:r w:rsidRPr="00611733">
              <w:t>Kā ir izmantota ES tiesību aktā paredzētā rīcības brīvība dalībvalstij pārņemt vai ieviest noteiktas ES tiesību akta normas?</w:t>
            </w:r>
            <w:r w:rsidRPr="00611733">
              <w:br/>
              <w:t>Kādēļ?</w:t>
            </w:r>
          </w:p>
        </w:tc>
        <w:tc>
          <w:tcPr>
            <w:tcW w:w="3745" w:type="pct"/>
            <w:gridSpan w:val="3"/>
            <w:tcBorders>
              <w:top w:val="outset" w:sz="6" w:space="0" w:color="auto"/>
              <w:left w:val="outset" w:sz="6" w:space="0" w:color="auto"/>
              <w:bottom w:val="outset" w:sz="6" w:space="0" w:color="auto"/>
              <w:right w:val="outset" w:sz="6" w:space="0" w:color="auto"/>
            </w:tcBorders>
            <w:hideMark/>
          </w:tcPr>
          <w:p w:rsidR="004F15CE" w:rsidRPr="00D80E33" w:rsidRDefault="004F15CE" w:rsidP="0074450B">
            <w:pPr>
              <w:ind w:firstLine="0"/>
              <w:jc w:val="both"/>
              <w:rPr>
                <w:highlight w:val="yellow"/>
              </w:rPr>
            </w:pPr>
            <w:r w:rsidRPr="00D80E33">
              <w:t xml:space="preserve">Atbilstoši Regulas Nr.1071/2009) </w:t>
            </w:r>
            <w:proofErr w:type="gramStart"/>
            <w:r w:rsidRPr="00D80E33">
              <w:t>4.panta</w:t>
            </w:r>
            <w:proofErr w:type="gramEnd"/>
            <w:r w:rsidRPr="00D80E33">
              <w:t xml:space="preserve"> 2.punkta c) apakšpunktam dalībvalsts var pieņe</w:t>
            </w:r>
            <w:r w:rsidR="00BF0795" w:rsidRPr="00D80E33">
              <w:t>mt lēmumu par to uzņēmumu skaita samazināšanu</w:t>
            </w:r>
            <w:r w:rsidRPr="00D80E33">
              <w:t>, ko var vadīt pārvadājumu vadītājs.</w:t>
            </w:r>
          </w:p>
          <w:p w:rsidR="004B270E" w:rsidRPr="00D80E33" w:rsidRDefault="00EF2A0C" w:rsidP="0074450B">
            <w:pPr>
              <w:ind w:firstLine="0"/>
              <w:jc w:val="both"/>
            </w:pPr>
            <w:r w:rsidRPr="00D80E33">
              <w:t xml:space="preserve">Atbilstoši </w:t>
            </w:r>
            <w:r w:rsidR="004B270E" w:rsidRPr="00D80E33">
              <w:t xml:space="preserve">Regulas Nr.1071/2009 </w:t>
            </w:r>
            <w:proofErr w:type="gramStart"/>
            <w:r w:rsidR="004B270E" w:rsidRPr="00D80E33">
              <w:t>4.panta</w:t>
            </w:r>
            <w:proofErr w:type="gramEnd"/>
            <w:r w:rsidR="004B270E" w:rsidRPr="00D80E33">
              <w:t xml:space="preserve"> 2.punkta c) apakšpunkt</w:t>
            </w:r>
            <w:r w:rsidRPr="00D80E33">
              <w:t>ā noteiktajai dalībvalsts rīcības brīvībai</w:t>
            </w:r>
            <w:r w:rsidR="004B270E" w:rsidRPr="00D80E33">
              <w:t xml:space="preserve">, ņemot vērā regulas Nr.1071/2009 4.panta 2.punkta d) apakšpunktu, kas nosaka, ka </w:t>
            </w:r>
            <w:r w:rsidR="004B270E" w:rsidRPr="00D80E33">
              <w:rPr>
                <w:u w:val="single"/>
              </w:rPr>
              <w:t>atbildīgā persona savus pienākumus veic tikai uzņēmuma interesēs un tās atbildība ir neatkarīga no jebkura uzņēmuma, kura labā attiecīgais uzņēmums veic pārvadājumu darbība</w:t>
            </w:r>
            <w:r w:rsidR="006E526D" w:rsidRPr="00D80E33">
              <w:rPr>
                <w:u w:val="single"/>
              </w:rPr>
              <w:t>s</w:t>
            </w:r>
            <w:r w:rsidR="004B270E" w:rsidRPr="00D80E33">
              <w:t>, noteikum</w:t>
            </w:r>
            <w:r w:rsidR="006E526D" w:rsidRPr="00D80E33">
              <w:t>u projekts paredz</w:t>
            </w:r>
            <w:r w:rsidR="004B270E" w:rsidRPr="00D80E33">
              <w:t>, ka pārvadātājs izvēlas pārvadājumu vadītāju, kurš vada pārvadājumu operācijas vienā uzņēmumā vai divos uzņēmumos</w:t>
            </w:r>
            <w:r w:rsidR="00FA1FA1" w:rsidRPr="00D80E33">
              <w:t xml:space="preserve">, ja abos uzņēmumos ir vismaz viens kopīgs dalībnieks </w:t>
            </w:r>
            <w:r w:rsidR="00810F38" w:rsidRPr="00D80E33">
              <w:t>un</w:t>
            </w:r>
            <w:r w:rsidR="00FA1FA1" w:rsidRPr="00D80E33">
              <w:t xml:space="preserve"> valdes (padomes) loceklis</w:t>
            </w:r>
            <w:r w:rsidR="00810F38" w:rsidRPr="00D80E33">
              <w:t>,</w:t>
            </w:r>
            <w:r w:rsidR="00FA1FA1" w:rsidRPr="00D80E33">
              <w:t xml:space="preserve"> vai uzņēmumu dalībnieki ir laulātie vai pirmās pakāpes radinieki</w:t>
            </w:r>
            <w:r w:rsidR="004B270E" w:rsidRPr="00D80E33">
              <w:t xml:space="preserve">. </w:t>
            </w:r>
          </w:p>
          <w:p w:rsidR="00697FE5" w:rsidRPr="00D80E33" w:rsidRDefault="00FA1FA1" w:rsidP="0074450B">
            <w:pPr>
              <w:ind w:firstLine="0"/>
              <w:jc w:val="both"/>
            </w:pPr>
            <w:r w:rsidRPr="00D80E33">
              <w:t xml:space="preserve">Noteikumu projekts nepiemēro atļauto maksimālo uzņēmumu skaita samazināšanu (līdz vienam uzņēmumam), ko var vadīt pārvadājumu vadītājs, bet atļauj vadīt pārvadājumu operācijas arī divos uzņēmumos tā, lai tiktu ievērots Regulas Nr.1071/2009 </w:t>
            </w:r>
            <w:proofErr w:type="gramStart"/>
            <w:r w:rsidRPr="00D80E33">
              <w:t>4.panta</w:t>
            </w:r>
            <w:proofErr w:type="gramEnd"/>
            <w:r w:rsidRPr="00D80E33">
              <w:t xml:space="preserve"> 2.punkta d) apakšpunkts.</w:t>
            </w:r>
          </w:p>
          <w:p w:rsidR="00697FE5" w:rsidRPr="00D80E33" w:rsidRDefault="00697FE5" w:rsidP="0074450B">
            <w:pPr>
              <w:ind w:firstLine="0"/>
              <w:jc w:val="both"/>
              <w:rPr>
                <w:highlight w:val="yellow"/>
              </w:rPr>
            </w:pPr>
          </w:p>
        </w:tc>
      </w:tr>
      <w:tr w:rsidR="00697FE5" w:rsidRPr="003D6F09" w:rsidTr="005231BE">
        <w:trPr>
          <w:tblCellSpacing w:w="15" w:type="dxa"/>
          <w:jc w:val="center"/>
        </w:trPr>
        <w:tc>
          <w:tcPr>
            <w:tcW w:w="1206" w:type="pct"/>
            <w:tcBorders>
              <w:top w:val="outset" w:sz="6" w:space="0" w:color="auto"/>
              <w:left w:val="outset" w:sz="6" w:space="0" w:color="auto"/>
              <w:bottom w:val="outset" w:sz="6" w:space="0" w:color="auto"/>
              <w:right w:val="outset" w:sz="6" w:space="0" w:color="auto"/>
            </w:tcBorders>
            <w:hideMark/>
          </w:tcPr>
          <w:p w:rsidR="00697FE5" w:rsidRPr="00FA27AF" w:rsidRDefault="00697FE5" w:rsidP="00A67AF4">
            <w:pPr>
              <w:ind w:firstLine="0"/>
            </w:pPr>
            <w:r w:rsidRPr="00FA27A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45" w:type="pct"/>
            <w:gridSpan w:val="3"/>
            <w:tcBorders>
              <w:top w:val="outset" w:sz="6" w:space="0" w:color="auto"/>
              <w:left w:val="outset" w:sz="6" w:space="0" w:color="auto"/>
              <w:bottom w:val="outset" w:sz="6" w:space="0" w:color="auto"/>
              <w:right w:val="outset" w:sz="6" w:space="0" w:color="auto"/>
            </w:tcBorders>
            <w:hideMark/>
          </w:tcPr>
          <w:p w:rsidR="00697FE5" w:rsidRPr="00FA27AF" w:rsidRDefault="00697FE5" w:rsidP="00A67AF4">
            <w:pPr>
              <w:ind w:firstLine="0"/>
            </w:pPr>
            <w:r w:rsidRPr="00FA27AF">
              <w:t>Projekts šo jomu neskar.</w:t>
            </w:r>
          </w:p>
        </w:tc>
      </w:tr>
      <w:tr w:rsidR="00697FE5" w:rsidRPr="003D6F09" w:rsidTr="005231BE">
        <w:trPr>
          <w:tblCellSpacing w:w="15" w:type="dxa"/>
          <w:jc w:val="center"/>
        </w:trPr>
        <w:tc>
          <w:tcPr>
            <w:tcW w:w="1206" w:type="pct"/>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rsidRPr="003D6F09">
              <w:lastRenderedPageBreak/>
              <w:t>Cita informācija</w:t>
            </w:r>
          </w:p>
        </w:tc>
        <w:tc>
          <w:tcPr>
            <w:tcW w:w="3745" w:type="pct"/>
            <w:gridSpan w:val="3"/>
            <w:tcBorders>
              <w:top w:val="outset" w:sz="6" w:space="0" w:color="auto"/>
              <w:left w:val="outset" w:sz="6" w:space="0" w:color="auto"/>
              <w:bottom w:val="outset" w:sz="6" w:space="0" w:color="auto"/>
              <w:right w:val="outset" w:sz="6" w:space="0" w:color="auto"/>
            </w:tcBorders>
            <w:hideMark/>
          </w:tcPr>
          <w:p w:rsidR="00697FE5" w:rsidRPr="003D6F09" w:rsidRDefault="00697FE5" w:rsidP="00A67AF4">
            <w:pPr>
              <w:ind w:firstLine="0"/>
            </w:pPr>
            <w:r>
              <w:t>Nav</w:t>
            </w:r>
          </w:p>
        </w:tc>
      </w:tr>
      <w:tr w:rsidR="00697FE5" w:rsidRPr="003D6F09" w:rsidTr="00A67AF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97FE5" w:rsidRPr="003D6F09" w:rsidRDefault="00697FE5" w:rsidP="00A67AF4">
            <w:pPr>
              <w:ind w:firstLine="0"/>
              <w:rPr>
                <w:b/>
                <w:bCs/>
              </w:rPr>
            </w:pPr>
            <w:r w:rsidRPr="003D6F09">
              <w:rPr>
                <w:b/>
                <w:bCs/>
              </w:rPr>
              <w:t>2.tabula</w:t>
            </w:r>
            <w:r w:rsidRPr="003D6F09">
              <w:rPr>
                <w:b/>
                <w:bCs/>
              </w:rPr>
              <w:br/>
              <w:t>Ar tiesību akta projektu izpildītās vai uzņemtās saistības, kas izriet no starptautiskajiem tiesību aktiem vai starptautiskas institūcijas vai organizācijas dokumentiem.</w:t>
            </w:r>
            <w:r w:rsidRPr="003D6F09">
              <w:rPr>
                <w:b/>
                <w:bCs/>
              </w:rPr>
              <w:br/>
              <w:t>Pasākumi šo saistību izpildei</w:t>
            </w:r>
          </w:p>
        </w:tc>
      </w:tr>
      <w:tr w:rsidR="00697FE5" w:rsidRPr="003D6F09" w:rsidTr="00A67AF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tcPr>
          <w:p w:rsidR="00697FE5" w:rsidRPr="003D6F09" w:rsidRDefault="00697FE5" w:rsidP="00A67AF4">
            <w:pPr>
              <w:ind w:firstLine="0"/>
              <w:rPr>
                <w:b/>
                <w:bCs/>
              </w:rPr>
            </w:pPr>
            <w:r>
              <w:t>P</w:t>
            </w:r>
            <w:r w:rsidRPr="00C608C5">
              <w:t>rojekts šo jomu neskar</w:t>
            </w:r>
            <w:r>
              <w:t>.</w:t>
            </w:r>
          </w:p>
        </w:tc>
      </w:tr>
    </w:tbl>
    <w:p w:rsidR="00697FE5" w:rsidRPr="003D6F09" w:rsidRDefault="00697FE5" w:rsidP="00697FE5">
      <w:pPr>
        <w:ind w:firstLine="0"/>
        <w:jc w:val="both"/>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759"/>
        <w:gridCol w:w="5961"/>
      </w:tblGrid>
      <w:tr w:rsidR="003D6F09" w:rsidRPr="003D6F09" w:rsidTr="003D6F09">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3D6F09" w:rsidRDefault="003D6F09" w:rsidP="00697072">
            <w:pPr>
              <w:ind w:firstLine="0"/>
              <w:jc w:val="both"/>
              <w:rPr>
                <w:b/>
                <w:bCs/>
              </w:rPr>
            </w:pPr>
            <w:r w:rsidRPr="003D6F09">
              <w:rPr>
                <w:b/>
                <w:bCs/>
              </w:rPr>
              <w:t>VI. Sabiedrības līdzdalība un komunikācijas aktivitātes</w:t>
            </w:r>
          </w:p>
        </w:tc>
      </w:tr>
      <w:tr w:rsidR="003D6F09" w:rsidRPr="003D6F09" w:rsidTr="00E376CB">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1.</w:t>
            </w:r>
          </w:p>
        </w:tc>
        <w:tc>
          <w:tcPr>
            <w:tcW w:w="1480"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3D6F09" w:rsidRPr="003D6F09" w:rsidRDefault="000504FB" w:rsidP="00697072">
            <w:pPr>
              <w:ind w:firstLine="0"/>
              <w:jc w:val="both"/>
            </w:pPr>
            <w:r>
              <w:t>Projekts i</w:t>
            </w:r>
            <w:r w:rsidR="00DD17BF">
              <w:t xml:space="preserve">evietots </w:t>
            </w:r>
            <w:r w:rsidR="00353C0E">
              <w:t>Satiksmes ministrijas mājaslap</w:t>
            </w:r>
            <w:r w:rsidR="005477DA">
              <w:t>ā</w:t>
            </w:r>
          </w:p>
        </w:tc>
      </w:tr>
      <w:tr w:rsidR="003D6F09" w:rsidRPr="003D6F09" w:rsidTr="00E376CB">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2.</w:t>
            </w:r>
          </w:p>
        </w:tc>
        <w:tc>
          <w:tcPr>
            <w:tcW w:w="1480"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A054CD" w:rsidRPr="002A693C" w:rsidRDefault="00A054CD" w:rsidP="00697072">
            <w:pPr>
              <w:ind w:firstLine="0"/>
              <w:jc w:val="both"/>
            </w:pPr>
            <w:r w:rsidRPr="002A693C">
              <w:t>Biedrība „Autopārvadātāju Asociācija „Latvijas auto””</w:t>
            </w:r>
          </w:p>
          <w:p w:rsidR="00210B33" w:rsidRPr="00494EBF" w:rsidRDefault="005B5C28" w:rsidP="00697072">
            <w:pPr>
              <w:ind w:firstLine="0"/>
              <w:jc w:val="both"/>
              <w:rPr>
                <w:highlight w:val="yellow"/>
              </w:rPr>
            </w:pPr>
            <w:r>
              <w:t xml:space="preserve">Biedrība </w:t>
            </w:r>
            <w:r w:rsidR="00A054CD" w:rsidRPr="002A693C">
              <w:t>„Latvijas Pasažieru pārvadātāju asociācija”</w:t>
            </w:r>
          </w:p>
        </w:tc>
      </w:tr>
      <w:tr w:rsidR="003D6F09" w:rsidRPr="003D6F09" w:rsidTr="00E376CB">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3.</w:t>
            </w:r>
          </w:p>
        </w:tc>
        <w:tc>
          <w:tcPr>
            <w:tcW w:w="1480"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3D6F09" w:rsidRPr="00EA242B" w:rsidRDefault="005B5C28" w:rsidP="00697072">
            <w:pPr>
              <w:ind w:firstLine="0"/>
              <w:jc w:val="both"/>
              <w:rPr>
                <w:highlight w:val="yellow"/>
              </w:rPr>
            </w:pPr>
            <w:r w:rsidRPr="005B5C28">
              <w:t>Atbalsta projektu</w:t>
            </w:r>
          </w:p>
        </w:tc>
      </w:tr>
      <w:tr w:rsidR="003D6F09" w:rsidRPr="003D6F09" w:rsidTr="00E376CB">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4.</w:t>
            </w:r>
          </w:p>
        </w:tc>
        <w:tc>
          <w:tcPr>
            <w:tcW w:w="1480"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Cita informācija</w:t>
            </w:r>
          </w:p>
        </w:tc>
        <w:tc>
          <w:tcPr>
            <w:tcW w:w="3208" w:type="pct"/>
            <w:tcBorders>
              <w:top w:val="outset" w:sz="6" w:space="0" w:color="auto"/>
              <w:left w:val="outset" w:sz="6" w:space="0" w:color="auto"/>
              <w:bottom w:val="outset" w:sz="6" w:space="0" w:color="auto"/>
              <w:right w:val="outset" w:sz="6" w:space="0" w:color="auto"/>
            </w:tcBorders>
            <w:hideMark/>
          </w:tcPr>
          <w:p w:rsidR="003D6F09" w:rsidRPr="003D6F09" w:rsidRDefault="00A054CD" w:rsidP="00697072">
            <w:pPr>
              <w:ind w:firstLine="0"/>
              <w:jc w:val="both"/>
            </w:pPr>
            <w:r>
              <w:t>Nav</w:t>
            </w:r>
          </w:p>
        </w:tc>
      </w:tr>
    </w:tbl>
    <w:p w:rsidR="003D6F09" w:rsidRPr="003D6F09" w:rsidRDefault="003D6F09" w:rsidP="00697072">
      <w:pPr>
        <w:ind w:firstLine="0"/>
        <w:jc w:val="both"/>
      </w:pPr>
      <w:r w:rsidRPr="003D6F09">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3D6F09" w:rsidRPr="003D6F09" w:rsidTr="003D6F0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3D6F09" w:rsidRDefault="003D6F09" w:rsidP="00697072">
            <w:pPr>
              <w:ind w:firstLine="0"/>
              <w:jc w:val="both"/>
              <w:rPr>
                <w:b/>
                <w:bCs/>
              </w:rPr>
            </w:pPr>
            <w:r w:rsidRPr="003D6F09">
              <w:rPr>
                <w:b/>
                <w:bCs/>
              </w:rPr>
              <w:t>VII. Tiesību akta projekta izpildes nodrošināšana un tās ietekme uz institūcijām</w:t>
            </w:r>
          </w:p>
        </w:tc>
      </w:tr>
      <w:tr w:rsidR="00E73F67" w:rsidRPr="003D6F09" w:rsidTr="00E73F6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73F67" w:rsidRPr="003D6F09" w:rsidRDefault="00E73F67" w:rsidP="00697072">
            <w:pPr>
              <w:ind w:firstLine="0"/>
              <w:jc w:val="both"/>
            </w:pPr>
            <w:r w:rsidRPr="003D6F09">
              <w:t>1.</w:t>
            </w:r>
          </w:p>
        </w:tc>
        <w:tc>
          <w:tcPr>
            <w:tcW w:w="1875" w:type="pct"/>
            <w:tcBorders>
              <w:top w:val="outset" w:sz="6" w:space="0" w:color="auto"/>
              <w:left w:val="outset" w:sz="6" w:space="0" w:color="auto"/>
              <w:bottom w:val="outset" w:sz="6" w:space="0" w:color="auto"/>
              <w:right w:val="outset" w:sz="6" w:space="0" w:color="auto"/>
            </w:tcBorders>
            <w:hideMark/>
          </w:tcPr>
          <w:p w:rsidR="00E73F67" w:rsidRPr="003D6F09" w:rsidRDefault="00E73F67" w:rsidP="00697072">
            <w:pPr>
              <w:ind w:firstLine="0"/>
              <w:jc w:val="both"/>
            </w:pPr>
            <w:r w:rsidRPr="003D6F09">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E73F67" w:rsidRPr="003D6F09" w:rsidRDefault="00E73F67" w:rsidP="00697072">
            <w:pPr>
              <w:ind w:firstLine="0"/>
              <w:jc w:val="both"/>
            </w:pPr>
            <w:r>
              <w:t>Satiksmes ministrija, V</w:t>
            </w:r>
            <w:r w:rsidR="00657506">
              <w:t>SIA „Autotransporta direkcija”</w:t>
            </w:r>
          </w:p>
        </w:tc>
      </w:tr>
      <w:tr w:rsidR="003D6F09" w:rsidRPr="003D6F09" w:rsidTr="00E73F6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2.</w:t>
            </w:r>
          </w:p>
        </w:tc>
        <w:tc>
          <w:tcPr>
            <w:tcW w:w="1875"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 xml:space="preserve">Projekta izpildes ietekme uz pārvaldes funkcijām un institucionālo struktūru. </w:t>
            </w:r>
          </w:p>
          <w:p w:rsidR="003D6F09" w:rsidRPr="003D6F09" w:rsidRDefault="003D6F09" w:rsidP="00697072">
            <w:pPr>
              <w:ind w:firstLine="0"/>
              <w:jc w:val="both"/>
            </w:pPr>
            <w:r w:rsidRPr="003D6F09">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3D6F09" w:rsidRPr="003D6F09" w:rsidRDefault="00E73F67" w:rsidP="00697072">
            <w:pPr>
              <w:ind w:firstLine="0"/>
              <w:jc w:val="both"/>
            </w:pPr>
            <w:r w:rsidRPr="00E73F67">
              <w:t>Projekts šo jomu neskar</w:t>
            </w:r>
          </w:p>
        </w:tc>
      </w:tr>
      <w:tr w:rsidR="003D6F09" w:rsidRPr="003D6F09" w:rsidTr="00E73F6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3.</w:t>
            </w:r>
          </w:p>
        </w:tc>
        <w:tc>
          <w:tcPr>
            <w:tcW w:w="1875" w:type="pct"/>
            <w:tcBorders>
              <w:top w:val="outset" w:sz="6" w:space="0" w:color="auto"/>
              <w:left w:val="outset" w:sz="6" w:space="0" w:color="auto"/>
              <w:bottom w:val="outset" w:sz="6" w:space="0" w:color="auto"/>
              <w:right w:val="outset" w:sz="6" w:space="0" w:color="auto"/>
            </w:tcBorders>
            <w:hideMark/>
          </w:tcPr>
          <w:p w:rsidR="003D6F09" w:rsidRPr="003D6F09" w:rsidRDefault="003D6F09" w:rsidP="00697072">
            <w:pPr>
              <w:ind w:firstLine="0"/>
              <w:jc w:val="both"/>
            </w:pPr>
            <w:r w:rsidRPr="003D6F09">
              <w:t>Cita informācija</w:t>
            </w:r>
          </w:p>
        </w:tc>
        <w:tc>
          <w:tcPr>
            <w:tcW w:w="2813" w:type="pct"/>
            <w:tcBorders>
              <w:top w:val="outset" w:sz="6" w:space="0" w:color="auto"/>
              <w:left w:val="outset" w:sz="6" w:space="0" w:color="auto"/>
              <w:bottom w:val="outset" w:sz="6" w:space="0" w:color="auto"/>
              <w:right w:val="outset" w:sz="6" w:space="0" w:color="auto"/>
            </w:tcBorders>
            <w:hideMark/>
          </w:tcPr>
          <w:p w:rsidR="003D6F09" w:rsidRPr="003D6F09" w:rsidRDefault="00E73F67" w:rsidP="00697072">
            <w:pPr>
              <w:ind w:firstLine="0"/>
              <w:jc w:val="both"/>
            </w:pPr>
            <w:r>
              <w:t>Nav</w:t>
            </w:r>
          </w:p>
        </w:tc>
      </w:tr>
    </w:tbl>
    <w:p w:rsidR="002A1AFA" w:rsidRDefault="002A1AFA" w:rsidP="002A1AFA">
      <w:pPr>
        <w:jc w:val="both"/>
      </w:pPr>
    </w:p>
    <w:p w:rsidR="002A1AFA" w:rsidRDefault="002A1AFA" w:rsidP="002A1AFA">
      <w:pPr>
        <w:jc w:val="both"/>
      </w:pPr>
      <w:r w:rsidRPr="00C608C5">
        <w:lastRenderedPageBreak/>
        <w:t xml:space="preserve">Anotācijas </w:t>
      </w:r>
      <w:r>
        <w:t>III un IV sadaļa – projekts šīs</w:t>
      </w:r>
      <w:r w:rsidRPr="00C608C5">
        <w:t xml:space="preserve"> jom</w:t>
      </w:r>
      <w:r>
        <w:t>as</w:t>
      </w:r>
      <w:r w:rsidRPr="00C608C5">
        <w:t xml:space="preserve"> neskar</w:t>
      </w:r>
      <w:r>
        <w:t>.</w:t>
      </w:r>
    </w:p>
    <w:p w:rsidR="004B3EE8" w:rsidRDefault="004B3EE8" w:rsidP="00697072">
      <w:pPr>
        <w:ind w:firstLine="0"/>
        <w:jc w:val="both"/>
      </w:pPr>
    </w:p>
    <w:p w:rsidR="006441A3" w:rsidRDefault="006441A3" w:rsidP="00697072">
      <w:pPr>
        <w:ind w:firstLine="0"/>
        <w:jc w:val="both"/>
      </w:pPr>
    </w:p>
    <w:p w:rsidR="00D850BE" w:rsidRPr="00D16613" w:rsidRDefault="00D850BE" w:rsidP="00697072">
      <w:pPr>
        <w:pStyle w:val="Heading3"/>
        <w:tabs>
          <w:tab w:val="left" w:pos="6840"/>
        </w:tabs>
        <w:spacing w:before="0" w:after="0"/>
        <w:jc w:val="both"/>
        <w:rPr>
          <w:rFonts w:ascii="Times New Roman" w:hAnsi="Times New Roman"/>
          <w:b w:val="0"/>
          <w:sz w:val="28"/>
          <w:szCs w:val="28"/>
          <w:lang w:val="lv-LV"/>
        </w:rPr>
      </w:pPr>
      <w:r w:rsidRPr="00D16613">
        <w:rPr>
          <w:rFonts w:ascii="Times New Roman" w:hAnsi="Times New Roman"/>
          <w:b w:val="0"/>
          <w:sz w:val="28"/>
          <w:szCs w:val="28"/>
          <w:lang w:val="lv-LV"/>
        </w:rPr>
        <w:t>Satiksmes ministrs</w:t>
      </w:r>
      <w:r>
        <w:rPr>
          <w:rFonts w:ascii="Times New Roman" w:hAnsi="Times New Roman"/>
          <w:b w:val="0"/>
          <w:sz w:val="28"/>
          <w:szCs w:val="28"/>
          <w:lang w:val="lv-LV"/>
        </w:rPr>
        <w:tab/>
      </w:r>
      <w:r w:rsidRPr="00D16613">
        <w:rPr>
          <w:rFonts w:ascii="Times New Roman" w:hAnsi="Times New Roman"/>
          <w:b w:val="0"/>
          <w:sz w:val="28"/>
          <w:szCs w:val="28"/>
          <w:lang w:val="lv-LV"/>
        </w:rPr>
        <w:t>A.</w:t>
      </w:r>
      <w:r>
        <w:rPr>
          <w:rFonts w:ascii="Times New Roman" w:hAnsi="Times New Roman"/>
          <w:b w:val="0"/>
          <w:sz w:val="28"/>
          <w:szCs w:val="28"/>
          <w:lang w:val="lv-LV"/>
        </w:rPr>
        <w:t>Matīss</w:t>
      </w:r>
    </w:p>
    <w:p w:rsidR="00D850BE" w:rsidRPr="00D16613" w:rsidRDefault="00D850BE" w:rsidP="00697072">
      <w:pPr>
        <w:pStyle w:val="Header"/>
        <w:tabs>
          <w:tab w:val="clear" w:pos="4153"/>
          <w:tab w:val="center" w:pos="4536"/>
        </w:tabs>
        <w:jc w:val="both"/>
        <w:rPr>
          <w:sz w:val="28"/>
          <w:szCs w:val="28"/>
        </w:rPr>
      </w:pPr>
    </w:p>
    <w:p w:rsidR="00D850BE" w:rsidRPr="00D16613" w:rsidRDefault="00D850BE" w:rsidP="00697072">
      <w:pPr>
        <w:pStyle w:val="Header"/>
        <w:tabs>
          <w:tab w:val="clear" w:pos="4153"/>
          <w:tab w:val="center" w:pos="4536"/>
        </w:tabs>
        <w:jc w:val="both"/>
        <w:rPr>
          <w:sz w:val="28"/>
          <w:szCs w:val="28"/>
        </w:rPr>
      </w:pPr>
    </w:p>
    <w:p w:rsidR="00862419" w:rsidRPr="00862419" w:rsidRDefault="00862419" w:rsidP="00862419">
      <w:pPr>
        <w:pStyle w:val="Heading3"/>
        <w:tabs>
          <w:tab w:val="left" w:pos="6840"/>
        </w:tabs>
        <w:spacing w:before="0" w:after="0"/>
        <w:jc w:val="both"/>
        <w:rPr>
          <w:rFonts w:ascii="Times New Roman" w:hAnsi="Times New Roman"/>
          <w:b w:val="0"/>
          <w:sz w:val="28"/>
          <w:szCs w:val="28"/>
          <w:lang w:val="lv-LV"/>
        </w:rPr>
      </w:pPr>
      <w:r w:rsidRPr="00862419">
        <w:rPr>
          <w:rFonts w:ascii="Times New Roman" w:hAnsi="Times New Roman"/>
          <w:b w:val="0"/>
          <w:sz w:val="28"/>
          <w:szCs w:val="28"/>
          <w:lang w:val="lv-LV"/>
        </w:rPr>
        <w:t>Vīza: Valsts sekretārs</w:t>
      </w:r>
      <w:r>
        <w:rPr>
          <w:rFonts w:ascii="Times New Roman" w:hAnsi="Times New Roman"/>
          <w:b w:val="0"/>
          <w:sz w:val="28"/>
          <w:szCs w:val="28"/>
          <w:lang w:val="lv-LV"/>
        </w:rPr>
        <w:tab/>
      </w:r>
      <w:r w:rsidRPr="00862419">
        <w:rPr>
          <w:rFonts w:ascii="Times New Roman" w:hAnsi="Times New Roman"/>
          <w:b w:val="0"/>
          <w:sz w:val="28"/>
          <w:szCs w:val="28"/>
          <w:lang w:val="lv-LV"/>
        </w:rPr>
        <w:t>K.Ozoliņš</w:t>
      </w:r>
    </w:p>
    <w:p w:rsidR="006B14EF" w:rsidRDefault="006B14EF" w:rsidP="00697072">
      <w:pPr>
        <w:pStyle w:val="BodyTextIndent"/>
        <w:tabs>
          <w:tab w:val="left" w:pos="720"/>
        </w:tabs>
        <w:spacing w:after="0"/>
        <w:ind w:left="0"/>
        <w:jc w:val="both"/>
      </w:pPr>
    </w:p>
    <w:p w:rsidR="006B14EF" w:rsidRPr="00893EFB" w:rsidRDefault="006B14EF" w:rsidP="00697072">
      <w:pPr>
        <w:pStyle w:val="BodyTextIndent"/>
        <w:tabs>
          <w:tab w:val="left" w:pos="720"/>
        </w:tabs>
        <w:spacing w:after="0"/>
        <w:ind w:left="0"/>
        <w:jc w:val="both"/>
      </w:pPr>
    </w:p>
    <w:p w:rsidR="00D850BE" w:rsidRPr="00831DB4" w:rsidRDefault="000F28FC" w:rsidP="00697072">
      <w:pPr>
        <w:ind w:firstLine="0"/>
        <w:jc w:val="both"/>
        <w:rPr>
          <w:rFonts w:eastAsia="Times New Roman"/>
          <w:sz w:val="22"/>
        </w:rPr>
      </w:pPr>
      <w:r>
        <w:rPr>
          <w:rFonts w:eastAsia="Times New Roman"/>
          <w:sz w:val="22"/>
        </w:rPr>
        <w:t>24</w:t>
      </w:r>
      <w:r w:rsidR="00CA555B" w:rsidRPr="00831DB4">
        <w:rPr>
          <w:rFonts w:eastAsia="Times New Roman"/>
          <w:sz w:val="22"/>
        </w:rPr>
        <w:t>.</w:t>
      </w:r>
      <w:r w:rsidR="00106DF4">
        <w:rPr>
          <w:rFonts w:eastAsia="Times New Roman"/>
          <w:sz w:val="22"/>
        </w:rPr>
        <w:t>1</w:t>
      </w:r>
      <w:r w:rsidR="00D80E33">
        <w:rPr>
          <w:rFonts w:eastAsia="Times New Roman"/>
          <w:sz w:val="22"/>
        </w:rPr>
        <w:t>1</w:t>
      </w:r>
      <w:r w:rsidR="00D850BE" w:rsidRPr="00831DB4">
        <w:rPr>
          <w:rFonts w:eastAsia="Times New Roman"/>
          <w:sz w:val="22"/>
        </w:rPr>
        <w:t>.201</w:t>
      </w:r>
      <w:r w:rsidR="006441A3" w:rsidRPr="00831DB4">
        <w:rPr>
          <w:rFonts w:eastAsia="Times New Roman"/>
          <w:sz w:val="22"/>
        </w:rPr>
        <w:t>4</w:t>
      </w:r>
      <w:r w:rsidR="00D850BE" w:rsidRPr="00831DB4">
        <w:rPr>
          <w:rFonts w:eastAsia="Times New Roman"/>
          <w:sz w:val="22"/>
        </w:rPr>
        <w:t xml:space="preserve"> 15:00</w:t>
      </w:r>
    </w:p>
    <w:p w:rsidR="00D850BE" w:rsidRPr="00831DB4" w:rsidRDefault="0010638B" w:rsidP="00697072">
      <w:pPr>
        <w:ind w:firstLine="0"/>
        <w:jc w:val="both"/>
        <w:rPr>
          <w:rFonts w:eastAsia="Times New Roman"/>
          <w:sz w:val="22"/>
        </w:rPr>
      </w:pPr>
      <w:r w:rsidRPr="00831DB4">
        <w:rPr>
          <w:rFonts w:eastAsia="Times New Roman"/>
          <w:sz w:val="22"/>
        </w:rPr>
        <w:t>19</w:t>
      </w:r>
      <w:r w:rsidR="00296C63">
        <w:rPr>
          <w:rFonts w:eastAsia="Times New Roman"/>
          <w:sz w:val="22"/>
        </w:rPr>
        <w:t>14</w:t>
      </w:r>
    </w:p>
    <w:p w:rsidR="00D850BE" w:rsidRPr="00831DB4" w:rsidRDefault="00D850BE" w:rsidP="00697072">
      <w:pPr>
        <w:ind w:firstLine="0"/>
        <w:jc w:val="both"/>
        <w:rPr>
          <w:rFonts w:eastAsia="Times New Roman"/>
          <w:b/>
          <w:sz w:val="22"/>
          <w:u w:val="single"/>
        </w:rPr>
      </w:pPr>
      <w:r w:rsidRPr="00831DB4">
        <w:rPr>
          <w:rFonts w:eastAsia="Times New Roman"/>
          <w:sz w:val="22"/>
        </w:rPr>
        <w:t>S.Tanne, 7686480,</w:t>
      </w:r>
      <w:r w:rsidRPr="00831DB4">
        <w:rPr>
          <w:rFonts w:eastAsia="Times New Roman"/>
          <w:b/>
          <w:sz w:val="22"/>
          <w:u w:val="single"/>
        </w:rPr>
        <w:t xml:space="preserve"> </w:t>
      </w:r>
    </w:p>
    <w:p w:rsidR="00D850BE" w:rsidRPr="00831DB4" w:rsidRDefault="00D850BE" w:rsidP="00697072">
      <w:pPr>
        <w:ind w:firstLine="0"/>
        <w:jc w:val="both"/>
        <w:rPr>
          <w:rFonts w:eastAsia="Times New Roman"/>
          <w:sz w:val="22"/>
        </w:rPr>
      </w:pPr>
      <w:r w:rsidRPr="00831DB4">
        <w:rPr>
          <w:rFonts w:eastAsia="Times New Roman"/>
          <w:sz w:val="22"/>
        </w:rPr>
        <w:t>sandra.tanne@atd.lv</w:t>
      </w:r>
    </w:p>
    <w:p w:rsidR="00AB24BA" w:rsidRPr="00831DB4" w:rsidRDefault="00AB24BA" w:rsidP="00697072">
      <w:pPr>
        <w:ind w:firstLine="0"/>
        <w:jc w:val="both"/>
        <w:rPr>
          <w:sz w:val="22"/>
        </w:rPr>
      </w:pPr>
      <w:proofErr w:type="spellStart"/>
      <w:r w:rsidRPr="00831DB4">
        <w:rPr>
          <w:sz w:val="22"/>
        </w:rPr>
        <w:t>M.Vaics</w:t>
      </w:r>
      <w:proofErr w:type="spellEnd"/>
      <w:r w:rsidRPr="00831DB4">
        <w:rPr>
          <w:sz w:val="22"/>
        </w:rPr>
        <w:t>, 67686454</w:t>
      </w:r>
    </w:p>
    <w:p w:rsidR="00AB24BA" w:rsidRPr="00831DB4" w:rsidRDefault="00AB24BA" w:rsidP="00697072">
      <w:pPr>
        <w:ind w:firstLine="0"/>
        <w:jc w:val="both"/>
        <w:rPr>
          <w:sz w:val="22"/>
        </w:rPr>
      </w:pPr>
      <w:r w:rsidRPr="00831DB4">
        <w:rPr>
          <w:sz w:val="22"/>
        </w:rPr>
        <w:t>maris.vaics@atd.lv</w:t>
      </w:r>
    </w:p>
    <w:sectPr w:rsidR="00AB24BA" w:rsidRPr="00831DB4" w:rsidSect="00241323">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D4" w:rsidRDefault="00C77FD4" w:rsidP="008E3E94">
      <w:r>
        <w:separator/>
      </w:r>
    </w:p>
  </w:endnote>
  <w:endnote w:type="continuationSeparator" w:id="0">
    <w:p w:rsidR="00C77FD4" w:rsidRDefault="00C77FD4" w:rsidP="008E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E2" w:rsidRPr="008E3E94" w:rsidRDefault="00A37CE2" w:rsidP="00A37CE2">
    <w:pPr>
      <w:pStyle w:val="Footer"/>
      <w:ind w:firstLine="0"/>
      <w:jc w:val="both"/>
      <w:rPr>
        <w:sz w:val="20"/>
        <w:szCs w:val="20"/>
      </w:rPr>
    </w:pPr>
    <w:r>
      <w:rPr>
        <w:sz w:val="20"/>
        <w:szCs w:val="20"/>
      </w:rPr>
      <w:t>SAManot_</w:t>
    </w:r>
    <w:r w:rsidR="000F28FC">
      <w:rPr>
        <w:sz w:val="20"/>
        <w:szCs w:val="20"/>
      </w:rPr>
      <w:t>24</w:t>
    </w:r>
    <w:r w:rsidR="00D80E33">
      <w:rPr>
        <w:sz w:val="20"/>
        <w:szCs w:val="20"/>
      </w:rPr>
      <w:t>11</w:t>
    </w:r>
    <w:r>
      <w:rPr>
        <w:sz w:val="20"/>
        <w:szCs w:val="20"/>
      </w:rPr>
      <w:t xml:space="preserve">14_121; </w:t>
    </w:r>
    <w:r w:rsidRPr="008E3E94">
      <w:rPr>
        <w:sz w:val="20"/>
        <w:szCs w:val="20"/>
      </w:rPr>
      <w:t>Ministru kabineta noteikumu projekta „</w:t>
    </w:r>
    <w:r w:rsidRPr="00B6740C">
      <w:rPr>
        <w:sz w:val="20"/>
        <w:szCs w:val="20"/>
      </w:rPr>
      <w:t xml:space="preserve">Grozījumi Ministru kabineta </w:t>
    </w:r>
    <w:proofErr w:type="gramStart"/>
    <w:r w:rsidRPr="00B6740C">
      <w:rPr>
        <w:sz w:val="20"/>
        <w:szCs w:val="20"/>
      </w:rPr>
      <w:t>20</w:t>
    </w:r>
    <w:r>
      <w:rPr>
        <w:sz w:val="20"/>
        <w:szCs w:val="20"/>
      </w:rPr>
      <w:t>12</w:t>
    </w:r>
    <w:r w:rsidRPr="00B6740C">
      <w:rPr>
        <w:sz w:val="20"/>
        <w:szCs w:val="20"/>
      </w:rPr>
      <w:t>.gada</w:t>
    </w:r>
    <w:proofErr w:type="gramEnd"/>
    <w:r w:rsidRPr="00B6740C">
      <w:rPr>
        <w:sz w:val="20"/>
        <w:szCs w:val="20"/>
      </w:rPr>
      <w:t xml:space="preserve"> 21.</w:t>
    </w:r>
    <w:r w:rsidRPr="006B7AFF">
      <w:rPr>
        <w:sz w:val="20"/>
        <w:szCs w:val="20"/>
      </w:rPr>
      <w:t>februāra noteikumos Nr.121 „Kārtība, kādā izsniedz, anulē vai uz laiku aptur speciālās atļaujas (licences) un licences kartītes komercpārvadājumu veikšanai ar autotransportu un izsniedz autopārvadājumu vadītāja profesionālās kompetences sertifikātus””</w:t>
    </w:r>
    <w:r w:rsidRPr="008E3E94">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23" w:rsidRPr="008E3E94" w:rsidRDefault="00241323" w:rsidP="00241323">
    <w:pPr>
      <w:pStyle w:val="Footer"/>
      <w:ind w:firstLine="0"/>
      <w:jc w:val="both"/>
      <w:rPr>
        <w:sz w:val="20"/>
        <w:szCs w:val="20"/>
      </w:rPr>
    </w:pPr>
    <w:r>
      <w:rPr>
        <w:sz w:val="20"/>
        <w:szCs w:val="20"/>
      </w:rPr>
      <w:t>SAManot_</w:t>
    </w:r>
    <w:r w:rsidR="000F28FC">
      <w:rPr>
        <w:sz w:val="20"/>
        <w:szCs w:val="20"/>
      </w:rPr>
      <w:t>24</w:t>
    </w:r>
    <w:r w:rsidR="00D80E33">
      <w:rPr>
        <w:sz w:val="20"/>
        <w:szCs w:val="20"/>
      </w:rPr>
      <w:t>11</w:t>
    </w:r>
    <w:r>
      <w:rPr>
        <w:sz w:val="20"/>
        <w:szCs w:val="20"/>
      </w:rPr>
      <w:t>14_</w:t>
    </w:r>
    <w:r w:rsidR="006B7AFF">
      <w:rPr>
        <w:sz w:val="20"/>
        <w:szCs w:val="20"/>
      </w:rPr>
      <w:t>121</w:t>
    </w:r>
    <w:r>
      <w:rPr>
        <w:sz w:val="20"/>
        <w:szCs w:val="20"/>
      </w:rPr>
      <w:t xml:space="preserve">; </w:t>
    </w:r>
    <w:r w:rsidRPr="008E3E94">
      <w:rPr>
        <w:sz w:val="20"/>
        <w:szCs w:val="20"/>
      </w:rPr>
      <w:t>Ministru kabineta noteikumu projekta „</w:t>
    </w:r>
    <w:r w:rsidR="00B6740C" w:rsidRPr="00B6740C">
      <w:rPr>
        <w:sz w:val="20"/>
        <w:szCs w:val="20"/>
      </w:rPr>
      <w:t xml:space="preserve">Grozījumi Ministru kabineta </w:t>
    </w:r>
    <w:proofErr w:type="gramStart"/>
    <w:r w:rsidR="00B6740C" w:rsidRPr="00B6740C">
      <w:rPr>
        <w:sz w:val="20"/>
        <w:szCs w:val="20"/>
      </w:rPr>
      <w:t>20</w:t>
    </w:r>
    <w:r w:rsidR="00A37CE2">
      <w:rPr>
        <w:sz w:val="20"/>
        <w:szCs w:val="20"/>
      </w:rPr>
      <w:t>12</w:t>
    </w:r>
    <w:r w:rsidR="00B6740C" w:rsidRPr="00B6740C">
      <w:rPr>
        <w:sz w:val="20"/>
        <w:szCs w:val="20"/>
      </w:rPr>
      <w:t>.gada</w:t>
    </w:r>
    <w:proofErr w:type="gramEnd"/>
    <w:r w:rsidR="00B6740C" w:rsidRPr="00B6740C">
      <w:rPr>
        <w:sz w:val="20"/>
        <w:szCs w:val="20"/>
      </w:rPr>
      <w:t xml:space="preserve"> 21.</w:t>
    </w:r>
    <w:r w:rsidR="006B7AFF" w:rsidRPr="006B7AFF">
      <w:rPr>
        <w:sz w:val="20"/>
        <w:szCs w:val="20"/>
      </w:rPr>
      <w:t>februāra noteikumos Nr.121 „Kārtība, kādā izsniedz, anulē vai uz laiku aptur speciālās atļaujas (licences) un licences kartītes komercpārvadājumu veikšanai ar autotransportu un izsniedz autopārvadājumu vadītāja profesionālās kompetences sertifikātus””</w:t>
    </w:r>
    <w:r w:rsidRPr="008E3E94">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D4" w:rsidRDefault="00C77FD4" w:rsidP="008E3E94">
      <w:r>
        <w:separator/>
      </w:r>
    </w:p>
  </w:footnote>
  <w:footnote w:type="continuationSeparator" w:id="0">
    <w:p w:rsidR="00C77FD4" w:rsidRDefault="00C77FD4" w:rsidP="008E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rsidR="00241323" w:rsidRDefault="00241323">
        <w:pPr>
          <w:pStyle w:val="Header"/>
          <w:jc w:val="center"/>
        </w:pPr>
        <w:r>
          <w:fldChar w:fldCharType="begin"/>
        </w:r>
        <w:r>
          <w:instrText xml:space="preserve"> PAGE   \* MERGEFORMAT </w:instrText>
        </w:r>
        <w:r>
          <w:fldChar w:fldCharType="separate"/>
        </w:r>
        <w:r w:rsidR="00A625D4">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9FF228E"/>
    <w:multiLevelType w:val="hybridMultilevel"/>
    <w:tmpl w:val="8F6CC6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09"/>
    <w:rsid w:val="00012B56"/>
    <w:rsid w:val="00015DD1"/>
    <w:rsid w:val="00022F29"/>
    <w:rsid w:val="00023AA0"/>
    <w:rsid w:val="00026975"/>
    <w:rsid w:val="00027033"/>
    <w:rsid w:val="00042D07"/>
    <w:rsid w:val="000504FB"/>
    <w:rsid w:val="00055207"/>
    <w:rsid w:val="000660B8"/>
    <w:rsid w:val="0008117E"/>
    <w:rsid w:val="0008402A"/>
    <w:rsid w:val="0009515D"/>
    <w:rsid w:val="000B54DF"/>
    <w:rsid w:val="000C1D87"/>
    <w:rsid w:val="000C778A"/>
    <w:rsid w:val="000D346E"/>
    <w:rsid w:val="000E390F"/>
    <w:rsid w:val="000E4B3B"/>
    <w:rsid w:val="000E6406"/>
    <w:rsid w:val="000F28FC"/>
    <w:rsid w:val="000F6A81"/>
    <w:rsid w:val="00103027"/>
    <w:rsid w:val="001042E9"/>
    <w:rsid w:val="00105CF2"/>
    <w:rsid w:val="0010638B"/>
    <w:rsid w:val="00106DF4"/>
    <w:rsid w:val="00107D39"/>
    <w:rsid w:val="00122246"/>
    <w:rsid w:val="001232D4"/>
    <w:rsid w:val="001364BA"/>
    <w:rsid w:val="001478D9"/>
    <w:rsid w:val="00150DD5"/>
    <w:rsid w:val="001531F1"/>
    <w:rsid w:val="00161994"/>
    <w:rsid w:val="00165773"/>
    <w:rsid w:val="001748C6"/>
    <w:rsid w:val="001752A1"/>
    <w:rsid w:val="001816C5"/>
    <w:rsid w:val="001921A2"/>
    <w:rsid w:val="00195BD4"/>
    <w:rsid w:val="001B2709"/>
    <w:rsid w:val="001C068F"/>
    <w:rsid w:val="001C3CF7"/>
    <w:rsid w:val="001C4900"/>
    <w:rsid w:val="001C6818"/>
    <w:rsid w:val="00200300"/>
    <w:rsid w:val="00210B33"/>
    <w:rsid w:val="00222D19"/>
    <w:rsid w:val="00231D0F"/>
    <w:rsid w:val="002349E6"/>
    <w:rsid w:val="0023579B"/>
    <w:rsid w:val="00236D86"/>
    <w:rsid w:val="00241323"/>
    <w:rsid w:val="0024789D"/>
    <w:rsid w:val="002553DF"/>
    <w:rsid w:val="00266190"/>
    <w:rsid w:val="0026672A"/>
    <w:rsid w:val="00270112"/>
    <w:rsid w:val="00270D55"/>
    <w:rsid w:val="002847EF"/>
    <w:rsid w:val="00296C63"/>
    <w:rsid w:val="002A1AFA"/>
    <w:rsid w:val="002A693C"/>
    <w:rsid w:val="002A7343"/>
    <w:rsid w:val="002B134D"/>
    <w:rsid w:val="002B5B6D"/>
    <w:rsid w:val="002B7B0C"/>
    <w:rsid w:val="002C11AC"/>
    <w:rsid w:val="002C2042"/>
    <w:rsid w:val="002C6573"/>
    <w:rsid w:val="002C6900"/>
    <w:rsid w:val="002E404F"/>
    <w:rsid w:val="002E40B3"/>
    <w:rsid w:val="002F0255"/>
    <w:rsid w:val="002F43A9"/>
    <w:rsid w:val="002F5A73"/>
    <w:rsid w:val="003044C5"/>
    <w:rsid w:val="0032446C"/>
    <w:rsid w:val="003320F7"/>
    <w:rsid w:val="00340EB5"/>
    <w:rsid w:val="00353C0E"/>
    <w:rsid w:val="00355A5C"/>
    <w:rsid w:val="003720A4"/>
    <w:rsid w:val="003750F2"/>
    <w:rsid w:val="003A2DF4"/>
    <w:rsid w:val="003B7D06"/>
    <w:rsid w:val="003D37BE"/>
    <w:rsid w:val="003D6F09"/>
    <w:rsid w:val="003F198C"/>
    <w:rsid w:val="0040181E"/>
    <w:rsid w:val="0040505B"/>
    <w:rsid w:val="00406D6B"/>
    <w:rsid w:val="00427E90"/>
    <w:rsid w:val="004418C9"/>
    <w:rsid w:val="00445984"/>
    <w:rsid w:val="0046649D"/>
    <w:rsid w:val="00486B52"/>
    <w:rsid w:val="00490EDD"/>
    <w:rsid w:val="00494EBF"/>
    <w:rsid w:val="004A56CA"/>
    <w:rsid w:val="004A59B7"/>
    <w:rsid w:val="004A6405"/>
    <w:rsid w:val="004B2208"/>
    <w:rsid w:val="004B270E"/>
    <w:rsid w:val="004B3EE8"/>
    <w:rsid w:val="004B5EEF"/>
    <w:rsid w:val="004C60A6"/>
    <w:rsid w:val="004C667C"/>
    <w:rsid w:val="004E2013"/>
    <w:rsid w:val="004E2C48"/>
    <w:rsid w:val="004E2D03"/>
    <w:rsid w:val="004E4878"/>
    <w:rsid w:val="004F15CE"/>
    <w:rsid w:val="004F19C3"/>
    <w:rsid w:val="004F429E"/>
    <w:rsid w:val="00502F50"/>
    <w:rsid w:val="0051015D"/>
    <w:rsid w:val="00510705"/>
    <w:rsid w:val="005108F7"/>
    <w:rsid w:val="005231BE"/>
    <w:rsid w:val="005477DA"/>
    <w:rsid w:val="00550C5E"/>
    <w:rsid w:val="00555AB0"/>
    <w:rsid w:val="00565A96"/>
    <w:rsid w:val="005733D5"/>
    <w:rsid w:val="0058613E"/>
    <w:rsid w:val="00590030"/>
    <w:rsid w:val="00591D17"/>
    <w:rsid w:val="005A0055"/>
    <w:rsid w:val="005B003A"/>
    <w:rsid w:val="005B5C28"/>
    <w:rsid w:val="005B6D32"/>
    <w:rsid w:val="005C524B"/>
    <w:rsid w:val="005D31AD"/>
    <w:rsid w:val="005F26D3"/>
    <w:rsid w:val="005F40FA"/>
    <w:rsid w:val="00611733"/>
    <w:rsid w:val="006179C2"/>
    <w:rsid w:val="00620331"/>
    <w:rsid w:val="0062162B"/>
    <w:rsid w:val="006341E7"/>
    <w:rsid w:val="006441A3"/>
    <w:rsid w:val="00657506"/>
    <w:rsid w:val="0066225B"/>
    <w:rsid w:val="00670AAF"/>
    <w:rsid w:val="0067151E"/>
    <w:rsid w:val="00682CEE"/>
    <w:rsid w:val="00696A72"/>
    <w:rsid w:val="00697072"/>
    <w:rsid w:val="00697FE5"/>
    <w:rsid w:val="006A0B86"/>
    <w:rsid w:val="006A5057"/>
    <w:rsid w:val="006A5EC0"/>
    <w:rsid w:val="006B14EF"/>
    <w:rsid w:val="006B43D6"/>
    <w:rsid w:val="006B7AFF"/>
    <w:rsid w:val="006E2D94"/>
    <w:rsid w:val="006E2DCB"/>
    <w:rsid w:val="006E526D"/>
    <w:rsid w:val="00711064"/>
    <w:rsid w:val="007157B8"/>
    <w:rsid w:val="0071695F"/>
    <w:rsid w:val="0074450B"/>
    <w:rsid w:val="00745B01"/>
    <w:rsid w:val="00750D9B"/>
    <w:rsid w:val="00776DBA"/>
    <w:rsid w:val="00777C9C"/>
    <w:rsid w:val="00782BA1"/>
    <w:rsid w:val="007C500B"/>
    <w:rsid w:val="007C59D6"/>
    <w:rsid w:val="007D3B72"/>
    <w:rsid w:val="007D6259"/>
    <w:rsid w:val="007D680F"/>
    <w:rsid w:val="007E6D3B"/>
    <w:rsid w:val="007E76FE"/>
    <w:rsid w:val="007F1673"/>
    <w:rsid w:val="007F4A83"/>
    <w:rsid w:val="008010FC"/>
    <w:rsid w:val="00810F38"/>
    <w:rsid w:val="00814325"/>
    <w:rsid w:val="00826B7B"/>
    <w:rsid w:val="00827D32"/>
    <w:rsid w:val="00831DB4"/>
    <w:rsid w:val="00862419"/>
    <w:rsid w:val="00896F6A"/>
    <w:rsid w:val="008B0B42"/>
    <w:rsid w:val="008B2949"/>
    <w:rsid w:val="008B7AA1"/>
    <w:rsid w:val="008C5A4D"/>
    <w:rsid w:val="008E3E94"/>
    <w:rsid w:val="00913DE7"/>
    <w:rsid w:val="00917731"/>
    <w:rsid w:val="00923570"/>
    <w:rsid w:val="0092615D"/>
    <w:rsid w:val="00934146"/>
    <w:rsid w:val="00936DD6"/>
    <w:rsid w:val="00937238"/>
    <w:rsid w:val="00941458"/>
    <w:rsid w:val="0094794D"/>
    <w:rsid w:val="00950E63"/>
    <w:rsid w:val="00974F77"/>
    <w:rsid w:val="00985B76"/>
    <w:rsid w:val="00985DD7"/>
    <w:rsid w:val="009935C6"/>
    <w:rsid w:val="009B20DB"/>
    <w:rsid w:val="009C644D"/>
    <w:rsid w:val="009C78B2"/>
    <w:rsid w:val="009E7B36"/>
    <w:rsid w:val="009F1070"/>
    <w:rsid w:val="009F456F"/>
    <w:rsid w:val="009F4636"/>
    <w:rsid w:val="009F4E9B"/>
    <w:rsid w:val="00A0013D"/>
    <w:rsid w:val="00A054CD"/>
    <w:rsid w:val="00A05EEA"/>
    <w:rsid w:val="00A05FCF"/>
    <w:rsid w:val="00A1604C"/>
    <w:rsid w:val="00A264FC"/>
    <w:rsid w:val="00A34AA6"/>
    <w:rsid w:val="00A37CE2"/>
    <w:rsid w:val="00A4736E"/>
    <w:rsid w:val="00A544AA"/>
    <w:rsid w:val="00A625D4"/>
    <w:rsid w:val="00A74FDF"/>
    <w:rsid w:val="00A77D5E"/>
    <w:rsid w:val="00AA74C7"/>
    <w:rsid w:val="00AA792B"/>
    <w:rsid w:val="00AB24BA"/>
    <w:rsid w:val="00AB24D8"/>
    <w:rsid w:val="00AC4A53"/>
    <w:rsid w:val="00AD0AB6"/>
    <w:rsid w:val="00AF1583"/>
    <w:rsid w:val="00B0282E"/>
    <w:rsid w:val="00B04530"/>
    <w:rsid w:val="00B07DD7"/>
    <w:rsid w:val="00B35A58"/>
    <w:rsid w:val="00B4035D"/>
    <w:rsid w:val="00B459D5"/>
    <w:rsid w:val="00B550F7"/>
    <w:rsid w:val="00B566BD"/>
    <w:rsid w:val="00B605FE"/>
    <w:rsid w:val="00B632A1"/>
    <w:rsid w:val="00B6740C"/>
    <w:rsid w:val="00B676F2"/>
    <w:rsid w:val="00B71AD1"/>
    <w:rsid w:val="00B736B5"/>
    <w:rsid w:val="00B92DB0"/>
    <w:rsid w:val="00B94406"/>
    <w:rsid w:val="00BB1A73"/>
    <w:rsid w:val="00BB1A98"/>
    <w:rsid w:val="00BB7C74"/>
    <w:rsid w:val="00BC5C4D"/>
    <w:rsid w:val="00BD2D7E"/>
    <w:rsid w:val="00BD42E8"/>
    <w:rsid w:val="00BE7C1A"/>
    <w:rsid w:val="00BF0795"/>
    <w:rsid w:val="00C05047"/>
    <w:rsid w:val="00C104FD"/>
    <w:rsid w:val="00C17112"/>
    <w:rsid w:val="00C348B0"/>
    <w:rsid w:val="00C34BEC"/>
    <w:rsid w:val="00C4345E"/>
    <w:rsid w:val="00C4652B"/>
    <w:rsid w:val="00C72C85"/>
    <w:rsid w:val="00C72C88"/>
    <w:rsid w:val="00C7601F"/>
    <w:rsid w:val="00C77FD4"/>
    <w:rsid w:val="00C90852"/>
    <w:rsid w:val="00C910D9"/>
    <w:rsid w:val="00C91BD2"/>
    <w:rsid w:val="00C91F6C"/>
    <w:rsid w:val="00C9204C"/>
    <w:rsid w:val="00CA555B"/>
    <w:rsid w:val="00CA7330"/>
    <w:rsid w:val="00CB589D"/>
    <w:rsid w:val="00CC22A7"/>
    <w:rsid w:val="00CC502B"/>
    <w:rsid w:val="00CD02EE"/>
    <w:rsid w:val="00CD22BA"/>
    <w:rsid w:val="00CD7523"/>
    <w:rsid w:val="00CD7BF3"/>
    <w:rsid w:val="00CE32A1"/>
    <w:rsid w:val="00CF0AAC"/>
    <w:rsid w:val="00CF772E"/>
    <w:rsid w:val="00D0752C"/>
    <w:rsid w:val="00D244A9"/>
    <w:rsid w:val="00D364C3"/>
    <w:rsid w:val="00D36B80"/>
    <w:rsid w:val="00D65933"/>
    <w:rsid w:val="00D724DB"/>
    <w:rsid w:val="00D80E33"/>
    <w:rsid w:val="00D850BE"/>
    <w:rsid w:val="00DA2D1E"/>
    <w:rsid w:val="00DA2F71"/>
    <w:rsid w:val="00DA6D2E"/>
    <w:rsid w:val="00DC0C1A"/>
    <w:rsid w:val="00DD17BF"/>
    <w:rsid w:val="00DF31D9"/>
    <w:rsid w:val="00E04862"/>
    <w:rsid w:val="00E23C28"/>
    <w:rsid w:val="00E3418D"/>
    <w:rsid w:val="00E376CB"/>
    <w:rsid w:val="00E41D00"/>
    <w:rsid w:val="00E51E95"/>
    <w:rsid w:val="00E71C86"/>
    <w:rsid w:val="00E73F67"/>
    <w:rsid w:val="00E82136"/>
    <w:rsid w:val="00E975C3"/>
    <w:rsid w:val="00EA242B"/>
    <w:rsid w:val="00EB5A8F"/>
    <w:rsid w:val="00EF2969"/>
    <w:rsid w:val="00EF2A0C"/>
    <w:rsid w:val="00EF7E47"/>
    <w:rsid w:val="00F06820"/>
    <w:rsid w:val="00F13E2A"/>
    <w:rsid w:val="00F15964"/>
    <w:rsid w:val="00F42DD7"/>
    <w:rsid w:val="00F63375"/>
    <w:rsid w:val="00F64E59"/>
    <w:rsid w:val="00F7384E"/>
    <w:rsid w:val="00F746A0"/>
    <w:rsid w:val="00F81D26"/>
    <w:rsid w:val="00FA1FA1"/>
    <w:rsid w:val="00FA27AF"/>
    <w:rsid w:val="00FD3B90"/>
    <w:rsid w:val="00FF36A7"/>
    <w:rsid w:val="00FF4834"/>
    <w:rsid w:val="00FF49AF"/>
    <w:rsid w:val="00FF59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8E3E94"/>
    <w:pPr>
      <w:tabs>
        <w:tab w:val="center" w:pos="4153"/>
        <w:tab w:val="right" w:pos="8306"/>
      </w:tabs>
    </w:pPr>
  </w:style>
  <w:style w:type="character" w:customStyle="1" w:styleId="FooterChar">
    <w:name w:val="Footer Char"/>
    <w:basedOn w:val="DefaultParagraphFont"/>
    <w:link w:val="Footer"/>
    <w:uiPriority w:val="99"/>
    <w:rsid w:val="008E3E94"/>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 Char, C"/>
    <w:basedOn w:val="Normal"/>
    <w:link w:val="FootnoteTextChar1"/>
    <w:rsid w:val="00015DD1"/>
    <w:pPr>
      <w:ind w:firstLine="0"/>
    </w:pPr>
    <w:rPr>
      <w:rFonts w:eastAsia="Times New Roman" w:cs="Times New Roman"/>
      <w:sz w:val="20"/>
      <w:szCs w:val="20"/>
      <w:lang w:val="x-none"/>
    </w:rPr>
  </w:style>
  <w:style w:type="character" w:customStyle="1" w:styleId="FootnoteTextChar">
    <w:name w:val="Footnote Text Char"/>
    <w:basedOn w:val="DefaultParagraphFont"/>
    <w:uiPriority w:val="99"/>
    <w:semiHidden/>
    <w:rsid w:val="00015DD1"/>
    <w:rPr>
      <w:sz w:val="20"/>
      <w:szCs w:val="20"/>
    </w:rPr>
  </w:style>
  <w:style w:type="character" w:styleId="FootnoteReference">
    <w:name w:val="footnote reference"/>
    <w:aliases w:val="Footnote Reference Number,SUPERS,Footnote symbol"/>
    <w:rsid w:val="00015DD1"/>
    <w:rPr>
      <w:vertAlign w:val="superscript"/>
    </w:rPr>
  </w:style>
  <w:style w:type="character" w:customStyle="1" w:styleId="FootnoteTextChar1">
    <w:name w:val="Footnote Text Char1"/>
    <w:aliases w:val="Footnote Char,Fußnote Char,Char Char,Char Rakstz. Rakstz. Rakstz. Char,Footnote Text Char2 Char,Footnote Text Char1 Char Char,Footnote Text Char1 Char Char Char Char,Footnote Text Char1 Char Char Char Rakstz. Rakstz. Char,Cha Char"/>
    <w:link w:val="FootnoteText"/>
    <w:locked/>
    <w:rsid w:val="00015DD1"/>
    <w:rPr>
      <w:rFonts w:eastAsia="Times New Roman" w:cs="Times New Roman"/>
      <w:sz w:val="20"/>
      <w:szCs w:val="20"/>
      <w:lang w:val="x-none"/>
    </w:rPr>
  </w:style>
  <w:style w:type="paragraph" w:styleId="ListParagraph">
    <w:name w:val="List Paragraph"/>
    <w:basedOn w:val="Normal"/>
    <w:uiPriority w:val="34"/>
    <w:qFormat/>
    <w:rsid w:val="006E2DCB"/>
    <w:pPr>
      <w:ind w:left="720"/>
      <w:contextualSpacing/>
    </w:pPr>
  </w:style>
  <w:style w:type="paragraph" w:styleId="BalloonText">
    <w:name w:val="Balloon Text"/>
    <w:basedOn w:val="Normal"/>
    <w:link w:val="BalloonTextChar"/>
    <w:uiPriority w:val="99"/>
    <w:semiHidden/>
    <w:unhideWhenUsed/>
    <w:rsid w:val="00590030"/>
    <w:rPr>
      <w:rFonts w:ascii="Tahoma" w:hAnsi="Tahoma" w:cs="Tahoma"/>
      <w:sz w:val="16"/>
      <w:szCs w:val="16"/>
    </w:rPr>
  </w:style>
  <w:style w:type="character" w:customStyle="1" w:styleId="BalloonTextChar">
    <w:name w:val="Balloon Text Char"/>
    <w:basedOn w:val="DefaultParagraphFont"/>
    <w:link w:val="BalloonText"/>
    <w:uiPriority w:val="99"/>
    <w:semiHidden/>
    <w:rsid w:val="00590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8E3E94"/>
    <w:pPr>
      <w:tabs>
        <w:tab w:val="center" w:pos="4153"/>
        <w:tab w:val="right" w:pos="8306"/>
      </w:tabs>
    </w:pPr>
  </w:style>
  <w:style w:type="character" w:customStyle="1" w:styleId="FooterChar">
    <w:name w:val="Footer Char"/>
    <w:basedOn w:val="DefaultParagraphFont"/>
    <w:link w:val="Footer"/>
    <w:uiPriority w:val="99"/>
    <w:rsid w:val="008E3E94"/>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 Char, C"/>
    <w:basedOn w:val="Normal"/>
    <w:link w:val="FootnoteTextChar1"/>
    <w:rsid w:val="00015DD1"/>
    <w:pPr>
      <w:ind w:firstLine="0"/>
    </w:pPr>
    <w:rPr>
      <w:rFonts w:eastAsia="Times New Roman" w:cs="Times New Roman"/>
      <w:sz w:val="20"/>
      <w:szCs w:val="20"/>
      <w:lang w:val="x-none"/>
    </w:rPr>
  </w:style>
  <w:style w:type="character" w:customStyle="1" w:styleId="FootnoteTextChar">
    <w:name w:val="Footnote Text Char"/>
    <w:basedOn w:val="DefaultParagraphFont"/>
    <w:uiPriority w:val="99"/>
    <w:semiHidden/>
    <w:rsid w:val="00015DD1"/>
    <w:rPr>
      <w:sz w:val="20"/>
      <w:szCs w:val="20"/>
    </w:rPr>
  </w:style>
  <w:style w:type="character" w:styleId="FootnoteReference">
    <w:name w:val="footnote reference"/>
    <w:aliases w:val="Footnote Reference Number,SUPERS,Footnote symbol"/>
    <w:rsid w:val="00015DD1"/>
    <w:rPr>
      <w:vertAlign w:val="superscript"/>
    </w:rPr>
  </w:style>
  <w:style w:type="character" w:customStyle="1" w:styleId="FootnoteTextChar1">
    <w:name w:val="Footnote Text Char1"/>
    <w:aliases w:val="Footnote Char,Fußnote Char,Char Char,Char Rakstz. Rakstz. Rakstz. Char,Footnote Text Char2 Char,Footnote Text Char1 Char Char,Footnote Text Char1 Char Char Char Char,Footnote Text Char1 Char Char Char Rakstz. Rakstz. Char,Cha Char"/>
    <w:link w:val="FootnoteText"/>
    <w:locked/>
    <w:rsid w:val="00015DD1"/>
    <w:rPr>
      <w:rFonts w:eastAsia="Times New Roman" w:cs="Times New Roman"/>
      <w:sz w:val="20"/>
      <w:szCs w:val="20"/>
      <w:lang w:val="x-none"/>
    </w:rPr>
  </w:style>
  <w:style w:type="paragraph" w:styleId="ListParagraph">
    <w:name w:val="List Paragraph"/>
    <w:basedOn w:val="Normal"/>
    <w:uiPriority w:val="34"/>
    <w:qFormat/>
    <w:rsid w:val="006E2DCB"/>
    <w:pPr>
      <w:ind w:left="720"/>
      <w:contextualSpacing/>
    </w:pPr>
  </w:style>
  <w:style w:type="paragraph" w:styleId="BalloonText">
    <w:name w:val="Balloon Text"/>
    <w:basedOn w:val="Normal"/>
    <w:link w:val="BalloonTextChar"/>
    <w:uiPriority w:val="99"/>
    <w:semiHidden/>
    <w:unhideWhenUsed/>
    <w:rsid w:val="00590030"/>
    <w:rPr>
      <w:rFonts w:ascii="Tahoma" w:hAnsi="Tahoma" w:cs="Tahoma"/>
      <w:sz w:val="16"/>
      <w:szCs w:val="16"/>
    </w:rPr>
  </w:style>
  <w:style w:type="character" w:customStyle="1" w:styleId="BalloonTextChar">
    <w:name w:val="Balloon Text Char"/>
    <w:basedOn w:val="DefaultParagraphFont"/>
    <w:link w:val="BalloonText"/>
    <w:uiPriority w:val="99"/>
    <w:semiHidden/>
    <w:rsid w:val="00590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9CDC-90E7-48B8-8175-4A4BA6F0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10293</Words>
  <Characters>5868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21.februāra noteikumos Nr.121 „Kārtība, kādā izsniedz, anulē vai uz laiku aptur speciālās atļaujas (licences) un licences kartītes komercpārvadājumu veikšanai ar autotransportu un</vt:lpstr>
    </vt:vector>
  </TitlesOfParts>
  <Company>Satiksmes ministrija</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21.februāra noteikumos Nr.121 „Kārtība, kādā izsniedz, anulē vai uz laiku aptur speciālās atļaujas (licences) un licences kartītes komercpārvadājumu veikšanai ar autotransportu un izsniedz autopārvadājumu vadītāja profesionālās kompetences sertifikātus”” sākotnējās ietekmes novērtējuma ziņojums (anotācija)</dc:title>
  <dc:subject>Ministru kabineta noteikumu projekts</dc:subject>
  <dc:creator>S.Tanne, M.Vaics</dc:creator>
  <dc:description>S.Tanne, 7686480, 
sandra.tanne@atd.lv
M.Vaics, 67686454
maris.vaics@atd.lv</dc:description>
  <cp:lastModifiedBy>Sandra Tanne</cp:lastModifiedBy>
  <cp:revision>6</cp:revision>
  <cp:lastPrinted>2014-11-03T07:59:00Z</cp:lastPrinted>
  <dcterms:created xsi:type="dcterms:W3CDTF">2014-11-22T12:51:00Z</dcterms:created>
  <dcterms:modified xsi:type="dcterms:W3CDTF">2014-11-24T07:19:00Z</dcterms:modified>
</cp:coreProperties>
</file>