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3C4" w:rsidRPr="00870EF7" w:rsidRDefault="006333C4" w:rsidP="006333C4">
      <w:pPr>
        <w:jc w:val="center"/>
        <w:rPr>
          <w:b/>
          <w:sz w:val="26"/>
          <w:szCs w:val="26"/>
        </w:rPr>
      </w:pPr>
      <w:r w:rsidRPr="00870EF7">
        <w:rPr>
          <w:b/>
          <w:sz w:val="26"/>
          <w:szCs w:val="26"/>
        </w:rPr>
        <w:t>Ministru kabineta noteikumu projekta „Grozījumi Ministru kabineta</w:t>
      </w:r>
    </w:p>
    <w:p w:rsidR="006333C4" w:rsidRPr="00870EF7" w:rsidRDefault="006333C4" w:rsidP="006333C4">
      <w:pPr>
        <w:jc w:val="center"/>
        <w:rPr>
          <w:b/>
          <w:sz w:val="26"/>
          <w:szCs w:val="26"/>
        </w:rPr>
      </w:pPr>
      <w:r w:rsidRPr="00870EF7">
        <w:rPr>
          <w:b/>
          <w:sz w:val="26"/>
          <w:szCs w:val="26"/>
        </w:rPr>
        <w:t>2009.gada 12.maija noteikumos Nr.425 „Reliģiskās savienības (baznīcas)</w:t>
      </w:r>
    </w:p>
    <w:p w:rsidR="006333C4" w:rsidRPr="00870EF7" w:rsidRDefault="006333C4" w:rsidP="006333C4">
      <w:pPr>
        <w:jc w:val="center"/>
        <w:rPr>
          <w:b/>
          <w:sz w:val="26"/>
          <w:szCs w:val="26"/>
        </w:rPr>
      </w:pPr>
      <w:r w:rsidRPr="00870EF7">
        <w:rPr>
          <w:b/>
          <w:sz w:val="26"/>
          <w:szCs w:val="26"/>
        </w:rPr>
        <w:t>garīdznieku saraksta iesniegšanas un aktualizācijas kārtība”</w:t>
      </w:r>
    </w:p>
    <w:p w:rsidR="006333C4" w:rsidRPr="00870EF7" w:rsidRDefault="006333C4" w:rsidP="006333C4">
      <w:pPr>
        <w:jc w:val="center"/>
        <w:rPr>
          <w:b/>
          <w:bCs/>
          <w:sz w:val="26"/>
          <w:szCs w:val="26"/>
        </w:rPr>
      </w:pPr>
      <w:r w:rsidRPr="00870EF7">
        <w:rPr>
          <w:b/>
          <w:bCs/>
          <w:sz w:val="26"/>
          <w:szCs w:val="26"/>
        </w:rPr>
        <w:t>sākotnējās ietekmes novērtējuma ziņojums (anotācija)</w:t>
      </w:r>
    </w:p>
    <w:p w:rsidR="006333C4" w:rsidRPr="00870EF7" w:rsidRDefault="006333C4" w:rsidP="006333C4">
      <w:pPr>
        <w:ind w:firstLine="0"/>
        <w:rPr>
          <w:b/>
          <w:bCs/>
          <w:sz w:val="26"/>
          <w:szCs w:val="26"/>
        </w:rPr>
      </w:pPr>
    </w:p>
    <w:p w:rsidR="006333C4" w:rsidRPr="00870EF7" w:rsidRDefault="006333C4" w:rsidP="006333C4">
      <w:pPr>
        <w:jc w:val="center"/>
        <w:rPr>
          <w:b/>
          <w:bCs/>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870EF7" w:rsidRPr="00870EF7" w:rsidTr="00B81EC5">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333C4" w:rsidRPr="00870EF7" w:rsidRDefault="006333C4" w:rsidP="006333C4">
            <w:pPr>
              <w:rPr>
                <w:b/>
                <w:bCs/>
                <w:sz w:val="26"/>
                <w:szCs w:val="26"/>
              </w:rPr>
            </w:pPr>
            <w:r w:rsidRPr="00870EF7">
              <w:rPr>
                <w:b/>
                <w:bCs/>
                <w:sz w:val="26"/>
                <w:szCs w:val="26"/>
              </w:rPr>
              <w:t>I. Tiesību akta projekta izstrādes nepieciešamība</w:t>
            </w:r>
          </w:p>
        </w:tc>
      </w:tr>
      <w:tr w:rsidR="00870EF7" w:rsidRPr="00870EF7" w:rsidTr="00B81EC5">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1.</w:t>
            </w:r>
          </w:p>
        </w:tc>
        <w:tc>
          <w:tcPr>
            <w:tcW w:w="1550"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iCs/>
                <w:sz w:val="26"/>
                <w:szCs w:val="26"/>
              </w:rPr>
            </w:pPr>
            <w:r w:rsidRPr="00870EF7">
              <w:rPr>
                <w:iCs/>
                <w:sz w:val="26"/>
                <w:szCs w:val="26"/>
              </w:rPr>
              <w:t>Likuma „Par Latvijas Republikas un Svētā Krēsla līgumu” 1.</w:t>
            </w:r>
            <w:r w:rsidRPr="00870EF7">
              <w:rPr>
                <w:iCs/>
                <w:sz w:val="26"/>
                <w:szCs w:val="26"/>
                <w:vertAlign w:val="superscript"/>
              </w:rPr>
              <w:t>2</w:t>
            </w:r>
            <w:r w:rsidRPr="00870EF7">
              <w:rPr>
                <w:iCs/>
                <w:sz w:val="26"/>
                <w:szCs w:val="26"/>
              </w:rPr>
              <w:t>panta pirmās daļas 3.punkts.</w:t>
            </w:r>
          </w:p>
          <w:p w:rsidR="006333C4" w:rsidRPr="00870EF7" w:rsidRDefault="006333C4" w:rsidP="006333C4">
            <w:pPr>
              <w:ind w:firstLine="0"/>
              <w:rPr>
                <w:sz w:val="26"/>
                <w:szCs w:val="26"/>
              </w:rPr>
            </w:pPr>
          </w:p>
        </w:tc>
      </w:tr>
      <w:tr w:rsidR="00870EF7" w:rsidRPr="00870EF7" w:rsidTr="00B81EC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2.</w:t>
            </w:r>
          </w:p>
        </w:tc>
        <w:tc>
          <w:tcPr>
            <w:tcW w:w="1550"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 xml:space="preserve">Likumos, kas regulē reliģisko savienību (baznīcu) un valsts attiecības, ir noteikts deleģējums reliģisko savienību (baznīcu) garīdzniekiem laulāt ar civiltiesiskām sekām un pildīt kapelāna pienākumus. Septītās Dienas Adventistu Latvijas draudžu savienības likuma 16.panta pirmā daļa, Latvijas Baptistu Draudžu Savienības likuma 16.panta pirmā daļa, Latvijas Apvienotās Metodistu Baznīcas likuma 13.pants pirmā daļa, Latvijas Vecticībnieku </w:t>
            </w:r>
            <w:proofErr w:type="spellStart"/>
            <w:r w:rsidRPr="00870EF7">
              <w:rPr>
                <w:sz w:val="26"/>
                <w:szCs w:val="26"/>
              </w:rPr>
              <w:t>Pomoras</w:t>
            </w:r>
            <w:proofErr w:type="spellEnd"/>
            <w:r w:rsidRPr="00870EF7">
              <w:rPr>
                <w:sz w:val="26"/>
                <w:szCs w:val="26"/>
              </w:rPr>
              <w:t xml:space="preserve"> Baznīcas likuma 13.panta pirmā daļa, Rīgas ebreju reliģiskās draudzes likuma 14.panta trešā daļa, Latvijas Pareizticīgās Baznīcas likuma 18.panta pirmā daļa, Latvijas Evaņģēliski luteriskās Baznīcas likuma 16.panta pirmā daļa paredz deleģējumu Ministru kabinetam izdot noteikumus, kas regulētu iesniedzamo ziņu apjomu, to iesniegšanas un aktualizācijas kārtību un termiņus.</w:t>
            </w:r>
          </w:p>
          <w:p w:rsidR="006333C4" w:rsidRPr="00870EF7" w:rsidRDefault="006333C4" w:rsidP="006333C4">
            <w:pPr>
              <w:ind w:firstLine="0"/>
              <w:rPr>
                <w:sz w:val="26"/>
                <w:szCs w:val="26"/>
              </w:rPr>
            </w:pPr>
            <w:r w:rsidRPr="00870EF7">
              <w:rPr>
                <w:sz w:val="26"/>
                <w:szCs w:val="26"/>
              </w:rPr>
              <w:t>Savukārt likums „Par Latvijas Republikas un Svētā Krēsla līgumu” paredz Katoļu Baznīcas Latvijā garīdzniekiem tiesības noslēgt kanoniskās laulības ar civiltiesiskām sekām, kā arī pildīt kapelāna pienākumus, bet nav paredzēts deleģējums Ministru kabinetam noteikt iesniedzamo ziņu apjomu, to iesniegšanas un aktualizācijas kārtību un termiņus.</w:t>
            </w:r>
          </w:p>
          <w:p w:rsidR="006333C4" w:rsidRPr="00870EF7" w:rsidRDefault="006333C4" w:rsidP="006333C4">
            <w:pPr>
              <w:ind w:firstLine="0"/>
              <w:rPr>
                <w:sz w:val="26"/>
                <w:szCs w:val="26"/>
              </w:rPr>
            </w:pPr>
            <w:r w:rsidRPr="00870EF7">
              <w:rPr>
                <w:sz w:val="26"/>
                <w:szCs w:val="26"/>
              </w:rPr>
              <w:t xml:space="preserve">Lai nodrošinātu likuma „Par Latvijas Republikas un Svētā Krēsla līgumu” prasības, 2013.gada 13.jūnijā tika pieņemts likums „Grozījumi likumā „Par Latvijas Republikas un Svētā Krēsla līgumu””, kas noteic attiecīgās diecēzes bīskapam vai amatpersonai, kura viņa aizvieto, pienākumu informēt Tieslietu ministriju par viņam kanoniski pakļautajiem garīdzniekiem, pie kuriem var noslēgt kanoniskās laulības, kas rada tiesiskās sekas, un par viņam kanoniski pakļautajiem garīdzniekiem (kapelāniem), kuri ir tiesīgi veikt Līguma III (Katoļu garīgā aprūpe Latvijas Republikas </w:t>
            </w:r>
            <w:r w:rsidRPr="00870EF7">
              <w:rPr>
                <w:sz w:val="26"/>
                <w:szCs w:val="26"/>
              </w:rPr>
              <w:lastRenderedPageBreak/>
              <w:t>Nacionālajos Bruņotajos Spēkos) un IV (Katoļu garīgā aprūpe Latvijas Republikas cietumos) daļā noteikto garīgo aprūpi.</w:t>
            </w:r>
          </w:p>
          <w:p w:rsidR="006333C4" w:rsidRPr="00870EF7" w:rsidRDefault="006333C4" w:rsidP="006333C4">
            <w:pPr>
              <w:ind w:firstLine="0"/>
              <w:rPr>
                <w:sz w:val="26"/>
                <w:szCs w:val="26"/>
              </w:rPr>
            </w:pPr>
            <w:r w:rsidRPr="00870EF7">
              <w:rPr>
                <w:sz w:val="26"/>
                <w:szCs w:val="26"/>
              </w:rPr>
              <w:t>Ņemot vērā, ka šobrīd tiesiskais regulējums neparedz kārtību, kādā Katoļu Baznīcas diecēzes bīskaps vai amatpersona, kura viņu aizvieto, informē Tieslietu ministriju par garīdzniekiem, kuriem ir tiesības laulāt ar tiesiskām sekām, kā arī pildīt kapelāna pienākumus, ir nepieciešams precizēt tiesisko regulējumu, lai nodrošinātu likumā „Par Latvijas Republikas un Svētā Krēsla līgumu” noteiktās prasības.</w:t>
            </w:r>
          </w:p>
          <w:p w:rsidR="006333C4" w:rsidRPr="00870EF7" w:rsidRDefault="006333C4" w:rsidP="006333C4">
            <w:pPr>
              <w:ind w:firstLine="0"/>
              <w:rPr>
                <w:sz w:val="26"/>
                <w:szCs w:val="26"/>
              </w:rPr>
            </w:pPr>
            <w:r w:rsidRPr="00870EF7">
              <w:rPr>
                <w:iCs/>
                <w:sz w:val="26"/>
                <w:szCs w:val="26"/>
              </w:rPr>
              <w:t>Lai nodrošinātu Tieslietu ministrijas informēšanu par Katoļu Baznīcas Latvijā garīdzniekiem, kuriem ir tiesības laulāt ar tiesiskām sekām, kā arī pildīt kapelāna pienākumus, tiek papildināta norāde ar atsauci uz likumu „Par Latvijas un Svētā Krēsla līgumu”, kā arī papildināti Ministru kabineta noteikumi ar jaunu subjektu – Katoļu baznīcas diecēzes bīskapu vai amatpersonu, kura viņu aizvieto.</w:t>
            </w:r>
          </w:p>
        </w:tc>
      </w:tr>
      <w:tr w:rsidR="00870EF7" w:rsidRPr="00870EF7" w:rsidTr="00B81EC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Katoļu Baznīcas Latvijā vadība piedalījās likuma „Grozījumi likumā „Par Latvijas Republikas un Svētā Krēsla līgumu””, kas pieņemti Saeimā 2013.gada 13.jūnijā, izstrādē, tādējādi konceptuāli atbalstot tiesisko regulējumu attiecībā uz Tieslietu ministrijas informēšanas nepieciešamību par Katoļu Baznīcas Latvijā garīdzniekiem, kuriem ir tiesības laulāt ar tiesiskām sekām, kā arī pildīt kapelāna pienākumus.</w:t>
            </w:r>
          </w:p>
          <w:p w:rsidR="006333C4" w:rsidRPr="00870EF7" w:rsidRDefault="006333C4" w:rsidP="006333C4">
            <w:pPr>
              <w:ind w:firstLine="0"/>
              <w:rPr>
                <w:sz w:val="26"/>
                <w:szCs w:val="26"/>
              </w:rPr>
            </w:pPr>
          </w:p>
        </w:tc>
      </w:tr>
      <w:tr w:rsidR="00870EF7" w:rsidRPr="00870EF7" w:rsidTr="00B81EC5">
        <w:tc>
          <w:tcPr>
            <w:tcW w:w="250"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4.</w:t>
            </w:r>
          </w:p>
        </w:tc>
        <w:tc>
          <w:tcPr>
            <w:tcW w:w="1550"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Nav.</w:t>
            </w:r>
          </w:p>
        </w:tc>
      </w:tr>
      <w:tr w:rsidR="006333C4" w:rsidRPr="00870EF7" w:rsidTr="00B81EC5">
        <w:trPr>
          <w:trHeight w:val="128"/>
        </w:trPr>
        <w:tc>
          <w:tcPr>
            <w:tcW w:w="5000" w:type="pct"/>
            <w:gridSpan w:val="3"/>
            <w:tcBorders>
              <w:top w:val="outset" w:sz="6" w:space="0" w:color="414142"/>
              <w:left w:val="nil"/>
              <w:bottom w:val="outset" w:sz="6" w:space="0" w:color="414142"/>
              <w:right w:val="nil"/>
            </w:tcBorders>
          </w:tcPr>
          <w:p w:rsidR="006333C4" w:rsidRPr="00870EF7" w:rsidRDefault="006333C4" w:rsidP="006333C4">
            <w:pPr>
              <w:ind w:firstLine="0"/>
              <w:rPr>
                <w:sz w:val="26"/>
                <w:szCs w:val="26"/>
              </w:rPr>
            </w:pPr>
            <w:r w:rsidRPr="00870EF7">
              <w:rPr>
                <w:sz w:val="26"/>
                <w:szCs w:val="26"/>
              </w:rPr>
              <w:tab/>
            </w:r>
          </w:p>
        </w:tc>
      </w:tr>
    </w:tbl>
    <w:p w:rsidR="006333C4" w:rsidRPr="00870EF7" w:rsidRDefault="006333C4" w:rsidP="006333C4">
      <w:pPr>
        <w:ind w:firstLine="0"/>
        <w:rPr>
          <w:vanish/>
          <w:sz w:val="26"/>
          <w:szCs w:val="26"/>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957"/>
      </w:tblGrid>
      <w:tr w:rsidR="00870EF7" w:rsidRPr="00870EF7" w:rsidTr="00B81EC5">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rsidR="006333C4" w:rsidRPr="00870EF7" w:rsidRDefault="006333C4" w:rsidP="006333C4">
            <w:pPr>
              <w:ind w:firstLine="0"/>
              <w:rPr>
                <w:b/>
                <w:bCs/>
                <w:sz w:val="26"/>
                <w:szCs w:val="26"/>
              </w:rPr>
            </w:pPr>
            <w:r w:rsidRPr="00870EF7">
              <w:rPr>
                <w:b/>
                <w:bCs/>
                <w:sz w:val="26"/>
                <w:szCs w:val="26"/>
              </w:rPr>
              <w:t>II. Tiesību akta projekta ietekme uz sabiedrību, tautsaimniecības attīstību un administratīvo slogu</w:t>
            </w:r>
          </w:p>
        </w:tc>
      </w:tr>
      <w:tr w:rsidR="00870EF7" w:rsidRPr="00870EF7" w:rsidTr="00B81EC5">
        <w:trPr>
          <w:trHeight w:val="465"/>
        </w:trPr>
        <w:tc>
          <w:tcPr>
            <w:tcW w:w="247"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1.</w:t>
            </w:r>
          </w:p>
        </w:tc>
        <w:tc>
          <w:tcPr>
            <w:tcW w:w="1531"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Sabiedrības mērķgrupas, kuras tiesiskais regulējums ietekmē vai varētu ietekmēt</w:t>
            </w:r>
          </w:p>
        </w:tc>
        <w:tc>
          <w:tcPr>
            <w:tcW w:w="3222"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iCs/>
                <w:sz w:val="26"/>
                <w:szCs w:val="26"/>
              </w:rPr>
            </w:pPr>
            <w:r w:rsidRPr="00870EF7">
              <w:rPr>
                <w:iCs/>
                <w:sz w:val="26"/>
                <w:szCs w:val="26"/>
              </w:rPr>
              <w:t>Katoļu baznīcas publisko tiesību juridiskās personas.</w:t>
            </w:r>
          </w:p>
          <w:p w:rsidR="006333C4" w:rsidRPr="00870EF7" w:rsidRDefault="006333C4" w:rsidP="006333C4">
            <w:pPr>
              <w:ind w:firstLine="0"/>
              <w:rPr>
                <w:sz w:val="26"/>
                <w:szCs w:val="26"/>
              </w:rPr>
            </w:pPr>
            <w:r w:rsidRPr="00870EF7">
              <w:rPr>
                <w:iCs/>
                <w:sz w:val="26"/>
                <w:szCs w:val="26"/>
              </w:rPr>
              <w:t xml:space="preserve">Šobrīd reliģisko organizāciju un to iestāžu reģistrā ir reģistrētas 4 diecēzes un 246 draudzes. </w:t>
            </w:r>
          </w:p>
        </w:tc>
      </w:tr>
      <w:tr w:rsidR="00870EF7" w:rsidRPr="00870EF7" w:rsidTr="00B81EC5">
        <w:trPr>
          <w:trHeight w:val="510"/>
        </w:trPr>
        <w:tc>
          <w:tcPr>
            <w:tcW w:w="247"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2.</w:t>
            </w:r>
          </w:p>
        </w:tc>
        <w:tc>
          <w:tcPr>
            <w:tcW w:w="1531"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Tiesiskā regulējuma ietekme uz tautsaimniecību un administratīvo slogu</w:t>
            </w:r>
          </w:p>
        </w:tc>
        <w:tc>
          <w:tcPr>
            <w:tcW w:w="3222"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Katoļu baznīcas diecēzes bīskapam vai amatpersonai, kura viņu aizvieto, būs jāiesniedz garīdznieku saraksts, kuriem ir tiesības laulāt ar civiltiesiskām sekām, kā arī garīdznieku saraksts, kuriem ir tiesības pildīt kapelāna pienākumus. Tomēr projekts pats par sevi nerada papildu administratīvo slogu, jo šādu sarakstu iesniegšanas nepieciešamību paredz likums „Par Latvijas Republikas un Svētā Krēsla līgumu””.</w:t>
            </w:r>
          </w:p>
        </w:tc>
      </w:tr>
      <w:tr w:rsidR="00870EF7" w:rsidRPr="00870EF7" w:rsidTr="00B81EC5">
        <w:trPr>
          <w:trHeight w:val="510"/>
        </w:trPr>
        <w:tc>
          <w:tcPr>
            <w:tcW w:w="247"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lastRenderedPageBreak/>
              <w:t>3.</w:t>
            </w:r>
          </w:p>
        </w:tc>
        <w:tc>
          <w:tcPr>
            <w:tcW w:w="1531"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Administratīvo izmaksu monetārs novērtējums</w:t>
            </w:r>
          </w:p>
        </w:tc>
        <w:tc>
          <w:tcPr>
            <w:tcW w:w="3222"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i/>
                <w:sz w:val="26"/>
                <w:szCs w:val="26"/>
              </w:rPr>
            </w:pPr>
            <w:r w:rsidRPr="00870EF7">
              <w:rPr>
                <w:sz w:val="26"/>
                <w:szCs w:val="26"/>
              </w:rPr>
              <w:t>Projektā ietvertajam tiesiskajam regulējumam nav ietekmes uz administratīvajām izmaksām.</w:t>
            </w:r>
            <w:r w:rsidRPr="00870EF7">
              <w:rPr>
                <w:i/>
                <w:sz w:val="26"/>
                <w:szCs w:val="26"/>
              </w:rPr>
              <w:t xml:space="preserve"> </w:t>
            </w:r>
          </w:p>
        </w:tc>
      </w:tr>
      <w:tr w:rsidR="006333C4" w:rsidRPr="00870EF7" w:rsidTr="00B81EC5">
        <w:trPr>
          <w:trHeight w:val="345"/>
        </w:trPr>
        <w:tc>
          <w:tcPr>
            <w:tcW w:w="247"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4.</w:t>
            </w:r>
          </w:p>
        </w:tc>
        <w:tc>
          <w:tcPr>
            <w:tcW w:w="1531"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Cita informācija</w:t>
            </w:r>
          </w:p>
        </w:tc>
        <w:tc>
          <w:tcPr>
            <w:tcW w:w="3222"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Nav.</w:t>
            </w:r>
          </w:p>
        </w:tc>
      </w:tr>
    </w:tbl>
    <w:p w:rsidR="006333C4" w:rsidRPr="00870EF7" w:rsidRDefault="006333C4" w:rsidP="006333C4">
      <w:pPr>
        <w:ind w:firstLine="0"/>
        <w:rPr>
          <w:sz w:val="26"/>
          <w:szCs w:val="26"/>
        </w:rPr>
      </w:pPr>
    </w:p>
    <w:p w:rsidR="006333C4" w:rsidRPr="00870EF7" w:rsidRDefault="006333C4" w:rsidP="006333C4">
      <w:pPr>
        <w:ind w:firstLine="0"/>
        <w:rPr>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2648"/>
        <w:gridCol w:w="6026"/>
      </w:tblGrid>
      <w:tr w:rsidR="00870EF7" w:rsidRPr="00870EF7" w:rsidTr="00B81EC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333C4" w:rsidRPr="00870EF7" w:rsidRDefault="006333C4" w:rsidP="006333C4">
            <w:pPr>
              <w:ind w:firstLine="0"/>
              <w:rPr>
                <w:b/>
                <w:bCs/>
                <w:sz w:val="26"/>
                <w:szCs w:val="26"/>
              </w:rPr>
            </w:pPr>
            <w:r w:rsidRPr="00870EF7">
              <w:rPr>
                <w:b/>
                <w:bCs/>
                <w:sz w:val="26"/>
                <w:szCs w:val="26"/>
              </w:rPr>
              <w:t>V. Tiesību akta projekta atbilstība Latvijas Republikas starptautiskajām saistībām</w:t>
            </w:r>
          </w:p>
        </w:tc>
      </w:tr>
      <w:tr w:rsidR="00870EF7" w:rsidRPr="00870EF7" w:rsidTr="00B81EC5">
        <w:tc>
          <w:tcPr>
            <w:tcW w:w="250"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1.</w:t>
            </w:r>
          </w:p>
        </w:tc>
        <w:tc>
          <w:tcPr>
            <w:tcW w:w="4890" w:type="dxa"/>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Projekts šo jomu neskar.</w:t>
            </w:r>
          </w:p>
        </w:tc>
      </w:tr>
      <w:tr w:rsidR="00870EF7" w:rsidRPr="00870EF7" w:rsidTr="00B81EC5">
        <w:tc>
          <w:tcPr>
            <w:tcW w:w="250"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2.</w:t>
            </w:r>
          </w:p>
        </w:tc>
        <w:tc>
          <w:tcPr>
            <w:tcW w:w="4890" w:type="dxa"/>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iCs/>
                <w:sz w:val="26"/>
                <w:szCs w:val="26"/>
              </w:rPr>
              <w:t>2000.gada 8.novembra Latvijas Republikas un Svētā Krēsla līgums.</w:t>
            </w:r>
          </w:p>
        </w:tc>
      </w:tr>
      <w:tr w:rsidR="006333C4" w:rsidRPr="00870EF7" w:rsidTr="00B81EC5">
        <w:tc>
          <w:tcPr>
            <w:tcW w:w="250"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3.</w:t>
            </w:r>
          </w:p>
        </w:tc>
        <w:tc>
          <w:tcPr>
            <w:tcW w:w="4890" w:type="dxa"/>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Nav.</w:t>
            </w:r>
          </w:p>
        </w:tc>
      </w:tr>
    </w:tbl>
    <w:p w:rsidR="006333C4" w:rsidRPr="00870EF7" w:rsidRDefault="006333C4" w:rsidP="006333C4">
      <w:pPr>
        <w:ind w:firstLine="0"/>
        <w:rPr>
          <w:vanish/>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2376"/>
        <w:gridCol w:w="3013"/>
        <w:gridCol w:w="3742"/>
      </w:tblGrid>
      <w:tr w:rsidR="00870EF7" w:rsidRPr="00870EF7" w:rsidTr="00B81EC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333C4" w:rsidRPr="00870EF7" w:rsidRDefault="006333C4" w:rsidP="006333C4">
            <w:pPr>
              <w:ind w:firstLine="0"/>
              <w:rPr>
                <w:b/>
                <w:bCs/>
                <w:sz w:val="26"/>
                <w:szCs w:val="26"/>
              </w:rPr>
            </w:pPr>
          </w:p>
          <w:p w:rsidR="006333C4" w:rsidRPr="00870EF7" w:rsidRDefault="006333C4" w:rsidP="006333C4">
            <w:pPr>
              <w:ind w:firstLine="0"/>
              <w:rPr>
                <w:b/>
                <w:bCs/>
                <w:sz w:val="26"/>
                <w:szCs w:val="26"/>
              </w:rPr>
            </w:pPr>
            <w:r w:rsidRPr="00870EF7">
              <w:rPr>
                <w:b/>
                <w:bCs/>
                <w:sz w:val="26"/>
                <w:szCs w:val="26"/>
              </w:rPr>
              <w:t>1.tabula</w:t>
            </w:r>
            <w:r w:rsidRPr="00870EF7">
              <w:rPr>
                <w:b/>
                <w:bCs/>
                <w:sz w:val="26"/>
                <w:szCs w:val="26"/>
              </w:rPr>
              <w:br/>
              <w:t>Tiesību akta projekta atbilstība ES tiesību aktiem</w:t>
            </w:r>
          </w:p>
        </w:tc>
      </w:tr>
      <w:tr w:rsidR="00870EF7" w:rsidRPr="00870EF7" w:rsidTr="00B81EC5">
        <w:tc>
          <w:tcPr>
            <w:tcW w:w="5000" w:type="pct"/>
            <w:gridSpan w:val="3"/>
            <w:tcBorders>
              <w:top w:val="outset" w:sz="6" w:space="0" w:color="414142"/>
              <w:left w:val="outset" w:sz="6" w:space="0" w:color="414142"/>
              <w:bottom w:val="outset" w:sz="6" w:space="0" w:color="414142"/>
              <w:right w:val="outset" w:sz="6" w:space="0" w:color="414142"/>
            </w:tcBorders>
          </w:tcPr>
          <w:p w:rsidR="006333C4" w:rsidRPr="00870EF7" w:rsidRDefault="006333C4" w:rsidP="006333C4">
            <w:pPr>
              <w:ind w:firstLine="0"/>
              <w:rPr>
                <w:sz w:val="26"/>
                <w:szCs w:val="26"/>
              </w:rPr>
            </w:pPr>
            <w:r w:rsidRPr="00870EF7">
              <w:rPr>
                <w:sz w:val="26"/>
                <w:szCs w:val="26"/>
              </w:rPr>
              <w:t>Projekts šo jomu neskar.</w:t>
            </w:r>
          </w:p>
        </w:tc>
      </w:tr>
      <w:tr w:rsidR="00870EF7" w:rsidRPr="00870EF7" w:rsidTr="00B81EC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333C4" w:rsidRPr="00870EF7" w:rsidRDefault="006333C4" w:rsidP="006333C4">
            <w:pPr>
              <w:ind w:firstLine="0"/>
              <w:rPr>
                <w:b/>
                <w:bCs/>
                <w:sz w:val="26"/>
                <w:szCs w:val="26"/>
              </w:rPr>
            </w:pPr>
            <w:r w:rsidRPr="00870EF7">
              <w:rPr>
                <w:b/>
                <w:bCs/>
                <w:sz w:val="26"/>
                <w:szCs w:val="26"/>
              </w:rPr>
              <w:t>2.tabula</w:t>
            </w:r>
            <w:r w:rsidRPr="00870EF7">
              <w:rPr>
                <w:b/>
                <w:bCs/>
                <w:sz w:val="26"/>
                <w:szCs w:val="26"/>
              </w:rPr>
              <w:br/>
              <w:t>Ar tiesību akta projektu izpildītās vai uzņemtās saistības, kas izriet no starptautiskajiem tiesību aktiem vai starptautiskas institūcijas vai organizācijas dokumentiem.</w:t>
            </w:r>
            <w:r w:rsidRPr="00870EF7">
              <w:rPr>
                <w:b/>
                <w:bCs/>
                <w:sz w:val="26"/>
                <w:szCs w:val="26"/>
              </w:rPr>
              <w:br/>
              <w:t>Pasākumi šo saistību izpildei</w:t>
            </w:r>
          </w:p>
        </w:tc>
      </w:tr>
      <w:tr w:rsidR="00870EF7" w:rsidRPr="00870EF7" w:rsidTr="00B81EC5">
        <w:tc>
          <w:tcPr>
            <w:tcW w:w="1301" w:type="pct"/>
            <w:tcBorders>
              <w:top w:val="outset" w:sz="6" w:space="0" w:color="414142"/>
              <w:left w:val="outset" w:sz="6" w:space="0" w:color="414142"/>
              <w:bottom w:val="outset" w:sz="6" w:space="0" w:color="414142"/>
              <w:right w:val="outset" w:sz="6" w:space="0" w:color="414142"/>
            </w:tcBorders>
            <w:vAlign w:val="center"/>
            <w:hideMark/>
          </w:tcPr>
          <w:p w:rsidR="006333C4" w:rsidRPr="00870EF7" w:rsidRDefault="006333C4" w:rsidP="006333C4">
            <w:pPr>
              <w:ind w:firstLine="0"/>
              <w:rPr>
                <w:sz w:val="26"/>
                <w:szCs w:val="26"/>
              </w:rPr>
            </w:pPr>
            <w:r w:rsidRPr="00870EF7">
              <w:rPr>
                <w:sz w:val="26"/>
                <w:szCs w:val="26"/>
              </w:rPr>
              <w:t>Attiecīgā starptautiskā tiesību akta vai starptautiskas institūcijas vai organizācijas dokumenta (turpmāk - starptautiskais dokuments) datums, numurs un nosaukums</w:t>
            </w:r>
          </w:p>
        </w:tc>
        <w:tc>
          <w:tcPr>
            <w:tcW w:w="3699" w:type="pct"/>
            <w:gridSpan w:val="2"/>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iCs/>
                <w:sz w:val="26"/>
                <w:szCs w:val="26"/>
              </w:rPr>
              <w:t>2000.gada 8.novembra Latvijas Republikas un Svētā Krēsla līgums.</w:t>
            </w:r>
          </w:p>
        </w:tc>
      </w:tr>
      <w:tr w:rsidR="00870EF7" w:rsidRPr="00870EF7" w:rsidTr="00B81EC5">
        <w:tc>
          <w:tcPr>
            <w:tcW w:w="1301" w:type="pct"/>
            <w:tcBorders>
              <w:top w:val="outset" w:sz="6" w:space="0" w:color="414142"/>
              <w:left w:val="outset" w:sz="6" w:space="0" w:color="414142"/>
              <w:bottom w:val="outset" w:sz="6" w:space="0" w:color="414142"/>
              <w:right w:val="outset" w:sz="6" w:space="0" w:color="414142"/>
            </w:tcBorders>
            <w:vAlign w:val="center"/>
            <w:hideMark/>
          </w:tcPr>
          <w:p w:rsidR="006333C4" w:rsidRPr="00870EF7" w:rsidRDefault="006333C4" w:rsidP="006333C4">
            <w:pPr>
              <w:ind w:firstLine="0"/>
              <w:rPr>
                <w:sz w:val="26"/>
                <w:szCs w:val="26"/>
              </w:rPr>
            </w:pPr>
            <w:r w:rsidRPr="00870EF7">
              <w:rPr>
                <w:sz w:val="26"/>
                <w:szCs w:val="26"/>
              </w:rPr>
              <w:t>A</w:t>
            </w:r>
          </w:p>
        </w:tc>
        <w:tc>
          <w:tcPr>
            <w:tcW w:w="1650" w:type="pct"/>
            <w:tcBorders>
              <w:top w:val="outset" w:sz="6" w:space="0" w:color="414142"/>
              <w:left w:val="outset" w:sz="6" w:space="0" w:color="414142"/>
              <w:bottom w:val="outset" w:sz="6" w:space="0" w:color="414142"/>
              <w:right w:val="outset" w:sz="6" w:space="0" w:color="414142"/>
            </w:tcBorders>
            <w:vAlign w:val="center"/>
            <w:hideMark/>
          </w:tcPr>
          <w:p w:rsidR="006333C4" w:rsidRPr="00870EF7" w:rsidRDefault="006333C4" w:rsidP="006333C4">
            <w:pPr>
              <w:ind w:firstLine="0"/>
              <w:rPr>
                <w:sz w:val="26"/>
                <w:szCs w:val="26"/>
              </w:rPr>
            </w:pPr>
            <w:r w:rsidRPr="00870EF7">
              <w:rPr>
                <w:sz w:val="26"/>
                <w:szCs w:val="26"/>
              </w:rPr>
              <w:t>B</w:t>
            </w:r>
          </w:p>
        </w:tc>
        <w:tc>
          <w:tcPr>
            <w:tcW w:w="2049" w:type="pct"/>
            <w:tcBorders>
              <w:top w:val="outset" w:sz="6" w:space="0" w:color="414142"/>
              <w:left w:val="outset" w:sz="6" w:space="0" w:color="414142"/>
              <w:bottom w:val="outset" w:sz="6" w:space="0" w:color="414142"/>
              <w:right w:val="outset" w:sz="6" w:space="0" w:color="414142"/>
            </w:tcBorders>
            <w:vAlign w:val="center"/>
            <w:hideMark/>
          </w:tcPr>
          <w:p w:rsidR="006333C4" w:rsidRPr="00870EF7" w:rsidRDefault="006333C4" w:rsidP="006333C4">
            <w:pPr>
              <w:ind w:firstLine="0"/>
              <w:rPr>
                <w:sz w:val="26"/>
                <w:szCs w:val="26"/>
              </w:rPr>
            </w:pPr>
            <w:r w:rsidRPr="00870EF7">
              <w:rPr>
                <w:sz w:val="26"/>
                <w:szCs w:val="26"/>
              </w:rPr>
              <w:t>C</w:t>
            </w:r>
          </w:p>
        </w:tc>
      </w:tr>
      <w:tr w:rsidR="00870EF7" w:rsidRPr="00870EF7" w:rsidTr="00B81EC5">
        <w:tc>
          <w:tcPr>
            <w:tcW w:w="1301"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 xml:space="preserve">Starptautiskās saistības (pēc būtības), kas izriet no norādītā starptautiskā dokumenta. </w:t>
            </w:r>
          </w:p>
          <w:p w:rsidR="006333C4" w:rsidRPr="00870EF7" w:rsidRDefault="006333C4" w:rsidP="006333C4">
            <w:pPr>
              <w:ind w:firstLine="0"/>
              <w:rPr>
                <w:sz w:val="26"/>
                <w:szCs w:val="26"/>
              </w:rPr>
            </w:pPr>
            <w:r w:rsidRPr="00870EF7">
              <w:rPr>
                <w:sz w:val="26"/>
                <w:szCs w:val="26"/>
              </w:rPr>
              <w:t>Konkrēti veicamie pasākumi vai uzdevumi, kas nepieciešami šo starptautisko saistību izpildei</w:t>
            </w:r>
          </w:p>
        </w:tc>
        <w:tc>
          <w:tcPr>
            <w:tcW w:w="1650"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49"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 xml:space="preserve">Informācija par to, vai starptautiskās saistības, kas minētas šīs tabulas A ailē, tiek izpildītas pilnībā vai daļēji. </w:t>
            </w:r>
          </w:p>
          <w:p w:rsidR="006333C4" w:rsidRPr="00870EF7" w:rsidRDefault="006333C4" w:rsidP="006333C4">
            <w:pPr>
              <w:ind w:firstLine="0"/>
              <w:rPr>
                <w:sz w:val="26"/>
                <w:szCs w:val="26"/>
              </w:rPr>
            </w:pPr>
            <w:r w:rsidRPr="00870EF7">
              <w:rPr>
                <w:sz w:val="26"/>
                <w:szCs w:val="26"/>
              </w:rPr>
              <w:t>Ja attiecīgās starptautiskās saistības tiek izpildītas daļēji, sniedz skaidrojumu, kā arī precīzi norāda, kad un kādā veidā starptautiskās saistības tiks izpildītas pilnībā.</w:t>
            </w:r>
          </w:p>
          <w:p w:rsidR="006333C4" w:rsidRPr="00870EF7" w:rsidRDefault="006333C4" w:rsidP="006333C4">
            <w:pPr>
              <w:ind w:firstLine="0"/>
              <w:rPr>
                <w:sz w:val="26"/>
                <w:szCs w:val="26"/>
              </w:rPr>
            </w:pPr>
            <w:r w:rsidRPr="00870EF7">
              <w:rPr>
                <w:sz w:val="26"/>
                <w:szCs w:val="26"/>
              </w:rPr>
              <w:t xml:space="preserve">Norāda institūciju, kas ir atbildīga </w:t>
            </w:r>
            <w:r w:rsidRPr="00870EF7">
              <w:rPr>
                <w:sz w:val="26"/>
                <w:szCs w:val="26"/>
              </w:rPr>
              <w:lastRenderedPageBreak/>
              <w:t>par šo saistību izpildi pilnībā</w:t>
            </w:r>
          </w:p>
        </w:tc>
      </w:tr>
      <w:tr w:rsidR="00870EF7" w:rsidRPr="00870EF7" w:rsidTr="00B81EC5">
        <w:tc>
          <w:tcPr>
            <w:tcW w:w="1301"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lastRenderedPageBreak/>
              <w:t xml:space="preserve">Latvijas Republikas un Svētā Krēsla līguma 8.pantā, 25.pantā, 30.pantā noteikto tiesību īstenošanas kārtība ir saskaņā ar līgumu un tiek noteikta Latvijas normatīvajos aktos. </w:t>
            </w:r>
          </w:p>
          <w:p w:rsidR="006333C4" w:rsidRPr="00870EF7" w:rsidRDefault="006333C4" w:rsidP="006333C4">
            <w:pPr>
              <w:ind w:firstLine="0"/>
              <w:rPr>
                <w:sz w:val="26"/>
                <w:szCs w:val="26"/>
              </w:rPr>
            </w:pPr>
            <w:r w:rsidRPr="00870EF7">
              <w:rPr>
                <w:sz w:val="26"/>
                <w:szCs w:val="26"/>
              </w:rPr>
              <w:t xml:space="preserve">Lai informētu Tieslietu ministriju par garīdzniekiem, kuriem ir tiesības laulāt ar tiesiskām sekām, kā arī pildīt kapelāna pienākumus, Katoļu Baznīcas diecēzes bīskapam vai amatpersonai, kura viņu aizvieto, ir jāsniedz Tieslietu ministrijai informācija, kas paredzēta Ministru kabineta 2009.gada 12.maija noteikumos Nr.425 „Reliģiskās savienības (baznīcas) garīdznieku saraksta iesniegšanas un aktualizācijas kārtība”. </w:t>
            </w:r>
          </w:p>
        </w:tc>
        <w:tc>
          <w:tcPr>
            <w:tcW w:w="1650"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Projekta 1. un 2.punkts.</w:t>
            </w:r>
          </w:p>
        </w:tc>
        <w:tc>
          <w:tcPr>
            <w:tcW w:w="2049"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Saistības, kas ir norādītas Latvijas Republikas un Svētā Krēsla līguma 8., 25., 30.pantā ir izpildītas pilnībā.</w:t>
            </w:r>
          </w:p>
        </w:tc>
      </w:tr>
      <w:tr w:rsidR="00870EF7" w:rsidRPr="00870EF7" w:rsidTr="00B81EC5">
        <w:tc>
          <w:tcPr>
            <w:tcW w:w="1301"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Vai starptautiskajā dokumentā paredzētās saistības nav pretrunā ar jau esošajām Latvijas Republikas starptautiskajām saistībām</w:t>
            </w:r>
          </w:p>
        </w:tc>
        <w:tc>
          <w:tcPr>
            <w:tcW w:w="3699" w:type="pct"/>
            <w:gridSpan w:val="2"/>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Projekts neparedz jaunas starptautiskas saistības.</w:t>
            </w:r>
          </w:p>
        </w:tc>
      </w:tr>
      <w:tr w:rsidR="006333C4" w:rsidRPr="00870EF7" w:rsidTr="00B81EC5">
        <w:tc>
          <w:tcPr>
            <w:tcW w:w="1301"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Cita informācija</w:t>
            </w:r>
          </w:p>
        </w:tc>
        <w:tc>
          <w:tcPr>
            <w:tcW w:w="3699" w:type="pct"/>
            <w:gridSpan w:val="2"/>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Nav.</w:t>
            </w:r>
          </w:p>
        </w:tc>
      </w:tr>
    </w:tbl>
    <w:p w:rsidR="006333C4" w:rsidRPr="00870EF7" w:rsidRDefault="006333C4" w:rsidP="006333C4">
      <w:pPr>
        <w:ind w:firstLine="0"/>
        <w:rPr>
          <w:sz w:val="26"/>
          <w:szCs w:val="26"/>
        </w:rPr>
      </w:pPr>
    </w:p>
    <w:p w:rsidR="006333C4" w:rsidRPr="00870EF7" w:rsidRDefault="006333C4" w:rsidP="006333C4">
      <w:pPr>
        <w:ind w:firstLine="0"/>
        <w:rPr>
          <w:sz w:val="26"/>
          <w:szCs w:val="26"/>
        </w:rPr>
      </w:pPr>
    </w:p>
    <w:p w:rsidR="006333C4" w:rsidRPr="00870EF7" w:rsidRDefault="006333C4" w:rsidP="006333C4">
      <w:pPr>
        <w:ind w:firstLine="0"/>
        <w:rPr>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2739"/>
        <w:gridCol w:w="5935"/>
      </w:tblGrid>
      <w:tr w:rsidR="00870EF7" w:rsidRPr="00870EF7" w:rsidTr="00B81EC5">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333C4" w:rsidRPr="00870EF7" w:rsidRDefault="006333C4" w:rsidP="006333C4">
            <w:pPr>
              <w:ind w:firstLine="0"/>
              <w:rPr>
                <w:b/>
                <w:bCs/>
                <w:sz w:val="26"/>
                <w:szCs w:val="26"/>
              </w:rPr>
            </w:pPr>
            <w:r w:rsidRPr="00870EF7">
              <w:rPr>
                <w:b/>
                <w:bCs/>
                <w:sz w:val="26"/>
                <w:szCs w:val="26"/>
              </w:rPr>
              <w:lastRenderedPageBreak/>
              <w:t>VI. Sabiedrības līdzdalība un komunikācijas aktivitātes</w:t>
            </w:r>
          </w:p>
        </w:tc>
      </w:tr>
      <w:tr w:rsidR="00870EF7" w:rsidRPr="00870EF7" w:rsidTr="00B81EC5">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1.</w:t>
            </w:r>
          </w:p>
        </w:tc>
        <w:tc>
          <w:tcPr>
            <w:tcW w:w="1500"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iCs/>
                <w:sz w:val="26"/>
                <w:szCs w:val="26"/>
              </w:rPr>
              <w:t>Pēc noteikumu projekta pieņemšanas plānots organizēt informatīvus pasākumus ar nolūku iepazīstināt Katoļu baznīcas institūcijas ar tiesisko regulējumu.</w:t>
            </w:r>
          </w:p>
        </w:tc>
      </w:tr>
      <w:tr w:rsidR="00870EF7" w:rsidRPr="00870EF7" w:rsidTr="00B81EC5">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2.</w:t>
            </w:r>
          </w:p>
        </w:tc>
        <w:tc>
          <w:tcPr>
            <w:tcW w:w="1500"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iCs/>
                <w:sz w:val="26"/>
                <w:szCs w:val="26"/>
              </w:rPr>
              <w:t>Sabiedrības līdzdalība projekta izstrādē nav notikusi.</w:t>
            </w:r>
          </w:p>
        </w:tc>
      </w:tr>
      <w:tr w:rsidR="00870EF7" w:rsidRPr="00870EF7" w:rsidTr="00B81EC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3.</w:t>
            </w:r>
          </w:p>
        </w:tc>
        <w:tc>
          <w:tcPr>
            <w:tcW w:w="1500"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iCs/>
                <w:sz w:val="26"/>
                <w:szCs w:val="26"/>
              </w:rPr>
              <w:t>Sabiedrības līdzdalība projekta izstrādē nav notikusi.</w:t>
            </w:r>
          </w:p>
        </w:tc>
      </w:tr>
      <w:tr w:rsidR="006333C4" w:rsidRPr="00870EF7" w:rsidTr="00B81EC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4.</w:t>
            </w:r>
          </w:p>
        </w:tc>
        <w:tc>
          <w:tcPr>
            <w:tcW w:w="1500"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Nav.</w:t>
            </w:r>
          </w:p>
        </w:tc>
      </w:tr>
    </w:tbl>
    <w:p w:rsidR="006333C4" w:rsidRPr="00870EF7" w:rsidRDefault="006333C4" w:rsidP="006333C4">
      <w:pPr>
        <w:ind w:firstLine="0"/>
        <w:rPr>
          <w:sz w:val="26"/>
          <w:szCs w:val="26"/>
        </w:rPr>
      </w:pPr>
    </w:p>
    <w:p w:rsidR="006333C4" w:rsidRPr="00870EF7" w:rsidRDefault="006333C4" w:rsidP="006333C4">
      <w:pPr>
        <w:ind w:firstLine="0"/>
        <w:rPr>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3470"/>
        <w:gridCol w:w="5205"/>
      </w:tblGrid>
      <w:tr w:rsidR="00870EF7" w:rsidRPr="00870EF7" w:rsidTr="00B81EC5">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333C4" w:rsidRPr="00870EF7" w:rsidRDefault="006333C4" w:rsidP="006333C4">
            <w:pPr>
              <w:ind w:firstLine="0"/>
              <w:rPr>
                <w:b/>
                <w:bCs/>
                <w:sz w:val="26"/>
                <w:szCs w:val="26"/>
              </w:rPr>
            </w:pPr>
            <w:r w:rsidRPr="00870EF7">
              <w:rPr>
                <w:b/>
                <w:bCs/>
                <w:sz w:val="26"/>
                <w:szCs w:val="26"/>
              </w:rPr>
              <w:t>VII. Tiesību akta projekta izpildes nodrošināšana un tās ietekme uz institūcijām</w:t>
            </w:r>
          </w:p>
        </w:tc>
      </w:tr>
      <w:tr w:rsidR="00870EF7" w:rsidRPr="00870EF7" w:rsidTr="00B81EC5">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1.</w:t>
            </w:r>
          </w:p>
        </w:tc>
        <w:tc>
          <w:tcPr>
            <w:tcW w:w="1900"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Katoļu Baznīcas diecēzes bīskaps vai amatpersona, kura viņu aizvieto.</w:t>
            </w:r>
          </w:p>
        </w:tc>
      </w:tr>
      <w:tr w:rsidR="00870EF7" w:rsidRPr="00870EF7" w:rsidTr="00B81EC5">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2.</w:t>
            </w:r>
          </w:p>
        </w:tc>
        <w:tc>
          <w:tcPr>
            <w:tcW w:w="1900"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 xml:space="preserve">Projekta izpildes ietekme uz pārvaldes funkcijām un institucionālo struktūru. </w:t>
            </w:r>
          </w:p>
          <w:p w:rsidR="006333C4" w:rsidRPr="00870EF7" w:rsidRDefault="006333C4" w:rsidP="006333C4">
            <w:pPr>
              <w:ind w:firstLine="0"/>
              <w:rPr>
                <w:sz w:val="26"/>
                <w:szCs w:val="26"/>
              </w:rPr>
            </w:pPr>
            <w:r w:rsidRPr="00870EF7">
              <w:rPr>
                <w:sz w:val="26"/>
                <w:szCs w:val="26"/>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Jauna institūcija netiks izveidota, kā arī netiks veikta esošo institūciju likvidācija vai reorganizācija.</w:t>
            </w:r>
          </w:p>
        </w:tc>
      </w:tr>
      <w:tr w:rsidR="006333C4" w:rsidRPr="00870EF7" w:rsidTr="00B81EC5">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3.</w:t>
            </w:r>
          </w:p>
        </w:tc>
        <w:tc>
          <w:tcPr>
            <w:tcW w:w="1900"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6333C4" w:rsidRPr="00870EF7" w:rsidRDefault="006333C4" w:rsidP="006333C4">
            <w:pPr>
              <w:ind w:firstLine="0"/>
              <w:rPr>
                <w:sz w:val="26"/>
                <w:szCs w:val="26"/>
              </w:rPr>
            </w:pPr>
            <w:r w:rsidRPr="00870EF7">
              <w:rPr>
                <w:sz w:val="26"/>
                <w:szCs w:val="26"/>
              </w:rPr>
              <w:t>Nav.</w:t>
            </w:r>
          </w:p>
        </w:tc>
      </w:tr>
    </w:tbl>
    <w:p w:rsidR="006333C4" w:rsidRPr="00870EF7" w:rsidRDefault="006333C4" w:rsidP="006333C4">
      <w:pPr>
        <w:ind w:firstLine="0"/>
        <w:rPr>
          <w:sz w:val="26"/>
          <w:szCs w:val="26"/>
        </w:rPr>
      </w:pPr>
    </w:p>
    <w:p w:rsidR="006333C4" w:rsidRPr="00870EF7" w:rsidRDefault="006333C4" w:rsidP="006333C4">
      <w:pPr>
        <w:rPr>
          <w:sz w:val="26"/>
          <w:szCs w:val="26"/>
        </w:rPr>
      </w:pPr>
    </w:p>
    <w:p w:rsidR="006333C4" w:rsidRPr="00870EF7" w:rsidRDefault="006333C4" w:rsidP="006333C4">
      <w:pPr>
        <w:ind w:firstLine="0"/>
        <w:rPr>
          <w:sz w:val="26"/>
          <w:szCs w:val="26"/>
        </w:rPr>
      </w:pPr>
      <w:r w:rsidRPr="00870EF7">
        <w:rPr>
          <w:sz w:val="26"/>
          <w:szCs w:val="26"/>
        </w:rPr>
        <w:t>Anotācijas III, IV sadaļa – projekts šo jomu neskar.</w:t>
      </w:r>
    </w:p>
    <w:p w:rsidR="006333C4" w:rsidRPr="00870EF7" w:rsidRDefault="006333C4" w:rsidP="006333C4">
      <w:pPr>
        <w:ind w:firstLine="0"/>
        <w:rPr>
          <w:sz w:val="26"/>
          <w:szCs w:val="26"/>
        </w:rPr>
      </w:pPr>
    </w:p>
    <w:p w:rsidR="006333C4" w:rsidRPr="00870EF7" w:rsidRDefault="006333C4" w:rsidP="006333C4">
      <w:pPr>
        <w:ind w:firstLine="0"/>
        <w:rPr>
          <w:sz w:val="26"/>
          <w:szCs w:val="26"/>
        </w:rPr>
      </w:pPr>
    </w:p>
    <w:p w:rsidR="006333C4" w:rsidRPr="00870EF7" w:rsidRDefault="006333C4" w:rsidP="006333C4">
      <w:pPr>
        <w:ind w:firstLine="0"/>
        <w:rPr>
          <w:sz w:val="26"/>
          <w:szCs w:val="26"/>
        </w:rPr>
      </w:pPr>
      <w:r w:rsidRPr="00870EF7">
        <w:rPr>
          <w:sz w:val="26"/>
          <w:szCs w:val="26"/>
        </w:rPr>
        <w:t xml:space="preserve">Tieslietu ministre </w:t>
      </w:r>
      <w:r w:rsidRPr="00870EF7">
        <w:rPr>
          <w:sz w:val="26"/>
          <w:szCs w:val="26"/>
        </w:rPr>
        <w:tab/>
      </w:r>
      <w:r w:rsidRPr="00870EF7">
        <w:rPr>
          <w:sz w:val="26"/>
          <w:szCs w:val="26"/>
        </w:rPr>
        <w:tab/>
      </w:r>
      <w:r w:rsidRPr="00870EF7">
        <w:rPr>
          <w:sz w:val="26"/>
          <w:szCs w:val="26"/>
        </w:rPr>
        <w:tab/>
      </w:r>
      <w:r w:rsidRPr="00870EF7">
        <w:rPr>
          <w:sz w:val="26"/>
          <w:szCs w:val="26"/>
        </w:rPr>
        <w:tab/>
      </w:r>
      <w:r w:rsidRPr="00870EF7">
        <w:rPr>
          <w:sz w:val="26"/>
          <w:szCs w:val="26"/>
        </w:rPr>
        <w:tab/>
      </w:r>
      <w:r w:rsidRPr="00870EF7">
        <w:rPr>
          <w:sz w:val="26"/>
          <w:szCs w:val="26"/>
        </w:rPr>
        <w:tab/>
      </w:r>
      <w:r w:rsidRPr="00870EF7">
        <w:rPr>
          <w:sz w:val="26"/>
          <w:szCs w:val="26"/>
        </w:rPr>
        <w:tab/>
      </w:r>
      <w:r w:rsidRPr="00870EF7">
        <w:rPr>
          <w:sz w:val="26"/>
          <w:szCs w:val="26"/>
        </w:rPr>
        <w:tab/>
      </w:r>
      <w:r w:rsidRPr="00870EF7">
        <w:rPr>
          <w:sz w:val="26"/>
          <w:szCs w:val="26"/>
        </w:rPr>
        <w:tab/>
        <w:t>B. Broka</w:t>
      </w:r>
    </w:p>
    <w:p w:rsidR="006333C4" w:rsidRPr="00870EF7" w:rsidRDefault="006333C4" w:rsidP="006333C4">
      <w:pPr>
        <w:ind w:firstLine="0"/>
        <w:rPr>
          <w:sz w:val="26"/>
          <w:szCs w:val="26"/>
        </w:rPr>
      </w:pPr>
    </w:p>
    <w:p w:rsidR="006333C4" w:rsidRPr="00870EF7" w:rsidRDefault="006333C4" w:rsidP="006333C4">
      <w:pPr>
        <w:ind w:firstLine="0"/>
        <w:rPr>
          <w:iCs/>
          <w:sz w:val="26"/>
          <w:szCs w:val="26"/>
        </w:rPr>
      </w:pPr>
    </w:p>
    <w:p w:rsidR="006333C4" w:rsidRPr="00870EF7" w:rsidRDefault="006333C4" w:rsidP="006333C4">
      <w:pPr>
        <w:ind w:firstLine="0"/>
        <w:rPr>
          <w:sz w:val="26"/>
          <w:szCs w:val="26"/>
        </w:rPr>
      </w:pPr>
    </w:p>
    <w:p w:rsidR="006333C4" w:rsidRPr="00870EF7" w:rsidRDefault="006333C4" w:rsidP="006333C4">
      <w:pPr>
        <w:ind w:firstLine="0"/>
        <w:rPr>
          <w:sz w:val="26"/>
          <w:szCs w:val="26"/>
        </w:rPr>
      </w:pPr>
    </w:p>
    <w:p w:rsidR="006333C4" w:rsidRPr="00870EF7" w:rsidRDefault="006333C4" w:rsidP="006333C4">
      <w:pPr>
        <w:ind w:firstLine="0"/>
        <w:rPr>
          <w:sz w:val="20"/>
          <w:szCs w:val="20"/>
        </w:rPr>
      </w:pPr>
    </w:p>
    <w:p w:rsidR="006333C4" w:rsidRPr="00870EF7" w:rsidRDefault="006333C4" w:rsidP="006333C4">
      <w:pPr>
        <w:ind w:firstLine="0"/>
        <w:rPr>
          <w:sz w:val="20"/>
          <w:szCs w:val="20"/>
        </w:rPr>
      </w:pPr>
      <w:r w:rsidRPr="00870EF7">
        <w:rPr>
          <w:sz w:val="20"/>
          <w:szCs w:val="20"/>
        </w:rPr>
        <w:t>1</w:t>
      </w:r>
      <w:r w:rsidR="005E65E7">
        <w:rPr>
          <w:sz w:val="20"/>
          <w:szCs w:val="20"/>
        </w:rPr>
        <w:t>7</w:t>
      </w:r>
      <w:r w:rsidRPr="00870EF7">
        <w:rPr>
          <w:sz w:val="20"/>
          <w:szCs w:val="20"/>
        </w:rPr>
        <w:t xml:space="preserve">.02.2014. </w:t>
      </w:r>
      <w:r w:rsidR="004A6BCC">
        <w:rPr>
          <w:sz w:val="20"/>
          <w:szCs w:val="20"/>
        </w:rPr>
        <w:t>12:16</w:t>
      </w:r>
    </w:p>
    <w:p w:rsidR="006333C4" w:rsidRPr="00870EF7" w:rsidRDefault="006333C4" w:rsidP="006333C4">
      <w:pPr>
        <w:ind w:firstLine="0"/>
        <w:rPr>
          <w:sz w:val="20"/>
          <w:szCs w:val="20"/>
        </w:rPr>
      </w:pPr>
      <w:r w:rsidRPr="00870EF7">
        <w:rPr>
          <w:sz w:val="20"/>
          <w:szCs w:val="20"/>
        </w:rPr>
        <w:t>103</w:t>
      </w:r>
      <w:r w:rsidR="005E65E7">
        <w:rPr>
          <w:sz w:val="20"/>
          <w:szCs w:val="20"/>
        </w:rPr>
        <w:t>0</w:t>
      </w:r>
    </w:p>
    <w:p w:rsidR="006333C4" w:rsidRPr="00870EF7" w:rsidRDefault="006333C4" w:rsidP="006333C4">
      <w:pPr>
        <w:ind w:firstLine="0"/>
        <w:rPr>
          <w:sz w:val="20"/>
          <w:szCs w:val="20"/>
        </w:rPr>
      </w:pPr>
      <w:proofErr w:type="spellStart"/>
      <w:r w:rsidRPr="00870EF7">
        <w:rPr>
          <w:sz w:val="20"/>
          <w:szCs w:val="20"/>
        </w:rPr>
        <w:t>D.Voitiņa</w:t>
      </w:r>
      <w:bookmarkStart w:id="0" w:name="_GoBack"/>
      <w:bookmarkEnd w:id="0"/>
      <w:proofErr w:type="spellEnd"/>
    </w:p>
    <w:p w:rsidR="006333C4" w:rsidRPr="00870EF7" w:rsidRDefault="006333C4" w:rsidP="006333C4">
      <w:pPr>
        <w:ind w:firstLine="0"/>
        <w:rPr>
          <w:sz w:val="20"/>
          <w:szCs w:val="20"/>
        </w:rPr>
      </w:pPr>
      <w:r w:rsidRPr="00870EF7">
        <w:rPr>
          <w:sz w:val="20"/>
          <w:szCs w:val="20"/>
        </w:rPr>
        <w:t>67046135; Dana.Voitina@tm.gov.lv</w:t>
      </w:r>
    </w:p>
    <w:p w:rsidR="006333C4" w:rsidRPr="00870EF7" w:rsidRDefault="006333C4" w:rsidP="006333C4">
      <w:pPr>
        <w:ind w:firstLine="0"/>
        <w:rPr>
          <w:sz w:val="20"/>
          <w:szCs w:val="20"/>
        </w:rPr>
      </w:pPr>
    </w:p>
    <w:p w:rsidR="006333C4" w:rsidRPr="00870EF7" w:rsidRDefault="006333C4" w:rsidP="006333C4">
      <w:pPr>
        <w:ind w:firstLine="0"/>
        <w:rPr>
          <w:sz w:val="20"/>
          <w:szCs w:val="20"/>
        </w:rPr>
      </w:pPr>
    </w:p>
    <w:p w:rsidR="006333C4" w:rsidRPr="00870EF7" w:rsidRDefault="006333C4" w:rsidP="006333C4">
      <w:pPr>
        <w:ind w:firstLine="0"/>
        <w:rPr>
          <w:sz w:val="20"/>
          <w:szCs w:val="20"/>
        </w:rPr>
      </w:pPr>
    </w:p>
    <w:sectPr w:rsidR="006333C4" w:rsidRPr="00870EF7" w:rsidSect="00AD3EFF">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C34" w:rsidRDefault="00917C34" w:rsidP="006333C4">
      <w:r>
        <w:separator/>
      </w:r>
    </w:p>
  </w:endnote>
  <w:endnote w:type="continuationSeparator" w:id="0">
    <w:p w:rsidR="00917C34" w:rsidRDefault="00917C34" w:rsidP="006333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1B1" w:rsidRDefault="00D561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5A9" w:rsidRPr="003D276A" w:rsidRDefault="006333C4" w:rsidP="00AD6A8C">
    <w:pPr>
      <w:pStyle w:val="Footer"/>
      <w:ind w:firstLine="0"/>
      <w:rPr>
        <w:rFonts w:cs="Times New Roman"/>
        <w:sz w:val="20"/>
        <w:szCs w:val="20"/>
      </w:rPr>
    </w:pPr>
    <w:r w:rsidRPr="004D15A9">
      <w:rPr>
        <w:rFonts w:cs="Times New Roman"/>
        <w:color w:val="000000" w:themeColor="text1"/>
        <w:sz w:val="20"/>
        <w:szCs w:val="20"/>
      </w:rPr>
      <w:t>TMAnot_</w:t>
    </w:r>
    <w:r>
      <w:rPr>
        <w:rFonts w:cs="Times New Roman"/>
        <w:color w:val="000000" w:themeColor="text1"/>
        <w:sz w:val="20"/>
        <w:szCs w:val="20"/>
      </w:rPr>
      <w:t>1</w:t>
    </w:r>
    <w:r w:rsidR="00D561B1">
      <w:rPr>
        <w:rFonts w:cs="Times New Roman"/>
        <w:color w:val="000000" w:themeColor="text1"/>
        <w:sz w:val="20"/>
        <w:szCs w:val="20"/>
      </w:rPr>
      <w:t>7</w:t>
    </w:r>
    <w:r>
      <w:rPr>
        <w:rFonts w:cs="Times New Roman"/>
        <w:color w:val="000000" w:themeColor="text1"/>
        <w:sz w:val="20"/>
        <w:szCs w:val="20"/>
      </w:rPr>
      <w:t>0214</w:t>
    </w:r>
    <w:r w:rsidRPr="004D15A9">
      <w:rPr>
        <w:rFonts w:cs="Times New Roman"/>
        <w:color w:val="000000" w:themeColor="text1"/>
        <w:sz w:val="20"/>
        <w:szCs w:val="20"/>
      </w:rPr>
      <w:t>_</w:t>
    </w:r>
    <w:r>
      <w:rPr>
        <w:rFonts w:cs="Times New Roman"/>
        <w:color w:val="000000" w:themeColor="text1"/>
        <w:sz w:val="20"/>
        <w:szCs w:val="20"/>
      </w:rPr>
      <w:t>garidz</w:t>
    </w:r>
    <w:r w:rsidRPr="004D15A9">
      <w:rPr>
        <w:rFonts w:cs="Times New Roman"/>
        <w:color w:val="000000" w:themeColor="text1"/>
        <w:sz w:val="20"/>
        <w:szCs w:val="20"/>
      </w:rPr>
      <w:t xml:space="preserve">; </w:t>
    </w:r>
    <w:r>
      <w:rPr>
        <w:rFonts w:cs="Times New Roman"/>
        <w:color w:val="000000" w:themeColor="text1"/>
        <w:sz w:val="20"/>
        <w:szCs w:val="20"/>
      </w:rPr>
      <w:t>Ministru kabineta noteikumu projekta „</w:t>
    </w:r>
    <w:r>
      <w:rPr>
        <w:rFonts w:cs="Times New Roman"/>
        <w:sz w:val="20"/>
        <w:szCs w:val="20"/>
      </w:rPr>
      <w:t>Grozījumi</w:t>
    </w:r>
    <w:r w:rsidRPr="003D276A">
      <w:rPr>
        <w:rFonts w:cs="Times New Roman"/>
        <w:sz w:val="20"/>
        <w:szCs w:val="20"/>
      </w:rPr>
      <w:t xml:space="preserve"> Ministru kabineta 2009.gada 12.maija noteikumos Nr.425 „Reliģiskās savienības (baznīcas) garīdznieku saraksta iesniegšanas un aktualizācijas kārtība”</w:t>
    </w:r>
    <w:r>
      <w:rPr>
        <w:rFonts w:cs="Times New Roman"/>
        <w:sz w:val="20"/>
        <w:szCs w:val="20"/>
      </w:rPr>
      <w:t>”</w:t>
    </w:r>
    <w:r w:rsidRPr="004D15A9">
      <w:rPr>
        <w:rFonts w:cs="Times New Roman"/>
        <w:color w:val="000000" w:themeColor="text1"/>
        <w:sz w:val="20"/>
        <w:szCs w:val="20"/>
      </w:rPr>
      <w:t xml:space="preserve"> </w:t>
    </w:r>
    <w:r w:rsidRPr="004D15A9">
      <w:rPr>
        <w:rFonts w:eastAsia="Times New Roman" w:cs="Times New Roman"/>
        <w:bCs/>
        <w:color w:val="000000" w:themeColor="text1"/>
        <w:sz w:val="20"/>
        <w:szCs w:val="20"/>
        <w:lang w:eastAsia="lv-LV"/>
      </w:rPr>
      <w:t>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5A9" w:rsidRPr="003D276A" w:rsidRDefault="006333C4" w:rsidP="00AD6A8C">
    <w:pPr>
      <w:pStyle w:val="Footer"/>
      <w:ind w:firstLine="0"/>
      <w:rPr>
        <w:rFonts w:cs="Times New Roman"/>
        <w:sz w:val="20"/>
        <w:szCs w:val="20"/>
      </w:rPr>
    </w:pPr>
    <w:r w:rsidRPr="004D15A9">
      <w:rPr>
        <w:rFonts w:cs="Times New Roman"/>
        <w:color w:val="000000" w:themeColor="text1"/>
        <w:sz w:val="20"/>
        <w:szCs w:val="20"/>
      </w:rPr>
      <w:t>TMAnot_</w:t>
    </w:r>
    <w:r>
      <w:rPr>
        <w:rFonts w:cs="Times New Roman"/>
        <w:color w:val="000000" w:themeColor="text1"/>
        <w:sz w:val="20"/>
        <w:szCs w:val="20"/>
      </w:rPr>
      <w:t>1</w:t>
    </w:r>
    <w:r w:rsidR="00D561B1">
      <w:rPr>
        <w:rFonts w:cs="Times New Roman"/>
        <w:color w:val="000000" w:themeColor="text1"/>
        <w:sz w:val="20"/>
        <w:szCs w:val="20"/>
      </w:rPr>
      <w:t>7</w:t>
    </w:r>
    <w:r>
      <w:rPr>
        <w:rFonts w:cs="Times New Roman"/>
        <w:color w:val="000000" w:themeColor="text1"/>
        <w:sz w:val="20"/>
        <w:szCs w:val="20"/>
      </w:rPr>
      <w:t>0214</w:t>
    </w:r>
    <w:r w:rsidRPr="004D15A9">
      <w:rPr>
        <w:rFonts w:cs="Times New Roman"/>
        <w:color w:val="000000" w:themeColor="text1"/>
        <w:sz w:val="20"/>
        <w:szCs w:val="20"/>
      </w:rPr>
      <w:t>_</w:t>
    </w:r>
    <w:r>
      <w:rPr>
        <w:rFonts w:cs="Times New Roman"/>
        <w:color w:val="000000" w:themeColor="text1"/>
        <w:sz w:val="20"/>
        <w:szCs w:val="20"/>
      </w:rPr>
      <w:t>garidz</w:t>
    </w:r>
    <w:r w:rsidRPr="004D15A9">
      <w:rPr>
        <w:rFonts w:cs="Times New Roman"/>
        <w:color w:val="000000" w:themeColor="text1"/>
        <w:sz w:val="20"/>
        <w:szCs w:val="20"/>
      </w:rPr>
      <w:t xml:space="preserve">; </w:t>
    </w:r>
    <w:r>
      <w:rPr>
        <w:rFonts w:cs="Times New Roman"/>
        <w:color w:val="000000" w:themeColor="text1"/>
        <w:sz w:val="20"/>
        <w:szCs w:val="20"/>
      </w:rPr>
      <w:t>Ministru kabineta noteikumu projekta „</w:t>
    </w:r>
    <w:r>
      <w:rPr>
        <w:rFonts w:cs="Times New Roman"/>
        <w:sz w:val="20"/>
        <w:szCs w:val="20"/>
      </w:rPr>
      <w:t>Grozījumi</w:t>
    </w:r>
    <w:r w:rsidRPr="003D276A">
      <w:rPr>
        <w:rFonts w:cs="Times New Roman"/>
        <w:sz w:val="20"/>
        <w:szCs w:val="20"/>
      </w:rPr>
      <w:t xml:space="preserve"> Ministru kabineta 2009.gada 12.maija noteikumos Nr.425 „Reliģiskās savienības (baznīcas) garīdznieku saraksta iesniegšanas un aktualizācijas kārtība”</w:t>
    </w:r>
    <w:r>
      <w:rPr>
        <w:rFonts w:cs="Times New Roman"/>
        <w:sz w:val="20"/>
        <w:szCs w:val="20"/>
      </w:rPr>
      <w:t>”</w:t>
    </w:r>
    <w:r w:rsidRPr="004D15A9">
      <w:rPr>
        <w:rFonts w:cs="Times New Roman"/>
        <w:color w:val="000000" w:themeColor="text1"/>
        <w:sz w:val="20"/>
        <w:szCs w:val="20"/>
      </w:rPr>
      <w:t xml:space="preserve"> </w:t>
    </w:r>
    <w:r w:rsidRPr="004D15A9">
      <w:rPr>
        <w:rFonts w:eastAsia="Times New Roman" w:cs="Times New Roman"/>
        <w:bCs/>
        <w:color w:val="000000" w:themeColor="text1"/>
        <w:sz w:val="20"/>
        <w:szCs w:val="20"/>
        <w:lang w:eastAsia="lv-LV"/>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C34" w:rsidRDefault="00917C34" w:rsidP="006333C4">
      <w:r>
        <w:separator/>
      </w:r>
    </w:p>
  </w:footnote>
  <w:footnote w:type="continuationSeparator" w:id="0">
    <w:p w:rsidR="00917C34" w:rsidRDefault="00917C34" w:rsidP="006333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1B1" w:rsidRDefault="00D561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230928"/>
      <w:docPartObj>
        <w:docPartGallery w:val="Page Numbers (Top of Page)"/>
        <w:docPartUnique/>
      </w:docPartObj>
    </w:sdtPr>
    <w:sdtEndPr>
      <w:rPr>
        <w:rFonts w:cs="Times New Roman"/>
        <w:szCs w:val="24"/>
      </w:rPr>
    </w:sdtEndPr>
    <w:sdtContent>
      <w:p w:rsidR="004D15A9" w:rsidRPr="004D15A9" w:rsidRDefault="008167BB">
        <w:pPr>
          <w:pStyle w:val="Header"/>
          <w:jc w:val="center"/>
          <w:rPr>
            <w:rFonts w:cs="Times New Roman"/>
            <w:szCs w:val="24"/>
          </w:rPr>
        </w:pPr>
        <w:r w:rsidRPr="004D15A9">
          <w:rPr>
            <w:rFonts w:cs="Times New Roman"/>
            <w:szCs w:val="24"/>
          </w:rPr>
          <w:fldChar w:fldCharType="begin"/>
        </w:r>
        <w:r w:rsidR="006333C4" w:rsidRPr="004D15A9">
          <w:rPr>
            <w:rFonts w:cs="Times New Roman"/>
            <w:szCs w:val="24"/>
          </w:rPr>
          <w:instrText>PAGE   \* MERGEFORMAT</w:instrText>
        </w:r>
        <w:r w:rsidRPr="004D15A9">
          <w:rPr>
            <w:rFonts w:cs="Times New Roman"/>
            <w:szCs w:val="24"/>
          </w:rPr>
          <w:fldChar w:fldCharType="separate"/>
        </w:r>
        <w:r w:rsidR="004A6BCC">
          <w:rPr>
            <w:rFonts w:cs="Times New Roman"/>
            <w:noProof/>
            <w:szCs w:val="24"/>
          </w:rPr>
          <w:t>5</w:t>
        </w:r>
        <w:r w:rsidRPr="004D15A9">
          <w:rPr>
            <w:rFonts w:cs="Times New Roman"/>
            <w:szCs w:val="24"/>
          </w:rPr>
          <w:fldChar w:fldCharType="end"/>
        </w:r>
      </w:p>
    </w:sdtContent>
  </w:sdt>
  <w:p w:rsidR="004D15A9" w:rsidRDefault="00917C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1B1" w:rsidRDefault="00D561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6333C4"/>
    <w:rsid w:val="00055A7E"/>
    <w:rsid w:val="002A1E0E"/>
    <w:rsid w:val="004A6BCC"/>
    <w:rsid w:val="00521452"/>
    <w:rsid w:val="005E65E7"/>
    <w:rsid w:val="006333C4"/>
    <w:rsid w:val="0074483C"/>
    <w:rsid w:val="00760BF1"/>
    <w:rsid w:val="00795759"/>
    <w:rsid w:val="008167BB"/>
    <w:rsid w:val="00870EF7"/>
    <w:rsid w:val="00917C34"/>
    <w:rsid w:val="00981E09"/>
    <w:rsid w:val="00C45A5B"/>
    <w:rsid w:val="00D56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A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3C4"/>
    <w:pPr>
      <w:tabs>
        <w:tab w:val="center" w:pos="4153"/>
        <w:tab w:val="right" w:pos="8306"/>
      </w:tabs>
    </w:pPr>
  </w:style>
  <w:style w:type="character" w:customStyle="1" w:styleId="HeaderChar">
    <w:name w:val="Header Char"/>
    <w:basedOn w:val="DefaultParagraphFont"/>
    <w:link w:val="Header"/>
    <w:uiPriority w:val="99"/>
    <w:rsid w:val="006333C4"/>
  </w:style>
  <w:style w:type="paragraph" w:styleId="Footer">
    <w:name w:val="footer"/>
    <w:basedOn w:val="Normal"/>
    <w:link w:val="FooterChar"/>
    <w:uiPriority w:val="99"/>
    <w:unhideWhenUsed/>
    <w:rsid w:val="006333C4"/>
    <w:pPr>
      <w:tabs>
        <w:tab w:val="center" w:pos="4153"/>
        <w:tab w:val="right" w:pos="8306"/>
      </w:tabs>
    </w:pPr>
  </w:style>
  <w:style w:type="character" w:customStyle="1" w:styleId="FooterChar">
    <w:name w:val="Footer Char"/>
    <w:basedOn w:val="DefaultParagraphFont"/>
    <w:link w:val="Footer"/>
    <w:uiPriority w:val="99"/>
    <w:rsid w:val="006333C4"/>
  </w:style>
  <w:style w:type="paragraph" w:styleId="BalloonText">
    <w:name w:val="Balloon Text"/>
    <w:basedOn w:val="Normal"/>
    <w:link w:val="BalloonTextChar"/>
    <w:uiPriority w:val="99"/>
    <w:semiHidden/>
    <w:unhideWhenUsed/>
    <w:rsid w:val="005E65E7"/>
    <w:rPr>
      <w:rFonts w:ascii="Tahoma" w:hAnsi="Tahoma" w:cs="Tahoma"/>
      <w:sz w:val="16"/>
      <w:szCs w:val="16"/>
    </w:rPr>
  </w:style>
  <w:style w:type="character" w:customStyle="1" w:styleId="BalloonTextChar">
    <w:name w:val="Balloon Text Char"/>
    <w:basedOn w:val="DefaultParagraphFont"/>
    <w:link w:val="BalloonText"/>
    <w:uiPriority w:val="99"/>
    <w:semiHidden/>
    <w:rsid w:val="005E65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333C4"/>
    <w:pPr>
      <w:tabs>
        <w:tab w:val="center" w:pos="4153"/>
        <w:tab w:val="right" w:pos="8306"/>
      </w:tabs>
    </w:pPr>
  </w:style>
  <w:style w:type="character" w:customStyle="1" w:styleId="GalveneRakstz">
    <w:name w:val="Galvene Rakstz."/>
    <w:basedOn w:val="Noklusjumarindkopasfonts"/>
    <w:link w:val="Galvene"/>
    <w:uiPriority w:val="99"/>
    <w:rsid w:val="006333C4"/>
  </w:style>
  <w:style w:type="paragraph" w:styleId="Kjene">
    <w:name w:val="footer"/>
    <w:basedOn w:val="Parasts"/>
    <w:link w:val="KjeneRakstz"/>
    <w:uiPriority w:val="99"/>
    <w:unhideWhenUsed/>
    <w:rsid w:val="006333C4"/>
    <w:pPr>
      <w:tabs>
        <w:tab w:val="center" w:pos="4153"/>
        <w:tab w:val="right" w:pos="8306"/>
      </w:tabs>
    </w:pPr>
  </w:style>
  <w:style w:type="character" w:customStyle="1" w:styleId="KjeneRakstz">
    <w:name w:val="Kājene Rakstz."/>
    <w:basedOn w:val="Noklusjumarindkopasfonts"/>
    <w:link w:val="Kjene"/>
    <w:uiPriority w:val="99"/>
    <w:rsid w:val="006333C4"/>
  </w:style>
  <w:style w:type="paragraph" w:styleId="Balonteksts">
    <w:name w:val="Balloon Text"/>
    <w:basedOn w:val="Parasts"/>
    <w:link w:val="BalontekstsRakstz"/>
    <w:uiPriority w:val="99"/>
    <w:semiHidden/>
    <w:unhideWhenUsed/>
    <w:rsid w:val="005E65E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E65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1255</Words>
  <Characters>7154</Characters>
  <Application>Microsoft Office Word</Application>
  <DocSecurity>0</DocSecurity>
  <Lines>59</Lines>
  <Paragraphs>16</Paragraphs>
  <ScaleCrop>false</ScaleCrop>
  <HeadingPairs>
    <vt:vector size="2" baseType="variant">
      <vt:variant>
        <vt:lpstr>Nosaukums</vt:lpstr>
      </vt:variant>
      <vt:variant>
        <vt:i4>1</vt:i4>
      </vt:variant>
    </vt:vector>
  </HeadingPairs>
  <TitlesOfParts>
    <vt:vector size="1" baseType="lpstr">
      <vt:lpstr>Grozījumi Ministru kabineta 2009.gada 12.maija noteikumos nr.425 "Reliģiskās savienības (baznīcas) garīzdznieku saraksta iesniegšanas un aktualizācijas kārtība"</vt:lpstr>
    </vt:vector>
  </TitlesOfParts>
  <Company>Tieslietu Ministrija</Company>
  <LinksUpToDate>false</LinksUpToDate>
  <CharactersWithSpaces>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12.maija noteikumos nr.425 "Reliģiskās savienības (baznīcas) garīzdznieku saraksta iesniegšanas un aktualizācijas kārtība"</dc:title>
  <dc:subject>Sākotnējās ietekmes novērtējuma ziņojums (anotācija)</dc:subject>
  <dc:creator>Dana Voitina</dc:creator>
  <dc:description>Dana.Voitina@tm.gov.lv; 67046135</dc:description>
  <cp:lastModifiedBy>DANA</cp:lastModifiedBy>
  <cp:revision>4</cp:revision>
  <dcterms:created xsi:type="dcterms:W3CDTF">2014-02-17T10:14:00Z</dcterms:created>
  <dcterms:modified xsi:type="dcterms:W3CDTF">2014-02-17T10:16:00Z</dcterms:modified>
</cp:coreProperties>
</file>