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F2654" w:rsidRDefault="00EC68AB" w:rsidP="00DA596D">
      <w:pPr>
        <w:spacing w:after="0" w:line="240" w:lineRule="auto"/>
        <w:ind w:firstLine="300"/>
        <w:jc w:val="center"/>
        <w:rPr>
          <w:rFonts w:ascii="Times New Roman" w:eastAsia="Times New Roman" w:hAnsi="Times New Roman" w:cs="Times New Roman"/>
          <w:b/>
          <w:bCs/>
          <w:sz w:val="24"/>
          <w:szCs w:val="24"/>
          <w:lang w:eastAsia="lv-LV"/>
        </w:rPr>
      </w:pPr>
      <w:r w:rsidRPr="00AF2654">
        <w:rPr>
          <w:rFonts w:ascii="Times New Roman" w:eastAsia="Times New Roman" w:hAnsi="Times New Roman" w:cs="Times New Roman"/>
          <w:b/>
          <w:bCs/>
          <w:sz w:val="24"/>
          <w:szCs w:val="24"/>
          <w:lang w:eastAsia="lv-LV"/>
        </w:rPr>
        <w:t>Likumprojekt</w:t>
      </w:r>
      <w:r w:rsidR="00EA61C7" w:rsidRPr="00AF2654">
        <w:rPr>
          <w:rFonts w:ascii="Times New Roman" w:eastAsia="Times New Roman" w:hAnsi="Times New Roman" w:cs="Times New Roman"/>
          <w:b/>
          <w:bCs/>
          <w:sz w:val="24"/>
          <w:szCs w:val="24"/>
          <w:lang w:eastAsia="lv-LV"/>
        </w:rPr>
        <w:t>a „</w:t>
      </w:r>
      <w:r w:rsidR="00C5094A" w:rsidRPr="001A07E9">
        <w:rPr>
          <w:rFonts w:ascii="Times New Roman" w:eastAsia="Times New Roman" w:hAnsi="Times New Roman" w:cs="Times New Roman"/>
          <w:b/>
          <w:bCs/>
          <w:sz w:val="24"/>
          <w:szCs w:val="24"/>
          <w:lang w:eastAsia="lv-LV"/>
        </w:rPr>
        <w:t>Grozījum</w:t>
      </w:r>
      <w:r w:rsidR="00C5094A">
        <w:rPr>
          <w:rFonts w:ascii="Times New Roman" w:eastAsia="Times New Roman" w:hAnsi="Times New Roman" w:cs="Times New Roman"/>
          <w:b/>
          <w:bCs/>
          <w:sz w:val="24"/>
          <w:szCs w:val="24"/>
          <w:lang w:eastAsia="lv-LV"/>
        </w:rPr>
        <w:t>s</w:t>
      </w:r>
      <w:r w:rsidR="00C5094A" w:rsidRPr="001A07E9">
        <w:rPr>
          <w:rFonts w:ascii="Times New Roman" w:eastAsia="Times New Roman" w:hAnsi="Times New Roman" w:cs="Times New Roman"/>
          <w:b/>
          <w:bCs/>
          <w:sz w:val="24"/>
          <w:szCs w:val="24"/>
          <w:lang w:eastAsia="lv-LV"/>
        </w:rPr>
        <w:t xml:space="preserve"> </w:t>
      </w:r>
      <w:r w:rsidR="001A07E9" w:rsidRPr="001A07E9">
        <w:rPr>
          <w:rFonts w:ascii="Times New Roman" w:eastAsia="Times New Roman" w:hAnsi="Times New Roman" w:cs="Times New Roman"/>
          <w:b/>
          <w:bCs/>
          <w:sz w:val="24"/>
          <w:szCs w:val="24"/>
          <w:lang w:eastAsia="lv-LV"/>
        </w:rPr>
        <w:t>Pusvadītāju izstrādājumu topogrāfiju aizsardzības likumā</w:t>
      </w:r>
      <w:r w:rsidR="001A07E9">
        <w:rPr>
          <w:rFonts w:ascii="Times New Roman" w:eastAsia="Times New Roman" w:hAnsi="Times New Roman" w:cs="Times New Roman"/>
          <w:b/>
          <w:bCs/>
          <w:sz w:val="24"/>
          <w:szCs w:val="24"/>
          <w:lang w:eastAsia="lv-LV"/>
        </w:rPr>
        <w:t xml:space="preserve">” </w:t>
      </w:r>
      <w:r w:rsidR="004D15A9" w:rsidRPr="00AF2654">
        <w:rPr>
          <w:rFonts w:ascii="Times New Roman" w:eastAsia="Times New Roman" w:hAnsi="Times New Roman" w:cs="Times New Roman"/>
          <w:b/>
          <w:bCs/>
          <w:sz w:val="24"/>
          <w:szCs w:val="24"/>
          <w:lang w:eastAsia="lv-LV"/>
        </w:rPr>
        <w:t>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E06CD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06CDF">
              <w:rPr>
                <w:rFonts w:ascii="Times New Roman" w:eastAsia="Times New Roman" w:hAnsi="Times New Roman" w:cs="Times New Roman"/>
                <w:b/>
                <w:bCs/>
                <w:sz w:val="24"/>
                <w:szCs w:val="24"/>
                <w:lang w:eastAsia="lv-LV"/>
              </w:rPr>
              <w:t>I. Tiesību akta projekta izstrādes nepieciešamība</w:t>
            </w:r>
          </w:p>
        </w:tc>
      </w:tr>
      <w:tr w:rsidR="004D15A9" w:rsidRPr="004D15A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06CDF"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Atbilstoši grozījumiem likumā „Par tiesu varu”, kas stājās spēkā ar 2013. gada 1. septembri, līdz 2016. gada beigām tiek likvidēta Augstākās tiesas Civillietu tiesu palāta, tādējādi noslēdzot Latvijā pāreju uz tā saucamo „tīro instanču” tiesām. </w:t>
            </w:r>
          </w:p>
          <w:p w:rsidR="004D15A9"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Minētās reformas īstenošanai turpināma kompetenču pārdale starp tiesu instancēm arī civilprocesā, novirzot lietu pieplūdumu no Augstākās tiesas Civillietu tiesu palātas uz apgabaltiesām un rajonu (pilsētu) tiesām. Tas nozīmē arī nepieciešamību grozīt attiecīgās Civilprocesa likuma un saistīto speciālo likumu normas.</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šim, l</w:t>
            </w:r>
            <w:r w:rsidRPr="00C52612">
              <w:rPr>
                <w:rFonts w:ascii="Times New Roman" w:eastAsia="Times New Roman" w:hAnsi="Times New Roman" w:cs="Times New Roman"/>
                <w:sz w:val="24"/>
                <w:szCs w:val="24"/>
                <w:lang w:eastAsia="lv-LV"/>
              </w:rPr>
              <w:t>ai īstenotu tiesu kompetenču pārdali un pāreju uz „tīro instanču” tiesām</w:t>
            </w:r>
            <w:r w:rsidR="00292B02">
              <w:rPr>
                <w:rFonts w:ascii="Times New Roman" w:eastAsia="Times New Roman" w:hAnsi="Times New Roman" w:cs="Times New Roman"/>
                <w:sz w:val="24"/>
                <w:szCs w:val="24"/>
                <w:lang w:eastAsia="lv-LV"/>
              </w:rPr>
              <w:t>,</w:t>
            </w:r>
            <w:r w:rsidRPr="00C52612">
              <w:rPr>
                <w:rFonts w:ascii="Times New Roman" w:eastAsia="Times New Roman" w:hAnsi="Times New Roman" w:cs="Times New Roman"/>
                <w:sz w:val="24"/>
                <w:szCs w:val="24"/>
                <w:lang w:eastAsia="lv-LV"/>
              </w:rPr>
              <w:t xml:space="preserve"> ir veikti šādi pasākumu:</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1)</w:t>
            </w:r>
            <w:r w:rsidRPr="00C52612">
              <w:rPr>
                <w:rFonts w:ascii="Times New Roman" w:eastAsia="Times New Roman" w:hAnsi="Times New Roman" w:cs="Times New Roman"/>
                <w:sz w:val="24"/>
                <w:szCs w:val="24"/>
                <w:lang w:eastAsia="lv-LV"/>
              </w:rPr>
              <w:tab/>
              <w:t>2014. gada 4. janvārī stājās spēkā grozījumi Civilprocesa likuma 25. pantā, svītrojot minētā panta pirmās daļas 2.punktu, proti, lietu, kas izriet no saistību tiesībām, ja prasības summa pārsniedz 210</w:t>
            </w:r>
            <w:r w:rsidR="00292B02">
              <w:rPr>
                <w:rFonts w:ascii="Times New Roman" w:eastAsia="Times New Roman" w:hAnsi="Times New Roman" w:cs="Times New Roman"/>
                <w:sz w:val="24"/>
                <w:szCs w:val="24"/>
                <w:lang w:eastAsia="lv-LV"/>
              </w:rPr>
              <w:t> </w:t>
            </w:r>
            <w:r w:rsidRPr="00C52612">
              <w:rPr>
                <w:rFonts w:ascii="Times New Roman" w:eastAsia="Times New Roman" w:hAnsi="Times New Roman" w:cs="Times New Roman"/>
                <w:sz w:val="24"/>
                <w:szCs w:val="24"/>
                <w:lang w:eastAsia="lv-LV"/>
              </w:rPr>
              <w:t>000</w:t>
            </w:r>
            <w:r w:rsidR="00292B02">
              <w:rPr>
                <w:rFonts w:ascii="Times New Roman" w:eastAsia="Times New Roman" w:hAnsi="Times New Roman" w:cs="Times New Roman"/>
                <w:sz w:val="24"/>
                <w:szCs w:val="24"/>
                <w:lang w:eastAsia="lv-LV"/>
              </w:rPr>
              <w:t xml:space="preserve"> </w:t>
            </w:r>
            <w:r w:rsidR="00292B02">
              <w:rPr>
                <w:rFonts w:ascii="Times New Roman" w:eastAsia="Times New Roman" w:hAnsi="Times New Roman" w:cs="Times New Roman"/>
                <w:i/>
                <w:sz w:val="24"/>
                <w:szCs w:val="24"/>
                <w:lang w:eastAsia="lv-LV"/>
              </w:rPr>
              <w:t>euro</w:t>
            </w:r>
            <w:r w:rsidRPr="00C52612">
              <w:rPr>
                <w:rFonts w:ascii="Times New Roman" w:eastAsia="Times New Roman" w:hAnsi="Times New Roman" w:cs="Times New Roman"/>
                <w:sz w:val="24"/>
                <w:szCs w:val="24"/>
                <w:lang w:eastAsia="lv-LV"/>
              </w:rPr>
              <w:t>, piekritība noteikta rajona (pilsētas) tiesām (iepriekš piekritība apgabaltiesai);</w:t>
            </w:r>
          </w:p>
          <w:p w:rsidR="00E06CDF"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2)</w:t>
            </w:r>
            <w:r w:rsidRPr="00C52612">
              <w:rPr>
                <w:rFonts w:ascii="Times New Roman" w:eastAsia="Times New Roman" w:hAnsi="Times New Roman" w:cs="Times New Roman"/>
                <w:sz w:val="24"/>
                <w:szCs w:val="24"/>
                <w:lang w:eastAsia="lv-LV"/>
              </w:rPr>
              <w:tab/>
              <w:t>2014. gada 4. janvārī stājās spēkā grozījumi Civilprocesa likumā, papildinot likumu ar 32.</w:t>
            </w:r>
            <w:r w:rsidRPr="00C52612">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pantu, kas paredz iespēju pārdalīt jeb nodot lietas citai tiesai, ar mērķi izlīdzināt noslodzi. Minētajai normai ir pārejas raksturs, jo saskaņā ar Civilproce</w:t>
            </w:r>
            <w:r w:rsidR="00292B02">
              <w:rPr>
                <w:rFonts w:ascii="Times New Roman" w:eastAsia="Times New Roman" w:hAnsi="Times New Roman" w:cs="Times New Roman"/>
                <w:sz w:val="24"/>
                <w:szCs w:val="24"/>
                <w:lang w:eastAsia="lv-LV"/>
              </w:rPr>
              <w:t>sa likuma pārejas noteikumu 76. </w:t>
            </w:r>
            <w:r w:rsidRPr="00C52612">
              <w:rPr>
                <w:rFonts w:ascii="Times New Roman" w:eastAsia="Times New Roman" w:hAnsi="Times New Roman" w:cs="Times New Roman"/>
                <w:sz w:val="24"/>
                <w:szCs w:val="24"/>
                <w:lang w:eastAsia="lv-LV"/>
              </w:rPr>
              <w:t>punktu likuma 32.</w:t>
            </w:r>
            <w:r w:rsidRPr="00D73BD7">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w:t>
            </w:r>
            <w:r w:rsidR="00292B02">
              <w:rPr>
                <w:rFonts w:ascii="Times New Roman" w:eastAsia="Times New Roman" w:hAnsi="Times New Roman" w:cs="Times New Roman"/>
                <w:sz w:val="24"/>
                <w:szCs w:val="24"/>
                <w:lang w:eastAsia="lv-LV"/>
              </w:rPr>
              <w:t>s zaudē spēku ar 2016. gada 31. </w:t>
            </w:r>
            <w:r w:rsidRPr="00C52612">
              <w:rPr>
                <w:rFonts w:ascii="Times New Roman" w:eastAsia="Times New Roman" w:hAnsi="Times New Roman" w:cs="Times New Roman"/>
                <w:sz w:val="24"/>
                <w:szCs w:val="24"/>
                <w:lang w:eastAsia="lv-LV"/>
              </w:rPr>
              <w:t>decembri jeb ar Augstākās tiesas Civillietu tiesu palātas darbības beigām.</w:t>
            </w:r>
          </w:p>
          <w:p w:rsidR="00E06CDF" w:rsidRDefault="00E06CDF" w:rsidP="00E06CDF">
            <w:pPr>
              <w:spacing w:after="0" w:line="240" w:lineRule="auto"/>
              <w:rPr>
                <w:rFonts w:ascii="Times New Roman" w:eastAsia="Times New Roman" w:hAnsi="Times New Roman" w:cs="Times New Roman"/>
                <w:sz w:val="24"/>
                <w:szCs w:val="24"/>
                <w:lang w:eastAsia="lv-LV"/>
              </w:rPr>
            </w:pPr>
          </w:p>
          <w:p w:rsidR="00E06CDF" w:rsidRPr="00E06CDF" w:rsidRDefault="00E06CDF" w:rsidP="00C5261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Ar grozījumiem Civilprocesa likumā un saistītajos normatīvajos aktos tiks veikta atlikušo kompetenču pārdale starp tiesu instancēm jeb pāreja uz tīrajām tiesu instancēm civilprocesā, kas saskaņā ar likuma „Par tiesu varu” pārejas noteikumu 57. punktu īstenojama līdz Augstākās tiesas Civillietu tiesas palā</w:t>
            </w:r>
            <w:r w:rsidR="00292B02">
              <w:rPr>
                <w:rFonts w:ascii="Times New Roman" w:eastAsia="Times New Roman" w:hAnsi="Times New Roman" w:cs="Times New Roman"/>
                <w:sz w:val="24"/>
                <w:szCs w:val="24"/>
                <w:lang w:eastAsia="lv-LV"/>
              </w:rPr>
              <w:t>tas likvidācijai 2016. gada 31. </w:t>
            </w:r>
            <w:r w:rsidRPr="00E06CDF">
              <w:rPr>
                <w:rFonts w:ascii="Times New Roman" w:eastAsia="Times New Roman" w:hAnsi="Times New Roman" w:cs="Times New Roman"/>
                <w:sz w:val="24"/>
                <w:szCs w:val="24"/>
                <w:lang w:eastAsia="lv-LV"/>
              </w:rPr>
              <w:t xml:space="preserve">decembrī. </w:t>
            </w:r>
          </w:p>
          <w:p w:rsidR="00E06CDF" w:rsidRPr="00E06CDF" w:rsidRDefault="00E06CDF" w:rsidP="003903DE">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Plānotie Civilprocesa likuma grozījumi s</w:t>
            </w:r>
            <w:r w:rsidR="00D73BD7">
              <w:rPr>
                <w:rFonts w:ascii="Times New Roman" w:eastAsia="Times New Roman" w:hAnsi="Times New Roman" w:cs="Times New Roman"/>
                <w:sz w:val="24"/>
                <w:szCs w:val="24"/>
                <w:lang w:eastAsia="lv-LV"/>
              </w:rPr>
              <w:t xml:space="preserve">aistībā ar lietu pārdali skar arī </w:t>
            </w:r>
            <w:r w:rsidRPr="00E06CDF">
              <w:rPr>
                <w:rFonts w:ascii="Times New Roman" w:eastAsia="Times New Roman" w:hAnsi="Times New Roman" w:cs="Times New Roman"/>
                <w:sz w:val="24"/>
                <w:szCs w:val="24"/>
                <w:lang w:eastAsia="lv-LV"/>
              </w:rPr>
              <w:t>lietas par patenttiesību, preču zīmju un ģeogrāfiskās izcelsmes norāžu aizsardzību</w:t>
            </w:r>
            <w:r w:rsidR="00D144BC">
              <w:rPr>
                <w:rFonts w:ascii="Times New Roman" w:eastAsia="Times New Roman" w:hAnsi="Times New Roman" w:cs="Times New Roman"/>
                <w:sz w:val="24"/>
                <w:szCs w:val="24"/>
                <w:lang w:eastAsia="lv-LV"/>
              </w:rPr>
              <w:t>.</w:t>
            </w:r>
          </w:p>
          <w:p w:rsidR="00223252" w:rsidRPr="00E06CDF" w:rsidRDefault="00223252" w:rsidP="0022325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Plānotie Civilprocesa likuma grozījumi s</w:t>
            </w:r>
            <w:r>
              <w:rPr>
                <w:rFonts w:ascii="Times New Roman" w:eastAsia="Times New Roman" w:hAnsi="Times New Roman" w:cs="Times New Roman"/>
                <w:sz w:val="24"/>
                <w:szCs w:val="24"/>
                <w:lang w:eastAsia="lv-LV"/>
              </w:rPr>
              <w:t xml:space="preserve">aistībā ar lietu pārdali skar arī </w:t>
            </w:r>
            <w:r w:rsidRPr="00E06CDF">
              <w:rPr>
                <w:rFonts w:ascii="Times New Roman" w:eastAsia="Times New Roman" w:hAnsi="Times New Roman" w:cs="Times New Roman"/>
                <w:sz w:val="24"/>
                <w:szCs w:val="24"/>
                <w:lang w:eastAsia="lv-LV"/>
              </w:rPr>
              <w:t xml:space="preserve">lietas par patenttiesību, </w:t>
            </w:r>
            <w:r>
              <w:rPr>
                <w:rFonts w:ascii="Times New Roman" w:eastAsia="Times New Roman" w:hAnsi="Times New Roman" w:cs="Times New Roman"/>
                <w:sz w:val="24"/>
                <w:szCs w:val="24"/>
                <w:lang w:eastAsia="lv-LV"/>
              </w:rPr>
              <w:t xml:space="preserve">pusvadītāju izstrādājumu topogrāfiju, dizainparaugu, </w:t>
            </w:r>
            <w:r w:rsidRPr="00E06CDF">
              <w:rPr>
                <w:rFonts w:ascii="Times New Roman" w:eastAsia="Times New Roman" w:hAnsi="Times New Roman" w:cs="Times New Roman"/>
                <w:sz w:val="24"/>
                <w:szCs w:val="24"/>
                <w:lang w:eastAsia="lv-LV"/>
              </w:rPr>
              <w:t>preču zīmju un ģeogrāfiskās izcelsmes norāžu aizsardzību</w:t>
            </w:r>
            <w:r>
              <w:rPr>
                <w:rFonts w:ascii="Times New Roman" w:eastAsia="Times New Roman" w:hAnsi="Times New Roman" w:cs="Times New Roman"/>
                <w:sz w:val="24"/>
                <w:szCs w:val="24"/>
                <w:lang w:eastAsia="lv-LV"/>
              </w:rPr>
              <w:t>.</w:t>
            </w:r>
          </w:p>
          <w:p w:rsidR="00223252" w:rsidRDefault="00223252" w:rsidP="0022325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Ir atzīta nepiecieša</w:t>
            </w:r>
            <w:r>
              <w:rPr>
                <w:rFonts w:ascii="Times New Roman" w:eastAsia="Times New Roman" w:hAnsi="Times New Roman" w:cs="Times New Roman"/>
                <w:sz w:val="24"/>
                <w:szCs w:val="24"/>
                <w:lang w:eastAsia="lv-LV"/>
              </w:rPr>
              <w:t xml:space="preserve">mība iekļaut Civilprocesa likumā </w:t>
            </w:r>
            <w:r w:rsidRPr="00E06CDF">
              <w:rPr>
                <w:rFonts w:ascii="Times New Roman" w:eastAsia="Times New Roman" w:hAnsi="Times New Roman" w:cs="Times New Roman"/>
                <w:sz w:val="24"/>
                <w:szCs w:val="24"/>
                <w:lang w:eastAsia="lv-LV"/>
              </w:rPr>
              <w:t xml:space="preserve">papildu noteikumu, nosakot vienu kompetento tiesu lietās par patenttiesību, </w:t>
            </w:r>
            <w:r>
              <w:rPr>
                <w:rFonts w:ascii="Times New Roman" w:eastAsia="Times New Roman" w:hAnsi="Times New Roman" w:cs="Times New Roman"/>
                <w:sz w:val="24"/>
                <w:szCs w:val="24"/>
                <w:lang w:eastAsia="lv-LV"/>
              </w:rPr>
              <w:t xml:space="preserve">pusvadītāju izstrādājumu topogrāfiju, dizainparaugu, </w:t>
            </w:r>
            <w:r w:rsidRPr="00E06CDF">
              <w:rPr>
                <w:rFonts w:ascii="Times New Roman" w:eastAsia="Times New Roman" w:hAnsi="Times New Roman" w:cs="Times New Roman"/>
                <w:sz w:val="24"/>
                <w:szCs w:val="24"/>
                <w:lang w:eastAsia="lv-LV"/>
              </w:rPr>
              <w:t xml:space="preserve">preču zīmju un ģeogrāfiskās izcelsmes </w:t>
            </w:r>
            <w:r w:rsidRPr="00E06CDF">
              <w:rPr>
                <w:rFonts w:ascii="Times New Roman" w:eastAsia="Times New Roman" w:hAnsi="Times New Roman" w:cs="Times New Roman"/>
                <w:sz w:val="24"/>
                <w:szCs w:val="24"/>
                <w:lang w:eastAsia="lv-LV"/>
              </w:rPr>
              <w:lastRenderedPageBreak/>
              <w:t>norāžu aizsardzību un pirmajā instancē tās nodot izskatīšanai Rīgas pilsētas Vidz</w:t>
            </w:r>
            <w:r>
              <w:rPr>
                <w:rFonts w:ascii="Times New Roman" w:eastAsia="Times New Roman" w:hAnsi="Times New Roman" w:cs="Times New Roman"/>
                <w:sz w:val="24"/>
                <w:szCs w:val="24"/>
                <w:lang w:eastAsia="lv-LV"/>
              </w:rPr>
              <w:t>emes priekšpilsētas tiesā.</w:t>
            </w:r>
          </w:p>
          <w:p w:rsidR="00223252" w:rsidRPr="00C52612" w:rsidRDefault="00223252" w:rsidP="0022325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Šāds risinājums kompetentās tiesas noteikšanā ir balstīts uz vairākiem apsvērumiem.</w:t>
            </w:r>
          </w:p>
          <w:p w:rsidR="00223252" w:rsidRPr="00C52612" w:rsidRDefault="00223252" w:rsidP="0022325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Pirmkārt, jau pašlaik likums „Par preču zīmēm un ģeogrāfiskās izcelsmes norādēm” paredz, ka minēto kategoriju lietas izskatāmas Rīgas tiesu apgabalā. Tas izriet no likuma 25.</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sestās daļas, 26.</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septītās daļas, 28.</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otrās daļas, 31.</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trešās daļas, 32.</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piektās daļas, 43.</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 xml:space="preserve">panta otrās daļas, kas noteic, ka prasība ceļama Rīgas apgabaltiesā. </w:t>
            </w:r>
            <w:r>
              <w:rPr>
                <w:rFonts w:ascii="Times New Roman" w:eastAsia="Times New Roman" w:hAnsi="Times New Roman" w:cs="Times New Roman"/>
                <w:sz w:val="24"/>
                <w:szCs w:val="24"/>
                <w:lang w:eastAsia="lv-LV"/>
              </w:rPr>
              <w:t>Tāpat arī Patentu likuma 65.</w:t>
            </w:r>
            <w:r w:rsidR="00292B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otrā daļa un </w:t>
            </w:r>
            <w:r w:rsidRPr="00D73BD7">
              <w:rPr>
                <w:rFonts w:ascii="Times New Roman" w:hAnsi="Times New Roman" w:cs="Times New Roman"/>
                <w:sz w:val="24"/>
                <w:szCs w:val="24"/>
              </w:rPr>
              <w:t>Dizainparaugu likuma 49.</w:t>
            </w:r>
            <w:r w:rsidR="00292B02">
              <w:rPr>
                <w:rFonts w:ascii="Times New Roman" w:hAnsi="Times New Roman" w:cs="Times New Roman"/>
                <w:sz w:val="24"/>
                <w:szCs w:val="24"/>
              </w:rPr>
              <w:t> </w:t>
            </w:r>
            <w:r w:rsidRPr="00D73BD7">
              <w:rPr>
                <w:rFonts w:ascii="Times New Roman" w:hAnsi="Times New Roman" w:cs="Times New Roman"/>
                <w:sz w:val="24"/>
                <w:szCs w:val="24"/>
              </w:rPr>
              <w:t>panta pirmā daļa noteic, ka prasības ceļamas Rīgas apgabaltiesā kā pirmās instances tiesā.</w:t>
            </w:r>
            <w:r>
              <w:rPr>
                <w:rFonts w:ascii="Times New Roman" w:hAnsi="Times New Roman" w:cs="Times New Roman"/>
                <w:b/>
                <w:sz w:val="24"/>
                <w:szCs w:val="24"/>
              </w:rPr>
              <w:t xml:space="preserve"> </w:t>
            </w:r>
            <w:r>
              <w:rPr>
                <w:rFonts w:ascii="Times New Roman" w:hAnsi="Times New Roman"/>
                <w:color w:val="000000"/>
                <w:sz w:val="24"/>
                <w:szCs w:val="24"/>
              </w:rPr>
              <w:t xml:space="preserve">Savukārt Pusvadītāju izstrādājumu topogrāfiju aizsardzības likuma 15. panta pirmā daļa paredz, ka prasības pieteikumu par topogrāfijas reģistrācijas atzīšanu par </w:t>
            </w:r>
            <w:proofErr w:type="gramStart"/>
            <w:r>
              <w:rPr>
                <w:rFonts w:ascii="Times New Roman" w:hAnsi="Times New Roman"/>
                <w:color w:val="000000"/>
                <w:sz w:val="24"/>
                <w:szCs w:val="24"/>
              </w:rPr>
              <w:t>spēkā neesošu jebkura ieinteresēta persona</w:t>
            </w:r>
            <w:proofErr w:type="gramEnd"/>
            <w:r>
              <w:rPr>
                <w:rFonts w:ascii="Times New Roman" w:hAnsi="Times New Roman"/>
                <w:color w:val="000000"/>
                <w:sz w:val="24"/>
                <w:szCs w:val="24"/>
              </w:rPr>
              <w:t xml:space="preserve"> var iesniegt Rīgas apgabaltiesai visa topogrāfijas reģistrācijas spēka esamības laikā, ievērojot likumā noteikto kārtību prasības celšanai. </w:t>
            </w:r>
            <w:r w:rsidRPr="00C52612">
              <w:rPr>
                <w:rFonts w:ascii="Times New Roman" w:eastAsia="Times New Roman" w:hAnsi="Times New Roman" w:cs="Times New Roman"/>
                <w:sz w:val="24"/>
                <w:szCs w:val="24"/>
                <w:lang w:eastAsia="lv-LV"/>
              </w:rPr>
              <w:t xml:space="preserve">Tādējādi arī pēc kompetenču pārdales starp tiesu instancēm būtu saglabājams princips, ka šīs lietas tiek skatītas Rīgas tiesu </w:t>
            </w:r>
            <w:r>
              <w:rPr>
                <w:rFonts w:ascii="Times New Roman" w:eastAsia="Times New Roman" w:hAnsi="Times New Roman" w:cs="Times New Roman"/>
                <w:sz w:val="24"/>
                <w:szCs w:val="24"/>
                <w:lang w:eastAsia="lv-LV"/>
              </w:rPr>
              <w:t>apgabalā.</w:t>
            </w:r>
          </w:p>
          <w:p w:rsidR="00223252" w:rsidRDefault="00223252" w:rsidP="0022325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 xml:space="preserve">Otrkārt, lietas par patenttiesību, </w:t>
            </w:r>
            <w:r>
              <w:rPr>
                <w:rFonts w:ascii="Times New Roman" w:eastAsia="Times New Roman" w:hAnsi="Times New Roman" w:cs="Times New Roman"/>
                <w:sz w:val="24"/>
                <w:szCs w:val="24"/>
                <w:lang w:eastAsia="lv-LV"/>
              </w:rPr>
              <w:t xml:space="preserve">pusvadītāju izstrādājumu topogrāfiju, dizainparaugu, </w:t>
            </w:r>
            <w:r w:rsidRPr="00C52612">
              <w:rPr>
                <w:rFonts w:ascii="Times New Roman" w:eastAsia="Times New Roman" w:hAnsi="Times New Roman" w:cs="Times New Roman"/>
                <w:sz w:val="24"/>
                <w:szCs w:val="24"/>
                <w:lang w:eastAsia="lv-LV"/>
              </w:rPr>
              <w:t>preču zīmju un ģeogrāfiskās izcelsmes norāžu aizsardzību prasa no tiesneša ļoti specifiskas zināšanas vienā ļoti šaurā tiesību jautājumā. Lai paaugstinātu tiesu spriedumu kvalitāti, atbalstāma</w:t>
            </w:r>
            <w:proofErr w:type="gramStart"/>
            <w:r w:rsidRPr="00C52612">
              <w:rPr>
                <w:rFonts w:ascii="Times New Roman" w:eastAsia="Times New Roman" w:hAnsi="Times New Roman" w:cs="Times New Roman"/>
                <w:sz w:val="24"/>
                <w:szCs w:val="24"/>
                <w:lang w:eastAsia="lv-LV"/>
              </w:rPr>
              <w:t xml:space="preserve">  </w:t>
            </w:r>
            <w:proofErr w:type="gramEnd"/>
            <w:r w:rsidRPr="00C52612">
              <w:rPr>
                <w:rFonts w:ascii="Times New Roman" w:eastAsia="Times New Roman" w:hAnsi="Times New Roman" w:cs="Times New Roman"/>
                <w:sz w:val="24"/>
                <w:szCs w:val="24"/>
                <w:lang w:eastAsia="lv-LV"/>
              </w:rPr>
              <w:t>tiesnešu specializācija konkrētu lietu skatīšanā. Līdz ar to Rīgas pilsēta</w:t>
            </w:r>
            <w:r>
              <w:rPr>
                <w:rFonts w:ascii="Times New Roman" w:eastAsia="Times New Roman" w:hAnsi="Times New Roman" w:cs="Times New Roman"/>
                <w:sz w:val="24"/>
                <w:szCs w:val="24"/>
                <w:lang w:eastAsia="lv-LV"/>
              </w:rPr>
              <w:t>s Vidzemes priekšpilsētas tiesā</w:t>
            </w:r>
            <w:r w:rsidRPr="00C52612">
              <w:rPr>
                <w:rFonts w:ascii="Times New Roman" w:eastAsia="Times New Roman" w:hAnsi="Times New Roman" w:cs="Times New Roman"/>
                <w:sz w:val="24"/>
                <w:szCs w:val="24"/>
                <w:lang w:eastAsia="lv-LV"/>
              </w:rPr>
              <w:t xml:space="preserve"> atsevišķiem tiesnešiem, kuriem ir attiecīga kvalifikācija un iemaņas šādu lietu izskatīšanā, kā specializācija </w:t>
            </w:r>
            <w:r>
              <w:rPr>
                <w:rFonts w:ascii="Times New Roman" w:eastAsia="Times New Roman" w:hAnsi="Times New Roman" w:cs="Times New Roman"/>
                <w:sz w:val="24"/>
                <w:szCs w:val="24"/>
                <w:lang w:eastAsia="lv-LV"/>
              </w:rPr>
              <w:t>nosakāma</w:t>
            </w:r>
            <w:r w:rsidRPr="00C52612">
              <w:rPr>
                <w:rFonts w:ascii="Times New Roman" w:eastAsia="Times New Roman" w:hAnsi="Times New Roman" w:cs="Times New Roman"/>
                <w:sz w:val="24"/>
                <w:szCs w:val="24"/>
                <w:lang w:eastAsia="lv-LV"/>
              </w:rPr>
              <w:t xml:space="preserve"> tieši minēto kategoriju lietu skatīšana.</w:t>
            </w:r>
          </w:p>
          <w:p w:rsidR="004D15A9" w:rsidRPr="00E06CDF" w:rsidRDefault="00D73BD7" w:rsidP="00705830">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likumprojekts paredz </w:t>
            </w:r>
            <w:r w:rsidR="00D144BC">
              <w:rPr>
                <w:rFonts w:ascii="Times New Roman" w:eastAsia="Times New Roman" w:hAnsi="Times New Roman" w:cs="Times New Roman"/>
                <w:sz w:val="24"/>
                <w:szCs w:val="24"/>
                <w:lang w:eastAsia="lv-LV"/>
              </w:rPr>
              <w:t xml:space="preserve">izdarīt </w:t>
            </w:r>
            <w:r>
              <w:rPr>
                <w:rFonts w:ascii="Times New Roman" w:eastAsia="Times New Roman" w:hAnsi="Times New Roman" w:cs="Times New Roman"/>
                <w:sz w:val="24"/>
                <w:szCs w:val="24"/>
                <w:lang w:eastAsia="lv-LV"/>
              </w:rPr>
              <w:t xml:space="preserve">grozījumu </w:t>
            </w:r>
            <w:r w:rsidR="009A693E" w:rsidRPr="009A693E">
              <w:rPr>
                <w:rFonts w:ascii="Times New Roman" w:eastAsia="Times New Roman" w:hAnsi="Times New Roman" w:cs="Times New Roman"/>
                <w:sz w:val="24"/>
                <w:szCs w:val="24"/>
                <w:lang w:eastAsia="lv-LV"/>
              </w:rPr>
              <w:t>Pusvadītāju izstrādājumu</w:t>
            </w:r>
            <w:r w:rsidR="009A693E">
              <w:rPr>
                <w:rFonts w:ascii="Times New Roman" w:eastAsia="Times New Roman" w:hAnsi="Times New Roman" w:cs="Times New Roman"/>
                <w:sz w:val="24"/>
                <w:szCs w:val="24"/>
                <w:lang w:eastAsia="lv-LV"/>
              </w:rPr>
              <w:t xml:space="preserve"> topogrāfiju aizsardzības likuma 1</w:t>
            </w:r>
            <w:r w:rsidR="00890A34">
              <w:rPr>
                <w:rFonts w:ascii="Times New Roman" w:eastAsia="Times New Roman" w:hAnsi="Times New Roman" w:cs="Times New Roman"/>
                <w:sz w:val="24"/>
                <w:szCs w:val="24"/>
                <w:lang w:eastAsia="lv-LV"/>
              </w:rPr>
              <w:t>5.</w:t>
            </w:r>
            <w:r w:rsidR="00292B02">
              <w:rPr>
                <w:rFonts w:ascii="Times New Roman" w:eastAsia="Times New Roman" w:hAnsi="Times New Roman" w:cs="Times New Roman"/>
                <w:sz w:val="24"/>
                <w:szCs w:val="24"/>
                <w:lang w:eastAsia="lv-LV"/>
              </w:rPr>
              <w:t> </w:t>
            </w:r>
            <w:r w:rsidR="00890A34">
              <w:rPr>
                <w:rFonts w:ascii="Times New Roman" w:eastAsia="Times New Roman" w:hAnsi="Times New Roman" w:cs="Times New Roman"/>
                <w:sz w:val="24"/>
                <w:szCs w:val="24"/>
                <w:lang w:eastAsia="lv-LV"/>
              </w:rPr>
              <w:t xml:space="preserve">panta </w:t>
            </w:r>
            <w:r w:rsidR="009A693E">
              <w:rPr>
                <w:rFonts w:ascii="Times New Roman" w:eastAsia="Times New Roman" w:hAnsi="Times New Roman" w:cs="Times New Roman"/>
                <w:sz w:val="24"/>
                <w:szCs w:val="24"/>
                <w:lang w:eastAsia="lv-LV"/>
              </w:rPr>
              <w:t>pirmajā</w:t>
            </w:r>
            <w:r w:rsidR="00890A34">
              <w:rPr>
                <w:rFonts w:ascii="Times New Roman" w:eastAsia="Times New Roman" w:hAnsi="Times New Roman" w:cs="Times New Roman"/>
                <w:sz w:val="24"/>
                <w:szCs w:val="24"/>
                <w:lang w:eastAsia="lv-LV"/>
              </w:rPr>
              <w:t xml:space="preserve"> daļ</w:t>
            </w:r>
            <w:r w:rsidR="00705830">
              <w:rPr>
                <w:rFonts w:ascii="Times New Roman" w:eastAsia="Times New Roman" w:hAnsi="Times New Roman" w:cs="Times New Roman"/>
                <w:sz w:val="24"/>
                <w:szCs w:val="24"/>
                <w:lang w:eastAsia="lv-LV"/>
              </w:rPr>
              <w:t>ā</w:t>
            </w:r>
            <w:r w:rsidR="00A41117">
              <w:rPr>
                <w:rFonts w:ascii="Times New Roman" w:eastAsia="Times New Roman" w:hAnsi="Times New Roman" w:cs="Times New Roman"/>
                <w:sz w:val="24"/>
                <w:szCs w:val="24"/>
                <w:lang w:eastAsia="lv-LV"/>
              </w:rPr>
              <w:t xml:space="preserve">, </w:t>
            </w:r>
            <w:r w:rsidR="00D144BC">
              <w:rPr>
                <w:rFonts w:ascii="Times New Roman" w:eastAsia="Times New Roman" w:hAnsi="Times New Roman" w:cs="Times New Roman"/>
                <w:sz w:val="24"/>
                <w:szCs w:val="24"/>
                <w:lang w:eastAsia="lv-LV"/>
              </w:rPr>
              <w:t xml:space="preserve">aizstājot Rīgas apgabaltiesu ar Rīgas pilsētas Vidzemes priekšpilsētas tiesu kā pirmās instances tiesu, kurā ceļam prasība saskaņā ar </w:t>
            </w:r>
            <w:r w:rsidR="009A693E" w:rsidRPr="009A693E">
              <w:rPr>
                <w:rFonts w:ascii="Times New Roman" w:eastAsia="Times New Roman" w:hAnsi="Times New Roman" w:cs="Times New Roman"/>
                <w:sz w:val="24"/>
                <w:szCs w:val="24"/>
                <w:lang w:eastAsia="lv-LV"/>
              </w:rPr>
              <w:t xml:space="preserve">Pusvadītāju izstrādājumu topogrāfiju aizsardzības likuma </w:t>
            </w:r>
            <w:r w:rsidR="00D144BC">
              <w:rPr>
                <w:rFonts w:ascii="Times New Roman" w:eastAsia="Times New Roman" w:hAnsi="Times New Roman" w:cs="Times New Roman"/>
                <w:sz w:val="24"/>
                <w:szCs w:val="24"/>
                <w:lang w:eastAsia="lv-LV"/>
              </w:rPr>
              <w:t>noteikto kārtību.</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9A69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apspriests </w:t>
            </w:r>
            <w:r w:rsidR="009A693E">
              <w:rPr>
                <w:rFonts w:ascii="Times New Roman" w:eastAsia="Times New Roman" w:hAnsi="Times New Roman" w:cs="Times New Roman"/>
                <w:sz w:val="24"/>
                <w:szCs w:val="24"/>
                <w:lang w:eastAsia="lv-LV"/>
              </w:rPr>
              <w:t>ar Patentu valdi.</w:t>
            </w:r>
          </w:p>
        </w:tc>
      </w:tr>
      <w:tr w:rsidR="004D15A9" w:rsidRPr="004D15A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2646F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4D15A9" w:rsidTr="00D313D5">
        <w:trPr>
          <w:trHeight w:val="128"/>
        </w:trPr>
        <w:tc>
          <w:tcPr>
            <w:tcW w:w="5000" w:type="pct"/>
            <w:gridSpan w:val="3"/>
            <w:tcBorders>
              <w:top w:val="outset" w:sz="6" w:space="0" w:color="414142"/>
              <w:left w:val="nil"/>
              <w:bottom w:val="outset" w:sz="6" w:space="0" w:color="414142"/>
              <w:right w:val="nil"/>
            </w:tcBorders>
          </w:tcPr>
          <w:p w:rsidR="00031256" w:rsidRDefault="00031256" w:rsidP="0081203F">
            <w:pPr>
              <w:tabs>
                <w:tab w:val="left" w:pos="990"/>
              </w:tabs>
              <w:spacing w:after="0" w:line="240" w:lineRule="auto"/>
              <w:rPr>
                <w:rFonts w:ascii="Times New Roman" w:eastAsia="Times New Roman" w:hAnsi="Times New Roman" w:cs="Times New Roman"/>
                <w:sz w:val="24"/>
                <w:szCs w:val="24"/>
                <w:lang w:eastAsia="lv-LV"/>
              </w:rPr>
            </w:pPr>
          </w:p>
          <w:p w:rsidR="00AF2654" w:rsidRPr="00E06CDF" w:rsidRDefault="00AF2654"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A5758" w:rsidRPr="004A575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A5758" w:rsidRPr="004A57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8D6E1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Tiesas, lietas dalībnieki civilprocesā.</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 ka turpmāk arī apelācijas kārtībā pārsūdzētus nolēmumus, kurus skatīja apgabaltiesa kā pirmās instances tiesa, tāpat skatīs apgabaltiesas, kas atrodas 5 reģionos, nevis Augstākās tiesas Civillietu tiesu palāta, kas atrodas Rīgā, tiek veicināta pieejamība tiesām.</w:t>
            </w:r>
          </w:p>
          <w:p w:rsidR="008D6E10" w:rsidRPr="004A5758"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realizējot kompetenču pārdali starp tiesu instancēm, </w:t>
            </w:r>
            <w:r w:rsidRPr="008D6E10">
              <w:rPr>
                <w:rFonts w:ascii="Times New Roman" w:eastAsia="Times New Roman" w:hAnsi="Times New Roman" w:cs="Times New Roman"/>
                <w:sz w:val="24"/>
                <w:szCs w:val="24"/>
                <w:lang w:eastAsia="lv-LV"/>
              </w:rPr>
              <w:t>tiks izveidota vienkāršāka un sabiedrībai sap</w:t>
            </w:r>
            <w:r>
              <w:rPr>
                <w:rFonts w:ascii="Times New Roman" w:eastAsia="Times New Roman" w:hAnsi="Times New Roman" w:cs="Times New Roman"/>
                <w:sz w:val="24"/>
                <w:szCs w:val="24"/>
                <w:lang w:eastAsia="lv-LV"/>
              </w:rPr>
              <w:t>rotamāka tiesu instanču sistēma, tādējādi palielinot uzticamību tiesu sistēmai.</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F2516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D313D5">
        <w:trPr>
          <w:trHeight w:val="345"/>
        </w:trPr>
        <w:tc>
          <w:tcPr>
            <w:tcW w:w="5000" w:type="pct"/>
            <w:gridSpan w:val="3"/>
            <w:tcBorders>
              <w:top w:val="outset" w:sz="6" w:space="0" w:color="414142"/>
              <w:left w:val="nil"/>
              <w:bottom w:val="single" w:sz="6" w:space="0" w:color="auto"/>
              <w:right w:val="nil"/>
            </w:tcBorders>
          </w:tcPr>
          <w:p w:rsidR="00AF2654" w:rsidRPr="004A5758" w:rsidRDefault="00AF2654" w:rsidP="00DA596D">
            <w:pPr>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A5758"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III. Tiesību akta projekta ietekme uz valsts budžetu un pašvaldību budžetiem</w:t>
            </w:r>
          </w:p>
        </w:tc>
      </w:tr>
      <w:tr w:rsidR="003B6CCD"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tcPr>
          <w:p w:rsidR="003B6CCD" w:rsidRPr="00533F0A" w:rsidRDefault="003B6CCD" w:rsidP="00DA596D">
            <w:pPr>
              <w:spacing w:after="0" w:line="240" w:lineRule="auto"/>
              <w:ind w:firstLine="300"/>
              <w:jc w:val="center"/>
              <w:rPr>
                <w:rFonts w:ascii="Times New Roman" w:eastAsia="Times New Roman" w:hAnsi="Times New Roman" w:cs="Times New Roman"/>
                <w:bCs/>
                <w:sz w:val="24"/>
                <w:szCs w:val="24"/>
                <w:lang w:eastAsia="lv-LV"/>
              </w:rPr>
            </w:pPr>
            <w:r w:rsidRPr="00533F0A">
              <w:rPr>
                <w:rFonts w:ascii="Times New Roman" w:eastAsia="Times New Roman" w:hAnsi="Times New Roman" w:cs="Times New Roman"/>
                <w:bCs/>
                <w:sz w:val="24"/>
                <w:szCs w:val="24"/>
                <w:lang w:eastAsia="lv-LV"/>
              </w:rPr>
              <w:t>Projekts šo jomu neskar</w:t>
            </w:r>
          </w:p>
        </w:tc>
      </w:tr>
    </w:tbl>
    <w:p w:rsidR="00AF2654" w:rsidRPr="004D15A9" w:rsidRDefault="00AF2654"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A5758" w:rsidRPr="004A5758"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IV. Tiesību akta projekta ietekme uz spēkā esošo tiesību normu sistēmu</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E0E37">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 xml:space="preserve">Ministru kabinetā un Saeimā ir izskatāms vienlaicīgi ar </w:t>
            </w:r>
            <w:r>
              <w:rPr>
                <w:rFonts w:ascii="Times New Roman" w:eastAsia="Times New Roman" w:hAnsi="Times New Roman" w:cs="Times New Roman"/>
                <w:sz w:val="24"/>
                <w:szCs w:val="24"/>
                <w:lang w:eastAsia="lv-LV"/>
              </w:rPr>
              <w:t>likumprojektiem</w:t>
            </w:r>
            <w:r w:rsidRPr="00C44105">
              <w:rPr>
                <w:rFonts w:ascii="Times New Roman" w:eastAsia="Times New Roman" w:hAnsi="Times New Roman" w:cs="Times New Roman"/>
                <w:sz w:val="24"/>
                <w:szCs w:val="24"/>
                <w:lang w:eastAsia="lv-LV"/>
              </w:rPr>
              <w:t xml:space="preserve">: </w:t>
            </w:r>
          </w:p>
          <w:p w:rsidR="00C44105" w:rsidRDefault="00D144BC"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Civilprocesa likumā</w:t>
            </w:r>
            <w:r w:rsidR="009E0E37" w:rsidRPr="00C44105">
              <w:rPr>
                <w:rFonts w:ascii="Times New Roman" w:eastAsia="Times New Roman" w:hAnsi="Times New Roman" w:cs="Times New Roman"/>
                <w:sz w:val="24"/>
                <w:szCs w:val="24"/>
                <w:lang w:eastAsia="lv-LV"/>
              </w:rPr>
              <w:t>”</w:t>
            </w:r>
            <w:r w:rsidR="009A693E">
              <w:rPr>
                <w:rFonts w:ascii="Times New Roman" w:eastAsia="Times New Roman" w:hAnsi="Times New Roman" w:cs="Times New Roman"/>
                <w:sz w:val="24"/>
                <w:szCs w:val="24"/>
                <w:lang w:eastAsia="lv-LV"/>
              </w:rPr>
              <w:t>;</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E36744" w:rsidRPr="00C44105">
              <w:rPr>
                <w:rFonts w:ascii="Times New Roman" w:eastAsia="Times New Roman" w:hAnsi="Times New Roman" w:cs="Times New Roman"/>
                <w:sz w:val="24"/>
                <w:szCs w:val="24"/>
                <w:lang w:eastAsia="lv-LV"/>
              </w:rPr>
              <w:t>Grozījum</w:t>
            </w:r>
            <w:r w:rsidR="00E36744">
              <w:rPr>
                <w:rFonts w:ascii="Times New Roman" w:eastAsia="Times New Roman" w:hAnsi="Times New Roman" w:cs="Times New Roman"/>
                <w:sz w:val="24"/>
                <w:szCs w:val="24"/>
                <w:lang w:eastAsia="lv-LV"/>
              </w:rPr>
              <w:t>s</w:t>
            </w:r>
            <w:r w:rsidR="00E36744"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likumā „Par preču zīmēm un ģeogrāfiskās izcelsmes norādēm””</w:t>
            </w:r>
            <w:r w:rsidR="009A693E">
              <w:rPr>
                <w:rFonts w:ascii="Times New Roman" w:eastAsia="Times New Roman" w:hAnsi="Times New Roman" w:cs="Times New Roman"/>
                <w:sz w:val="24"/>
                <w:szCs w:val="24"/>
                <w:lang w:eastAsia="lv-LV"/>
              </w:rPr>
              <w:t>;</w:t>
            </w:r>
          </w:p>
          <w:p w:rsidR="004D15A9"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E36744" w:rsidRPr="00C44105">
              <w:rPr>
                <w:rFonts w:ascii="Times New Roman" w:eastAsia="Times New Roman" w:hAnsi="Times New Roman" w:cs="Times New Roman"/>
                <w:sz w:val="24"/>
                <w:szCs w:val="24"/>
                <w:lang w:eastAsia="lv-LV"/>
              </w:rPr>
              <w:t>Grozījum</w:t>
            </w:r>
            <w:r w:rsidR="00E36744">
              <w:rPr>
                <w:rFonts w:ascii="Times New Roman" w:eastAsia="Times New Roman" w:hAnsi="Times New Roman" w:cs="Times New Roman"/>
                <w:sz w:val="24"/>
                <w:szCs w:val="24"/>
                <w:lang w:eastAsia="lv-LV"/>
              </w:rPr>
              <w:t>s</w:t>
            </w:r>
            <w:r w:rsidR="00E36744"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Dizainparaugu likumā”</w:t>
            </w:r>
            <w:r w:rsidR="009A693E">
              <w:rPr>
                <w:rFonts w:ascii="Times New Roman" w:eastAsia="Times New Roman" w:hAnsi="Times New Roman" w:cs="Times New Roman"/>
                <w:sz w:val="24"/>
                <w:szCs w:val="24"/>
                <w:lang w:eastAsia="lv-LV"/>
              </w:rPr>
              <w:t>;</w:t>
            </w:r>
          </w:p>
          <w:p w:rsidR="009A693E" w:rsidRDefault="009A693E"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36744">
              <w:rPr>
                <w:rFonts w:ascii="Times New Roman" w:eastAsia="Times New Roman" w:hAnsi="Times New Roman" w:cs="Times New Roman"/>
                <w:sz w:val="24"/>
                <w:szCs w:val="24"/>
                <w:lang w:eastAsia="lv-LV"/>
              </w:rPr>
              <w:t xml:space="preserve">Grozījums </w:t>
            </w:r>
            <w:r w:rsidR="00DE3570">
              <w:rPr>
                <w:rFonts w:ascii="Times New Roman" w:eastAsia="Times New Roman" w:hAnsi="Times New Roman" w:cs="Times New Roman"/>
                <w:sz w:val="24"/>
                <w:szCs w:val="24"/>
                <w:lang w:eastAsia="lv-LV"/>
              </w:rPr>
              <w:t>Patentu likumā”;</w:t>
            </w:r>
          </w:p>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Minētajos likumprojektos paredzēts noteikt </w:t>
            </w:r>
            <w:r w:rsidRPr="00C44105">
              <w:rPr>
                <w:rFonts w:ascii="Times New Roman" w:eastAsia="Times New Roman" w:hAnsi="Times New Roman" w:cs="Times New Roman"/>
                <w:sz w:val="24"/>
                <w:szCs w:val="24"/>
                <w:lang w:eastAsia="lv-LV"/>
              </w:rPr>
              <w:t xml:space="preserve">vienu kompetento tiesu lietās par patenttiesību, </w:t>
            </w:r>
            <w:r w:rsidR="00B15BB1">
              <w:rPr>
                <w:rFonts w:ascii="Times New Roman" w:eastAsia="Times New Roman" w:hAnsi="Times New Roman" w:cs="Times New Roman"/>
                <w:sz w:val="24"/>
                <w:szCs w:val="24"/>
                <w:lang w:eastAsia="lv-LV"/>
              </w:rPr>
              <w:t xml:space="preserve">pusvadītāju izstrādājumu topogrāfiju, dizainparaugu, </w:t>
            </w:r>
            <w:r w:rsidRPr="00C44105">
              <w:rPr>
                <w:rFonts w:ascii="Times New Roman" w:eastAsia="Times New Roman" w:hAnsi="Times New Roman" w:cs="Times New Roman"/>
                <w:sz w:val="24"/>
                <w:szCs w:val="24"/>
                <w:lang w:eastAsia="lv-LV"/>
              </w:rPr>
              <w:t>preču zīmju un ģeogrāfisk</w:t>
            </w:r>
            <w:r>
              <w:rPr>
                <w:rFonts w:ascii="Times New Roman" w:eastAsia="Times New Roman" w:hAnsi="Times New Roman" w:cs="Times New Roman"/>
                <w:sz w:val="24"/>
                <w:szCs w:val="24"/>
                <w:lang w:eastAsia="lv-LV"/>
              </w:rPr>
              <w:t>ās izcelsmes norāžu aizsardzību.</w:t>
            </w:r>
          </w:p>
          <w:p w:rsidR="00C30CD8" w:rsidRDefault="00DE3570" w:rsidP="00C30CD8">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36744">
              <w:rPr>
                <w:rFonts w:ascii="Times New Roman" w:eastAsia="Times New Roman" w:hAnsi="Times New Roman" w:cs="Times New Roman"/>
                <w:sz w:val="24"/>
                <w:szCs w:val="24"/>
                <w:lang w:eastAsia="lv-LV"/>
              </w:rPr>
              <w:t xml:space="preserve">Grozījums </w:t>
            </w:r>
            <w:r w:rsidR="00C30CD8">
              <w:rPr>
                <w:rFonts w:ascii="Times New Roman" w:eastAsia="Times New Roman" w:hAnsi="Times New Roman" w:cs="Times New Roman"/>
                <w:sz w:val="24"/>
                <w:szCs w:val="24"/>
                <w:lang w:eastAsia="lv-LV"/>
              </w:rPr>
              <w:t>Zemesgrāmatu likumā”</w:t>
            </w:r>
            <w:r>
              <w:rPr>
                <w:rFonts w:ascii="Times New Roman" w:eastAsia="Times New Roman" w:hAnsi="Times New Roman" w:cs="Times New Roman"/>
                <w:sz w:val="24"/>
                <w:szCs w:val="24"/>
                <w:lang w:eastAsia="lv-LV"/>
              </w:rPr>
              <w:t>;</w:t>
            </w:r>
          </w:p>
          <w:p w:rsidR="00C30CD8" w:rsidRDefault="00C30CD8" w:rsidP="000A2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Minētajā likumprojektā paredzēts noteikt </w:t>
            </w:r>
            <w:r w:rsidR="000A21DA" w:rsidRPr="000A21DA">
              <w:rPr>
                <w:rFonts w:ascii="Times New Roman" w:eastAsia="Times New Roman" w:hAnsi="Times New Roman" w:cs="Times New Roman"/>
                <w:sz w:val="24"/>
                <w:szCs w:val="24"/>
                <w:lang w:eastAsia="lv-LV"/>
              </w:rPr>
              <w:t>sūdzību par zemesgrāmatu nodaļas tiesneša lēmumiem un viņa rīcību iesniegšanu apgabaltiesā, kuras darbības teritorijā atrodas rajona (pilsētas) tiesas zemesgrāmatu nodaļa.</w:t>
            </w:r>
          </w:p>
          <w:p w:rsidR="00DE3570" w:rsidRDefault="00DE3570" w:rsidP="00DE357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36744">
              <w:rPr>
                <w:rFonts w:ascii="Times New Roman" w:eastAsia="Times New Roman" w:hAnsi="Times New Roman" w:cs="Times New Roman"/>
                <w:sz w:val="24"/>
                <w:szCs w:val="24"/>
                <w:lang w:eastAsia="lv-LV"/>
              </w:rPr>
              <w:t xml:space="preserve">Grozījums </w:t>
            </w:r>
            <w:r>
              <w:rPr>
                <w:rFonts w:ascii="Times New Roman" w:eastAsia="Times New Roman" w:hAnsi="Times New Roman" w:cs="Times New Roman"/>
                <w:sz w:val="24"/>
                <w:szCs w:val="24"/>
                <w:lang w:eastAsia="lv-LV"/>
              </w:rPr>
              <w:t>Tiesu izpildītāju likumā”;</w:t>
            </w:r>
          </w:p>
          <w:p w:rsidR="00DE3570" w:rsidRDefault="00DE3570" w:rsidP="00DE357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36744">
              <w:rPr>
                <w:rFonts w:ascii="Times New Roman" w:eastAsia="Times New Roman" w:hAnsi="Times New Roman" w:cs="Times New Roman"/>
                <w:sz w:val="24"/>
                <w:szCs w:val="24"/>
                <w:lang w:eastAsia="lv-LV"/>
              </w:rPr>
              <w:t xml:space="preserve">Grozījums </w:t>
            </w:r>
            <w:r>
              <w:rPr>
                <w:rFonts w:ascii="Times New Roman" w:eastAsia="Times New Roman" w:hAnsi="Times New Roman" w:cs="Times New Roman"/>
                <w:sz w:val="24"/>
                <w:szCs w:val="24"/>
                <w:lang w:eastAsia="lv-LV"/>
              </w:rPr>
              <w:t>Notariāta likumā”</w:t>
            </w:r>
          </w:p>
          <w:p w:rsidR="00DE3570" w:rsidRPr="00DE3570" w:rsidRDefault="00DE3570" w:rsidP="00DE35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Minētajos likumprojektos paredzēts noteikt prasību par zaudējumu piedziņu, kas izriet no zvērinātu tiesu izpildītāju un zvērinātu notāru darbības un rīcības, iesniegšanu pilsētas (rajona) tiesā kā pirmās instances tiesā atšķirībā no šī brīža noteiktās kārtības, kad tās iesniedzamas apgabaltiesā kā pirmās instances tiesā.</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292B02">
              <w:rPr>
                <w:rFonts w:ascii="Times New Roman" w:eastAsia="Times New Roman" w:hAnsi="Times New Roman" w:cs="Times New Roman"/>
                <w:sz w:val="24"/>
                <w:szCs w:val="24"/>
                <w:lang w:eastAsia="lv-LV"/>
              </w:rPr>
              <w:t>.</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4208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F2654" w:rsidRDefault="00AF2654"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73088C" w:rsidRPr="0073088C" w:rsidTr="0073088C">
        <w:tc>
          <w:tcPr>
            <w:tcW w:w="5000" w:type="pct"/>
            <w:tcBorders>
              <w:top w:val="single" w:sz="6" w:space="0" w:color="auto"/>
              <w:left w:val="single" w:sz="6" w:space="0" w:color="auto"/>
              <w:bottom w:val="outset" w:sz="6" w:space="0" w:color="000000"/>
              <w:right w:val="single" w:sz="6" w:space="0" w:color="auto"/>
            </w:tcBorders>
            <w:hideMark/>
          </w:tcPr>
          <w:p w:rsidR="0073088C" w:rsidRPr="0073088C" w:rsidRDefault="0073088C" w:rsidP="0073088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3088C">
              <w:rPr>
                <w:rFonts w:ascii="Times New Roman" w:eastAsia="Times New Roman" w:hAnsi="Times New Roman" w:cs="Times New Roman"/>
                <w:b/>
                <w:bCs/>
                <w:sz w:val="24"/>
                <w:szCs w:val="24"/>
                <w:lang w:eastAsia="lv-LV"/>
              </w:rPr>
              <w:t>V. Tiesību akta projekta atbilstība Latvijas Republikas starptautiskajām saistībām</w:t>
            </w:r>
          </w:p>
        </w:tc>
      </w:tr>
      <w:tr w:rsidR="0073088C" w:rsidRPr="0073088C" w:rsidTr="0073088C">
        <w:tc>
          <w:tcPr>
            <w:tcW w:w="5000" w:type="pct"/>
            <w:tcBorders>
              <w:top w:val="outset" w:sz="6" w:space="0" w:color="000000"/>
              <w:left w:val="outset" w:sz="6" w:space="0" w:color="000000"/>
              <w:bottom w:val="outset" w:sz="6" w:space="0" w:color="000000"/>
              <w:right w:val="outset" w:sz="6" w:space="0" w:color="000000"/>
            </w:tcBorders>
          </w:tcPr>
          <w:p w:rsidR="0073088C" w:rsidRPr="0073088C" w:rsidRDefault="00292B02" w:rsidP="00292B02">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73088C" w:rsidRPr="0073088C">
              <w:rPr>
                <w:rFonts w:ascii="Times New Roman" w:eastAsia="Times New Roman" w:hAnsi="Times New Roman" w:cs="Times New Roman"/>
                <w:sz w:val="24"/>
                <w:szCs w:val="24"/>
                <w:lang w:eastAsia="lv-LV"/>
              </w:rPr>
              <w:t>rojekts šo jomu neskar</w:t>
            </w:r>
          </w:p>
        </w:tc>
      </w:tr>
    </w:tbl>
    <w:p w:rsidR="00AF2654" w:rsidRPr="004D15A9" w:rsidRDefault="00AF2654"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hideMark/>
          </w:tcPr>
          <w:p w:rsidR="00172722" w:rsidRPr="00172722" w:rsidRDefault="00172722" w:rsidP="0017272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72722">
              <w:rPr>
                <w:rFonts w:ascii="Times New Roman" w:eastAsia="Times New Roman" w:hAnsi="Times New Roman" w:cs="Times New Roman"/>
                <w:b/>
                <w:bCs/>
                <w:sz w:val="24"/>
                <w:szCs w:val="24"/>
                <w:lang w:eastAsia="lv-LV"/>
              </w:rPr>
              <w:t>VI. Sabiedrības līdzdalība un komunikācijas aktivitātes</w:t>
            </w:r>
          </w:p>
        </w:tc>
      </w:tr>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tcPr>
          <w:p w:rsidR="00172722" w:rsidRPr="00172722" w:rsidRDefault="00292B02" w:rsidP="00292B0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172722" w:rsidRPr="00172722">
              <w:rPr>
                <w:rFonts w:ascii="Times New Roman" w:eastAsia="Times New Roman" w:hAnsi="Times New Roman" w:cs="Times New Roman"/>
                <w:sz w:val="24"/>
                <w:szCs w:val="24"/>
                <w:lang w:eastAsia="lv-LV"/>
              </w:rPr>
              <w:t>rojekts šo jomu neskar</w:t>
            </w:r>
          </w:p>
        </w:tc>
      </w:tr>
    </w:tbl>
    <w:p w:rsidR="004D15A9" w:rsidRP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A5758" w:rsidRPr="004A5758"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VII. Tiesību akta projekta izpildes nodrošināšana un tās ietekme uz institūcijām</w:t>
            </w:r>
          </w:p>
        </w:tc>
      </w:tr>
      <w:tr w:rsidR="004A5758" w:rsidRPr="004A5758"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74046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iestādes</w:t>
            </w:r>
            <w:r w:rsidR="00292B02">
              <w:rPr>
                <w:rFonts w:ascii="Times New Roman" w:eastAsia="Times New Roman" w:hAnsi="Times New Roman" w:cs="Times New Roman"/>
                <w:sz w:val="24"/>
                <w:szCs w:val="24"/>
                <w:lang w:eastAsia="lv-LV"/>
              </w:rPr>
              <w:t>.</w:t>
            </w:r>
          </w:p>
        </w:tc>
      </w:tr>
      <w:tr w:rsidR="004A5758" w:rsidRPr="004A5758"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A5758" w:rsidRDefault="004D15A9" w:rsidP="00DA596D">
            <w:pPr>
              <w:spacing w:after="0" w:line="240" w:lineRule="auto"/>
              <w:ind w:firstLine="300"/>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42542C" w:rsidP="00292B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Augstākās tiesas struktūras izmaiņas, no 2017. gada 1. janvāra likvidējot tās sastāvā esošo Augstākās tiesas Civillietu tiesu palātu.</w:t>
            </w:r>
          </w:p>
        </w:tc>
      </w:tr>
      <w:tr w:rsidR="004A5758" w:rsidRPr="004A5758"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172722" w:rsidP="001727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hAnsi="Times New Roman" w:cs="Times New Roman"/>
          <w:sz w:val="24"/>
          <w:szCs w:val="24"/>
        </w:rPr>
      </w:pPr>
    </w:p>
    <w:p w:rsid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2542C" w:rsidRDefault="0042542C" w:rsidP="00DA596D">
      <w:pPr>
        <w:pStyle w:val="StyleRight"/>
        <w:spacing w:after="0"/>
        <w:ind w:firstLine="0"/>
        <w:jc w:val="both"/>
        <w:rPr>
          <w:color w:val="000000"/>
          <w:sz w:val="24"/>
          <w:szCs w:val="24"/>
        </w:rPr>
      </w:pPr>
    </w:p>
    <w:p w:rsidR="004D15A9" w:rsidRPr="00172722" w:rsidRDefault="00172722" w:rsidP="00DA596D">
      <w:pPr>
        <w:pStyle w:val="StyleRight"/>
        <w:spacing w:after="0"/>
        <w:ind w:firstLine="0"/>
        <w:jc w:val="both"/>
        <w:rPr>
          <w:color w:val="000000"/>
          <w:sz w:val="24"/>
          <w:szCs w:val="24"/>
        </w:rPr>
      </w:pPr>
      <w:r>
        <w:rPr>
          <w:color w:val="000000"/>
          <w:sz w:val="24"/>
          <w:szCs w:val="24"/>
        </w:rPr>
        <w:t xml:space="preserve">Tieslietu </w:t>
      </w:r>
      <w:r w:rsidR="00292B02">
        <w:rPr>
          <w:color w:val="000000"/>
          <w:sz w:val="24"/>
          <w:szCs w:val="24"/>
        </w:rPr>
        <w:t>ministr</w:t>
      </w:r>
      <w:r w:rsidR="00CA3D31">
        <w:rPr>
          <w:color w:val="000000"/>
          <w:sz w:val="24"/>
          <w:szCs w:val="24"/>
        </w:rPr>
        <w:t>s</w:t>
      </w:r>
      <w:proofErr w:type="gramStart"/>
      <w:r w:rsidR="00292B02">
        <w:rPr>
          <w:color w:val="000000"/>
          <w:sz w:val="24"/>
          <w:szCs w:val="24"/>
        </w:rPr>
        <w:t xml:space="preserve">                                                                                         </w:t>
      </w:r>
      <w:proofErr w:type="gramEnd"/>
      <w:r w:rsidR="00CA3D31">
        <w:rPr>
          <w:color w:val="000000"/>
          <w:sz w:val="24"/>
          <w:szCs w:val="24"/>
        </w:rPr>
        <w:t>G.Bērziņš</w:t>
      </w:r>
    </w:p>
    <w:p w:rsidR="004D15A9" w:rsidRDefault="004D15A9" w:rsidP="00DA596D">
      <w:pPr>
        <w:pStyle w:val="StyleRight"/>
        <w:spacing w:after="0"/>
        <w:ind w:firstLine="0"/>
        <w:jc w:val="both"/>
        <w:rPr>
          <w:color w:val="000000"/>
          <w:sz w:val="24"/>
          <w:szCs w:val="24"/>
        </w:rPr>
      </w:pPr>
    </w:p>
    <w:p w:rsidR="003A2A0B" w:rsidRPr="004D15A9" w:rsidRDefault="003A2A0B" w:rsidP="00DA596D">
      <w:pPr>
        <w:pStyle w:val="StyleRight"/>
        <w:spacing w:after="0"/>
        <w:ind w:firstLine="0"/>
        <w:jc w:val="both"/>
        <w:rPr>
          <w:color w:val="000000"/>
          <w:sz w:val="24"/>
          <w:szCs w:val="24"/>
        </w:rPr>
      </w:pPr>
    </w:p>
    <w:p w:rsidR="004D15A9" w:rsidRPr="003A2A0B" w:rsidRDefault="00E1489B"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CA3D31">
        <w:rPr>
          <w:rFonts w:ascii="Times New Roman" w:hAnsi="Times New Roman" w:cs="Times New Roman"/>
          <w:color w:val="000000"/>
          <w:sz w:val="20"/>
          <w:szCs w:val="20"/>
        </w:rPr>
        <w:t>8</w:t>
      </w:r>
      <w:r>
        <w:rPr>
          <w:rFonts w:ascii="Times New Roman" w:hAnsi="Times New Roman" w:cs="Times New Roman"/>
          <w:color w:val="000000"/>
          <w:sz w:val="20"/>
          <w:szCs w:val="20"/>
        </w:rPr>
        <w:t>.08</w:t>
      </w:r>
      <w:r w:rsidR="00B15BB1">
        <w:rPr>
          <w:rFonts w:ascii="Times New Roman" w:hAnsi="Times New Roman" w:cs="Times New Roman"/>
          <w:color w:val="000000"/>
          <w:sz w:val="20"/>
          <w:szCs w:val="20"/>
        </w:rPr>
        <w:t xml:space="preserve">.2014. </w:t>
      </w:r>
      <w:r w:rsidR="00CA3D31">
        <w:rPr>
          <w:rFonts w:ascii="Times New Roman" w:hAnsi="Times New Roman" w:cs="Times New Roman"/>
          <w:color w:val="000000"/>
          <w:sz w:val="20"/>
          <w:szCs w:val="20"/>
        </w:rPr>
        <w:t>14:16</w:t>
      </w:r>
    </w:p>
    <w:p w:rsidR="004D15A9" w:rsidRPr="003A2A0B" w:rsidRDefault="00CA3D31"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994</w:t>
      </w:r>
    </w:p>
    <w:p w:rsidR="004D15A9" w:rsidRPr="003A2A0B" w:rsidRDefault="0017272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Obuka</w:t>
      </w:r>
    </w:p>
    <w:p w:rsidR="004D15A9" w:rsidRPr="00172722" w:rsidRDefault="00172722" w:rsidP="0017272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67036833</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Daina.Obuka@tm.gov.lv</w:t>
      </w:r>
    </w:p>
    <w:p w:rsidR="004D15A9" w:rsidRPr="004D15A9" w:rsidRDefault="004D15A9" w:rsidP="00DA596D">
      <w:pPr>
        <w:spacing w:after="0" w:line="240" w:lineRule="auto"/>
        <w:rPr>
          <w:rFonts w:ascii="Times New Roman" w:hAnsi="Times New Roman" w:cs="Times New Roman"/>
          <w:sz w:val="24"/>
          <w:szCs w:val="24"/>
        </w:rPr>
      </w:pPr>
      <w:bookmarkStart w:id="0" w:name="_GoBack"/>
      <w:bookmarkEnd w:id="0"/>
    </w:p>
    <w:sectPr w:rsidR="004D15A9" w:rsidRP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35" w:rsidRDefault="00995B35" w:rsidP="004D15A9">
      <w:pPr>
        <w:spacing w:after="0" w:line="240" w:lineRule="auto"/>
      </w:pPr>
      <w:r>
        <w:separator/>
      </w:r>
    </w:p>
  </w:endnote>
  <w:endnote w:type="continuationSeparator" w:id="0">
    <w:p w:rsidR="00995B35" w:rsidRDefault="00995B3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A97909" w:rsidRDefault="00A97909" w:rsidP="00A9790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CA3D31">
      <w:rPr>
        <w:rFonts w:ascii="Times New Roman" w:hAnsi="Times New Roman" w:cs="Times New Roman"/>
        <w:color w:val="000000" w:themeColor="text1"/>
        <w:sz w:val="20"/>
        <w:szCs w:val="20"/>
      </w:rPr>
      <w:t>18</w:t>
    </w:r>
    <w:r w:rsidR="00E1489B">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Pusvadītāju</w:t>
    </w:r>
    <w:r w:rsidRPr="004D15A9">
      <w:rPr>
        <w:rFonts w:ascii="Times New Roman" w:hAnsi="Times New Roman" w:cs="Times New Roman"/>
        <w:color w:val="000000" w:themeColor="text1"/>
        <w:sz w:val="20"/>
        <w:szCs w:val="20"/>
      </w:rPr>
      <w:t xml:space="preserve">; </w:t>
    </w:r>
    <w:r w:rsidRPr="009A693E">
      <w:rPr>
        <w:rFonts w:ascii="Times New Roman" w:hAnsi="Times New Roman" w:cs="Times New Roman"/>
        <w:color w:val="000000" w:themeColor="text1"/>
        <w:sz w:val="20"/>
        <w:szCs w:val="20"/>
      </w:rPr>
      <w:t>Likumprojekta „</w:t>
    </w:r>
    <w:r w:rsidR="00C5094A" w:rsidRPr="009A693E">
      <w:rPr>
        <w:rFonts w:ascii="Times New Roman" w:hAnsi="Times New Roman" w:cs="Times New Roman"/>
        <w:color w:val="000000" w:themeColor="text1"/>
        <w:sz w:val="20"/>
        <w:szCs w:val="20"/>
      </w:rPr>
      <w:t>Grozījum</w:t>
    </w:r>
    <w:r w:rsidR="00C5094A">
      <w:rPr>
        <w:rFonts w:ascii="Times New Roman" w:hAnsi="Times New Roman" w:cs="Times New Roman"/>
        <w:color w:val="000000" w:themeColor="text1"/>
        <w:sz w:val="20"/>
        <w:szCs w:val="20"/>
      </w:rPr>
      <w:t>s</w:t>
    </w:r>
    <w:r w:rsidR="00C5094A" w:rsidRPr="009A693E">
      <w:rPr>
        <w:rFonts w:ascii="Times New Roman" w:hAnsi="Times New Roman" w:cs="Times New Roman"/>
        <w:color w:val="000000" w:themeColor="text1"/>
        <w:sz w:val="20"/>
        <w:szCs w:val="20"/>
      </w:rPr>
      <w:t xml:space="preserve"> </w:t>
    </w:r>
    <w:r w:rsidRPr="009A693E">
      <w:rPr>
        <w:rFonts w:ascii="Times New Roman" w:hAnsi="Times New Roman" w:cs="Times New Roman"/>
        <w:color w:val="000000" w:themeColor="text1"/>
        <w:sz w:val="20"/>
        <w:szCs w:val="20"/>
      </w:rPr>
      <w:t>Pusvadītāju izstrādājumu topogrāfiju aizsardzības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E1489B">
      <w:rPr>
        <w:rFonts w:ascii="Times New Roman" w:hAnsi="Times New Roman" w:cs="Times New Roman"/>
        <w:color w:val="000000" w:themeColor="text1"/>
        <w:sz w:val="20"/>
        <w:szCs w:val="20"/>
      </w:rPr>
      <w:t>1</w:t>
    </w:r>
    <w:r w:rsidR="00CA3D31">
      <w:rPr>
        <w:rFonts w:ascii="Times New Roman" w:hAnsi="Times New Roman" w:cs="Times New Roman"/>
        <w:color w:val="000000" w:themeColor="text1"/>
        <w:sz w:val="20"/>
        <w:szCs w:val="20"/>
      </w:rPr>
      <w:t>8</w:t>
    </w:r>
    <w:r w:rsidR="00E1489B">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sidR="00622260">
      <w:rPr>
        <w:rFonts w:ascii="Times New Roman" w:hAnsi="Times New Roman" w:cs="Times New Roman"/>
        <w:color w:val="000000" w:themeColor="text1"/>
        <w:sz w:val="20"/>
        <w:szCs w:val="20"/>
      </w:rPr>
      <w:t>P</w:t>
    </w:r>
    <w:r w:rsidR="009A693E">
      <w:rPr>
        <w:rFonts w:ascii="Times New Roman" w:hAnsi="Times New Roman" w:cs="Times New Roman"/>
        <w:color w:val="000000" w:themeColor="text1"/>
        <w:sz w:val="20"/>
        <w:szCs w:val="20"/>
      </w:rPr>
      <w:t>usvadītāju</w:t>
    </w:r>
    <w:r w:rsidRPr="004D15A9">
      <w:rPr>
        <w:rFonts w:ascii="Times New Roman" w:hAnsi="Times New Roman" w:cs="Times New Roman"/>
        <w:color w:val="000000" w:themeColor="text1"/>
        <w:sz w:val="20"/>
        <w:szCs w:val="20"/>
      </w:rPr>
      <w:t xml:space="preserve">; </w:t>
    </w:r>
    <w:r w:rsidR="009A693E" w:rsidRPr="009A693E">
      <w:rPr>
        <w:rFonts w:ascii="Times New Roman" w:hAnsi="Times New Roman" w:cs="Times New Roman"/>
        <w:color w:val="000000" w:themeColor="text1"/>
        <w:sz w:val="20"/>
        <w:szCs w:val="20"/>
      </w:rPr>
      <w:t>Likumprojekta „</w:t>
    </w:r>
    <w:r w:rsidR="00C5094A" w:rsidRPr="009A693E">
      <w:rPr>
        <w:rFonts w:ascii="Times New Roman" w:hAnsi="Times New Roman" w:cs="Times New Roman"/>
        <w:color w:val="000000" w:themeColor="text1"/>
        <w:sz w:val="20"/>
        <w:szCs w:val="20"/>
      </w:rPr>
      <w:t>Grozījum</w:t>
    </w:r>
    <w:r w:rsidR="00C5094A">
      <w:rPr>
        <w:rFonts w:ascii="Times New Roman" w:hAnsi="Times New Roman" w:cs="Times New Roman"/>
        <w:color w:val="000000" w:themeColor="text1"/>
        <w:sz w:val="20"/>
        <w:szCs w:val="20"/>
      </w:rPr>
      <w:t>s</w:t>
    </w:r>
    <w:r w:rsidR="00C5094A" w:rsidRPr="009A693E">
      <w:rPr>
        <w:rFonts w:ascii="Times New Roman" w:hAnsi="Times New Roman" w:cs="Times New Roman"/>
        <w:color w:val="000000" w:themeColor="text1"/>
        <w:sz w:val="20"/>
        <w:szCs w:val="20"/>
      </w:rPr>
      <w:t xml:space="preserve"> </w:t>
    </w:r>
    <w:r w:rsidR="009A693E" w:rsidRPr="009A693E">
      <w:rPr>
        <w:rFonts w:ascii="Times New Roman" w:hAnsi="Times New Roman" w:cs="Times New Roman"/>
        <w:color w:val="000000" w:themeColor="text1"/>
        <w:sz w:val="20"/>
        <w:szCs w:val="20"/>
      </w:rPr>
      <w:t>Pusvadītāju izstrādājumu topogrāfiju aizsardzības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35" w:rsidRDefault="00995B35" w:rsidP="004D15A9">
      <w:pPr>
        <w:spacing w:after="0" w:line="240" w:lineRule="auto"/>
      </w:pPr>
      <w:r>
        <w:separator/>
      </w:r>
    </w:p>
  </w:footnote>
  <w:footnote w:type="continuationSeparator" w:id="0">
    <w:p w:rsidR="00995B35" w:rsidRDefault="00995B3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53E57" w:rsidRPr="004D15A9" w:rsidRDefault="00C8422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53E57"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A3D31">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E53E57" w:rsidRDefault="00E53E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7D34"/>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1E9"/>
    <w:rsid w:val="00031256"/>
    <w:rsid w:val="00044092"/>
    <w:rsid w:val="000866C1"/>
    <w:rsid w:val="000A21DA"/>
    <w:rsid w:val="00101CD5"/>
    <w:rsid w:val="00172722"/>
    <w:rsid w:val="001A07E9"/>
    <w:rsid w:val="00223252"/>
    <w:rsid w:val="002646FE"/>
    <w:rsid w:val="00280CAD"/>
    <w:rsid w:val="00292B02"/>
    <w:rsid w:val="002D6792"/>
    <w:rsid w:val="003903DE"/>
    <w:rsid w:val="003922B0"/>
    <w:rsid w:val="003A2A0B"/>
    <w:rsid w:val="003B6CCD"/>
    <w:rsid w:val="003E6F05"/>
    <w:rsid w:val="004208CF"/>
    <w:rsid w:val="0042542C"/>
    <w:rsid w:val="00435E19"/>
    <w:rsid w:val="00492130"/>
    <w:rsid w:val="004A5758"/>
    <w:rsid w:val="004D15A9"/>
    <w:rsid w:val="004E4A7A"/>
    <w:rsid w:val="00503619"/>
    <w:rsid w:val="00533F0A"/>
    <w:rsid w:val="005D3603"/>
    <w:rsid w:val="005D4E8A"/>
    <w:rsid w:val="005E21D2"/>
    <w:rsid w:val="00622260"/>
    <w:rsid w:val="00677538"/>
    <w:rsid w:val="006B6CED"/>
    <w:rsid w:val="006E74ED"/>
    <w:rsid w:val="00705830"/>
    <w:rsid w:val="00707B8D"/>
    <w:rsid w:val="0073088C"/>
    <w:rsid w:val="0074046E"/>
    <w:rsid w:val="007D02FD"/>
    <w:rsid w:val="0081203F"/>
    <w:rsid w:val="0082070B"/>
    <w:rsid w:val="00863F10"/>
    <w:rsid w:val="00890A34"/>
    <w:rsid w:val="00893809"/>
    <w:rsid w:val="008D6E10"/>
    <w:rsid w:val="008D7C9B"/>
    <w:rsid w:val="00995B35"/>
    <w:rsid w:val="009A693E"/>
    <w:rsid w:val="009E0E37"/>
    <w:rsid w:val="00A0705F"/>
    <w:rsid w:val="00A41117"/>
    <w:rsid w:val="00A97909"/>
    <w:rsid w:val="00AF2654"/>
    <w:rsid w:val="00B02091"/>
    <w:rsid w:val="00B1318E"/>
    <w:rsid w:val="00B1375F"/>
    <w:rsid w:val="00B15BB1"/>
    <w:rsid w:val="00B343BD"/>
    <w:rsid w:val="00BB1F46"/>
    <w:rsid w:val="00C23A78"/>
    <w:rsid w:val="00C30CD8"/>
    <w:rsid w:val="00C44105"/>
    <w:rsid w:val="00C5094A"/>
    <w:rsid w:val="00C52612"/>
    <w:rsid w:val="00C84224"/>
    <w:rsid w:val="00CA3D31"/>
    <w:rsid w:val="00D144BC"/>
    <w:rsid w:val="00D2256F"/>
    <w:rsid w:val="00D313D5"/>
    <w:rsid w:val="00D321B0"/>
    <w:rsid w:val="00D73BD7"/>
    <w:rsid w:val="00DA334D"/>
    <w:rsid w:val="00DA596D"/>
    <w:rsid w:val="00DE3570"/>
    <w:rsid w:val="00E055D4"/>
    <w:rsid w:val="00E06CDF"/>
    <w:rsid w:val="00E1489B"/>
    <w:rsid w:val="00E36744"/>
    <w:rsid w:val="00E53E57"/>
    <w:rsid w:val="00E74E83"/>
    <w:rsid w:val="00EA61C7"/>
    <w:rsid w:val="00EC68AB"/>
    <w:rsid w:val="00EF2B18"/>
    <w:rsid w:val="00F25161"/>
    <w:rsid w:val="00F319C3"/>
    <w:rsid w:val="00F76F68"/>
    <w:rsid w:val="00FD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E96C-CA3C-4B2E-AF2B-84BE8C4F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5108</Words>
  <Characters>2912</Characters>
  <Application>Microsoft Office Word</Application>
  <DocSecurity>4</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Patentu likumā” sākotnējās ietekmes novērtējuma ziņojums (anotācija)</vt:lpstr>
      <vt:lpstr>projekta nosaukums</vt:lpstr>
    </vt:vector>
  </TitlesOfParts>
  <Manager>Inita.Ilgaza@tm.gov.lv</Manager>
  <Company>Tieslietu ministrija</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Patentu likumā” sākotnējās ietekmes novērtējuma ziņojums (anotācija)</dc:title>
  <dc:subject>Anotācija</dc:subject>
  <dc:creator>Tieslietu ministrija</dc:creator>
  <dc:description>D.Obuka, 67036833, Daina.Obuka@tm.gov.lv</dc:description>
  <cp:lastModifiedBy>Laura France</cp:lastModifiedBy>
  <cp:revision>2</cp:revision>
  <cp:lastPrinted>2013-12-16T08:57:00Z</cp:lastPrinted>
  <dcterms:created xsi:type="dcterms:W3CDTF">2014-08-18T11:17:00Z</dcterms:created>
  <dcterms:modified xsi:type="dcterms:W3CDTF">2014-08-18T11:17:00Z</dcterms:modified>
</cp:coreProperties>
</file>