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9F" w:rsidRPr="006F289F" w:rsidRDefault="004D3B6F" w:rsidP="006F289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Likumprojekta „</w:t>
      </w:r>
      <w:r w:rsidR="006F289F">
        <w:rPr>
          <w:rFonts w:ascii="Times New Roman" w:eastAsia="Times New Roman" w:hAnsi="Times New Roman" w:cs="Times New Roman"/>
          <w:b/>
          <w:bCs/>
          <w:color w:val="000000" w:themeColor="text1"/>
          <w:sz w:val="24"/>
          <w:szCs w:val="24"/>
          <w:lang w:eastAsia="lv-LV"/>
        </w:rPr>
        <w:t>Grozījumi likumā „</w:t>
      </w:r>
      <w:r w:rsidR="006F289F" w:rsidRPr="006F289F">
        <w:rPr>
          <w:rFonts w:ascii="Times New Roman" w:eastAsia="Times New Roman" w:hAnsi="Times New Roman" w:cs="Times New Roman"/>
          <w:b/>
          <w:bCs/>
          <w:color w:val="000000" w:themeColor="text1"/>
          <w:sz w:val="24"/>
          <w:szCs w:val="24"/>
          <w:lang w:eastAsia="lv-LV"/>
        </w:rPr>
        <w:t xml:space="preserve">Par Krimināllikuma spēkā stāšanās </w:t>
      </w:r>
    </w:p>
    <w:p w:rsidR="00DA596D" w:rsidRDefault="006F289F" w:rsidP="002C72E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un piemērošanas kārtību”</w:t>
      </w:r>
      <w:r w:rsidR="004D3B6F" w:rsidRPr="00BF6851">
        <w:rPr>
          <w:rFonts w:ascii="Times New Roman" w:eastAsia="Times New Roman" w:hAnsi="Times New Roman" w:cs="Times New Roman"/>
          <w:b/>
          <w:bCs/>
          <w:color w:val="000000" w:themeColor="text1"/>
          <w:sz w:val="24"/>
          <w:szCs w:val="24"/>
          <w:lang w:eastAsia="lv-LV"/>
        </w:rPr>
        <w:t xml:space="preserve">” sākotnējās ietekmes novērtējuma </w:t>
      </w:r>
      <w:smartTag w:uri="schemas-tilde-lv/tildestengine" w:element="currency2">
        <w:smartTagPr>
          <w:attr w:name="text" w:val="ziņojums"/>
          <w:attr w:name="baseform" w:val="ziņojums"/>
          <w:attr w:name="id" w:val="-1"/>
        </w:smartTagPr>
        <w:r w:rsidR="004D3B6F" w:rsidRPr="00BF6851">
          <w:rPr>
            <w:rFonts w:ascii="Times New Roman" w:eastAsia="Times New Roman" w:hAnsi="Times New Roman" w:cs="Times New Roman"/>
            <w:b/>
            <w:bCs/>
            <w:color w:val="000000" w:themeColor="text1"/>
            <w:sz w:val="24"/>
            <w:szCs w:val="24"/>
            <w:lang w:eastAsia="lv-LV"/>
          </w:rPr>
          <w:t>ziņojums</w:t>
        </w:r>
      </w:smartTag>
      <w:r w:rsidR="004D3B6F" w:rsidRPr="00BF6851">
        <w:rPr>
          <w:rFonts w:ascii="Times New Roman" w:eastAsia="Times New Roman" w:hAnsi="Times New Roman" w:cs="Times New Roman"/>
          <w:b/>
          <w:bCs/>
          <w:color w:val="000000" w:themeColor="text1"/>
          <w:sz w:val="24"/>
          <w:szCs w:val="24"/>
          <w:lang w:eastAsia="lv-LV"/>
        </w:rPr>
        <w:t xml:space="preserve"> (anotācija)</w:t>
      </w:r>
    </w:p>
    <w:p w:rsidR="007735CB" w:rsidRPr="00BF6851" w:rsidRDefault="007735CB"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F6851" w:rsidRPr="00BF6851" w:rsidTr="000206A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BF6851" w:rsidRDefault="004D15A9" w:rsidP="00B17096">
            <w:pPr>
              <w:spacing w:after="0" w:line="240" w:lineRule="auto"/>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I. Tiesību akta projekta izstrādes nepieciešamība</w:t>
            </w:r>
          </w:p>
        </w:tc>
      </w:tr>
      <w:tr w:rsidR="00BF6851" w:rsidRPr="00BF6851" w:rsidTr="000206A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BE745C" w:rsidP="006B7E7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ministrijas iniciatīva</w:t>
            </w:r>
            <w:r w:rsidR="006B7E76">
              <w:rPr>
                <w:rFonts w:ascii="Times New Roman" w:eastAsia="Times New Roman" w:hAnsi="Times New Roman" w:cs="Times New Roman"/>
                <w:color w:val="000000" w:themeColor="text1"/>
                <w:sz w:val="24"/>
                <w:szCs w:val="24"/>
                <w:lang w:eastAsia="lv-LV"/>
              </w:rPr>
              <w:t>, kā arī</w:t>
            </w:r>
            <w:r>
              <w:rPr>
                <w:rFonts w:ascii="Times New Roman" w:eastAsia="Times New Roman" w:hAnsi="Times New Roman" w:cs="Times New Roman"/>
                <w:color w:val="000000" w:themeColor="text1"/>
                <w:sz w:val="24"/>
                <w:szCs w:val="24"/>
                <w:lang w:eastAsia="lv-LV"/>
              </w:rPr>
              <w:t xml:space="preserve"> </w:t>
            </w:r>
            <w:r w:rsidR="006B7E76">
              <w:rPr>
                <w:rFonts w:ascii="Times New Roman" w:eastAsia="Times New Roman" w:hAnsi="Times New Roman" w:cs="Times New Roman"/>
                <w:color w:val="000000" w:themeColor="text1"/>
                <w:sz w:val="24"/>
                <w:szCs w:val="24"/>
                <w:lang w:eastAsia="lv-LV"/>
              </w:rPr>
              <w:t>l</w:t>
            </w:r>
            <w:r w:rsidR="00B91FB1">
              <w:rPr>
                <w:rFonts w:ascii="Times New Roman" w:eastAsia="Times New Roman" w:hAnsi="Times New Roman" w:cs="Times New Roman"/>
                <w:color w:val="000000" w:themeColor="text1"/>
                <w:sz w:val="24"/>
                <w:szCs w:val="24"/>
                <w:lang w:eastAsia="lv-LV"/>
              </w:rPr>
              <w:t xml:space="preserve">ai pilnībā pārņemtu </w:t>
            </w:r>
            <w:r w:rsidR="00B91FB1" w:rsidRPr="00271D60">
              <w:rPr>
                <w:rFonts w:ascii="Times New Roman" w:eastAsia="Times New Roman" w:hAnsi="Times New Roman" w:cs="Times New Roman"/>
                <w:color w:val="000000" w:themeColor="text1"/>
                <w:sz w:val="24"/>
                <w:szCs w:val="24"/>
                <w:lang w:eastAsia="lv-LV"/>
              </w:rPr>
              <w:t xml:space="preserve">Eiropas Parlamenta un Padomes </w:t>
            </w:r>
            <w:proofErr w:type="gramStart"/>
            <w:r w:rsidR="00B91FB1">
              <w:rPr>
                <w:rFonts w:ascii="Times New Roman" w:eastAsia="Times New Roman" w:hAnsi="Times New Roman" w:cs="Times New Roman"/>
                <w:color w:val="000000" w:themeColor="text1"/>
                <w:sz w:val="24"/>
                <w:szCs w:val="24"/>
                <w:lang w:eastAsia="lv-LV"/>
              </w:rPr>
              <w:t>2008.gada</w:t>
            </w:r>
            <w:proofErr w:type="gramEnd"/>
            <w:r w:rsidR="00B91FB1">
              <w:rPr>
                <w:rFonts w:ascii="Times New Roman" w:eastAsia="Times New Roman" w:hAnsi="Times New Roman" w:cs="Times New Roman"/>
                <w:color w:val="000000" w:themeColor="text1"/>
                <w:sz w:val="24"/>
                <w:szCs w:val="24"/>
                <w:lang w:eastAsia="lv-LV"/>
              </w:rPr>
              <w:t xml:space="preserve"> 19.novembra </w:t>
            </w:r>
            <w:r w:rsidR="00B91FB1" w:rsidRPr="00B91FB1">
              <w:rPr>
                <w:rFonts w:ascii="Times New Roman" w:eastAsia="Times New Roman" w:hAnsi="Times New Roman" w:cs="Times New Roman"/>
                <w:color w:val="000000" w:themeColor="text1"/>
                <w:sz w:val="24"/>
                <w:szCs w:val="24"/>
                <w:lang w:eastAsia="lv-LV"/>
              </w:rPr>
              <w:t>Direktīvu 2008/99/EK</w:t>
            </w:r>
            <w:r w:rsidR="00B91FB1" w:rsidRPr="00271D60">
              <w:rPr>
                <w:rFonts w:ascii="Times New Roman" w:eastAsia="Times New Roman" w:hAnsi="Times New Roman" w:cs="Times New Roman"/>
                <w:color w:val="000000" w:themeColor="text1"/>
                <w:sz w:val="24"/>
                <w:szCs w:val="24"/>
                <w:lang w:eastAsia="lv-LV"/>
              </w:rPr>
              <w:t xml:space="preserve"> par vides krimināltiesisko aizsardzību</w:t>
            </w:r>
            <w:r w:rsidR="00B91FB1">
              <w:rPr>
                <w:rFonts w:ascii="Times New Roman" w:eastAsia="Times New Roman" w:hAnsi="Times New Roman" w:cs="Times New Roman"/>
                <w:color w:val="000000" w:themeColor="text1"/>
                <w:sz w:val="24"/>
                <w:szCs w:val="24"/>
                <w:lang w:eastAsia="lv-LV"/>
              </w:rPr>
              <w:t xml:space="preserve"> </w:t>
            </w:r>
            <w:r w:rsidR="00B91FB1" w:rsidRPr="00271D60">
              <w:rPr>
                <w:rFonts w:ascii="Times New Roman" w:eastAsia="Times New Roman" w:hAnsi="Times New Roman" w:cs="Times New Roman"/>
                <w:color w:val="000000" w:themeColor="text1"/>
                <w:sz w:val="24"/>
                <w:szCs w:val="24"/>
                <w:lang w:eastAsia="lv-LV"/>
              </w:rPr>
              <w:t>(turpmāk – Direktīva 2008/99/EK)</w:t>
            </w:r>
            <w:r w:rsidR="00B91FB1">
              <w:rPr>
                <w:rFonts w:ascii="Times New Roman" w:eastAsia="Times New Roman" w:hAnsi="Times New Roman" w:cs="Times New Roman"/>
                <w:color w:val="000000" w:themeColor="text1"/>
                <w:sz w:val="24"/>
                <w:szCs w:val="24"/>
                <w:lang w:eastAsia="lv-LV"/>
              </w:rPr>
              <w:t>.</w:t>
            </w:r>
          </w:p>
        </w:tc>
      </w:tr>
      <w:tr w:rsidR="00BF6851" w:rsidRPr="00E955AA" w:rsidTr="000206A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63D63"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63D63" w:rsidRPr="00763D63" w:rsidRDefault="00763D63" w:rsidP="00763D63">
            <w:pPr>
              <w:rPr>
                <w:rFonts w:ascii="Times New Roman" w:eastAsia="Times New Roman" w:hAnsi="Times New Roman" w:cs="Times New Roman"/>
                <w:sz w:val="24"/>
                <w:szCs w:val="24"/>
                <w:lang w:eastAsia="lv-LV"/>
              </w:rPr>
            </w:pPr>
          </w:p>
          <w:p w:rsidR="00763D63" w:rsidRPr="00763D63" w:rsidRDefault="00763D63" w:rsidP="00763D63">
            <w:pPr>
              <w:rPr>
                <w:rFonts w:ascii="Times New Roman" w:eastAsia="Times New Roman" w:hAnsi="Times New Roman" w:cs="Times New Roman"/>
                <w:sz w:val="24"/>
                <w:szCs w:val="24"/>
                <w:lang w:eastAsia="lv-LV"/>
              </w:rPr>
            </w:pPr>
          </w:p>
          <w:p w:rsidR="00763D63" w:rsidRPr="00763D63" w:rsidRDefault="00763D63" w:rsidP="00763D63">
            <w:pPr>
              <w:rPr>
                <w:rFonts w:ascii="Times New Roman" w:eastAsia="Times New Roman" w:hAnsi="Times New Roman" w:cs="Times New Roman"/>
                <w:sz w:val="24"/>
                <w:szCs w:val="24"/>
                <w:lang w:eastAsia="lv-LV"/>
              </w:rPr>
            </w:pPr>
          </w:p>
          <w:p w:rsidR="00763D63" w:rsidRPr="00763D63" w:rsidRDefault="00763D63" w:rsidP="00763D63">
            <w:pPr>
              <w:rPr>
                <w:rFonts w:ascii="Times New Roman" w:eastAsia="Times New Roman" w:hAnsi="Times New Roman" w:cs="Times New Roman"/>
                <w:sz w:val="24"/>
                <w:szCs w:val="24"/>
                <w:lang w:eastAsia="lv-LV"/>
              </w:rPr>
            </w:pPr>
          </w:p>
          <w:p w:rsidR="00763D63" w:rsidRPr="00763D63" w:rsidRDefault="00763D63" w:rsidP="00763D63">
            <w:pPr>
              <w:rPr>
                <w:rFonts w:ascii="Times New Roman" w:eastAsia="Times New Roman" w:hAnsi="Times New Roman" w:cs="Times New Roman"/>
                <w:sz w:val="24"/>
                <w:szCs w:val="24"/>
                <w:lang w:eastAsia="lv-LV"/>
              </w:rPr>
            </w:pPr>
          </w:p>
          <w:p w:rsidR="00763D63" w:rsidRDefault="00763D63" w:rsidP="00763D63">
            <w:pPr>
              <w:rPr>
                <w:rFonts w:ascii="Times New Roman" w:eastAsia="Times New Roman" w:hAnsi="Times New Roman" w:cs="Times New Roman"/>
                <w:sz w:val="24"/>
                <w:szCs w:val="24"/>
                <w:lang w:eastAsia="lv-LV"/>
              </w:rPr>
            </w:pPr>
          </w:p>
          <w:p w:rsidR="004D15A9" w:rsidRPr="00763D63" w:rsidRDefault="004D15A9" w:rsidP="00763D63">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BE745C" w:rsidRDefault="000C7A0A"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w:t>
            </w:r>
            <w:r w:rsidR="00BE745C" w:rsidRPr="00BE745C">
              <w:rPr>
                <w:rFonts w:ascii="Times New Roman" w:eastAsia="Times New Roman" w:hAnsi="Times New Roman" w:cs="Times New Roman"/>
                <w:color w:val="000000" w:themeColor="text1"/>
                <w:sz w:val="24"/>
                <w:szCs w:val="24"/>
                <w:lang w:eastAsia="lv-LV"/>
              </w:rPr>
              <w:t>Grozījumi likumā „Par Krimināllikuma spēkā stāšanās un piemērošanas kārtību”</w:t>
            </w:r>
            <w:r>
              <w:rPr>
                <w:rFonts w:ascii="Times New Roman" w:eastAsia="Times New Roman" w:hAnsi="Times New Roman" w:cs="Times New Roman"/>
                <w:color w:val="000000" w:themeColor="text1"/>
                <w:sz w:val="24"/>
                <w:szCs w:val="24"/>
                <w:lang w:eastAsia="lv-LV"/>
              </w:rPr>
              <w:t>” (turpmāk arī – Likumprojekts)</w:t>
            </w:r>
            <w:r w:rsidR="00BE745C" w:rsidRPr="00BE745C">
              <w:rPr>
                <w:rFonts w:ascii="Times New Roman" w:eastAsia="Times New Roman" w:hAnsi="Times New Roman" w:cs="Times New Roman"/>
                <w:color w:val="000000" w:themeColor="text1"/>
                <w:sz w:val="24"/>
                <w:szCs w:val="24"/>
                <w:lang w:eastAsia="lv-LV"/>
              </w:rPr>
              <w:t xml:space="preserve"> ir nepieciešami saistībā ar teorētiskām un praktiskām problēmām noziedzīga nodarījuma kaitīgo seku kvalificēšanā</w:t>
            </w:r>
            <w:r w:rsidR="00BE745C">
              <w:rPr>
                <w:rFonts w:ascii="Times New Roman" w:eastAsia="Times New Roman" w:hAnsi="Times New Roman" w:cs="Times New Roman"/>
                <w:color w:val="000000" w:themeColor="text1"/>
                <w:sz w:val="24"/>
                <w:szCs w:val="24"/>
                <w:lang w:eastAsia="lv-LV"/>
              </w:rPr>
              <w:t>.</w:t>
            </w:r>
          </w:p>
          <w:p w:rsidR="00BE745C" w:rsidRDefault="00BE745C"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477682" w:rsidRPr="00E955AA" w:rsidRDefault="000206AE"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E955AA">
              <w:rPr>
                <w:rFonts w:ascii="Times New Roman" w:eastAsia="Times New Roman" w:hAnsi="Times New Roman" w:cs="Times New Roman"/>
                <w:color w:val="000000" w:themeColor="text1"/>
                <w:sz w:val="24"/>
                <w:szCs w:val="24"/>
                <w:lang w:eastAsia="lv-LV"/>
              </w:rPr>
              <w:t xml:space="preserve">Pašreiz </w:t>
            </w:r>
            <w:r w:rsidR="000C7A0A" w:rsidRPr="00BE745C">
              <w:rPr>
                <w:rFonts w:ascii="Times New Roman" w:eastAsia="Times New Roman" w:hAnsi="Times New Roman" w:cs="Times New Roman"/>
                <w:color w:val="000000" w:themeColor="text1"/>
                <w:sz w:val="24"/>
                <w:szCs w:val="24"/>
                <w:lang w:eastAsia="lv-LV"/>
              </w:rPr>
              <w:t>likum</w:t>
            </w:r>
            <w:r w:rsidR="000C7A0A">
              <w:rPr>
                <w:rFonts w:ascii="Times New Roman" w:eastAsia="Times New Roman" w:hAnsi="Times New Roman" w:cs="Times New Roman"/>
                <w:color w:val="000000" w:themeColor="text1"/>
                <w:sz w:val="24"/>
                <w:szCs w:val="24"/>
                <w:lang w:eastAsia="lv-LV"/>
              </w:rPr>
              <w:t>a</w:t>
            </w:r>
            <w:r w:rsidR="000C7A0A" w:rsidRPr="00BE745C">
              <w:rPr>
                <w:rFonts w:ascii="Times New Roman" w:eastAsia="Times New Roman" w:hAnsi="Times New Roman" w:cs="Times New Roman"/>
                <w:color w:val="000000" w:themeColor="text1"/>
                <w:sz w:val="24"/>
                <w:szCs w:val="24"/>
                <w:lang w:eastAsia="lv-LV"/>
              </w:rPr>
              <w:t xml:space="preserve"> „Par Krimināllikuma spēkā stāšanās un piemērošanas kārtību”</w:t>
            </w:r>
            <w:r w:rsidR="000C7A0A">
              <w:rPr>
                <w:rFonts w:ascii="Times New Roman" w:eastAsia="Times New Roman" w:hAnsi="Times New Roman" w:cs="Times New Roman"/>
                <w:color w:val="000000" w:themeColor="text1"/>
                <w:sz w:val="24"/>
                <w:szCs w:val="24"/>
                <w:lang w:eastAsia="lv-LV"/>
              </w:rPr>
              <w:t xml:space="preserve">” </w:t>
            </w:r>
            <w:r w:rsidR="000C7A0A">
              <w:rPr>
                <w:rFonts w:ascii="Times New Roman" w:eastAsia="Times New Roman" w:hAnsi="Times New Roman" w:cs="Times New Roman"/>
                <w:color w:val="000000" w:themeColor="text1"/>
                <w:sz w:val="24"/>
                <w:szCs w:val="24"/>
                <w:lang w:eastAsia="lv-LV"/>
              </w:rPr>
              <w:t xml:space="preserve">(turpmāk – PKLS) </w:t>
            </w:r>
            <w:proofErr w:type="gramStart"/>
            <w:r w:rsidRPr="00E955AA">
              <w:rPr>
                <w:rFonts w:ascii="Times New Roman" w:eastAsia="Times New Roman" w:hAnsi="Times New Roman" w:cs="Times New Roman"/>
                <w:color w:val="000000" w:themeColor="text1"/>
                <w:sz w:val="24"/>
                <w:szCs w:val="24"/>
                <w:lang w:eastAsia="lv-LV"/>
              </w:rPr>
              <w:t>22.pantā</w:t>
            </w:r>
            <w:proofErr w:type="gramEnd"/>
            <w:r w:rsidRPr="00E955AA">
              <w:rPr>
                <w:rFonts w:ascii="Times New Roman" w:eastAsia="Times New Roman" w:hAnsi="Times New Roman" w:cs="Times New Roman"/>
                <w:color w:val="000000" w:themeColor="text1"/>
                <w:sz w:val="24"/>
                <w:szCs w:val="24"/>
                <w:lang w:eastAsia="lv-LV"/>
              </w:rPr>
              <w:t xml:space="preserve"> noteikts, ka atbildība par Krimināllikumā (turpmāk – KL) paredzēto </w:t>
            </w:r>
            <w:r w:rsidRPr="00836888">
              <w:rPr>
                <w:rFonts w:ascii="Times New Roman" w:eastAsia="Times New Roman" w:hAnsi="Times New Roman" w:cs="Times New Roman"/>
                <w:color w:val="000000" w:themeColor="text1"/>
                <w:sz w:val="24"/>
                <w:szCs w:val="24"/>
                <w:lang w:eastAsia="lv-LV"/>
              </w:rPr>
              <w:t>kriminālpārkāpumu</w:t>
            </w:r>
            <w:r w:rsidRPr="00E955AA">
              <w:rPr>
                <w:rFonts w:ascii="Times New Roman" w:eastAsia="Times New Roman" w:hAnsi="Times New Roman" w:cs="Times New Roman"/>
                <w:color w:val="000000" w:themeColor="text1"/>
                <w:sz w:val="24"/>
                <w:szCs w:val="24"/>
                <w:lang w:eastAsia="lv-LV"/>
              </w:rPr>
              <w:t xml:space="preserve">, kas izdarīts </w:t>
            </w:r>
            <w:r w:rsidRPr="00836888">
              <w:rPr>
                <w:rFonts w:ascii="Times New Roman" w:eastAsia="Times New Roman" w:hAnsi="Times New Roman" w:cs="Times New Roman"/>
                <w:color w:val="000000" w:themeColor="text1"/>
                <w:sz w:val="24"/>
                <w:szCs w:val="24"/>
                <w:lang w:eastAsia="lv-LV"/>
              </w:rPr>
              <w:t>nelielā apmērā</w:t>
            </w:r>
            <w:r w:rsidRPr="00E955AA">
              <w:rPr>
                <w:rFonts w:ascii="Times New Roman" w:eastAsia="Times New Roman" w:hAnsi="Times New Roman" w:cs="Times New Roman"/>
                <w:color w:val="000000" w:themeColor="text1"/>
                <w:sz w:val="24"/>
                <w:szCs w:val="24"/>
                <w:lang w:eastAsia="lv-LV"/>
              </w:rPr>
              <w:t>, iestājas, ja vainīgajam bijis nodoms iegūt kriminālpārkāpuma priekšmetu, kura vērtība nodarījuma izdarīšanas brīdī nepārsniedz vienu tai laikā Latvijas Republikā noteikto minimālo mēnešalgu.</w:t>
            </w:r>
            <w:r w:rsidRPr="00E955AA">
              <w:t xml:space="preserve"> </w:t>
            </w:r>
            <w:r w:rsidRPr="00E955AA">
              <w:rPr>
                <w:rFonts w:ascii="Times New Roman" w:eastAsia="Times New Roman" w:hAnsi="Times New Roman" w:cs="Times New Roman"/>
                <w:color w:val="000000" w:themeColor="text1"/>
                <w:sz w:val="24"/>
                <w:szCs w:val="24"/>
                <w:lang w:eastAsia="lv-LV"/>
              </w:rPr>
              <w:t xml:space="preserve">Ievērojot to, ka, ne tikai ar kriminālpārkāpumu var tikt nodarīts kaitējums nelielā apmērā, bet arī ar noziegumu (parasti mazāk smagu noziegumu), </w:t>
            </w:r>
            <w:r w:rsidR="005D5015" w:rsidRPr="00E955AA">
              <w:rPr>
                <w:rFonts w:ascii="Times New Roman" w:eastAsia="Times New Roman" w:hAnsi="Times New Roman" w:cs="Times New Roman"/>
                <w:color w:val="000000" w:themeColor="text1"/>
                <w:sz w:val="24"/>
                <w:szCs w:val="24"/>
                <w:lang w:eastAsia="lv-LV"/>
              </w:rPr>
              <w:t xml:space="preserve">ar likumprojektu </w:t>
            </w:r>
            <w:r w:rsidRPr="00E955AA">
              <w:rPr>
                <w:rFonts w:ascii="Times New Roman" w:eastAsia="Times New Roman" w:hAnsi="Times New Roman" w:cs="Times New Roman"/>
                <w:color w:val="000000" w:themeColor="text1"/>
                <w:sz w:val="24"/>
                <w:szCs w:val="24"/>
                <w:lang w:eastAsia="lv-LV"/>
              </w:rPr>
              <w:t>PKLS 22.pantā vārd</w:t>
            </w:r>
            <w:r w:rsidR="005D5015" w:rsidRPr="00E955AA">
              <w:rPr>
                <w:rFonts w:ascii="Times New Roman" w:eastAsia="Times New Roman" w:hAnsi="Times New Roman" w:cs="Times New Roman"/>
                <w:color w:val="000000" w:themeColor="text1"/>
                <w:sz w:val="24"/>
                <w:szCs w:val="24"/>
                <w:lang w:eastAsia="lv-LV"/>
              </w:rPr>
              <w:t>s</w:t>
            </w:r>
            <w:r w:rsidRPr="00E955AA">
              <w:rPr>
                <w:rFonts w:ascii="Times New Roman" w:eastAsia="Times New Roman" w:hAnsi="Times New Roman" w:cs="Times New Roman"/>
                <w:color w:val="000000" w:themeColor="text1"/>
                <w:sz w:val="24"/>
                <w:szCs w:val="24"/>
                <w:lang w:eastAsia="lv-LV"/>
              </w:rPr>
              <w:t xml:space="preserve"> „kriminālpārkāpumu” </w:t>
            </w:r>
            <w:r w:rsidR="005D5015" w:rsidRPr="00E955AA">
              <w:rPr>
                <w:rFonts w:ascii="Times New Roman" w:eastAsia="Times New Roman" w:hAnsi="Times New Roman" w:cs="Times New Roman"/>
                <w:color w:val="000000" w:themeColor="text1"/>
                <w:sz w:val="24"/>
                <w:szCs w:val="24"/>
                <w:lang w:eastAsia="lv-LV"/>
              </w:rPr>
              <w:t>tiek</w:t>
            </w:r>
            <w:r w:rsidRPr="00E955AA">
              <w:rPr>
                <w:rFonts w:ascii="Times New Roman" w:eastAsia="Times New Roman" w:hAnsi="Times New Roman" w:cs="Times New Roman"/>
                <w:color w:val="000000" w:themeColor="text1"/>
                <w:sz w:val="24"/>
                <w:szCs w:val="24"/>
                <w:lang w:eastAsia="lv-LV"/>
              </w:rPr>
              <w:t xml:space="preserve"> aizstāt</w:t>
            </w:r>
            <w:r w:rsidR="005D5015" w:rsidRPr="00E955AA">
              <w:rPr>
                <w:rFonts w:ascii="Times New Roman" w:eastAsia="Times New Roman" w:hAnsi="Times New Roman" w:cs="Times New Roman"/>
                <w:color w:val="000000" w:themeColor="text1"/>
                <w:sz w:val="24"/>
                <w:szCs w:val="24"/>
                <w:lang w:eastAsia="lv-LV"/>
              </w:rPr>
              <w:t>s</w:t>
            </w:r>
            <w:r w:rsidRPr="00E955AA">
              <w:rPr>
                <w:rFonts w:ascii="Times New Roman" w:eastAsia="Times New Roman" w:hAnsi="Times New Roman" w:cs="Times New Roman"/>
                <w:color w:val="000000" w:themeColor="text1"/>
                <w:sz w:val="24"/>
                <w:szCs w:val="24"/>
                <w:lang w:eastAsia="lv-LV"/>
              </w:rPr>
              <w:t xml:space="preserve"> ar vārdiem „noziedzīgu nodarījumu”, tādējādi nelielu apmēru attiecinot ne tikai uz kriminālpārkāpumiem, bet arī uz noziegumiem.</w:t>
            </w:r>
          </w:p>
          <w:p w:rsidR="005644CE" w:rsidRPr="00E955AA" w:rsidRDefault="005644CE"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5644CE" w:rsidRPr="00E955AA" w:rsidRDefault="005644CE"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E955AA">
              <w:rPr>
                <w:rFonts w:ascii="Times New Roman" w:eastAsia="Times New Roman" w:hAnsi="Times New Roman" w:cs="Times New Roman"/>
                <w:color w:val="000000" w:themeColor="text1"/>
                <w:sz w:val="24"/>
                <w:szCs w:val="24"/>
                <w:lang w:eastAsia="lv-LV"/>
              </w:rPr>
              <w:t>Ievērojot to, ka PKLS 22.pantā netiek skaidrot</w:t>
            </w:r>
            <w:r w:rsidR="00A81F74" w:rsidRPr="00E955AA">
              <w:rPr>
                <w:rFonts w:ascii="Times New Roman" w:eastAsia="Times New Roman" w:hAnsi="Times New Roman" w:cs="Times New Roman"/>
                <w:color w:val="000000" w:themeColor="text1"/>
                <w:sz w:val="24"/>
                <w:szCs w:val="24"/>
                <w:lang w:eastAsia="lv-LV"/>
              </w:rPr>
              <w:t>i</w:t>
            </w:r>
            <w:r w:rsidRPr="00E955AA">
              <w:rPr>
                <w:rFonts w:ascii="Times New Roman" w:eastAsia="Times New Roman" w:hAnsi="Times New Roman" w:cs="Times New Roman"/>
                <w:color w:val="000000" w:themeColor="text1"/>
                <w:sz w:val="24"/>
                <w:szCs w:val="24"/>
                <w:lang w:eastAsia="lv-LV"/>
              </w:rPr>
              <w:t xml:space="preserve"> neliela apmēra noteikšanas kritēriji, </w:t>
            </w:r>
            <w:r w:rsidR="005D5015" w:rsidRPr="00E955AA">
              <w:rPr>
                <w:rFonts w:ascii="Times New Roman" w:eastAsia="Times New Roman" w:hAnsi="Times New Roman" w:cs="Times New Roman"/>
                <w:color w:val="000000" w:themeColor="text1"/>
                <w:sz w:val="24"/>
                <w:szCs w:val="24"/>
                <w:lang w:eastAsia="lv-LV"/>
              </w:rPr>
              <w:t xml:space="preserve">ar likumprojektu </w:t>
            </w:r>
            <w:r w:rsidRPr="00E955AA">
              <w:rPr>
                <w:rFonts w:ascii="Times New Roman" w:eastAsia="Times New Roman" w:hAnsi="Times New Roman" w:cs="Times New Roman"/>
                <w:color w:val="000000" w:themeColor="text1"/>
                <w:sz w:val="24"/>
                <w:szCs w:val="24"/>
                <w:lang w:eastAsia="lv-LV"/>
              </w:rPr>
              <w:t>PKLS 22.pant</w:t>
            </w:r>
            <w:r w:rsidR="005D5015" w:rsidRPr="00E955AA">
              <w:rPr>
                <w:rFonts w:ascii="Times New Roman" w:eastAsia="Times New Roman" w:hAnsi="Times New Roman" w:cs="Times New Roman"/>
                <w:color w:val="000000" w:themeColor="text1"/>
                <w:sz w:val="24"/>
                <w:szCs w:val="24"/>
                <w:lang w:eastAsia="lv-LV"/>
              </w:rPr>
              <w:t>s</w:t>
            </w:r>
            <w:r w:rsidRPr="00E955AA">
              <w:rPr>
                <w:rFonts w:ascii="Times New Roman" w:eastAsia="Times New Roman" w:hAnsi="Times New Roman" w:cs="Times New Roman"/>
                <w:color w:val="000000" w:themeColor="text1"/>
                <w:sz w:val="24"/>
                <w:szCs w:val="24"/>
                <w:lang w:eastAsia="lv-LV"/>
              </w:rPr>
              <w:t xml:space="preserve"> </w:t>
            </w:r>
            <w:r w:rsidR="005D5015" w:rsidRPr="00E955AA">
              <w:rPr>
                <w:rFonts w:ascii="Times New Roman" w:eastAsia="Times New Roman" w:hAnsi="Times New Roman" w:cs="Times New Roman"/>
                <w:color w:val="000000" w:themeColor="text1"/>
                <w:sz w:val="24"/>
                <w:szCs w:val="24"/>
                <w:lang w:eastAsia="lv-LV"/>
              </w:rPr>
              <w:t>tiek</w:t>
            </w:r>
            <w:r w:rsidRPr="00E955AA">
              <w:rPr>
                <w:rFonts w:ascii="Times New Roman" w:eastAsia="Times New Roman" w:hAnsi="Times New Roman" w:cs="Times New Roman"/>
                <w:color w:val="000000" w:themeColor="text1"/>
                <w:sz w:val="24"/>
                <w:szCs w:val="24"/>
                <w:lang w:eastAsia="lv-LV"/>
              </w:rPr>
              <w:t xml:space="preserve"> papildināt</w:t>
            </w:r>
            <w:r w:rsidR="005D5015" w:rsidRPr="00E955AA">
              <w:rPr>
                <w:rFonts w:ascii="Times New Roman" w:eastAsia="Times New Roman" w:hAnsi="Times New Roman" w:cs="Times New Roman"/>
                <w:color w:val="000000" w:themeColor="text1"/>
                <w:sz w:val="24"/>
                <w:szCs w:val="24"/>
                <w:lang w:eastAsia="lv-LV"/>
              </w:rPr>
              <w:t>s</w:t>
            </w:r>
            <w:r w:rsidRPr="00E955AA">
              <w:rPr>
                <w:rFonts w:ascii="Times New Roman" w:eastAsia="Times New Roman" w:hAnsi="Times New Roman" w:cs="Times New Roman"/>
                <w:color w:val="000000" w:themeColor="text1"/>
                <w:sz w:val="24"/>
                <w:szCs w:val="24"/>
                <w:lang w:eastAsia="lv-LV"/>
              </w:rPr>
              <w:t xml:space="preserve"> ar teikumu, kurā noteikts, ka</w:t>
            </w:r>
            <w:r w:rsidR="00A81F74" w:rsidRPr="00E955AA">
              <w:t xml:space="preserve"> </w:t>
            </w:r>
            <w:r w:rsidR="00A81F74" w:rsidRPr="00836888">
              <w:rPr>
                <w:rFonts w:ascii="Times New Roman" w:eastAsia="Times New Roman" w:hAnsi="Times New Roman" w:cs="Times New Roman"/>
                <w:color w:val="000000" w:themeColor="text1"/>
                <w:sz w:val="24"/>
                <w:szCs w:val="24"/>
                <w:lang w:eastAsia="lv-LV"/>
              </w:rPr>
              <w:t>priekšmetu vērtība nosakāma atbilstoši tirgus cenām vai tām pielīdzinātām cenām nodarījuma izdarīšanas laikā</w:t>
            </w:r>
            <w:r w:rsidR="00A81F74" w:rsidRPr="00E955AA">
              <w:rPr>
                <w:rFonts w:ascii="Times New Roman" w:eastAsia="Times New Roman" w:hAnsi="Times New Roman" w:cs="Times New Roman"/>
                <w:color w:val="000000" w:themeColor="text1"/>
                <w:sz w:val="24"/>
                <w:szCs w:val="24"/>
                <w:lang w:eastAsia="lv-LV"/>
              </w:rPr>
              <w:t>, tāpat kā tas tiek skaidrots PKLS 20.pantā attiecībā uz lielu apmēru.</w:t>
            </w:r>
          </w:p>
          <w:p w:rsidR="000206AE" w:rsidRPr="00836888" w:rsidRDefault="000206AE"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066C42" w:rsidRDefault="00477682" w:rsidP="00066C42">
            <w:pPr>
              <w:pStyle w:val="naisc"/>
              <w:spacing w:before="0" w:after="0"/>
              <w:jc w:val="both"/>
            </w:pPr>
            <w:r w:rsidRPr="00E955AA">
              <w:rPr>
                <w:color w:val="000000"/>
              </w:rPr>
              <w:t xml:space="preserve">Ievērojot to, ka 2013.gada 1.aprīlī spēkā stājās ar Kriminālsodu politikas koncepciju saistītie grozījumi </w:t>
            </w:r>
            <w:r w:rsidR="005D5015" w:rsidRPr="00E955AA">
              <w:rPr>
                <w:color w:val="000000"/>
              </w:rPr>
              <w:t>KL</w:t>
            </w:r>
            <w:r w:rsidRPr="00E955AA">
              <w:rPr>
                <w:color w:val="000000"/>
              </w:rPr>
              <w:t>, kas paredz vairākos noziedzīgo nodarījumu sastāvos administratīvo atkārtotību aizstāt ar kvalificējošo pazīmi – būtisks kaitējums, ir nepieciešams nodrošināt nepārprotamu izpratni par būtiska kaitējuma saturu, saucot personas pie kriminālatbildības.</w:t>
            </w:r>
            <w:r w:rsidRPr="00E955AA">
              <w:t xml:space="preserve"> Pašreizējā norma satur </w:t>
            </w:r>
            <w:r w:rsidRPr="00836888">
              <w:rPr>
                <w:bCs/>
              </w:rPr>
              <w:t>divus kumulatīvos kritērijus</w:t>
            </w:r>
            <w:r w:rsidRPr="00E955AA">
              <w:t>, kas savienoti ar saikļiem “</w:t>
            </w:r>
            <w:r w:rsidRPr="00E955AA">
              <w:rPr>
                <w:bCs/>
                <w:i/>
              </w:rPr>
              <w:t>ne vien</w:t>
            </w:r>
            <w:r w:rsidRPr="00E955AA">
              <w:t>” un “</w:t>
            </w:r>
            <w:r w:rsidRPr="00E955AA">
              <w:rPr>
                <w:bCs/>
                <w:i/>
              </w:rPr>
              <w:t>bet arī</w:t>
            </w:r>
            <w:r w:rsidRPr="00E955AA">
              <w:rPr>
                <w:bCs/>
              </w:rPr>
              <w:t>”</w:t>
            </w:r>
            <w:r w:rsidRPr="00E955AA">
              <w:t xml:space="preserve">, kas nav bieži sastopams mehānisms normatīvā akta loģiskajā konstrukcijā, kas rada problēmas šīs normas praktiskā iztulkošanā. </w:t>
            </w:r>
            <w:r w:rsidR="00A62205">
              <w:t>Norma paredz</w:t>
            </w:r>
            <w:r w:rsidRPr="00E955AA">
              <w:t xml:space="preserve"> pienākumu pierādīt materiālu apdraudējumu - ievērojams mantiskais zaudējums, </w:t>
            </w:r>
            <w:r w:rsidRPr="00836888">
              <w:t>gan</w:t>
            </w:r>
            <w:r w:rsidRPr="00E955AA">
              <w:t xml:space="preserve"> arī nemantisku apdraudējumu - apdraudētas arī citas ar likumu aizsargātas intereses. Tas nozīmē, </w:t>
            </w:r>
            <w:r w:rsidRPr="00836888">
              <w:t xml:space="preserve">ja netiek konstatēti abi kumulatīvie kritēriji, nav nozieguma </w:t>
            </w:r>
            <w:r w:rsidRPr="00836888">
              <w:lastRenderedPageBreak/>
              <w:t>sastāva</w:t>
            </w:r>
            <w:r w:rsidRPr="00E955AA">
              <w:t xml:space="preserve">, lai gan </w:t>
            </w:r>
            <w:r w:rsidR="006B7E76">
              <w:t xml:space="preserve">jau </w:t>
            </w:r>
            <w:r w:rsidRPr="00E955AA">
              <w:t>ievērojams mantiskais</w:t>
            </w:r>
            <w:r w:rsidR="00A62205" w:rsidRPr="00E955AA">
              <w:t xml:space="preserve"> zaudējums</w:t>
            </w:r>
            <w:r w:rsidR="00A62205">
              <w:t>, kas pārsniedz desmit minimālo mēnešalgu apmēru,</w:t>
            </w:r>
            <w:r w:rsidRPr="00E955AA">
              <w:t xml:space="preserve"> būtu jāvērtē kā patstāvīgs būtiska kaitējuma konstatēšanas kritērijs.</w:t>
            </w:r>
            <w:r w:rsidR="00A62205">
              <w:t xml:space="preserve"> </w:t>
            </w:r>
          </w:p>
          <w:p w:rsidR="00066C42" w:rsidRDefault="00066C42" w:rsidP="00066C42">
            <w:pPr>
              <w:pStyle w:val="naisc"/>
              <w:spacing w:before="0" w:after="0"/>
              <w:jc w:val="both"/>
            </w:pPr>
          </w:p>
          <w:p w:rsidR="00066C42" w:rsidRPr="00066C42" w:rsidRDefault="00066C42" w:rsidP="00066C42">
            <w:pPr>
              <w:pStyle w:val="naisc"/>
              <w:spacing w:before="0" w:after="0"/>
              <w:jc w:val="both"/>
            </w:pPr>
            <w:r w:rsidRPr="00066C42">
              <w:rPr>
                <w:color w:val="000000"/>
                <w:shd w:val="clear" w:color="auto" w:fill="FFFFFF"/>
                <w:lang w:eastAsia="zh-CN"/>
              </w:rPr>
              <w:t>Ar likumprojekta grozījumiem PKLS 23.panta pirmās daļas 1.punktā tiek saglabāts pašreizējais būtiska kaitējuma konstatēšanas kumulatīvais kritērijs, t.i., kad vienlaikus nepieciešams konstatēt gan mantisku zaudējumu, kas nav mazāks par piecu minimālo mēnešalgu kopsummu, gan arī citu ar likumu aizsargāto interešu  apdraudējumu.</w:t>
            </w:r>
          </w:p>
          <w:p w:rsid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p>
          <w:p w:rsid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r w:rsidRPr="00066C42">
              <w:rPr>
                <w:rFonts w:ascii="Times New Roman" w:eastAsia="Times New Roman" w:hAnsi="Times New Roman" w:cs="Times New Roman"/>
                <w:color w:val="000000"/>
                <w:sz w:val="24"/>
                <w:szCs w:val="24"/>
                <w:shd w:val="clear" w:color="auto" w:fill="FFFFFF"/>
                <w:lang w:eastAsia="zh-CN"/>
              </w:rPr>
              <w:t xml:space="preserve">Vienlaikus ar likumprojekta grozījumiem PKLS 23.panta pirmās daļas 2.punktā kā otrs patstāvīgs būtiska kaitējuma konstatēšanas kritērijs tiek noteikts </w:t>
            </w:r>
            <w:r w:rsidRPr="00066C42">
              <w:rPr>
                <w:rFonts w:ascii="Times New Roman" w:eastAsia="Times New Roman" w:hAnsi="Times New Roman" w:cs="Times New Roman"/>
                <w:bCs/>
                <w:color w:val="000000"/>
                <w:sz w:val="24"/>
                <w:szCs w:val="24"/>
                <w:shd w:val="clear" w:color="auto" w:fill="FFFFFF"/>
                <w:lang w:eastAsia="zh-CN"/>
              </w:rPr>
              <w:t>mantisks zaudējums, kas nav mazāks par desmit minimālo mēnešalgu kopsummas.</w:t>
            </w:r>
            <w:r w:rsidRPr="00066C42">
              <w:rPr>
                <w:rFonts w:ascii="Times New Roman" w:eastAsia="Times New Roman" w:hAnsi="Times New Roman" w:cs="Times New Roman"/>
                <w:color w:val="000000"/>
                <w:sz w:val="24"/>
                <w:szCs w:val="24"/>
                <w:shd w:val="clear" w:color="auto" w:fill="FFFFFF"/>
                <w:lang w:eastAsia="zh-CN"/>
              </w:rPr>
              <w:t xml:space="preserve"> Šis kritērijs nav saistīts ar papildus kumulatīvo kritēriju, kāds tas ir paredzēts PKLS 23.panta pirmās daļas 1.punktā, jo mantiskais zaudējums, kas pārsniedz desmit minimālo mēnešalgu apmēru ir jau tik ievērojams, ka nav nepieciešamība papildus vēl konstatēt arī citu ar likumu aizsargāto interešu apdraudējumu. Bez tam šāda papildus interešu apdraudējuma pierādīšana praksē bieži vien ir apgrūtinoša, rezultātā radot situāciju, kad pie mantiska zaudējuma, kas pārsniedz desmit minimālo mēnešalgu kopsummas, netiek atzīts, ka ar noziedzīgu nodarījumu ir radīts būtisks kaitējums. Ieviešot jaunu būtiska kaitējuma konstatēšanas kritēriju PKLS 23.panta pirmās daļas 2.punktā, minētās prakses problēmas tiks novērstas.</w:t>
            </w:r>
          </w:p>
          <w:p w:rsid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p>
          <w:p w:rsid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r w:rsidRPr="00066C42">
              <w:rPr>
                <w:rFonts w:ascii="Times New Roman" w:eastAsia="Times New Roman" w:hAnsi="Times New Roman" w:cs="Times New Roman"/>
                <w:color w:val="000000"/>
                <w:sz w:val="24"/>
                <w:szCs w:val="24"/>
                <w:shd w:val="clear" w:color="auto" w:fill="FFFFFF"/>
                <w:lang w:eastAsia="zh-CN"/>
              </w:rPr>
              <w:t xml:space="preserve">Savukārt, ar likumprojekta grozījumiem PKLS 23.panta pirmās daļas 3.punktā trešais kritērijs – </w:t>
            </w:r>
            <w:r w:rsidRPr="00066C42">
              <w:rPr>
                <w:rFonts w:ascii="Times New Roman" w:eastAsia="Times New Roman" w:hAnsi="Times New Roman" w:cs="Times New Roman"/>
                <w:bCs/>
                <w:color w:val="000000"/>
                <w:sz w:val="24"/>
                <w:szCs w:val="24"/>
                <w:shd w:val="clear" w:color="auto" w:fill="FFFFFF"/>
                <w:lang w:eastAsia="zh-CN"/>
              </w:rPr>
              <w:t xml:space="preserve">ievērojams apdraudējums citām ar likumu aizsargātajām interesēm – </w:t>
            </w:r>
            <w:r w:rsidRPr="00066C42">
              <w:rPr>
                <w:rFonts w:ascii="Times New Roman" w:eastAsia="Times New Roman" w:hAnsi="Times New Roman" w:cs="Times New Roman"/>
                <w:color w:val="000000"/>
                <w:sz w:val="24"/>
                <w:szCs w:val="24"/>
                <w:shd w:val="clear" w:color="auto" w:fill="FFFFFF"/>
                <w:lang w:eastAsia="zh-CN"/>
              </w:rPr>
              <w:t>arī tiek saglabāts kā atsevišķs pastāvīgs kritērijs būtiska kaitējuma konstatēšanai. Šis kritērijs tiek konstatēts atkarībā no aizskartajām interesēm, kuras aizsargā konstitūcija, cilvēktiesības, sociālās tiesības, un kas ne vienmēr ir novērtējamas materiālā izteiksmē.</w:t>
            </w:r>
          </w:p>
          <w:p w:rsid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p>
          <w:p w:rsidR="00066C42" w:rsidRPr="00066C42" w:rsidRDefault="00066C42" w:rsidP="00066C42">
            <w:pPr>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r w:rsidRPr="00066C42">
              <w:rPr>
                <w:rFonts w:ascii="Times New Roman" w:eastAsia="Times New Roman" w:hAnsi="Times New Roman" w:cs="Times New Roman"/>
                <w:color w:val="000000"/>
                <w:sz w:val="24"/>
                <w:szCs w:val="24"/>
                <w:shd w:val="clear" w:color="auto" w:fill="FFFFFF"/>
                <w:lang w:eastAsia="zh-CN"/>
              </w:rPr>
              <w:t xml:space="preserve">Ievērojot to, ka ar likumprojekta grozījumiem PKLS 23.panta pirmajā daļā tiek definēts arī mantiska zaudējuma apmērs, </w:t>
            </w:r>
            <w:r w:rsidRPr="00066C42">
              <w:rPr>
                <w:rFonts w:ascii="Times New Roman" w:eastAsia="Times New Roman" w:hAnsi="Times New Roman" w:cs="Times New Roman"/>
                <w:bCs/>
                <w:color w:val="000000"/>
                <w:sz w:val="24"/>
                <w:szCs w:val="24"/>
                <w:shd w:val="clear" w:color="auto" w:fill="FFFFFF"/>
                <w:lang w:eastAsia="zh-CN"/>
              </w:rPr>
              <w:t>ar likumprojektu no</w:t>
            </w:r>
            <w:r w:rsidRPr="00066C42">
              <w:rPr>
                <w:rFonts w:ascii="Times New Roman" w:eastAsia="Times New Roman" w:hAnsi="Times New Roman" w:cs="Times New Roman"/>
                <w:color w:val="000000"/>
                <w:sz w:val="24"/>
                <w:szCs w:val="24"/>
                <w:shd w:val="clear" w:color="auto" w:fill="FFFFFF"/>
                <w:lang w:eastAsia="zh-CN"/>
              </w:rPr>
              <w:t xml:space="preserve"> PKLS 23.panta tiek izslēgta otrā daļa, kurā līdz šim tika definēts ievērojama mantiska zaudējuma apmērs.</w:t>
            </w:r>
          </w:p>
          <w:p w:rsidR="008B0659" w:rsidRDefault="00511640" w:rsidP="008B0659">
            <w:pPr>
              <w:pStyle w:val="naisc"/>
              <w:spacing w:after="0"/>
              <w:jc w:val="both"/>
              <w:rPr>
                <w:rStyle w:val="st"/>
                <w:color w:val="222222"/>
              </w:rPr>
            </w:pPr>
            <w:r w:rsidRPr="00E955AA">
              <w:t>Tieslietu ministrijas izveidotā</w:t>
            </w:r>
            <w:r w:rsidRPr="00E955AA">
              <w:rPr>
                <w:bCs/>
                <w:color w:val="000000"/>
              </w:rPr>
              <w:t xml:space="preserve"> pastāvīgā</w:t>
            </w:r>
            <w:r w:rsidRPr="00836888">
              <w:rPr>
                <w:bCs/>
                <w:color w:val="000000"/>
              </w:rPr>
              <w:t xml:space="preserve"> </w:t>
            </w:r>
            <w:r w:rsidRPr="00E955AA">
              <w:t>Krimināllikuma darba grupa (turpmāk – KL darba grupa) secināja</w:t>
            </w:r>
            <w:r w:rsidRPr="00E955AA">
              <w:rPr>
                <w:rStyle w:val="st"/>
                <w:color w:val="222222"/>
              </w:rPr>
              <w:t xml:space="preserve">, </w:t>
            </w:r>
            <w:r w:rsidR="008B0659" w:rsidRPr="008B0659">
              <w:rPr>
                <w:rStyle w:val="st"/>
                <w:color w:val="222222"/>
              </w:rPr>
              <w:t xml:space="preserve">ka visos tajos KL Sevišķās daļas pantos, kad atbildība iestājas, sasniedzot noteiktu mantiska kaitējuma apjomu, ne vienmēr ir nepieciešams atsaukties uz būtisku kaitējumu, bet nepieciešams, kā kvalificējošo pazīmi noteikt – ievērojamu apmēru. Savukārt, visos tajos KL Sevišķās daļas pantos, </w:t>
            </w:r>
            <w:r w:rsidR="008B0659" w:rsidRPr="008B0659">
              <w:rPr>
                <w:rStyle w:val="st"/>
                <w:color w:val="222222"/>
              </w:rPr>
              <w:lastRenderedPageBreak/>
              <w:t>kad atbildība iestājas ne tikai, sasniedzot noteiktu mantiska kaitējuma apjomu, bet kad arī var ievērojami tikt apdraudētas citas ar likumu aizsargātās intereses, ir nosakāma kvalificējoša pazīme – būtisks kaitējums. Ievērojot minēto, ar likumprojektu PKLS 23.</w:t>
            </w:r>
            <w:r w:rsidR="008B0659" w:rsidRPr="008B0659">
              <w:rPr>
                <w:rStyle w:val="st"/>
                <w:color w:val="222222"/>
                <w:vertAlign w:val="superscript"/>
              </w:rPr>
              <w:t>1</w:t>
            </w:r>
            <w:r w:rsidR="008B0659" w:rsidRPr="008B0659">
              <w:rPr>
                <w:rStyle w:val="st"/>
                <w:color w:val="222222"/>
              </w:rPr>
              <w:t>panta pirmajā daļā kā patstāvīga noziedzīga nodarījuma kvalificējošā pazīme tiek definēts – ievērojams apmērs (līdzīgi kā liels apmērs PKLS 20.pantā un neliels apmērs PKLS 22.pantā), tādējādi ļaujot uz to atsaukties kā patstāvīgu noziedzīga nodarījuma kvalificējošo pazīmi KL Sevišķās daļas pantos. Bez tam pašreiz starp nelielu apmēru un lielu apmēru nav noteikts „vidēja” līmeņa apmērs, tas praksē rada problēmas, jo to ne vienmēr spēj aizstāt būtiska kaitējuma kritērijs, kurš balstīts uz citiem noteikšanas principiem. Nosakot PKLS 23.</w:t>
            </w:r>
            <w:r w:rsidR="008B0659" w:rsidRPr="008B0659">
              <w:rPr>
                <w:rStyle w:val="st"/>
                <w:color w:val="222222"/>
                <w:vertAlign w:val="superscript"/>
              </w:rPr>
              <w:t>1</w:t>
            </w:r>
            <w:r w:rsidR="008B0659" w:rsidRPr="008B0659">
              <w:rPr>
                <w:rStyle w:val="st"/>
                <w:color w:val="222222"/>
              </w:rPr>
              <w:t>panta pirmajā daļā jaunu apmēra kritēriju – ievērojams apmērs, minētās pr</w:t>
            </w:r>
            <w:r w:rsidR="008B0659">
              <w:rPr>
                <w:rStyle w:val="st"/>
                <w:color w:val="222222"/>
              </w:rPr>
              <w:t xml:space="preserve">akses problēmas tiks novērstas. </w:t>
            </w:r>
            <w:r w:rsidR="008B0659" w:rsidRPr="008B0659">
              <w:rPr>
                <w:rStyle w:val="st"/>
                <w:color w:val="222222"/>
              </w:rPr>
              <w:t>Ievērojams apmērs būs konstatējams gadījumos, kad nozieguma priekšmeta kopējā vērtība nodarījuma iz</w:t>
            </w:r>
            <w:r w:rsidR="00DA5227">
              <w:rPr>
                <w:rStyle w:val="st"/>
                <w:color w:val="222222"/>
              </w:rPr>
              <w:softHyphen/>
            </w:r>
            <w:r w:rsidR="008B0659" w:rsidRPr="008B0659">
              <w:rPr>
                <w:rStyle w:val="st"/>
                <w:color w:val="222222"/>
              </w:rPr>
              <w:t>da</w:t>
            </w:r>
            <w:r w:rsidR="00DA5227">
              <w:rPr>
                <w:rStyle w:val="st"/>
                <w:color w:val="222222"/>
              </w:rPr>
              <w:softHyphen/>
            </w:r>
            <w:r w:rsidR="008B0659" w:rsidRPr="008B0659">
              <w:rPr>
                <w:rStyle w:val="st"/>
                <w:color w:val="222222"/>
              </w:rPr>
              <w:t>rī</w:t>
            </w:r>
            <w:r w:rsidR="00DA5227">
              <w:rPr>
                <w:rStyle w:val="st"/>
                <w:color w:val="222222"/>
              </w:rPr>
              <w:softHyphen/>
            </w:r>
            <w:r w:rsidR="008B0659" w:rsidRPr="008B0659">
              <w:rPr>
                <w:rStyle w:val="st"/>
                <w:color w:val="222222"/>
              </w:rPr>
              <w:t>šanas brīdī nebūs bijusi mazāka par desmit tai laikā Lat</w:t>
            </w:r>
            <w:r w:rsidR="00DA5227">
              <w:rPr>
                <w:rStyle w:val="st"/>
                <w:color w:val="222222"/>
              </w:rPr>
              <w:softHyphen/>
            </w:r>
            <w:r w:rsidR="008B0659" w:rsidRPr="008B0659">
              <w:rPr>
                <w:rStyle w:val="st"/>
                <w:color w:val="222222"/>
              </w:rPr>
              <w:t>vijas Republikā noteikto minimālo mēnešalgu kopsumm</w:t>
            </w:r>
            <w:r w:rsidR="00DA5227">
              <w:rPr>
                <w:rStyle w:val="st"/>
                <w:color w:val="222222"/>
              </w:rPr>
              <w:t>u</w:t>
            </w:r>
            <w:r w:rsidR="008B0659" w:rsidRPr="008B0659">
              <w:rPr>
                <w:rStyle w:val="st"/>
                <w:color w:val="222222"/>
              </w:rPr>
              <w:t xml:space="preserve">. </w:t>
            </w:r>
          </w:p>
          <w:p w:rsidR="00C4019E" w:rsidRPr="008B0659" w:rsidRDefault="008B0659" w:rsidP="008B0659">
            <w:pPr>
              <w:pStyle w:val="naisc"/>
              <w:spacing w:after="0"/>
              <w:jc w:val="both"/>
              <w:rPr>
                <w:color w:val="222222"/>
              </w:rPr>
            </w:pPr>
            <w:r w:rsidRPr="008B0659">
              <w:rPr>
                <w:rStyle w:val="st"/>
                <w:color w:val="222222"/>
              </w:rPr>
              <w:t>Savukārt, iepriekš PKLS 23.</w:t>
            </w:r>
            <w:r w:rsidRPr="008B0659">
              <w:rPr>
                <w:rStyle w:val="st"/>
                <w:color w:val="222222"/>
                <w:vertAlign w:val="superscript"/>
              </w:rPr>
              <w:t>1</w:t>
            </w:r>
            <w:r w:rsidRPr="008B0659">
              <w:rPr>
                <w:rStyle w:val="st"/>
                <w:color w:val="222222"/>
              </w:rPr>
              <w:t>panta pirmajā daļā noteiktais par alkoholisko dzērienu daudzumu ar priekšlikumu ir ietverts jaunajā PKLS 23.</w:t>
            </w:r>
            <w:r w:rsidRPr="008B0659">
              <w:rPr>
                <w:rStyle w:val="st"/>
                <w:color w:val="222222"/>
                <w:vertAlign w:val="superscript"/>
              </w:rPr>
              <w:t>1</w:t>
            </w:r>
            <w:r w:rsidRPr="008B0659">
              <w:rPr>
                <w:rStyle w:val="st"/>
                <w:color w:val="222222"/>
              </w:rPr>
              <w:t>panta otrajā daļā, vienlaikus attiecīgos alkoholisko dzērienu daudzumus turpmāk pielīdzinot ievērojamam apmēram, nevis būtiskam kaitējumam.</w:t>
            </w:r>
          </w:p>
          <w:p w:rsidR="00E53EDF" w:rsidRPr="00E955AA" w:rsidRDefault="00E53EDF"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53EDF" w:rsidRDefault="00E53EDF"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E955AA">
              <w:rPr>
                <w:rFonts w:ascii="Times New Roman" w:eastAsia="Times New Roman" w:hAnsi="Times New Roman" w:cs="Times New Roman"/>
                <w:color w:val="000000" w:themeColor="text1"/>
                <w:sz w:val="24"/>
                <w:szCs w:val="24"/>
                <w:lang w:eastAsia="lv-LV"/>
              </w:rPr>
              <w:t xml:space="preserve">Pašreiz PKLS 24.panta pirmajā daļā, definējot smagas sekas, ir sniegta norāde uz mantisku zaudējumu lielā apmērā, kas ir pastāvīgs kvalificējošs apstāklis un tiek definēts PKLS 20.pantā. Līdzīgi kā ar likumprojektu PKLS 23.panta pirmajā daļā tiek patstāvīgi definēts mantiska zaudējuma apmērs būtiska kaitējuma gadījumā, tāpat to nepieciešams definēt arī PKLS 24.panta pirmajā daļā smagu seku gadījumā.  Ievērojot minēto, ar likumprojektu </w:t>
            </w:r>
            <w:r w:rsidR="00271D60" w:rsidRPr="00836888">
              <w:rPr>
                <w:rFonts w:ascii="Times New Roman" w:eastAsia="Times New Roman" w:hAnsi="Times New Roman" w:cs="Times New Roman"/>
                <w:color w:val="000000" w:themeColor="text1"/>
                <w:sz w:val="24"/>
                <w:szCs w:val="24"/>
                <w:lang w:eastAsia="lv-LV"/>
              </w:rPr>
              <w:t xml:space="preserve">PKLS </w:t>
            </w:r>
            <w:r w:rsidRPr="00836888">
              <w:rPr>
                <w:rFonts w:ascii="Times New Roman" w:eastAsia="Times New Roman" w:hAnsi="Times New Roman" w:cs="Times New Roman"/>
                <w:color w:val="000000" w:themeColor="text1"/>
                <w:sz w:val="24"/>
                <w:szCs w:val="24"/>
                <w:lang w:eastAsia="lv-LV"/>
              </w:rPr>
              <w:t>24.panta pirmajā daļā vārdi „mantiskais zaudējums lielā apmērā” tiek aizstāti ar vārdiem „nodarīts mantisks zaudējums, kas nodarījuma izdarīšanas brīdī nav bijis mazāks par piecdesmit tai laikā Latvijas Republikā noteikto minimālo mēnešalgu kopsummu”</w:t>
            </w:r>
            <w:r w:rsidRPr="00E955AA">
              <w:rPr>
                <w:rFonts w:ascii="Times New Roman" w:eastAsia="Times New Roman" w:hAnsi="Times New Roman" w:cs="Times New Roman"/>
                <w:color w:val="000000" w:themeColor="text1"/>
                <w:sz w:val="24"/>
                <w:szCs w:val="24"/>
                <w:lang w:eastAsia="lv-LV"/>
              </w:rPr>
              <w:t>.</w:t>
            </w:r>
          </w:p>
          <w:p w:rsidR="00D17BBC" w:rsidRDefault="00D17BBC"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D17BBC" w:rsidRPr="00E955AA" w:rsidRDefault="00AD7342"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AD7342">
              <w:rPr>
                <w:rFonts w:ascii="Times New Roman" w:eastAsia="Times New Roman" w:hAnsi="Times New Roman" w:cs="Times New Roman"/>
                <w:color w:val="000000" w:themeColor="text1"/>
                <w:sz w:val="24"/>
                <w:szCs w:val="24"/>
                <w:lang w:eastAsia="lv-LV"/>
              </w:rPr>
              <w:t xml:space="preserve">ANO </w:t>
            </w:r>
            <w:proofErr w:type="gramStart"/>
            <w:r w:rsidRPr="00AD7342">
              <w:rPr>
                <w:rFonts w:ascii="Times New Roman" w:eastAsia="Times New Roman" w:hAnsi="Times New Roman" w:cs="Times New Roman"/>
                <w:color w:val="000000" w:themeColor="text1"/>
                <w:sz w:val="24"/>
                <w:szCs w:val="24"/>
                <w:lang w:eastAsia="lv-LV"/>
              </w:rPr>
              <w:t>1984.gada</w:t>
            </w:r>
            <w:proofErr w:type="gramEnd"/>
            <w:r w:rsidRPr="00AD7342">
              <w:rPr>
                <w:rFonts w:ascii="Times New Roman" w:eastAsia="Times New Roman" w:hAnsi="Times New Roman" w:cs="Times New Roman"/>
                <w:color w:val="000000" w:themeColor="text1"/>
                <w:sz w:val="24"/>
                <w:szCs w:val="24"/>
                <w:lang w:eastAsia="lv-LV"/>
              </w:rPr>
              <w:t xml:space="preserve"> 10.decembra Konvencijas pret spīdzināšanu un citiem nežēlīgas, necilvēcīgas vai pazemojošas izturēšanās vai sodīšanas veidiem </w:t>
            </w:r>
            <w:r w:rsidR="001B3C60">
              <w:rPr>
                <w:rFonts w:ascii="Times New Roman" w:eastAsia="Times New Roman" w:hAnsi="Times New Roman" w:cs="Times New Roman"/>
                <w:color w:val="000000" w:themeColor="text1"/>
                <w:sz w:val="24"/>
                <w:szCs w:val="24"/>
                <w:lang w:eastAsia="lv-LV"/>
              </w:rPr>
              <w:t>(turpmāk – Konvekcija)</w:t>
            </w:r>
            <w:r w:rsidRPr="00AD7342">
              <w:rPr>
                <w:rFonts w:ascii="Times New Roman" w:eastAsia="Times New Roman" w:hAnsi="Times New Roman" w:cs="Times New Roman"/>
                <w:color w:val="000000" w:themeColor="text1"/>
                <w:sz w:val="24"/>
                <w:szCs w:val="24"/>
                <w:lang w:eastAsia="lv-LV"/>
              </w:rPr>
              <w:t xml:space="preserve">  1.panta 1.punktā </w:t>
            </w:r>
            <w:r>
              <w:rPr>
                <w:rFonts w:ascii="Times New Roman" w:eastAsia="Times New Roman" w:hAnsi="Times New Roman" w:cs="Times New Roman"/>
                <w:color w:val="000000" w:themeColor="text1"/>
                <w:sz w:val="24"/>
                <w:szCs w:val="24"/>
                <w:lang w:eastAsia="lv-LV"/>
              </w:rPr>
              <w:t xml:space="preserve">nosaka, ka </w:t>
            </w:r>
            <w:r w:rsidRPr="00AD7342">
              <w:rPr>
                <w:rFonts w:ascii="Times New Roman" w:eastAsia="Times New Roman" w:hAnsi="Times New Roman" w:cs="Times New Roman"/>
                <w:color w:val="000000" w:themeColor="text1"/>
                <w:sz w:val="24"/>
                <w:szCs w:val="24"/>
                <w:lang w:eastAsia="lv-LV"/>
              </w:rPr>
              <w:t xml:space="preserve">termins "spīdzināšana" nozīmē jebkādu aktu, ar kuru kādai personai tīši tiek nodarītas stipras fiziskas vai garīgas sāpes vai ciešanas, lai no tās </w:t>
            </w:r>
            <w:r w:rsidRPr="00AD7342">
              <w:rPr>
                <w:rFonts w:ascii="Times New Roman" w:eastAsia="Times New Roman" w:hAnsi="Times New Roman" w:cs="Times New Roman"/>
                <w:b/>
                <w:color w:val="000000" w:themeColor="text1"/>
                <w:sz w:val="24"/>
                <w:szCs w:val="24"/>
                <w:lang w:eastAsia="lv-LV"/>
              </w:rPr>
              <w:t>vai no kādas trešās personas</w:t>
            </w:r>
            <w:r w:rsidRPr="00AD7342">
              <w:rPr>
                <w:rFonts w:ascii="Times New Roman" w:eastAsia="Times New Roman" w:hAnsi="Times New Roman" w:cs="Times New Roman"/>
                <w:color w:val="000000" w:themeColor="text1"/>
                <w:sz w:val="24"/>
                <w:szCs w:val="24"/>
                <w:lang w:eastAsia="lv-LV"/>
              </w:rPr>
              <w:t xml:space="preserve"> iegūtu ziņas vai atzīšanos, lai sodītu par kādu darbību, kuru šī persona vai kāda trešā persona veikusi vai par kuras veikšanu šo personu vai kādu trešo personu tur aizdomās, lai šo personu </w:t>
            </w:r>
            <w:r w:rsidRPr="00AD7342">
              <w:rPr>
                <w:rFonts w:ascii="Times New Roman" w:eastAsia="Times New Roman" w:hAnsi="Times New Roman" w:cs="Times New Roman"/>
                <w:b/>
                <w:color w:val="000000" w:themeColor="text1"/>
                <w:sz w:val="24"/>
                <w:szCs w:val="24"/>
                <w:lang w:eastAsia="lv-LV"/>
              </w:rPr>
              <w:t>vai kādu trešo personu</w:t>
            </w:r>
            <w:r w:rsidRPr="00AD7342">
              <w:rPr>
                <w:rFonts w:ascii="Times New Roman" w:eastAsia="Times New Roman" w:hAnsi="Times New Roman" w:cs="Times New Roman"/>
                <w:color w:val="000000" w:themeColor="text1"/>
                <w:sz w:val="24"/>
                <w:szCs w:val="24"/>
                <w:lang w:eastAsia="lv-LV"/>
              </w:rPr>
              <w:t xml:space="preserve"> iebaidītu vai uz šo personu </w:t>
            </w:r>
            <w:r w:rsidRPr="00AD7342">
              <w:rPr>
                <w:rFonts w:ascii="Times New Roman" w:eastAsia="Times New Roman" w:hAnsi="Times New Roman" w:cs="Times New Roman"/>
                <w:b/>
                <w:color w:val="000000" w:themeColor="text1"/>
                <w:sz w:val="24"/>
                <w:szCs w:val="24"/>
                <w:lang w:eastAsia="lv-LV"/>
              </w:rPr>
              <w:t>vai kādu trešo personu</w:t>
            </w:r>
            <w:r w:rsidRPr="00AD7342">
              <w:rPr>
                <w:rFonts w:ascii="Times New Roman" w:eastAsia="Times New Roman" w:hAnsi="Times New Roman" w:cs="Times New Roman"/>
                <w:color w:val="000000" w:themeColor="text1"/>
                <w:sz w:val="24"/>
                <w:szCs w:val="24"/>
                <w:lang w:eastAsia="lv-LV"/>
              </w:rPr>
              <w:t xml:space="preserve"> izdarītu spiedienu vai jebkāda cita iemesla dēļ, kura pamatā ir jebkāda veida diskriminācija, ja šādas sāpes vai ciešanas nodara valsts amatpersona vai kāda cita persona, kas rīkojas kā valsts amatpersona, vai ja </w:t>
            </w:r>
            <w:r w:rsidRPr="00B4626A">
              <w:rPr>
                <w:rFonts w:ascii="Times New Roman" w:eastAsia="Times New Roman" w:hAnsi="Times New Roman" w:cs="Times New Roman"/>
                <w:color w:val="000000" w:themeColor="text1"/>
                <w:sz w:val="24"/>
                <w:szCs w:val="24"/>
                <w:lang w:eastAsia="lv-LV"/>
              </w:rPr>
              <w:t xml:space="preserve">tās tiek nodarītas šādu personu veiktas kūdīšanas dēļ vai ar to tiešu vai netiešu piekrišanu. Šis termins nenozīmē sāpes vai ciešanas, ko rada tikai un vienīgi likumīgas sankcijas, kas ir šādu sankciju daļa vai kas rodas saistībā ar šādām sankcijām. </w:t>
            </w:r>
            <w:r w:rsidR="00D17BBC" w:rsidRPr="00B4626A">
              <w:rPr>
                <w:rFonts w:ascii="Times New Roman" w:eastAsia="Times New Roman" w:hAnsi="Times New Roman" w:cs="Times New Roman"/>
                <w:color w:val="000000" w:themeColor="text1"/>
                <w:sz w:val="24"/>
                <w:szCs w:val="24"/>
                <w:lang w:eastAsia="lv-LV"/>
              </w:rPr>
              <w:t>Likumprojekts paredz papildināt PKLS 24.</w:t>
            </w:r>
            <w:r w:rsidR="00D17BBC" w:rsidRPr="00B4626A">
              <w:rPr>
                <w:rFonts w:ascii="Times New Roman" w:eastAsia="Times New Roman" w:hAnsi="Times New Roman" w:cs="Times New Roman"/>
                <w:color w:val="000000" w:themeColor="text1"/>
                <w:sz w:val="24"/>
                <w:szCs w:val="24"/>
                <w:vertAlign w:val="superscript"/>
                <w:lang w:eastAsia="lv-LV"/>
              </w:rPr>
              <w:t>1</w:t>
            </w:r>
            <w:r w:rsidR="00D17BBC" w:rsidRPr="00B4626A">
              <w:rPr>
                <w:rFonts w:ascii="Times New Roman" w:eastAsia="Times New Roman" w:hAnsi="Times New Roman" w:cs="Times New Roman"/>
                <w:color w:val="000000" w:themeColor="text1"/>
                <w:sz w:val="24"/>
                <w:szCs w:val="24"/>
                <w:lang w:eastAsia="lv-LV"/>
              </w:rPr>
              <w:t xml:space="preserve">pantu pēc vārda „tās” ar vārdiem „vai citas personas”, tādējādi nosakot, ka ar spīdzināšanu saprot arī darbības vai bezdarbības veikšanu, ietekmējot </w:t>
            </w:r>
            <w:r w:rsidR="00D17BBC" w:rsidRPr="00B4626A">
              <w:rPr>
                <w:rFonts w:ascii="Times New Roman" w:eastAsia="Times New Roman" w:hAnsi="Times New Roman" w:cs="Times New Roman"/>
                <w:b/>
                <w:color w:val="000000" w:themeColor="text1"/>
                <w:sz w:val="24"/>
                <w:szCs w:val="24"/>
                <w:u w:val="single"/>
                <w:lang w:eastAsia="lv-LV"/>
              </w:rPr>
              <w:t>ne tikai cietušā, bet arī trešās personas apziņu vai gribu,</w:t>
            </w:r>
            <w:r w:rsidR="00D17BBC" w:rsidRPr="00B4626A">
              <w:rPr>
                <w:rFonts w:ascii="Times New Roman" w:eastAsia="Times New Roman" w:hAnsi="Times New Roman" w:cs="Times New Roman"/>
                <w:color w:val="000000" w:themeColor="text1"/>
                <w:sz w:val="24"/>
                <w:szCs w:val="24"/>
                <w:lang w:eastAsia="lv-LV"/>
              </w:rPr>
              <w:t xml:space="preserve"> kas atbilst ANO </w:t>
            </w:r>
            <w:proofErr w:type="gramStart"/>
            <w:r w:rsidR="00D17BBC" w:rsidRPr="00B4626A">
              <w:rPr>
                <w:rFonts w:ascii="Times New Roman" w:eastAsia="Times New Roman" w:hAnsi="Times New Roman" w:cs="Times New Roman"/>
                <w:color w:val="000000" w:themeColor="text1"/>
                <w:sz w:val="24"/>
                <w:szCs w:val="24"/>
                <w:lang w:eastAsia="lv-LV"/>
              </w:rPr>
              <w:t>1984.gada</w:t>
            </w:r>
            <w:proofErr w:type="gramEnd"/>
            <w:r w:rsidR="00D17BBC" w:rsidRPr="00B4626A">
              <w:rPr>
                <w:rFonts w:ascii="Times New Roman" w:eastAsia="Times New Roman" w:hAnsi="Times New Roman" w:cs="Times New Roman"/>
                <w:color w:val="000000" w:themeColor="text1"/>
                <w:sz w:val="24"/>
                <w:szCs w:val="24"/>
                <w:lang w:eastAsia="lv-LV"/>
              </w:rPr>
              <w:t xml:space="preserve"> 10.decembra Konvencijas pret spīdzināšanu un citiem nežēlīgas, necilvēcīgas vai pazemojošas izturēšanās vai sodīšanas veidiem </w:t>
            </w:r>
            <w:r w:rsidR="001B3C60" w:rsidRPr="00B4626A">
              <w:rPr>
                <w:rFonts w:ascii="Times New Roman" w:eastAsia="Times New Roman" w:hAnsi="Times New Roman" w:cs="Times New Roman"/>
                <w:color w:val="000000" w:themeColor="text1"/>
                <w:sz w:val="24"/>
                <w:szCs w:val="24"/>
                <w:lang w:eastAsia="lv-LV"/>
              </w:rPr>
              <w:t xml:space="preserve">Konvencijas </w:t>
            </w:r>
            <w:r w:rsidR="00D17BBC" w:rsidRPr="00B4626A">
              <w:rPr>
                <w:rFonts w:ascii="Times New Roman" w:eastAsia="Times New Roman" w:hAnsi="Times New Roman" w:cs="Times New Roman"/>
                <w:color w:val="000000" w:themeColor="text1"/>
                <w:sz w:val="24"/>
                <w:szCs w:val="24"/>
                <w:lang w:eastAsia="lv-LV"/>
              </w:rPr>
              <w:t>1.panta 1.punktā noteiktajam.</w:t>
            </w:r>
            <w:r w:rsidRPr="00B4626A">
              <w:rPr>
                <w:rFonts w:ascii="Times New Roman" w:eastAsia="Times New Roman" w:hAnsi="Times New Roman" w:cs="Times New Roman"/>
                <w:color w:val="000000" w:themeColor="text1"/>
                <w:sz w:val="24"/>
                <w:szCs w:val="24"/>
                <w:lang w:eastAsia="lv-LV"/>
              </w:rPr>
              <w:t xml:space="preserve"> Savukārt</w:t>
            </w:r>
            <w:r w:rsidR="00103BA0" w:rsidRPr="00B4626A">
              <w:rPr>
                <w:rFonts w:ascii="Times New Roman" w:eastAsia="Times New Roman" w:hAnsi="Times New Roman" w:cs="Times New Roman"/>
                <w:color w:val="000000" w:themeColor="text1"/>
                <w:sz w:val="24"/>
                <w:szCs w:val="24"/>
                <w:lang w:eastAsia="lv-LV"/>
              </w:rPr>
              <w:t xml:space="preserve"> valsts amatpersonām </w:t>
            </w:r>
            <w:r w:rsidR="00F86B8E" w:rsidRPr="00B4626A">
              <w:rPr>
                <w:rFonts w:ascii="Times New Roman" w:eastAsia="Times New Roman" w:hAnsi="Times New Roman" w:cs="Times New Roman"/>
                <w:color w:val="000000" w:themeColor="text1"/>
                <w:sz w:val="24"/>
                <w:szCs w:val="24"/>
                <w:lang w:eastAsia="lv-LV"/>
              </w:rPr>
              <w:t xml:space="preserve">kriminālatbildība </w:t>
            </w:r>
            <w:r w:rsidR="00103BA0" w:rsidRPr="00B4626A">
              <w:rPr>
                <w:rFonts w:ascii="Times New Roman" w:eastAsia="Times New Roman" w:hAnsi="Times New Roman" w:cs="Times New Roman"/>
                <w:color w:val="000000" w:themeColor="text1"/>
                <w:sz w:val="24"/>
                <w:szCs w:val="24"/>
                <w:lang w:eastAsia="lv-LV"/>
              </w:rPr>
              <w:t>par darbībām, kas saistīta</w:t>
            </w:r>
            <w:r w:rsidR="00B4626A">
              <w:rPr>
                <w:rFonts w:ascii="Times New Roman" w:eastAsia="Times New Roman" w:hAnsi="Times New Roman" w:cs="Times New Roman"/>
                <w:color w:val="000000" w:themeColor="text1"/>
                <w:sz w:val="24"/>
                <w:szCs w:val="24"/>
                <w:lang w:eastAsia="lv-LV"/>
              </w:rPr>
              <w:t>s</w:t>
            </w:r>
            <w:r w:rsidR="00103BA0" w:rsidRPr="00B4626A">
              <w:rPr>
                <w:rFonts w:ascii="Times New Roman" w:eastAsia="Times New Roman" w:hAnsi="Times New Roman" w:cs="Times New Roman"/>
                <w:color w:val="000000" w:themeColor="text1"/>
                <w:sz w:val="24"/>
                <w:szCs w:val="24"/>
                <w:lang w:eastAsia="lv-LV"/>
              </w:rPr>
              <w:t xml:space="preserve"> ar spīdzināšanu, jau ir paredzēta KL</w:t>
            </w:r>
            <w:r w:rsidR="00103BA0" w:rsidRPr="00B4626A">
              <w:t xml:space="preserve"> </w:t>
            </w:r>
            <w:r w:rsidR="00103BA0" w:rsidRPr="00B4626A">
              <w:rPr>
                <w:rFonts w:ascii="Times New Roman" w:eastAsia="Times New Roman" w:hAnsi="Times New Roman" w:cs="Times New Roman"/>
                <w:color w:val="000000" w:themeColor="text1"/>
                <w:sz w:val="24"/>
                <w:szCs w:val="24"/>
                <w:lang w:eastAsia="lv-LV"/>
              </w:rPr>
              <w:t>272.</w:t>
            </w:r>
            <w:r w:rsidR="00103BA0" w:rsidRPr="00B4626A">
              <w:rPr>
                <w:rFonts w:ascii="Times New Roman" w:eastAsia="Times New Roman" w:hAnsi="Times New Roman" w:cs="Times New Roman"/>
                <w:color w:val="000000" w:themeColor="text1"/>
                <w:sz w:val="24"/>
                <w:szCs w:val="24"/>
                <w:vertAlign w:val="superscript"/>
                <w:lang w:eastAsia="lv-LV"/>
              </w:rPr>
              <w:t>1</w:t>
            </w:r>
            <w:r w:rsidR="00103BA0" w:rsidRPr="00B4626A">
              <w:rPr>
                <w:rFonts w:ascii="Times New Roman" w:eastAsia="Times New Roman" w:hAnsi="Times New Roman" w:cs="Times New Roman"/>
                <w:color w:val="000000" w:themeColor="text1"/>
                <w:sz w:val="24"/>
                <w:szCs w:val="24"/>
                <w:lang w:eastAsia="lv-LV"/>
              </w:rPr>
              <w:t>panta trešajā daļā, 249.panta otrajā daļā, 301.panta trešajā daļā</w:t>
            </w:r>
            <w:r w:rsidR="003B77D6" w:rsidRPr="00B4626A">
              <w:rPr>
                <w:rFonts w:ascii="Times New Roman" w:eastAsia="Times New Roman" w:hAnsi="Times New Roman" w:cs="Times New Roman"/>
                <w:color w:val="000000" w:themeColor="text1"/>
                <w:sz w:val="24"/>
                <w:szCs w:val="24"/>
                <w:lang w:eastAsia="lv-LV"/>
              </w:rPr>
              <w:t xml:space="preserve"> un</w:t>
            </w:r>
            <w:r w:rsidR="00103BA0" w:rsidRPr="00B4626A">
              <w:rPr>
                <w:rFonts w:ascii="Times New Roman" w:eastAsia="Times New Roman" w:hAnsi="Times New Roman" w:cs="Times New Roman"/>
                <w:color w:val="000000" w:themeColor="text1"/>
                <w:sz w:val="24"/>
                <w:szCs w:val="24"/>
                <w:lang w:eastAsia="lv-LV"/>
              </w:rPr>
              <w:t xml:space="preserve"> 317.panta trešajā daļā.</w:t>
            </w:r>
            <w:r w:rsidR="00F86B8E">
              <w:rPr>
                <w:rFonts w:ascii="Times New Roman" w:eastAsia="Times New Roman" w:hAnsi="Times New Roman" w:cs="Times New Roman"/>
                <w:color w:val="000000" w:themeColor="text1"/>
                <w:sz w:val="24"/>
                <w:szCs w:val="24"/>
                <w:lang w:eastAsia="lv-LV"/>
              </w:rPr>
              <w:t xml:space="preserve"> </w:t>
            </w:r>
          </w:p>
          <w:p w:rsidR="00271D60" w:rsidRPr="00E955AA" w:rsidRDefault="00271D60"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6C26B3" w:rsidRPr="00DA4C6A" w:rsidRDefault="00D324B1" w:rsidP="00DA4C6A">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836888">
              <w:rPr>
                <w:rFonts w:ascii="Times New Roman" w:eastAsia="Times New Roman" w:hAnsi="Times New Roman" w:cs="Times New Roman"/>
                <w:color w:val="000000" w:themeColor="text1"/>
                <w:sz w:val="24"/>
                <w:szCs w:val="24"/>
                <w:lang w:eastAsia="lv-LV"/>
              </w:rPr>
              <w:t>D</w:t>
            </w:r>
            <w:r w:rsidR="00271D60" w:rsidRPr="00836888">
              <w:rPr>
                <w:rFonts w:ascii="Times New Roman" w:eastAsia="Times New Roman" w:hAnsi="Times New Roman" w:cs="Times New Roman"/>
                <w:color w:val="000000" w:themeColor="text1"/>
                <w:sz w:val="24"/>
                <w:szCs w:val="24"/>
                <w:lang w:eastAsia="lv-LV"/>
              </w:rPr>
              <w:t>irektīva 2008/99/EK</w:t>
            </w:r>
            <w:r w:rsidR="00271D60" w:rsidRPr="00E955AA">
              <w:rPr>
                <w:rFonts w:ascii="Times New Roman" w:eastAsia="Times New Roman" w:hAnsi="Times New Roman" w:cs="Times New Roman"/>
                <w:color w:val="000000" w:themeColor="text1"/>
                <w:sz w:val="24"/>
                <w:szCs w:val="24"/>
                <w:lang w:eastAsia="lv-LV"/>
              </w:rPr>
              <w:t xml:space="preserve"> ir </w:t>
            </w:r>
            <w:r w:rsidR="00F44F89" w:rsidRPr="00E955AA">
              <w:rPr>
                <w:rFonts w:ascii="Times New Roman" w:eastAsia="Times New Roman" w:hAnsi="Times New Roman" w:cs="Times New Roman"/>
                <w:color w:val="000000" w:themeColor="text1"/>
                <w:sz w:val="24"/>
                <w:szCs w:val="24"/>
                <w:lang w:eastAsia="lv-LV"/>
              </w:rPr>
              <w:t>ieviesta ar 2010.gada 21.oktobra grozījumiem KL</w:t>
            </w:r>
            <w:r w:rsidR="00271D60" w:rsidRPr="00E955AA">
              <w:rPr>
                <w:rFonts w:ascii="Times New Roman" w:eastAsia="Times New Roman" w:hAnsi="Times New Roman" w:cs="Times New Roman"/>
                <w:color w:val="000000" w:themeColor="text1"/>
                <w:sz w:val="24"/>
                <w:szCs w:val="24"/>
                <w:lang w:eastAsia="lv-LV"/>
              </w:rPr>
              <w:t>. Direktīvas 2008/99/EK atsevišķās normās ir paredzēta kvalificējoša pazīme – nodarīts kaitējums cilvēka veselībai. Direktīvas 2008/99/EK normas ir pārņemtas KL pantos, kur</w:t>
            </w:r>
            <w:r w:rsidRPr="00E955AA">
              <w:rPr>
                <w:rFonts w:ascii="Times New Roman" w:eastAsia="Times New Roman" w:hAnsi="Times New Roman" w:cs="Times New Roman"/>
                <w:color w:val="000000" w:themeColor="text1"/>
                <w:sz w:val="24"/>
                <w:szCs w:val="24"/>
                <w:lang w:eastAsia="lv-LV"/>
              </w:rPr>
              <w:t>os</w:t>
            </w:r>
            <w:r w:rsidR="00271D60" w:rsidRPr="00E955AA">
              <w:rPr>
                <w:rFonts w:ascii="Times New Roman" w:eastAsia="Times New Roman" w:hAnsi="Times New Roman" w:cs="Times New Roman"/>
                <w:color w:val="000000" w:themeColor="text1"/>
                <w:sz w:val="24"/>
                <w:szCs w:val="24"/>
                <w:lang w:eastAsia="lv-LV"/>
              </w:rPr>
              <w:t xml:space="preserve"> kā kvalificēj</w:t>
            </w:r>
            <w:r w:rsidRPr="00E955AA">
              <w:rPr>
                <w:rFonts w:ascii="Times New Roman" w:eastAsia="Times New Roman" w:hAnsi="Times New Roman" w:cs="Times New Roman"/>
                <w:color w:val="000000" w:themeColor="text1"/>
                <w:sz w:val="24"/>
                <w:szCs w:val="24"/>
                <w:lang w:eastAsia="lv-LV"/>
              </w:rPr>
              <w:t>oša pazīme ir paredzēta</w:t>
            </w:r>
            <w:r w:rsidR="008C7E86" w:rsidRPr="00E955AA">
              <w:rPr>
                <w:rFonts w:ascii="Times New Roman" w:eastAsia="Times New Roman" w:hAnsi="Times New Roman" w:cs="Times New Roman"/>
                <w:color w:val="000000" w:themeColor="text1"/>
                <w:sz w:val="24"/>
                <w:szCs w:val="24"/>
                <w:lang w:eastAsia="lv-LV"/>
              </w:rPr>
              <w:t>s</w:t>
            </w:r>
            <w:r w:rsidRPr="00E955AA">
              <w:rPr>
                <w:rFonts w:ascii="Times New Roman" w:eastAsia="Times New Roman" w:hAnsi="Times New Roman" w:cs="Times New Roman"/>
                <w:color w:val="000000" w:themeColor="text1"/>
                <w:sz w:val="24"/>
                <w:szCs w:val="24"/>
                <w:lang w:eastAsia="lv-LV"/>
              </w:rPr>
              <w:t xml:space="preserve"> </w:t>
            </w:r>
            <w:r w:rsidR="00271D60" w:rsidRPr="00E955AA">
              <w:rPr>
                <w:rFonts w:ascii="Times New Roman" w:eastAsia="Times New Roman" w:hAnsi="Times New Roman" w:cs="Times New Roman"/>
                <w:color w:val="000000" w:themeColor="text1"/>
                <w:sz w:val="24"/>
                <w:szCs w:val="24"/>
                <w:lang w:eastAsia="lv-LV"/>
              </w:rPr>
              <w:t xml:space="preserve">smagas sekas. Ņemot vērā to, ka PKLS skaidro, kas ir smagas sekas, </w:t>
            </w:r>
            <w:r w:rsidR="00F44F89" w:rsidRPr="00E955AA">
              <w:rPr>
                <w:rFonts w:ascii="Times New Roman" w:eastAsia="Times New Roman" w:hAnsi="Times New Roman" w:cs="Times New Roman"/>
                <w:color w:val="000000" w:themeColor="text1"/>
                <w:sz w:val="24"/>
                <w:szCs w:val="24"/>
                <w:lang w:eastAsia="lv-LV"/>
              </w:rPr>
              <w:t>ar likumprojektu tiek sniegta informatīvā atsauce uz Direktīvu 2008/99/EK, lai Latvija varētu paziņot</w:t>
            </w:r>
            <w:r w:rsidRPr="00E955AA">
              <w:rPr>
                <w:rFonts w:ascii="Times New Roman" w:eastAsia="Times New Roman" w:hAnsi="Times New Roman" w:cs="Times New Roman"/>
                <w:color w:val="000000" w:themeColor="text1"/>
                <w:sz w:val="24"/>
                <w:szCs w:val="24"/>
                <w:lang w:eastAsia="lv-LV"/>
              </w:rPr>
              <w:t xml:space="preserve"> Eiropas Komisijai un Padomei</w:t>
            </w:r>
            <w:r w:rsidR="00271D60" w:rsidRPr="00E955AA">
              <w:rPr>
                <w:rFonts w:ascii="Times New Roman" w:eastAsia="Times New Roman" w:hAnsi="Times New Roman" w:cs="Times New Roman"/>
                <w:color w:val="000000" w:themeColor="text1"/>
                <w:sz w:val="24"/>
                <w:szCs w:val="24"/>
                <w:lang w:eastAsia="lv-LV"/>
              </w:rPr>
              <w:t xml:space="preserve">, ka Direktīvas 2008/99/EK normas ir </w:t>
            </w:r>
            <w:r w:rsidR="00652854" w:rsidRPr="00E955AA">
              <w:rPr>
                <w:rFonts w:ascii="Times New Roman" w:eastAsia="Times New Roman" w:hAnsi="Times New Roman" w:cs="Times New Roman"/>
                <w:color w:val="000000" w:themeColor="text1"/>
                <w:sz w:val="24"/>
                <w:szCs w:val="24"/>
                <w:lang w:eastAsia="lv-LV"/>
              </w:rPr>
              <w:t>pārņemtas</w:t>
            </w:r>
            <w:r w:rsidR="00AC1253" w:rsidRPr="00E955AA">
              <w:rPr>
                <w:rFonts w:ascii="Times New Roman" w:eastAsia="Times New Roman" w:hAnsi="Times New Roman" w:cs="Times New Roman"/>
                <w:color w:val="000000" w:themeColor="text1"/>
                <w:sz w:val="24"/>
                <w:szCs w:val="24"/>
                <w:lang w:eastAsia="lv-LV"/>
              </w:rPr>
              <w:t xml:space="preserve"> arī</w:t>
            </w:r>
            <w:r w:rsidR="00271D60" w:rsidRPr="00E955AA">
              <w:rPr>
                <w:rFonts w:ascii="Times New Roman" w:eastAsia="Times New Roman" w:hAnsi="Times New Roman" w:cs="Times New Roman"/>
                <w:color w:val="000000" w:themeColor="text1"/>
                <w:sz w:val="24"/>
                <w:szCs w:val="24"/>
                <w:lang w:eastAsia="lv-LV"/>
              </w:rPr>
              <w:t xml:space="preserve"> </w:t>
            </w:r>
            <w:r w:rsidR="00652854" w:rsidRPr="00E955AA">
              <w:rPr>
                <w:rFonts w:ascii="Times New Roman" w:eastAsia="Times New Roman" w:hAnsi="Times New Roman" w:cs="Times New Roman"/>
                <w:color w:val="000000" w:themeColor="text1"/>
                <w:sz w:val="24"/>
                <w:szCs w:val="24"/>
                <w:lang w:eastAsia="lv-LV"/>
              </w:rPr>
              <w:t>ar</w:t>
            </w:r>
            <w:r w:rsidR="00271D60" w:rsidRPr="00E955AA">
              <w:rPr>
                <w:rFonts w:ascii="Times New Roman" w:eastAsia="Times New Roman" w:hAnsi="Times New Roman" w:cs="Times New Roman"/>
                <w:color w:val="000000" w:themeColor="text1"/>
                <w:sz w:val="24"/>
                <w:szCs w:val="24"/>
                <w:lang w:eastAsia="lv-LV"/>
              </w:rPr>
              <w:t xml:space="preserve"> </w:t>
            </w:r>
            <w:r w:rsidRPr="00E955AA">
              <w:rPr>
                <w:rFonts w:ascii="Times New Roman" w:eastAsia="Times New Roman" w:hAnsi="Times New Roman" w:cs="Times New Roman"/>
                <w:color w:val="000000" w:themeColor="text1"/>
                <w:sz w:val="24"/>
                <w:szCs w:val="24"/>
                <w:lang w:eastAsia="lv-LV"/>
              </w:rPr>
              <w:t>PKLS</w:t>
            </w:r>
            <w:r w:rsidR="00271D60" w:rsidRPr="00E955AA">
              <w:rPr>
                <w:rFonts w:ascii="Times New Roman" w:eastAsia="Times New Roman" w:hAnsi="Times New Roman" w:cs="Times New Roman"/>
                <w:color w:val="000000" w:themeColor="text1"/>
                <w:sz w:val="24"/>
                <w:szCs w:val="24"/>
                <w:lang w:eastAsia="lv-LV"/>
              </w:rPr>
              <w:t xml:space="preserve">. </w:t>
            </w:r>
          </w:p>
        </w:tc>
      </w:tr>
      <w:tr w:rsidR="00BF6851" w:rsidRPr="00E955AA" w:rsidTr="000206A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955AA" w:rsidRDefault="00B20C89" w:rsidP="006B7E76">
            <w:pPr>
              <w:spacing w:after="0" w:line="240" w:lineRule="auto"/>
              <w:jc w:val="both"/>
              <w:rPr>
                <w:rFonts w:ascii="Times New Roman" w:eastAsia="Times New Roman" w:hAnsi="Times New Roman" w:cs="Times New Roman"/>
                <w:color w:val="000000" w:themeColor="text1"/>
                <w:sz w:val="24"/>
                <w:szCs w:val="24"/>
                <w:lang w:eastAsia="lv-LV"/>
              </w:rPr>
            </w:pPr>
            <w:r w:rsidRPr="00E955AA">
              <w:rPr>
                <w:rFonts w:ascii="Times New Roman" w:eastAsia="Times New Roman" w:hAnsi="Times New Roman" w:cs="Times New Roman"/>
                <w:color w:val="000000" w:themeColor="text1"/>
                <w:sz w:val="24"/>
                <w:szCs w:val="24"/>
                <w:lang w:eastAsia="lv-LV"/>
              </w:rPr>
              <w:t xml:space="preserve">Grozījumi izstrādāti Tieslietu ministrijā izveidotajā pastāvīgajā Krimināllikuma darba grupā (izveidota ar Tieslietu ministra </w:t>
            </w:r>
            <w:proofErr w:type="gramStart"/>
            <w:r w:rsidRPr="00E955AA">
              <w:rPr>
                <w:rFonts w:ascii="Times New Roman" w:eastAsia="Times New Roman" w:hAnsi="Times New Roman" w:cs="Times New Roman"/>
                <w:color w:val="000000" w:themeColor="text1"/>
                <w:sz w:val="24"/>
                <w:szCs w:val="24"/>
                <w:lang w:eastAsia="lv-LV"/>
              </w:rPr>
              <w:t>2008.gada</w:t>
            </w:r>
            <w:proofErr w:type="gramEnd"/>
            <w:r w:rsidRPr="00E955AA">
              <w:rPr>
                <w:rFonts w:ascii="Times New Roman" w:eastAsia="Times New Roman" w:hAnsi="Times New Roman" w:cs="Times New Roman"/>
                <w:color w:val="000000" w:themeColor="text1"/>
                <w:sz w:val="24"/>
                <w:szCs w:val="24"/>
                <w:lang w:eastAsia="lv-LV"/>
              </w:rPr>
              <w:t xml:space="preserve"> 28.marta rīkojumu Nr.1-1/150), kurā piedalās pārstāvji no Ģenerālprokuratūras, Augstākās tiesas, Rīgas apgabaltiesas, Iekšlietu ministrijas, Valsts policijas, Latvijas Universitātes </w:t>
            </w:r>
            <w:r w:rsidR="006B7E76">
              <w:rPr>
                <w:rFonts w:ascii="Times New Roman" w:eastAsia="Times New Roman" w:hAnsi="Times New Roman" w:cs="Times New Roman"/>
                <w:color w:val="000000" w:themeColor="text1"/>
                <w:sz w:val="24"/>
                <w:szCs w:val="24"/>
                <w:lang w:eastAsia="lv-LV"/>
              </w:rPr>
              <w:t xml:space="preserve">Juridiskās fakultātes </w:t>
            </w:r>
            <w:r w:rsidR="006B7E76" w:rsidRPr="00E955AA">
              <w:rPr>
                <w:rFonts w:ascii="Times New Roman" w:eastAsia="Times New Roman" w:hAnsi="Times New Roman" w:cs="Times New Roman"/>
                <w:color w:val="000000" w:themeColor="text1"/>
                <w:sz w:val="24"/>
                <w:szCs w:val="24"/>
                <w:lang w:eastAsia="lv-LV"/>
              </w:rPr>
              <w:t>Kriminālties</w:t>
            </w:r>
            <w:r w:rsidR="006B7E76">
              <w:rPr>
                <w:rFonts w:ascii="Times New Roman" w:eastAsia="Times New Roman" w:hAnsi="Times New Roman" w:cs="Times New Roman"/>
                <w:color w:val="000000" w:themeColor="text1"/>
                <w:sz w:val="24"/>
                <w:szCs w:val="24"/>
                <w:lang w:eastAsia="lv-LV"/>
              </w:rPr>
              <w:t>isko zinātņu</w:t>
            </w:r>
            <w:r w:rsidR="006B7E76" w:rsidRPr="00E955AA">
              <w:rPr>
                <w:rFonts w:ascii="Times New Roman" w:eastAsia="Times New Roman" w:hAnsi="Times New Roman" w:cs="Times New Roman"/>
                <w:color w:val="000000" w:themeColor="text1"/>
                <w:sz w:val="24"/>
                <w:szCs w:val="24"/>
                <w:lang w:eastAsia="lv-LV"/>
              </w:rPr>
              <w:t xml:space="preserve"> </w:t>
            </w:r>
            <w:r w:rsidRPr="00E955AA">
              <w:rPr>
                <w:rFonts w:ascii="Times New Roman" w:eastAsia="Times New Roman" w:hAnsi="Times New Roman" w:cs="Times New Roman"/>
                <w:color w:val="000000" w:themeColor="text1"/>
                <w:sz w:val="24"/>
                <w:szCs w:val="24"/>
                <w:lang w:eastAsia="lv-LV"/>
              </w:rPr>
              <w:t xml:space="preserve">katedras, Latvijas Zvērinātu Advokātu padomes, Sabiedriskās politikas </w:t>
            </w:r>
            <w:r w:rsidR="006B7E76" w:rsidRPr="00E955AA">
              <w:rPr>
                <w:rFonts w:ascii="Times New Roman" w:eastAsia="Times New Roman" w:hAnsi="Times New Roman" w:cs="Times New Roman"/>
                <w:color w:val="000000" w:themeColor="text1"/>
                <w:sz w:val="24"/>
                <w:szCs w:val="24"/>
                <w:lang w:eastAsia="lv-LV"/>
              </w:rPr>
              <w:t>centr</w:t>
            </w:r>
            <w:r w:rsidR="006B7E76">
              <w:rPr>
                <w:rFonts w:ascii="Times New Roman" w:eastAsia="Times New Roman" w:hAnsi="Times New Roman" w:cs="Times New Roman"/>
                <w:color w:val="000000" w:themeColor="text1"/>
                <w:sz w:val="24"/>
                <w:szCs w:val="24"/>
                <w:lang w:eastAsia="lv-LV"/>
              </w:rPr>
              <w:t>a</w:t>
            </w:r>
            <w:r w:rsidR="006B7E76" w:rsidRPr="00E955AA">
              <w:rPr>
                <w:rFonts w:ascii="Times New Roman" w:eastAsia="Times New Roman" w:hAnsi="Times New Roman" w:cs="Times New Roman"/>
                <w:color w:val="000000" w:themeColor="text1"/>
                <w:sz w:val="24"/>
                <w:szCs w:val="24"/>
                <w:lang w:eastAsia="lv-LV"/>
              </w:rPr>
              <w:t xml:space="preserve"> </w:t>
            </w:r>
            <w:r w:rsidRPr="00E955AA">
              <w:rPr>
                <w:rFonts w:ascii="Times New Roman" w:eastAsia="Times New Roman" w:hAnsi="Times New Roman" w:cs="Times New Roman"/>
                <w:color w:val="000000" w:themeColor="text1"/>
                <w:sz w:val="24"/>
                <w:szCs w:val="24"/>
                <w:lang w:eastAsia="lv-LV"/>
              </w:rPr>
              <w:t xml:space="preserve">PROVIDUS. </w:t>
            </w:r>
          </w:p>
        </w:tc>
      </w:tr>
      <w:tr w:rsidR="00BF6851" w:rsidRPr="00BF6851" w:rsidTr="000206AE">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0E0750" w:rsidP="000E0750">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Nav</w:t>
            </w:r>
            <w:r w:rsidR="006B7E76">
              <w:rPr>
                <w:rFonts w:ascii="Times New Roman" w:eastAsia="Times New Roman" w:hAnsi="Times New Roman" w:cs="Times New Roman"/>
                <w:color w:val="000000" w:themeColor="text1"/>
                <w:sz w:val="24"/>
                <w:szCs w:val="24"/>
                <w:lang w:eastAsia="lv-LV"/>
              </w:rPr>
              <w:t>.</w:t>
            </w:r>
          </w:p>
        </w:tc>
      </w:tr>
      <w:tr w:rsidR="005D4E8A" w:rsidRPr="00BF6851" w:rsidTr="000206AE">
        <w:trPr>
          <w:trHeight w:val="128"/>
        </w:trPr>
        <w:tc>
          <w:tcPr>
            <w:tcW w:w="5000" w:type="pct"/>
            <w:gridSpan w:val="3"/>
            <w:tcBorders>
              <w:top w:val="outset" w:sz="6" w:space="0" w:color="414142"/>
              <w:left w:val="nil"/>
              <w:bottom w:val="outset" w:sz="6" w:space="0" w:color="414142"/>
              <w:right w:val="nil"/>
            </w:tcBorders>
          </w:tcPr>
          <w:p w:rsidR="007735CB" w:rsidRDefault="0081203F" w:rsidP="0081203F">
            <w:pPr>
              <w:tabs>
                <w:tab w:val="left" w:pos="990"/>
              </w:tabs>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ab/>
            </w:r>
          </w:p>
          <w:p w:rsidR="00AD3E96" w:rsidRPr="00BF6851" w:rsidRDefault="00AD3E96" w:rsidP="0081203F">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bl>
    <w:p w:rsidR="004D15A9" w:rsidRPr="00BF6851"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F6851" w:rsidRPr="00BF6851"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F6851" w:rsidRDefault="004D15A9" w:rsidP="00B17096">
            <w:pPr>
              <w:spacing w:after="0" w:line="240" w:lineRule="auto"/>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BF6851" w:rsidRPr="00BF685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BF6851" w:rsidP="00B17096">
            <w:pPr>
              <w:pStyle w:val="naiskr"/>
              <w:spacing w:before="0" w:after="0"/>
              <w:jc w:val="both"/>
              <w:rPr>
                <w:iCs/>
                <w:color w:val="000000" w:themeColor="text1"/>
              </w:rPr>
            </w:pPr>
            <w:r w:rsidRPr="00BF6851">
              <w:rPr>
                <w:iCs/>
                <w:color w:val="000000" w:themeColor="text1"/>
              </w:rPr>
              <w:t>Ar likumprojektu tiek mainīt</w:t>
            </w:r>
            <w:r w:rsidR="00CA11BC">
              <w:rPr>
                <w:iCs/>
                <w:color w:val="000000" w:themeColor="text1"/>
              </w:rPr>
              <w:t>i</w:t>
            </w:r>
            <w:r w:rsidRPr="00BF6851">
              <w:rPr>
                <w:iCs/>
                <w:color w:val="000000" w:themeColor="text1"/>
              </w:rPr>
              <w:t xml:space="preserve"> </w:t>
            </w:r>
            <w:r w:rsidR="00CA11BC">
              <w:rPr>
                <w:iCs/>
                <w:color w:val="000000" w:themeColor="text1"/>
              </w:rPr>
              <w:t>līdzšinējie būtiska kaitējuma konstatēšanas kritēriji, kas ietekmēs noziedzīgu nodarījumu kvalifikāciju tām personām, kas izdara likumpārkāpumus.</w:t>
            </w:r>
          </w:p>
        </w:tc>
      </w:tr>
      <w:tr w:rsidR="00BF6851" w:rsidRPr="00BF6851"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BF6851" w:rsidP="00BF6851">
            <w:pPr>
              <w:spacing w:after="0" w:line="240" w:lineRule="auto"/>
              <w:jc w:val="both"/>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 xml:space="preserve">Sabiedrības grupām un institūcijām </w:t>
            </w:r>
            <w:r w:rsidR="00DA5227">
              <w:rPr>
                <w:rFonts w:ascii="Times New Roman" w:eastAsia="Times New Roman" w:hAnsi="Times New Roman" w:cs="Times New Roman"/>
                <w:color w:val="000000" w:themeColor="text1"/>
                <w:sz w:val="24"/>
                <w:szCs w:val="24"/>
                <w:lang w:eastAsia="lv-LV"/>
              </w:rPr>
              <w:t>likum</w:t>
            </w:r>
            <w:r w:rsidRPr="00BF6851">
              <w:rPr>
                <w:rFonts w:ascii="Times New Roman" w:eastAsia="Times New Roman" w:hAnsi="Times New Roman" w:cs="Times New Roman"/>
                <w:color w:val="000000" w:themeColor="text1"/>
                <w:sz w:val="24"/>
                <w:szCs w:val="24"/>
                <w:lang w:eastAsia="lv-LV"/>
              </w:rPr>
              <w:t>projekta tiesiskais regulējums nemaina tiesības un pienākumus, kā arī veicamās darbības</w:t>
            </w:r>
            <w:r w:rsidR="00BC11AF">
              <w:rPr>
                <w:rFonts w:ascii="Times New Roman" w:eastAsia="Times New Roman" w:hAnsi="Times New Roman" w:cs="Times New Roman"/>
                <w:color w:val="000000" w:themeColor="text1"/>
                <w:sz w:val="24"/>
                <w:szCs w:val="24"/>
                <w:lang w:eastAsia="lv-LV"/>
              </w:rPr>
              <w:t>.</w:t>
            </w:r>
          </w:p>
        </w:tc>
      </w:tr>
      <w:tr w:rsidR="00BF6851" w:rsidRPr="00BF6851"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836888" w:rsidP="00DA596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6B7E76">
              <w:rPr>
                <w:rFonts w:ascii="Times New Roman" w:eastAsia="Times New Roman" w:hAnsi="Times New Roman" w:cs="Times New Roman"/>
                <w:color w:val="000000" w:themeColor="text1"/>
                <w:sz w:val="24"/>
                <w:szCs w:val="24"/>
                <w:lang w:eastAsia="lv-LV"/>
              </w:rPr>
              <w:t>.</w:t>
            </w:r>
          </w:p>
        </w:tc>
      </w:tr>
      <w:tr w:rsidR="00BF6851" w:rsidRPr="00BF6851"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F6851" w:rsidRDefault="00BF6851" w:rsidP="00BF685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6B7E76">
              <w:rPr>
                <w:rFonts w:ascii="Times New Roman" w:eastAsia="Times New Roman" w:hAnsi="Times New Roman" w:cs="Times New Roman"/>
                <w:color w:val="000000" w:themeColor="text1"/>
                <w:sz w:val="24"/>
                <w:szCs w:val="24"/>
                <w:lang w:eastAsia="lv-LV"/>
              </w:rPr>
              <w:t>.</w:t>
            </w:r>
          </w:p>
        </w:tc>
      </w:tr>
      <w:tr w:rsidR="00031256" w:rsidRPr="00BF6851" w:rsidTr="00D313D5">
        <w:trPr>
          <w:trHeight w:val="345"/>
        </w:trPr>
        <w:tc>
          <w:tcPr>
            <w:tcW w:w="5000" w:type="pct"/>
            <w:gridSpan w:val="3"/>
            <w:tcBorders>
              <w:top w:val="outset" w:sz="6" w:space="0" w:color="414142"/>
              <w:left w:val="nil"/>
              <w:bottom w:val="single" w:sz="6" w:space="0" w:color="auto"/>
              <w:right w:val="nil"/>
            </w:tcBorders>
          </w:tcPr>
          <w:p w:rsidR="007735CB" w:rsidRDefault="007735CB" w:rsidP="00DA596D">
            <w:pPr>
              <w:spacing w:after="0" w:line="240" w:lineRule="auto"/>
              <w:rPr>
                <w:rFonts w:ascii="Times New Roman" w:eastAsia="Times New Roman" w:hAnsi="Times New Roman" w:cs="Times New Roman"/>
                <w:color w:val="000000" w:themeColor="text1"/>
                <w:sz w:val="24"/>
                <w:szCs w:val="24"/>
                <w:lang w:eastAsia="lv-LV"/>
              </w:rPr>
            </w:pPr>
          </w:p>
          <w:p w:rsidR="00AD3E96" w:rsidRPr="00BF6851" w:rsidRDefault="00AD3E96" w:rsidP="00DA596D">
            <w:pPr>
              <w:spacing w:after="0" w:line="240" w:lineRule="auto"/>
              <w:rPr>
                <w:rFonts w:ascii="Times New Roman" w:eastAsia="Times New Roman" w:hAnsi="Times New Roman" w:cs="Times New Roman"/>
                <w:color w:val="000000" w:themeColor="text1"/>
                <w:sz w:val="24"/>
                <w:szCs w:val="24"/>
                <w:lang w:eastAsia="lv-LV"/>
              </w:rPr>
            </w:pPr>
          </w:p>
        </w:tc>
      </w:tr>
    </w:tbl>
    <w:p w:rsidR="004D15A9" w:rsidRPr="00BF6851"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F6851" w:rsidRPr="00BF6851"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BF6851"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A25942" w:rsidRPr="00BF6851" w:rsidTr="00B4626A">
        <w:trPr>
          <w:trHeight w:val="303"/>
        </w:trPr>
        <w:tc>
          <w:tcPr>
            <w:tcW w:w="0" w:type="auto"/>
            <w:tcBorders>
              <w:top w:val="nil"/>
              <w:left w:val="outset" w:sz="6" w:space="0" w:color="414142"/>
              <w:bottom w:val="outset" w:sz="6" w:space="0" w:color="414142"/>
              <w:right w:val="outset" w:sz="6" w:space="0" w:color="414142"/>
            </w:tcBorders>
            <w:vAlign w:val="center"/>
          </w:tcPr>
          <w:p w:rsidR="00A25942" w:rsidRPr="00A25942" w:rsidRDefault="00A25942" w:rsidP="00B17096">
            <w:pPr>
              <w:spacing w:after="0" w:line="240" w:lineRule="auto"/>
              <w:jc w:val="center"/>
              <w:rPr>
                <w:rFonts w:ascii="Times New Roman" w:eastAsia="Times New Roman" w:hAnsi="Times New Roman" w:cs="Times New Roman"/>
                <w:bCs/>
                <w:color w:val="000000" w:themeColor="text1"/>
                <w:sz w:val="24"/>
                <w:szCs w:val="24"/>
                <w:lang w:eastAsia="lv-LV"/>
              </w:rPr>
            </w:pPr>
            <w:r w:rsidRPr="00A25942">
              <w:rPr>
                <w:rFonts w:ascii="Times New Roman" w:eastAsia="Times New Roman" w:hAnsi="Times New Roman" w:cs="Times New Roman"/>
                <w:bCs/>
                <w:color w:val="000000" w:themeColor="text1"/>
                <w:sz w:val="24"/>
                <w:szCs w:val="24"/>
                <w:lang w:eastAsia="lv-LV"/>
              </w:rPr>
              <w:t>Projekts šo jomu neskar</w:t>
            </w:r>
          </w:p>
        </w:tc>
      </w:tr>
    </w:tbl>
    <w:p w:rsidR="007735CB" w:rsidRDefault="007735CB" w:rsidP="00DA596D">
      <w:pPr>
        <w:spacing w:after="0" w:line="240" w:lineRule="auto"/>
        <w:rPr>
          <w:rFonts w:ascii="Times New Roman" w:eastAsia="Times New Roman" w:hAnsi="Times New Roman" w:cs="Times New Roman"/>
          <w:color w:val="000000" w:themeColor="text1"/>
          <w:sz w:val="24"/>
          <w:szCs w:val="24"/>
          <w:lang w:eastAsia="lv-LV"/>
        </w:rPr>
      </w:pPr>
    </w:p>
    <w:p w:rsidR="00AD3E96" w:rsidRPr="00BF6851" w:rsidRDefault="00AD3E96"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BF6851" w:rsidRPr="00BF6851"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F6851" w:rsidRDefault="004D15A9" w:rsidP="00B17096">
            <w:pPr>
              <w:spacing w:after="0" w:line="240" w:lineRule="auto"/>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BF6851" w:rsidRPr="00BF685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B91FB1">
            <w:pPr>
              <w:spacing w:after="0" w:line="240" w:lineRule="auto"/>
              <w:rPr>
                <w:rFonts w:ascii="Times New Roman" w:eastAsia="Times New Roman" w:hAnsi="Times New Roman" w:cs="Times New Roman"/>
                <w:color w:val="000000" w:themeColor="text1"/>
                <w:sz w:val="24"/>
                <w:szCs w:val="24"/>
                <w:lang w:eastAsia="lv-LV"/>
              </w:rPr>
            </w:pPr>
            <w:r w:rsidRPr="00A25942">
              <w:rPr>
                <w:rFonts w:ascii="Times New Roman" w:eastAsia="Times New Roman" w:hAnsi="Times New Roman" w:cs="Times New Roman"/>
                <w:color w:val="000000" w:themeColor="text1"/>
                <w:sz w:val="24"/>
                <w:szCs w:val="24"/>
                <w:lang w:eastAsia="lv-LV"/>
              </w:rPr>
              <w:t xml:space="preserve">Likumprojekts tiek virzīts vienlaikus ar likumprojektu </w:t>
            </w:r>
            <w:r w:rsidR="00B91FB1">
              <w:rPr>
                <w:rFonts w:ascii="Times New Roman" w:eastAsia="Times New Roman" w:hAnsi="Times New Roman" w:cs="Times New Roman"/>
                <w:color w:val="000000" w:themeColor="text1"/>
                <w:sz w:val="24"/>
                <w:szCs w:val="24"/>
                <w:lang w:eastAsia="lv-LV"/>
              </w:rPr>
              <w:t>„Grozījumi Krimināllikumā”</w:t>
            </w:r>
            <w:r w:rsidR="006B7E76">
              <w:rPr>
                <w:rFonts w:ascii="Times New Roman" w:eastAsia="Times New Roman" w:hAnsi="Times New Roman" w:cs="Times New Roman"/>
                <w:color w:val="000000" w:themeColor="text1"/>
                <w:sz w:val="24"/>
                <w:szCs w:val="24"/>
                <w:lang w:eastAsia="lv-LV"/>
              </w:rPr>
              <w:t>.</w:t>
            </w:r>
          </w:p>
        </w:tc>
      </w:tr>
      <w:tr w:rsidR="00BF6851" w:rsidRPr="00BF685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A2594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w:t>
            </w:r>
            <w:r w:rsidR="006B7E76">
              <w:rPr>
                <w:rFonts w:ascii="Times New Roman" w:eastAsia="Times New Roman" w:hAnsi="Times New Roman" w:cs="Times New Roman"/>
                <w:color w:val="000000" w:themeColor="text1"/>
                <w:sz w:val="24"/>
                <w:szCs w:val="24"/>
                <w:lang w:eastAsia="lv-LV"/>
              </w:rPr>
              <w:t>.</w:t>
            </w:r>
          </w:p>
        </w:tc>
      </w:tr>
      <w:tr w:rsidR="004D15A9" w:rsidRPr="00BF685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A25942">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6B7E76">
              <w:rPr>
                <w:rFonts w:ascii="Times New Roman" w:eastAsia="Times New Roman" w:hAnsi="Times New Roman" w:cs="Times New Roman"/>
                <w:color w:val="000000" w:themeColor="text1"/>
                <w:sz w:val="24"/>
                <w:szCs w:val="24"/>
                <w:lang w:eastAsia="lv-LV"/>
              </w:rPr>
              <w:t>.</w:t>
            </w:r>
          </w:p>
        </w:tc>
      </w:tr>
    </w:tbl>
    <w:p w:rsidR="004D15A9" w:rsidRDefault="004D15A9"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6B7E76" w:rsidRPr="006B7E76" w:rsidTr="0065285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1FB1" w:rsidRPr="00B17096" w:rsidRDefault="00B91FB1" w:rsidP="00B17096">
            <w:pPr>
              <w:spacing w:after="0" w:line="240" w:lineRule="auto"/>
              <w:jc w:val="center"/>
              <w:rPr>
                <w:rFonts w:ascii="Times New Roman" w:eastAsia="Times New Roman" w:hAnsi="Times New Roman" w:cs="Times New Roman"/>
                <w:b/>
                <w:bCs/>
                <w:sz w:val="24"/>
                <w:szCs w:val="24"/>
                <w:lang w:eastAsia="lv-LV"/>
              </w:rPr>
            </w:pPr>
            <w:r w:rsidRPr="00B17096">
              <w:rPr>
                <w:rFonts w:ascii="Times New Roman" w:eastAsia="Times New Roman" w:hAnsi="Times New Roman" w:cs="Times New Roman"/>
                <w:b/>
                <w:bCs/>
                <w:sz w:val="24"/>
                <w:szCs w:val="24"/>
                <w:lang w:eastAsia="lv-LV"/>
              </w:rPr>
              <w:t>V. Tiesību akta projekta atbilstība Latvijas Republikas starptautiskajām saistībām</w:t>
            </w:r>
          </w:p>
        </w:tc>
      </w:tr>
      <w:tr w:rsidR="006B7E76" w:rsidRPr="006B7E76" w:rsidTr="00652854">
        <w:tc>
          <w:tcPr>
            <w:tcW w:w="2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B91FB1" w:rsidRPr="00B17096" w:rsidRDefault="00D34B56" w:rsidP="00E94743">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 xml:space="preserve">Eiropas Parlamenta un Padomes </w:t>
            </w:r>
            <w:proofErr w:type="gramStart"/>
            <w:r w:rsidRPr="00B17096">
              <w:rPr>
                <w:rFonts w:ascii="Times New Roman" w:eastAsia="Times New Roman" w:hAnsi="Times New Roman" w:cs="Times New Roman"/>
                <w:sz w:val="24"/>
                <w:szCs w:val="24"/>
                <w:lang w:eastAsia="lv-LV"/>
              </w:rPr>
              <w:t>2008.gada</w:t>
            </w:r>
            <w:proofErr w:type="gramEnd"/>
            <w:r w:rsidRPr="00B17096">
              <w:rPr>
                <w:rFonts w:ascii="Times New Roman" w:eastAsia="Times New Roman" w:hAnsi="Times New Roman" w:cs="Times New Roman"/>
                <w:sz w:val="24"/>
                <w:szCs w:val="24"/>
                <w:lang w:eastAsia="lv-LV"/>
              </w:rPr>
              <w:t xml:space="preserve"> 19.novembra direktīva 2008/99/EK par vides krimināltiesisko aizsardzību</w:t>
            </w:r>
            <w:r w:rsidR="006B7E76" w:rsidRPr="00B17096">
              <w:rPr>
                <w:rFonts w:ascii="Times New Roman" w:eastAsia="Times New Roman" w:hAnsi="Times New Roman" w:cs="Times New Roman"/>
                <w:sz w:val="24"/>
                <w:szCs w:val="24"/>
                <w:lang w:eastAsia="lv-LV"/>
              </w:rPr>
              <w:t>.</w:t>
            </w:r>
          </w:p>
        </w:tc>
      </w:tr>
      <w:tr w:rsidR="006B7E76" w:rsidRPr="006B7E76" w:rsidTr="00652854">
        <w:tc>
          <w:tcPr>
            <w:tcW w:w="2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B91FB1" w:rsidRPr="00B17096" w:rsidRDefault="00B17096" w:rsidP="00B4626A">
            <w:pPr>
              <w:spacing w:after="0" w:line="240" w:lineRule="auto"/>
              <w:rPr>
                <w:rFonts w:ascii="Times New Roman" w:eastAsia="Times New Roman" w:hAnsi="Times New Roman" w:cs="Times New Roman"/>
                <w:sz w:val="24"/>
                <w:szCs w:val="24"/>
                <w:lang w:eastAsia="lv-LV"/>
              </w:rPr>
            </w:pPr>
            <w:r w:rsidRPr="00B4626A">
              <w:rPr>
                <w:rFonts w:ascii="Times New Roman" w:eastAsia="Times New Roman" w:hAnsi="Times New Roman" w:cs="Times New Roman"/>
                <w:sz w:val="24"/>
                <w:szCs w:val="24"/>
                <w:lang w:eastAsia="lv-LV"/>
              </w:rPr>
              <w:t xml:space="preserve">ANO </w:t>
            </w:r>
            <w:proofErr w:type="gramStart"/>
            <w:r w:rsidRPr="00B4626A">
              <w:rPr>
                <w:rFonts w:ascii="Times New Roman" w:eastAsia="Times New Roman" w:hAnsi="Times New Roman" w:cs="Times New Roman"/>
                <w:sz w:val="24"/>
                <w:szCs w:val="24"/>
                <w:lang w:eastAsia="lv-LV"/>
              </w:rPr>
              <w:t>1984.gada</w:t>
            </w:r>
            <w:proofErr w:type="gramEnd"/>
            <w:r w:rsidRPr="00B4626A">
              <w:rPr>
                <w:rFonts w:ascii="Times New Roman" w:eastAsia="Times New Roman" w:hAnsi="Times New Roman" w:cs="Times New Roman"/>
                <w:sz w:val="24"/>
                <w:szCs w:val="24"/>
                <w:lang w:eastAsia="lv-LV"/>
              </w:rPr>
              <w:t xml:space="preserve"> 10.decembra Konvencija pret spīdzināšanu un citiem nežēlīgas, necilvēcīgas vai pazemojošas iztu</w:t>
            </w:r>
            <w:r w:rsidR="00B4626A" w:rsidRPr="00B4626A">
              <w:rPr>
                <w:rFonts w:ascii="Times New Roman" w:eastAsia="Times New Roman" w:hAnsi="Times New Roman" w:cs="Times New Roman"/>
                <w:sz w:val="24"/>
                <w:szCs w:val="24"/>
                <w:lang w:eastAsia="lv-LV"/>
              </w:rPr>
              <w:t>rēšanās vai sodīšanas veidiem</w:t>
            </w:r>
            <w:r w:rsidR="00B4626A">
              <w:rPr>
                <w:rFonts w:ascii="Times New Roman" w:eastAsia="Times New Roman" w:hAnsi="Times New Roman" w:cs="Times New Roman"/>
                <w:sz w:val="24"/>
                <w:szCs w:val="24"/>
                <w:lang w:eastAsia="lv-LV"/>
              </w:rPr>
              <w:t>.</w:t>
            </w:r>
          </w:p>
        </w:tc>
      </w:tr>
      <w:tr w:rsidR="006B7E76" w:rsidRPr="006B7E76" w:rsidTr="00652854">
        <w:tc>
          <w:tcPr>
            <w:tcW w:w="2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91FB1" w:rsidRPr="00B17096" w:rsidRDefault="007455B8" w:rsidP="007735CB">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Nav</w:t>
            </w:r>
            <w:r w:rsidR="006B7E76" w:rsidRPr="00B17096">
              <w:rPr>
                <w:rFonts w:ascii="Times New Roman" w:eastAsia="Times New Roman" w:hAnsi="Times New Roman" w:cs="Times New Roman"/>
                <w:sz w:val="24"/>
                <w:szCs w:val="24"/>
                <w:lang w:eastAsia="lv-LV"/>
              </w:rPr>
              <w:t>.</w:t>
            </w:r>
          </w:p>
        </w:tc>
      </w:tr>
    </w:tbl>
    <w:p w:rsidR="00B91FB1" w:rsidRPr="004D15A9" w:rsidRDefault="00B91FB1" w:rsidP="00B91FB1">
      <w:pPr>
        <w:spacing w:after="0" w:line="240" w:lineRule="auto"/>
        <w:rPr>
          <w:rFonts w:ascii="Times New Roman" w:eastAsia="Times New Roman" w:hAnsi="Times New Roman" w:cs="Times New Roman"/>
          <w:vanish/>
          <w:sz w:val="24"/>
          <w:szCs w:val="24"/>
          <w:lang w:eastAsia="lv-LV"/>
        </w:rPr>
      </w:pPr>
    </w:p>
    <w:tbl>
      <w:tblPr>
        <w:tblW w:w="5001" w:type="pct"/>
        <w:tblInd w:w="4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4A0" w:firstRow="1" w:lastRow="0" w:firstColumn="1" w:lastColumn="0" w:noHBand="0" w:noVBand="1"/>
      </w:tblPr>
      <w:tblGrid>
        <w:gridCol w:w="24"/>
        <w:gridCol w:w="2055"/>
        <w:gridCol w:w="22"/>
        <w:gridCol w:w="2011"/>
        <w:gridCol w:w="1034"/>
        <w:gridCol w:w="1523"/>
        <w:gridCol w:w="2442"/>
        <w:gridCol w:w="22"/>
      </w:tblGrid>
      <w:tr w:rsidR="006B7E76" w:rsidRPr="006B7E76" w:rsidTr="00015ADD">
        <w:tc>
          <w:tcPr>
            <w:tcW w:w="0" w:type="auto"/>
            <w:gridSpan w:val="8"/>
            <w:vAlign w:val="center"/>
            <w:hideMark/>
          </w:tcPr>
          <w:p w:rsidR="00B91FB1" w:rsidRPr="00B17096" w:rsidRDefault="00B91FB1" w:rsidP="00B17096">
            <w:pPr>
              <w:spacing w:after="0" w:line="240" w:lineRule="auto"/>
              <w:jc w:val="center"/>
              <w:rPr>
                <w:rFonts w:ascii="Times New Roman" w:eastAsia="Times New Roman" w:hAnsi="Times New Roman" w:cs="Times New Roman"/>
                <w:b/>
                <w:bCs/>
                <w:sz w:val="24"/>
                <w:szCs w:val="24"/>
                <w:lang w:eastAsia="lv-LV"/>
              </w:rPr>
            </w:pPr>
            <w:r w:rsidRPr="00B17096">
              <w:rPr>
                <w:rFonts w:ascii="Times New Roman" w:eastAsia="Times New Roman" w:hAnsi="Times New Roman" w:cs="Times New Roman"/>
                <w:b/>
                <w:bCs/>
                <w:sz w:val="24"/>
                <w:szCs w:val="24"/>
                <w:lang w:eastAsia="lv-LV"/>
              </w:rPr>
              <w:t>1.tabula</w:t>
            </w:r>
            <w:r w:rsidRPr="00B17096">
              <w:rPr>
                <w:rFonts w:ascii="Times New Roman" w:eastAsia="Times New Roman" w:hAnsi="Times New Roman" w:cs="Times New Roman"/>
                <w:b/>
                <w:bCs/>
                <w:sz w:val="24"/>
                <w:szCs w:val="24"/>
                <w:lang w:eastAsia="lv-LV"/>
              </w:rPr>
              <w:br/>
              <w:t>Tiesību akta projekta atbilstība ES tiesību aktiem</w:t>
            </w:r>
          </w:p>
        </w:tc>
      </w:tr>
      <w:tr w:rsidR="006B7E76" w:rsidRPr="006B7E76" w:rsidTr="00C427B0">
        <w:tc>
          <w:tcPr>
            <w:tcW w:w="1150" w:type="pct"/>
            <w:gridSpan w:val="3"/>
            <w:tcBorders>
              <w:right w:val="single" w:sz="4" w:space="0" w:color="auto"/>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left w:val="single" w:sz="4" w:space="0" w:color="auto"/>
            </w:tcBorders>
            <w:hideMark/>
          </w:tcPr>
          <w:p w:rsidR="00B91FB1" w:rsidRPr="00B17096" w:rsidRDefault="002C2A7B" w:rsidP="002C2A7B">
            <w:pPr>
              <w:spacing w:after="0" w:line="240" w:lineRule="auto"/>
              <w:rPr>
                <w:rFonts w:ascii="Times New Roman" w:eastAsia="Times New Roman" w:hAnsi="Times New Roman" w:cs="Times New Roman"/>
                <w:sz w:val="24"/>
                <w:szCs w:val="24"/>
                <w:lang w:eastAsia="lv-LV"/>
              </w:rPr>
            </w:pPr>
            <w:r w:rsidRPr="006B7E76">
              <w:rPr>
                <w:rFonts w:ascii="Times New Roman" w:hAnsi="Times New Roman" w:cs="Times New Roman"/>
                <w:sz w:val="24"/>
                <w:szCs w:val="24"/>
              </w:rPr>
              <w:t>Eiropas Parlamenta un Padomes 2008.gada 19.novembra Direktīva 2008/99/EK par vides krimināltiesisko aizsardzību</w:t>
            </w:r>
            <w:r w:rsidR="003977CC" w:rsidRPr="006B7E76">
              <w:rPr>
                <w:rFonts w:ascii="Times New Roman" w:hAnsi="Times New Roman" w:cs="Times New Roman"/>
                <w:sz w:val="24"/>
                <w:szCs w:val="24"/>
              </w:rPr>
              <w:t xml:space="preserve"> </w:t>
            </w:r>
          </w:p>
        </w:tc>
      </w:tr>
      <w:tr w:rsidR="006B7E76" w:rsidRPr="006B7E76" w:rsidTr="00C427B0">
        <w:tc>
          <w:tcPr>
            <w:tcW w:w="1150" w:type="pct"/>
            <w:gridSpan w:val="3"/>
            <w:tcBorders>
              <w:right w:val="single" w:sz="4" w:space="0" w:color="auto"/>
            </w:tcBorders>
            <w:vAlign w:val="center"/>
            <w:hideMark/>
          </w:tcPr>
          <w:p w:rsidR="00B91FB1" w:rsidRPr="00B17096" w:rsidRDefault="00B91FB1" w:rsidP="00926182">
            <w:pPr>
              <w:spacing w:after="0" w:line="240" w:lineRule="auto"/>
              <w:ind w:firstLine="300"/>
              <w:jc w:val="center"/>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A</w:t>
            </w:r>
          </w:p>
        </w:tc>
        <w:tc>
          <w:tcPr>
            <w:tcW w:w="1101" w:type="pct"/>
            <w:tcBorders>
              <w:left w:val="single" w:sz="4" w:space="0" w:color="auto"/>
              <w:right w:val="single" w:sz="4" w:space="0" w:color="auto"/>
            </w:tcBorders>
            <w:vAlign w:val="center"/>
            <w:hideMark/>
          </w:tcPr>
          <w:p w:rsidR="00B91FB1" w:rsidRPr="00B17096" w:rsidRDefault="00B91FB1" w:rsidP="00926182">
            <w:pPr>
              <w:spacing w:after="0" w:line="240" w:lineRule="auto"/>
              <w:ind w:firstLine="300"/>
              <w:jc w:val="center"/>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B</w:t>
            </w:r>
          </w:p>
        </w:tc>
        <w:tc>
          <w:tcPr>
            <w:tcW w:w="1400" w:type="pct"/>
            <w:gridSpan w:val="2"/>
            <w:tcBorders>
              <w:left w:val="single" w:sz="4" w:space="0" w:color="auto"/>
              <w:right w:val="single" w:sz="4" w:space="0" w:color="auto"/>
            </w:tcBorders>
            <w:vAlign w:val="center"/>
            <w:hideMark/>
          </w:tcPr>
          <w:p w:rsidR="00B91FB1" w:rsidRPr="00B17096" w:rsidRDefault="00B91FB1" w:rsidP="00926182">
            <w:pPr>
              <w:spacing w:after="0" w:line="240" w:lineRule="auto"/>
              <w:ind w:firstLine="300"/>
              <w:jc w:val="center"/>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C</w:t>
            </w:r>
          </w:p>
        </w:tc>
        <w:tc>
          <w:tcPr>
            <w:tcW w:w="1349" w:type="pct"/>
            <w:gridSpan w:val="2"/>
            <w:tcBorders>
              <w:left w:val="single" w:sz="4" w:space="0" w:color="auto"/>
            </w:tcBorders>
            <w:vAlign w:val="center"/>
            <w:hideMark/>
          </w:tcPr>
          <w:p w:rsidR="00B91FB1" w:rsidRPr="00B17096" w:rsidRDefault="00B91FB1" w:rsidP="00926182">
            <w:pPr>
              <w:spacing w:after="0" w:line="240" w:lineRule="auto"/>
              <w:ind w:firstLine="300"/>
              <w:jc w:val="center"/>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D</w:t>
            </w:r>
          </w:p>
        </w:tc>
      </w:tr>
      <w:tr w:rsidR="006B7E76" w:rsidRPr="006B7E76" w:rsidTr="00C427B0">
        <w:tc>
          <w:tcPr>
            <w:tcW w:w="1150" w:type="pct"/>
            <w:gridSpan w:val="3"/>
            <w:tcBorders>
              <w:right w:val="single" w:sz="4" w:space="0" w:color="auto"/>
            </w:tcBorders>
            <w:hideMark/>
          </w:tcPr>
          <w:p w:rsidR="003977CC" w:rsidRPr="00B17096" w:rsidRDefault="003977CC" w:rsidP="003977CC">
            <w:pPr>
              <w:spacing w:line="240" w:lineRule="auto"/>
              <w:jc w:val="center"/>
              <w:rPr>
                <w:rFonts w:ascii="Times New Roman" w:hAnsi="Times New Roman" w:cs="Times New Roman"/>
                <w:sz w:val="24"/>
                <w:szCs w:val="24"/>
              </w:rPr>
            </w:pPr>
            <w:r w:rsidRPr="00B17096">
              <w:rPr>
                <w:rFonts w:ascii="Times New Roman" w:hAnsi="Times New Roman" w:cs="Times New Roman"/>
                <w:sz w:val="24"/>
                <w:szCs w:val="24"/>
              </w:rPr>
              <w:t>Attiecīgā ES tiesību akta panta numurs (uzskaitot katru tiesību akta vienību – pantu, daļu, punktu, apakšpunktu)</w:t>
            </w:r>
          </w:p>
        </w:tc>
        <w:tc>
          <w:tcPr>
            <w:tcW w:w="1101" w:type="pct"/>
            <w:tcBorders>
              <w:left w:val="single" w:sz="4" w:space="0" w:color="auto"/>
              <w:right w:val="single" w:sz="4" w:space="0" w:color="auto"/>
            </w:tcBorders>
            <w:hideMark/>
          </w:tcPr>
          <w:p w:rsidR="003977CC" w:rsidRPr="00B17096" w:rsidRDefault="003977CC" w:rsidP="003977CC">
            <w:pPr>
              <w:spacing w:line="240" w:lineRule="auto"/>
              <w:jc w:val="center"/>
              <w:rPr>
                <w:rFonts w:ascii="Times New Roman" w:hAnsi="Times New Roman" w:cs="Times New Roman"/>
                <w:sz w:val="24"/>
                <w:szCs w:val="24"/>
              </w:rPr>
            </w:pPr>
            <w:r w:rsidRPr="00B17096">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0" w:type="pct"/>
            <w:gridSpan w:val="2"/>
            <w:tcBorders>
              <w:left w:val="single" w:sz="4" w:space="0" w:color="auto"/>
              <w:right w:val="single" w:sz="4" w:space="0" w:color="auto"/>
            </w:tcBorders>
            <w:hideMark/>
          </w:tcPr>
          <w:p w:rsidR="003977CC" w:rsidRPr="00B17096" w:rsidRDefault="003977CC" w:rsidP="003977CC">
            <w:pPr>
              <w:spacing w:line="240" w:lineRule="auto"/>
              <w:jc w:val="center"/>
              <w:rPr>
                <w:rFonts w:ascii="Times New Roman" w:hAnsi="Times New Roman" w:cs="Times New Roman"/>
                <w:sz w:val="24"/>
                <w:szCs w:val="24"/>
              </w:rPr>
            </w:pPr>
            <w:r w:rsidRPr="00B17096">
              <w:rPr>
                <w:rFonts w:ascii="Times New Roman" w:hAnsi="Times New Roman" w:cs="Times New Roman"/>
                <w:sz w:val="24"/>
                <w:szCs w:val="24"/>
              </w:rPr>
              <w:t>Informācija par to, vai šīs tabulas A ailē minētās ES tiesību akta vienības tiek pārņemtas vai ieviestas pilnībā vai daļēji.</w:t>
            </w:r>
          </w:p>
          <w:p w:rsidR="003977CC" w:rsidRPr="00B17096" w:rsidRDefault="003977CC" w:rsidP="003977CC">
            <w:pPr>
              <w:spacing w:before="100" w:beforeAutospacing="1" w:after="100" w:afterAutospacing="1" w:line="240" w:lineRule="auto"/>
              <w:ind w:firstLine="300"/>
              <w:jc w:val="center"/>
              <w:rPr>
                <w:rFonts w:ascii="Times New Roman" w:hAnsi="Times New Roman" w:cs="Times New Roman"/>
                <w:sz w:val="24"/>
                <w:szCs w:val="24"/>
              </w:rPr>
            </w:pPr>
            <w:r w:rsidRPr="00B17096">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3977CC" w:rsidRPr="00B17096" w:rsidRDefault="003977CC" w:rsidP="003977CC">
            <w:pPr>
              <w:spacing w:before="100" w:beforeAutospacing="1" w:after="100" w:afterAutospacing="1" w:line="240" w:lineRule="auto"/>
              <w:ind w:firstLine="300"/>
              <w:jc w:val="center"/>
              <w:rPr>
                <w:rFonts w:ascii="Times New Roman" w:hAnsi="Times New Roman" w:cs="Times New Roman"/>
                <w:sz w:val="24"/>
                <w:szCs w:val="24"/>
              </w:rPr>
            </w:pPr>
            <w:r w:rsidRPr="00B17096">
              <w:rPr>
                <w:rFonts w:ascii="Times New Roman" w:hAnsi="Times New Roman" w:cs="Times New Roman"/>
                <w:sz w:val="24"/>
                <w:szCs w:val="24"/>
              </w:rPr>
              <w:t>Norāda institūciju, kas ir atbildīga par šo saistību izpildi pilnībā</w:t>
            </w:r>
          </w:p>
        </w:tc>
        <w:tc>
          <w:tcPr>
            <w:tcW w:w="1349" w:type="pct"/>
            <w:gridSpan w:val="2"/>
            <w:tcBorders>
              <w:left w:val="single" w:sz="4" w:space="0" w:color="auto"/>
            </w:tcBorders>
            <w:hideMark/>
          </w:tcPr>
          <w:p w:rsidR="003977CC" w:rsidRPr="00B17096" w:rsidRDefault="003977CC" w:rsidP="003977CC">
            <w:pPr>
              <w:spacing w:line="240" w:lineRule="auto"/>
              <w:jc w:val="center"/>
              <w:rPr>
                <w:rFonts w:ascii="Times New Roman" w:hAnsi="Times New Roman" w:cs="Times New Roman"/>
                <w:sz w:val="24"/>
                <w:szCs w:val="24"/>
              </w:rPr>
            </w:pPr>
            <w:r w:rsidRPr="00B17096">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3977CC" w:rsidRPr="00B17096" w:rsidRDefault="003977CC" w:rsidP="003977CC">
            <w:pPr>
              <w:spacing w:before="100" w:beforeAutospacing="1" w:after="100" w:afterAutospacing="1" w:line="240" w:lineRule="auto"/>
              <w:ind w:firstLine="300"/>
              <w:jc w:val="center"/>
              <w:rPr>
                <w:rFonts w:ascii="Times New Roman" w:hAnsi="Times New Roman" w:cs="Times New Roman"/>
                <w:sz w:val="24"/>
                <w:szCs w:val="24"/>
              </w:rPr>
            </w:pPr>
            <w:r w:rsidRPr="00B17096">
              <w:rPr>
                <w:rFonts w:ascii="Times New Roman" w:hAnsi="Times New Roman" w:cs="Times New Roman"/>
                <w:sz w:val="24"/>
                <w:szCs w:val="24"/>
              </w:rPr>
              <w:t>Ja projekts satur stingrākas prasības nekā attiecīgais ES tiesību akts, norāda pamatojumu un samērīgumu.</w:t>
            </w:r>
          </w:p>
          <w:p w:rsidR="003977CC" w:rsidRPr="00B17096" w:rsidRDefault="003977CC" w:rsidP="000C7A0A">
            <w:pPr>
              <w:spacing w:before="100" w:beforeAutospacing="1" w:after="100" w:afterAutospacing="1" w:line="240" w:lineRule="auto"/>
              <w:jc w:val="center"/>
              <w:rPr>
                <w:rFonts w:ascii="Times New Roman" w:hAnsi="Times New Roman" w:cs="Times New Roman"/>
                <w:sz w:val="24"/>
                <w:szCs w:val="24"/>
              </w:rPr>
            </w:pPr>
            <w:r w:rsidRPr="00B17096">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B7E76" w:rsidRPr="006B7E76" w:rsidTr="00C427B0">
        <w:trPr>
          <w:trHeight w:val="4965"/>
        </w:trPr>
        <w:tc>
          <w:tcPr>
            <w:tcW w:w="1150" w:type="pct"/>
            <w:gridSpan w:val="3"/>
            <w:tcBorders>
              <w:right w:val="single" w:sz="4" w:space="0" w:color="auto"/>
            </w:tcBorders>
            <w:hideMark/>
          </w:tcPr>
          <w:p w:rsidR="003977CC" w:rsidRPr="00B17096" w:rsidRDefault="003977CC" w:rsidP="00B4626A">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 xml:space="preserve">Direktīvas 2008/99/EK </w:t>
            </w:r>
            <w:proofErr w:type="gramStart"/>
            <w:r w:rsidRPr="00B17096">
              <w:rPr>
                <w:rFonts w:ascii="Times New Roman" w:eastAsia="Times New Roman" w:hAnsi="Times New Roman" w:cs="Times New Roman"/>
                <w:sz w:val="24"/>
                <w:szCs w:val="24"/>
                <w:lang w:eastAsia="lv-LV"/>
              </w:rPr>
              <w:t>3.panta</w:t>
            </w:r>
            <w:proofErr w:type="gramEnd"/>
            <w:r w:rsidRPr="00B17096">
              <w:rPr>
                <w:rFonts w:ascii="Times New Roman" w:eastAsia="Times New Roman" w:hAnsi="Times New Roman" w:cs="Times New Roman"/>
                <w:sz w:val="24"/>
                <w:szCs w:val="24"/>
                <w:lang w:eastAsia="lv-LV"/>
              </w:rPr>
              <w:t xml:space="preserve"> a) punkts</w:t>
            </w:r>
          </w:p>
        </w:tc>
        <w:tc>
          <w:tcPr>
            <w:tcW w:w="1101" w:type="pct"/>
            <w:tcBorders>
              <w:left w:val="single" w:sz="4" w:space="0" w:color="auto"/>
              <w:right w:val="single" w:sz="4" w:space="0" w:color="auto"/>
            </w:tcBorders>
            <w:hideMark/>
          </w:tcPr>
          <w:p w:rsidR="003977CC" w:rsidRPr="00B17096" w:rsidRDefault="00D353E2" w:rsidP="00B4626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PKLS</w:t>
            </w:r>
            <w:r w:rsidR="00707EF2">
              <w:rPr>
                <w:rFonts w:ascii="Times New Roman" w:eastAsia="Times New Roman" w:hAnsi="Times New Roman" w:cs="Times New Roman"/>
                <w:sz w:val="24"/>
                <w:szCs w:val="24"/>
                <w:lang w:eastAsia="lv-LV"/>
              </w:rPr>
              <w:t xml:space="preserve"> </w:t>
            </w:r>
            <w:proofErr w:type="gramStart"/>
            <w:r w:rsidR="003977CC" w:rsidRPr="00B17096">
              <w:rPr>
                <w:rFonts w:ascii="Times New Roman" w:eastAsia="Times New Roman" w:hAnsi="Times New Roman" w:cs="Times New Roman"/>
                <w:sz w:val="24"/>
                <w:szCs w:val="24"/>
                <w:lang w:eastAsia="lv-LV"/>
              </w:rPr>
              <w:t>24.panta</w:t>
            </w:r>
            <w:proofErr w:type="gramEnd"/>
            <w:r w:rsidR="003977CC" w:rsidRPr="00B17096">
              <w:rPr>
                <w:rFonts w:ascii="Times New Roman" w:eastAsia="Times New Roman" w:hAnsi="Times New Roman" w:cs="Times New Roman"/>
                <w:sz w:val="24"/>
                <w:szCs w:val="24"/>
                <w:lang w:eastAsia="lv-LV"/>
              </w:rPr>
              <w:t xml:space="preserve"> pirmā daļa</w:t>
            </w:r>
          </w:p>
        </w:tc>
        <w:tc>
          <w:tcPr>
            <w:tcW w:w="1400" w:type="pct"/>
            <w:gridSpan w:val="2"/>
            <w:tcBorders>
              <w:left w:val="single" w:sz="4" w:space="0" w:color="auto"/>
              <w:right w:val="single" w:sz="4" w:space="0" w:color="auto"/>
            </w:tcBorders>
            <w:hideMark/>
          </w:tcPr>
          <w:p w:rsidR="003977CC" w:rsidRPr="006B7E76" w:rsidRDefault="003977CC" w:rsidP="00B4626A">
            <w:pPr>
              <w:spacing w:after="0" w:line="240" w:lineRule="auto"/>
              <w:jc w:val="both"/>
              <w:rPr>
                <w:rFonts w:ascii="Times New Roman" w:hAnsi="Times New Roman" w:cs="Times New Roman"/>
                <w:sz w:val="24"/>
                <w:szCs w:val="24"/>
                <w:lang w:eastAsia="lv-LV"/>
              </w:rPr>
            </w:pPr>
            <w:r w:rsidRPr="006B7E76">
              <w:rPr>
                <w:rFonts w:ascii="Times New Roman" w:hAnsi="Times New Roman" w:cs="Times New Roman"/>
                <w:sz w:val="24"/>
                <w:szCs w:val="24"/>
                <w:lang w:eastAsia="lv-LV"/>
              </w:rPr>
              <w:t xml:space="preserve">Daļēji, jo Direktīvas 2008/99/EK </w:t>
            </w:r>
            <w:proofErr w:type="gramStart"/>
            <w:r w:rsidRPr="006B7E76">
              <w:rPr>
                <w:rFonts w:ascii="Times New Roman" w:hAnsi="Times New Roman" w:cs="Times New Roman"/>
                <w:sz w:val="24"/>
                <w:szCs w:val="24"/>
                <w:lang w:eastAsia="lv-LV"/>
              </w:rPr>
              <w:t>3.panta</w:t>
            </w:r>
            <w:proofErr w:type="gramEnd"/>
            <w:r w:rsidRPr="006B7E76">
              <w:rPr>
                <w:rFonts w:ascii="Times New Roman" w:hAnsi="Times New Roman" w:cs="Times New Roman"/>
                <w:sz w:val="24"/>
                <w:szCs w:val="24"/>
                <w:lang w:eastAsia="lv-LV"/>
              </w:rPr>
              <w:t xml:space="preserve"> a) punkts pilnībā ir pārņemts ar KL 98.panta „Radioaktīvo un ķīmisko vielu aprites drošības noteikumu pārkāpšana”, KL 101.panta „Jūras piesārņošana”, KL 102.panta „Zemes, mežu un ūdeņu piesārņošana un piegružošana” un KL 103.pants „Atmosfēras gaisa piesārņošana” redakcijām.</w:t>
            </w:r>
          </w:p>
          <w:p w:rsidR="00F5659E" w:rsidRPr="006B7E76" w:rsidRDefault="00F5659E" w:rsidP="00B4626A">
            <w:pPr>
              <w:spacing w:after="0" w:line="240" w:lineRule="auto"/>
              <w:jc w:val="both"/>
              <w:rPr>
                <w:rFonts w:ascii="Times New Roman" w:hAnsi="Times New Roman" w:cs="Times New Roman"/>
                <w:sz w:val="24"/>
                <w:szCs w:val="24"/>
                <w:lang w:eastAsia="lv-LV"/>
              </w:rPr>
            </w:pPr>
            <w:r w:rsidRPr="006B7E76">
              <w:rPr>
                <w:rFonts w:ascii="Times New Roman" w:hAnsi="Times New Roman" w:cs="Times New Roman"/>
                <w:sz w:val="24"/>
                <w:szCs w:val="24"/>
                <w:lang w:eastAsia="lv-LV"/>
              </w:rPr>
              <w:t>Kriminālprocesa virzītāji ir atbildīgi par šo saistību izpildi.</w:t>
            </w:r>
          </w:p>
        </w:tc>
        <w:tc>
          <w:tcPr>
            <w:tcW w:w="1349" w:type="pct"/>
            <w:gridSpan w:val="2"/>
            <w:tcBorders>
              <w:left w:val="single" w:sz="4" w:space="0" w:color="auto"/>
            </w:tcBorders>
            <w:hideMark/>
          </w:tcPr>
          <w:p w:rsidR="003977CC" w:rsidRPr="00B17096" w:rsidRDefault="003977CC" w:rsidP="00B4626A">
            <w:pPr>
              <w:spacing w:after="0" w:line="240" w:lineRule="auto"/>
              <w:jc w:val="both"/>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 xml:space="preserve">Šīs tabulas B ailē minētās </w:t>
            </w:r>
            <w:r w:rsidR="00DA5227">
              <w:rPr>
                <w:rFonts w:ascii="Times New Roman" w:eastAsia="Times New Roman" w:hAnsi="Times New Roman" w:cs="Times New Roman"/>
                <w:sz w:val="24"/>
                <w:szCs w:val="24"/>
                <w:lang w:eastAsia="lv-LV"/>
              </w:rPr>
              <w:t>likum</w:t>
            </w:r>
            <w:r w:rsidRPr="00B17096">
              <w:rPr>
                <w:rFonts w:ascii="Times New Roman" w:eastAsia="Times New Roman" w:hAnsi="Times New Roman" w:cs="Times New Roman"/>
                <w:sz w:val="24"/>
                <w:szCs w:val="24"/>
                <w:lang w:eastAsia="lv-LV"/>
              </w:rPr>
              <w:t>projekta vienības neparedz stingrākas prasības nekā šīs tabulas A ailē minētās ES tiesību akta vienības</w:t>
            </w:r>
          </w:p>
        </w:tc>
      </w:tr>
      <w:tr w:rsidR="00707EF2" w:rsidRPr="006B7E76" w:rsidTr="00C427B0">
        <w:tc>
          <w:tcPr>
            <w:tcW w:w="1150" w:type="pct"/>
            <w:gridSpan w:val="3"/>
            <w:tcBorders>
              <w:right w:val="single" w:sz="4" w:space="0" w:color="auto"/>
            </w:tcBorders>
          </w:tcPr>
          <w:p w:rsidR="00707EF2" w:rsidRPr="00B17096" w:rsidRDefault="00707EF2" w:rsidP="00766DE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2008/99/EK </w:t>
            </w:r>
            <w:proofErr w:type="gramStart"/>
            <w:r>
              <w:rPr>
                <w:rFonts w:ascii="Times New Roman" w:eastAsia="Times New Roman" w:hAnsi="Times New Roman" w:cs="Times New Roman"/>
                <w:sz w:val="24"/>
                <w:szCs w:val="24"/>
                <w:lang w:eastAsia="lv-LV"/>
              </w:rPr>
              <w:t>8.panta</w:t>
            </w:r>
            <w:proofErr w:type="gramEnd"/>
            <w:r>
              <w:rPr>
                <w:rFonts w:ascii="Times New Roman" w:eastAsia="Times New Roman" w:hAnsi="Times New Roman" w:cs="Times New Roman"/>
                <w:sz w:val="24"/>
                <w:szCs w:val="24"/>
                <w:lang w:eastAsia="lv-LV"/>
              </w:rPr>
              <w:t xml:space="preserve"> 1.punkts</w:t>
            </w:r>
          </w:p>
        </w:tc>
        <w:tc>
          <w:tcPr>
            <w:tcW w:w="1101" w:type="pct"/>
            <w:tcBorders>
              <w:left w:val="single" w:sz="4" w:space="0" w:color="auto"/>
              <w:right w:val="single" w:sz="4" w:space="0" w:color="auto"/>
            </w:tcBorders>
          </w:tcPr>
          <w:p w:rsidR="00707EF2" w:rsidRDefault="00707EF2" w:rsidP="00766DE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proofErr w:type="gramStart"/>
            <w:r>
              <w:rPr>
                <w:rFonts w:ascii="Times New Roman" w:eastAsia="Times New Roman" w:hAnsi="Times New Roman" w:cs="Times New Roman"/>
                <w:sz w:val="24"/>
                <w:szCs w:val="24"/>
                <w:lang w:eastAsia="lv-LV"/>
              </w:rPr>
              <w:t>6.pants</w:t>
            </w:r>
            <w:proofErr w:type="gramEnd"/>
          </w:p>
        </w:tc>
        <w:tc>
          <w:tcPr>
            <w:tcW w:w="1400" w:type="pct"/>
            <w:gridSpan w:val="2"/>
            <w:tcBorders>
              <w:left w:val="single" w:sz="4" w:space="0" w:color="auto"/>
              <w:right w:val="single" w:sz="4" w:space="0" w:color="auto"/>
            </w:tcBorders>
          </w:tcPr>
          <w:p w:rsidR="00707EF2" w:rsidRPr="006B7E76" w:rsidRDefault="00707EF2" w:rsidP="00855D79">
            <w:pPr>
              <w:rPr>
                <w:rFonts w:ascii="Times New Roman" w:hAnsi="Times New Roman" w:cs="Times New Roman"/>
                <w:sz w:val="24"/>
                <w:szCs w:val="24"/>
                <w:lang w:eastAsia="lv-LV"/>
              </w:rPr>
            </w:pPr>
            <w:r>
              <w:rPr>
                <w:rFonts w:ascii="Times New Roman" w:hAnsi="Times New Roman" w:cs="Times New Roman"/>
                <w:sz w:val="24"/>
                <w:szCs w:val="24"/>
                <w:lang w:eastAsia="lv-LV"/>
              </w:rPr>
              <w:t>Pilnībā.</w:t>
            </w:r>
          </w:p>
        </w:tc>
        <w:tc>
          <w:tcPr>
            <w:tcW w:w="1349" w:type="pct"/>
            <w:gridSpan w:val="2"/>
            <w:tcBorders>
              <w:left w:val="single" w:sz="4" w:space="0" w:color="auto"/>
            </w:tcBorders>
          </w:tcPr>
          <w:p w:rsidR="00707EF2" w:rsidRPr="00B17096" w:rsidRDefault="00707EF2" w:rsidP="003977CC">
            <w:pPr>
              <w:spacing w:after="0" w:line="240" w:lineRule="auto"/>
              <w:jc w:val="both"/>
              <w:rPr>
                <w:rFonts w:ascii="Times New Roman" w:eastAsia="Times New Roman" w:hAnsi="Times New Roman" w:cs="Times New Roman"/>
                <w:sz w:val="24"/>
                <w:szCs w:val="24"/>
                <w:lang w:eastAsia="lv-LV"/>
              </w:rPr>
            </w:pPr>
          </w:p>
        </w:tc>
      </w:tr>
      <w:tr w:rsidR="006B7E76" w:rsidRPr="006B7E76" w:rsidTr="00C427B0">
        <w:tc>
          <w:tcPr>
            <w:tcW w:w="1150" w:type="pct"/>
            <w:gridSpan w:val="3"/>
            <w:tcBorders>
              <w:right w:val="single" w:sz="4" w:space="0" w:color="auto"/>
            </w:tcBorders>
            <w:hideMark/>
          </w:tcPr>
          <w:p w:rsidR="00B91FB1" w:rsidRPr="00B17096" w:rsidRDefault="00B91FB1" w:rsidP="00926182">
            <w:pPr>
              <w:spacing w:after="0" w:line="240" w:lineRule="auto"/>
              <w:rPr>
                <w:rFonts w:ascii="Times New Roman" w:eastAsia="Times New Roman" w:hAnsi="Times New Roman" w:cs="Times New Roman"/>
                <w:sz w:val="24"/>
                <w:szCs w:val="24"/>
                <w:lang w:eastAsia="lv-LV"/>
              </w:rPr>
            </w:pPr>
            <w:proofErr w:type="gramStart"/>
            <w:r w:rsidRPr="00B17096">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B17096">
              <w:rPr>
                <w:rFonts w:ascii="Times New Roman" w:eastAsia="Times New Roman" w:hAnsi="Times New Roman" w:cs="Times New Roman"/>
                <w:sz w:val="24"/>
                <w:szCs w:val="24"/>
                <w:lang w:eastAsia="lv-LV"/>
              </w:rPr>
              <w:t xml:space="preserve"> noteiktas ES tiesību akta normas?</w:t>
            </w:r>
            <w:r w:rsidRPr="00B17096">
              <w:rPr>
                <w:rFonts w:ascii="Times New Roman" w:eastAsia="Times New Roman" w:hAnsi="Times New Roman" w:cs="Times New Roman"/>
                <w:sz w:val="24"/>
                <w:szCs w:val="24"/>
                <w:lang w:eastAsia="lv-LV"/>
              </w:rPr>
              <w:br/>
              <w:t>Kādēļ?</w:t>
            </w:r>
          </w:p>
        </w:tc>
        <w:tc>
          <w:tcPr>
            <w:tcW w:w="3850" w:type="pct"/>
            <w:gridSpan w:val="5"/>
            <w:tcBorders>
              <w:left w:val="single" w:sz="4" w:space="0" w:color="auto"/>
            </w:tcBorders>
            <w:hideMark/>
          </w:tcPr>
          <w:p w:rsidR="00B91FB1" w:rsidRPr="00B17096" w:rsidRDefault="00DD0046" w:rsidP="00926182">
            <w:pPr>
              <w:spacing w:after="0" w:line="240" w:lineRule="auto"/>
              <w:rPr>
                <w:rFonts w:ascii="Times New Roman" w:eastAsia="Times New Roman" w:hAnsi="Times New Roman" w:cs="Times New Roman"/>
                <w:sz w:val="24"/>
                <w:szCs w:val="24"/>
                <w:lang w:eastAsia="lv-LV"/>
              </w:rPr>
            </w:pPr>
            <w:r w:rsidRPr="00B17096">
              <w:rPr>
                <w:rFonts w:ascii="Times New Roman" w:eastAsia="Times New Roman" w:hAnsi="Times New Roman" w:cs="Times New Roman"/>
                <w:sz w:val="24"/>
                <w:szCs w:val="24"/>
                <w:lang w:eastAsia="lv-LV"/>
              </w:rPr>
              <w:t>Direktīvas 2008/99/EK neparedz rīcības brīvību dalībvalstij pārņemt vai ieviest noteiktas ES tiesību akta normas.</w:t>
            </w:r>
          </w:p>
        </w:tc>
      </w:tr>
      <w:tr w:rsidR="006B7E76" w:rsidRPr="006B7E76" w:rsidTr="00C427B0">
        <w:tc>
          <w:tcPr>
            <w:tcW w:w="1150" w:type="pct"/>
            <w:gridSpan w:val="3"/>
            <w:tcBorders>
              <w:right w:val="single" w:sz="4" w:space="0" w:color="auto"/>
            </w:tcBorders>
            <w:hideMark/>
          </w:tcPr>
          <w:p w:rsidR="00B91FB1" w:rsidRPr="0059443C" w:rsidRDefault="00B91FB1" w:rsidP="00926182">
            <w:pPr>
              <w:spacing w:after="0" w:line="240" w:lineRule="auto"/>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left w:val="single" w:sz="4" w:space="0" w:color="auto"/>
            </w:tcBorders>
            <w:hideMark/>
          </w:tcPr>
          <w:p w:rsidR="00B91FB1" w:rsidRPr="0059443C" w:rsidRDefault="00DD0046" w:rsidP="00926182">
            <w:pPr>
              <w:spacing w:after="0" w:line="240" w:lineRule="auto"/>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Direktīvas 2008/99/EK neparedz sniegt paziņojumu ES institūcijām un ES dalībvalstīm atbilstoši normatīvajiem aktiem, kas regulē informācijas sniegšanu par tehnisko noteikumu, valsts atbalsta piešķiršanas un finanšu noteikumu (attiecībā uz monetāro politiku) projektiem.</w:t>
            </w:r>
          </w:p>
        </w:tc>
      </w:tr>
      <w:tr w:rsidR="006B7E76" w:rsidRPr="006B7E76" w:rsidTr="00C427B0">
        <w:tc>
          <w:tcPr>
            <w:tcW w:w="1150" w:type="pct"/>
            <w:gridSpan w:val="3"/>
            <w:tcBorders>
              <w:right w:val="single" w:sz="4" w:space="0" w:color="auto"/>
            </w:tcBorders>
            <w:hideMark/>
          </w:tcPr>
          <w:p w:rsidR="00B91FB1" w:rsidRPr="0059443C" w:rsidRDefault="00B91FB1" w:rsidP="00926182">
            <w:pPr>
              <w:spacing w:after="0" w:line="240" w:lineRule="auto"/>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Cita informācija</w:t>
            </w:r>
          </w:p>
        </w:tc>
        <w:tc>
          <w:tcPr>
            <w:tcW w:w="3850" w:type="pct"/>
            <w:gridSpan w:val="5"/>
            <w:tcBorders>
              <w:left w:val="single" w:sz="4" w:space="0" w:color="auto"/>
            </w:tcBorders>
            <w:hideMark/>
          </w:tcPr>
          <w:p w:rsidR="00B91FB1" w:rsidRPr="0059443C" w:rsidRDefault="007455B8" w:rsidP="00B17096">
            <w:pPr>
              <w:spacing w:after="0" w:line="240" w:lineRule="auto"/>
              <w:ind w:firstLine="27"/>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Nav</w:t>
            </w:r>
            <w:r w:rsidR="006B7E76" w:rsidRPr="0059443C">
              <w:rPr>
                <w:rFonts w:ascii="Times New Roman" w:eastAsia="Times New Roman" w:hAnsi="Times New Roman" w:cs="Times New Roman"/>
                <w:sz w:val="24"/>
                <w:szCs w:val="24"/>
                <w:lang w:eastAsia="lv-LV"/>
              </w:rPr>
              <w:t>.</w:t>
            </w:r>
          </w:p>
        </w:tc>
      </w:tr>
      <w:tr w:rsidR="00A2117D" w:rsidTr="00015ADD">
        <w:tblPrEx>
          <w:jc w:val="center"/>
          <w:tblCellSpacing w:w="15" w:type="dxa"/>
        </w:tblPrEx>
        <w:trPr>
          <w:gridBefore w:val="1"/>
          <w:gridAfter w:val="1"/>
          <w:wBefore w:w="13" w:type="pct"/>
          <w:wAfter w:w="12" w:type="pct"/>
          <w:tblCellSpacing w:w="15" w:type="dxa"/>
          <w:jc w:val="center"/>
        </w:trPr>
        <w:tc>
          <w:tcPr>
            <w:tcW w:w="4975" w:type="pct"/>
            <w:gridSpan w:val="6"/>
            <w:tcBorders>
              <w:bottom w:val="nil"/>
            </w:tcBorders>
            <w:shd w:val="clear" w:color="auto" w:fill="auto"/>
            <w:vAlign w:val="center"/>
            <w:hideMark/>
          </w:tcPr>
          <w:p w:rsidR="00A2117D" w:rsidRPr="0059443C" w:rsidRDefault="00A2117D" w:rsidP="00A2117D">
            <w:pPr>
              <w:spacing w:before="100" w:beforeAutospacing="1" w:after="100" w:afterAutospacing="1" w:line="240" w:lineRule="auto"/>
              <w:ind w:firstLine="300"/>
              <w:jc w:val="center"/>
              <w:rPr>
                <w:rFonts w:ascii="Times New Roman" w:hAnsi="Times New Roman" w:cs="Times New Roman"/>
                <w:b/>
                <w:bCs/>
                <w:sz w:val="24"/>
                <w:szCs w:val="24"/>
              </w:rPr>
            </w:pPr>
            <w:r w:rsidRPr="0059443C">
              <w:rPr>
                <w:rFonts w:ascii="Times New Roman" w:hAnsi="Times New Roman" w:cs="Times New Roman"/>
                <w:b/>
                <w:bCs/>
                <w:sz w:val="24"/>
                <w:szCs w:val="24"/>
              </w:rPr>
              <w:t>2.tabula</w:t>
            </w:r>
            <w:r w:rsidRPr="0059443C">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59443C">
              <w:rPr>
                <w:rFonts w:ascii="Times New Roman" w:hAnsi="Times New Roman" w:cs="Times New Roman"/>
                <w:b/>
                <w:bCs/>
                <w:sz w:val="24"/>
                <w:szCs w:val="24"/>
              </w:rPr>
              <w:br/>
              <w:t>Pasākumi šo saistību izpildei</w:t>
            </w:r>
          </w:p>
        </w:tc>
      </w:tr>
      <w:tr w:rsidR="00015ADD" w:rsidTr="00015ADD">
        <w:tblPrEx>
          <w:jc w:val="center"/>
          <w:tblCellSpacing w:w="15" w:type="dxa"/>
        </w:tblPrEx>
        <w:trPr>
          <w:gridBefore w:val="1"/>
          <w:gridAfter w:val="1"/>
          <w:wBefore w:w="13" w:type="pct"/>
          <w:wAfter w:w="12" w:type="pct"/>
          <w:trHeight w:val="3241"/>
          <w:tblCellSpacing w:w="15" w:type="dxa"/>
          <w:jc w:val="center"/>
        </w:trPr>
        <w:tc>
          <w:tcPr>
            <w:tcW w:w="1125" w:type="pct"/>
            <w:tcBorders>
              <w:bottom w:val="nil"/>
            </w:tcBorders>
            <w:vAlign w:val="center"/>
            <w:hideMark/>
          </w:tcPr>
          <w:p w:rsidR="00A2117D" w:rsidRPr="0059443C" w:rsidRDefault="00A2117D" w:rsidP="00015ADD">
            <w:pPr>
              <w:spacing w:after="0" w:line="240" w:lineRule="auto"/>
              <w:rPr>
                <w:rFonts w:ascii="Times New Roman" w:hAnsi="Times New Roman" w:cs="Times New Roman"/>
                <w:sz w:val="24"/>
                <w:szCs w:val="24"/>
              </w:rPr>
            </w:pPr>
            <w:r w:rsidRPr="0059443C">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850" w:type="pct"/>
            <w:gridSpan w:val="5"/>
            <w:tcBorders>
              <w:left w:val="single" w:sz="4" w:space="0" w:color="auto"/>
              <w:bottom w:val="nil"/>
            </w:tcBorders>
            <w:hideMark/>
          </w:tcPr>
          <w:p w:rsidR="00A2117D" w:rsidRPr="0059443C" w:rsidRDefault="00A2117D" w:rsidP="00A2117D">
            <w:pPr>
              <w:spacing w:line="240" w:lineRule="auto"/>
              <w:jc w:val="both"/>
              <w:rPr>
                <w:rFonts w:ascii="Times New Roman" w:hAnsi="Times New Roman" w:cs="Times New Roman"/>
                <w:sz w:val="24"/>
                <w:szCs w:val="24"/>
              </w:rPr>
            </w:pPr>
            <w:r w:rsidRPr="0059443C">
              <w:rPr>
                <w:rFonts w:ascii="Times New Roman" w:hAnsi="Times New Roman" w:cs="Times New Roman"/>
                <w:sz w:val="24"/>
                <w:szCs w:val="24"/>
              </w:rPr>
              <w:t xml:space="preserve">ANO </w:t>
            </w:r>
            <w:proofErr w:type="gramStart"/>
            <w:r w:rsidRPr="0059443C">
              <w:rPr>
                <w:rFonts w:ascii="Times New Roman" w:hAnsi="Times New Roman" w:cs="Times New Roman"/>
                <w:sz w:val="24"/>
                <w:szCs w:val="24"/>
              </w:rPr>
              <w:t>1984.gada</w:t>
            </w:r>
            <w:proofErr w:type="gramEnd"/>
            <w:r w:rsidRPr="0059443C">
              <w:rPr>
                <w:rFonts w:ascii="Times New Roman" w:hAnsi="Times New Roman" w:cs="Times New Roman"/>
                <w:sz w:val="24"/>
                <w:szCs w:val="24"/>
              </w:rPr>
              <w:t xml:space="preserve"> 10.decembra Konvencija pret spīdzināšanu un citiem nežēlīgas, necilvēcīgas vai pazemojošas izturēšanās vai sodīšanas veidiem  </w:t>
            </w:r>
            <w:r w:rsidR="001B3C60" w:rsidRPr="0059443C">
              <w:rPr>
                <w:rFonts w:ascii="Times New Roman" w:hAnsi="Times New Roman" w:cs="Times New Roman"/>
                <w:sz w:val="24"/>
                <w:szCs w:val="24"/>
              </w:rPr>
              <w:t>(turpmāk – Konvencija)</w:t>
            </w:r>
          </w:p>
        </w:tc>
      </w:tr>
      <w:tr w:rsidR="00015ADD" w:rsidTr="00015ADD">
        <w:tblPrEx>
          <w:jc w:val="center"/>
          <w:tblCellSpacing w:w="15" w:type="dxa"/>
        </w:tblPrEx>
        <w:trPr>
          <w:gridBefore w:val="1"/>
          <w:gridAfter w:val="1"/>
          <w:wBefore w:w="13" w:type="pct"/>
          <w:wAfter w:w="12" w:type="pct"/>
          <w:tblCellSpacing w:w="15" w:type="dxa"/>
          <w:jc w:val="center"/>
        </w:trPr>
        <w:tc>
          <w:tcPr>
            <w:tcW w:w="1125" w:type="pct"/>
            <w:tcBorders>
              <w:bottom w:val="nil"/>
            </w:tcBorders>
            <w:vAlign w:val="center"/>
            <w:hideMark/>
          </w:tcPr>
          <w:p w:rsidR="00015ADD" w:rsidRPr="0059443C" w:rsidRDefault="00015ADD" w:rsidP="00A2117D">
            <w:pPr>
              <w:spacing w:before="100" w:beforeAutospacing="1" w:after="100" w:afterAutospacing="1" w:line="240" w:lineRule="auto"/>
              <w:ind w:firstLine="300"/>
              <w:jc w:val="center"/>
              <w:rPr>
                <w:rFonts w:ascii="Times New Roman" w:hAnsi="Times New Roman" w:cs="Times New Roman"/>
                <w:sz w:val="24"/>
                <w:szCs w:val="24"/>
              </w:rPr>
            </w:pPr>
            <w:r w:rsidRPr="0059443C">
              <w:rPr>
                <w:rFonts w:ascii="Times New Roman" w:hAnsi="Times New Roman" w:cs="Times New Roman"/>
                <w:sz w:val="24"/>
                <w:szCs w:val="24"/>
              </w:rPr>
              <w:t>A</w:t>
            </w:r>
          </w:p>
        </w:tc>
        <w:tc>
          <w:tcPr>
            <w:tcW w:w="1679" w:type="pct"/>
            <w:gridSpan w:val="3"/>
            <w:tcBorders>
              <w:left w:val="single" w:sz="4" w:space="0" w:color="auto"/>
              <w:bottom w:val="nil"/>
            </w:tcBorders>
            <w:vAlign w:val="center"/>
            <w:hideMark/>
          </w:tcPr>
          <w:p w:rsidR="00015ADD" w:rsidRPr="0059443C" w:rsidRDefault="00015ADD" w:rsidP="00A2117D">
            <w:pPr>
              <w:spacing w:before="100" w:beforeAutospacing="1" w:after="100" w:afterAutospacing="1" w:line="240" w:lineRule="auto"/>
              <w:ind w:firstLine="300"/>
              <w:jc w:val="center"/>
              <w:rPr>
                <w:rFonts w:ascii="Times New Roman" w:hAnsi="Times New Roman" w:cs="Times New Roman"/>
                <w:sz w:val="24"/>
                <w:szCs w:val="24"/>
              </w:rPr>
            </w:pPr>
            <w:r w:rsidRPr="0059443C">
              <w:rPr>
                <w:rFonts w:ascii="Times New Roman" w:hAnsi="Times New Roman" w:cs="Times New Roman"/>
                <w:sz w:val="24"/>
                <w:szCs w:val="24"/>
              </w:rPr>
              <w:t>B</w:t>
            </w:r>
          </w:p>
        </w:tc>
        <w:tc>
          <w:tcPr>
            <w:tcW w:w="2171" w:type="pct"/>
            <w:gridSpan w:val="2"/>
            <w:tcBorders>
              <w:bottom w:val="nil"/>
            </w:tcBorders>
            <w:vAlign w:val="center"/>
            <w:hideMark/>
          </w:tcPr>
          <w:p w:rsidR="00015ADD" w:rsidRPr="00B4626A" w:rsidRDefault="00015ADD" w:rsidP="00A2117D">
            <w:pPr>
              <w:spacing w:before="100" w:beforeAutospacing="1" w:after="100" w:afterAutospacing="1" w:line="240" w:lineRule="auto"/>
              <w:ind w:firstLine="300"/>
              <w:jc w:val="center"/>
              <w:rPr>
                <w:rFonts w:ascii="Times New Roman" w:hAnsi="Times New Roman" w:cs="Times New Roman"/>
                <w:color w:val="414142"/>
                <w:sz w:val="24"/>
                <w:szCs w:val="24"/>
              </w:rPr>
            </w:pPr>
            <w:r w:rsidRPr="00B4626A">
              <w:rPr>
                <w:rFonts w:ascii="Times New Roman" w:hAnsi="Times New Roman" w:cs="Times New Roman"/>
                <w:color w:val="414142"/>
                <w:sz w:val="24"/>
                <w:szCs w:val="24"/>
              </w:rPr>
              <w:t>C</w:t>
            </w:r>
          </w:p>
        </w:tc>
      </w:tr>
      <w:tr w:rsidR="00015ADD" w:rsidTr="007B0B04">
        <w:tblPrEx>
          <w:jc w:val="center"/>
          <w:tblCellSpacing w:w="15" w:type="dxa"/>
        </w:tblPrEx>
        <w:trPr>
          <w:gridBefore w:val="1"/>
          <w:gridAfter w:val="1"/>
          <w:wBefore w:w="13" w:type="pct"/>
          <w:wAfter w:w="12" w:type="pct"/>
          <w:tblCellSpacing w:w="15" w:type="dxa"/>
          <w:jc w:val="center"/>
        </w:trPr>
        <w:tc>
          <w:tcPr>
            <w:tcW w:w="1125" w:type="pct"/>
            <w:tcBorders>
              <w:bottom w:val="single" w:sz="4" w:space="0" w:color="auto"/>
            </w:tcBorders>
            <w:hideMark/>
          </w:tcPr>
          <w:p w:rsidR="00015ADD" w:rsidRPr="0059443C" w:rsidRDefault="00015ADD" w:rsidP="00A2117D">
            <w:pPr>
              <w:spacing w:line="240" w:lineRule="auto"/>
              <w:rPr>
                <w:rFonts w:ascii="Times New Roman" w:hAnsi="Times New Roman" w:cs="Times New Roman"/>
                <w:sz w:val="24"/>
                <w:szCs w:val="24"/>
              </w:rPr>
            </w:pPr>
            <w:r w:rsidRPr="0059443C">
              <w:rPr>
                <w:rFonts w:ascii="Times New Roman" w:hAnsi="Times New Roman" w:cs="Times New Roman"/>
                <w:sz w:val="24"/>
                <w:szCs w:val="24"/>
              </w:rPr>
              <w:t xml:space="preserve">Starptautiskās saistības (pēc būtības), kas izriet no norādītā starptautiskā dokumenta. </w:t>
            </w:r>
          </w:p>
          <w:p w:rsidR="00015ADD" w:rsidRPr="0059443C" w:rsidRDefault="00015ADD" w:rsidP="00A2117D">
            <w:pPr>
              <w:spacing w:before="100" w:beforeAutospacing="1" w:after="100" w:afterAutospacing="1" w:line="240" w:lineRule="auto"/>
              <w:ind w:firstLine="300"/>
              <w:rPr>
                <w:rFonts w:ascii="Times New Roman" w:hAnsi="Times New Roman" w:cs="Times New Roman"/>
                <w:sz w:val="24"/>
                <w:szCs w:val="24"/>
              </w:rPr>
            </w:pPr>
            <w:r w:rsidRPr="0059443C">
              <w:rPr>
                <w:rFonts w:ascii="Times New Roman" w:hAnsi="Times New Roman" w:cs="Times New Roman"/>
                <w:sz w:val="24"/>
                <w:szCs w:val="24"/>
              </w:rPr>
              <w:t>Konkrēti veicamie pasākumi vai uzdevumi, kas nepieciešami šo starptautisko saistību izpildei</w:t>
            </w:r>
          </w:p>
        </w:tc>
        <w:tc>
          <w:tcPr>
            <w:tcW w:w="1679" w:type="pct"/>
            <w:gridSpan w:val="3"/>
            <w:tcBorders>
              <w:top w:val="single" w:sz="4" w:space="0" w:color="auto"/>
              <w:left w:val="single" w:sz="4" w:space="0" w:color="auto"/>
              <w:bottom w:val="single" w:sz="4" w:space="0" w:color="auto"/>
              <w:right w:val="single" w:sz="4" w:space="0" w:color="auto"/>
            </w:tcBorders>
            <w:hideMark/>
          </w:tcPr>
          <w:p w:rsidR="00015ADD" w:rsidRPr="0059443C" w:rsidRDefault="00015ADD" w:rsidP="00A2117D">
            <w:pPr>
              <w:spacing w:line="240" w:lineRule="auto"/>
              <w:rPr>
                <w:rFonts w:ascii="Times New Roman" w:hAnsi="Times New Roman" w:cs="Times New Roman"/>
                <w:sz w:val="24"/>
                <w:szCs w:val="24"/>
              </w:rPr>
            </w:pPr>
            <w:r w:rsidRPr="0059443C">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71" w:type="pct"/>
            <w:gridSpan w:val="2"/>
            <w:tcBorders>
              <w:top w:val="single" w:sz="4" w:space="0" w:color="auto"/>
              <w:bottom w:val="single" w:sz="4" w:space="0" w:color="auto"/>
            </w:tcBorders>
            <w:hideMark/>
          </w:tcPr>
          <w:p w:rsidR="00015ADD" w:rsidRPr="00D71747" w:rsidRDefault="00015ADD" w:rsidP="00015ADD">
            <w:pPr>
              <w:spacing w:line="240" w:lineRule="auto"/>
              <w:rPr>
                <w:rFonts w:ascii="Times New Roman" w:hAnsi="Times New Roman" w:cs="Times New Roman"/>
                <w:sz w:val="24"/>
                <w:szCs w:val="24"/>
              </w:rPr>
            </w:pPr>
            <w:r w:rsidRPr="00D71747">
              <w:rPr>
                <w:rFonts w:ascii="Times New Roman" w:hAnsi="Times New Roman" w:cs="Times New Roman"/>
                <w:sz w:val="24"/>
                <w:szCs w:val="24"/>
              </w:rPr>
              <w:t xml:space="preserve">Informācija par to, vai starptautiskās saistības, kas minētas šīs tabulas A ailē, tiek izpildītas pilnībā vai daļēji. </w:t>
            </w:r>
          </w:p>
          <w:p w:rsidR="00015ADD" w:rsidRPr="00D71747" w:rsidRDefault="00015ADD" w:rsidP="00015ADD">
            <w:pPr>
              <w:spacing w:before="100" w:beforeAutospacing="1" w:after="100" w:afterAutospacing="1" w:line="240" w:lineRule="auto"/>
              <w:rPr>
                <w:rFonts w:ascii="Times New Roman" w:hAnsi="Times New Roman" w:cs="Times New Roman"/>
                <w:sz w:val="24"/>
                <w:szCs w:val="24"/>
              </w:rPr>
            </w:pPr>
            <w:r w:rsidRPr="00D71747">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015ADD" w:rsidRPr="00D71747" w:rsidRDefault="00015ADD" w:rsidP="00015ADD">
            <w:pPr>
              <w:spacing w:before="100" w:beforeAutospacing="1" w:after="100" w:afterAutospacing="1" w:line="240" w:lineRule="auto"/>
              <w:rPr>
                <w:rFonts w:ascii="Times New Roman" w:hAnsi="Times New Roman" w:cs="Times New Roman"/>
                <w:sz w:val="24"/>
                <w:szCs w:val="24"/>
              </w:rPr>
            </w:pPr>
            <w:r w:rsidRPr="00D71747">
              <w:rPr>
                <w:rFonts w:ascii="Times New Roman" w:hAnsi="Times New Roman" w:cs="Times New Roman"/>
                <w:sz w:val="24"/>
                <w:szCs w:val="24"/>
              </w:rPr>
              <w:t>Norāda institūciju, kas ir atbildīga par šo saistību izpildi pilnībā</w:t>
            </w:r>
            <w:r>
              <w:rPr>
                <w:rFonts w:ascii="Times New Roman" w:hAnsi="Times New Roman" w:cs="Times New Roman"/>
                <w:sz w:val="24"/>
                <w:szCs w:val="24"/>
              </w:rPr>
              <w:t>.</w:t>
            </w:r>
          </w:p>
        </w:tc>
      </w:tr>
      <w:tr w:rsidR="00A2117D" w:rsidTr="000C7A0A">
        <w:tblPrEx>
          <w:jc w:val="center"/>
          <w:tblCellSpacing w:w="15" w:type="dxa"/>
        </w:tblPrEx>
        <w:trPr>
          <w:gridBefore w:val="1"/>
          <w:gridAfter w:val="1"/>
          <w:wBefore w:w="13" w:type="pct"/>
          <w:wAfter w:w="12" w:type="pct"/>
          <w:trHeight w:val="3068"/>
          <w:tblCellSpacing w:w="15" w:type="dxa"/>
          <w:jc w:val="center"/>
        </w:trPr>
        <w:tc>
          <w:tcPr>
            <w:tcW w:w="1125" w:type="pct"/>
            <w:tcBorders>
              <w:top w:val="nil"/>
              <w:bottom w:val="nil"/>
            </w:tcBorders>
            <w:hideMark/>
          </w:tcPr>
          <w:p w:rsidR="00A2117D" w:rsidRPr="0059443C" w:rsidRDefault="003B77D6" w:rsidP="003B77D6">
            <w:pPr>
              <w:spacing w:line="240" w:lineRule="auto"/>
              <w:rPr>
                <w:rFonts w:ascii="Times New Roman" w:hAnsi="Times New Roman" w:cs="Times New Roman"/>
                <w:sz w:val="24"/>
                <w:szCs w:val="24"/>
              </w:rPr>
            </w:pPr>
            <w:r w:rsidRPr="0059443C">
              <w:rPr>
                <w:rFonts w:ascii="Times New Roman" w:hAnsi="Times New Roman" w:cs="Times New Roman"/>
                <w:sz w:val="24"/>
                <w:szCs w:val="24"/>
              </w:rPr>
              <w:t>Konvencijas</w:t>
            </w:r>
            <w:proofErr w:type="gramStart"/>
            <w:r w:rsidR="00A2117D" w:rsidRPr="0059443C">
              <w:rPr>
                <w:rFonts w:ascii="Times New Roman" w:hAnsi="Times New Roman" w:cs="Times New Roman"/>
                <w:sz w:val="24"/>
                <w:szCs w:val="24"/>
              </w:rPr>
              <w:t xml:space="preserve">  </w:t>
            </w:r>
            <w:proofErr w:type="gramEnd"/>
            <w:r w:rsidR="00A2117D" w:rsidRPr="0059443C">
              <w:rPr>
                <w:rFonts w:ascii="Times New Roman" w:hAnsi="Times New Roman" w:cs="Times New Roman"/>
                <w:sz w:val="24"/>
                <w:szCs w:val="24"/>
              </w:rPr>
              <w:t>1.panta 1.punkt</w:t>
            </w:r>
            <w:r w:rsidR="00CC0AF5" w:rsidRPr="0059443C">
              <w:rPr>
                <w:rFonts w:ascii="Times New Roman" w:hAnsi="Times New Roman" w:cs="Times New Roman"/>
                <w:sz w:val="24"/>
                <w:szCs w:val="24"/>
              </w:rPr>
              <w:t xml:space="preserve">ā „spīdzināšana” tiek definēta </w:t>
            </w:r>
            <w:r w:rsidRPr="0059443C">
              <w:rPr>
                <w:rFonts w:ascii="Times New Roman" w:hAnsi="Times New Roman" w:cs="Times New Roman"/>
                <w:sz w:val="24"/>
                <w:szCs w:val="24"/>
              </w:rPr>
              <w:t>tādējādi</w:t>
            </w:r>
            <w:r w:rsidR="00CC0AF5" w:rsidRPr="0059443C">
              <w:rPr>
                <w:rFonts w:ascii="Times New Roman" w:hAnsi="Times New Roman" w:cs="Times New Roman"/>
                <w:sz w:val="24"/>
                <w:szCs w:val="24"/>
              </w:rPr>
              <w:t>, ka tā var ietekmēt ne tikai spīdzinātās personas gribu, bet arī trešās personas gribu.</w:t>
            </w:r>
          </w:p>
        </w:tc>
        <w:tc>
          <w:tcPr>
            <w:tcW w:w="1679" w:type="pct"/>
            <w:gridSpan w:val="3"/>
            <w:tcBorders>
              <w:top w:val="nil"/>
              <w:left w:val="single" w:sz="4" w:space="0" w:color="auto"/>
              <w:bottom w:val="nil"/>
              <w:right w:val="single" w:sz="4" w:space="0" w:color="auto"/>
            </w:tcBorders>
            <w:hideMark/>
          </w:tcPr>
          <w:p w:rsidR="00A2117D" w:rsidRPr="0059443C" w:rsidRDefault="001B3C60" w:rsidP="00015ADD">
            <w:pPr>
              <w:spacing w:after="0" w:line="240" w:lineRule="auto"/>
              <w:rPr>
                <w:rFonts w:ascii="Times New Roman" w:hAnsi="Times New Roman" w:cs="Times New Roman"/>
                <w:sz w:val="24"/>
                <w:szCs w:val="24"/>
              </w:rPr>
            </w:pPr>
            <w:r w:rsidRPr="0059443C">
              <w:rPr>
                <w:rFonts w:ascii="Times New Roman" w:hAnsi="Times New Roman" w:cs="Times New Roman"/>
                <w:sz w:val="24"/>
                <w:szCs w:val="24"/>
              </w:rPr>
              <w:t xml:space="preserve">Likumprojekts </w:t>
            </w:r>
            <w:proofErr w:type="gramStart"/>
            <w:r w:rsidRPr="0059443C">
              <w:rPr>
                <w:rFonts w:ascii="Times New Roman" w:hAnsi="Times New Roman" w:cs="Times New Roman"/>
                <w:sz w:val="24"/>
                <w:szCs w:val="24"/>
              </w:rPr>
              <w:t>5.pants</w:t>
            </w:r>
            <w:proofErr w:type="gramEnd"/>
            <w:r w:rsidRPr="0059443C">
              <w:rPr>
                <w:rFonts w:ascii="Times New Roman" w:hAnsi="Times New Roman" w:cs="Times New Roman"/>
                <w:sz w:val="24"/>
                <w:szCs w:val="24"/>
              </w:rPr>
              <w:t xml:space="preserve"> paredz papildināt PKLS 24.</w:t>
            </w:r>
            <w:r w:rsidRPr="00D71747">
              <w:rPr>
                <w:rFonts w:ascii="Times New Roman" w:hAnsi="Times New Roman" w:cs="Times New Roman"/>
                <w:sz w:val="24"/>
                <w:szCs w:val="24"/>
                <w:vertAlign w:val="superscript"/>
              </w:rPr>
              <w:t>1</w:t>
            </w:r>
            <w:r w:rsidRPr="0059443C">
              <w:rPr>
                <w:rFonts w:ascii="Times New Roman" w:hAnsi="Times New Roman" w:cs="Times New Roman"/>
                <w:sz w:val="24"/>
                <w:szCs w:val="24"/>
              </w:rPr>
              <w:t xml:space="preserve">pantu pēc vārda „tās” ar vārdiem „vai citas personas”, tādējādi nosakot, ka ar spīdzināšanu saprot arī darbības vai bezdarbības veikšanu, ietekmējot ne tikai cietušā, bet arī trešās personas apziņu vai gribu, kas atbilst </w:t>
            </w:r>
            <w:r w:rsidR="003B77D6" w:rsidRPr="0059443C">
              <w:rPr>
                <w:rFonts w:ascii="Times New Roman" w:hAnsi="Times New Roman" w:cs="Times New Roman"/>
                <w:sz w:val="24"/>
                <w:szCs w:val="24"/>
              </w:rPr>
              <w:t>Konvencijas</w:t>
            </w:r>
            <w:r w:rsidRPr="0059443C">
              <w:rPr>
                <w:rFonts w:ascii="Times New Roman" w:hAnsi="Times New Roman" w:cs="Times New Roman"/>
                <w:sz w:val="24"/>
                <w:szCs w:val="24"/>
              </w:rPr>
              <w:t xml:space="preserve"> 1.panta 1.punktā noteiktajam.</w:t>
            </w:r>
          </w:p>
        </w:tc>
        <w:tc>
          <w:tcPr>
            <w:tcW w:w="2171" w:type="pct"/>
            <w:gridSpan w:val="2"/>
            <w:tcBorders>
              <w:top w:val="nil"/>
              <w:bottom w:val="nil"/>
            </w:tcBorders>
            <w:hideMark/>
          </w:tcPr>
          <w:p w:rsidR="001B3C60" w:rsidRPr="00D71747" w:rsidRDefault="001B3C60" w:rsidP="001B3C60">
            <w:pPr>
              <w:spacing w:line="240" w:lineRule="auto"/>
              <w:rPr>
                <w:rFonts w:ascii="Times New Roman" w:hAnsi="Times New Roman" w:cs="Times New Roman"/>
                <w:sz w:val="24"/>
                <w:szCs w:val="24"/>
              </w:rPr>
            </w:pPr>
            <w:r w:rsidRPr="00D71747">
              <w:rPr>
                <w:rFonts w:ascii="Times New Roman" w:hAnsi="Times New Roman" w:cs="Times New Roman"/>
                <w:sz w:val="24"/>
                <w:szCs w:val="24"/>
              </w:rPr>
              <w:t>KL 272.</w:t>
            </w:r>
            <w:r w:rsidRPr="00D71747">
              <w:rPr>
                <w:rFonts w:ascii="Times New Roman" w:hAnsi="Times New Roman" w:cs="Times New Roman"/>
                <w:sz w:val="24"/>
                <w:szCs w:val="24"/>
                <w:vertAlign w:val="superscript"/>
              </w:rPr>
              <w:t>1</w:t>
            </w:r>
            <w:r w:rsidRPr="00D71747">
              <w:rPr>
                <w:rFonts w:ascii="Times New Roman" w:hAnsi="Times New Roman" w:cs="Times New Roman"/>
                <w:sz w:val="24"/>
                <w:szCs w:val="24"/>
              </w:rPr>
              <w:t>panta tre</w:t>
            </w:r>
            <w:r w:rsidR="003B77D6" w:rsidRPr="00D71747">
              <w:rPr>
                <w:rFonts w:ascii="Times New Roman" w:hAnsi="Times New Roman" w:cs="Times New Roman"/>
                <w:sz w:val="24"/>
                <w:szCs w:val="24"/>
              </w:rPr>
              <w:t>š</w:t>
            </w:r>
            <w:r w:rsidRPr="00D71747">
              <w:rPr>
                <w:rFonts w:ascii="Times New Roman" w:hAnsi="Times New Roman" w:cs="Times New Roman"/>
                <w:sz w:val="24"/>
                <w:szCs w:val="24"/>
              </w:rPr>
              <w:t>ā daļ</w:t>
            </w:r>
            <w:r w:rsidR="003B77D6" w:rsidRPr="00D71747">
              <w:rPr>
                <w:rFonts w:ascii="Times New Roman" w:hAnsi="Times New Roman" w:cs="Times New Roman"/>
                <w:sz w:val="24"/>
                <w:szCs w:val="24"/>
              </w:rPr>
              <w:t>a</w:t>
            </w:r>
            <w:r w:rsidRPr="00D71747">
              <w:rPr>
                <w:rFonts w:ascii="Times New Roman" w:hAnsi="Times New Roman" w:cs="Times New Roman"/>
                <w:sz w:val="24"/>
                <w:szCs w:val="24"/>
              </w:rPr>
              <w:t>, 249.panta otrā daļ</w:t>
            </w:r>
            <w:r w:rsidR="003B77D6" w:rsidRPr="00D71747">
              <w:rPr>
                <w:rFonts w:ascii="Times New Roman" w:hAnsi="Times New Roman" w:cs="Times New Roman"/>
                <w:sz w:val="24"/>
                <w:szCs w:val="24"/>
              </w:rPr>
              <w:t>a</w:t>
            </w:r>
            <w:r w:rsidRPr="00D71747">
              <w:rPr>
                <w:rFonts w:ascii="Times New Roman" w:hAnsi="Times New Roman" w:cs="Times New Roman"/>
                <w:sz w:val="24"/>
                <w:szCs w:val="24"/>
              </w:rPr>
              <w:t xml:space="preserve">, 301.panta </w:t>
            </w:r>
            <w:r w:rsidR="003B77D6" w:rsidRPr="00D71747">
              <w:rPr>
                <w:rFonts w:ascii="Times New Roman" w:hAnsi="Times New Roman" w:cs="Times New Roman"/>
                <w:sz w:val="24"/>
                <w:szCs w:val="24"/>
              </w:rPr>
              <w:t>trešā daļa</w:t>
            </w:r>
            <w:r w:rsidR="004F5D59" w:rsidRPr="00D71747">
              <w:rPr>
                <w:rFonts w:ascii="Times New Roman" w:hAnsi="Times New Roman" w:cs="Times New Roman"/>
                <w:sz w:val="24"/>
                <w:szCs w:val="24"/>
              </w:rPr>
              <w:t xml:space="preserve"> un</w:t>
            </w:r>
            <w:r w:rsidRPr="00D71747">
              <w:rPr>
                <w:rFonts w:ascii="Times New Roman" w:hAnsi="Times New Roman" w:cs="Times New Roman"/>
                <w:sz w:val="24"/>
                <w:szCs w:val="24"/>
              </w:rPr>
              <w:t xml:space="preserve"> 317.panta </w:t>
            </w:r>
            <w:r w:rsidR="003B77D6" w:rsidRPr="00D71747">
              <w:rPr>
                <w:rFonts w:ascii="Times New Roman" w:hAnsi="Times New Roman" w:cs="Times New Roman"/>
                <w:sz w:val="24"/>
                <w:szCs w:val="24"/>
              </w:rPr>
              <w:t>trešā daļa</w:t>
            </w:r>
            <w:r w:rsidR="004F5D59" w:rsidRPr="00D71747">
              <w:rPr>
                <w:rFonts w:ascii="Times New Roman" w:hAnsi="Times New Roman" w:cs="Times New Roman"/>
                <w:sz w:val="24"/>
                <w:szCs w:val="24"/>
              </w:rPr>
              <w:t xml:space="preserve"> pilnībā aptver Konvencijas 1.panta 1.punktā minētās valsts amatpersonu veiktās darbības, kas saistītas ar spīdzināšanu</w:t>
            </w:r>
            <w:r w:rsidRPr="00D71747">
              <w:rPr>
                <w:rFonts w:ascii="Times New Roman" w:hAnsi="Times New Roman" w:cs="Times New Roman"/>
                <w:sz w:val="24"/>
                <w:szCs w:val="24"/>
              </w:rPr>
              <w:t>.</w:t>
            </w:r>
            <w:r w:rsidR="003B77D6" w:rsidRPr="00D71747">
              <w:rPr>
                <w:rFonts w:ascii="Times New Roman" w:hAnsi="Times New Roman" w:cs="Times New Roman"/>
                <w:sz w:val="24"/>
                <w:szCs w:val="24"/>
              </w:rPr>
              <w:t xml:space="preserve">  </w:t>
            </w:r>
          </w:p>
          <w:p w:rsidR="00A2117D" w:rsidRPr="00D71747" w:rsidRDefault="004F5D59" w:rsidP="00015ADD">
            <w:pPr>
              <w:spacing w:after="0" w:line="240" w:lineRule="auto"/>
              <w:rPr>
                <w:rFonts w:ascii="Times New Roman" w:hAnsi="Times New Roman" w:cs="Times New Roman"/>
                <w:sz w:val="24"/>
                <w:szCs w:val="24"/>
              </w:rPr>
            </w:pPr>
            <w:r w:rsidRPr="00D71747">
              <w:rPr>
                <w:rFonts w:ascii="Times New Roman" w:hAnsi="Times New Roman" w:cs="Times New Roman"/>
                <w:sz w:val="24"/>
                <w:szCs w:val="24"/>
              </w:rPr>
              <w:t>Ar likumprojektu</w:t>
            </w:r>
            <w:r w:rsidR="003B77D6" w:rsidRPr="00D71747">
              <w:rPr>
                <w:rFonts w:ascii="Times New Roman" w:hAnsi="Times New Roman" w:cs="Times New Roman"/>
                <w:sz w:val="24"/>
                <w:szCs w:val="24"/>
              </w:rPr>
              <w:t xml:space="preserve"> PKLS 24.</w:t>
            </w:r>
            <w:r w:rsidR="003B77D6" w:rsidRPr="00D71747">
              <w:rPr>
                <w:rFonts w:ascii="Times New Roman" w:hAnsi="Times New Roman" w:cs="Times New Roman"/>
                <w:sz w:val="24"/>
                <w:szCs w:val="24"/>
                <w:vertAlign w:val="superscript"/>
              </w:rPr>
              <w:t>1</w:t>
            </w:r>
            <w:r w:rsidR="003B77D6" w:rsidRPr="00D71747">
              <w:rPr>
                <w:rFonts w:ascii="Times New Roman" w:hAnsi="Times New Roman" w:cs="Times New Roman"/>
                <w:sz w:val="24"/>
                <w:szCs w:val="24"/>
              </w:rPr>
              <w:t>pant</w:t>
            </w:r>
            <w:r w:rsidRPr="00D71747">
              <w:rPr>
                <w:rFonts w:ascii="Times New Roman" w:hAnsi="Times New Roman" w:cs="Times New Roman"/>
                <w:sz w:val="24"/>
                <w:szCs w:val="24"/>
              </w:rPr>
              <w:t>ā tiks nodrošināta „spīdzināšanas”</w:t>
            </w:r>
            <w:r w:rsidR="003B77D6" w:rsidRPr="00D71747">
              <w:rPr>
                <w:rFonts w:ascii="Times New Roman" w:hAnsi="Times New Roman" w:cs="Times New Roman"/>
                <w:sz w:val="24"/>
                <w:szCs w:val="24"/>
              </w:rPr>
              <w:t xml:space="preserve"> </w:t>
            </w:r>
            <w:r w:rsidRPr="00D71747">
              <w:rPr>
                <w:rFonts w:ascii="Times New Roman" w:hAnsi="Times New Roman" w:cs="Times New Roman"/>
                <w:sz w:val="24"/>
                <w:szCs w:val="24"/>
              </w:rPr>
              <w:t>definīcijas pilnīga atbilstība</w:t>
            </w:r>
            <w:r w:rsidR="003B77D6" w:rsidRPr="00D71747">
              <w:rPr>
                <w:rFonts w:ascii="Times New Roman" w:hAnsi="Times New Roman" w:cs="Times New Roman"/>
                <w:sz w:val="24"/>
                <w:szCs w:val="24"/>
              </w:rPr>
              <w:t xml:space="preserve"> Konvencijas </w:t>
            </w:r>
            <w:proofErr w:type="gramStart"/>
            <w:r w:rsidRPr="00D71747">
              <w:rPr>
                <w:rFonts w:ascii="Times New Roman" w:hAnsi="Times New Roman" w:cs="Times New Roman"/>
                <w:sz w:val="24"/>
                <w:szCs w:val="24"/>
              </w:rPr>
              <w:t>1.panta</w:t>
            </w:r>
            <w:proofErr w:type="gramEnd"/>
            <w:r w:rsidRPr="00D71747">
              <w:rPr>
                <w:rFonts w:ascii="Times New Roman" w:hAnsi="Times New Roman" w:cs="Times New Roman"/>
                <w:sz w:val="24"/>
                <w:szCs w:val="24"/>
              </w:rPr>
              <w:t xml:space="preserve"> 1.punktam.</w:t>
            </w:r>
          </w:p>
        </w:tc>
      </w:tr>
      <w:tr w:rsidR="00A2117D" w:rsidTr="00015ADD">
        <w:tblPrEx>
          <w:jc w:val="center"/>
          <w:tblCellSpacing w:w="15" w:type="dxa"/>
        </w:tblPrEx>
        <w:trPr>
          <w:gridBefore w:val="1"/>
          <w:gridAfter w:val="1"/>
          <w:wBefore w:w="13" w:type="pct"/>
          <w:wAfter w:w="12" w:type="pct"/>
          <w:tblCellSpacing w:w="15" w:type="dxa"/>
          <w:jc w:val="center"/>
        </w:trPr>
        <w:tc>
          <w:tcPr>
            <w:tcW w:w="1125" w:type="pct"/>
            <w:tcBorders>
              <w:bottom w:val="nil"/>
            </w:tcBorders>
            <w:hideMark/>
          </w:tcPr>
          <w:p w:rsidR="00A2117D" w:rsidRPr="0059443C" w:rsidRDefault="00A2117D" w:rsidP="0059443C">
            <w:pPr>
              <w:spacing w:after="0" w:line="240" w:lineRule="auto"/>
              <w:jc w:val="both"/>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850" w:type="pct"/>
            <w:gridSpan w:val="5"/>
            <w:tcBorders>
              <w:left w:val="single" w:sz="4" w:space="0" w:color="auto"/>
              <w:bottom w:val="nil"/>
            </w:tcBorders>
            <w:hideMark/>
          </w:tcPr>
          <w:p w:rsidR="00A2117D" w:rsidRPr="0059443C" w:rsidRDefault="004F5D59" w:rsidP="0059443C">
            <w:pPr>
              <w:spacing w:after="0" w:line="240" w:lineRule="auto"/>
              <w:jc w:val="both"/>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Nav pretrunā.</w:t>
            </w:r>
          </w:p>
        </w:tc>
      </w:tr>
      <w:tr w:rsidR="00A2117D" w:rsidTr="00015ADD">
        <w:tblPrEx>
          <w:jc w:val="center"/>
          <w:tblCellSpacing w:w="15" w:type="dxa"/>
        </w:tblPrEx>
        <w:trPr>
          <w:gridBefore w:val="1"/>
          <w:gridAfter w:val="1"/>
          <w:wBefore w:w="13" w:type="pct"/>
          <w:wAfter w:w="12" w:type="pct"/>
          <w:trHeight w:val="272"/>
          <w:tblCellSpacing w:w="15" w:type="dxa"/>
          <w:jc w:val="center"/>
        </w:trPr>
        <w:tc>
          <w:tcPr>
            <w:tcW w:w="1125" w:type="pct"/>
            <w:tcBorders>
              <w:bottom w:val="nil"/>
            </w:tcBorders>
            <w:hideMark/>
          </w:tcPr>
          <w:p w:rsidR="00A2117D" w:rsidRPr="0059443C" w:rsidRDefault="00A2117D" w:rsidP="0059443C">
            <w:pPr>
              <w:spacing w:after="0" w:line="240" w:lineRule="auto"/>
              <w:jc w:val="both"/>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Cita informācija</w:t>
            </w:r>
          </w:p>
        </w:tc>
        <w:tc>
          <w:tcPr>
            <w:tcW w:w="3850" w:type="pct"/>
            <w:gridSpan w:val="5"/>
            <w:tcBorders>
              <w:left w:val="single" w:sz="4" w:space="0" w:color="auto"/>
              <w:bottom w:val="nil"/>
            </w:tcBorders>
            <w:hideMark/>
          </w:tcPr>
          <w:p w:rsidR="00A2117D" w:rsidRPr="0059443C" w:rsidRDefault="004F5D59" w:rsidP="0059443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9443C">
              <w:rPr>
                <w:rFonts w:ascii="Times New Roman" w:eastAsia="Times New Roman" w:hAnsi="Times New Roman" w:cs="Times New Roman"/>
                <w:sz w:val="24"/>
                <w:szCs w:val="24"/>
                <w:lang w:eastAsia="lv-LV"/>
              </w:rPr>
              <w:t>Nav</w:t>
            </w:r>
            <w:r w:rsidR="00B4626A" w:rsidRPr="0059443C">
              <w:rPr>
                <w:rFonts w:ascii="Times New Roman" w:eastAsia="Times New Roman" w:hAnsi="Times New Roman" w:cs="Times New Roman"/>
                <w:sz w:val="24"/>
                <w:szCs w:val="24"/>
                <w:lang w:eastAsia="lv-LV"/>
              </w:rPr>
              <w:t>.</w:t>
            </w:r>
          </w:p>
        </w:tc>
      </w:tr>
    </w:tbl>
    <w:p w:rsidR="00B91FB1" w:rsidRDefault="00B91FB1" w:rsidP="00DA596D">
      <w:pPr>
        <w:spacing w:after="0" w:line="240" w:lineRule="auto"/>
        <w:rPr>
          <w:rFonts w:ascii="Times New Roman" w:eastAsia="Times New Roman" w:hAnsi="Times New Roman" w:cs="Times New Roman"/>
          <w:color w:val="000000" w:themeColor="text1"/>
          <w:sz w:val="24"/>
          <w:szCs w:val="24"/>
          <w:lang w:eastAsia="lv-LV"/>
        </w:rPr>
      </w:pPr>
    </w:p>
    <w:p w:rsidR="00AD3E96" w:rsidRPr="00BF6851" w:rsidRDefault="00AD3E96"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BF6851" w:rsidRPr="00BF6851"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F6851"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BF6851" w:rsidRPr="00BF6851"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A25942">
            <w:pPr>
              <w:spacing w:after="0" w:line="240" w:lineRule="auto"/>
              <w:jc w:val="both"/>
              <w:rPr>
                <w:rFonts w:ascii="Times New Roman" w:eastAsia="Times New Roman" w:hAnsi="Times New Roman" w:cs="Times New Roman"/>
                <w:color w:val="000000" w:themeColor="text1"/>
                <w:sz w:val="24"/>
                <w:szCs w:val="24"/>
                <w:lang w:eastAsia="lv-LV"/>
              </w:rPr>
            </w:pPr>
            <w:r w:rsidRPr="00A25942">
              <w:rPr>
                <w:rFonts w:ascii="Times New Roman" w:eastAsia="Times New Roman" w:hAnsi="Times New Roman" w:cs="Times New Roman"/>
                <w:color w:val="000000" w:themeColor="text1"/>
                <w:sz w:val="24"/>
                <w:szCs w:val="24"/>
                <w:lang w:eastAsia="lv-LV"/>
              </w:rPr>
              <w:t>Līdz ar grozījumu izstrādes uzsākšanu to apspriešanā piedalījās Sabiedriskās politikas centrs PROVIDUS.</w:t>
            </w:r>
          </w:p>
        </w:tc>
      </w:tr>
      <w:tr w:rsidR="00BF6851" w:rsidRPr="00BF6851"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A25942">
            <w:pPr>
              <w:spacing w:after="0" w:line="240" w:lineRule="auto"/>
              <w:jc w:val="both"/>
              <w:rPr>
                <w:rFonts w:ascii="Times New Roman" w:eastAsia="Times New Roman" w:hAnsi="Times New Roman" w:cs="Times New Roman"/>
                <w:color w:val="000000" w:themeColor="text1"/>
                <w:sz w:val="24"/>
                <w:szCs w:val="24"/>
                <w:lang w:eastAsia="lv-LV"/>
              </w:rPr>
            </w:pPr>
            <w:r w:rsidRPr="00A25942">
              <w:rPr>
                <w:rFonts w:ascii="Times New Roman" w:eastAsia="Times New Roman" w:hAnsi="Times New Roman" w:cs="Times New Roman"/>
                <w:color w:val="000000" w:themeColor="text1"/>
                <w:sz w:val="24"/>
                <w:szCs w:val="24"/>
                <w:lang w:eastAsia="lv-LV"/>
              </w:rPr>
              <w:t>Sabiedriskās politikas centrs PROVIDUS pastāvīgi piedalījās darba grupas sanāksmēs un saņēma izstrādāto grozījumu priekšlikumus.</w:t>
            </w:r>
          </w:p>
        </w:tc>
      </w:tr>
      <w:tr w:rsidR="00BF6851" w:rsidRPr="00BF685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F6851" w:rsidRDefault="00A25942" w:rsidP="00A25942">
            <w:pPr>
              <w:spacing w:after="0" w:line="240" w:lineRule="auto"/>
              <w:jc w:val="both"/>
              <w:rPr>
                <w:rFonts w:ascii="Times New Roman" w:eastAsia="Times New Roman" w:hAnsi="Times New Roman" w:cs="Times New Roman"/>
                <w:color w:val="000000" w:themeColor="text1"/>
                <w:sz w:val="24"/>
                <w:szCs w:val="24"/>
                <w:lang w:eastAsia="lv-LV"/>
              </w:rPr>
            </w:pPr>
            <w:r w:rsidRPr="00A25942">
              <w:rPr>
                <w:rFonts w:ascii="Times New Roman" w:eastAsia="Times New Roman" w:hAnsi="Times New Roman" w:cs="Times New Roman"/>
                <w:color w:val="000000" w:themeColor="text1"/>
                <w:sz w:val="24"/>
                <w:szCs w:val="24"/>
                <w:lang w:eastAsia="lv-LV"/>
              </w:rPr>
              <w:t xml:space="preserve">Sabiedriskās politikas centrs PROVIDUS neiebilda pret izstrādātajiem grozījumiem </w:t>
            </w:r>
            <w:r w:rsidR="00347E90" w:rsidRPr="00347E90">
              <w:rPr>
                <w:rFonts w:ascii="Times New Roman" w:eastAsia="Times New Roman" w:hAnsi="Times New Roman" w:cs="Times New Roman"/>
                <w:color w:val="000000" w:themeColor="text1"/>
                <w:sz w:val="24"/>
                <w:szCs w:val="24"/>
                <w:lang w:eastAsia="lv-LV"/>
              </w:rPr>
              <w:t>PKLS</w:t>
            </w:r>
            <w:r w:rsidRPr="00A25942">
              <w:rPr>
                <w:rFonts w:ascii="Times New Roman" w:eastAsia="Times New Roman" w:hAnsi="Times New Roman" w:cs="Times New Roman"/>
                <w:color w:val="000000" w:themeColor="text1"/>
                <w:sz w:val="24"/>
                <w:szCs w:val="24"/>
                <w:lang w:eastAsia="lv-LV"/>
              </w:rPr>
              <w:t>.</w:t>
            </w:r>
            <w:r w:rsidR="00347E90">
              <w:rPr>
                <w:rFonts w:ascii="Times New Roman" w:eastAsia="Times New Roman" w:hAnsi="Times New Roman" w:cs="Times New Roman"/>
                <w:color w:val="000000" w:themeColor="text1"/>
                <w:sz w:val="24"/>
                <w:szCs w:val="24"/>
                <w:lang w:eastAsia="lv-LV"/>
              </w:rPr>
              <w:t xml:space="preserve"> </w:t>
            </w:r>
          </w:p>
        </w:tc>
      </w:tr>
      <w:tr w:rsidR="004D15A9" w:rsidRPr="00BF6851" w:rsidTr="000C7A0A">
        <w:trPr>
          <w:trHeight w:val="270"/>
        </w:trPr>
        <w:tc>
          <w:tcPr>
            <w:tcW w:w="25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F6851">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F6851" w:rsidRDefault="00FB3817" w:rsidP="00A2594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6B7E76">
              <w:rPr>
                <w:rFonts w:ascii="Times New Roman" w:eastAsia="Times New Roman" w:hAnsi="Times New Roman" w:cs="Times New Roman"/>
                <w:color w:val="000000" w:themeColor="text1"/>
                <w:sz w:val="24"/>
                <w:szCs w:val="24"/>
                <w:lang w:eastAsia="lv-LV"/>
              </w:rPr>
              <w:t>.</w:t>
            </w:r>
          </w:p>
        </w:tc>
      </w:tr>
    </w:tbl>
    <w:p w:rsidR="004D15A9" w:rsidRPr="00BF6851" w:rsidRDefault="004D15A9"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F6851" w:rsidRPr="00BF6851"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F6851" w:rsidRDefault="004D15A9" w:rsidP="00B17096">
            <w:pPr>
              <w:spacing w:after="0" w:line="240" w:lineRule="auto"/>
              <w:jc w:val="center"/>
              <w:rPr>
                <w:rFonts w:ascii="Times New Roman" w:eastAsia="Times New Roman" w:hAnsi="Times New Roman" w:cs="Times New Roman"/>
                <w:b/>
                <w:bCs/>
                <w:color w:val="000000" w:themeColor="text1"/>
                <w:sz w:val="24"/>
                <w:szCs w:val="24"/>
                <w:lang w:eastAsia="lv-LV"/>
              </w:rPr>
            </w:pPr>
            <w:r w:rsidRPr="00BF6851">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A7587F" w:rsidRPr="00BF6851" w:rsidTr="000C7A0A">
        <w:trPr>
          <w:trHeight w:val="328"/>
        </w:trPr>
        <w:tc>
          <w:tcPr>
            <w:tcW w:w="0" w:type="auto"/>
            <w:tcBorders>
              <w:top w:val="outset" w:sz="6" w:space="0" w:color="414142"/>
              <w:left w:val="outset" w:sz="6" w:space="0" w:color="414142"/>
              <w:bottom w:val="outset" w:sz="6" w:space="0" w:color="414142"/>
              <w:right w:val="outset" w:sz="6" w:space="0" w:color="414142"/>
            </w:tcBorders>
            <w:vAlign w:val="center"/>
          </w:tcPr>
          <w:p w:rsidR="00A7587F" w:rsidRPr="00A7587F" w:rsidRDefault="00A7587F" w:rsidP="00DA596D">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sidRPr="00A7587F">
              <w:rPr>
                <w:rFonts w:ascii="Times New Roman" w:eastAsia="Times New Roman" w:hAnsi="Times New Roman" w:cs="Times New Roman"/>
                <w:bCs/>
                <w:color w:val="000000" w:themeColor="text1"/>
                <w:sz w:val="24"/>
                <w:szCs w:val="24"/>
                <w:lang w:eastAsia="lv-LV"/>
              </w:rPr>
              <w:t>Projekts šo jomu neskar</w:t>
            </w:r>
          </w:p>
        </w:tc>
      </w:tr>
    </w:tbl>
    <w:p w:rsidR="00BB1F46" w:rsidRPr="00BF6851" w:rsidRDefault="00BB1F46" w:rsidP="00DA596D">
      <w:pPr>
        <w:spacing w:after="0" w:line="240" w:lineRule="auto"/>
        <w:rPr>
          <w:rFonts w:ascii="Times New Roman" w:hAnsi="Times New Roman" w:cs="Times New Roman"/>
          <w:color w:val="000000" w:themeColor="text1"/>
          <w:sz w:val="24"/>
          <w:szCs w:val="24"/>
        </w:rPr>
      </w:pPr>
    </w:p>
    <w:p w:rsidR="00B4626A" w:rsidRDefault="00B4626A" w:rsidP="00A7587F">
      <w:pPr>
        <w:tabs>
          <w:tab w:val="left" w:pos="6804"/>
        </w:tabs>
        <w:spacing w:after="0" w:line="240" w:lineRule="auto"/>
        <w:jc w:val="both"/>
        <w:rPr>
          <w:rFonts w:ascii="Times New Roman" w:eastAsia="Times New Roman" w:hAnsi="Times New Roman" w:cs="Times New Roman"/>
          <w:sz w:val="24"/>
          <w:szCs w:val="24"/>
          <w:lang w:eastAsia="lv-LV"/>
        </w:rPr>
      </w:pPr>
      <w:bookmarkStart w:id="0" w:name="_GoBack"/>
      <w:bookmarkEnd w:id="0"/>
    </w:p>
    <w:p w:rsidR="00D907B1" w:rsidRDefault="00E955AA" w:rsidP="00A7587F">
      <w:pPr>
        <w:tabs>
          <w:tab w:val="left" w:pos="680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w:t>
      </w:r>
      <w:r w:rsidR="00B90DC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sidR="00720893">
        <w:rPr>
          <w:rFonts w:ascii="Times New Roman" w:eastAsia="Times New Roman" w:hAnsi="Times New Roman" w:cs="Times New Roman"/>
          <w:sz w:val="24"/>
          <w:szCs w:val="24"/>
          <w:lang w:eastAsia="lv-LV"/>
        </w:rPr>
        <w:t>Dz.Rasnačs</w:t>
      </w:r>
    </w:p>
    <w:p w:rsidR="00E955AA" w:rsidRDefault="00E955AA" w:rsidP="00A7587F">
      <w:pPr>
        <w:tabs>
          <w:tab w:val="left" w:pos="6804"/>
        </w:tabs>
        <w:spacing w:after="0" w:line="240" w:lineRule="auto"/>
        <w:jc w:val="both"/>
        <w:rPr>
          <w:rFonts w:ascii="Times New Roman" w:eastAsia="Times New Roman" w:hAnsi="Times New Roman" w:cs="Times New Roman"/>
          <w:sz w:val="24"/>
          <w:szCs w:val="24"/>
          <w:lang w:eastAsia="lv-LV"/>
        </w:rPr>
      </w:pPr>
    </w:p>
    <w:p w:rsidR="00E65F40" w:rsidRPr="00E65F40" w:rsidRDefault="00E65F40" w:rsidP="00E65F40">
      <w:pPr>
        <w:tabs>
          <w:tab w:val="left" w:pos="6804"/>
        </w:tabs>
        <w:spacing w:after="0" w:line="240" w:lineRule="auto"/>
        <w:jc w:val="both"/>
        <w:rPr>
          <w:rFonts w:ascii="Times New Roman" w:eastAsia="Times New Roman" w:hAnsi="Times New Roman" w:cs="Times New Roman"/>
          <w:sz w:val="24"/>
          <w:szCs w:val="24"/>
          <w:lang w:eastAsia="lv-LV"/>
        </w:rPr>
      </w:pPr>
      <w:r w:rsidRPr="00E65F40">
        <w:rPr>
          <w:rFonts w:ascii="Times New Roman" w:eastAsia="Times New Roman" w:hAnsi="Times New Roman" w:cs="Times New Roman"/>
          <w:sz w:val="24"/>
          <w:szCs w:val="24"/>
          <w:lang w:eastAsia="lv-LV"/>
        </w:rPr>
        <w:t>Iesniedzējs:</w:t>
      </w:r>
    </w:p>
    <w:p w:rsidR="00A7587F" w:rsidRPr="00A7587F" w:rsidRDefault="00B4626A" w:rsidP="00E65F40">
      <w:pPr>
        <w:tabs>
          <w:tab w:val="left" w:pos="680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E65F40" w:rsidRPr="00E65F40">
        <w:rPr>
          <w:rFonts w:ascii="Times New Roman" w:eastAsia="Times New Roman" w:hAnsi="Times New Roman" w:cs="Times New Roman"/>
          <w:sz w:val="24"/>
          <w:szCs w:val="24"/>
          <w:lang w:eastAsia="lv-LV"/>
        </w:rPr>
        <w:t>ieslietu ministr</w:t>
      </w:r>
      <w:r w:rsidR="006B7E76">
        <w:rPr>
          <w:rFonts w:ascii="Times New Roman" w:eastAsia="Times New Roman" w:hAnsi="Times New Roman" w:cs="Times New Roman"/>
          <w:sz w:val="24"/>
          <w:szCs w:val="24"/>
          <w:lang w:eastAsia="lv-LV"/>
        </w:rPr>
        <w:t>s</w:t>
      </w:r>
      <w:r w:rsidR="00E65F40" w:rsidRPr="00E65F40">
        <w:rPr>
          <w:rFonts w:ascii="Times New Roman" w:eastAsia="Times New Roman" w:hAnsi="Times New Roman" w:cs="Times New Roman"/>
          <w:sz w:val="24"/>
          <w:szCs w:val="24"/>
          <w:lang w:eastAsia="lv-LV"/>
        </w:rPr>
        <w:tab/>
      </w:r>
      <w:r w:rsidR="00720893">
        <w:rPr>
          <w:rFonts w:ascii="Times New Roman" w:eastAsia="Times New Roman" w:hAnsi="Times New Roman" w:cs="Times New Roman"/>
          <w:sz w:val="24"/>
          <w:szCs w:val="24"/>
          <w:lang w:eastAsia="lv-LV"/>
        </w:rPr>
        <w:t>Dz.Rasnačs</w:t>
      </w:r>
    </w:p>
    <w:p w:rsidR="00A7587F" w:rsidRPr="00A7587F" w:rsidRDefault="00A7587F" w:rsidP="00A7587F">
      <w:pPr>
        <w:tabs>
          <w:tab w:val="left" w:pos="6804"/>
        </w:tabs>
        <w:spacing w:after="0" w:line="240" w:lineRule="auto"/>
        <w:jc w:val="both"/>
        <w:rPr>
          <w:rFonts w:ascii="Times New Roman" w:eastAsia="Times New Roman" w:hAnsi="Times New Roman" w:cs="Times New Roman"/>
          <w:sz w:val="28"/>
          <w:szCs w:val="28"/>
          <w:lang w:eastAsia="lv-LV"/>
        </w:rPr>
      </w:pPr>
    </w:p>
    <w:p w:rsidR="00A7587F" w:rsidRPr="00A7587F" w:rsidRDefault="00646A5C" w:rsidP="00A7587F">
      <w:pPr>
        <w:tabs>
          <w:tab w:val="left" w:pos="6804"/>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1C2C77">
        <w:rPr>
          <w:rFonts w:ascii="Times New Roman" w:eastAsia="Times New Roman" w:hAnsi="Times New Roman" w:cs="Times New Roman"/>
          <w:lang w:eastAsia="lv-LV"/>
        </w:rPr>
        <w:t>8</w:t>
      </w:r>
      <w:r w:rsidR="00A7587F" w:rsidRPr="00A7587F">
        <w:rPr>
          <w:rFonts w:ascii="Times New Roman" w:eastAsia="Times New Roman" w:hAnsi="Times New Roman" w:cs="Times New Roman"/>
          <w:lang w:eastAsia="lv-LV"/>
        </w:rPr>
        <w:t>.</w:t>
      </w:r>
      <w:r w:rsidR="001C2C77">
        <w:rPr>
          <w:rFonts w:ascii="Times New Roman" w:eastAsia="Times New Roman" w:hAnsi="Times New Roman" w:cs="Times New Roman"/>
          <w:lang w:eastAsia="lv-LV"/>
        </w:rPr>
        <w:t>10</w:t>
      </w:r>
      <w:r w:rsidR="00A7587F" w:rsidRPr="00A7587F">
        <w:rPr>
          <w:rFonts w:ascii="Times New Roman" w:eastAsia="Times New Roman" w:hAnsi="Times New Roman" w:cs="Times New Roman"/>
          <w:lang w:eastAsia="lv-LV"/>
        </w:rPr>
        <w:t>.201</w:t>
      </w:r>
      <w:r w:rsidR="00A7587F">
        <w:rPr>
          <w:rFonts w:ascii="Times New Roman" w:eastAsia="Times New Roman" w:hAnsi="Times New Roman" w:cs="Times New Roman"/>
          <w:lang w:eastAsia="lv-LV"/>
        </w:rPr>
        <w:t>4</w:t>
      </w:r>
      <w:r w:rsidR="00E94743">
        <w:rPr>
          <w:rFonts w:ascii="Times New Roman" w:eastAsia="Times New Roman" w:hAnsi="Times New Roman" w:cs="Times New Roman"/>
          <w:lang w:eastAsia="lv-LV"/>
        </w:rPr>
        <w:t>.</w:t>
      </w:r>
      <w:r w:rsidR="00A7587F" w:rsidRPr="00A7587F">
        <w:rPr>
          <w:rFonts w:ascii="Times New Roman" w:eastAsia="Times New Roman" w:hAnsi="Times New Roman" w:cs="Times New Roman"/>
          <w:lang w:eastAsia="lv-LV"/>
        </w:rPr>
        <w:t xml:space="preserve"> </w:t>
      </w:r>
      <w:r w:rsidR="001A3E0A">
        <w:rPr>
          <w:rFonts w:ascii="Times New Roman" w:eastAsia="Times New Roman" w:hAnsi="Times New Roman" w:cs="Times New Roman"/>
          <w:lang w:eastAsia="lv-LV"/>
        </w:rPr>
        <w:t>15</w:t>
      </w:r>
      <w:r w:rsidR="00A7587F" w:rsidRPr="00A7587F">
        <w:rPr>
          <w:rFonts w:ascii="Times New Roman" w:eastAsia="Times New Roman" w:hAnsi="Times New Roman" w:cs="Times New Roman"/>
          <w:lang w:eastAsia="lv-LV"/>
        </w:rPr>
        <w:t>:</w:t>
      </w:r>
      <w:r w:rsidR="00A7587F">
        <w:rPr>
          <w:rFonts w:ascii="Times New Roman" w:eastAsia="Times New Roman" w:hAnsi="Times New Roman" w:cs="Times New Roman"/>
          <w:lang w:eastAsia="lv-LV"/>
        </w:rPr>
        <w:t>14</w:t>
      </w:r>
    </w:p>
    <w:p w:rsidR="00A7587F" w:rsidRPr="00A7587F" w:rsidRDefault="00AE0089" w:rsidP="00A7587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DA5227">
        <w:rPr>
          <w:rFonts w:ascii="Times New Roman" w:eastAsia="Times New Roman" w:hAnsi="Times New Roman" w:cs="Times New Roman"/>
          <w:lang w:eastAsia="lv-LV"/>
        </w:rPr>
        <w:t>25</w:t>
      </w:r>
    </w:p>
    <w:p w:rsidR="00A7587F" w:rsidRPr="00A7587F" w:rsidRDefault="00A7587F" w:rsidP="00A7587F">
      <w:pPr>
        <w:spacing w:after="0" w:line="240" w:lineRule="auto"/>
        <w:rPr>
          <w:rFonts w:ascii="Times New Roman" w:eastAsia="Times New Roman" w:hAnsi="Times New Roman" w:cs="Times New Roman"/>
          <w:lang w:eastAsia="lv-LV"/>
        </w:rPr>
      </w:pPr>
      <w:r w:rsidRPr="00A7587F">
        <w:rPr>
          <w:rFonts w:ascii="Times New Roman" w:eastAsia="Times New Roman" w:hAnsi="Times New Roman" w:cs="Times New Roman"/>
          <w:lang w:eastAsia="lv-LV"/>
        </w:rPr>
        <w:t>U.Ze</w:t>
      </w:r>
      <w:r w:rsidR="00C35E42">
        <w:rPr>
          <w:rFonts w:ascii="Times New Roman" w:eastAsia="Times New Roman" w:hAnsi="Times New Roman" w:cs="Times New Roman"/>
          <w:lang w:eastAsia="lv-LV"/>
        </w:rPr>
        <w:t>m</w:t>
      </w:r>
      <w:r w:rsidRPr="00A7587F">
        <w:rPr>
          <w:rFonts w:ascii="Times New Roman" w:eastAsia="Times New Roman" w:hAnsi="Times New Roman" w:cs="Times New Roman"/>
          <w:lang w:eastAsia="lv-LV"/>
        </w:rPr>
        <w:t>zars</w:t>
      </w:r>
    </w:p>
    <w:p w:rsidR="003A2A0B" w:rsidRPr="00B70DBA" w:rsidRDefault="00A7587F" w:rsidP="000C7A0A">
      <w:pPr>
        <w:spacing w:after="0" w:line="240" w:lineRule="auto"/>
      </w:pPr>
      <w:r w:rsidRPr="00A7587F">
        <w:rPr>
          <w:rFonts w:ascii="Times New Roman" w:eastAsia="Times New Roman" w:hAnsi="Times New Roman" w:cs="Times New Roman"/>
          <w:lang w:eastAsia="lv-LV"/>
        </w:rPr>
        <w:t>6</w:t>
      </w:r>
      <w:r w:rsidR="000C7A0A">
        <w:rPr>
          <w:rFonts w:ascii="Times New Roman" w:eastAsia="Times New Roman" w:hAnsi="Times New Roman" w:cs="Times New Roman"/>
          <w:lang w:eastAsia="lv-LV"/>
        </w:rPr>
        <w:t>7036943, Uldis.Zemzars@tm.gov.lv</w:t>
      </w:r>
    </w:p>
    <w:sectPr w:rsidR="003A2A0B" w:rsidRPr="00B70DBA" w:rsidSect="00D71747">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7587F" w:rsidRDefault="00B70DBA" w:rsidP="00836888">
    <w:pPr>
      <w:pStyle w:val="Kjene"/>
      <w:jc w:val="both"/>
    </w:pPr>
    <w:r w:rsidRPr="00B70DBA">
      <w:rPr>
        <w:rFonts w:ascii="Times New Roman" w:hAnsi="Times New Roman" w:cs="Times New Roman"/>
        <w:color w:val="000000" w:themeColor="text1"/>
        <w:sz w:val="20"/>
        <w:szCs w:val="20"/>
      </w:rPr>
      <w:t>TMAnot_</w:t>
    </w:r>
    <w:r w:rsidR="00646A5C">
      <w:rPr>
        <w:rFonts w:ascii="Times New Roman" w:hAnsi="Times New Roman" w:cs="Times New Roman"/>
        <w:color w:val="000000" w:themeColor="text1"/>
        <w:sz w:val="20"/>
        <w:szCs w:val="20"/>
      </w:rPr>
      <w:t>2</w:t>
    </w:r>
    <w:r w:rsidR="001C2C77">
      <w:rPr>
        <w:rFonts w:ascii="Times New Roman" w:hAnsi="Times New Roman" w:cs="Times New Roman"/>
        <w:color w:val="000000" w:themeColor="text1"/>
        <w:sz w:val="20"/>
        <w:szCs w:val="20"/>
      </w:rPr>
      <w:t>810</w:t>
    </w:r>
    <w:r w:rsidRPr="00B70DBA">
      <w:rPr>
        <w:rFonts w:ascii="Times New Roman" w:hAnsi="Times New Roman" w:cs="Times New Roman"/>
        <w:color w:val="000000" w:themeColor="text1"/>
        <w:sz w:val="20"/>
        <w:szCs w:val="20"/>
      </w:rPr>
      <w:t>14_PKLS</w:t>
    </w:r>
    <w:r w:rsidR="00345EB0" w:rsidRPr="00345EB0">
      <w:rPr>
        <w:rFonts w:ascii="Times New Roman" w:hAnsi="Times New Roman" w:cs="Times New Roman"/>
        <w:color w:val="000000" w:themeColor="text1"/>
        <w:sz w:val="20"/>
        <w:szCs w:val="20"/>
      </w:rPr>
      <w:t>; Likumprojekta „Grozījumi likumā „Par Krimināllikuma spēkā stāšanās un piemērošanas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A7587F" w:rsidP="00345EB0">
    <w:pPr>
      <w:pStyle w:val="Kjene"/>
      <w:jc w:val="both"/>
      <w:rPr>
        <w:rFonts w:ascii="Times New Roman" w:hAnsi="Times New Roman" w:cs="Times New Roman"/>
        <w:color w:val="000000" w:themeColor="text1"/>
        <w:sz w:val="20"/>
        <w:szCs w:val="20"/>
      </w:rPr>
    </w:pPr>
    <w:r w:rsidRPr="00A7587F">
      <w:rPr>
        <w:rFonts w:ascii="Times New Roman" w:hAnsi="Times New Roman" w:cs="Times New Roman"/>
        <w:color w:val="000000" w:themeColor="text1"/>
        <w:sz w:val="20"/>
        <w:szCs w:val="20"/>
      </w:rPr>
      <w:t>TMAnot_</w:t>
    </w:r>
    <w:r w:rsidR="00646A5C">
      <w:rPr>
        <w:rFonts w:ascii="Times New Roman" w:hAnsi="Times New Roman" w:cs="Times New Roman"/>
        <w:color w:val="000000" w:themeColor="text1"/>
        <w:sz w:val="20"/>
        <w:szCs w:val="20"/>
      </w:rPr>
      <w:t>2</w:t>
    </w:r>
    <w:r w:rsidR="001C2C77">
      <w:rPr>
        <w:rFonts w:ascii="Times New Roman" w:hAnsi="Times New Roman" w:cs="Times New Roman"/>
        <w:color w:val="000000" w:themeColor="text1"/>
        <w:sz w:val="20"/>
        <w:szCs w:val="20"/>
      </w:rPr>
      <w:t>810</w:t>
    </w:r>
    <w:r w:rsidRPr="00A7587F">
      <w:rPr>
        <w:rFonts w:ascii="Times New Roman" w:hAnsi="Times New Roman" w:cs="Times New Roman"/>
        <w:color w:val="000000" w:themeColor="text1"/>
        <w:sz w:val="20"/>
        <w:szCs w:val="20"/>
      </w:rPr>
      <w:t>14_</w:t>
    </w:r>
    <w:r w:rsidR="00B70DBA">
      <w:rPr>
        <w:rFonts w:ascii="Times New Roman" w:hAnsi="Times New Roman" w:cs="Times New Roman"/>
        <w:color w:val="000000" w:themeColor="text1"/>
        <w:sz w:val="20"/>
        <w:szCs w:val="20"/>
      </w:rPr>
      <w:t>P</w:t>
    </w:r>
    <w:r w:rsidRPr="00A7587F">
      <w:rPr>
        <w:rFonts w:ascii="Times New Roman" w:hAnsi="Times New Roman" w:cs="Times New Roman"/>
        <w:color w:val="000000" w:themeColor="text1"/>
        <w:sz w:val="20"/>
        <w:szCs w:val="20"/>
      </w:rPr>
      <w:t>KL</w:t>
    </w:r>
    <w:r w:rsidR="00B70DBA">
      <w:rPr>
        <w:rFonts w:ascii="Times New Roman" w:hAnsi="Times New Roman" w:cs="Times New Roman"/>
        <w:color w:val="000000" w:themeColor="text1"/>
        <w:sz w:val="20"/>
        <w:szCs w:val="20"/>
      </w:rPr>
      <w:t>S</w:t>
    </w:r>
    <w:r w:rsidRPr="00A7587F">
      <w:rPr>
        <w:rFonts w:ascii="Times New Roman" w:hAnsi="Times New Roman" w:cs="Times New Roman"/>
        <w:color w:val="000000" w:themeColor="text1"/>
        <w:sz w:val="20"/>
        <w:szCs w:val="20"/>
      </w:rPr>
      <w:t>; Likumprojekta „</w:t>
    </w:r>
    <w:r w:rsidR="00345EB0" w:rsidRPr="00345EB0">
      <w:rPr>
        <w:rFonts w:ascii="Times New Roman" w:hAnsi="Times New Roman" w:cs="Times New Roman"/>
        <w:color w:val="000000" w:themeColor="text1"/>
        <w:sz w:val="20"/>
        <w:szCs w:val="20"/>
      </w:rPr>
      <w:t>Grozījumi likumā „Par</w:t>
    </w:r>
    <w:r w:rsidR="00345EB0">
      <w:rPr>
        <w:rFonts w:ascii="Times New Roman" w:hAnsi="Times New Roman" w:cs="Times New Roman"/>
        <w:color w:val="000000" w:themeColor="text1"/>
        <w:sz w:val="20"/>
        <w:szCs w:val="20"/>
      </w:rPr>
      <w:t xml:space="preserve"> Krimināllikuma spēkā stāšanās </w:t>
    </w:r>
    <w:r w:rsidR="00345EB0" w:rsidRPr="00345EB0">
      <w:rPr>
        <w:rFonts w:ascii="Times New Roman" w:hAnsi="Times New Roman" w:cs="Times New Roman"/>
        <w:color w:val="000000" w:themeColor="text1"/>
        <w:sz w:val="20"/>
        <w:szCs w:val="20"/>
      </w:rPr>
      <w:t>un piemērošanas kārtību”</w:t>
    </w:r>
    <w:r w:rsidRPr="00A7587F">
      <w:rPr>
        <w:rFonts w:ascii="Times New Roman" w:hAnsi="Times New Roman" w:cs="Times New Roman"/>
        <w:color w:val="000000" w:themeColor="text1"/>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5227">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733"/>
    <w:rsid w:val="00006C1C"/>
    <w:rsid w:val="00015ADD"/>
    <w:rsid w:val="000206AE"/>
    <w:rsid w:val="00031256"/>
    <w:rsid w:val="00036D9D"/>
    <w:rsid w:val="00060974"/>
    <w:rsid w:val="00065639"/>
    <w:rsid w:val="00066C42"/>
    <w:rsid w:val="000B7817"/>
    <w:rsid w:val="000C7A0A"/>
    <w:rsid w:val="000E0750"/>
    <w:rsid w:val="00101CD5"/>
    <w:rsid w:val="00103BA0"/>
    <w:rsid w:val="00157EDF"/>
    <w:rsid w:val="001967F7"/>
    <w:rsid w:val="001A3E0A"/>
    <w:rsid w:val="001B3C60"/>
    <w:rsid w:val="001C2C77"/>
    <w:rsid w:val="001F69F7"/>
    <w:rsid w:val="00222EDB"/>
    <w:rsid w:val="00267F24"/>
    <w:rsid w:val="00271D60"/>
    <w:rsid w:val="00274FF5"/>
    <w:rsid w:val="002C2A7B"/>
    <w:rsid w:val="002C72ED"/>
    <w:rsid w:val="003151D2"/>
    <w:rsid w:val="00340735"/>
    <w:rsid w:val="00345EB0"/>
    <w:rsid w:val="00347E90"/>
    <w:rsid w:val="00357B69"/>
    <w:rsid w:val="003922B0"/>
    <w:rsid w:val="003977CC"/>
    <w:rsid w:val="003A2A0B"/>
    <w:rsid w:val="003B77D6"/>
    <w:rsid w:val="003F394F"/>
    <w:rsid w:val="00417969"/>
    <w:rsid w:val="00477682"/>
    <w:rsid w:val="00482A96"/>
    <w:rsid w:val="004D019B"/>
    <w:rsid w:val="004D15A9"/>
    <w:rsid w:val="004D3B6F"/>
    <w:rsid w:val="004F5D59"/>
    <w:rsid w:val="004F6112"/>
    <w:rsid w:val="00511640"/>
    <w:rsid w:val="00524572"/>
    <w:rsid w:val="005644CE"/>
    <w:rsid w:val="0059443C"/>
    <w:rsid w:val="005A0F5A"/>
    <w:rsid w:val="005A3B6B"/>
    <w:rsid w:val="005B4D8E"/>
    <w:rsid w:val="005B71BA"/>
    <w:rsid w:val="005C4FE7"/>
    <w:rsid w:val="005D4E8A"/>
    <w:rsid w:val="005D5015"/>
    <w:rsid w:val="005F2090"/>
    <w:rsid w:val="00644698"/>
    <w:rsid w:val="00646A5C"/>
    <w:rsid w:val="0064799D"/>
    <w:rsid w:val="00652854"/>
    <w:rsid w:val="00675EEC"/>
    <w:rsid w:val="00694B60"/>
    <w:rsid w:val="006B7E76"/>
    <w:rsid w:val="006C26B3"/>
    <w:rsid w:val="006F289F"/>
    <w:rsid w:val="00707EF2"/>
    <w:rsid w:val="00720893"/>
    <w:rsid w:val="007455B8"/>
    <w:rsid w:val="00763D63"/>
    <w:rsid w:val="00772036"/>
    <w:rsid w:val="007735CB"/>
    <w:rsid w:val="007849A9"/>
    <w:rsid w:val="0079357A"/>
    <w:rsid w:val="007B0B04"/>
    <w:rsid w:val="007B28BD"/>
    <w:rsid w:val="0081203F"/>
    <w:rsid w:val="00821C0F"/>
    <w:rsid w:val="00825B6A"/>
    <w:rsid w:val="00836888"/>
    <w:rsid w:val="00854A07"/>
    <w:rsid w:val="00855D79"/>
    <w:rsid w:val="008660CE"/>
    <w:rsid w:val="008B0659"/>
    <w:rsid w:val="008C7E86"/>
    <w:rsid w:val="00907EB9"/>
    <w:rsid w:val="009422DC"/>
    <w:rsid w:val="009568A2"/>
    <w:rsid w:val="00961F3D"/>
    <w:rsid w:val="00A0394B"/>
    <w:rsid w:val="00A2117D"/>
    <w:rsid w:val="00A24165"/>
    <w:rsid w:val="00A25942"/>
    <w:rsid w:val="00A42AC5"/>
    <w:rsid w:val="00A62205"/>
    <w:rsid w:val="00A7587F"/>
    <w:rsid w:val="00A81F74"/>
    <w:rsid w:val="00A93E75"/>
    <w:rsid w:val="00AC1253"/>
    <w:rsid w:val="00AD3E96"/>
    <w:rsid w:val="00AD7342"/>
    <w:rsid w:val="00AE0089"/>
    <w:rsid w:val="00AE32EA"/>
    <w:rsid w:val="00B16EBB"/>
    <w:rsid w:val="00B17096"/>
    <w:rsid w:val="00B20C89"/>
    <w:rsid w:val="00B21D66"/>
    <w:rsid w:val="00B3331E"/>
    <w:rsid w:val="00B4626A"/>
    <w:rsid w:val="00B66E5D"/>
    <w:rsid w:val="00B70DBA"/>
    <w:rsid w:val="00B70FE2"/>
    <w:rsid w:val="00B90DC8"/>
    <w:rsid w:val="00B91FB1"/>
    <w:rsid w:val="00BB1F46"/>
    <w:rsid w:val="00BC11AF"/>
    <w:rsid w:val="00BE745C"/>
    <w:rsid w:val="00BF6851"/>
    <w:rsid w:val="00C05E1C"/>
    <w:rsid w:val="00C25020"/>
    <w:rsid w:val="00C35E42"/>
    <w:rsid w:val="00C4019E"/>
    <w:rsid w:val="00C427B0"/>
    <w:rsid w:val="00CA11BC"/>
    <w:rsid w:val="00CC0AF5"/>
    <w:rsid w:val="00CD361A"/>
    <w:rsid w:val="00D17BBC"/>
    <w:rsid w:val="00D21D4D"/>
    <w:rsid w:val="00D313D5"/>
    <w:rsid w:val="00D324B1"/>
    <w:rsid w:val="00D34B56"/>
    <w:rsid w:val="00D353E2"/>
    <w:rsid w:val="00D71747"/>
    <w:rsid w:val="00D907B1"/>
    <w:rsid w:val="00DA4C6A"/>
    <w:rsid w:val="00DA5227"/>
    <w:rsid w:val="00DA596D"/>
    <w:rsid w:val="00DD0046"/>
    <w:rsid w:val="00DD0CB6"/>
    <w:rsid w:val="00E345A4"/>
    <w:rsid w:val="00E372F8"/>
    <w:rsid w:val="00E53EDF"/>
    <w:rsid w:val="00E65F40"/>
    <w:rsid w:val="00E865C9"/>
    <w:rsid w:val="00E94743"/>
    <w:rsid w:val="00E955AA"/>
    <w:rsid w:val="00EA4C82"/>
    <w:rsid w:val="00ED2CDD"/>
    <w:rsid w:val="00F44F89"/>
    <w:rsid w:val="00F51C11"/>
    <w:rsid w:val="00F52A68"/>
    <w:rsid w:val="00F5659E"/>
    <w:rsid w:val="00F86B8E"/>
    <w:rsid w:val="00F910B1"/>
    <w:rsid w:val="00F941AA"/>
    <w:rsid w:val="00FB3817"/>
    <w:rsid w:val="00FE3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C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rsid w:val="00E865C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65C9"/>
    <w:rPr>
      <w:rFonts w:ascii="Times New Roman" w:eastAsia="Times New Roman" w:hAnsi="Times New Roman" w:cs="Times New Roman"/>
      <w:sz w:val="20"/>
      <w:szCs w:val="20"/>
      <w:lang w:eastAsia="lv-LV"/>
    </w:rPr>
  </w:style>
  <w:style w:type="character" w:styleId="Vresatsauce">
    <w:name w:val="footnote reference"/>
    <w:semiHidden/>
    <w:rsid w:val="00E865C9"/>
    <w:rPr>
      <w:vertAlign w:val="superscript"/>
    </w:rPr>
  </w:style>
  <w:style w:type="paragraph" w:customStyle="1" w:styleId="naiskr">
    <w:name w:val="naiskr"/>
    <w:basedOn w:val="Parasts"/>
    <w:rsid w:val="000B7817"/>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77682"/>
    <w:pPr>
      <w:spacing w:before="300" w:after="225" w:line="240" w:lineRule="auto"/>
      <w:jc w:val="center"/>
    </w:pPr>
    <w:rPr>
      <w:rFonts w:ascii="Times New Roman" w:eastAsia="Times New Roman" w:hAnsi="Times New Roman" w:cs="Times New Roman"/>
      <w:sz w:val="24"/>
      <w:szCs w:val="24"/>
      <w:lang w:eastAsia="lv-LV"/>
    </w:rPr>
  </w:style>
  <w:style w:type="character" w:customStyle="1" w:styleId="st">
    <w:name w:val="st"/>
    <w:basedOn w:val="Noklusjumarindkopasfonts"/>
    <w:rsid w:val="00511640"/>
  </w:style>
  <w:style w:type="character" w:styleId="Komentraatsauce">
    <w:name w:val="annotation reference"/>
    <w:basedOn w:val="Noklusjumarindkopasfonts"/>
    <w:uiPriority w:val="99"/>
    <w:semiHidden/>
    <w:unhideWhenUsed/>
    <w:rsid w:val="00E955AA"/>
    <w:rPr>
      <w:sz w:val="16"/>
      <w:szCs w:val="16"/>
    </w:rPr>
  </w:style>
  <w:style w:type="paragraph" w:styleId="Komentrateksts">
    <w:name w:val="annotation text"/>
    <w:basedOn w:val="Parasts"/>
    <w:link w:val="KomentratekstsRakstz"/>
    <w:uiPriority w:val="99"/>
    <w:semiHidden/>
    <w:unhideWhenUsed/>
    <w:rsid w:val="00E95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955AA"/>
    <w:rPr>
      <w:sz w:val="20"/>
      <w:szCs w:val="20"/>
    </w:rPr>
  </w:style>
  <w:style w:type="paragraph" w:styleId="Komentratma">
    <w:name w:val="annotation subject"/>
    <w:basedOn w:val="Komentrateksts"/>
    <w:next w:val="Komentrateksts"/>
    <w:link w:val="KomentratmaRakstz"/>
    <w:uiPriority w:val="99"/>
    <w:semiHidden/>
    <w:unhideWhenUsed/>
    <w:rsid w:val="00E955AA"/>
    <w:rPr>
      <w:b/>
      <w:bCs/>
    </w:rPr>
  </w:style>
  <w:style w:type="character" w:customStyle="1" w:styleId="KomentratmaRakstz">
    <w:name w:val="Komentāra tēma Rakstz."/>
    <w:basedOn w:val="KomentratekstsRakstz"/>
    <w:link w:val="Komentratma"/>
    <w:uiPriority w:val="99"/>
    <w:semiHidden/>
    <w:rsid w:val="00E95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C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rsid w:val="00E865C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65C9"/>
    <w:rPr>
      <w:rFonts w:ascii="Times New Roman" w:eastAsia="Times New Roman" w:hAnsi="Times New Roman" w:cs="Times New Roman"/>
      <w:sz w:val="20"/>
      <w:szCs w:val="20"/>
      <w:lang w:eastAsia="lv-LV"/>
    </w:rPr>
  </w:style>
  <w:style w:type="character" w:styleId="Vresatsauce">
    <w:name w:val="footnote reference"/>
    <w:semiHidden/>
    <w:rsid w:val="00E865C9"/>
    <w:rPr>
      <w:vertAlign w:val="superscript"/>
    </w:rPr>
  </w:style>
  <w:style w:type="paragraph" w:customStyle="1" w:styleId="naiskr">
    <w:name w:val="naiskr"/>
    <w:basedOn w:val="Parasts"/>
    <w:rsid w:val="000B7817"/>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77682"/>
    <w:pPr>
      <w:spacing w:before="300" w:after="225" w:line="240" w:lineRule="auto"/>
      <w:jc w:val="center"/>
    </w:pPr>
    <w:rPr>
      <w:rFonts w:ascii="Times New Roman" w:eastAsia="Times New Roman" w:hAnsi="Times New Roman" w:cs="Times New Roman"/>
      <w:sz w:val="24"/>
      <w:szCs w:val="24"/>
      <w:lang w:eastAsia="lv-LV"/>
    </w:rPr>
  </w:style>
  <w:style w:type="character" w:customStyle="1" w:styleId="st">
    <w:name w:val="st"/>
    <w:basedOn w:val="Noklusjumarindkopasfonts"/>
    <w:rsid w:val="00511640"/>
  </w:style>
  <w:style w:type="character" w:styleId="Komentraatsauce">
    <w:name w:val="annotation reference"/>
    <w:basedOn w:val="Noklusjumarindkopasfonts"/>
    <w:uiPriority w:val="99"/>
    <w:semiHidden/>
    <w:unhideWhenUsed/>
    <w:rsid w:val="00E955AA"/>
    <w:rPr>
      <w:sz w:val="16"/>
      <w:szCs w:val="16"/>
    </w:rPr>
  </w:style>
  <w:style w:type="paragraph" w:styleId="Komentrateksts">
    <w:name w:val="annotation text"/>
    <w:basedOn w:val="Parasts"/>
    <w:link w:val="KomentratekstsRakstz"/>
    <w:uiPriority w:val="99"/>
    <w:semiHidden/>
    <w:unhideWhenUsed/>
    <w:rsid w:val="00E95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955AA"/>
    <w:rPr>
      <w:sz w:val="20"/>
      <w:szCs w:val="20"/>
    </w:rPr>
  </w:style>
  <w:style w:type="paragraph" w:styleId="Komentratma">
    <w:name w:val="annotation subject"/>
    <w:basedOn w:val="Komentrateksts"/>
    <w:next w:val="Komentrateksts"/>
    <w:link w:val="KomentratmaRakstz"/>
    <w:uiPriority w:val="99"/>
    <w:semiHidden/>
    <w:unhideWhenUsed/>
    <w:rsid w:val="00E955AA"/>
    <w:rPr>
      <w:b/>
      <w:bCs/>
    </w:rPr>
  </w:style>
  <w:style w:type="character" w:customStyle="1" w:styleId="KomentratmaRakstz">
    <w:name w:val="Komentāra tēma Rakstz."/>
    <w:basedOn w:val="KomentratekstsRakstz"/>
    <w:link w:val="Komentratma"/>
    <w:uiPriority w:val="99"/>
    <w:semiHidden/>
    <w:rsid w:val="00E95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167087295">
      <w:bodyDiv w:val="1"/>
      <w:marLeft w:val="0"/>
      <w:marRight w:val="0"/>
      <w:marTop w:val="0"/>
      <w:marBottom w:val="0"/>
      <w:divBdr>
        <w:top w:val="none" w:sz="0" w:space="0" w:color="auto"/>
        <w:left w:val="none" w:sz="0" w:space="0" w:color="auto"/>
        <w:bottom w:val="none" w:sz="0" w:space="0" w:color="auto"/>
        <w:right w:val="none" w:sz="0" w:space="0" w:color="auto"/>
      </w:divBdr>
      <w:divsChild>
        <w:div w:id="557327418">
          <w:marLeft w:val="0"/>
          <w:marRight w:val="0"/>
          <w:marTop w:val="0"/>
          <w:marBottom w:val="0"/>
          <w:divBdr>
            <w:top w:val="none" w:sz="0" w:space="0" w:color="auto"/>
            <w:left w:val="none" w:sz="0" w:space="0" w:color="auto"/>
            <w:bottom w:val="none" w:sz="0" w:space="0" w:color="auto"/>
            <w:right w:val="none" w:sz="0" w:space="0" w:color="auto"/>
          </w:divBdr>
          <w:divsChild>
            <w:div w:id="1618488130">
              <w:marLeft w:val="0"/>
              <w:marRight w:val="0"/>
              <w:marTop w:val="0"/>
              <w:marBottom w:val="0"/>
              <w:divBdr>
                <w:top w:val="none" w:sz="0" w:space="0" w:color="auto"/>
                <w:left w:val="none" w:sz="0" w:space="0" w:color="auto"/>
                <w:bottom w:val="none" w:sz="0" w:space="0" w:color="auto"/>
                <w:right w:val="none" w:sz="0" w:space="0" w:color="auto"/>
              </w:divBdr>
              <w:divsChild>
                <w:div w:id="76220249">
                  <w:marLeft w:val="0"/>
                  <w:marRight w:val="0"/>
                  <w:marTop w:val="0"/>
                  <w:marBottom w:val="0"/>
                  <w:divBdr>
                    <w:top w:val="none" w:sz="0" w:space="0" w:color="auto"/>
                    <w:left w:val="none" w:sz="0" w:space="0" w:color="auto"/>
                    <w:bottom w:val="none" w:sz="0" w:space="0" w:color="auto"/>
                    <w:right w:val="none" w:sz="0" w:space="0" w:color="auto"/>
                  </w:divBdr>
                  <w:divsChild>
                    <w:div w:id="892035689">
                      <w:marLeft w:val="0"/>
                      <w:marRight w:val="0"/>
                      <w:marTop w:val="0"/>
                      <w:marBottom w:val="0"/>
                      <w:divBdr>
                        <w:top w:val="none" w:sz="0" w:space="0" w:color="auto"/>
                        <w:left w:val="none" w:sz="0" w:space="0" w:color="auto"/>
                        <w:bottom w:val="none" w:sz="0" w:space="0" w:color="auto"/>
                        <w:right w:val="none" w:sz="0" w:space="0" w:color="auto"/>
                      </w:divBdr>
                      <w:divsChild>
                        <w:div w:id="1868105825">
                          <w:marLeft w:val="0"/>
                          <w:marRight w:val="0"/>
                          <w:marTop w:val="0"/>
                          <w:marBottom w:val="0"/>
                          <w:divBdr>
                            <w:top w:val="none" w:sz="0" w:space="0" w:color="auto"/>
                            <w:left w:val="none" w:sz="0" w:space="0" w:color="auto"/>
                            <w:bottom w:val="none" w:sz="0" w:space="0" w:color="auto"/>
                            <w:right w:val="none" w:sz="0" w:space="0" w:color="auto"/>
                          </w:divBdr>
                          <w:divsChild>
                            <w:div w:id="68775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5A00-31B2-4F07-AE29-0F862B4E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11226</Words>
  <Characters>6400</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Grozījumi likumā "Par Krimināllikuma spēkā stāšanās</vt:lpstr>
    </vt:vector>
  </TitlesOfParts>
  <Company>Tieslietu ministrija</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Anotācija</dc:subject>
  <dc:creator>Uldis Zemzars</dc:creator>
  <dc:description>Uldis.Zemzars@tm.gov.lv ; 67036943</dc:description>
  <cp:lastModifiedBy>Viesturs Lacis</cp:lastModifiedBy>
  <cp:revision>10</cp:revision>
  <cp:lastPrinted>2013-12-16T08:57:00Z</cp:lastPrinted>
  <dcterms:created xsi:type="dcterms:W3CDTF">2014-11-06T14:27:00Z</dcterms:created>
  <dcterms:modified xsi:type="dcterms:W3CDTF">2014-11-07T08:18:00Z</dcterms:modified>
</cp:coreProperties>
</file>