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3B79" w:rsidRPr="001732B8" w:rsidRDefault="007C3B79" w:rsidP="007C3B79">
      <w:pPr>
        <w:pStyle w:val="Virsraksts1"/>
        <w:numPr>
          <w:ilvl w:val="0"/>
          <w:numId w:val="0"/>
        </w:numPr>
      </w:pPr>
      <w:bookmarkStart w:id="0" w:name="_GoBack"/>
      <w:r w:rsidRPr="001732B8">
        <w:t xml:space="preserve">Informatīvais ziņojums </w:t>
      </w:r>
    </w:p>
    <w:p w:rsidR="007C3B79" w:rsidRPr="001732B8" w:rsidRDefault="007C3B79" w:rsidP="007C3B79">
      <w:pPr>
        <w:pStyle w:val="Virsraksts1"/>
        <w:numPr>
          <w:ilvl w:val="0"/>
          <w:numId w:val="0"/>
        </w:numPr>
      </w:pPr>
      <w:r w:rsidRPr="001732B8">
        <w:t>„</w:t>
      </w:r>
      <w:r>
        <w:t xml:space="preserve">Par </w:t>
      </w:r>
      <w:r w:rsidRPr="001732B8">
        <w:t>Augstākās tiesas Krimināllietu tiesu palātas likvidācijas ietekmi uz tiesvedību krimināllietās”</w:t>
      </w:r>
    </w:p>
    <w:bookmarkEnd w:id="0"/>
    <w:p w:rsidR="007C3B79" w:rsidRDefault="007C3B79" w:rsidP="007C3B79">
      <w:pPr>
        <w:jc w:val="center"/>
      </w:pPr>
    </w:p>
    <w:p w:rsidR="007C3B79" w:rsidRPr="00EE68D7" w:rsidRDefault="007C3B79" w:rsidP="007C3B79">
      <w:pPr>
        <w:jc w:val="both"/>
        <w:rPr>
          <w:sz w:val="26"/>
          <w:szCs w:val="26"/>
        </w:rPr>
      </w:pPr>
      <w:r>
        <w:tab/>
      </w:r>
      <w:r w:rsidRPr="00EE68D7">
        <w:rPr>
          <w:sz w:val="26"/>
          <w:szCs w:val="26"/>
        </w:rPr>
        <w:t xml:space="preserve">Informatīvais ziņojums sagatavots, izpildot </w:t>
      </w:r>
      <w:r w:rsidR="00603A28" w:rsidRPr="00EE68D7">
        <w:rPr>
          <w:sz w:val="26"/>
          <w:szCs w:val="26"/>
        </w:rPr>
        <w:t xml:space="preserve">likuma </w:t>
      </w:r>
      <w:r w:rsidRPr="00EE68D7">
        <w:rPr>
          <w:sz w:val="26"/>
          <w:szCs w:val="26"/>
        </w:rPr>
        <w:t xml:space="preserve">„Par tiesu varu” </w:t>
      </w:r>
      <w:r w:rsidR="00A47829" w:rsidRPr="00EE68D7">
        <w:rPr>
          <w:sz w:val="26"/>
          <w:szCs w:val="26"/>
        </w:rPr>
        <w:t xml:space="preserve">pārejas noteikumu </w:t>
      </w:r>
      <w:r w:rsidRPr="00EE68D7">
        <w:rPr>
          <w:sz w:val="26"/>
          <w:szCs w:val="26"/>
        </w:rPr>
        <w:t>70.punktā noteikto, ka Ministru kabinets izvērtē Augstākās tiesas Krimināllietu tiesu palātas likvidācijas ietekmi uz tiesvedību krimināllietās (nepieciešamie grozījumi normatīvajos aktos, reformas finansiālais un materiāltehniskais nodrošinājums u</w:t>
      </w:r>
      <w:r w:rsidR="00E312FF" w:rsidRPr="00EE68D7">
        <w:rPr>
          <w:sz w:val="26"/>
          <w:szCs w:val="26"/>
        </w:rPr>
        <w:t>.</w:t>
      </w:r>
      <w:r w:rsidRPr="00EE68D7">
        <w:rPr>
          <w:sz w:val="26"/>
          <w:szCs w:val="26"/>
        </w:rPr>
        <w:t>tml.) un līdz 2014.gada 1.martam iesniedz Saeimai ziņojumu par to.</w:t>
      </w:r>
    </w:p>
    <w:p w:rsidR="00185926" w:rsidRPr="00EE68D7" w:rsidRDefault="00185926" w:rsidP="007C3B79">
      <w:pPr>
        <w:ind w:firstLine="720"/>
        <w:jc w:val="both"/>
        <w:rPr>
          <w:b/>
          <w:color w:val="000000"/>
          <w:sz w:val="26"/>
          <w:szCs w:val="26"/>
        </w:rPr>
      </w:pPr>
    </w:p>
    <w:p w:rsidR="00C56130" w:rsidRPr="00EE68D7" w:rsidRDefault="00C56130" w:rsidP="007C3B79">
      <w:pPr>
        <w:ind w:firstLine="720"/>
        <w:jc w:val="both"/>
        <w:rPr>
          <w:color w:val="000000"/>
          <w:sz w:val="26"/>
          <w:szCs w:val="26"/>
        </w:rPr>
      </w:pPr>
      <w:r w:rsidRPr="00EE68D7">
        <w:rPr>
          <w:b/>
          <w:color w:val="000000"/>
          <w:sz w:val="26"/>
          <w:szCs w:val="26"/>
        </w:rPr>
        <w:t xml:space="preserve">1. Tiesvedībā esošās </w:t>
      </w:r>
      <w:r w:rsidR="0072573E" w:rsidRPr="00EE68D7">
        <w:rPr>
          <w:b/>
          <w:color w:val="000000"/>
          <w:sz w:val="26"/>
          <w:szCs w:val="26"/>
        </w:rPr>
        <w:t>krimināl</w:t>
      </w:r>
      <w:r w:rsidRPr="00EE68D7">
        <w:rPr>
          <w:b/>
          <w:color w:val="000000"/>
          <w:sz w:val="26"/>
          <w:szCs w:val="26"/>
        </w:rPr>
        <w:t>lietas un turpmākā rīcība ar tām</w:t>
      </w:r>
      <w:r w:rsidR="00185926" w:rsidRPr="00EE68D7">
        <w:rPr>
          <w:b/>
          <w:color w:val="000000"/>
          <w:sz w:val="26"/>
          <w:szCs w:val="26"/>
        </w:rPr>
        <w:t>.</w:t>
      </w:r>
    </w:p>
    <w:p w:rsidR="00F677F1" w:rsidRPr="00EE68D7" w:rsidRDefault="00F677F1" w:rsidP="007C3B79">
      <w:pPr>
        <w:ind w:firstLine="720"/>
        <w:jc w:val="both"/>
        <w:rPr>
          <w:color w:val="000000"/>
          <w:sz w:val="26"/>
          <w:szCs w:val="26"/>
        </w:rPr>
      </w:pPr>
      <w:r w:rsidRPr="00EE68D7">
        <w:rPr>
          <w:color w:val="000000"/>
          <w:sz w:val="26"/>
          <w:szCs w:val="26"/>
        </w:rPr>
        <w:t xml:space="preserve">2013.gada 4.jūlijā tika izsludināts likums „Grozījumi likumā „Par tiesu varu””. Likums cita starpā paredz, ka pakāpeniski tiks pārdalīta kompetence starp </w:t>
      </w:r>
      <w:r w:rsidR="00F6008E" w:rsidRPr="00EE68D7">
        <w:rPr>
          <w:color w:val="000000"/>
          <w:sz w:val="26"/>
          <w:szCs w:val="26"/>
        </w:rPr>
        <w:t>Augstāko tiesu</w:t>
      </w:r>
      <w:r w:rsidRPr="00EE68D7">
        <w:rPr>
          <w:color w:val="000000"/>
          <w:sz w:val="26"/>
          <w:szCs w:val="26"/>
        </w:rPr>
        <w:t>, apgabaltiesām un rajona (pilsētu) tiesām, paredzot, ka pēc reformas pabeigšanas visas lietas kā pirmā tiesu instance skatīs tikai rajonu (pilsētu) tiesas, kā apelācijas instance – apgabaltiesas, bet kā kasācijas instance – Augstākā tiesa. Likums noteic, ka Augstākā tiesas Krimināllietu tiesu palāta darbojas līdz 2014.gada 31.decembrim.</w:t>
      </w:r>
    </w:p>
    <w:p w:rsidR="00F6008E" w:rsidRPr="00EE68D7" w:rsidRDefault="00F677F1" w:rsidP="007C3B79">
      <w:pPr>
        <w:ind w:firstLine="720"/>
        <w:jc w:val="both"/>
        <w:rPr>
          <w:color w:val="000000"/>
          <w:sz w:val="26"/>
          <w:szCs w:val="26"/>
        </w:rPr>
      </w:pPr>
      <w:r w:rsidRPr="00EE68D7">
        <w:rPr>
          <w:color w:val="000000"/>
          <w:sz w:val="26"/>
          <w:szCs w:val="26"/>
        </w:rPr>
        <w:t>Reformas ietvaros jau ir veiktas izmaiņas attiecībā uz krimināllietu piekritības maiņu un no 2012.gada 1.jūlija visas krimināllietas kā pirmās instances tiesas saskaņā ar Kriminālprocesa likuma 422.panta pirmo daļu izskata rajona (pilsētu) tiesas. Saskaņā ar Kriminālproces</w:t>
      </w:r>
      <w:r w:rsidR="003729D4" w:rsidRPr="00EE68D7">
        <w:rPr>
          <w:color w:val="000000"/>
          <w:sz w:val="26"/>
          <w:szCs w:val="26"/>
        </w:rPr>
        <w:t>a likuma pārejas noteikumu 33. u</w:t>
      </w:r>
      <w:r w:rsidRPr="00EE68D7">
        <w:rPr>
          <w:color w:val="000000"/>
          <w:sz w:val="26"/>
          <w:szCs w:val="26"/>
        </w:rPr>
        <w:t>n 34.punktu lietas, kuras nodotas izskatīšanai apgabaltiesā pēc noteiktās piekritības līdz 2012.gada 30.jūnijam, izskatāmas tajā pašā tiesā, kurā tās iesniegtas</w:t>
      </w:r>
      <w:r w:rsidR="003729D4" w:rsidRPr="00EE68D7">
        <w:rPr>
          <w:color w:val="000000"/>
          <w:sz w:val="26"/>
          <w:szCs w:val="26"/>
        </w:rPr>
        <w:t>.</w:t>
      </w:r>
      <w:r w:rsidRPr="00EE68D7">
        <w:rPr>
          <w:color w:val="000000"/>
          <w:sz w:val="26"/>
          <w:szCs w:val="26"/>
        </w:rPr>
        <w:t xml:space="preserve"> </w:t>
      </w:r>
      <w:r w:rsidR="003729D4" w:rsidRPr="00EE68D7">
        <w:rPr>
          <w:color w:val="000000"/>
          <w:sz w:val="26"/>
          <w:szCs w:val="26"/>
        </w:rPr>
        <w:t>L</w:t>
      </w:r>
      <w:r w:rsidRPr="00EE68D7">
        <w:rPr>
          <w:color w:val="000000"/>
          <w:sz w:val="26"/>
          <w:szCs w:val="26"/>
        </w:rPr>
        <w:t>ietās, kuras nodotas izskatīšanai apgabaltiesā kā pirmās instances tiesā pēc noteiktās piekritības līdz 2012.gada 30.jūnijam, apelācijas kārtībā pārsūdzētu nolēmumu izskata Augstākās tiesas Krimināllietu tiesu palāta kā apelācijas instances tiesa.</w:t>
      </w:r>
    </w:p>
    <w:p w:rsidR="003729D4" w:rsidRPr="00EE68D7" w:rsidRDefault="003729D4" w:rsidP="007C3B79">
      <w:pPr>
        <w:ind w:firstLine="720"/>
        <w:jc w:val="both"/>
        <w:rPr>
          <w:color w:val="000000"/>
          <w:sz w:val="26"/>
          <w:szCs w:val="26"/>
        </w:rPr>
      </w:pPr>
      <w:r w:rsidRPr="00EE68D7">
        <w:rPr>
          <w:color w:val="000000"/>
          <w:sz w:val="26"/>
          <w:szCs w:val="26"/>
        </w:rPr>
        <w:t>Savukārt, lai nodrošinātu, ka Augstākā tiesa no 2015.gada vairs neskata krimināllietas apelācijas kārtībā un funkcionē vienīgi kā kasācijas instance, Saeima 2013.gada 19.decembrī pieņēma grozījumus Kriminālprocesa likumā, nosakot, ka:</w:t>
      </w:r>
    </w:p>
    <w:p w:rsidR="003729D4" w:rsidRPr="00EE68D7" w:rsidRDefault="003729D4" w:rsidP="001A44F5">
      <w:pPr>
        <w:pStyle w:val="Sarakstarindkopa"/>
        <w:numPr>
          <w:ilvl w:val="0"/>
          <w:numId w:val="10"/>
        </w:numPr>
        <w:jc w:val="both"/>
        <w:rPr>
          <w:color w:val="000000"/>
          <w:sz w:val="26"/>
          <w:szCs w:val="26"/>
        </w:rPr>
      </w:pPr>
      <w:r w:rsidRPr="00EE68D7">
        <w:rPr>
          <w:color w:val="000000"/>
          <w:sz w:val="26"/>
          <w:szCs w:val="26"/>
        </w:rPr>
        <w:t>Lietās, kuras izskatītas apgabaltiesā kā pirmās instances tiesā, apelācijas kārtībā pēc 2014.gada 1.janvāra pārsūdzētu nolēmumu izskata tā pati apgabaltiesa kā apelācijas instances tiesa;</w:t>
      </w:r>
    </w:p>
    <w:p w:rsidR="003729D4" w:rsidRPr="00EE68D7" w:rsidRDefault="003729D4" w:rsidP="001A44F5">
      <w:pPr>
        <w:pStyle w:val="Sarakstarindkopa"/>
        <w:numPr>
          <w:ilvl w:val="0"/>
          <w:numId w:val="10"/>
        </w:numPr>
        <w:jc w:val="both"/>
        <w:rPr>
          <w:color w:val="000000"/>
          <w:sz w:val="26"/>
          <w:szCs w:val="26"/>
        </w:rPr>
      </w:pPr>
      <w:r w:rsidRPr="00EE68D7">
        <w:rPr>
          <w:color w:val="000000"/>
          <w:sz w:val="26"/>
          <w:szCs w:val="26"/>
        </w:rPr>
        <w:t>Lietas, kuras nodotas izskatīšanai Augstākās tiesas Krimināllietu tiesu palātā līdz 2013.gada 31.decembrim, bet kurās tiesas izmeklēšana nav uzsākta līdz 2014.gada 30.jūnijam, nodod izskatīšanai apgabaltiesai kā apelācijas instances tiesai;</w:t>
      </w:r>
    </w:p>
    <w:p w:rsidR="003729D4" w:rsidRPr="00EE68D7" w:rsidRDefault="003729D4" w:rsidP="001A44F5">
      <w:pPr>
        <w:pStyle w:val="Sarakstarindkopa"/>
        <w:numPr>
          <w:ilvl w:val="0"/>
          <w:numId w:val="10"/>
        </w:numPr>
        <w:jc w:val="both"/>
        <w:rPr>
          <w:color w:val="000000"/>
          <w:sz w:val="26"/>
          <w:szCs w:val="26"/>
        </w:rPr>
      </w:pPr>
      <w:r w:rsidRPr="00EE68D7">
        <w:rPr>
          <w:color w:val="000000"/>
          <w:sz w:val="26"/>
          <w:szCs w:val="26"/>
        </w:rPr>
        <w:t>Lietas, kurās Augstākās tiesas Krimināllietu tiesu palātā ir uzsākta tiesas izmeklēšana, bet kuras līdz 2014.gada 31.decembrim nav izskatītas, nodod izskatīšanai no jauna apgabaltiesai kā apelācijas instances tiesai;</w:t>
      </w:r>
    </w:p>
    <w:p w:rsidR="003729D4" w:rsidRPr="00EE68D7" w:rsidRDefault="003729D4" w:rsidP="001A44F5">
      <w:pPr>
        <w:pStyle w:val="Sarakstarindkopa"/>
        <w:numPr>
          <w:ilvl w:val="0"/>
          <w:numId w:val="10"/>
        </w:numPr>
        <w:jc w:val="both"/>
        <w:rPr>
          <w:color w:val="000000"/>
          <w:sz w:val="26"/>
          <w:szCs w:val="26"/>
        </w:rPr>
      </w:pPr>
      <w:r w:rsidRPr="00EE68D7">
        <w:rPr>
          <w:color w:val="000000"/>
          <w:sz w:val="26"/>
          <w:szCs w:val="26"/>
        </w:rPr>
        <w:t>Lietas, kuras nodotas izskatīšanai Augstākās tiesas Krimināllietu tiesu palātā un kurās pieņemts lēmums par kriminālprocesa apturēšanu, pēc 2015.gada 1.janvāra nodod apgabaltiesai kā apelācijas instances tiesai;</w:t>
      </w:r>
    </w:p>
    <w:p w:rsidR="003729D4" w:rsidRPr="00EE68D7" w:rsidRDefault="003729D4" w:rsidP="001A44F5">
      <w:pPr>
        <w:pStyle w:val="Sarakstarindkopa"/>
        <w:numPr>
          <w:ilvl w:val="0"/>
          <w:numId w:val="10"/>
        </w:numPr>
        <w:jc w:val="both"/>
        <w:rPr>
          <w:color w:val="000000"/>
          <w:sz w:val="26"/>
          <w:szCs w:val="26"/>
        </w:rPr>
      </w:pPr>
      <w:r w:rsidRPr="00EE68D7">
        <w:rPr>
          <w:color w:val="000000"/>
          <w:sz w:val="26"/>
          <w:szCs w:val="26"/>
        </w:rPr>
        <w:t xml:space="preserve">Augstākās tiesas Krimināllietu tiesu palātā izskatītās lietas, kurās pēc 2014.gada 1.janvāra kasācijas instance ir atcēlusi nolēmumu, nosūta jaunai izskatīšanai apgabaltiesai kā apelācijas instances tiesai. </w:t>
      </w:r>
    </w:p>
    <w:p w:rsidR="00F677F1" w:rsidRPr="00EE68D7" w:rsidRDefault="00086EA6" w:rsidP="007C3B79">
      <w:pPr>
        <w:ind w:firstLine="720"/>
        <w:jc w:val="both"/>
        <w:rPr>
          <w:color w:val="000000"/>
          <w:sz w:val="26"/>
          <w:szCs w:val="26"/>
        </w:rPr>
      </w:pPr>
      <w:r w:rsidRPr="00EE68D7">
        <w:rPr>
          <w:color w:val="000000"/>
          <w:sz w:val="26"/>
          <w:szCs w:val="26"/>
        </w:rPr>
        <w:lastRenderedPageBreak/>
        <w:t>No</w:t>
      </w:r>
      <w:r w:rsidR="00F677F1" w:rsidRPr="00EE68D7">
        <w:rPr>
          <w:color w:val="000000"/>
          <w:sz w:val="26"/>
          <w:szCs w:val="26"/>
        </w:rPr>
        <w:t xml:space="preserve"> Tiesu informatīvajā sistēmā reģistrēt</w:t>
      </w:r>
      <w:r w:rsidRPr="00EE68D7">
        <w:rPr>
          <w:color w:val="000000"/>
          <w:sz w:val="26"/>
          <w:szCs w:val="26"/>
        </w:rPr>
        <w:t>ajiem</w:t>
      </w:r>
      <w:r w:rsidR="00F677F1" w:rsidRPr="00EE68D7">
        <w:rPr>
          <w:color w:val="000000"/>
          <w:sz w:val="26"/>
          <w:szCs w:val="26"/>
        </w:rPr>
        <w:t xml:space="preserve"> dat</w:t>
      </w:r>
      <w:r w:rsidRPr="00EE68D7">
        <w:rPr>
          <w:color w:val="000000"/>
          <w:sz w:val="26"/>
          <w:szCs w:val="26"/>
        </w:rPr>
        <w:t>iem</w:t>
      </w:r>
      <w:r w:rsidR="00F677F1" w:rsidRPr="00EE68D7">
        <w:rPr>
          <w:color w:val="000000"/>
          <w:sz w:val="26"/>
          <w:szCs w:val="26"/>
        </w:rPr>
        <w:t xml:space="preserve"> par apgabaltiesu kā pirmās instances tiesu, Augstākās tiesas Krimināllietu tiesu palātā un Augstākās tiesas Senāta Krimināllietu departamentā ties</w:t>
      </w:r>
      <w:r w:rsidRPr="00EE68D7">
        <w:rPr>
          <w:color w:val="000000"/>
          <w:sz w:val="26"/>
          <w:szCs w:val="26"/>
        </w:rPr>
        <w:t>vedībā esošajām krimināllietām</w:t>
      </w:r>
      <w:r w:rsidR="00300E86" w:rsidRPr="00EE68D7">
        <w:rPr>
          <w:rStyle w:val="Vresatsauce"/>
          <w:color w:val="000000"/>
          <w:sz w:val="26"/>
          <w:szCs w:val="26"/>
        </w:rPr>
        <w:footnoteReference w:id="1"/>
      </w:r>
      <w:r w:rsidRPr="00EE68D7">
        <w:rPr>
          <w:color w:val="000000"/>
          <w:sz w:val="26"/>
          <w:szCs w:val="26"/>
        </w:rPr>
        <w:t xml:space="preserve"> izriet, ka:</w:t>
      </w:r>
    </w:p>
    <w:p w:rsidR="00300E86" w:rsidRPr="00EE68D7" w:rsidRDefault="00300E86" w:rsidP="007C3B79">
      <w:pPr>
        <w:ind w:firstLine="720"/>
        <w:jc w:val="both"/>
        <w:rPr>
          <w:color w:val="000000"/>
          <w:sz w:val="26"/>
          <w:szCs w:val="26"/>
        </w:rPr>
      </w:pPr>
    </w:p>
    <w:tbl>
      <w:tblPr>
        <w:tblStyle w:val="Reatabula"/>
        <w:tblW w:w="0" w:type="auto"/>
        <w:tblInd w:w="108" w:type="dxa"/>
        <w:tblLook w:val="04A0" w:firstRow="1" w:lastRow="0" w:firstColumn="1" w:lastColumn="0" w:noHBand="0" w:noVBand="1"/>
      </w:tblPr>
      <w:tblGrid>
        <w:gridCol w:w="3627"/>
        <w:gridCol w:w="5552"/>
      </w:tblGrid>
      <w:tr w:rsidR="007D5D79" w:rsidRPr="00EE68D7" w:rsidTr="002F72FF">
        <w:tc>
          <w:tcPr>
            <w:tcW w:w="3686" w:type="dxa"/>
            <w:vAlign w:val="center"/>
          </w:tcPr>
          <w:p w:rsidR="007D5D79" w:rsidRPr="00EE68D7" w:rsidRDefault="007D5D79" w:rsidP="007D5D79">
            <w:pPr>
              <w:jc w:val="center"/>
              <w:rPr>
                <w:b/>
                <w:color w:val="000000"/>
                <w:sz w:val="26"/>
                <w:szCs w:val="26"/>
              </w:rPr>
            </w:pPr>
            <w:r w:rsidRPr="00EE68D7">
              <w:rPr>
                <w:b/>
                <w:color w:val="000000"/>
                <w:sz w:val="26"/>
                <w:szCs w:val="26"/>
              </w:rPr>
              <w:t>Tiesa</w:t>
            </w:r>
          </w:p>
        </w:tc>
        <w:tc>
          <w:tcPr>
            <w:tcW w:w="5670" w:type="dxa"/>
            <w:vAlign w:val="center"/>
          </w:tcPr>
          <w:p w:rsidR="007D5D79" w:rsidRPr="00EE68D7" w:rsidRDefault="007D5D79" w:rsidP="004354A6">
            <w:pPr>
              <w:jc w:val="center"/>
              <w:rPr>
                <w:b/>
                <w:color w:val="000000"/>
                <w:sz w:val="26"/>
                <w:szCs w:val="26"/>
              </w:rPr>
            </w:pPr>
            <w:r w:rsidRPr="00EE68D7">
              <w:rPr>
                <w:b/>
                <w:color w:val="000000"/>
                <w:sz w:val="26"/>
                <w:szCs w:val="26"/>
              </w:rPr>
              <w:t xml:space="preserve">Neizskatīto krimināllietu skaits uz </w:t>
            </w:r>
            <w:r w:rsidR="004354A6" w:rsidRPr="00EE68D7">
              <w:rPr>
                <w:b/>
                <w:color w:val="000000"/>
                <w:sz w:val="26"/>
                <w:szCs w:val="26"/>
              </w:rPr>
              <w:t>12.03</w:t>
            </w:r>
            <w:r w:rsidRPr="00EE68D7">
              <w:rPr>
                <w:b/>
                <w:color w:val="000000"/>
                <w:sz w:val="26"/>
                <w:szCs w:val="26"/>
              </w:rPr>
              <w:t>.2014.</w:t>
            </w:r>
          </w:p>
        </w:tc>
      </w:tr>
      <w:tr w:rsidR="007D5D79" w:rsidRPr="00EE68D7" w:rsidTr="001A44F5">
        <w:trPr>
          <w:trHeight w:val="422"/>
        </w:trPr>
        <w:tc>
          <w:tcPr>
            <w:tcW w:w="3686" w:type="dxa"/>
            <w:vAlign w:val="center"/>
          </w:tcPr>
          <w:p w:rsidR="007D5D79" w:rsidRPr="00EE68D7" w:rsidRDefault="00086EA6" w:rsidP="007D5D79">
            <w:pPr>
              <w:jc w:val="center"/>
              <w:rPr>
                <w:color w:val="000000"/>
                <w:sz w:val="26"/>
                <w:szCs w:val="26"/>
              </w:rPr>
            </w:pPr>
            <w:r w:rsidRPr="00EE68D7">
              <w:rPr>
                <w:color w:val="000000"/>
                <w:sz w:val="26"/>
                <w:szCs w:val="26"/>
              </w:rPr>
              <w:t>Apgabaltiesās kā 1.instances ties</w:t>
            </w:r>
            <w:r w:rsidR="00F6008E" w:rsidRPr="00EE68D7">
              <w:rPr>
                <w:color w:val="000000"/>
                <w:sz w:val="26"/>
                <w:szCs w:val="26"/>
              </w:rPr>
              <w:t>ās</w:t>
            </w:r>
          </w:p>
        </w:tc>
        <w:tc>
          <w:tcPr>
            <w:tcW w:w="5670" w:type="dxa"/>
            <w:vAlign w:val="center"/>
          </w:tcPr>
          <w:p w:rsidR="007D5D79" w:rsidRPr="00EE68D7" w:rsidRDefault="004354A6" w:rsidP="00086EA6">
            <w:pPr>
              <w:jc w:val="center"/>
              <w:rPr>
                <w:color w:val="000000"/>
                <w:sz w:val="26"/>
                <w:szCs w:val="26"/>
              </w:rPr>
            </w:pPr>
            <w:r w:rsidRPr="00EE68D7">
              <w:rPr>
                <w:color w:val="000000"/>
                <w:sz w:val="26"/>
                <w:szCs w:val="26"/>
              </w:rPr>
              <w:t>48</w:t>
            </w:r>
            <w:r w:rsidR="007D5D79" w:rsidRPr="00EE68D7">
              <w:rPr>
                <w:color w:val="000000"/>
                <w:sz w:val="26"/>
                <w:szCs w:val="26"/>
              </w:rPr>
              <w:t xml:space="preserve"> krimināllietas </w:t>
            </w:r>
          </w:p>
        </w:tc>
      </w:tr>
      <w:tr w:rsidR="007D5D79" w:rsidRPr="00EE68D7" w:rsidTr="001A44F5">
        <w:trPr>
          <w:trHeight w:val="698"/>
        </w:trPr>
        <w:tc>
          <w:tcPr>
            <w:tcW w:w="3686" w:type="dxa"/>
            <w:vAlign w:val="center"/>
          </w:tcPr>
          <w:p w:rsidR="00F6008E" w:rsidRPr="00EE68D7" w:rsidRDefault="007D5D79" w:rsidP="00F6008E">
            <w:pPr>
              <w:jc w:val="center"/>
              <w:rPr>
                <w:color w:val="000000"/>
                <w:sz w:val="26"/>
                <w:szCs w:val="26"/>
              </w:rPr>
            </w:pPr>
            <w:r w:rsidRPr="00EE68D7">
              <w:rPr>
                <w:color w:val="000000"/>
                <w:sz w:val="26"/>
                <w:szCs w:val="26"/>
              </w:rPr>
              <w:t>Augstākās t</w:t>
            </w:r>
            <w:r w:rsidR="00086EA6" w:rsidRPr="00EE68D7">
              <w:rPr>
                <w:color w:val="000000"/>
                <w:sz w:val="26"/>
                <w:szCs w:val="26"/>
              </w:rPr>
              <w:t>iesas</w:t>
            </w:r>
          </w:p>
          <w:p w:rsidR="007D5D79" w:rsidRPr="00EE68D7" w:rsidRDefault="00086EA6" w:rsidP="00F6008E">
            <w:pPr>
              <w:jc w:val="center"/>
              <w:rPr>
                <w:color w:val="000000"/>
                <w:sz w:val="26"/>
                <w:szCs w:val="26"/>
              </w:rPr>
            </w:pPr>
            <w:r w:rsidRPr="00EE68D7">
              <w:rPr>
                <w:color w:val="000000"/>
                <w:sz w:val="26"/>
                <w:szCs w:val="26"/>
              </w:rPr>
              <w:t>Krimināllietu tiesu palātā</w:t>
            </w:r>
          </w:p>
        </w:tc>
        <w:tc>
          <w:tcPr>
            <w:tcW w:w="5670" w:type="dxa"/>
            <w:vAlign w:val="center"/>
          </w:tcPr>
          <w:p w:rsidR="007D5D79" w:rsidRPr="00EE68D7" w:rsidRDefault="004354A6" w:rsidP="007D5D79">
            <w:pPr>
              <w:jc w:val="center"/>
              <w:rPr>
                <w:color w:val="000000"/>
                <w:sz w:val="26"/>
                <w:szCs w:val="26"/>
              </w:rPr>
            </w:pPr>
            <w:r w:rsidRPr="00EE68D7">
              <w:rPr>
                <w:color w:val="000000"/>
                <w:sz w:val="26"/>
                <w:szCs w:val="26"/>
              </w:rPr>
              <w:t>127</w:t>
            </w:r>
            <w:r w:rsidR="007D5D79" w:rsidRPr="00EE68D7">
              <w:rPr>
                <w:color w:val="000000"/>
                <w:sz w:val="26"/>
                <w:szCs w:val="26"/>
              </w:rPr>
              <w:t xml:space="preserve"> krimināllietas</w:t>
            </w:r>
          </w:p>
        </w:tc>
      </w:tr>
      <w:tr w:rsidR="007D5D79" w:rsidRPr="00EE68D7" w:rsidTr="001A44F5">
        <w:trPr>
          <w:trHeight w:val="693"/>
        </w:trPr>
        <w:tc>
          <w:tcPr>
            <w:tcW w:w="3686" w:type="dxa"/>
            <w:vAlign w:val="center"/>
          </w:tcPr>
          <w:p w:rsidR="00F6008E" w:rsidRPr="00EE68D7" w:rsidRDefault="007D5D79" w:rsidP="00F6008E">
            <w:pPr>
              <w:jc w:val="center"/>
              <w:rPr>
                <w:color w:val="000000"/>
                <w:sz w:val="26"/>
                <w:szCs w:val="26"/>
              </w:rPr>
            </w:pPr>
            <w:r w:rsidRPr="00EE68D7">
              <w:rPr>
                <w:color w:val="000000"/>
                <w:sz w:val="26"/>
                <w:szCs w:val="26"/>
              </w:rPr>
              <w:t>Augstākās tiesas</w:t>
            </w:r>
          </w:p>
          <w:p w:rsidR="007D5D79" w:rsidRPr="00EE68D7" w:rsidRDefault="00086EA6" w:rsidP="00F6008E">
            <w:pPr>
              <w:jc w:val="center"/>
              <w:rPr>
                <w:color w:val="000000"/>
                <w:sz w:val="26"/>
                <w:szCs w:val="26"/>
              </w:rPr>
            </w:pPr>
            <w:r w:rsidRPr="00EE68D7">
              <w:rPr>
                <w:color w:val="000000"/>
                <w:sz w:val="26"/>
                <w:szCs w:val="26"/>
              </w:rPr>
              <w:t>Krimināllietu departamentā</w:t>
            </w:r>
          </w:p>
        </w:tc>
        <w:tc>
          <w:tcPr>
            <w:tcW w:w="5670" w:type="dxa"/>
            <w:vAlign w:val="center"/>
          </w:tcPr>
          <w:p w:rsidR="007D5D79" w:rsidRPr="00EE68D7" w:rsidRDefault="00C265E8" w:rsidP="00C265E8">
            <w:pPr>
              <w:jc w:val="center"/>
              <w:rPr>
                <w:color w:val="000000"/>
                <w:sz w:val="26"/>
                <w:szCs w:val="26"/>
              </w:rPr>
            </w:pPr>
            <w:r w:rsidRPr="00EE68D7">
              <w:rPr>
                <w:color w:val="000000"/>
                <w:sz w:val="26"/>
                <w:szCs w:val="26"/>
              </w:rPr>
              <w:t xml:space="preserve">156 </w:t>
            </w:r>
            <w:r w:rsidR="007D5D79" w:rsidRPr="00EE68D7">
              <w:rPr>
                <w:color w:val="000000"/>
                <w:sz w:val="26"/>
                <w:szCs w:val="26"/>
              </w:rPr>
              <w:t>krimināllietas</w:t>
            </w:r>
          </w:p>
        </w:tc>
      </w:tr>
    </w:tbl>
    <w:p w:rsidR="00300E86" w:rsidRPr="00EE68D7" w:rsidRDefault="00300E86" w:rsidP="004A0789">
      <w:pPr>
        <w:ind w:firstLine="720"/>
        <w:jc w:val="both"/>
        <w:rPr>
          <w:color w:val="000000"/>
          <w:sz w:val="26"/>
          <w:szCs w:val="26"/>
        </w:rPr>
      </w:pPr>
    </w:p>
    <w:p w:rsidR="009970CD" w:rsidRPr="00EE68D7" w:rsidRDefault="004C04FA" w:rsidP="00F13A6D">
      <w:pPr>
        <w:ind w:firstLine="720"/>
        <w:jc w:val="both"/>
        <w:rPr>
          <w:sz w:val="26"/>
          <w:szCs w:val="26"/>
        </w:rPr>
      </w:pPr>
      <w:r w:rsidRPr="00EE68D7">
        <w:rPr>
          <w:sz w:val="26"/>
          <w:szCs w:val="26"/>
        </w:rPr>
        <w:t xml:space="preserve">Kā izriet no Augstākās tiesas sniegtās informācijas (informācijas sniegta 11.03.2014.), tad </w:t>
      </w:r>
      <w:r w:rsidR="00E312FF" w:rsidRPr="00EE68D7">
        <w:rPr>
          <w:sz w:val="26"/>
          <w:szCs w:val="26"/>
        </w:rPr>
        <w:t xml:space="preserve">Augstākās </w:t>
      </w:r>
      <w:r w:rsidRPr="00EE68D7">
        <w:rPr>
          <w:sz w:val="26"/>
          <w:szCs w:val="26"/>
        </w:rPr>
        <w:t>tiesas Krimināllietu tiesu palātas lietvedībā kopā ir 126 neizskatītās krimināllietas. Kā norāda Augstākā tiesa, tad no šīm 126 krimināllietām pie optimistiskākā scenārija (ja neizveidosies šobrīd neparedzami lietas atlikšanas apstākļi, nepastāvēs lietas atlikšanas iemesli) līdz 2014.gada beigām varētu tikt izskatītas 114 krimināllietas. Tomēr, kā norāda Augstākā tiesa, tad precīzu krimināllietu skaitu, kas varētu palikt neizskatītas uz 2014.gada 31.decembri, šobrīd nevar paredzēt</w:t>
      </w:r>
      <w:r w:rsidR="00F13A6D" w:rsidRPr="00EE68D7">
        <w:rPr>
          <w:sz w:val="26"/>
          <w:szCs w:val="26"/>
        </w:rPr>
        <w:t>.</w:t>
      </w:r>
      <w:r w:rsidR="00F6008E" w:rsidRPr="00EE68D7">
        <w:rPr>
          <w:sz w:val="26"/>
          <w:szCs w:val="26"/>
        </w:rPr>
        <w:t xml:space="preserve"> </w:t>
      </w:r>
      <w:r w:rsidR="009970CD" w:rsidRPr="00EE68D7">
        <w:rPr>
          <w:sz w:val="26"/>
          <w:szCs w:val="26"/>
        </w:rPr>
        <w:t>Tas</w:t>
      </w:r>
      <w:r w:rsidR="00F6008E" w:rsidRPr="00EE68D7">
        <w:rPr>
          <w:sz w:val="26"/>
          <w:szCs w:val="26"/>
        </w:rPr>
        <w:t xml:space="preserve"> atkarīgs</w:t>
      </w:r>
      <w:r w:rsidR="002F72FF" w:rsidRPr="00EE68D7">
        <w:rPr>
          <w:sz w:val="26"/>
          <w:szCs w:val="26"/>
        </w:rPr>
        <w:t xml:space="preserve"> no vairākiem grūti prognozējamiem faktoriem</w:t>
      </w:r>
      <w:r w:rsidR="00F6008E" w:rsidRPr="00EE68D7">
        <w:rPr>
          <w:sz w:val="26"/>
          <w:szCs w:val="26"/>
        </w:rPr>
        <w:t xml:space="preserve">, </w:t>
      </w:r>
      <w:r w:rsidR="009970CD" w:rsidRPr="00EE68D7">
        <w:rPr>
          <w:sz w:val="26"/>
          <w:szCs w:val="26"/>
        </w:rPr>
        <w:t xml:space="preserve">lietas sarežģītības, apsūdzēto skaita kriminālprocesā, sējumu skaita vienā krimināllietā, lietas dalībnieku neierašanās uz tiesas sēdi, no pieteiktajiem lūgumiem, to skaita, pieteikto lūgumu izlemšanas </w:t>
      </w:r>
      <w:r w:rsidR="00603A28" w:rsidRPr="00EE68D7">
        <w:rPr>
          <w:sz w:val="26"/>
          <w:szCs w:val="26"/>
        </w:rPr>
        <w:t>rezultātā</w:t>
      </w:r>
      <w:r w:rsidR="00E312FF" w:rsidRPr="00EE68D7">
        <w:rPr>
          <w:sz w:val="26"/>
          <w:szCs w:val="26"/>
        </w:rPr>
        <w:t xml:space="preserve">, </w:t>
      </w:r>
      <w:r w:rsidR="009970CD" w:rsidRPr="00EE68D7">
        <w:rPr>
          <w:sz w:val="26"/>
          <w:szCs w:val="26"/>
        </w:rPr>
        <w:t>tiesnešu iespējamā</w:t>
      </w:r>
      <w:r w:rsidR="00603A28" w:rsidRPr="00EE68D7">
        <w:rPr>
          <w:sz w:val="26"/>
          <w:szCs w:val="26"/>
        </w:rPr>
        <w:t>s</w:t>
      </w:r>
      <w:r w:rsidR="009970CD" w:rsidRPr="00EE68D7">
        <w:rPr>
          <w:sz w:val="26"/>
          <w:szCs w:val="26"/>
        </w:rPr>
        <w:t xml:space="preserve"> darbnespēja</w:t>
      </w:r>
      <w:r w:rsidR="00603A28" w:rsidRPr="00EE68D7">
        <w:rPr>
          <w:sz w:val="26"/>
          <w:szCs w:val="26"/>
        </w:rPr>
        <w:t>s</w:t>
      </w:r>
      <w:r w:rsidR="009970CD" w:rsidRPr="00EE68D7">
        <w:rPr>
          <w:sz w:val="26"/>
          <w:szCs w:val="26"/>
        </w:rPr>
        <w:t xml:space="preserve">, lietas dalībnieku, kuru piedalīšanās tiesas sēdē </w:t>
      </w:r>
      <w:r w:rsidR="00C92E81" w:rsidRPr="00EE68D7">
        <w:rPr>
          <w:sz w:val="26"/>
          <w:szCs w:val="26"/>
        </w:rPr>
        <w:t>Kriminālprocesa likums</w:t>
      </w:r>
      <w:r w:rsidR="009970CD" w:rsidRPr="00EE68D7">
        <w:rPr>
          <w:sz w:val="26"/>
          <w:szCs w:val="26"/>
        </w:rPr>
        <w:t xml:space="preserve"> noteicis par obligātu, neierašanās uz tiesas sēdi, kā arī tehniskie</w:t>
      </w:r>
      <w:r w:rsidR="00603A28" w:rsidRPr="00EE68D7">
        <w:rPr>
          <w:sz w:val="26"/>
          <w:szCs w:val="26"/>
        </w:rPr>
        <w:t>m</w:t>
      </w:r>
      <w:r w:rsidR="009970CD" w:rsidRPr="00EE68D7">
        <w:rPr>
          <w:sz w:val="26"/>
          <w:szCs w:val="26"/>
        </w:rPr>
        <w:t xml:space="preserve"> iemesli</w:t>
      </w:r>
      <w:r w:rsidR="00603A28" w:rsidRPr="00EE68D7">
        <w:rPr>
          <w:sz w:val="26"/>
          <w:szCs w:val="26"/>
        </w:rPr>
        <w:t>em</w:t>
      </w:r>
      <w:r w:rsidR="009970CD" w:rsidRPr="00EE68D7">
        <w:rPr>
          <w:sz w:val="26"/>
          <w:szCs w:val="26"/>
        </w:rPr>
        <w:t>, u.c.</w:t>
      </w:r>
      <w:r w:rsidR="00C92E81" w:rsidRPr="00EE68D7">
        <w:rPr>
          <w:sz w:val="26"/>
          <w:szCs w:val="26"/>
        </w:rPr>
        <w:t xml:space="preserve"> Tāpat</w:t>
      </w:r>
      <w:r w:rsidR="00E312FF" w:rsidRPr="00EE68D7">
        <w:rPr>
          <w:sz w:val="26"/>
          <w:szCs w:val="26"/>
        </w:rPr>
        <w:t>,</w:t>
      </w:r>
      <w:r w:rsidR="00C92E81" w:rsidRPr="00EE68D7">
        <w:rPr>
          <w:sz w:val="26"/>
          <w:szCs w:val="26"/>
        </w:rPr>
        <w:t xml:space="preserve"> v</w:t>
      </w:r>
      <w:r w:rsidR="00F6008E" w:rsidRPr="00EE68D7">
        <w:rPr>
          <w:sz w:val="26"/>
          <w:szCs w:val="26"/>
        </w:rPr>
        <w:t>ēršam</w:t>
      </w:r>
      <w:r w:rsidR="00603A28" w:rsidRPr="00EE68D7">
        <w:rPr>
          <w:sz w:val="26"/>
          <w:szCs w:val="26"/>
        </w:rPr>
        <w:t>a</w:t>
      </w:r>
      <w:r w:rsidR="00E312FF" w:rsidRPr="00EE68D7">
        <w:rPr>
          <w:sz w:val="26"/>
          <w:szCs w:val="26"/>
        </w:rPr>
        <w:t xml:space="preserve"> </w:t>
      </w:r>
      <w:r w:rsidR="00603A28" w:rsidRPr="00EE68D7">
        <w:rPr>
          <w:sz w:val="26"/>
          <w:szCs w:val="26"/>
        </w:rPr>
        <w:t xml:space="preserve">uzmanība </w:t>
      </w:r>
      <w:r w:rsidR="00F6008E" w:rsidRPr="00EE68D7">
        <w:rPr>
          <w:sz w:val="26"/>
          <w:szCs w:val="26"/>
        </w:rPr>
        <w:t xml:space="preserve">uz faktu, ka </w:t>
      </w:r>
      <w:r w:rsidR="009970CD" w:rsidRPr="00EE68D7">
        <w:rPr>
          <w:sz w:val="26"/>
          <w:szCs w:val="26"/>
        </w:rPr>
        <w:t>lielākais po</w:t>
      </w:r>
      <w:r w:rsidR="00F6008E" w:rsidRPr="00EE68D7">
        <w:rPr>
          <w:sz w:val="26"/>
          <w:szCs w:val="26"/>
        </w:rPr>
        <w:t xml:space="preserve">tenciāli iespējamais </w:t>
      </w:r>
      <w:r w:rsidR="00C56130" w:rsidRPr="00EE68D7">
        <w:rPr>
          <w:sz w:val="26"/>
          <w:szCs w:val="26"/>
        </w:rPr>
        <w:t>risks</w:t>
      </w:r>
      <w:r w:rsidR="00F13A6D" w:rsidRPr="00EE68D7">
        <w:rPr>
          <w:sz w:val="26"/>
          <w:szCs w:val="26"/>
        </w:rPr>
        <w:t xml:space="preserve"> saistāms ar tām krimināllietām, kurās jau ir uzsākta tiesas izmeklēšana (no Augstākās tiesas 23.01.2014. sniegtās informācijas izriet, ka šādas lietas uz </w:t>
      </w:r>
      <w:r w:rsidR="00C92E81" w:rsidRPr="00EE68D7">
        <w:rPr>
          <w:sz w:val="26"/>
          <w:szCs w:val="26"/>
        </w:rPr>
        <w:t>informācijas sniegšanas brīdi</w:t>
      </w:r>
      <w:r w:rsidR="00F13A6D" w:rsidRPr="00EE68D7">
        <w:rPr>
          <w:sz w:val="26"/>
          <w:szCs w:val="26"/>
        </w:rPr>
        <w:t xml:space="preserve"> bija 58 krimināllietas)</w:t>
      </w:r>
      <w:r w:rsidR="00C56130" w:rsidRPr="00EE68D7">
        <w:rPr>
          <w:sz w:val="26"/>
          <w:szCs w:val="26"/>
        </w:rPr>
        <w:t>.</w:t>
      </w:r>
      <w:r w:rsidR="00F6008E" w:rsidRPr="00EE68D7">
        <w:rPr>
          <w:sz w:val="26"/>
          <w:szCs w:val="26"/>
        </w:rPr>
        <w:t xml:space="preserve"> </w:t>
      </w:r>
      <w:r w:rsidR="00C56130" w:rsidRPr="00EE68D7">
        <w:rPr>
          <w:sz w:val="26"/>
          <w:szCs w:val="26"/>
        </w:rPr>
        <w:t>P</w:t>
      </w:r>
      <w:r w:rsidR="00F6008E" w:rsidRPr="00EE68D7">
        <w:rPr>
          <w:sz w:val="26"/>
          <w:szCs w:val="26"/>
        </w:rPr>
        <w:t>roti</w:t>
      </w:r>
      <w:r w:rsidR="00C56130" w:rsidRPr="00EE68D7">
        <w:rPr>
          <w:sz w:val="26"/>
          <w:szCs w:val="26"/>
        </w:rPr>
        <w:t>,</w:t>
      </w:r>
      <w:r w:rsidR="00F6008E" w:rsidRPr="00EE68D7">
        <w:rPr>
          <w:sz w:val="26"/>
          <w:szCs w:val="26"/>
        </w:rPr>
        <w:t xml:space="preserve"> ja šo lietu izskatīšana Krimināllietu tiesu palātā netiek pabeigta līdz 2014.gada 31.decembrim, tās saskaņā ar Kriminālprocesa likuma pārejas noteikumu 48.punktu nododamas apgabaltiesai kā apelācijas instances tiesai. </w:t>
      </w:r>
      <w:r w:rsidR="009970CD" w:rsidRPr="00EE68D7">
        <w:rPr>
          <w:sz w:val="26"/>
          <w:szCs w:val="26"/>
        </w:rPr>
        <w:t>Savukārt</w:t>
      </w:r>
      <w:r w:rsidR="009A3A85" w:rsidRPr="00EE68D7">
        <w:rPr>
          <w:sz w:val="26"/>
          <w:szCs w:val="26"/>
        </w:rPr>
        <w:t>,</w:t>
      </w:r>
      <w:r w:rsidR="00F6008E" w:rsidRPr="00EE68D7">
        <w:rPr>
          <w:sz w:val="26"/>
          <w:szCs w:val="26"/>
        </w:rPr>
        <w:t xml:space="preserve"> Kriminālprocesa likuma 452.pants paredz tādu kriminālprocesa norises pamatprincipu kā tiesas sastāva nemainīgumu. Saskaņā ar minēto normu tiesas sēde krimināllietā noris nemainīgā tiesnešu sastāvā. Ja krimināllietas iztiesāšanas gaitā kādu no tiesnešiem aizstāj cits tiesnesis, krimināllietas </w:t>
      </w:r>
      <w:r w:rsidR="009A3A85" w:rsidRPr="00EE68D7">
        <w:rPr>
          <w:sz w:val="26"/>
          <w:szCs w:val="26"/>
        </w:rPr>
        <w:t xml:space="preserve">iztiesāšanu </w:t>
      </w:r>
      <w:r w:rsidR="00C92E81" w:rsidRPr="00EE68D7">
        <w:rPr>
          <w:sz w:val="26"/>
          <w:szCs w:val="26"/>
        </w:rPr>
        <w:t>uzsāk</w:t>
      </w:r>
      <w:r w:rsidR="00F6008E" w:rsidRPr="00EE68D7">
        <w:rPr>
          <w:sz w:val="26"/>
          <w:szCs w:val="26"/>
        </w:rPr>
        <w:t xml:space="preserve"> no jauna.</w:t>
      </w:r>
      <w:r w:rsidR="009970CD" w:rsidRPr="00EE68D7">
        <w:rPr>
          <w:sz w:val="26"/>
          <w:szCs w:val="26"/>
        </w:rPr>
        <w:t xml:space="preserve"> Ievērojot minēto, Krimināllietu tiesu palātas iesāktās, bet līdz 2014.gada 31.decembrim nepabeigtās lietas pēc to nodošanas apgabaltiesām visos gadījumos būs jāatsāk izskatīt no jauna, kas atstās būtisku ietekmi u</w:t>
      </w:r>
      <w:r w:rsidR="001A44F5" w:rsidRPr="00EE68D7">
        <w:rPr>
          <w:sz w:val="26"/>
          <w:szCs w:val="26"/>
        </w:rPr>
        <w:t>z</w:t>
      </w:r>
      <w:r w:rsidR="009970CD" w:rsidRPr="00EE68D7">
        <w:rPr>
          <w:sz w:val="26"/>
          <w:szCs w:val="26"/>
        </w:rPr>
        <w:t xml:space="preserve"> šo lietu izskatīšanas kopējo termiņu un</w:t>
      </w:r>
      <w:r w:rsidR="00402A8B" w:rsidRPr="00EE68D7">
        <w:rPr>
          <w:sz w:val="26"/>
          <w:szCs w:val="26"/>
        </w:rPr>
        <w:t xml:space="preserve"> teorētiski pastāv iespēja, ka tas</w:t>
      </w:r>
      <w:r w:rsidR="009970CD" w:rsidRPr="00EE68D7">
        <w:rPr>
          <w:sz w:val="26"/>
          <w:szCs w:val="26"/>
        </w:rPr>
        <w:t xml:space="preserve"> var radīt</w:t>
      </w:r>
      <w:r w:rsidR="00410868" w:rsidRPr="00EE68D7">
        <w:rPr>
          <w:sz w:val="26"/>
          <w:szCs w:val="26"/>
        </w:rPr>
        <w:t xml:space="preserve"> Kriminālprocesa likuma</w:t>
      </w:r>
      <w:r w:rsidR="009970CD" w:rsidRPr="00EE68D7">
        <w:rPr>
          <w:sz w:val="26"/>
          <w:szCs w:val="26"/>
        </w:rPr>
        <w:t xml:space="preserve"> </w:t>
      </w:r>
      <w:r w:rsidR="00410868" w:rsidRPr="00EE68D7">
        <w:rPr>
          <w:sz w:val="26"/>
          <w:szCs w:val="26"/>
        </w:rPr>
        <w:t xml:space="preserve">14. panta – tiesības uz lietas izskatīšanu saprātīgā termiņā, kā arī </w:t>
      </w:r>
      <w:r w:rsidR="009970CD" w:rsidRPr="00EE68D7">
        <w:rPr>
          <w:sz w:val="26"/>
          <w:szCs w:val="26"/>
        </w:rPr>
        <w:t>Eiropas Cilvēka tiesību un pamatbrīvību aizsardzības</w:t>
      </w:r>
      <w:r w:rsidR="00410868" w:rsidRPr="00EE68D7">
        <w:rPr>
          <w:sz w:val="26"/>
          <w:szCs w:val="26"/>
        </w:rPr>
        <w:t xml:space="preserve"> konvencijas</w:t>
      </w:r>
      <w:r w:rsidR="009970CD" w:rsidRPr="00EE68D7">
        <w:rPr>
          <w:sz w:val="26"/>
          <w:szCs w:val="26"/>
        </w:rPr>
        <w:t xml:space="preserve"> 6. </w:t>
      </w:r>
      <w:r w:rsidR="00410868" w:rsidRPr="00EE68D7">
        <w:rPr>
          <w:sz w:val="26"/>
          <w:szCs w:val="26"/>
        </w:rPr>
        <w:t>p</w:t>
      </w:r>
      <w:r w:rsidR="009970CD" w:rsidRPr="00EE68D7">
        <w:rPr>
          <w:sz w:val="26"/>
          <w:szCs w:val="26"/>
        </w:rPr>
        <w:t>ant</w:t>
      </w:r>
      <w:r w:rsidR="00410868" w:rsidRPr="00EE68D7">
        <w:rPr>
          <w:sz w:val="26"/>
          <w:szCs w:val="26"/>
        </w:rPr>
        <w:t>a, kas</w:t>
      </w:r>
      <w:r w:rsidR="009970CD" w:rsidRPr="00EE68D7">
        <w:rPr>
          <w:sz w:val="26"/>
          <w:szCs w:val="26"/>
        </w:rPr>
        <w:t xml:space="preserve"> garantē personas tiesības </w:t>
      </w:r>
      <w:r w:rsidR="009970CD" w:rsidRPr="00EE68D7">
        <w:rPr>
          <w:bCs/>
          <w:sz w:val="26"/>
          <w:szCs w:val="26"/>
        </w:rPr>
        <w:t>uz lietas taisnīgu izskatīšanu</w:t>
      </w:r>
      <w:r w:rsidR="009970CD" w:rsidRPr="00EE68D7">
        <w:rPr>
          <w:sz w:val="26"/>
          <w:szCs w:val="26"/>
        </w:rPr>
        <w:t>, t.i. uz taisnīgu un atklātu lietas savlaicīgu izskatīšanu neatkarīgā un obj</w:t>
      </w:r>
      <w:r w:rsidR="00410868" w:rsidRPr="00EE68D7">
        <w:rPr>
          <w:sz w:val="26"/>
          <w:szCs w:val="26"/>
        </w:rPr>
        <w:t xml:space="preserve">ektīvā ar likumu noteiktā tiesā, </w:t>
      </w:r>
      <w:r w:rsidR="00410868" w:rsidRPr="00EE68D7">
        <w:rPr>
          <w:sz w:val="26"/>
          <w:szCs w:val="26"/>
        </w:rPr>
        <w:lastRenderedPageBreak/>
        <w:t>pārkāpumu.</w:t>
      </w:r>
      <w:r w:rsidR="00B31663" w:rsidRPr="00EE68D7">
        <w:rPr>
          <w:sz w:val="26"/>
          <w:szCs w:val="26"/>
        </w:rPr>
        <w:t xml:space="preserve"> Minētais, ka šādi riski varētu iestāties norādīts likuma „Grozījumi Kriminālprocesa likumā” anotācijā.</w:t>
      </w:r>
    </w:p>
    <w:p w:rsidR="009970CD" w:rsidRPr="00EE68D7" w:rsidRDefault="00410868" w:rsidP="009970CD">
      <w:pPr>
        <w:ind w:firstLine="720"/>
        <w:jc w:val="both"/>
        <w:rPr>
          <w:b/>
          <w:sz w:val="26"/>
          <w:szCs w:val="26"/>
        </w:rPr>
      </w:pPr>
      <w:r w:rsidRPr="00EE68D7">
        <w:rPr>
          <w:sz w:val="26"/>
          <w:szCs w:val="26"/>
        </w:rPr>
        <w:t>V</w:t>
      </w:r>
      <w:r w:rsidR="00727FBC" w:rsidRPr="00EE68D7">
        <w:rPr>
          <w:sz w:val="26"/>
          <w:szCs w:val="26"/>
        </w:rPr>
        <w:t>ar būt gadījumi, kad lieta K</w:t>
      </w:r>
      <w:r w:rsidR="009970CD" w:rsidRPr="00EE68D7">
        <w:rPr>
          <w:sz w:val="26"/>
          <w:szCs w:val="26"/>
        </w:rPr>
        <w:t xml:space="preserve">rimināllietu tiesu palātā ir skatīta ilgstoši </w:t>
      </w:r>
      <w:r w:rsidR="00FD486A" w:rsidRPr="00EE68D7">
        <w:rPr>
          <w:sz w:val="26"/>
          <w:szCs w:val="26"/>
        </w:rPr>
        <w:t>un</w:t>
      </w:r>
      <w:r w:rsidR="009A3A85" w:rsidRPr="00EE68D7">
        <w:rPr>
          <w:sz w:val="26"/>
          <w:szCs w:val="26"/>
        </w:rPr>
        <w:t>,</w:t>
      </w:r>
      <w:r w:rsidR="009970CD" w:rsidRPr="00EE68D7">
        <w:rPr>
          <w:sz w:val="26"/>
          <w:szCs w:val="26"/>
        </w:rPr>
        <w:t xml:space="preserve"> lai pabeigtu lietu un novestu kriminālprocesu līdz krimināltiesisko attiecību taisnīgam noregulējumam, ir nepieciešams </w:t>
      </w:r>
      <w:r w:rsidRPr="00EE68D7">
        <w:rPr>
          <w:sz w:val="26"/>
          <w:szCs w:val="26"/>
        </w:rPr>
        <w:t xml:space="preserve">pavisam </w:t>
      </w:r>
      <w:r w:rsidR="009970CD" w:rsidRPr="00EE68D7">
        <w:rPr>
          <w:sz w:val="26"/>
          <w:szCs w:val="26"/>
        </w:rPr>
        <w:t xml:space="preserve">nedaudz laika. Tāpat pastāv iespēja, ka lietas dalībnieki ir </w:t>
      </w:r>
      <w:r w:rsidR="0072573E" w:rsidRPr="00EE68D7">
        <w:rPr>
          <w:sz w:val="26"/>
          <w:szCs w:val="26"/>
        </w:rPr>
        <w:t>ieinteresēti</w:t>
      </w:r>
      <w:r w:rsidR="009970CD" w:rsidRPr="00EE68D7">
        <w:rPr>
          <w:sz w:val="26"/>
          <w:szCs w:val="26"/>
        </w:rPr>
        <w:t xml:space="preserve">, lai lieta tiktu nodota </w:t>
      </w:r>
      <w:r w:rsidRPr="00EE68D7">
        <w:rPr>
          <w:sz w:val="26"/>
          <w:szCs w:val="26"/>
        </w:rPr>
        <w:t>jaunai izskatīšanai</w:t>
      </w:r>
      <w:r w:rsidR="009970CD" w:rsidRPr="00EE68D7">
        <w:rPr>
          <w:sz w:val="26"/>
          <w:szCs w:val="26"/>
        </w:rPr>
        <w:t>, tādējādi</w:t>
      </w:r>
      <w:r w:rsidRPr="00EE68D7">
        <w:rPr>
          <w:sz w:val="26"/>
          <w:szCs w:val="26"/>
        </w:rPr>
        <w:t xml:space="preserve"> apzināti kavējot</w:t>
      </w:r>
      <w:r w:rsidR="009970CD" w:rsidRPr="00EE68D7">
        <w:rPr>
          <w:sz w:val="26"/>
          <w:szCs w:val="26"/>
        </w:rPr>
        <w:t xml:space="preserve"> tās izskatīšanu. </w:t>
      </w:r>
      <w:r w:rsidRPr="00EE68D7">
        <w:rPr>
          <w:sz w:val="26"/>
          <w:szCs w:val="26"/>
        </w:rPr>
        <w:t>Abos gadījumos lietas pēc tās nodošanas apgabaltiesai būs jāuzsāk izskatīt no jauna, to</w:t>
      </w:r>
      <w:r w:rsidR="009970CD" w:rsidRPr="00EE68D7">
        <w:rPr>
          <w:sz w:val="26"/>
          <w:szCs w:val="26"/>
        </w:rPr>
        <w:t>mēr</w:t>
      </w:r>
      <w:r w:rsidRPr="00EE68D7">
        <w:rPr>
          <w:sz w:val="26"/>
          <w:szCs w:val="26"/>
        </w:rPr>
        <w:t xml:space="preserve"> attiecībā uz pēdējo gadījumu </w:t>
      </w:r>
      <w:r w:rsidR="009970CD" w:rsidRPr="00EE68D7">
        <w:rPr>
          <w:sz w:val="26"/>
          <w:szCs w:val="26"/>
        </w:rPr>
        <w:t>jāņem vērā, ka, ja lietas izskatīšana tiks kavēta</w:t>
      </w:r>
      <w:r w:rsidR="009A3A85" w:rsidRPr="00EE68D7">
        <w:rPr>
          <w:sz w:val="26"/>
          <w:szCs w:val="26"/>
        </w:rPr>
        <w:t>,</w:t>
      </w:r>
      <w:r w:rsidR="009970CD" w:rsidRPr="00EE68D7">
        <w:rPr>
          <w:sz w:val="26"/>
          <w:szCs w:val="26"/>
        </w:rPr>
        <w:t xml:space="preserve"> personas, kurai ir tiesības uz aizstāvību, rīcības dēļ, tad tas nebūs par pamatu</w:t>
      </w:r>
      <w:r w:rsidRPr="00EE68D7">
        <w:rPr>
          <w:sz w:val="26"/>
          <w:szCs w:val="26"/>
        </w:rPr>
        <w:t xml:space="preserve"> ne Kriminālprocesa likuma</w:t>
      </w:r>
      <w:r w:rsidR="009970CD" w:rsidRPr="00EE68D7">
        <w:rPr>
          <w:sz w:val="26"/>
          <w:szCs w:val="26"/>
        </w:rPr>
        <w:t xml:space="preserve"> 14. pantā noteiktā pamatprincipa - tiesības uz kriminālprocesa pabeigšanu saprātīgā termiņā</w:t>
      </w:r>
      <w:r w:rsidRPr="00EE68D7">
        <w:rPr>
          <w:sz w:val="26"/>
          <w:szCs w:val="26"/>
        </w:rPr>
        <w:t xml:space="preserve">, ne arī Eiropas Cilvēka tiesību un pamatbrīvību aizsardzības konvencijas 6. panta </w:t>
      </w:r>
      <w:r w:rsidR="009970CD" w:rsidRPr="00EE68D7">
        <w:rPr>
          <w:sz w:val="26"/>
          <w:szCs w:val="26"/>
        </w:rPr>
        <w:t xml:space="preserve">pārkāpumam. </w:t>
      </w:r>
      <w:r w:rsidR="009970CD" w:rsidRPr="00EE68D7">
        <w:rPr>
          <w:b/>
          <w:sz w:val="26"/>
          <w:szCs w:val="26"/>
        </w:rPr>
        <w:t xml:space="preserve">Savukārt, situācijās, ja lieta nebūs pabeigta tikai valsts īstenotās tiesu sistēmas reformas dēļ, tad tas </w:t>
      </w:r>
      <w:r w:rsidR="00C56130" w:rsidRPr="00EE68D7">
        <w:rPr>
          <w:b/>
          <w:sz w:val="26"/>
          <w:szCs w:val="26"/>
        </w:rPr>
        <w:t>var tikt atzīts par</w:t>
      </w:r>
      <w:r w:rsidR="009970CD" w:rsidRPr="00EE68D7">
        <w:rPr>
          <w:b/>
          <w:sz w:val="26"/>
          <w:szCs w:val="26"/>
        </w:rPr>
        <w:t xml:space="preserve"> tiesību uz lietas pabeigšanu saprātīgā termiņā pārkāpumu.</w:t>
      </w:r>
    </w:p>
    <w:p w:rsidR="00C56130" w:rsidRPr="00EE68D7" w:rsidRDefault="009970CD" w:rsidP="001A44F5">
      <w:pPr>
        <w:ind w:firstLine="720"/>
        <w:jc w:val="both"/>
        <w:rPr>
          <w:b/>
          <w:sz w:val="26"/>
          <w:szCs w:val="26"/>
        </w:rPr>
      </w:pPr>
      <w:r w:rsidRPr="00EE68D7">
        <w:rPr>
          <w:b/>
          <w:sz w:val="26"/>
          <w:szCs w:val="26"/>
        </w:rPr>
        <w:t>Vienlaikus šobrīd ir ļoti grūti prognozēt</w:t>
      </w:r>
      <w:r w:rsidR="00C56130" w:rsidRPr="00EE68D7">
        <w:rPr>
          <w:b/>
          <w:sz w:val="26"/>
          <w:szCs w:val="26"/>
        </w:rPr>
        <w:t>, vai un cik šādi gadījumi būs. S</w:t>
      </w:r>
      <w:r w:rsidRPr="00EE68D7">
        <w:rPr>
          <w:b/>
          <w:sz w:val="26"/>
          <w:szCs w:val="26"/>
        </w:rPr>
        <w:t xml:space="preserve">askaņā ar </w:t>
      </w:r>
      <w:r w:rsidR="00C56130" w:rsidRPr="00EE68D7">
        <w:rPr>
          <w:b/>
          <w:sz w:val="26"/>
          <w:szCs w:val="26"/>
        </w:rPr>
        <w:t>Augstākās tiesas sniegto informāciju gadījumu, kad lietas izskatīšana</w:t>
      </w:r>
      <w:r w:rsidRPr="00EE68D7">
        <w:rPr>
          <w:b/>
          <w:sz w:val="26"/>
          <w:szCs w:val="26"/>
        </w:rPr>
        <w:t xml:space="preserve"> Krimināllietu tiesu palātā netiks pabeigta un tiks nodota apgabaltiesai izskatīšanai apelācijas kārtībā, varētu būt ļoti maz. Tāpēc noteikt garāku pārejas periodu</w:t>
      </w:r>
      <w:r w:rsidR="00C56130" w:rsidRPr="00EE68D7">
        <w:rPr>
          <w:b/>
          <w:sz w:val="26"/>
          <w:szCs w:val="26"/>
        </w:rPr>
        <w:t xml:space="preserve"> un pārcelt reformas pabeigšanas brīdi</w:t>
      </w:r>
      <w:r w:rsidRPr="00EE68D7">
        <w:rPr>
          <w:b/>
          <w:sz w:val="26"/>
          <w:szCs w:val="26"/>
        </w:rPr>
        <w:t xml:space="preserve"> </w:t>
      </w:r>
      <w:r w:rsidR="00C56130" w:rsidRPr="00EE68D7">
        <w:rPr>
          <w:b/>
          <w:sz w:val="26"/>
          <w:szCs w:val="26"/>
        </w:rPr>
        <w:t>nebūtu</w:t>
      </w:r>
      <w:r w:rsidRPr="00EE68D7">
        <w:rPr>
          <w:b/>
          <w:sz w:val="26"/>
          <w:szCs w:val="26"/>
        </w:rPr>
        <w:t xml:space="preserve"> lietderīgi.</w:t>
      </w:r>
    </w:p>
    <w:p w:rsidR="00DB2575" w:rsidRPr="00EE68D7" w:rsidRDefault="00C56130" w:rsidP="001A44F5">
      <w:pPr>
        <w:ind w:firstLine="720"/>
        <w:jc w:val="both"/>
        <w:rPr>
          <w:sz w:val="26"/>
          <w:szCs w:val="26"/>
        </w:rPr>
      </w:pPr>
      <w:r w:rsidRPr="00EE68D7">
        <w:rPr>
          <w:sz w:val="26"/>
          <w:szCs w:val="26"/>
        </w:rPr>
        <w:t>Papildus jāņem vērā arī Augstākās tiesas Krimināllietu tiesu palātā izskatīto lietu skaits, kurās taisītie nolēmumi pārsūdzēti kasācijas kārtībā. Atbilstoši Kriminālprocesa likuma 591.panta pirmajai daļai lietu, kurā pieņemtais nolēmums atcelts, nosūta jaunai izskatīšanai tiesā, kura to pieņēmusi, un to izskata vispārējā kārtībā, bet citā sastāvā. Ņemot vērā, ka Krimināllietu tiesu palātā šobrīd ir tikai septiņi tiesneši, bet atbilstoši KPL 447.panta ceturtajai daļai apelācijas instances tiesā krimināllietu iztiesā k</w:t>
      </w:r>
      <w:r w:rsidR="00CC5FF3" w:rsidRPr="00EE68D7">
        <w:rPr>
          <w:sz w:val="26"/>
          <w:szCs w:val="26"/>
        </w:rPr>
        <w:t>oleģiāli, trīs tiesnešu sastāvā, tad bija būtiski apgrūtināta</w:t>
      </w:r>
      <w:r w:rsidRPr="00EE68D7">
        <w:rPr>
          <w:sz w:val="26"/>
          <w:szCs w:val="26"/>
        </w:rPr>
        <w:t xml:space="preserve"> </w:t>
      </w:r>
      <w:r w:rsidR="00CC5FF3" w:rsidRPr="00EE68D7">
        <w:rPr>
          <w:sz w:val="26"/>
          <w:szCs w:val="26"/>
        </w:rPr>
        <w:t xml:space="preserve">lietu jauna izskatīšana apelācijas kārtībā un nepietiekamais tiesnešu skaits </w:t>
      </w:r>
      <w:r w:rsidRPr="00EE68D7">
        <w:rPr>
          <w:sz w:val="26"/>
          <w:szCs w:val="26"/>
        </w:rPr>
        <w:t>samazin</w:t>
      </w:r>
      <w:r w:rsidR="00CC5FF3" w:rsidRPr="00EE68D7">
        <w:rPr>
          <w:sz w:val="26"/>
          <w:szCs w:val="26"/>
        </w:rPr>
        <w:t>āja</w:t>
      </w:r>
      <w:r w:rsidRPr="00EE68D7">
        <w:rPr>
          <w:sz w:val="26"/>
          <w:szCs w:val="26"/>
        </w:rPr>
        <w:t xml:space="preserve"> iztiesājamo </w:t>
      </w:r>
      <w:r w:rsidR="00CC5FF3" w:rsidRPr="00EE68D7">
        <w:rPr>
          <w:sz w:val="26"/>
          <w:szCs w:val="26"/>
        </w:rPr>
        <w:t xml:space="preserve">lietu skaitu attiecīgajā posmā un attiecīgi </w:t>
      </w:r>
      <w:r w:rsidRPr="00EE68D7">
        <w:rPr>
          <w:sz w:val="26"/>
          <w:szCs w:val="26"/>
        </w:rPr>
        <w:t>pagarin</w:t>
      </w:r>
      <w:r w:rsidR="00CC5FF3" w:rsidRPr="00EE68D7">
        <w:rPr>
          <w:sz w:val="26"/>
          <w:szCs w:val="26"/>
        </w:rPr>
        <w:t>āja</w:t>
      </w:r>
      <w:r w:rsidRPr="00EE68D7">
        <w:rPr>
          <w:sz w:val="26"/>
          <w:szCs w:val="26"/>
        </w:rPr>
        <w:t xml:space="preserve"> krimināllietu izskatīšanas termiņus.</w:t>
      </w:r>
      <w:r w:rsidR="00CC5FF3" w:rsidRPr="00EE68D7">
        <w:rPr>
          <w:sz w:val="26"/>
          <w:szCs w:val="26"/>
        </w:rPr>
        <w:t xml:space="preserve"> Ievērojot minēto, pieņemto grozījumu Kriminālprocesa likumā pārejas noteikumu 51.punkts noteica, ka Augstākās tiesas Krimināllietu tiesu palātā izskatītās lietas, kurās pēc 2014.gada 1.janvāra kasācijas instance ir atcēlusi nolēmumu, nosūtāmas jaunai izskatīšanai apgabaltiesai kā apelācijas instances tiesai. </w:t>
      </w:r>
      <w:r w:rsidR="00615F44" w:rsidRPr="00EE68D7">
        <w:rPr>
          <w:sz w:val="26"/>
          <w:szCs w:val="26"/>
        </w:rPr>
        <w:t>Iepazīstoties ar Tiesu informatīvajā sistēmā reģistrētajiem datiem</w:t>
      </w:r>
      <w:r w:rsidR="00615F44" w:rsidRPr="00EE68D7">
        <w:rPr>
          <w:rStyle w:val="Vresatsauce"/>
          <w:sz w:val="26"/>
          <w:szCs w:val="26"/>
        </w:rPr>
        <w:footnoteReference w:id="2"/>
      </w:r>
      <w:r w:rsidR="00615F44" w:rsidRPr="00EE68D7">
        <w:rPr>
          <w:sz w:val="26"/>
          <w:szCs w:val="26"/>
        </w:rPr>
        <w:t xml:space="preserve">, konstatējams, ka Augstākās tiesas Krimināllietu departamenta tiesvedībā (dati uz 2014.gada </w:t>
      </w:r>
      <w:r w:rsidR="00624430" w:rsidRPr="00EE68D7">
        <w:rPr>
          <w:sz w:val="26"/>
          <w:szCs w:val="26"/>
        </w:rPr>
        <w:t>12.martu</w:t>
      </w:r>
      <w:r w:rsidR="00615F44" w:rsidRPr="00EE68D7">
        <w:rPr>
          <w:sz w:val="26"/>
          <w:szCs w:val="26"/>
        </w:rPr>
        <w:t>) ir 1 kasācijas kārtībā pārsūdzēt</w:t>
      </w:r>
      <w:r w:rsidR="007A63BA" w:rsidRPr="00EE68D7">
        <w:rPr>
          <w:sz w:val="26"/>
          <w:szCs w:val="26"/>
        </w:rPr>
        <w:t>s</w:t>
      </w:r>
      <w:r w:rsidR="00615F44" w:rsidRPr="00EE68D7">
        <w:rPr>
          <w:sz w:val="26"/>
          <w:szCs w:val="26"/>
        </w:rPr>
        <w:t xml:space="preserve"> Krimināllietu tiesu palātas nolēmum</w:t>
      </w:r>
      <w:r w:rsidR="007A63BA" w:rsidRPr="00EE68D7">
        <w:rPr>
          <w:sz w:val="26"/>
          <w:szCs w:val="26"/>
        </w:rPr>
        <w:t>s (nepieciešams ņemt vērā Augstākās tiesas Krimināllietu tiesu palātā atlikušo neizskatīto krimināllietu skaitu)</w:t>
      </w:r>
      <w:r w:rsidR="00615F44" w:rsidRPr="00EE68D7">
        <w:rPr>
          <w:sz w:val="26"/>
          <w:szCs w:val="26"/>
        </w:rPr>
        <w:t>. Salīdzinājumam, piemēram, 2013.gada laikā Augstākās tiesas Krimināllietu departamenta tiesvedībā bija 86 lietas ar nolēmumiem, ko taisījusi Krimināllietu tiesu palāta. No tiem 31 (jeb 36% gadījumu) nolēmums atcelts un lieta nosūtīta jaunai izskatīšanai.</w:t>
      </w:r>
    </w:p>
    <w:p w:rsidR="00C56130" w:rsidRPr="00EE68D7" w:rsidRDefault="00DB2575" w:rsidP="00B86E74">
      <w:pPr>
        <w:ind w:firstLine="720"/>
        <w:jc w:val="both"/>
        <w:rPr>
          <w:sz w:val="26"/>
          <w:szCs w:val="26"/>
        </w:rPr>
      </w:pPr>
      <w:r w:rsidRPr="00EE68D7">
        <w:rPr>
          <w:sz w:val="26"/>
          <w:szCs w:val="26"/>
        </w:rPr>
        <w:t xml:space="preserve">Ievērojot minēto, secināms, ka 2014.gada laikā apgabaltiesas kopā var saņemt aptuveni līdzīgu skaitu lietu (aptuveni 30 lietas), kurās Augstākās tiesas Krimināllietu departaments ir atcēlis Krimināllietu tiesu palātas nolēmumus, kas kopumā palielinās </w:t>
      </w:r>
      <w:r w:rsidRPr="00EE68D7">
        <w:rPr>
          <w:sz w:val="26"/>
          <w:szCs w:val="26"/>
        </w:rPr>
        <w:lastRenderedPageBreak/>
        <w:t>apgabaltiesu tiesu noslodzi. Tāpat jāņem vērā, ka no 2014.gada 1.jūlija apgabaltiesas papildus saņems arī Krimināllietu tiesu palātā esošās lietas, kurās tiesvedība nav uzsākta (</w:t>
      </w:r>
      <w:r w:rsidR="001B6C98" w:rsidRPr="00EE68D7">
        <w:rPr>
          <w:sz w:val="26"/>
          <w:szCs w:val="26"/>
        </w:rPr>
        <w:t xml:space="preserve">kā norāda Augstākā tiesa, tad pēc 01.07.2014. </w:t>
      </w:r>
      <w:r w:rsidR="002F4933" w:rsidRPr="00EE68D7">
        <w:rPr>
          <w:sz w:val="26"/>
          <w:szCs w:val="26"/>
        </w:rPr>
        <w:t>apgabaltiesām</w:t>
      </w:r>
      <w:r w:rsidR="001B6C98" w:rsidRPr="00EE68D7">
        <w:rPr>
          <w:sz w:val="26"/>
          <w:szCs w:val="26"/>
        </w:rPr>
        <w:t xml:space="preserve"> tiks no</w:t>
      </w:r>
      <w:r w:rsidR="002F4933" w:rsidRPr="00EE68D7">
        <w:rPr>
          <w:sz w:val="26"/>
          <w:szCs w:val="26"/>
        </w:rPr>
        <w:t>dotas</w:t>
      </w:r>
      <w:r w:rsidR="001B6C98" w:rsidRPr="00EE68D7">
        <w:rPr>
          <w:sz w:val="26"/>
          <w:szCs w:val="26"/>
        </w:rPr>
        <w:t xml:space="preserve"> 7 krimināllietas</w:t>
      </w:r>
      <w:r w:rsidRPr="00EE68D7">
        <w:rPr>
          <w:sz w:val="26"/>
          <w:szCs w:val="26"/>
        </w:rPr>
        <w:t xml:space="preserve">). Pamatojoties uz minēto, secināms, ka jau 2014.gada laikā apgabaltiesas visticamāk saņems kopumā </w:t>
      </w:r>
      <w:r w:rsidR="00F7614C" w:rsidRPr="00EE68D7">
        <w:rPr>
          <w:sz w:val="26"/>
          <w:szCs w:val="26"/>
        </w:rPr>
        <w:t>līdz</w:t>
      </w:r>
      <w:r w:rsidRPr="00EE68D7">
        <w:rPr>
          <w:sz w:val="26"/>
          <w:szCs w:val="26"/>
        </w:rPr>
        <w:t xml:space="preserve"> </w:t>
      </w:r>
      <w:r w:rsidR="00731BC4" w:rsidRPr="00EE68D7">
        <w:rPr>
          <w:sz w:val="26"/>
          <w:szCs w:val="26"/>
        </w:rPr>
        <w:t>50</w:t>
      </w:r>
      <w:r w:rsidRPr="00EE68D7">
        <w:rPr>
          <w:sz w:val="26"/>
          <w:szCs w:val="26"/>
        </w:rPr>
        <w:t xml:space="preserve"> </w:t>
      </w:r>
      <w:r w:rsidR="00F7614C" w:rsidRPr="00EE68D7">
        <w:rPr>
          <w:sz w:val="26"/>
          <w:szCs w:val="26"/>
        </w:rPr>
        <w:t>krimināl</w:t>
      </w:r>
      <w:r w:rsidRPr="00EE68D7">
        <w:rPr>
          <w:sz w:val="26"/>
          <w:szCs w:val="26"/>
        </w:rPr>
        <w:t>liet</w:t>
      </w:r>
      <w:r w:rsidR="00F7614C" w:rsidRPr="00EE68D7">
        <w:rPr>
          <w:sz w:val="26"/>
          <w:szCs w:val="26"/>
        </w:rPr>
        <w:t>ām</w:t>
      </w:r>
      <w:r w:rsidR="0075614C" w:rsidRPr="00EE68D7">
        <w:rPr>
          <w:sz w:val="26"/>
          <w:szCs w:val="26"/>
        </w:rPr>
        <w:t>. Krimināllietas, kas tiks nodotas no Augstākās tiesas Krimināllietu tiesu palātas apgabaltiesām, tiks nodotas ievērojot krimin</w:t>
      </w:r>
      <w:r w:rsidR="00084BBF" w:rsidRPr="00EE68D7">
        <w:rPr>
          <w:sz w:val="26"/>
          <w:szCs w:val="26"/>
        </w:rPr>
        <w:t>āllietu teritoriālos</w:t>
      </w:r>
      <w:r w:rsidR="0075614C" w:rsidRPr="00EE68D7">
        <w:rPr>
          <w:sz w:val="26"/>
          <w:szCs w:val="26"/>
        </w:rPr>
        <w:t xml:space="preserve"> piekritības principus</w:t>
      </w:r>
      <w:r w:rsidRPr="00EE68D7">
        <w:rPr>
          <w:sz w:val="26"/>
          <w:szCs w:val="26"/>
        </w:rPr>
        <w:t xml:space="preserve">. Jāatzīmē, ka 2014.gadā papildu resursi un tiesneša amata vietas apgabaltiesām nav paredzēti. </w:t>
      </w:r>
    </w:p>
    <w:p w:rsidR="00B86E74" w:rsidRPr="00EE68D7" w:rsidRDefault="00B86E74" w:rsidP="00B86E74">
      <w:pPr>
        <w:ind w:firstLine="720"/>
        <w:jc w:val="both"/>
        <w:rPr>
          <w:sz w:val="26"/>
          <w:szCs w:val="26"/>
        </w:rPr>
      </w:pPr>
      <w:r w:rsidRPr="00EE68D7">
        <w:rPr>
          <w:sz w:val="26"/>
          <w:szCs w:val="26"/>
        </w:rPr>
        <w:t>No Tiesu informatīvajā sistēmā reģistrētajiem datiem par tiesnešu noslodzes rādītajiem pirmās instances tiesā un apelācijas instances tiesā krimināllietās par laika periodu no 2013.gada 1.janvāra līdz 2013.gada 31.decembrim</w:t>
      </w:r>
      <w:r w:rsidRPr="00EE68D7">
        <w:rPr>
          <w:rStyle w:val="Vresatsauce"/>
          <w:sz w:val="26"/>
          <w:szCs w:val="26"/>
        </w:rPr>
        <w:footnoteReference w:id="3"/>
      </w:r>
      <w:r w:rsidRPr="00EE68D7">
        <w:rPr>
          <w:sz w:val="26"/>
          <w:szCs w:val="26"/>
        </w:rPr>
        <w:t xml:space="preserve"> izriet, ka: </w:t>
      </w:r>
    </w:p>
    <w:p w:rsidR="00EE68D7" w:rsidRPr="00EE68D7" w:rsidRDefault="00EE68D7" w:rsidP="00B86E74">
      <w:pPr>
        <w:ind w:firstLine="720"/>
        <w:jc w:val="both"/>
        <w:rPr>
          <w:sz w:val="26"/>
          <w:szCs w:val="26"/>
        </w:rPr>
      </w:pPr>
    </w:p>
    <w:tbl>
      <w:tblPr>
        <w:tblStyle w:val="Reatabula"/>
        <w:tblW w:w="9322" w:type="dxa"/>
        <w:tblLayout w:type="fixed"/>
        <w:tblLook w:val="04A0" w:firstRow="1" w:lastRow="0" w:firstColumn="1" w:lastColumn="0" w:noHBand="0" w:noVBand="1"/>
      </w:tblPr>
      <w:tblGrid>
        <w:gridCol w:w="1526"/>
        <w:gridCol w:w="1559"/>
        <w:gridCol w:w="1418"/>
        <w:gridCol w:w="850"/>
        <w:gridCol w:w="1134"/>
        <w:gridCol w:w="1276"/>
        <w:gridCol w:w="1559"/>
      </w:tblGrid>
      <w:tr w:rsidR="00B86E74" w:rsidRPr="00EE68D7" w:rsidTr="00EE68D7">
        <w:tc>
          <w:tcPr>
            <w:tcW w:w="1526" w:type="dxa"/>
            <w:vAlign w:val="center"/>
          </w:tcPr>
          <w:p w:rsidR="00B86E74" w:rsidRPr="00EE68D7" w:rsidRDefault="00B86E74" w:rsidP="002E3645">
            <w:pPr>
              <w:jc w:val="center"/>
              <w:rPr>
                <w:b/>
                <w:sz w:val="26"/>
                <w:szCs w:val="26"/>
              </w:rPr>
            </w:pPr>
            <w:r w:rsidRPr="00EE68D7">
              <w:rPr>
                <w:b/>
                <w:sz w:val="26"/>
                <w:szCs w:val="26"/>
              </w:rPr>
              <w:t>Tiesa</w:t>
            </w:r>
          </w:p>
        </w:tc>
        <w:tc>
          <w:tcPr>
            <w:tcW w:w="1559" w:type="dxa"/>
            <w:vAlign w:val="center"/>
          </w:tcPr>
          <w:p w:rsidR="00B86E74" w:rsidRPr="00EE68D7" w:rsidRDefault="00B86E74" w:rsidP="002E3645">
            <w:pPr>
              <w:jc w:val="center"/>
              <w:rPr>
                <w:b/>
                <w:sz w:val="26"/>
                <w:szCs w:val="26"/>
              </w:rPr>
            </w:pPr>
            <w:r w:rsidRPr="00EE68D7">
              <w:rPr>
                <w:b/>
                <w:sz w:val="26"/>
                <w:szCs w:val="26"/>
              </w:rPr>
              <w:t>Saņemto lietu skaits, kā 1.instances tiesa</w:t>
            </w:r>
          </w:p>
          <w:p w:rsidR="00B86E74" w:rsidRPr="00EE68D7" w:rsidRDefault="00B86E74" w:rsidP="002E3645">
            <w:pPr>
              <w:jc w:val="center"/>
              <w:rPr>
                <w:b/>
                <w:sz w:val="26"/>
                <w:szCs w:val="26"/>
              </w:rPr>
            </w:pPr>
          </w:p>
        </w:tc>
        <w:tc>
          <w:tcPr>
            <w:tcW w:w="1418" w:type="dxa"/>
            <w:vAlign w:val="center"/>
          </w:tcPr>
          <w:p w:rsidR="00B86E74" w:rsidRPr="00EE68D7" w:rsidRDefault="00B86E74" w:rsidP="002E3645">
            <w:pPr>
              <w:jc w:val="center"/>
              <w:rPr>
                <w:b/>
                <w:sz w:val="26"/>
                <w:szCs w:val="26"/>
              </w:rPr>
            </w:pPr>
            <w:r w:rsidRPr="00EE68D7">
              <w:rPr>
                <w:b/>
                <w:sz w:val="26"/>
                <w:szCs w:val="26"/>
              </w:rPr>
              <w:t>Saņemto lietu skaits kā apelācijas instances tiesā</w:t>
            </w:r>
          </w:p>
        </w:tc>
        <w:tc>
          <w:tcPr>
            <w:tcW w:w="850" w:type="dxa"/>
            <w:vAlign w:val="center"/>
          </w:tcPr>
          <w:p w:rsidR="00B86E74" w:rsidRPr="00EE68D7" w:rsidRDefault="00B86E74" w:rsidP="002E3645">
            <w:pPr>
              <w:jc w:val="center"/>
              <w:rPr>
                <w:b/>
                <w:sz w:val="26"/>
                <w:szCs w:val="26"/>
              </w:rPr>
            </w:pPr>
            <w:r w:rsidRPr="00EE68D7">
              <w:rPr>
                <w:b/>
                <w:sz w:val="26"/>
                <w:szCs w:val="26"/>
              </w:rPr>
              <w:t>Kopā</w:t>
            </w:r>
          </w:p>
        </w:tc>
        <w:tc>
          <w:tcPr>
            <w:tcW w:w="1134" w:type="dxa"/>
            <w:vAlign w:val="center"/>
          </w:tcPr>
          <w:p w:rsidR="00B86E74" w:rsidRPr="00EE68D7" w:rsidRDefault="00B86E74" w:rsidP="002E3645">
            <w:pPr>
              <w:jc w:val="center"/>
              <w:rPr>
                <w:b/>
                <w:sz w:val="26"/>
                <w:szCs w:val="26"/>
              </w:rPr>
            </w:pPr>
            <w:r w:rsidRPr="00EE68D7">
              <w:rPr>
                <w:b/>
                <w:sz w:val="26"/>
                <w:szCs w:val="26"/>
              </w:rPr>
              <w:t>Tiesnešu skaits</w:t>
            </w:r>
          </w:p>
        </w:tc>
        <w:tc>
          <w:tcPr>
            <w:tcW w:w="1276" w:type="dxa"/>
            <w:vAlign w:val="center"/>
          </w:tcPr>
          <w:p w:rsidR="00B86E74" w:rsidRPr="00EE68D7" w:rsidRDefault="00B86E74" w:rsidP="002E3645">
            <w:pPr>
              <w:jc w:val="center"/>
              <w:rPr>
                <w:b/>
                <w:sz w:val="26"/>
                <w:szCs w:val="26"/>
              </w:rPr>
            </w:pPr>
            <w:r w:rsidRPr="00EE68D7">
              <w:rPr>
                <w:b/>
                <w:sz w:val="26"/>
                <w:szCs w:val="26"/>
              </w:rPr>
              <w:t>Vidēji vienam tiesnesim saņemto lietu skaits gadā</w:t>
            </w:r>
          </w:p>
        </w:tc>
        <w:tc>
          <w:tcPr>
            <w:tcW w:w="1559" w:type="dxa"/>
            <w:vAlign w:val="center"/>
          </w:tcPr>
          <w:p w:rsidR="00B86E74" w:rsidRPr="00EE68D7" w:rsidRDefault="00B86E74" w:rsidP="002E3645">
            <w:pPr>
              <w:jc w:val="center"/>
              <w:rPr>
                <w:b/>
                <w:sz w:val="26"/>
                <w:szCs w:val="26"/>
              </w:rPr>
            </w:pPr>
            <w:r w:rsidRPr="00EE68D7">
              <w:rPr>
                <w:b/>
                <w:sz w:val="26"/>
                <w:szCs w:val="26"/>
              </w:rPr>
              <w:t xml:space="preserve">Neizskatīto lietu skaits perioda beigās (1.instances </w:t>
            </w:r>
            <w:r w:rsidR="00795A9A" w:rsidRPr="00EE68D7">
              <w:rPr>
                <w:b/>
                <w:sz w:val="26"/>
                <w:szCs w:val="26"/>
              </w:rPr>
              <w:t>tiesā</w:t>
            </w:r>
            <w:r w:rsidRPr="00EE68D7">
              <w:rPr>
                <w:b/>
                <w:sz w:val="26"/>
                <w:szCs w:val="26"/>
              </w:rPr>
              <w:t xml:space="preserve"> + apelācijas instances tiesā)</w:t>
            </w:r>
          </w:p>
        </w:tc>
      </w:tr>
      <w:tr w:rsidR="00B86E74" w:rsidRPr="00EE68D7" w:rsidTr="00EE68D7">
        <w:tc>
          <w:tcPr>
            <w:tcW w:w="1526" w:type="dxa"/>
            <w:vAlign w:val="center"/>
          </w:tcPr>
          <w:p w:rsidR="00B86E74" w:rsidRPr="00EE68D7" w:rsidRDefault="00B86E74" w:rsidP="002E3645">
            <w:pPr>
              <w:jc w:val="center"/>
              <w:rPr>
                <w:sz w:val="26"/>
                <w:szCs w:val="26"/>
              </w:rPr>
            </w:pPr>
            <w:r w:rsidRPr="00EE68D7">
              <w:rPr>
                <w:sz w:val="26"/>
                <w:szCs w:val="26"/>
              </w:rPr>
              <w:t>Rīgas apgabaltiesa</w:t>
            </w:r>
          </w:p>
        </w:tc>
        <w:tc>
          <w:tcPr>
            <w:tcW w:w="1559" w:type="dxa"/>
            <w:vAlign w:val="center"/>
          </w:tcPr>
          <w:p w:rsidR="00B86E74" w:rsidRPr="00EE68D7" w:rsidRDefault="00B86E74" w:rsidP="002E3645">
            <w:pPr>
              <w:jc w:val="center"/>
              <w:rPr>
                <w:sz w:val="26"/>
                <w:szCs w:val="26"/>
              </w:rPr>
            </w:pPr>
            <w:r w:rsidRPr="00EE68D7">
              <w:rPr>
                <w:sz w:val="26"/>
                <w:szCs w:val="26"/>
              </w:rPr>
              <w:t>381</w:t>
            </w:r>
          </w:p>
        </w:tc>
        <w:tc>
          <w:tcPr>
            <w:tcW w:w="1418" w:type="dxa"/>
            <w:vAlign w:val="center"/>
          </w:tcPr>
          <w:p w:rsidR="00B86E74" w:rsidRPr="00EE68D7" w:rsidRDefault="00B86E74" w:rsidP="002E3645">
            <w:pPr>
              <w:jc w:val="center"/>
              <w:rPr>
                <w:sz w:val="26"/>
                <w:szCs w:val="26"/>
              </w:rPr>
            </w:pPr>
            <w:r w:rsidRPr="00EE68D7">
              <w:rPr>
                <w:sz w:val="26"/>
                <w:szCs w:val="26"/>
              </w:rPr>
              <w:t>1668</w:t>
            </w:r>
          </w:p>
        </w:tc>
        <w:tc>
          <w:tcPr>
            <w:tcW w:w="850" w:type="dxa"/>
            <w:vAlign w:val="center"/>
          </w:tcPr>
          <w:p w:rsidR="00B86E74" w:rsidRPr="00EE68D7" w:rsidRDefault="00B86E74" w:rsidP="002E3645">
            <w:pPr>
              <w:jc w:val="center"/>
              <w:rPr>
                <w:sz w:val="26"/>
                <w:szCs w:val="26"/>
              </w:rPr>
            </w:pPr>
            <w:r w:rsidRPr="00EE68D7">
              <w:rPr>
                <w:sz w:val="26"/>
                <w:szCs w:val="26"/>
              </w:rPr>
              <w:t>2049</w:t>
            </w:r>
          </w:p>
        </w:tc>
        <w:tc>
          <w:tcPr>
            <w:tcW w:w="1134" w:type="dxa"/>
            <w:vAlign w:val="center"/>
          </w:tcPr>
          <w:p w:rsidR="00B86E74" w:rsidRPr="00EE68D7" w:rsidRDefault="00B86E74" w:rsidP="002E3645">
            <w:pPr>
              <w:jc w:val="center"/>
              <w:rPr>
                <w:sz w:val="26"/>
                <w:szCs w:val="26"/>
              </w:rPr>
            </w:pPr>
            <w:r w:rsidRPr="00EE68D7">
              <w:rPr>
                <w:sz w:val="26"/>
                <w:szCs w:val="26"/>
              </w:rPr>
              <w:t>28</w:t>
            </w:r>
          </w:p>
        </w:tc>
        <w:tc>
          <w:tcPr>
            <w:tcW w:w="1276" w:type="dxa"/>
            <w:vAlign w:val="center"/>
          </w:tcPr>
          <w:p w:rsidR="00B86E74" w:rsidRPr="00EE68D7" w:rsidRDefault="00B86E74" w:rsidP="002E3645">
            <w:pPr>
              <w:jc w:val="center"/>
              <w:rPr>
                <w:sz w:val="26"/>
                <w:szCs w:val="26"/>
              </w:rPr>
            </w:pPr>
            <w:r w:rsidRPr="00EE68D7">
              <w:rPr>
                <w:sz w:val="26"/>
                <w:szCs w:val="26"/>
              </w:rPr>
              <w:t>73</w:t>
            </w:r>
          </w:p>
        </w:tc>
        <w:tc>
          <w:tcPr>
            <w:tcW w:w="1559" w:type="dxa"/>
            <w:vAlign w:val="center"/>
          </w:tcPr>
          <w:p w:rsidR="00B86E74" w:rsidRPr="00EE68D7" w:rsidRDefault="00B86E74" w:rsidP="002E3645">
            <w:pPr>
              <w:jc w:val="center"/>
              <w:rPr>
                <w:sz w:val="26"/>
                <w:szCs w:val="26"/>
              </w:rPr>
            </w:pPr>
            <w:r w:rsidRPr="00EE68D7">
              <w:rPr>
                <w:sz w:val="26"/>
                <w:szCs w:val="26"/>
              </w:rPr>
              <w:t>33+296=329</w:t>
            </w:r>
          </w:p>
        </w:tc>
      </w:tr>
      <w:tr w:rsidR="00B86E74" w:rsidRPr="00EE68D7" w:rsidTr="00EE68D7">
        <w:tc>
          <w:tcPr>
            <w:tcW w:w="1526" w:type="dxa"/>
            <w:vAlign w:val="center"/>
          </w:tcPr>
          <w:p w:rsidR="00B86E74" w:rsidRPr="00EE68D7" w:rsidRDefault="00B86E74" w:rsidP="002E3645">
            <w:pPr>
              <w:jc w:val="center"/>
              <w:rPr>
                <w:sz w:val="26"/>
                <w:szCs w:val="26"/>
              </w:rPr>
            </w:pPr>
            <w:r w:rsidRPr="00EE68D7">
              <w:rPr>
                <w:sz w:val="26"/>
                <w:szCs w:val="26"/>
              </w:rPr>
              <w:t>Kurzemes apgabaltiesa</w:t>
            </w:r>
          </w:p>
        </w:tc>
        <w:tc>
          <w:tcPr>
            <w:tcW w:w="1559" w:type="dxa"/>
            <w:vAlign w:val="center"/>
          </w:tcPr>
          <w:p w:rsidR="00B86E74" w:rsidRPr="00EE68D7" w:rsidRDefault="00B86E74" w:rsidP="002E3645">
            <w:pPr>
              <w:jc w:val="center"/>
              <w:rPr>
                <w:sz w:val="26"/>
                <w:szCs w:val="26"/>
              </w:rPr>
            </w:pPr>
            <w:r w:rsidRPr="00EE68D7">
              <w:rPr>
                <w:sz w:val="26"/>
                <w:szCs w:val="26"/>
              </w:rPr>
              <w:t>62</w:t>
            </w:r>
          </w:p>
        </w:tc>
        <w:tc>
          <w:tcPr>
            <w:tcW w:w="1418" w:type="dxa"/>
            <w:vAlign w:val="center"/>
          </w:tcPr>
          <w:p w:rsidR="00B86E74" w:rsidRPr="00EE68D7" w:rsidRDefault="00B86E74" w:rsidP="002E3645">
            <w:pPr>
              <w:jc w:val="center"/>
              <w:rPr>
                <w:sz w:val="26"/>
                <w:szCs w:val="26"/>
              </w:rPr>
            </w:pPr>
            <w:r w:rsidRPr="00EE68D7">
              <w:rPr>
                <w:sz w:val="26"/>
                <w:szCs w:val="26"/>
              </w:rPr>
              <w:t>370</w:t>
            </w:r>
          </w:p>
        </w:tc>
        <w:tc>
          <w:tcPr>
            <w:tcW w:w="850" w:type="dxa"/>
            <w:vAlign w:val="center"/>
          </w:tcPr>
          <w:p w:rsidR="00B86E74" w:rsidRPr="00EE68D7" w:rsidRDefault="00B86E74" w:rsidP="002E3645">
            <w:pPr>
              <w:jc w:val="center"/>
              <w:rPr>
                <w:sz w:val="26"/>
                <w:szCs w:val="26"/>
              </w:rPr>
            </w:pPr>
            <w:r w:rsidRPr="00EE68D7">
              <w:rPr>
                <w:sz w:val="26"/>
                <w:szCs w:val="26"/>
              </w:rPr>
              <w:t>432</w:t>
            </w:r>
          </w:p>
        </w:tc>
        <w:tc>
          <w:tcPr>
            <w:tcW w:w="1134" w:type="dxa"/>
            <w:vAlign w:val="center"/>
          </w:tcPr>
          <w:p w:rsidR="00B86E74" w:rsidRPr="00EE68D7" w:rsidRDefault="00B86E74" w:rsidP="002E3645">
            <w:pPr>
              <w:jc w:val="center"/>
              <w:rPr>
                <w:sz w:val="26"/>
                <w:szCs w:val="26"/>
              </w:rPr>
            </w:pPr>
            <w:r w:rsidRPr="00EE68D7">
              <w:rPr>
                <w:sz w:val="26"/>
                <w:szCs w:val="26"/>
              </w:rPr>
              <w:t>7</w:t>
            </w:r>
          </w:p>
        </w:tc>
        <w:tc>
          <w:tcPr>
            <w:tcW w:w="1276" w:type="dxa"/>
            <w:vAlign w:val="center"/>
          </w:tcPr>
          <w:p w:rsidR="00B86E74" w:rsidRPr="00EE68D7" w:rsidRDefault="00B86E74" w:rsidP="002E3645">
            <w:pPr>
              <w:jc w:val="center"/>
              <w:rPr>
                <w:sz w:val="26"/>
                <w:szCs w:val="26"/>
              </w:rPr>
            </w:pPr>
            <w:r w:rsidRPr="00EE68D7">
              <w:rPr>
                <w:sz w:val="26"/>
                <w:szCs w:val="26"/>
              </w:rPr>
              <w:t>62</w:t>
            </w:r>
          </w:p>
        </w:tc>
        <w:tc>
          <w:tcPr>
            <w:tcW w:w="1559" w:type="dxa"/>
            <w:vAlign w:val="center"/>
          </w:tcPr>
          <w:p w:rsidR="00B86E74" w:rsidRPr="00EE68D7" w:rsidRDefault="00B86E74" w:rsidP="002E3645">
            <w:pPr>
              <w:jc w:val="center"/>
              <w:rPr>
                <w:sz w:val="26"/>
                <w:szCs w:val="26"/>
              </w:rPr>
            </w:pPr>
            <w:r w:rsidRPr="00EE68D7">
              <w:rPr>
                <w:sz w:val="26"/>
                <w:szCs w:val="26"/>
              </w:rPr>
              <w:t>8+49=57</w:t>
            </w:r>
          </w:p>
        </w:tc>
      </w:tr>
      <w:tr w:rsidR="00B86E74" w:rsidRPr="00EE68D7" w:rsidTr="00EE68D7">
        <w:tc>
          <w:tcPr>
            <w:tcW w:w="1526" w:type="dxa"/>
            <w:vAlign w:val="center"/>
          </w:tcPr>
          <w:p w:rsidR="00B86E74" w:rsidRPr="00EE68D7" w:rsidRDefault="00B86E74" w:rsidP="002E3645">
            <w:pPr>
              <w:jc w:val="center"/>
              <w:rPr>
                <w:sz w:val="26"/>
                <w:szCs w:val="26"/>
              </w:rPr>
            </w:pPr>
            <w:r w:rsidRPr="00EE68D7">
              <w:rPr>
                <w:sz w:val="26"/>
                <w:szCs w:val="26"/>
              </w:rPr>
              <w:t>Zemgales apgabaltiesa</w:t>
            </w:r>
          </w:p>
        </w:tc>
        <w:tc>
          <w:tcPr>
            <w:tcW w:w="1559" w:type="dxa"/>
            <w:vAlign w:val="center"/>
          </w:tcPr>
          <w:p w:rsidR="00B86E74" w:rsidRPr="00EE68D7" w:rsidRDefault="00B86E74" w:rsidP="002E3645">
            <w:pPr>
              <w:jc w:val="center"/>
              <w:rPr>
                <w:sz w:val="26"/>
                <w:szCs w:val="26"/>
              </w:rPr>
            </w:pPr>
            <w:r w:rsidRPr="00EE68D7">
              <w:rPr>
                <w:sz w:val="26"/>
                <w:szCs w:val="26"/>
              </w:rPr>
              <w:t>137</w:t>
            </w:r>
          </w:p>
        </w:tc>
        <w:tc>
          <w:tcPr>
            <w:tcW w:w="1418" w:type="dxa"/>
            <w:vAlign w:val="center"/>
          </w:tcPr>
          <w:p w:rsidR="00B86E74" w:rsidRPr="00EE68D7" w:rsidRDefault="00B86E74" w:rsidP="002E3645">
            <w:pPr>
              <w:jc w:val="center"/>
              <w:rPr>
                <w:sz w:val="26"/>
                <w:szCs w:val="26"/>
              </w:rPr>
            </w:pPr>
            <w:r w:rsidRPr="00EE68D7">
              <w:rPr>
                <w:sz w:val="26"/>
                <w:szCs w:val="26"/>
              </w:rPr>
              <w:t>494</w:t>
            </w:r>
          </w:p>
        </w:tc>
        <w:tc>
          <w:tcPr>
            <w:tcW w:w="850" w:type="dxa"/>
            <w:vAlign w:val="center"/>
          </w:tcPr>
          <w:p w:rsidR="00B86E74" w:rsidRPr="00EE68D7" w:rsidRDefault="00B86E74" w:rsidP="002E3645">
            <w:pPr>
              <w:jc w:val="center"/>
              <w:rPr>
                <w:sz w:val="26"/>
                <w:szCs w:val="26"/>
              </w:rPr>
            </w:pPr>
            <w:r w:rsidRPr="00EE68D7">
              <w:rPr>
                <w:sz w:val="26"/>
                <w:szCs w:val="26"/>
              </w:rPr>
              <w:t>631</w:t>
            </w:r>
          </w:p>
        </w:tc>
        <w:tc>
          <w:tcPr>
            <w:tcW w:w="1134" w:type="dxa"/>
            <w:vAlign w:val="center"/>
          </w:tcPr>
          <w:p w:rsidR="00B86E74" w:rsidRPr="00EE68D7" w:rsidRDefault="00B86E74" w:rsidP="002E3645">
            <w:pPr>
              <w:jc w:val="center"/>
              <w:rPr>
                <w:sz w:val="26"/>
                <w:szCs w:val="26"/>
              </w:rPr>
            </w:pPr>
            <w:r w:rsidRPr="00EE68D7">
              <w:rPr>
                <w:sz w:val="26"/>
                <w:szCs w:val="26"/>
              </w:rPr>
              <w:t>13</w:t>
            </w:r>
          </w:p>
        </w:tc>
        <w:tc>
          <w:tcPr>
            <w:tcW w:w="1276" w:type="dxa"/>
            <w:vAlign w:val="center"/>
          </w:tcPr>
          <w:p w:rsidR="00B86E74" w:rsidRPr="00EE68D7" w:rsidRDefault="00B86E74" w:rsidP="002E3645">
            <w:pPr>
              <w:jc w:val="center"/>
              <w:rPr>
                <w:sz w:val="26"/>
                <w:szCs w:val="26"/>
              </w:rPr>
            </w:pPr>
            <w:r w:rsidRPr="00EE68D7">
              <w:rPr>
                <w:sz w:val="26"/>
                <w:szCs w:val="26"/>
              </w:rPr>
              <w:t>49</w:t>
            </w:r>
          </w:p>
        </w:tc>
        <w:tc>
          <w:tcPr>
            <w:tcW w:w="1559" w:type="dxa"/>
            <w:vAlign w:val="center"/>
          </w:tcPr>
          <w:p w:rsidR="00B86E74" w:rsidRPr="00EE68D7" w:rsidRDefault="00B86E74" w:rsidP="002E3645">
            <w:pPr>
              <w:jc w:val="center"/>
              <w:rPr>
                <w:sz w:val="26"/>
                <w:szCs w:val="26"/>
              </w:rPr>
            </w:pPr>
            <w:r w:rsidRPr="00EE68D7">
              <w:rPr>
                <w:sz w:val="26"/>
                <w:szCs w:val="26"/>
              </w:rPr>
              <w:t>9+59=68</w:t>
            </w:r>
          </w:p>
        </w:tc>
      </w:tr>
      <w:tr w:rsidR="00B86E74" w:rsidRPr="00EE68D7" w:rsidTr="00EE68D7">
        <w:tc>
          <w:tcPr>
            <w:tcW w:w="1526" w:type="dxa"/>
            <w:vAlign w:val="center"/>
          </w:tcPr>
          <w:p w:rsidR="00B86E74" w:rsidRPr="00EE68D7" w:rsidRDefault="00B86E74" w:rsidP="002E3645">
            <w:pPr>
              <w:jc w:val="center"/>
              <w:rPr>
                <w:sz w:val="26"/>
                <w:szCs w:val="26"/>
              </w:rPr>
            </w:pPr>
            <w:r w:rsidRPr="00EE68D7">
              <w:rPr>
                <w:sz w:val="26"/>
                <w:szCs w:val="26"/>
              </w:rPr>
              <w:t>Vidzemes apgabaltiesa</w:t>
            </w:r>
          </w:p>
        </w:tc>
        <w:tc>
          <w:tcPr>
            <w:tcW w:w="1559" w:type="dxa"/>
            <w:vAlign w:val="center"/>
          </w:tcPr>
          <w:p w:rsidR="00B86E74" w:rsidRPr="00EE68D7" w:rsidRDefault="00B86E74" w:rsidP="002E3645">
            <w:pPr>
              <w:jc w:val="center"/>
              <w:rPr>
                <w:sz w:val="26"/>
                <w:szCs w:val="26"/>
              </w:rPr>
            </w:pPr>
            <w:r w:rsidRPr="00EE68D7">
              <w:rPr>
                <w:sz w:val="26"/>
                <w:szCs w:val="26"/>
              </w:rPr>
              <w:t>33</w:t>
            </w:r>
          </w:p>
        </w:tc>
        <w:tc>
          <w:tcPr>
            <w:tcW w:w="1418" w:type="dxa"/>
            <w:vAlign w:val="center"/>
          </w:tcPr>
          <w:p w:rsidR="00B86E74" w:rsidRPr="00EE68D7" w:rsidRDefault="00B86E74" w:rsidP="002E3645">
            <w:pPr>
              <w:jc w:val="center"/>
              <w:rPr>
                <w:sz w:val="26"/>
                <w:szCs w:val="26"/>
              </w:rPr>
            </w:pPr>
            <w:r w:rsidRPr="00EE68D7">
              <w:rPr>
                <w:sz w:val="26"/>
                <w:szCs w:val="26"/>
              </w:rPr>
              <w:t>292</w:t>
            </w:r>
          </w:p>
        </w:tc>
        <w:tc>
          <w:tcPr>
            <w:tcW w:w="850" w:type="dxa"/>
            <w:vAlign w:val="center"/>
          </w:tcPr>
          <w:p w:rsidR="00B86E74" w:rsidRPr="00EE68D7" w:rsidRDefault="00B86E74" w:rsidP="002E3645">
            <w:pPr>
              <w:jc w:val="center"/>
              <w:rPr>
                <w:sz w:val="26"/>
                <w:szCs w:val="26"/>
              </w:rPr>
            </w:pPr>
            <w:r w:rsidRPr="00EE68D7">
              <w:rPr>
                <w:sz w:val="26"/>
                <w:szCs w:val="26"/>
              </w:rPr>
              <w:t>325</w:t>
            </w:r>
          </w:p>
        </w:tc>
        <w:tc>
          <w:tcPr>
            <w:tcW w:w="1134" w:type="dxa"/>
            <w:vAlign w:val="center"/>
          </w:tcPr>
          <w:p w:rsidR="00B86E74" w:rsidRPr="00EE68D7" w:rsidRDefault="00B86E74" w:rsidP="002E3645">
            <w:pPr>
              <w:jc w:val="center"/>
              <w:rPr>
                <w:sz w:val="26"/>
                <w:szCs w:val="26"/>
              </w:rPr>
            </w:pPr>
            <w:r w:rsidRPr="00EE68D7">
              <w:rPr>
                <w:sz w:val="26"/>
                <w:szCs w:val="26"/>
              </w:rPr>
              <w:t>7</w:t>
            </w:r>
          </w:p>
        </w:tc>
        <w:tc>
          <w:tcPr>
            <w:tcW w:w="1276" w:type="dxa"/>
            <w:vAlign w:val="center"/>
          </w:tcPr>
          <w:p w:rsidR="00B86E74" w:rsidRPr="00EE68D7" w:rsidRDefault="00B86E74" w:rsidP="002E3645">
            <w:pPr>
              <w:jc w:val="center"/>
              <w:rPr>
                <w:sz w:val="26"/>
                <w:szCs w:val="26"/>
              </w:rPr>
            </w:pPr>
            <w:r w:rsidRPr="00EE68D7">
              <w:rPr>
                <w:sz w:val="26"/>
                <w:szCs w:val="26"/>
              </w:rPr>
              <w:t>46</w:t>
            </w:r>
          </w:p>
        </w:tc>
        <w:tc>
          <w:tcPr>
            <w:tcW w:w="1559" w:type="dxa"/>
            <w:vAlign w:val="center"/>
          </w:tcPr>
          <w:p w:rsidR="00B86E74" w:rsidRPr="00EE68D7" w:rsidRDefault="00B86E74" w:rsidP="002E3645">
            <w:pPr>
              <w:jc w:val="center"/>
              <w:rPr>
                <w:sz w:val="26"/>
                <w:szCs w:val="26"/>
              </w:rPr>
            </w:pPr>
            <w:r w:rsidRPr="00EE68D7">
              <w:rPr>
                <w:sz w:val="26"/>
                <w:szCs w:val="26"/>
              </w:rPr>
              <w:t>5+36=41</w:t>
            </w:r>
          </w:p>
        </w:tc>
      </w:tr>
      <w:tr w:rsidR="00B86E74" w:rsidRPr="00EE68D7" w:rsidTr="00EE68D7">
        <w:tc>
          <w:tcPr>
            <w:tcW w:w="1526" w:type="dxa"/>
            <w:vAlign w:val="center"/>
          </w:tcPr>
          <w:p w:rsidR="00B86E74" w:rsidRPr="00EE68D7" w:rsidRDefault="00B86E74" w:rsidP="002E3645">
            <w:pPr>
              <w:jc w:val="center"/>
              <w:rPr>
                <w:sz w:val="26"/>
                <w:szCs w:val="26"/>
              </w:rPr>
            </w:pPr>
            <w:r w:rsidRPr="00EE68D7">
              <w:rPr>
                <w:sz w:val="26"/>
                <w:szCs w:val="26"/>
              </w:rPr>
              <w:t>Latgales apgabaltiesa</w:t>
            </w:r>
          </w:p>
        </w:tc>
        <w:tc>
          <w:tcPr>
            <w:tcW w:w="1559" w:type="dxa"/>
            <w:vAlign w:val="center"/>
          </w:tcPr>
          <w:p w:rsidR="00B86E74" w:rsidRPr="00EE68D7" w:rsidRDefault="00B86E74" w:rsidP="002E3645">
            <w:pPr>
              <w:jc w:val="center"/>
              <w:rPr>
                <w:sz w:val="26"/>
                <w:szCs w:val="26"/>
              </w:rPr>
            </w:pPr>
            <w:r w:rsidRPr="00EE68D7">
              <w:rPr>
                <w:sz w:val="26"/>
                <w:szCs w:val="26"/>
              </w:rPr>
              <w:t>122</w:t>
            </w:r>
          </w:p>
        </w:tc>
        <w:tc>
          <w:tcPr>
            <w:tcW w:w="1418" w:type="dxa"/>
            <w:vAlign w:val="center"/>
          </w:tcPr>
          <w:p w:rsidR="00B86E74" w:rsidRPr="00EE68D7" w:rsidRDefault="00B86E74" w:rsidP="002E3645">
            <w:pPr>
              <w:jc w:val="center"/>
              <w:rPr>
                <w:sz w:val="26"/>
                <w:szCs w:val="26"/>
              </w:rPr>
            </w:pPr>
            <w:r w:rsidRPr="00EE68D7">
              <w:rPr>
                <w:sz w:val="26"/>
                <w:szCs w:val="26"/>
              </w:rPr>
              <w:t>420</w:t>
            </w:r>
          </w:p>
        </w:tc>
        <w:tc>
          <w:tcPr>
            <w:tcW w:w="850" w:type="dxa"/>
            <w:vAlign w:val="center"/>
          </w:tcPr>
          <w:p w:rsidR="00B86E74" w:rsidRPr="00EE68D7" w:rsidRDefault="00B86E74" w:rsidP="002E3645">
            <w:pPr>
              <w:jc w:val="center"/>
              <w:rPr>
                <w:sz w:val="26"/>
                <w:szCs w:val="26"/>
              </w:rPr>
            </w:pPr>
            <w:r w:rsidRPr="00EE68D7">
              <w:rPr>
                <w:sz w:val="26"/>
                <w:szCs w:val="26"/>
              </w:rPr>
              <w:t>542</w:t>
            </w:r>
          </w:p>
        </w:tc>
        <w:tc>
          <w:tcPr>
            <w:tcW w:w="1134" w:type="dxa"/>
            <w:vAlign w:val="center"/>
          </w:tcPr>
          <w:p w:rsidR="00B86E74" w:rsidRPr="00EE68D7" w:rsidRDefault="00B86E74" w:rsidP="002E3645">
            <w:pPr>
              <w:jc w:val="center"/>
              <w:rPr>
                <w:sz w:val="26"/>
                <w:szCs w:val="26"/>
              </w:rPr>
            </w:pPr>
            <w:r w:rsidRPr="00EE68D7">
              <w:rPr>
                <w:sz w:val="26"/>
                <w:szCs w:val="26"/>
              </w:rPr>
              <w:t>7</w:t>
            </w:r>
          </w:p>
        </w:tc>
        <w:tc>
          <w:tcPr>
            <w:tcW w:w="1276" w:type="dxa"/>
            <w:vAlign w:val="center"/>
          </w:tcPr>
          <w:p w:rsidR="00B86E74" w:rsidRPr="00EE68D7" w:rsidRDefault="00B86E74" w:rsidP="002E3645">
            <w:pPr>
              <w:jc w:val="center"/>
              <w:rPr>
                <w:sz w:val="26"/>
                <w:szCs w:val="26"/>
              </w:rPr>
            </w:pPr>
            <w:r w:rsidRPr="00EE68D7">
              <w:rPr>
                <w:sz w:val="26"/>
                <w:szCs w:val="26"/>
              </w:rPr>
              <w:t>77</w:t>
            </w:r>
          </w:p>
        </w:tc>
        <w:tc>
          <w:tcPr>
            <w:tcW w:w="1559" w:type="dxa"/>
            <w:vAlign w:val="center"/>
          </w:tcPr>
          <w:p w:rsidR="00B86E74" w:rsidRPr="00EE68D7" w:rsidRDefault="00B86E74" w:rsidP="002E3645">
            <w:pPr>
              <w:jc w:val="center"/>
              <w:rPr>
                <w:sz w:val="26"/>
                <w:szCs w:val="26"/>
              </w:rPr>
            </w:pPr>
            <w:r w:rsidRPr="00EE68D7">
              <w:rPr>
                <w:sz w:val="26"/>
                <w:szCs w:val="26"/>
              </w:rPr>
              <w:t>5+59=64</w:t>
            </w:r>
          </w:p>
        </w:tc>
      </w:tr>
    </w:tbl>
    <w:p w:rsidR="00B86E74" w:rsidRPr="00EE68D7" w:rsidRDefault="00B86E74" w:rsidP="00B86E74">
      <w:pPr>
        <w:ind w:firstLine="720"/>
        <w:jc w:val="both"/>
        <w:rPr>
          <w:sz w:val="26"/>
          <w:szCs w:val="26"/>
        </w:rPr>
      </w:pPr>
    </w:p>
    <w:p w:rsidR="004A0789" w:rsidRPr="00EE68D7" w:rsidRDefault="0072573E" w:rsidP="004A0789">
      <w:pPr>
        <w:ind w:firstLine="720"/>
        <w:jc w:val="both"/>
        <w:rPr>
          <w:color w:val="000000"/>
          <w:sz w:val="26"/>
          <w:szCs w:val="26"/>
        </w:rPr>
      </w:pPr>
      <w:r w:rsidRPr="00EE68D7">
        <w:rPr>
          <w:b/>
          <w:sz w:val="26"/>
          <w:szCs w:val="26"/>
        </w:rPr>
        <w:t xml:space="preserve">2. </w:t>
      </w:r>
      <w:r w:rsidR="00EB6762" w:rsidRPr="00EE68D7">
        <w:rPr>
          <w:b/>
          <w:sz w:val="26"/>
          <w:szCs w:val="26"/>
        </w:rPr>
        <w:t>Krimināllietu tiesu palātas t</w:t>
      </w:r>
      <w:r w:rsidRPr="00EE68D7">
        <w:rPr>
          <w:b/>
          <w:sz w:val="26"/>
          <w:szCs w:val="26"/>
        </w:rPr>
        <w:t>iesnešu amata vietas un tiesnešu turpmākā karjera</w:t>
      </w:r>
      <w:r w:rsidR="00185926" w:rsidRPr="00EE68D7">
        <w:rPr>
          <w:b/>
          <w:sz w:val="26"/>
          <w:szCs w:val="26"/>
        </w:rPr>
        <w:t>.</w:t>
      </w:r>
    </w:p>
    <w:p w:rsidR="003729D4" w:rsidRPr="00EE68D7" w:rsidRDefault="003729D4" w:rsidP="008F61DB">
      <w:pPr>
        <w:ind w:firstLine="720"/>
        <w:jc w:val="both"/>
        <w:rPr>
          <w:sz w:val="26"/>
          <w:szCs w:val="26"/>
        </w:rPr>
      </w:pPr>
      <w:r w:rsidRPr="00EE68D7">
        <w:rPr>
          <w:sz w:val="26"/>
          <w:szCs w:val="26"/>
        </w:rPr>
        <w:t>Tieslietu padome 2013.gada 11.novembra sēdē atbalstījusi Augstākās tiesas priekšlikumu lūgt Saeimu no 2014.gada 1.janvāra mainīt tiesnešu kopskaitu Augstākās tiesas departamentos un palātās, nosakot, ka no 53 Augstākās tiesas tiesnešiem 30 ir departamentu tiesneši un 23 – palātu tiesneši. Augstākās tiesas departamentos tiesnešu kopskaits palielināts par diviem tiesnešiem, vienlaikus samazinot tiesnešu skaitu palātās</w:t>
      </w:r>
      <w:r w:rsidR="008F61DB" w:rsidRPr="00EE68D7">
        <w:rPr>
          <w:sz w:val="26"/>
          <w:szCs w:val="26"/>
        </w:rPr>
        <w:t xml:space="preserve">. </w:t>
      </w:r>
    </w:p>
    <w:p w:rsidR="003729D4" w:rsidRPr="00EE68D7" w:rsidRDefault="003729D4" w:rsidP="00C3122B">
      <w:pPr>
        <w:ind w:firstLine="720"/>
        <w:jc w:val="both"/>
        <w:rPr>
          <w:color w:val="000000"/>
          <w:sz w:val="26"/>
          <w:szCs w:val="26"/>
        </w:rPr>
      </w:pPr>
      <w:r w:rsidRPr="00EE68D7">
        <w:rPr>
          <w:sz w:val="26"/>
          <w:szCs w:val="26"/>
        </w:rPr>
        <w:t xml:space="preserve">Kā izriet no Augstākās tiesas sniegtās informācijas, </w:t>
      </w:r>
      <w:r w:rsidR="00C3122B" w:rsidRPr="00EE68D7">
        <w:rPr>
          <w:color w:val="000000"/>
          <w:sz w:val="26"/>
          <w:szCs w:val="26"/>
        </w:rPr>
        <w:t xml:space="preserve">tad šobrīd </w:t>
      </w:r>
      <w:r w:rsidR="00D46EE9" w:rsidRPr="00EE68D7">
        <w:rPr>
          <w:sz w:val="26"/>
          <w:szCs w:val="26"/>
        </w:rPr>
        <w:t xml:space="preserve">Augstākās tiesas Krimināllietu departamenta sastāvā ir priekšsēdētājs un pieci tiesneši. Savukārt </w:t>
      </w:r>
      <w:r w:rsidR="00C3122B" w:rsidRPr="00EE68D7">
        <w:rPr>
          <w:color w:val="000000"/>
          <w:sz w:val="26"/>
          <w:szCs w:val="26"/>
        </w:rPr>
        <w:t xml:space="preserve">Augstākās tiesas Krimināllietu tiesu palātā strādā septiņi tiesneši, no kuriem divi ir </w:t>
      </w:r>
      <w:r w:rsidR="00C3122B" w:rsidRPr="00EE68D7">
        <w:rPr>
          <w:color w:val="000000"/>
          <w:sz w:val="26"/>
          <w:szCs w:val="26"/>
        </w:rPr>
        <w:lastRenderedPageBreak/>
        <w:t>apgabaltiesas tiesneši</w:t>
      </w:r>
      <w:r w:rsidR="00D46EE9" w:rsidRPr="00EE68D7">
        <w:rPr>
          <w:color w:val="000000"/>
          <w:sz w:val="26"/>
          <w:szCs w:val="26"/>
        </w:rPr>
        <w:t>,</w:t>
      </w:r>
      <w:r w:rsidR="00C3122B" w:rsidRPr="00EE68D7">
        <w:rPr>
          <w:color w:val="000000"/>
          <w:sz w:val="26"/>
          <w:szCs w:val="26"/>
        </w:rPr>
        <w:t xml:space="preserve"> kas pārcelti uz Augstākās tiesas Krimināllietu tiesu palātu uz vakances laiku. 2014.gada 24.martā viens no pārceltajiem </w:t>
      </w:r>
      <w:r w:rsidR="00D46EE9" w:rsidRPr="00EE68D7">
        <w:rPr>
          <w:color w:val="000000"/>
          <w:sz w:val="26"/>
          <w:szCs w:val="26"/>
        </w:rPr>
        <w:t xml:space="preserve">apgabaltiesas </w:t>
      </w:r>
      <w:r w:rsidR="00C3122B" w:rsidRPr="00EE68D7">
        <w:rPr>
          <w:color w:val="000000"/>
          <w:sz w:val="26"/>
          <w:szCs w:val="26"/>
        </w:rPr>
        <w:t xml:space="preserve">tiesnešiem darba pienākumus Augstākajā tiesā izbeigs, jo Augstākās tiesas Krimināllietu tiesu palātā atgriezīsies tiesnese, kurai izbeidzas pilnvaras Satversmes tiesā. </w:t>
      </w:r>
    </w:p>
    <w:p w:rsidR="00200BAC" w:rsidRPr="00EE68D7" w:rsidRDefault="00200BAC" w:rsidP="0011275F">
      <w:pPr>
        <w:ind w:firstLine="720"/>
        <w:jc w:val="both"/>
        <w:rPr>
          <w:color w:val="000000"/>
          <w:sz w:val="26"/>
          <w:szCs w:val="26"/>
        </w:rPr>
      </w:pPr>
      <w:r w:rsidRPr="00EE68D7">
        <w:rPr>
          <w:color w:val="000000"/>
          <w:sz w:val="26"/>
          <w:szCs w:val="26"/>
        </w:rPr>
        <w:t xml:space="preserve">Ievērojot minēto, Augstākās tiesas Krimināllietu departamentā no 2015.gada 1.janvāra </w:t>
      </w:r>
      <w:r w:rsidR="00937023" w:rsidRPr="00EE68D7">
        <w:rPr>
          <w:color w:val="000000"/>
          <w:sz w:val="26"/>
          <w:szCs w:val="26"/>
        </w:rPr>
        <w:t>tiek plānotas</w:t>
      </w:r>
      <w:r w:rsidRPr="00EE68D7">
        <w:rPr>
          <w:color w:val="000000"/>
          <w:sz w:val="26"/>
          <w:szCs w:val="26"/>
        </w:rPr>
        <w:t xml:space="preserve"> četras papildu tiesneša vietas</w:t>
      </w:r>
      <w:r w:rsidR="00937023" w:rsidRPr="00EE68D7">
        <w:rPr>
          <w:color w:val="000000"/>
          <w:sz w:val="26"/>
          <w:szCs w:val="26"/>
        </w:rPr>
        <w:t xml:space="preserve"> un par šo tiesnešu vietu piešķiršanu vēl paredzēts lemt Tieslietu padomei</w:t>
      </w:r>
      <w:r w:rsidRPr="00EE68D7">
        <w:rPr>
          <w:color w:val="000000"/>
          <w:sz w:val="26"/>
          <w:szCs w:val="26"/>
        </w:rPr>
        <w:t xml:space="preserve">. Augstākās tiesas Krimināllietu tiesu palātas </w:t>
      </w:r>
      <w:r w:rsidR="00D46EE9" w:rsidRPr="00EE68D7">
        <w:rPr>
          <w:color w:val="000000"/>
          <w:sz w:val="26"/>
          <w:szCs w:val="26"/>
        </w:rPr>
        <w:t xml:space="preserve">tiesnešu </w:t>
      </w:r>
      <w:r w:rsidRPr="00EE68D7">
        <w:rPr>
          <w:color w:val="000000"/>
          <w:sz w:val="26"/>
          <w:szCs w:val="26"/>
        </w:rPr>
        <w:t xml:space="preserve">palīga </w:t>
      </w:r>
      <w:r w:rsidR="00D46EE9" w:rsidRPr="00EE68D7">
        <w:rPr>
          <w:color w:val="000000"/>
          <w:sz w:val="26"/>
          <w:szCs w:val="26"/>
        </w:rPr>
        <w:t xml:space="preserve">amata </w:t>
      </w:r>
      <w:r w:rsidRPr="00EE68D7">
        <w:rPr>
          <w:color w:val="000000"/>
          <w:sz w:val="26"/>
          <w:szCs w:val="26"/>
        </w:rPr>
        <w:t xml:space="preserve">vietas tiks pārceltas uz Augstākās tiesas Krimināllietu departamentu, savukārt kancelejas darbinieku štata vietas izdalītas pārējām tiesas struktūrvienībām, kuras šobrīd strādā nepilnā sastāvā. </w:t>
      </w:r>
    </w:p>
    <w:p w:rsidR="00D4343C" w:rsidRPr="00EE68D7" w:rsidRDefault="00D4343C" w:rsidP="00200BAC">
      <w:pPr>
        <w:ind w:firstLine="720"/>
        <w:jc w:val="both"/>
        <w:rPr>
          <w:color w:val="000000"/>
          <w:sz w:val="26"/>
          <w:szCs w:val="26"/>
        </w:rPr>
      </w:pPr>
      <w:r w:rsidRPr="00EE68D7">
        <w:rPr>
          <w:color w:val="000000"/>
          <w:sz w:val="26"/>
          <w:szCs w:val="26"/>
        </w:rPr>
        <w:t>Tāpat</w:t>
      </w:r>
      <w:r w:rsidR="003E590D" w:rsidRPr="00EE68D7">
        <w:rPr>
          <w:color w:val="000000"/>
          <w:sz w:val="26"/>
          <w:szCs w:val="26"/>
        </w:rPr>
        <w:t>,</w:t>
      </w:r>
      <w:r w:rsidRPr="00EE68D7">
        <w:rPr>
          <w:color w:val="000000"/>
          <w:sz w:val="26"/>
          <w:szCs w:val="26"/>
        </w:rPr>
        <w:t xml:space="preserve"> pašreiz </w:t>
      </w:r>
      <w:r w:rsidR="00AD491D" w:rsidRPr="00EE68D7">
        <w:rPr>
          <w:color w:val="000000"/>
          <w:sz w:val="26"/>
          <w:szCs w:val="26"/>
        </w:rPr>
        <w:t xml:space="preserve">ar Augstāko tiesu </w:t>
      </w:r>
      <w:r w:rsidRPr="00EE68D7">
        <w:rPr>
          <w:color w:val="000000"/>
          <w:sz w:val="26"/>
          <w:szCs w:val="26"/>
        </w:rPr>
        <w:t>norisinās diskusija par tiesnešu vakanču skaitu, ko paredzēts nodot apgabaltiesām pēc Augstākās tiesas Krimināllietu tiesu palātas likvidācijas</w:t>
      </w:r>
      <w:r w:rsidR="00C804EE" w:rsidRPr="00EE68D7">
        <w:rPr>
          <w:color w:val="000000"/>
          <w:sz w:val="26"/>
          <w:szCs w:val="26"/>
        </w:rPr>
        <w:t xml:space="preserve"> (pašreiz ir 3 tiesnešu vakances un pēc Augstākās tiesas Krimināllietu tiesu palātas likvidācijas Augstākā tiesa varētu apgabaltiesām nodot vēl divas vakantas tiesneša amata vietas)</w:t>
      </w:r>
      <w:r w:rsidRPr="00EE68D7">
        <w:rPr>
          <w:color w:val="000000"/>
          <w:sz w:val="26"/>
          <w:szCs w:val="26"/>
        </w:rPr>
        <w:t xml:space="preserve">. </w:t>
      </w:r>
      <w:r w:rsidR="00C804EE" w:rsidRPr="00EE68D7">
        <w:rPr>
          <w:color w:val="000000"/>
          <w:sz w:val="26"/>
          <w:szCs w:val="26"/>
        </w:rPr>
        <w:t xml:space="preserve">Turklāt, šo piecu vakanto tiesnešu vietu sadalei starp apgabaltiesām vajadzētu notikt, ievērojot apgabaltiesu noslodzi, kā arī ņemot vērā krimināllietu skaitu, kas tiks nodots no Augstākās tiesas Krimināllietu tiesu palātas konkrētajai apgabaltiesai. Vienlaikus uzsveram, ka šis jautājums būtu skatāms un papildus apspriežams Tieslietu padomes sēdē. </w:t>
      </w:r>
      <w:r w:rsidRPr="00EE68D7">
        <w:rPr>
          <w:color w:val="000000"/>
          <w:sz w:val="26"/>
          <w:szCs w:val="26"/>
        </w:rPr>
        <w:t>Minētā kontekstā būtu jāuzsver, ka atbalstāma būtu 5 tiesnešu vakanču nodošana apgabaltiesām kopā ar tām paredzēto finansējumu, lai neizveidotos situācija, ka Tiesu administrācijai, saņemot tiesne</w:t>
      </w:r>
      <w:r w:rsidR="00AD491D" w:rsidRPr="00EE68D7">
        <w:rPr>
          <w:color w:val="000000"/>
          <w:sz w:val="26"/>
          <w:szCs w:val="26"/>
        </w:rPr>
        <w:t>ša vakances</w:t>
      </w:r>
      <w:r w:rsidRPr="00EE68D7">
        <w:rPr>
          <w:color w:val="000000"/>
          <w:sz w:val="26"/>
          <w:szCs w:val="26"/>
        </w:rPr>
        <w:t xml:space="preserve"> bez finansējumu, būtu jālūdz papildus finansējuma piešķiršana no valsts budžeta. </w:t>
      </w:r>
    </w:p>
    <w:p w:rsidR="003729D4" w:rsidRPr="00EE68D7" w:rsidRDefault="00EB6762" w:rsidP="003729D4">
      <w:pPr>
        <w:ind w:firstLine="720"/>
        <w:jc w:val="both"/>
        <w:rPr>
          <w:sz w:val="26"/>
          <w:szCs w:val="26"/>
        </w:rPr>
      </w:pPr>
      <w:r w:rsidRPr="00EE68D7">
        <w:rPr>
          <w:sz w:val="26"/>
          <w:szCs w:val="26"/>
        </w:rPr>
        <w:t>L</w:t>
      </w:r>
      <w:r w:rsidR="003729D4" w:rsidRPr="00EE68D7">
        <w:rPr>
          <w:sz w:val="26"/>
          <w:szCs w:val="26"/>
        </w:rPr>
        <w:t>ikuma „Par tiesu varu” pārejas noteikumu 58.punkt</w:t>
      </w:r>
      <w:r w:rsidR="00C3122B" w:rsidRPr="00EE68D7">
        <w:rPr>
          <w:sz w:val="26"/>
          <w:szCs w:val="26"/>
        </w:rPr>
        <w:t>s noteic, ka</w:t>
      </w:r>
      <w:r w:rsidR="003729D4" w:rsidRPr="00EE68D7">
        <w:rPr>
          <w:sz w:val="26"/>
          <w:szCs w:val="26"/>
        </w:rPr>
        <w:t xml:space="preserve"> Tieslietu</w:t>
      </w:r>
      <w:r w:rsidR="00DE078D" w:rsidRPr="00EE68D7">
        <w:rPr>
          <w:sz w:val="26"/>
          <w:szCs w:val="26"/>
        </w:rPr>
        <w:t xml:space="preserve"> padome līdz 2014.gada 1.maijam </w:t>
      </w:r>
      <w:r w:rsidR="00031384" w:rsidRPr="00EE68D7">
        <w:rPr>
          <w:sz w:val="26"/>
          <w:szCs w:val="26"/>
        </w:rPr>
        <w:t xml:space="preserve">nosaka </w:t>
      </w:r>
      <w:r w:rsidR="003729D4" w:rsidRPr="00EE68D7">
        <w:rPr>
          <w:sz w:val="26"/>
          <w:szCs w:val="26"/>
        </w:rPr>
        <w:t xml:space="preserve">tiesnešu </w:t>
      </w:r>
      <w:r w:rsidR="00031384" w:rsidRPr="00EE68D7">
        <w:rPr>
          <w:sz w:val="26"/>
          <w:szCs w:val="26"/>
        </w:rPr>
        <w:t xml:space="preserve">kopskaitu </w:t>
      </w:r>
      <w:r w:rsidRPr="00EE68D7">
        <w:rPr>
          <w:sz w:val="26"/>
          <w:szCs w:val="26"/>
        </w:rPr>
        <w:t xml:space="preserve">Augstākās tiesas departamentos un Civillietu tiesu palātā </w:t>
      </w:r>
      <w:r w:rsidR="003729D4" w:rsidRPr="00EE68D7">
        <w:rPr>
          <w:sz w:val="26"/>
          <w:szCs w:val="26"/>
        </w:rPr>
        <w:t xml:space="preserve">no 2015.gada 1.janvāra. </w:t>
      </w:r>
      <w:r w:rsidR="00031384" w:rsidRPr="00EE68D7">
        <w:rPr>
          <w:sz w:val="26"/>
          <w:szCs w:val="26"/>
        </w:rPr>
        <w:t>Atbilstoši minētajām izmaiņām, saskaņā ar pārejas noteikumu 59.punktu</w:t>
      </w:r>
      <w:r w:rsidR="00795A9A" w:rsidRPr="00EE68D7">
        <w:rPr>
          <w:sz w:val="26"/>
          <w:szCs w:val="26"/>
        </w:rPr>
        <w:t xml:space="preserve"> </w:t>
      </w:r>
      <w:r w:rsidR="00031384" w:rsidRPr="00EE68D7">
        <w:rPr>
          <w:sz w:val="26"/>
          <w:szCs w:val="26"/>
        </w:rPr>
        <w:t>Tieslietu padome līdz 1.jūnijam iesniedz Saeimai priekšlikumu par tiesnešu kopskaita izmaiņām Augstākajā tiesā, apgabaltiesās un rajona (pilsētas) tiesās.</w:t>
      </w:r>
    </w:p>
    <w:p w:rsidR="00AF3112" w:rsidRPr="00EE68D7" w:rsidRDefault="00031384" w:rsidP="002373C3">
      <w:pPr>
        <w:ind w:firstLine="720"/>
        <w:jc w:val="both"/>
        <w:rPr>
          <w:sz w:val="26"/>
          <w:szCs w:val="26"/>
        </w:rPr>
      </w:pPr>
      <w:r w:rsidRPr="00EE68D7">
        <w:rPr>
          <w:sz w:val="26"/>
          <w:szCs w:val="26"/>
        </w:rPr>
        <w:t xml:space="preserve">Minētā kontekstā, uzsverams, ka Augstākās tiesas reforma un tās noteiktās tiesnešu skaita izmaiņas Augstākajā tiesā nav pamats tiesneša atbrīvošanai no amata. Atbilstoši Latvijas Republikas Satversmes 84.pantam tiesnešus apstiprina Saeima, un viņi ir neatceļami. Tiesnesi pret viņa gribu atcelt no amata </w:t>
      </w:r>
      <w:r w:rsidR="00270A03" w:rsidRPr="00EE68D7">
        <w:rPr>
          <w:sz w:val="26"/>
          <w:szCs w:val="26"/>
        </w:rPr>
        <w:t xml:space="preserve">Saeima var </w:t>
      </w:r>
      <w:r w:rsidRPr="00EE68D7">
        <w:rPr>
          <w:sz w:val="26"/>
          <w:szCs w:val="26"/>
        </w:rPr>
        <w:t>vienīgi likumā paredzētos gadījumos, pamatojoties uz tiesnešu disciplinārkolēģijas lēmumu vai tiesas spriedumu krimināllietā. Ar likumu var noteikt vecumu, ar kura sasniegšanu tiesneši atstāj savu amatu.</w:t>
      </w:r>
    </w:p>
    <w:p w:rsidR="00AF3112" w:rsidRPr="00EE68D7" w:rsidRDefault="00AF3112" w:rsidP="001A44F5">
      <w:pPr>
        <w:jc w:val="both"/>
        <w:rPr>
          <w:sz w:val="26"/>
          <w:szCs w:val="26"/>
        </w:rPr>
      </w:pPr>
      <w:r w:rsidRPr="00EE68D7">
        <w:rPr>
          <w:sz w:val="26"/>
          <w:szCs w:val="26"/>
        </w:rPr>
        <w:t>Likuma „Par tiesu varu” 80</w:t>
      </w:r>
      <w:r w:rsidRPr="00EE68D7">
        <w:rPr>
          <w:sz w:val="26"/>
          <w:szCs w:val="26"/>
          <w:vertAlign w:val="superscript"/>
        </w:rPr>
        <w:t>1</w:t>
      </w:r>
      <w:r w:rsidRPr="00EE68D7">
        <w:rPr>
          <w:sz w:val="26"/>
          <w:szCs w:val="26"/>
        </w:rPr>
        <w:t>.pants noteic, ka tiesneša pilnvaras izbeidzas dienā, kad beidzas termiņš, uz kādu tiesnesis iecelts amatā, kā arī līdz ar šajā likumā noteiktā amata pildīšanas maksimālā vecuma sasniegšanu vai tiesneša nāvi.</w:t>
      </w:r>
    </w:p>
    <w:p w:rsidR="002373C3" w:rsidRPr="00EE68D7" w:rsidRDefault="002373C3" w:rsidP="00AF3112">
      <w:pPr>
        <w:ind w:firstLine="720"/>
        <w:jc w:val="both"/>
        <w:rPr>
          <w:sz w:val="26"/>
          <w:szCs w:val="26"/>
        </w:rPr>
      </w:pPr>
      <w:r w:rsidRPr="00EE68D7">
        <w:rPr>
          <w:sz w:val="26"/>
          <w:szCs w:val="26"/>
        </w:rPr>
        <w:t>Saskaņā ar likuma „Par tiesu varu” „82.pantu tiesnesi atbrīvo no amata:</w:t>
      </w:r>
    </w:p>
    <w:p w:rsidR="002373C3" w:rsidRPr="00EE68D7" w:rsidRDefault="002373C3" w:rsidP="002373C3">
      <w:pPr>
        <w:ind w:firstLine="720"/>
        <w:jc w:val="both"/>
        <w:rPr>
          <w:sz w:val="26"/>
          <w:szCs w:val="26"/>
        </w:rPr>
      </w:pPr>
      <w:r w:rsidRPr="00EE68D7">
        <w:rPr>
          <w:sz w:val="26"/>
          <w:szCs w:val="26"/>
        </w:rPr>
        <w:t>1) pēc paša vēlēšanās;</w:t>
      </w:r>
    </w:p>
    <w:p w:rsidR="002373C3" w:rsidRPr="00EE68D7" w:rsidRDefault="002373C3" w:rsidP="002373C3">
      <w:pPr>
        <w:ind w:firstLine="720"/>
        <w:jc w:val="both"/>
        <w:rPr>
          <w:sz w:val="26"/>
          <w:szCs w:val="26"/>
        </w:rPr>
      </w:pPr>
      <w:r w:rsidRPr="00EE68D7">
        <w:rPr>
          <w:sz w:val="26"/>
          <w:szCs w:val="26"/>
        </w:rPr>
        <w:t>2) sakarā ar ievēlēšanu vai iecelšanu citā amatā;</w:t>
      </w:r>
    </w:p>
    <w:p w:rsidR="002373C3" w:rsidRPr="00EE68D7" w:rsidRDefault="002373C3" w:rsidP="002373C3">
      <w:pPr>
        <w:ind w:firstLine="720"/>
        <w:jc w:val="both"/>
        <w:rPr>
          <w:sz w:val="26"/>
          <w:szCs w:val="26"/>
        </w:rPr>
      </w:pPr>
      <w:r w:rsidRPr="00EE68D7">
        <w:rPr>
          <w:sz w:val="26"/>
          <w:szCs w:val="26"/>
        </w:rPr>
        <w:t>3) veselības stāvokļa dēļ, ja tas neļauj turpināt tiesneša darbu;</w:t>
      </w:r>
    </w:p>
    <w:p w:rsidR="002373C3" w:rsidRPr="00EE68D7" w:rsidRDefault="002373C3" w:rsidP="002373C3">
      <w:pPr>
        <w:ind w:firstLine="720"/>
        <w:jc w:val="both"/>
        <w:rPr>
          <w:sz w:val="26"/>
          <w:szCs w:val="26"/>
        </w:rPr>
      </w:pPr>
      <w:r w:rsidRPr="00EE68D7">
        <w:rPr>
          <w:sz w:val="26"/>
          <w:szCs w:val="26"/>
        </w:rPr>
        <w:t>4) ja viņš atkārotā tiesneša profesionālās darbības novērtēšanā saņēmis negatīvu atzinumu.</w:t>
      </w:r>
    </w:p>
    <w:p w:rsidR="002373C3" w:rsidRPr="00EE68D7" w:rsidRDefault="002373C3" w:rsidP="00AF3112">
      <w:pPr>
        <w:ind w:firstLine="720"/>
        <w:jc w:val="both"/>
        <w:rPr>
          <w:sz w:val="26"/>
          <w:szCs w:val="26"/>
        </w:rPr>
      </w:pPr>
      <w:r w:rsidRPr="00EE68D7">
        <w:rPr>
          <w:sz w:val="26"/>
          <w:szCs w:val="26"/>
        </w:rPr>
        <w:t>Atbilstoši minētā likuma 83. pantam tiesneša atcelšana no amata pieļaujama divos gadījumos:</w:t>
      </w:r>
    </w:p>
    <w:p w:rsidR="002373C3" w:rsidRPr="00EE68D7" w:rsidRDefault="002373C3" w:rsidP="002373C3">
      <w:pPr>
        <w:ind w:firstLine="720"/>
        <w:jc w:val="both"/>
        <w:rPr>
          <w:sz w:val="26"/>
          <w:szCs w:val="26"/>
        </w:rPr>
      </w:pPr>
      <w:r w:rsidRPr="00EE68D7">
        <w:rPr>
          <w:sz w:val="26"/>
          <w:szCs w:val="26"/>
        </w:rPr>
        <w:lastRenderedPageBreak/>
        <w:t>1) ja tiesnesis notiesāts un tiesas spriedums stājies likumīgā spēkā;</w:t>
      </w:r>
    </w:p>
    <w:p w:rsidR="002373C3" w:rsidRPr="00EE68D7" w:rsidRDefault="002373C3" w:rsidP="002373C3">
      <w:pPr>
        <w:ind w:firstLine="720"/>
        <w:jc w:val="both"/>
        <w:rPr>
          <w:sz w:val="26"/>
          <w:szCs w:val="26"/>
        </w:rPr>
      </w:pPr>
      <w:r w:rsidRPr="00EE68D7">
        <w:rPr>
          <w:sz w:val="26"/>
          <w:szCs w:val="26"/>
        </w:rPr>
        <w:t>2) pamatojoties uz tiesnešu disciplinārkolēģijas lēmumu.</w:t>
      </w:r>
    </w:p>
    <w:p w:rsidR="00904502" w:rsidRPr="00EE68D7" w:rsidRDefault="00904502" w:rsidP="003729D4">
      <w:pPr>
        <w:ind w:firstLine="720"/>
        <w:jc w:val="both"/>
        <w:rPr>
          <w:sz w:val="26"/>
          <w:szCs w:val="26"/>
        </w:rPr>
      </w:pPr>
      <w:r w:rsidRPr="00EE68D7">
        <w:rPr>
          <w:sz w:val="26"/>
          <w:szCs w:val="26"/>
        </w:rPr>
        <w:t xml:space="preserve">Tiesneša neatceļamība ir ne tikai </w:t>
      </w:r>
      <w:r w:rsidR="002373C3" w:rsidRPr="00EE68D7">
        <w:rPr>
          <w:sz w:val="26"/>
          <w:szCs w:val="26"/>
        </w:rPr>
        <w:t>konstitucionāli nostiprināts princips</w:t>
      </w:r>
      <w:r w:rsidRPr="00EE68D7">
        <w:rPr>
          <w:sz w:val="26"/>
          <w:szCs w:val="26"/>
        </w:rPr>
        <w:t xml:space="preserve"> nacionāli, bet arī starptautiski atzīts princips. Piemēram, Tiesu neatkarības pamatprincipu</w:t>
      </w:r>
      <w:r w:rsidRPr="00EE68D7">
        <w:rPr>
          <w:rStyle w:val="Vresatsauce"/>
          <w:sz w:val="26"/>
          <w:szCs w:val="26"/>
        </w:rPr>
        <w:footnoteReference w:id="4"/>
      </w:r>
      <w:r w:rsidRPr="00EE68D7">
        <w:rPr>
          <w:sz w:val="26"/>
          <w:szCs w:val="26"/>
        </w:rPr>
        <w:t xml:space="preserve"> 12.pants noteic, ka tiesnešiem, vai nu ieceltiem vai ievēlētiem, tiks garantēta atrašanās amatā līdz</w:t>
      </w:r>
      <w:r w:rsidR="004F28E2" w:rsidRPr="00EE68D7">
        <w:rPr>
          <w:sz w:val="26"/>
          <w:szCs w:val="26"/>
        </w:rPr>
        <w:t xml:space="preserve"> pensijas </w:t>
      </w:r>
      <w:r w:rsidR="000C6D6C" w:rsidRPr="00EE68D7">
        <w:rPr>
          <w:sz w:val="26"/>
          <w:szCs w:val="26"/>
        </w:rPr>
        <w:t xml:space="preserve">vecuma </w:t>
      </w:r>
      <w:r w:rsidR="004F28E2" w:rsidRPr="00EE68D7">
        <w:rPr>
          <w:sz w:val="26"/>
          <w:szCs w:val="26"/>
        </w:rPr>
        <w:t>sasniegšanai</w:t>
      </w:r>
      <w:r w:rsidRPr="00EE68D7">
        <w:rPr>
          <w:sz w:val="26"/>
          <w:szCs w:val="26"/>
        </w:rPr>
        <w:t>, vai beidzoties amatā atrašanās</w:t>
      </w:r>
      <w:r w:rsidR="004F28E2" w:rsidRPr="00EE68D7">
        <w:rPr>
          <w:sz w:val="26"/>
          <w:szCs w:val="26"/>
        </w:rPr>
        <w:t xml:space="preserve"> termiņam</w:t>
      </w:r>
      <w:r w:rsidRPr="00EE68D7">
        <w:rPr>
          <w:sz w:val="26"/>
          <w:szCs w:val="26"/>
        </w:rPr>
        <w:t>,. Savukārt</w:t>
      </w:r>
      <w:r w:rsidR="00270A03" w:rsidRPr="00EE68D7">
        <w:rPr>
          <w:sz w:val="26"/>
          <w:szCs w:val="26"/>
        </w:rPr>
        <w:t>,</w:t>
      </w:r>
      <w:r w:rsidRPr="00EE68D7">
        <w:rPr>
          <w:sz w:val="26"/>
          <w:szCs w:val="26"/>
        </w:rPr>
        <w:t xml:space="preserve"> Eiropas hartas par tiesneša statusu 3.4.pants noteic, ka tiesnesi, kas iecelts amatā, nedrīkst iecelt citā amatā vai pārcelt citur</w:t>
      </w:r>
      <w:r w:rsidR="00270A03" w:rsidRPr="00EE68D7">
        <w:rPr>
          <w:sz w:val="26"/>
          <w:szCs w:val="26"/>
        </w:rPr>
        <w:t>,</w:t>
      </w:r>
      <w:r w:rsidRPr="00EE68D7">
        <w:rPr>
          <w:sz w:val="26"/>
          <w:szCs w:val="26"/>
        </w:rPr>
        <w:t xml:space="preserve"> pat ne ar amata paaugstināšanu, ja viņš tam nepiekrīt. Izņēmuma gadījumi šim principam ir pieļaujami gadījumos, ja pārcelšana ir atļauta saskaņā ar noteikumiem par tiesnešu </w:t>
      </w:r>
      <w:r w:rsidR="00DD6FA0" w:rsidRPr="00EE68D7">
        <w:rPr>
          <w:sz w:val="26"/>
          <w:szCs w:val="26"/>
        </w:rPr>
        <w:t xml:space="preserve">disciplināro atbildību, kā arī gadījumos, ja tiesa tiek likumīgi reorganizēta, kā arī ja pārcelšana ir īslaicīga un nepieciešama, lai sniegtu palīdzību kaimiņu tiesai. </w:t>
      </w:r>
      <w:r w:rsidR="0074712F" w:rsidRPr="00EE68D7">
        <w:rPr>
          <w:sz w:val="26"/>
          <w:szCs w:val="26"/>
        </w:rPr>
        <w:t>Šādas pārcelšanas maksimālo ilgumu nosaka tiesību normas un tas nedrīkst būt neierobežots process.</w:t>
      </w:r>
    </w:p>
    <w:p w:rsidR="00C607A8" w:rsidRPr="00EE68D7" w:rsidRDefault="00C607A8" w:rsidP="00C607A8">
      <w:pPr>
        <w:ind w:firstLine="720"/>
        <w:jc w:val="both"/>
        <w:rPr>
          <w:sz w:val="26"/>
          <w:szCs w:val="26"/>
        </w:rPr>
      </w:pPr>
      <w:r w:rsidRPr="00EE68D7">
        <w:rPr>
          <w:sz w:val="26"/>
          <w:szCs w:val="26"/>
        </w:rPr>
        <w:t>Eiropas Padomes Ministru komitejas rekomendāciju CM/Rec(2010)12 Par tiesnešu neatkarību, efektivitāti un atbildību</w:t>
      </w:r>
      <w:r w:rsidRPr="00EE68D7">
        <w:rPr>
          <w:rStyle w:val="Vresatsauce"/>
          <w:sz w:val="26"/>
          <w:szCs w:val="26"/>
        </w:rPr>
        <w:footnoteReference w:id="5"/>
      </w:r>
      <w:r w:rsidRPr="00EE68D7">
        <w:rPr>
          <w:sz w:val="26"/>
          <w:szCs w:val="26"/>
        </w:rPr>
        <w:t xml:space="preserve"> 49.punkts paredz, ka tiesneša neatceļamība ir viens no tiesneša neatkarības pamatelementiem.</w:t>
      </w:r>
      <w:r w:rsidR="0074712F" w:rsidRPr="00EE68D7">
        <w:rPr>
          <w:sz w:val="26"/>
          <w:szCs w:val="26"/>
        </w:rPr>
        <w:t xml:space="preserve"> Savukārt 52.punkts noteic, ka tiesnesi bez viņa piekrišanas nevar pārcelt darbā citā tiesā, izņemot ja pārcelšana ir saistīta ar disciplinārprocesa vai tiesu sistēmas organizācijas reformu. Arī </w:t>
      </w:r>
      <w:r w:rsidR="00383C3B" w:rsidRPr="00EE68D7">
        <w:rPr>
          <w:sz w:val="26"/>
          <w:szCs w:val="26"/>
        </w:rPr>
        <w:t>Eiropas Komisijas</w:t>
      </w:r>
      <w:r w:rsidR="0074712F" w:rsidRPr="00EE68D7">
        <w:rPr>
          <w:sz w:val="26"/>
          <w:szCs w:val="26"/>
        </w:rPr>
        <w:t xml:space="preserve"> par demokrātiju caur tiesībām (Venēcijas komisija) savā 2010.gada 16.maija ziņojumā par tiesu varas neatkarību uzsver, ka Venēcijas</w:t>
      </w:r>
      <w:r w:rsidR="00383C3B" w:rsidRPr="00EE68D7">
        <w:rPr>
          <w:sz w:val="26"/>
          <w:szCs w:val="26"/>
        </w:rPr>
        <w:t xml:space="preserve"> </w:t>
      </w:r>
      <w:r w:rsidR="0074712F" w:rsidRPr="00EE68D7">
        <w:rPr>
          <w:sz w:val="26"/>
          <w:szCs w:val="26"/>
        </w:rPr>
        <w:t xml:space="preserve">komisija konsekventi atbalsta neatceļamības principu konstitūcijās. </w:t>
      </w:r>
      <w:r w:rsidR="00383C3B" w:rsidRPr="00EE68D7">
        <w:rPr>
          <w:sz w:val="26"/>
          <w:szCs w:val="26"/>
        </w:rPr>
        <w:t>Pārcelšana</w:t>
      </w:r>
      <w:r w:rsidR="0074712F" w:rsidRPr="00EE68D7">
        <w:rPr>
          <w:sz w:val="26"/>
          <w:szCs w:val="26"/>
        </w:rPr>
        <w:t xml:space="preserve"> pret tiesneša gribu ir pieļaujam tikai izņēmuma gadījumos</w:t>
      </w:r>
      <w:r w:rsidR="00383C3B" w:rsidRPr="00EE68D7">
        <w:rPr>
          <w:sz w:val="26"/>
          <w:szCs w:val="26"/>
        </w:rPr>
        <w:t xml:space="preserve"> (ziņojuma 43.punkts)</w:t>
      </w:r>
    </w:p>
    <w:p w:rsidR="00C607A8" w:rsidRPr="00EE68D7" w:rsidRDefault="0074712F" w:rsidP="00C607A8">
      <w:pPr>
        <w:ind w:firstLine="720"/>
        <w:jc w:val="both"/>
        <w:rPr>
          <w:sz w:val="26"/>
          <w:szCs w:val="26"/>
        </w:rPr>
      </w:pPr>
      <w:r w:rsidRPr="00EE68D7">
        <w:rPr>
          <w:sz w:val="26"/>
          <w:szCs w:val="26"/>
        </w:rPr>
        <w:t>No minētā nepārprotami izriet strikti ierobežojumi tiesneša, kas apstiprināts amatā uz mūžu, atcelšana</w:t>
      </w:r>
      <w:r w:rsidR="00383C3B" w:rsidRPr="00EE68D7">
        <w:rPr>
          <w:sz w:val="26"/>
          <w:szCs w:val="26"/>
        </w:rPr>
        <w:t>i un</w:t>
      </w:r>
      <w:r w:rsidRPr="00EE68D7">
        <w:rPr>
          <w:sz w:val="26"/>
          <w:szCs w:val="26"/>
        </w:rPr>
        <w:t xml:space="preserve"> atbrīvo</w:t>
      </w:r>
      <w:r w:rsidR="00383C3B" w:rsidRPr="00EE68D7">
        <w:rPr>
          <w:sz w:val="26"/>
          <w:szCs w:val="26"/>
        </w:rPr>
        <w:t>šanai no tiesneša amata</w:t>
      </w:r>
      <w:r w:rsidR="00FD486A" w:rsidRPr="00EE68D7">
        <w:rPr>
          <w:sz w:val="26"/>
          <w:szCs w:val="26"/>
        </w:rPr>
        <w:t xml:space="preserve"> un tiesas reforma nav konstitucionāli leģitīms pamats tiesneša atbrīvošanai no amata</w:t>
      </w:r>
      <w:r w:rsidRPr="00EE68D7">
        <w:rPr>
          <w:sz w:val="26"/>
          <w:szCs w:val="26"/>
        </w:rPr>
        <w:t xml:space="preserve">. </w:t>
      </w:r>
    </w:p>
    <w:p w:rsidR="00FD486A" w:rsidRPr="00EE68D7" w:rsidRDefault="00FD486A" w:rsidP="00C607A8">
      <w:pPr>
        <w:ind w:firstLine="720"/>
        <w:jc w:val="both"/>
        <w:rPr>
          <w:sz w:val="26"/>
          <w:szCs w:val="26"/>
        </w:rPr>
      </w:pPr>
      <w:r w:rsidRPr="00EE68D7">
        <w:rPr>
          <w:sz w:val="26"/>
          <w:szCs w:val="26"/>
        </w:rPr>
        <w:t>Ievērojot minēto, risināms jautājums par Krimināllietu tiesu palātas tiesnešu turpmāko karjeru.</w:t>
      </w:r>
    </w:p>
    <w:p w:rsidR="005348FF" w:rsidRPr="00EE68D7" w:rsidRDefault="005348FF" w:rsidP="005348FF">
      <w:pPr>
        <w:ind w:firstLine="720"/>
        <w:jc w:val="both"/>
        <w:rPr>
          <w:sz w:val="26"/>
          <w:szCs w:val="26"/>
        </w:rPr>
      </w:pPr>
      <w:r w:rsidRPr="00EE68D7">
        <w:rPr>
          <w:sz w:val="26"/>
          <w:szCs w:val="26"/>
        </w:rPr>
        <w:t>Iespējami šādi jau šobrīd likumā „Par tiesu varu” paredzēti risinājumi:</w:t>
      </w:r>
    </w:p>
    <w:p w:rsidR="00E73E43" w:rsidRPr="00EE68D7" w:rsidRDefault="00E73E43" w:rsidP="001A44F5">
      <w:pPr>
        <w:pStyle w:val="Sarakstarindkopa"/>
        <w:numPr>
          <w:ilvl w:val="0"/>
          <w:numId w:val="11"/>
        </w:numPr>
        <w:jc w:val="both"/>
        <w:rPr>
          <w:sz w:val="26"/>
          <w:szCs w:val="26"/>
        </w:rPr>
      </w:pPr>
      <w:r w:rsidRPr="00EE68D7">
        <w:rPr>
          <w:sz w:val="26"/>
          <w:szCs w:val="26"/>
        </w:rPr>
        <w:t xml:space="preserve">Krimināllietu palātas tiesneša </w:t>
      </w:r>
      <w:r w:rsidRPr="00EE68D7">
        <w:rPr>
          <w:b/>
          <w:sz w:val="26"/>
          <w:szCs w:val="26"/>
        </w:rPr>
        <w:t>pāriešana</w:t>
      </w:r>
      <w:r w:rsidRPr="00EE68D7">
        <w:rPr>
          <w:sz w:val="26"/>
          <w:szCs w:val="26"/>
        </w:rPr>
        <w:t xml:space="preserve"> darbā citā Augstākās tiesas struktūrvienībā (piemēram, Krimināllietu departamentā);</w:t>
      </w:r>
    </w:p>
    <w:p w:rsidR="00E73E43" w:rsidRPr="00EE68D7" w:rsidRDefault="00E73E43" w:rsidP="001A44F5">
      <w:pPr>
        <w:pStyle w:val="Sarakstarindkopa"/>
        <w:numPr>
          <w:ilvl w:val="0"/>
          <w:numId w:val="11"/>
        </w:numPr>
        <w:jc w:val="both"/>
        <w:rPr>
          <w:sz w:val="26"/>
          <w:szCs w:val="26"/>
        </w:rPr>
      </w:pPr>
      <w:r w:rsidRPr="00EE68D7">
        <w:rPr>
          <w:sz w:val="26"/>
          <w:szCs w:val="26"/>
        </w:rPr>
        <w:t xml:space="preserve">tiesneša ar viņa piekrišanu </w:t>
      </w:r>
      <w:r w:rsidRPr="00EE68D7">
        <w:rPr>
          <w:b/>
          <w:sz w:val="26"/>
          <w:szCs w:val="26"/>
        </w:rPr>
        <w:t>pārcelšana</w:t>
      </w:r>
      <w:r w:rsidRPr="00EE68D7">
        <w:rPr>
          <w:sz w:val="26"/>
          <w:szCs w:val="26"/>
        </w:rPr>
        <w:t xml:space="preserve"> uz vakanto tiesneša amatu apgabaltiesā vai rajona (pilsētas) tiesā</w:t>
      </w:r>
      <w:r w:rsidR="00E06E58" w:rsidRPr="00EE68D7">
        <w:rPr>
          <w:sz w:val="26"/>
          <w:szCs w:val="26"/>
        </w:rPr>
        <w:t xml:space="preserve"> (likuma „Par tiesu varu” 73.</w:t>
      </w:r>
      <w:r w:rsidR="00E06E58" w:rsidRPr="00EE68D7">
        <w:rPr>
          <w:sz w:val="26"/>
          <w:szCs w:val="26"/>
          <w:vertAlign w:val="superscript"/>
        </w:rPr>
        <w:t xml:space="preserve">1 </w:t>
      </w:r>
      <w:r w:rsidR="00E06E58" w:rsidRPr="00EE68D7">
        <w:rPr>
          <w:sz w:val="26"/>
          <w:szCs w:val="26"/>
        </w:rPr>
        <w:t>panta 2.</w:t>
      </w:r>
      <w:r w:rsidR="00E06E58" w:rsidRPr="00EE68D7">
        <w:rPr>
          <w:sz w:val="26"/>
          <w:szCs w:val="26"/>
          <w:vertAlign w:val="superscript"/>
        </w:rPr>
        <w:t>1</w:t>
      </w:r>
      <w:r w:rsidR="00E06E58" w:rsidRPr="00EE68D7">
        <w:rPr>
          <w:sz w:val="26"/>
          <w:szCs w:val="26"/>
        </w:rPr>
        <w:t>daļa);</w:t>
      </w:r>
    </w:p>
    <w:p w:rsidR="00E73E43" w:rsidRPr="00EE68D7" w:rsidRDefault="00E73E43" w:rsidP="001A44F5">
      <w:pPr>
        <w:pStyle w:val="Sarakstarindkopa"/>
        <w:numPr>
          <w:ilvl w:val="0"/>
          <w:numId w:val="11"/>
        </w:numPr>
        <w:jc w:val="both"/>
        <w:rPr>
          <w:smallCaps/>
          <w:sz w:val="26"/>
          <w:szCs w:val="26"/>
        </w:rPr>
      </w:pPr>
      <w:r w:rsidRPr="00EE68D7">
        <w:rPr>
          <w:sz w:val="26"/>
          <w:szCs w:val="26"/>
        </w:rPr>
        <w:t xml:space="preserve">tiesneša ar viņa piekrišanu </w:t>
      </w:r>
      <w:r w:rsidRPr="00EE68D7">
        <w:rPr>
          <w:b/>
          <w:sz w:val="26"/>
          <w:szCs w:val="26"/>
        </w:rPr>
        <w:t>norīkošana</w:t>
      </w:r>
      <w:r w:rsidRPr="00EE68D7">
        <w:rPr>
          <w:sz w:val="26"/>
          <w:szCs w:val="26"/>
        </w:rPr>
        <w:t xml:space="preserve"> darbā citā tiesā uz laiku no 3 mēnešiem līdz 3 gadiem</w:t>
      </w:r>
      <w:r w:rsidR="00E06E58" w:rsidRPr="00EE68D7">
        <w:rPr>
          <w:sz w:val="26"/>
          <w:szCs w:val="26"/>
        </w:rPr>
        <w:t xml:space="preserve"> (likuma „Par tiesu varu” 86.</w:t>
      </w:r>
      <w:r w:rsidR="00E06E58" w:rsidRPr="00EE68D7">
        <w:rPr>
          <w:sz w:val="26"/>
          <w:szCs w:val="26"/>
          <w:vertAlign w:val="superscript"/>
        </w:rPr>
        <w:t xml:space="preserve">1 </w:t>
      </w:r>
      <w:r w:rsidR="00E06E58" w:rsidRPr="00EE68D7">
        <w:rPr>
          <w:sz w:val="26"/>
          <w:szCs w:val="26"/>
        </w:rPr>
        <w:t>pants);</w:t>
      </w:r>
    </w:p>
    <w:p w:rsidR="005348FF" w:rsidRPr="00EE68D7" w:rsidRDefault="00E06E58" w:rsidP="003E211C">
      <w:pPr>
        <w:ind w:firstLine="720"/>
        <w:jc w:val="both"/>
        <w:rPr>
          <w:sz w:val="26"/>
          <w:szCs w:val="26"/>
        </w:rPr>
      </w:pPr>
      <w:r w:rsidRPr="00EE68D7">
        <w:rPr>
          <w:sz w:val="26"/>
          <w:szCs w:val="26"/>
        </w:rPr>
        <w:t>Saskaņā ar Valsts un pašvaldību institūciju amatpersonu un darbinieku atlīdzības likuma 6.</w:t>
      </w:r>
      <w:r w:rsidRPr="00EE68D7">
        <w:rPr>
          <w:sz w:val="26"/>
          <w:szCs w:val="26"/>
          <w:vertAlign w:val="superscript"/>
        </w:rPr>
        <w:t xml:space="preserve">1 </w:t>
      </w:r>
      <w:r w:rsidRPr="00EE68D7">
        <w:rPr>
          <w:sz w:val="26"/>
          <w:szCs w:val="26"/>
        </w:rPr>
        <w:t>panta trešo daļu tiesnesis, kuru normatīvajos aktos noteiktajos gadījumos pārceļ zemāka līmeņa tiesneša amatā vai kurš aizstāj zemāka līmeņa tiesnesi vai pāriet zemāka līmeņa tiesneša amatā, saņem mēnešalgu un izdienas piemaksu, kas viņam noteikta pirms pārcelšanas, zemāka līmeņa tiesneša aizstāšanas vai pāriešanas zemāka līmeņa tiesneša amatā.</w:t>
      </w:r>
      <w:r w:rsidR="006A61E3" w:rsidRPr="00EE68D7">
        <w:rPr>
          <w:sz w:val="26"/>
          <w:szCs w:val="26"/>
        </w:rPr>
        <w:t xml:space="preserve"> Minētā panta piektā daļa noteic, ka tiesnesis, kas ar viņa piekrišanu un tiesas priekšsēdētāja atļauju uz noteiktu laiku norīkots darbā citā tiesā saņem tiesneša mēnešalgu un izdienas piemaksu, ja vien institūcija, uz kuru tiesnesis norīkots, nav pārņēmusi saistības maksāt viņam atlīdzību.</w:t>
      </w:r>
    </w:p>
    <w:p w:rsidR="006A61E3" w:rsidRPr="00EE68D7" w:rsidRDefault="006A61E3" w:rsidP="003E211C">
      <w:pPr>
        <w:ind w:firstLine="720"/>
        <w:jc w:val="both"/>
        <w:rPr>
          <w:sz w:val="26"/>
          <w:szCs w:val="26"/>
        </w:rPr>
      </w:pPr>
      <w:r w:rsidRPr="00EE68D7">
        <w:rPr>
          <w:sz w:val="26"/>
          <w:szCs w:val="26"/>
        </w:rPr>
        <w:lastRenderedPageBreak/>
        <w:t>No minētā izriet, ka gan tiesneša pārcelšanas, gan norīkošanas gadījumā normatīvie akti paredz, ka tiesnesim ir saglabājama atlīdzība vismaz iepriekšējā līmenī.</w:t>
      </w:r>
    </w:p>
    <w:p w:rsidR="00D3128B" w:rsidRPr="00EE68D7" w:rsidRDefault="0067185C" w:rsidP="00231AD5">
      <w:pPr>
        <w:ind w:firstLine="720"/>
        <w:jc w:val="both"/>
        <w:rPr>
          <w:b/>
          <w:color w:val="000000"/>
          <w:sz w:val="26"/>
          <w:szCs w:val="26"/>
        </w:rPr>
      </w:pPr>
      <w:r w:rsidRPr="00EE68D7">
        <w:rPr>
          <w:b/>
          <w:color w:val="000000"/>
          <w:sz w:val="26"/>
          <w:szCs w:val="26"/>
        </w:rPr>
        <w:t>Tieslietu ministrijas ieskatā, nepieciešams</w:t>
      </w:r>
      <w:r w:rsidR="00185926" w:rsidRPr="00EE68D7">
        <w:rPr>
          <w:b/>
          <w:color w:val="000000"/>
          <w:sz w:val="26"/>
          <w:szCs w:val="26"/>
        </w:rPr>
        <w:t xml:space="preserve"> paredzēt iespēju tiesnesim uzreiz doties pirmstermiņa izdienas pensijā. </w:t>
      </w:r>
    </w:p>
    <w:p w:rsidR="00231AD5" w:rsidRPr="00EE68D7" w:rsidRDefault="00094971" w:rsidP="00316723">
      <w:pPr>
        <w:ind w:firstLine="720"/>
        <w:jc w:val="both"/>
        <w:rPr>
          <w:color w:val="000000"/>
          <w:sz w:val="26"/>
          <w:szCs w:val="26"/>
        </w:rPr>
      </w:pPr>
      <w:r w:rsidRPr="00EE68D7">
        <w:rPr>
          <w:sz w:val="26"/>
          <w:szCs w:val="26"/>
        </w:rPr>
        <w:t>T</w:t>
      </w:r>
      <w:r w:rsidR="00231AD5" w:rsidRPr="00EE68D7">
        <w:rPr>
          <w:sz w:val="26"/>
          <w:szCs w:val="26"/>
        </w:rPr>
        <w:t xml:space="preserve">iesnešu izdienas pensijas likuma 2.panta pirmā daļas 1.punkts noteic, ka tiesības uz izdienas pensiju ir personai, kurai izdienas stāžs saskaņā ar šā likuma </w:t>
      </w:r>
      <w:hyperlink r:id="rId9" w:anchor="p3" w:history="1">
        <w:r w:rsidR="00231AD5" w:rsidRPr="00EE68D7">
          <w:rPr>
            <w:sz w:val="26"/>
            <w:szCs w:val="26"/>
          </w:rPr>
          <w:t>3.pantu</w:t>
        </w:r>
      </w:hyperlink>
      <w:r w:rsidR="00231AD5" w:rsidRPr="00EE68D7">
        <w:rPr>
          <w:sz w:val="26"/>
          <w:szCs w:val="26"/>
        </w:rPr>
        <w:t xml:space="preserve"> ir 20 gadi, no kuriem pēdējie 10 gadi nostrādāti tiesneša amatā vai tiesneša, kas amatā apstiprināts bez pilnvaru termiņa ierobežojuma, un tiesībsarga amatā, un kura ir sasniegusi likumā "</w:t>
      </w:r>
      <w:hyperlink r:id="rId10" w:tgtFrame="_blank" w:history="1">
        <w:r w:rsidR="00231AD5" w:rsidRPr="00EE68D7">
          <w:rPr>
            <w:sz w:val="26"/>
            <w:szCs w:val="26"/>
          </w:rPr>
          <w:t>Par valsts pensijām</w:t>
        </w:r>
      </w:hyperlink>
      <w:r w:rsidR="00231AD5" w:rsidRPr="00EE68D7">
        <w:rPr>
          <w:sz w:val="26"/>
          <w:szCs w:val="26"/>
        </w:rPr>
        <w:t>" vecuma pensijas piešķiršanai noteikto vecumu, ja tā ir atbrīvota no tiesneša vai tiesībsarga amata pēc pašas vēlēšanās vai no tiesneša amata sakarā ar amata pildīšanai likumā noteiktā maksimālā vecuma sasniegšanu.</w:t>
      </w:r>
    </w:p>
    <w:p w:rsidR="00AF3112" w:rsidRPr="00EE68D7" w:rsidRDefault="00231AD5" w:rsidP="00231AD5">
      <w:pPr>
        <w:ind w:firstLine="720"/>
        <w:jc w:val="both"/>
        <w:rPr>
          <w:sz w:val="26"/>
          <w:szCs w:val="26"/>
        </w:rPr>
      </w:pPr>
      <w:r w:rsidRPr="00EE68D7">
        <w:rPr>
          <w:sz w:val="26"/>
          <w:szCs w:val="26"/>
        </w:rPr>
        <w:t>No iepriekš minētā secināms, ka pie pašreizējā normatīvā regulējuma</w:t>
      </w:r>
      <w:r w:rsidR="00D17C25" w:rsidRPr="00EE68D7">
        <w:rPr>
          <w:sz w:val="26"/>
          <w:szCs w:val="26"/>
        </w:rPr>
        <w:t>, ja kāds no</w:t>
      </w:r>
      <w:r w:rsidRPr="00EE68D7">
        <w:rPr>
          <w:sz w:val="26"/>
          <w:szCs w:val="26"/>
        </w:rPr>
        <w:t xml:space="preserve"> Augstākās tiesas Krimināllietu tiesu palātas tiesnešiem</w:t>
      </w:r>
      <w:r w:rsidR="00D17C25" w:rsidRPr="00EE68D7">
        <w:rPr>
          <w:sz w:val="26"/>
          <w:szCs w:val="26"/>
        </w:rPr>
        <w:t xml:space="preserve"> izteiktu vēlmi </w:t>
      </w:r>
      <w:r w:rsidRPr="00EE68D7">
        <w:rPr>
          <w:sz w:val="26"/>
          <w:szCs w:val="26"/>
        </w:rPr>
        <w:t>pēc paš</w:t>
      </w:r>
      <w:r w:rsidR="00AF3112" w:rsidRPr="00EE68D7">
        <w:rPr>
          <w:sz w:val="26"/>
          <w:szCs w:val="26"/>
        </w:rPr>
        <w:t>a</w:t>
      </w:r>
      <w:r w:rsidRPr="00EE68D7">
        <w:rPr>
          <w:sz w:val="26"/>
          <w:szCs w:val="26"/>
        </w:rPr>
        <w:t xml:space="preserve"> gribas doties priekšlaicīgā pensijā</w:t>
      </w:r>
      <w:r w:rsidR="00AF3112" w:rsidRPr="00EE68D7">
        <w:rPr>
          <w:sz w:val="26"/>
          <w:szCs w:val="26"/>
        </w:rPr>
        <w:t>, viņam</w:t>
      </w:r>
      <w:r w:rsidR="0011089D" w:rsidRPr="00EE68D7">
        <w:rPr>
          <w:sz w:val="26"/>
          <w:szCs w:val="26"/>
        </w:rPr>
        <w:t xml:space="preserve"> </w:t>
      </w:r>
      <w:r w:rsidR="00AF3112" w:rsidRPr="00EE68D7">
        <w:rPr>
          <w:sz w:val="26"/>
          <w:szCs w:val="26"/>
        </w:rPr>
        <w:t xml:space="preserve">nebūtu tiesības saņemt izdienas pensiju. </w:t>
      </w:r>
      <w:r w:rsidR="0011089D" w:rsidRPr="00EE68D7">
        <w:rPr>
          <w:sz w:val="26"/>
          <w:szCs w:val="26"/>
        </w:rPr>
        <w:t>(</w:t>
      </w:r>
      <w:r w:rsidR="00AF3112" w:rsidRPr="00EE68D7">
        <w:rPr>
          <w:sz w:val="26"/>
          <w:szCs w:val="26"/>
        </w:rPr>
        <w:t>N</w:t>
      </w:r>
      <w:r w:rsidR="0011089D" w:rsidRPr="00EE68D7">
        <w:rPr>
          <w:sz w:val="26"/>
          <w:szCs w:val="26"/>
        </w:rPr>
        <w:t xml:space="preserve">o Augstākās tiesas sniegtās informācijas izriet, ka </w:t>
      </w:r>
      <w:r w:rsidR="00AF3112" w:rsidRPr="00EE68D7">
        <w:rPr>
          <w:sz w:val="26"/>
          <w:szCs w:val="26"/>
        </w:rPr>
        <w:t>vismaz</w:t>
      </w:r>
      <w:r w:rsidR="0011089D" w:rsidRPr="00EE68D7">
        <w:rPr>
          <w:sz w:val="26"/>
          <w:szCs w:val="26"/>
        </w:rPr>
        <w:t xml:space="preserve"> divi</w:t>
      </w:r>
      <w:r w:rsidR="00AF3112" w:rsidRPr="00EE68D7">
        <w:rPr>
          <w:sz w:val="26"/>
          <w:szCs w:val="26"/>
        </w:rPr>
        <w:t xml:space="preserve"> tiesu palātas</w:t>
      </w:r>
      <w:r w:rsidR="0011089D" w:rsidRPr="00EE68D7">
        <w:rPr>
          <w:sz w:val="26"/>
          <w:szCs w:val="26"/>
        </w:rPr>
        <w:t xml:space="preserve"> tiesneši ir pieļāvuši iespēju doties priekšlaicīgā pensijā, ja tiks </w:t>
      </w:r>
      <w:r w:rsidR="00AF3112" w:rsidRPr="00EE68D7">
        <w:rPr>
          <w:sz w:val="26"/>
          <w:szCs w:val="26"/>
        </w:rPr>
        <w:t xml:space="preserve">garantētas tiesības uz </w:t>
      </w:r>
      <w:r w:rsidR="0011089D" w:rsidRPr="00EE68D7">
        <w:rPr>
          <w:sz w:val="26"/>
          <w:szCs w:val="26"/>
        </w:rPr>
        <w:t>izdienas pensij</w:t>
      </w:r>
      <w:r w:rsidR="00AF3112" w:rsidRPr="00EE68D7">
        <w:rPr>
          <w:sz w:val="26"/>
          <w:szCs w:val="26"/>
        </w:rPr>
        <w:t>u</w:t>
      </w:r>
      <w:r w:rsidR="0011089D" w:rsidRPr="00EE68D7">
        <w:rPr>
          <w:sz w:val="26"/>
          <w:szCs w:val="26"/>
        </w:rPr>
        <w:t xml:space="preserve"> nesamazinātā apmērā</w:t>
      </w:r>
      <w:r w:rsidR="00AF3112" w:rsidRPr="00EE68D7">
        <w:rPr>
          <w:sz w:val="26"/>
          <w:szCs w:val="26"/>
        </w:rPr>
        <w:t>.</w:t>
      </w:r>
      <w:r w:rsidR="0011089D" w:rsidRPr="00EE68D7">
        <w:rPr>
          <w:sz w:val="26"/>
          <w:szCs w:val="26"/>
        </w:rPr>
        <w:t>)</w:t>
      </w:r>
      <w:r w:rsidRPr="00EE68D7">
        <w:rPr>
          <w:sz w:val="26"/>
          <w:szCs w:val="26"/>
        </w:rPr>
        <w:t>.</w:t>
      </w:r>
    </w:p>
    <w:p w:rsidR="0067185C" w:rsidRPr="00EE68D7" w:rsidRDefault="00231AD5" w:rsidP="0067185C">
      <w:pPr>
        <w:ind w:firstLine="720"/>
        <w:jc w:val="both"/>
        <w:rPr>
          <w:sz w:val="26"/>
          <w:szCs w:val="26"/>
        </w:rPr>
      </w:pPr>
      <w:r w:rsidRPr="00EE68D7">
        <w:rPr>
          <w:sz w:val="26"/>
          <w:szCs w:val="26"/>
        </w:rPr>
        <w:t xml:space="preserve">Lai meklētu risinājumus, minētais jautājums </w:t>
      </w:r>
      <w:r w:rsidR="00D17C25" w:rsidRPr="00EE68D7">
        <w:rPr>
          <w:sz w:val="26"/>
          <w:szCs w:val="26"/>
        </w:rPr>
        <w:t>tika</w:t>
      </w:r>
      <w:r w:rsidRPr="00EE68D7">
        <w:rPr>
          <w:sz w:val="26"/>
          <w:szCs w:val="26"/>
        </w:rPr>
        <w:t xml:space="preserve"> apspriests ar Labklājības ministriju un Augstāko ti</w:t>
      </w:r>
      <w:r w:rsidR="00A5087A" w:rsidRPr="00EE68D7">
        <w:rPr>
          <w:sz w:val="26"/>
          <w:szCs w:val="26"/>
        </w:rPr>
        <w:t>esu. Tāpat</w:t>
      </w:r>
      <w:r w:rsidRPr="00EE68D7">
        <w:rPr>
          <w:sz w:val="26"/>
          <w:szCs w:val="26"/>
        </w:rPr>
        <w:t xml:space="preserve"> jautājums par iespējamo regulējumu pirmstermiņa izdienas pensijai Augstākās tiesas tiesnešiem, kas amatu atstāj pēc pašu vēlēšanās sakarā ar palātu likvidāciju, ticis izskatīts Saeimas Juridiskās komisijas Tiesu politikas apakškomisijas 2013.gada 10.decembra sēdē.</w:t>
      </w:r>
      <w:r w:rsidR="00AF3112" w:rsidRPr="00EE68D7">
        <w:rPr>
          <w:sz w:val="26"/>
          <w:szCs w:val="26"/>
        </w:rPr>
        <w:t xml:space="preserve"> </w:t>
      </w:r>
      <w:r w:rsidRPr="00EE68D7">
        <w:rPr>
          <w:sz w:val="26"/>
          <w:szCs w:val="26"/>
        </w:rPr>
        <w:t xml:space="preserve">Minētajā apakškomisijas sēdē deputāti tika iepazīstināti ar </w:t>
      </w:r>
      <w:r w:rsidR="00AF3112" w:rsidRPr="00EE68D7">
        <w:rPr>
          <w:sz w:val="26"/>
          <w:szCs w:val="26"/>
        </w:rPr>
        <w:t>izstrādāto</w:t>
      </w:r>
      <w:r w:rsidRPr="00EE68D7">
        <w:rPr>
          <w:sz w:val="26"/>
          <w:szCs w:val="26"/>
        </w:rPr>
        <w:t xml:space="preserve"> risinājum</w:t>
      </w:r>
      <w:r w:rsidR="00AF3112" w:rsidRPr="00EE68D7">
        <w:rPr>
          <w:sz w:val="26"/>
          <w:szCs w:val="26"/>
        </w:rPr>
        <w:t>a konceptu</w:t>
      </w:r>
      <w:r w:rsidRPr="00EE68D7">
        <w:rPr>
          <w:sz w:val="26"/>
          <w:szCs w:val="26"/>
        </w:rPr>
        <w:t xml:space="preserve">, kam atbalstu pauda gan Augstākā tiesa, gan Labklājības ministrija. </w:t>
      </w:r>
      <w:r w:rsidR="00AF3112" w:rsidRPr="00EE68D7">
        <w:rPr>
          <w:sz w:val="26"/>
          <w:szCs w:val="26"/>
        </w:rPr>
        <w:t>R</w:t>
      </w:r>
      <w:r w:rsidRPr="00EE68D7">
        <w:rPr>
          <w:sz w:val="26"/>
          <w:szCs w:val="26"/>
        </w:rPr>
        <w:t xml:space="preserve">isinājums paredz, ka ne ilgāk kā trīs gadus laikā līdz tiesnesis ir sasniedzis pensijas vecumu (un viņam pienākas izdienas pensija) viņam tiek izmaksāts pabalsts izdienas pensijas apmērā, bet, sasniedzot pensijas vecumu, paredzamas tiesības pretendēt uz izdienas pensiju, neskatoties uz to, ka pēdējie trīs gadi nav nostrādāti tiesneša amatā. </w:t>
      </w:r>
      <w:r w:rsidR="0067185C" w:rsidRPr="00EE68D7">
        <w:rPr>
          <w:sz w:val="26"/>
          <w:szCs w:val="26"/>
        </w:rPr>
        <w:t xml:space="preserve">Taču izvērtējot šo piedāvāto pabalstu, kā arī apstākli, ka šāda pabalsta izmaksa būtu paredzama no Augstākās tiesas budžeta, Augstākā tiesa nolēma atteikties no šāda piedāvājuma, ka tiesnešiem līdz izdienas pensijas vecuma pienākšanai tiktu izmaksāts atsevišķs pabalsts.  </w:t>
      </w:r>
    </w:p>
    <w:p w:rsidR="000965F5" w:rsidRPr="000965F5" w:rsidRDefault="000965F5" w:rsidP="000965F5">
      <w:pPr>
        <w:ind w:firstLine="720"/>
        <w:jc w:val="both"/>
        <w:rPr>
          <w:sz w:val="26"/>
          <w:szCs w:val="26"/>
          <w:lang w:eastAsia="lv-LV"/>
        </w:rPr>
      </w:pPr>
      <w:r w:rsidRPr="000965F5">
        <w:rPr>
          <w:sz w:val="26"/>
          <w:szCs w:val="26"/>
          <w:lang w:eastAsia="lv-LV"/>
        </w:rPr>
        <w:t xml:space="preserve">Plānojot tiesnešu priekšlaicīgas pensionēšanās iespējas palātu likvidācijas gadījumā, </w:t>
      </w:r>
      <w:r w:rsidR="00A35FC4">
        <w:rPr>
          <w:sz w:val="26"/>
          <w:szCs w:val="26"/>
          <w:lang w:eastAsia="lv-LV"/>
        </w:rPr>
        <w:t xml:space="preserve">Tieslietu ministrija ir ņēmusi vērā arī </w:t>
      </w:r>
      <w:r w:rsidRPr="000965F5">
        <w:rPr>
          <w:sz w:val="26"/>
          <w:szCs w:val="26"/>
          <w:lang w:eastAsia="lv-LV"/>
        </w:rPr>
        <w:t>Augstākā</w:t>
      </w:r>
      <w:r w:rsidR="00A35FC4">
        <w:rPr>
          <w:sz w:val="26"/>
          <w:szCs w:val="26"/>
          <w:lang w:eastAsia="lv-LV"/>
        </w:rPr>
        <w:t>s</w:t>
      </w:r>
      <w:r w:rsidRPr="000965F5">
        <w:rPr>
          <w:sz w:val="26"/>
          <w:szCs w:val="26"/>
          <w:lang w:eastAsia="lv-LV"/>
        </w:rPr>
        <w:t xml:space="preserve"> tiesa</w:t>
      </w:r>
      <w:r w:rsidR="00A35FC4">
        <w:rPr>
          <w:sz w:val="26"/>
          <w:szCs w:val="26"/>
          <w:lang w:eastAsia="lv-LV"/>
        </w:rPr>
        <w:t>s</w:t>
      </w:r>
      <w:r w:rsidRPr="000965F5">
        <w:rPr>
          <w:sz w:val="26"/>
          <w:szCs w:val="26"/>
          <w:lang w:eastAsia="lv-LV"/>
        </w:rPr>
        <w:t xml:space="preserve"> </w:t>
      </w:r>
      <w:r w:rsidR="00A35FC4">
        <w:rPr>
          <w:sz w:val="26"/>
          <w:szCs w:val="26"/>
          <w:lang w:eastAsia="lv-LV"/>
        </w:rPr>
        <w:t>norādīto</w:t>
      </w:r>
      <w:r w:rsidRPr="000965F5">
        <w:rPr>
          <w:sz w:val="26"/>
          <w:szCs w:val="26"/>
          <w:lang w:eastAsia="lv-LV"/>
        </w:rPr>
        <w:t xml:space="preserve"> faktu, ka no 2014.gada 1.janvāra vispārējās pensionēšanās vecums paaugstinās katru gadu par trim mēnešiem, līdz 2025.gadā būs sasniegts 65 gadu vecums, ka arī to, ka tiesnešu izdienas pensijas piešķiršanai nepieciešamais vecums ir noteikts tāds pats kā likumā „Par valsts pensijām” vecuma pensijas piešķiršanai noteiktais vecums. Proti, pašreiz Tiesnešu izdienas pensijas likuma 2.panta pirmās daļas 1.punkts noteic, ka tiesības uz izdienas pensiju ir personai, kurai izdienas stāžs saskaņā ar šā likuma </w:t>
      </w:r>
      <w:hyperlink r:id="rId11" w:anchor="p3" w:history="1">
        <w:r w:rsidRPr="000965F5">
          <w:rPr>
            <w:rStyle w:val="Hipersaite"/>
            <w:sz w:val="26"/>
            <w:szCs w:val="26"/>
            <w:lang w:eastAsia="lv-LV"/>
          </w:rPr>
          <w:t>3.pantu</w:t>
        </w:r>
      </w:hyperlink>
      <w:r w:rsidRPr="000965F5">
        <w:rPr>
          <w:sz w:val="26"/>
          <w:szCs w:val="26"/>
          <w:lang w:eastAsia="lv-LV"/>
        </w:rPr>
        <w:t xml:space="preserve"> ir 20 gadi, no kuriem pēdējie 10 gadi nostrādāti tiesneša amatā vai tiesneša, kas amatā apstiprināts bez pilnvaru termiņa ierobežojuma, un tiesībsarga amatā, un kura ir sasniegusi likumā "</w:t>
      </w:r>
      <w:hyperlink r:id="rId12" w:tgtFrame="_blank" w:history="1">
        <w:r w:rsidRPr="000965F5">
          <w:rPr>
            <w:rStyle w:val="Hipersaite"/>
            <w:sz w:val="26"/>
            <w:szCs w:val="26"/>
            <w:lang w:eastAsia="lv-LV"/>
          </w:rPr>
          <w:t>Par valsts pensijām</w:t>
        </w:r>
      </w:hyperlink>
      <w:r w:rsidRPr="000965F5">
        <w:rPr>
          <w:sz w:val="26"/>
          <w:szCs w:val="26"/>
          <w:lang w:eastAsia="lv-LV"/>
        </w:rPr>
        <w:t>" vecuma pensijas piešķiršanai noteikto vecumu, ja tā ir atbrīvota no tiesneša vai tiesībsarga amata pēc pašas vēlēšanās vai no tiesneša amata sakarā ar amata pildīšanai likumā noteiktā maksimālā vecuma sasniegšanu.</w:t>
      </w:r>
    </w:p>
    <w:p w:rsidR="000965F5" w:rsidRPr="000B0109" w:rsidRDefault="000965F5" w:rsidP="000B0109">
      <w:pPr>
        <w:pStyle w:val="naiskr"/>
        <w:spacing w:before="0" w:after="0"/>
        <w:ind w:firstLine="567"/>
        <w:jc w:val="both"/>
        <w:rPr>
          <w:sz w:val="26"/>
          <w:szCs w:val="26"/>
        </w:rPr>
      </w:pPr>
      <w:r w:rsidRPr="000965F5">
        <w:rPr>
          <w:sz w:val="26"/>
          <w:szCs w:val="26"/>
        </w:rPr>
        <w:lastRenderedPageBreak/>
        <w:t xml:space="preserve"> Lai nodrošinātu, ka Augstākās tiesas tiesnesim, sakarā ar Augstākās tiesas tiesu palātas darbības termiņa beigām, ir tiesības pretendēt uz izdienas pensiju, </w:t>
      </w:r>
      <w:r w:rsidRPr="000965F5">
        <w:rPr>
          <w:bCs/>
          <w:sz w:val="26"/>
          <w:szCs w:val="26"/>
        </w:rPr>
        <w:t xml:space="preserve">ir nepieciešami grozījumi Tiesnešu izdienas pensiju </w:t>
      </w:r>
      <w:r>
        <w:rPr>
          <w:bCs/>
          <w:sz w:val="26"/>
          <w:szCs w:val="26"/>
        </w:rPr>
        <w:t>likumā</w:t>
      </w:r>
      <w:r w:rsidRPr="000965F5">
        <w:rPr>
          <w:bCs/>
          <w:sz w:val="26"/>
          <w:szCs w:val="26"/>
        </w:rPr>
        <w:t>.</w:t>
      </w:r>
      <w:r>
        <w:rPr>
          <w:bCs/>
          <w:sz w:val="26"/>
          <w:szCs w:val="26"/>
        </w:rPr>
        <w:t xml:space="preserve"> Ievērojot minēto</w:t>
      </w:r>
      <w:r w:rsidR="005F0289">
        <w:rPr>
          <w:bCs/>
          <w:sz w:val="26"/>
          <w:szCs w:val="26"/>
        </w:rPr>
        <w:t>,</w:t>
      </w:r>
      <w:r>
        <w:rPr>
          <w:bCs/>
          <w:sz w:val="26"/>
          <w:szCs w:val="26"/>
        </w:rPr>
        <w:t xml:space="preserve"> </w:t>
      </w:r>
      <w:r w:rsidR="005F0289">
        <w:rPr>
          <w:bCs/>
          <w:sz w:val="26"/>
          <w:szCs w:val="26"/>
        </w:rPr>
        <w:t>Tieslietu ministrija</w:t>
      </w:r>
      <w:r w:rsidRPr="000B0109">
        <w:rPr>
          <w:bCs/>
          <w:sz w:val="26"/>
          <w:szCs w:val="26"/>
        </w:rPr>
        <w:t xml:space="preserve"> ir izstrādājusi likumprojektu „Grozījumi Tiesnešu izdienas pensijas likumā”, kas paredz, ka Augstākās tiesas tiesnesim, sakarā ar Augstākās tiesas tiesu palātas darbības termiņa beigām, ir tiesības pretendēt uz izdienas pensiju. </w:t>
      </w:r>
      <w:r w:rsidR="000B0109" w:rsidRPr="000B0109">
        <w:rPr>
          <w:sz w:val="26"/>
          <w:szCs w:val="26"/>
        </w:rPr>
        <w:t xml:space="preserve">Likumprojekts garantēs atbilstošu materiālo nodrošinājumu tiem tiesnešiem, kuri sakarā ar Augstākās tiesas tiesu palātas darbības beigām tiks atbrīvoti no Augstākās tiesas tiesneša amata pēc paša vēlēšanās, proti, likumprojekts papildinās pretendēšanas uz izdienas pensiju nosacījumus, nodrošinot, ka tiesnesim, sakarā ar Augstākās tiesas tiesu palātas darbības beigām ir tiesības uz izdienas pensiju, </w:t>
      </w:r>
      <w:r w:rsidR="000B0109" w:rsidRPr="000B0109">
        <w:rPr>
          <w:bCs/>
          <w:sz w:val="26"/>
          <w:szCs w:val="26"/>
        </w:rPr>
        <w:t xml:space="preserve">ja </w:t>
      </w:r>
      <w:r w:rsidR="000B0109" w:rsidRPr="000B0109">
        <w:rPr>
          <w:sz w:val="26"/>
          <w:szCs w:val="26"/>
        </w:rPr>
        <w:t xml:space="preserve">tiesneša </w:t>
      </w:r>
      <w:r w:rsidR="000B0109" w:rsidRPr="000B0109">
        <w:rPr>
          <w:bCs/>
          <w:sz w:val="26"/>
          <w:szCs w:val="26"/>
        </w:rPr>
        <w:t xml:space="preserve">stāžs ir 20 gadi, no kuriem pēdējie 10 gadi nostrādāti tiesneša, kas amatā apstiprināts bez pilnvaru termiņa ierobežojuma, amatā, un kurai līdz likumā </w:t>
      </w:r>
      <w:r w:rsidR="000B0109" w:rsidRPr="00DB1547">
        <w:rPr>
          <w:bCs/>
          <w:sz w:val="26"/>
          <w:szCs w:val="26"/>
        </w:rPr>
        <w:t>"</w:t>
      </w:r>
      <w:hyperlink r:id="rId13" w:tgtFrame="_blank" w:history="1">
        <w:r w:rsidR="000B0109" w:rsidRPr="00DB1547">
          <w:rPr>
            <w:rStyle w:val="Hipersaite"/>
            <w:bCs/>
            <w:color w:val="auto"/>
            <w:sz w:val="26"/>
            <w:szCs w:val="26"/>
          </w:rPr>
          <w:t>Par valsts pensijām</w:t>
        </w:r>
      </w:hyperlink>
      <w:r w:rsidR="000B0109" w:rsidRPr="00DB1547">
        <w:rPr>
          <w:bCs/>
          <w:sz w:val="26"/>
          <w:szCs w:val="26"/>
        </w:rPr>
        <w:t xml:space="preserve">" </w:t>
      </w:r>
      <w:r w:rsidR="000B0109" w:rsidRPr="000B0109">
        <w:rPr>
          <w:bCs/>
          <w:sz w:val="26"/>
          <w:szCs w:val="26"/>
        </w:rPr>
        <w:t>vecuma pensijas piešķiršanai noteiktā vecuma sasniegšanai ir palikuši ne vairāk kā trīs gadi.</w:t>
      </w:r>
      <w:r w:rsidR="000B0109">
        <w:rPr>
          <w:bCs/>
          <w:sz w:val="26"/>
          <w:szCs w:val="26"/>
        </w:rPr>
        <w:t xml:space="preserve"> </w:t>
      </w:r>
      <w:r w:rsidRPr="000B0109">
        <w:rPr>
          <w:bCs/>
          <w:sz w:val="26"/>
          <w:szCs w:val="26"/>
        </w:rPr>
        <w:t xml:space="preserve">Minētais likumprojekts ir saskaņots arī ar Finanšu ministriju. </w:t>
      </w:r>
    </w:p>
    <w:p w:rsidR="00502298" w:rsidRPr="00EE68D7" w:rsidRDefault="00FF3FD9" w:rsidP="00A23354">
      <w:pPr>
        <w:ind w:firstLine="720"/>
        <w:jc w:val="both"/>
        <w:rPr>
          <w:sz w:val="26"/>
          <w:szCs w:val="26"/>
        </w:rPr>
      </w:pPr>
      <w:r w:rsidRPr="00EE68D7">
        <w:rPr>
          <w:sz w:val="26"/>
          <w:szCs w:val="26"/>
        </w:rPr>
        <w:t xml:space="preserve">Būtiski </w:t>
      </w:r>
      <w:r w:rsidR="00A23354" w:rsidRPr="00EE68D7">
        <w:rPr>
          <w:sz w:val="26"/>
          <w:szCs w:val="26"/>
        </w:rPr>
        <w:t xml:space="preserve">atzīmēt, ka visi iepriekš minētie risinājumi gan esošie, gan papildus ieviešamais ir atkarīgi no tā, vai tiesnesis tiem ir piekritis, pastāv teorētiska iespēja, ka minētie risinājumi nebūs pietiekami visu bijušo Krimināllietu tiesu palātas tiesnešu tālākās karjeras organizācijai. Arī Augstākā tiesa ir izteikusi šaubas par esošo risinājumu </w:t>
      </w:r>
      <w:r w:rsidR="00502298" w:rsidRPr="00EE68D7">
        <w:rPr>
          <w:sz w:val="26"/>
          <w:szCs w:val="26"/>
        </w:rPr>
        <w:t xml:space="preserve">pietiekamību, kā arī papildu izstrādātā priekšlikuma, kas saistīts ar iespēju atstāt tiesneša amatu pēc paša vēlēšanās pirms valsts vecuma pensijas piešķiršanai noteiktā vecuma sasniegšanas, tomēr saglabājot tiesības pretendēt uz izdienas pensiju, efektivitāti. </w:t>
      </w:r>
    </w:p>
    <w:p w:rsidR="00A23354" w:rsidRPr="00EE68D7" w:rsidRDefault="00502298" w:rsidP="00A23354">
      <w:pPr>
        <w:ind w:firstLine="720"/>
        <w:jc w:val="both"/>
        <w:rPr>
          <w:sz w:val="26"/>
          <w:szCs w:val="26"/>
        </w:rPr>
      </w:pPr>
      <w:r w:rsidRPr="00EE68D7">
        <w:rPr>
          <w:sz w:val="26"/>
          <w:szCs w:val="26"/>
        </w:rPr>
        <w:t>A</w:t>
      </w:r>
      <w:r w:rsidR="00A23354" w:rsidRPr="00EE68D7">
        <w:rPr>
          <w:sz w:val="26"/>
          <w:szCs w:val="26"/>
        </w:rPr>
        <w:t>tzīstams, ka gadījumā, ja tiek samazināts Augstākās tiesas tiesnešu kopskaits, attiecīgi palielinot tiesnešu kopskaitu apgabaltiesās, tas nenozīmē reālu Augstākās tiesas tiesnešu skaita samazināšanu, automātiski tos pārceļot uz apgabaltiesām. Visi Augstākās tiesas tiesneši konkrētās tiesas tiesneša amatā ir apstiprināti uz mūžu ar Saeimas lēmumu. Struktūrvienības likvidācija neietekmē vai, vēl jo vairāk – neatņem, šo tiesnešu statusu.</w:t>
      </w:r>
      <w:r w:rsidRPr="00EE68D7">
        <w:rPr>
          <w:sz w:val="26"/>
          <w:szCs w:val="26"/>
        </w:rPr>
        <w:t xml:space="preserve"> Ievērojot minēto apsverama tādu papildu instrumentu izstrāde, kas būtu pieļaujami, ņemot vērā tiesneša amata īpašo statusu, bet kuru izmantošana nebūtu atkarīga no tiesneša piekrišanas.</w:t>
      </w:r>
    </w:p>
    <w:p w:rsidR="00231AD5" w:rsidRPr="00EE68D7" w:rsidRDefault="00752F7F" w:rsidP="007C3B79">
      <w:pPr>
        <w:ind w:firstLine="720"/>
        <w:jc w:val="both"/>
        <w:rPr>
          <w:color w:val="000000"/>
          <w:sz w:val="26"/>
          <w:szCs w:val="26"/>
        </w:rPr>
      </w:pPr>
      <w:r w:rsidRPr="00EE68D7">
        <w:rPr>
          <w:color w:val="000000"/>
          <w:sz w:val="26"/>
          <w:szCs w:val="26"/>
        </w:rPr>
        <w:t xml:space="preserve">Ievērojot starptautiskajās rekomendācijās (skatīt iepriekš) nostiprinātos pieļaujamās rīcības ietvarus, par atbilstošu </w:t>
      </w:r>
      <w:r w:rsidRPr="00EE68D7">
        <w:rPr>
          <w:b/>
          <w:color w:val="000000"/>
          <w:sz w:val="26"/>
          <w:szCs w:val="26"/>
        </w:rPr>
        <w:t>papildu risinājumu</w:t>
      </w:r>
      <w:r w:rsidRPr="00EE68D7">
        <w:rPr>
          <w:color w:val="000000"/>
          <w:sz w:val="26"/>
          <w:szCs w:val="26"/>
        </w:rPr>
        <w:t xml:space="preserve"> varētu tikt atzīta arī </w:t>
      </w:r>
      <w:r w:rsidRPr="00EE68D7">
        <w:rPr>
          <w:b/>
          <w:color w:val="000000"/>
          <w:sz w:val="26"/>
          <w:szCs w:val="26"/>
        </w:rPr>
        <w:t>tiesneša pārcelšana vai norīkošana citā tiesā arī bez viņa piekrišanas, ja tam piekritusi Tieslietu padome</w:t>
      </w:r>
      <w:r w:rsidRPr="00EE68D7">
        <w:rPr>
          <w:color w:val="000000"/>
          <w:sz w:val="26"/>
          <w:szCs w:val="26"/>
        </w:rPr>
        <w:t xml:space="preserve"> </w:t>
      </w:r>
      <w:r w:rsidRPr="00EE68D7">
        <w:rPr>
          <w:b/>
          <w:color w:val="000000"/>
          <w:sz w:val="26"/>
          <w:szCs w:val="26"/>
        </w:rPr>
        <w:t>un saglabājot viņam iepriekš noteikto mēnešalgu un izdienas piemaksu.</w:t>
      </w:r>
    </w:p>
    <w:p w:rsidR="00D3128B" w:rsidRPr="00EE68D7" w:rsidRDefault="00605BAF" w:rsidP="007C3B79">
      <w:pPr>
        <w:ind w:firstLine="720"/>
        <w:jc w:val="both"/>
        <w:rPr>
          <w:b/>
          <w:color w:val="000000"/>
          <w:sz w:val="26"/>
          <w:szCs w:val="26"/>
        </w:rPr>
      </w:pPr>
      <w:r w:rsidRPr="00EE68D7">
        <w:rPr>
          <w:color w:val="000000"/>
          <w:sz w:val="26"/>
          <w:szCs w:val="26"/>
        </w:rPr>
        <w:t>Attiecībā uz tiesas darbiniekiem, kas bija piesaistīti Augstākās tiesas Krimināllietu tiesu palātas darba organizācijai (kancelejas darbinieki, tiesnešu palīgi, tiesas sēžu sekretāri). Augst</w:t>
      </w:r>
      <w:r w:rsidR="00DE078D" w:rsidRPr="00EE68D7">
        <w:rPr>
          <w:color w:val="000000"/>
          <w:sz w:val="26"/>
          <w:szCs w:val="26"/>
        </w:rPr>
        <w:t xml:space="preserve">ākā tiesa ir norādījusi, ka visas darbinieku </w:t>
      </w:r>
      <w:r w:rsidR="00BF14DC" w:rsidRPr="00EE68D7">
        <w:rPr>
          <w:color w:val="000000"/>
          <w:sz w:val="26"/>
          <w:szCs w:val="26"/>
        </w:rPr>
        <w:t xml:space="preserve">amata </w:t>
      </w:r>
      <w:r w:rsidR="00DE078D" w:rsidRPr="00EE68D7">
        <w:rPr>
          <w:color w:val="000000"/>
          <w:sz w:val="26"/>
          <w:szCs w:val="26"/>
        </w:rPr>
        <w:t>vietas</w:t>
      </w:r>
      <w:r w:rsidRPr="00EE68D7">
        <w:rPr>
          <w:color w:val="000000"/>
          <w:sz w:val="26"/>
          <w:szCs w:val="26"/>
        </w:rPr>
        <w:t xml:space="preserve"> tiks pārcelt</w:t>
      </w:r>
      <w:r w:rsidR="00DE078D" w:rsidRPr="00EE68D7">
        <w:rPr>
          <w:color w:val="000000"/>
          <w:sz w:val="26"/>
          <w:szCs w:val="26"/>
        </w:rPr>
        <w:t>as</w:t>
      </w:r>
      <w:r w:rsidRPr="00EE68D7">
        <w:rPr>
          <w:color w:val="000000"/>
          <w:sz w:val="26"/>
          <w:szCs w:val="26"/>
        </w:rPr>
        <w:t xml:space="preserve"> uz citām Augstākās tiesas struktūrvienībām, tādējādi stiprinot to kapacitāti. </w:t>
      </w:r>
      <w:r w:rsidR="00727FBC" w:rsidRPr="00EE68D7">
        <w:rPr>
          <w:b/>
          <w:color w:val="000000"/>
          <w:sz w:val="26"/>
          <w:szCs w:val="26"/>
        </w:rPr>
        <w:t xml:space="preserve">Augstākās tiesas </w:t>
      </w:r>
      <w:r w:rsidRPr="00EE68D7">
        <w:rPr>
          <w:b/>
          <w:color w:val="000000"/>
          <w:sz w:val="26"/>
          <w:szCs w:val="26"/>
        </w:rPr>
        <w:t xml:space="preserve">darbinieki atrodas darba tiesiskajās attiecībās ar </w:t>
      </w:r>
      <w:r w:rsidR="00727FBC" w:rsidRPr="00EE68D7">
        <w:rPr>
          <w:b/>
          <w:color w:val="000000"/>
          <w:sz w:val="26"/>
          <w:szCs w:val="26"/>
        </w:rPr>
        <w:t xml:space="preserve">Augstākās tiesas </w:t>
      </w:r>
      <w:r w:rsidR="00C21189" w:rsidRPr="00EE68D7">
        <w:rPr>
          <w:b/>
          <w:color w:val="000000"/>
          <w:sz w:val="26"/>
          <w:szCs w:val="26"/>
        </w:rPr>
        <w:t xml:space="preserve">priekšsēdētāju </w:t>
      </w:r>
      <w:r w:rsidRPr="00EE68D7">
        <w:rPr>
          <w:b/>
          <w:color w:val="000000"/>
          <w:sz w:val="26"/>
          <w:szCs w:val="26"/>
        </w:rPr>
        <w:t xml:space="preserve">un attiecīgi šo tiesisko attiecību maiņu vai izbeigšanu </w:t>
      </w:r>
      <w:r w:rsidR="00727FBC" w:rsidRPr="00EE68D7">
        <w:rPr>
          <w:b/>
          <w:color w:val="000000"/>
          <w:sz w:val="26"/>
          <w:szCs w:val="26"/>
        </w:rPr>
        <w:t>regulē</w:t>
      </w:r>
      <w:r w:rsidRPr="00EE68D7">
        <w:rPr>
          <w:b/>
          <w:color w:val="000000"/>
          <w:sz w:val="26"/>
          <w:szCs w:val="26"/>
        </w:rPr>
        <w:t xml:space="preserve"> Darba likums.</w:t>
      </w:r>
    </w:p>
    <w:p w:rsidR="00605BAF" w:rsidRPr="00EE68D7" w:rsidRDefault="00605BAF" w:rsidP="007C3B79">
      <w:pPr>
        <w:ind w:firstLine="720"/>
        <w:jc w:val="both"/>
        <w:rPr>
          <w:color w:val="000000"/>
          <w:sz w:val="26"/>
          <w:szCs w:val="26"/>
        </w:rPr>
      </w:pPr>
    </w:p>
    <w:p w:rsidR="00D3128B" w:rsidRPr="001079B4" w:rsidRDefault="00752F7F" w:rsidP="007C3B79">
      <w:pPr>
        <w:ind w:firstLine="720"/>
        <w:jc w:val="both"/>
        <w:rPr>
          <w:b/>
          <w:color w:val="000000"/>
          <w:sz w:val="26"/>
          <w:szCs w:val="26"/>
        </w:rPr>
      </w:pPr>
      <w:r w:rsidRPr="001079B4">
        <w:rPr>
          <w:b/>
          <w:color w:val="000000"/>
          <w:sz w:val="26"/>
          <w:szCs w:val="26"/>
        </w:rPr>
        <w:t xml:space="preserve">3. Reformas </w:t>
      </w:r>
      <w:r w:rsidR="00185926" w:rsidRPr="001079B4">
        <w:rPr>
          <w:b/>
          <w:color w:val="000000"/>
          <w:sz w:val="26"/>
          <w:szCs w:val="26"/>
        </w:rPr>
        <w:t>finansiālā</w:t>
      </w:r>
      <w:r w:rsidRPr="001079B4">
        <w:rPr>
          <w:b/>
          <w:color w:val="000000"/>
          <w:sz w:val="26"/>
          <w:szCs w:val="26"/>
        </w:rPr>
        <w:t xml:space="preserve"> ietekme</w:t>
      </w:r>
      <w:r w:rsidR="00185926" w:rsidRPr="001079B4">
        <w:rPr>
          <w:b/>
          <w:color w:val="000000"/>
          <w:sz w:val="26"/>
          <w:szCs w:val="26"/>
        </w:rPr>
        <w:t>.</w:t>
      </w:r>
    </w:p>
    <w:p w:rsidR="007907F7" w:rsidRPr="001079B4" w:rsidRDefault="00193B4A" w:rsidP="007907F7">
      <w:pPr>
        <w:ind w:firstLine="720"/>
        <w:jc w:val="both"/>
        <w:rPr>
          <w:color w:val="000000"/>
          <w:sz w:val="26"/>
          <w:szCs w:val="26"/>
        </w:rPr>
      </w:pPr>
      <w:r w:rsidRPr="001079B4">
        <w:rPr>
          <w:color w:val="000000"/>
          <w:sz w:val="26"/>
          <w:szCs w:val="26"/>
        </w:rPr>
        <w:t>Kā izriet no Augstākās tiesas sniegtās informācijas, tad Augstākās tiesas</w:t>
      </w:r>
      <w:r w:rsidR="007C3B79" w:rsidRPr="001079B4">
        <w:rPr>
          <w:color w:val="000000"/>
          <w:sz w:val="26"/>
          <w:szCs w:val="26"/>
        </w:rPr>
        <w:t xml:space="preserve"> Krimināllietu tiesu palātas likvidācijas rezultātā, 2015.gadā </w:t>
      </w:r>
      <w:r w:rsidR="003828F1" w:rsidRPr="001079B4">
        <w:rPr>
          <w:color w:val="000000"/>
          <w:sz w:val="26"/>
          <w:szCs w:val="26"/>
        </w:rPr>
        <w:t xml:space="preserve">varētu tikt nodotas </w:t>
      </w:r>
      <w:r w:rsidR="007C3B79" w:rsidRPr="001079B4">
        <w:rPr>
          <w:color w:val="000000"/>
          <w:sz w:val="26"/>
          <w:szCs w:val="26"/>
        </w:rPr>
        <w:t xml:space="preserve">piecas </w:t>
      </w:r>
      <w:r w:rsidR="00BF14DC" w:rsidRPr="001079B4">
        <w:rPr>
          <w:color w:val="000000"/>
          <w:sz w:val="26"/>
          <w:szCs w:val="26"/>
        </w:rPr>
        <w:lastRenderedPageBreak/>
        <w:t xml:space="preserve">tiesneša amata </w:t>
      </w:r>
      <w:r w:rsidR="00743783" w:rsidRPr="001079B4">
        <w:rPr>
          <w:color w:val="000000"/>
          <w:sz w:val="26"/>
          <w:szCs w:val="26"/>
        </w:rPr>
        <w:t xml:space="preserve">(vakantās) </w:t>
      </w:r>
      <w:r w:rsidR="007907F7" w:rsidRPr="001079B4">
        <w:rPr>
          <w:color w:val="000000"/>
          <w:sz w:val="26"/>
          <w:szCs w:val="26"/>
        </w:rPr>
        <w:t>vietas apgabaltiesām</w:t>
      </w:r>
      <w:r w:rsidR="00084ECC" w:rsidRPr="001079B4">
        <w:rPr>
          <w:color w:val="000000"/>
          <w:sz w:val="26"/>
          <w:szCs w:val="26"/>
        </w:rPr>
        <w:t xml:space="preserve">, savukārt septiņi tiesneši kļūtu par senatoriem t.sk. palātas priekšsēdētājs un 12 palātu palīgi tiktu pārcelti uz departamentu. </w:t>
      </w:r>
      <w:r w:rsidR="007907F7" w:rsidRPr="001079B4">
        <w:rPr>
          <w:color w:val="000000"/>
          <w:sz w:val="26"/>
          <w:szCs w:val="26"/>
        </w:rPr>
        <w:t xml:space="preserve">Augstākā tiesa norāda, ka Augstākās tiesas Krimināllietu tiesu palātas reorganizācijas rezultātā </w:t>
      </w:r>
      <w:r w:rsidR="007907F7" w:rsidRPr="001079B4">
        <w:rPr>
          <w:b/>
          <w:color w:val="000000"/>
          <w:sz w:val="26"/>
          <w:szCs w:val="26"/>
        </w:rPr>
        <w:t>tiks stiprināta kasācijas instances kapacitāte, kā ietvaros plānots</w:t>
      </w:r>
      <w:r w:rsidR="007907F7" w:rsidRPr="001079B4">
        <w:rPr>
          <w:color w:val="000000"/>
          <w:sz w:val="26"/>
          <w:szCs w:val="26"/>
        </w:rPr>
        <w:t>:</w:t>
      </w:r>
    </w:p>
    <w:p w:rsidR="007907F7" w:rsidRPr="001079B4" w:rsidRDefault="007907F7" w:rsidP="007907F7">
      <w:pPr>
        <w:pStyle w:val="Sarakstarindkopa"/>
        <w:numPr>
          <w:ilvl w:val="0"/>
          <w:numId w:val="18"/>
        </w:numPr>
        <w:jc w:val="both"/>
        <w:rPr>
          <w:color w:val="000000"/>
          <w:sz w:val="26"/>
          <w:szCs w:val="26"/>
        </w:rPr>
      </w:pPr>
      <w:r w:rsidRPr="001079B4">
        <w:rPr>
          <w:color w:val="000000"/>
          <w:sz w:val="26"/>
          <w:szCs w:val="26"/>
        </w:rPr>
        <w:t>palielināt senatoru skaitu Augstākās tiesas departamentos;</w:t>
      </w:r>
    </w:p>
    <w:p w:rsidR="007907F7" w:rsidRPr="001079B4" w:rsidRDefault="007907F7" w:rsidP="007907F7">
      <w:pPr>
        <w:pStyle w:val="Sarakstarindkopa"/>
        <w:numPr>
          <w:ilvl w:val="0"/>
          <w:numId w:val="18"/>
        </w:numPr>
        <w:jc w:val="both"/>
        <w:rPr>
          <w:color w:val="000000"/>
          <w:sz w:val="26"/>
          <w:szCs w:val="26"/>
        </w:rPr>
      </w:pPr>
      <w:r w:rsidRPr="001079B4">
        <w:rPr>
          <w:color w:val="000000"/>
          <w:sz w:val="26"/>
          <w:szCs w:val="26"/>
        </w:rPr>
        <w:t>palielināt senatoru palīgu skaitu Augstākās tiesas departamentos;</w:t>
      </w:r>
    </w:p>
    <w:p w:rsidR="007907F7" w:rsidRPr="001079B4" w:rsidRDefault="007907F7" w:rsidP="007907F7">
      <w:pPr>
        <w:pStyle w:val="Sarakstarindkopa"/>
        <w:numPr>
          <w:ilvl w:val="0"/>
          <w:numId w:val="18"/>
        </w:numPr>
        <w:jc w:val="both"/>
        <w:rPr>
          <w:color w:val="000000"/>
          <w:sz w:val="26"/>
          <w:szCs w:val="26"/>
        </w:rPr>
      </w:pPr>
      <w:r w:rsidRPr="001079B4">
        <w:rPr>
          <w:color w:val="000000"/>
          <w:sz w:val="26"/>
          <w:szCs w:val="26"/>
        </w:rPr>
        <w:t>veidot analītisko departamentu, kas veiks zinātniski analītisko darbu.</w:t>
      </w:r>
    </w:p>
    <w:p w:rsidR="00762B3D" w:rsidRPr="001079B4" w:rsidRDefault="007907F7" w:rsidP="00C54847">
      <w:pPr>
        <w:ind w:firstLine="720"/>
        <w:jc w:val="both"/>
        <w:rPr>
          <w:color w:val="000000"/>
          <w:sz w:val="26"/>
          <w:szCs w:val="26"/>
        </w:rPr>
      </w:pPr>
      <w:r w:rsidRPr="001079B4">
        <w:rPr>
          <w:color w:val="000000"/>
          <w:sz w:val="26"/>
          <w:szCs w:val="26"/>
        </w:rPr>
        <w:t>T</w:t>
      </w:r>
      <w:r w:rsidR="00C21189" w:rsidRPr="001079B4">
        <w:rPr>
          <w:color w:val="000000"/>
          <w:sz w:val="26"/>
          <w:szCs w:val="26"/>
        </w:rPr>
        <w:t xml:space="preserve">ā </w:t>
      </w:r>
      <w:r w:rsidRPr="001079B4">
        <w:rPr>
          <w:color w:val="000000"/>
          <w:sz w:val="26"/>
          <w:szCs w:val="26"/>
        </w:rPr>
        <w:t xml:space="preserve">rezultātā, </w:t>
      </w:r>
      <w:r w:rsidR="00C21189" w:rsidRPr="001079B4">
        <w:rPr>
          <w:color w:val="000000"/>
          <w:sz w:val="26"/>
          <w:szCs w:val="26"/>
        </w:rPr>
        <w:t xml:space="preserve">sākot no 2015.gada 1.janvāra, </w:t>
      </w:r>
      <w:r w:rsidR="00743783" w:rsidRPr="001079B4">
        <w:rPr>
          <w:color w:val="000000"/>
          <w:sz w:val="26"/>
          <w:szCs w:val="26"/>
        </w:rPr>
        <w:t xml:space="preserve">ņemot vērā to, ka </w:t>
      </w:r>
      <w:r w:rsidR="003E1C5D" w:rsidRPr="001079B4">
        <w:rPr>
          <w:color w:val="000000"/>
          <w:sz w:val="26"/>
          <w:szCs w:val="26"/>
        </w:rPr>
        <w:t xml:space="preserve">tiks likvidētas 5 vakantās tiesnešu amata vietas un </w:t>
      </w:r>
      <w:r w:rsidR="00743783" w:rsidRPr="001079B4">
        <w:rPr>
          <w:color w:val="000000"/>
          <w:sz w:val="26"/>
          <w:szCs w:val="26"/>
        </w:rPr>
        <w:t>7 palātu tiesneši kļūs par departamenta tiesnešiem</w:t>
      </w:r>
      <w:r w:rsidR="003E1C5D" w:rsidRPr="001079B4">
        <w:rPr>
          <w:color w:val="000000"/>
          <w:sz w:val="26"/>
          <w:szCs w:val="26"/>
        </w:rPr>
        <w:t>, bet</w:t>
      </w:r>
      <w:r w:rsidR="00743783" w:rsidRPr="001079B4">
        <w:rPr>
          <w:color w:val="000000"/>
          <w:sz w:val="26"/>
          <w:szCs w:val="26"/>
        </w:rPr>
        <w:t xml:space="preserve"> 12 palātu palīgi kļūs par departamenta palīgiem.  </w:t>
      </w:r>
      <w:r w:rsidR="00C54847" w:rsidRPr="001079B4">
        <w:rPr>
          <w:color w:val="000000"/>
          <w:sz w:val="26"/>
          <w:szCs w:val="26"/>
        </w:rPr>
        <w:t>Augstākai</w:t>
      </w:r>
      <w:r w:rsidR="00C21189" w:rsidRPr="001079B4">
        <w:rPr>
          <w:color w:val="000000"/>
          <w:sz w:val="26"/>
          <w:szCs w:val="26"/>
        </w:rPr>
        <w:t xml:space="preserve"> tiesa</w:t>
      </w:r>
      <w:r w:rsidR="00743783" w:rsidRPr="001079B4">
        <w:rPr>
          <w:color w:val="000000"/>
          <w:sz w:val="26"/>
          <w:szCs w:val="26"/>
        </w:rPr>
        <w:t xml:space="preserve">i </w:t>
      </w:r>
      <w:r w:rsidR="00762B3D" w:rsidRPr="001079B4">
        <w:rPr>
          <w:color w:val="000000"/>
          <w:sz w:val="26"/>
          <w:szCs w:val="26"/>
        </w:rPr>
        <w:t xml:space="preserve">veidosies šāds </w:t>
      </w:r>
      <w:r w:rsidR="0094330C" w:rsidRPr="001079B4">
        <w:rPr>
          <w:color w:val="000000"/>
          <w:sz w:val="26"/>
          <w:szCs w:val="26"/>
        </w:rPr>
        <w:t>ietaupījums</w:t>
      </w:r>
      <w:r w:rsidR="00762B3D" w:rsidRPr="001079B4">
        <w:rPr>
          <w:color w:val="000000"/>
          <w:sz w:val="26"/>
          <w:szCs w:val="26"/>
        </w:rPr>
        <w:t>:</w:t>
      </w:r>
    </w:p>
    <w:p w:rsidR="0094330C" w:rsidRPr="001079B4" w:rsidRDefault="0094330C" w:rsidP="00762B3D">
      <w:pPr>
        <w:ind w:firstLine="720"/>
        <w:jc w:val="both"/>
        <w:rPr>
          <w:color w:val="000000"/>
          <w:sz w:val="26"/>
          <w:szCs w:val="26"/>
        </w:rPr>
      </w:pPr>
    </w:p>
    <w:p w:rsidR="00762B3D" w:rsidRPr="001079B4" w:rsidRDefault="000E3383" w:rsidP="00762B3D">
      <w:pPr>
        <w:ind w:firstLine="720"/>
        <w:jc w:val="both"/>
        <w:rPr>
          <w:color w:val="000000"/>
          <w:sz w:val="26"/>
          <w:szCs w:val="26"/>
        </w:rPr>
      </w:pPr>
      <w:r w:rsidRPr="001079B4">
        <w:rPr>
          <w:color w:val="000000"/>
          <w:sz w:val="26"/>
          <w:szCs w:val="26"/>
        </w:rPr>
        <w:t>1)</w:t>
      </w:r>
      <w:r w:rsidR="00762B3D" w:rsidRPr="001079B4">
        <w:rPr>
          <w:color w:val="000000"/>
          <w:sz w:val="26"/>
          <w:szCs w:val="26"/>
        </w:rPr>
        <w:t xml:space="preserve">Atalgojums: 132 627 </w:t>
      </w:r>
      <w:r w:rsidR="00762B3D" w:rsidRPr="001079B4">
        <w:rPr>
          <w:i/>
          <w:color w:val="000000"/>
          <w:sz w:val="26"/>
          <w:szCs w:val="26"/>
        </w:rPr>
        <w:t>euro.</w:t>
      </w:r>
    </w:p>
    <w:p w:rsidR="00762B3D" w:rsidRPr="001079B4" w:rsidRDefault="0094330C" w:rsidP="00762B3D">
      <w:pPr>
        <w:ind w:firstLine="720"/>
        <w:jc w:val="both"/>
        <w:rPr>
          <w:color w:val="000000"/>
          <w:sz w:val="26"/>
          <w:szCs w:val="26"/>
        </w:rPr>
      </w:pPr>
      <w:r w:rsidRPr="001079B4">
        <w:rPr>
          <w:color w:val="000000"/>
          <w:sz w:val="26"/>
          <w:szCs w:val="26"/>
        </w:rPr>
        <w:t>T</w:t>
      </w:r>
      <w:r w:rsidR="00762B3D" w:rsidRPr="001079B4">
        <w:rPr>
          <w:color w:val="000000"/>
          <w:sz w:val="26"/>
          <w:szCs w:val="26"/>
        </w:rPr>
        <w:t>iesneši</w:t>
      </w:r>
      <w:r w:rsidRPr="001079B4">
        <w:rPr>
          <w:color w:val="000000"/>
          <w:sz w:val="26"/>
          <w:szCs w:val="26"/>
        </w:rPr>
        <w:t xml:space="preserve"> </w:t>
      </w:r>
    </w:p>
    <w:p w:rsidR="00762B3D" w:rsidRPr="001079B4" w:rsidRDefault="0094330C" w:rsidP="00762B3D">
      <w:pPr>
        <w:ind w:firstLine="720"/>
        <w:jc w:val="both"/>
        <w:rPr>
          <w:color w:val="000000"/>
          <w:sz w:val="26"/>
          <w:szCs w:val="26"/>
        </w:rPr>
      </w:pPr>
      <w:r w:rsidRPr="001079B4">
        <w:rPr>
          <w:color w:val="000000"/>
          <w:sz w:val="26"/>
          <w:szCs w:val="26"/>
        </w:rPr>
        <w:t xml:space="preserve">Finansējums </w:t>
      </w:r>
      <w:r w:rsidR="00762B3D" w:rsidRPr="001079B4">
        <w:rPr>
          <w:color w:val="000000"/>
          <w:sz w:val="26"/>
          <w:szCs w:val="26"/>
        </w:rPr>
        <w:t>3</w:t>
      </w:r>
      <w:r w:rsidRPr="001079B4">
        <w:rPr>
          <w:color w:val="000000"/>
          <w:sz w:val="26"/>
          <w:szCs w:val="26"/>
        </w:rPr>
        <w:t xml:space="preserve"> vakanto amata vietu </w:t>
      </w:r>
      <w:r w:rsidR="00762B3D" w:rsidRPr="001079B4">
        <w:rPr>
          <w:color w:val="000000"/>
          <w:sz w:val="26"/>
          <w:szCs w:val="26"/>
        </w:rPr>
        <w:t>tiesneš</w:t>
      </w:r>
      <w:r w:rsidRPr="001079B4">
        <w:rPr>
          <w:color w:val="000000"/>
          <w:sz w:val="26"/>
          <w:szCs w:val="26"/>
        </w:rPr>
        <w:t>iem</w:t>
      </w:r>
      <w:r w:rsidR="00762B3D" w:rsidRPr="001079B4">
        <w:rPr>
          <w:color w:val="000000"/>
          <w:sz w:val="26"/>
          <w:szCs w:val="26"/>
        </w:rPr>
        <w:t xml:space="preserve"> ar pirmo klasi 108 060 </w:t>
      </w:r>
      <w:r w:rsidR="00762B3D" w:rsidRPr="001079B4">
        <w:rPr>
          <w:i/>
          <w:color w:val="000000"/>
          <w:sz w:val="26"/>
          <w:szCs w:val="26"/>
        </w:rPr>
        <w:t>euro</w:t>
      </w:r>
    </w:p>
    <w:p w:rsidR="00762B3D" w:rsidRPr="001079B4" w:rsidRDefault="0094330C" w:rsidP="00762B3D">
      <w:pPr>
        <w:ind w:firstLine="720"/>
        <w:jc w:val="both"/>
        <w:rPr>
          <w:color w:val="000000"/>
          <w:sz w:val="26"/>
          <w:szCs w:val="26"/>
        </w:rPr>
      </w:pPr>
      <w:r w:rsidRPr="001079B4">
        <w:rPr>
          <w:color w:val="000000"/>
          <w:sz w:val="26"/>
          <w:szCs w:val="26"/>
        </w:rPr>
        <w:t xml:space="preserve">Finansējums </w:t>
      </w:r>
      <w:r w:rsidR="00762B3D" w:rsidRPr="001079B4">
        <w:rPr>
          <w:color w:val="000000"/>
          <w:sz w:val="26"/>
          <w:szCs w:val="26"/>
        </w:rPr>
        <w:t xml:space="preserve">2 </w:t>
      </w:r>
      <w:r w:rsidRPr="001079B4">
        <w:rPr>
          <w:color w:val="000000"/>
          <w:sz w:val="26"/>
          <w:szCs w:val="26"/>
        </w:rPr>
        <w:t xml:space="preserve">vakanto amata vietu </w:t>
      </w:r>
      <w:r w:rsidR="00762B3D" w:rsidRPr="001079B4">
        <w:rPr>
          <w:color w:val="000000"/>
          <w:sz w:val="26"/>
          <w:szCs w:val="26"/>
        </w:rPr>
        <w:t>tiesneši</w:t>
      </w:r>
      <w:r w:rsidRPr="001079B4">
        <w:rPr>
          <w:color w:val="000000"/>
          <w:sz w:val="26"/>
          <w:szCs w:val="26"/>
        </w:rPr>
        <w:t>em</w:t>
      </w:r>
      <w:r w:rsidR="00762B3D" w:rsidRPr="001079B4">
        <w:rPr>
          <w:color w:val="000000"/>
          <w:sz w:val="26"/>
          <w:szCs w:val="26"/>
        </w:rPr>
        <w:t xml:space="preserve"> ar otro klasi 68 304,40 </w:t>
      </w:r>
      <w:r w:rsidR="00762B3D" w:rsidRPr="001079B4">
        <w:rPr>
          <w:i/>
          <w:color w:val="000000"/>
          <w:sz w:val="26"/>
          <w:szCs w:val="26"/>
        </w:rPr>
        <w:t>euro</w:t>
      </w:r>
    </w:p>
    <w:p w:rsidR="00762B3D" w:rsidRPr="001079B4" w:rsidRDefault="0094330C" w:rsidP="00762B3D">
      <w:pPr>
        <w:ind w:firstLine="720"/>
        <w:jc w:val="both"/>
        <w:rPr>
          <w:color w:val="000000"/>
          <w:sz w:val="26"/>
          <w:szCs w:val="26"/>
        </w:rPr>
      </w:pPr>
      <w:r w:rsidRPr="001079B4">
        <w:rPr>
          <w:color w:val="000000"/>
          <w:sz w:val="26"/>
          <w:szCs w:val="26"/>
        </w:rPr>
        <w:t xml:space="preserve">Nepieciešamais papildu finansējums </w:t>
      </w:r>
      <w:r w:rsidR="00762B3D" w:rsidRPr="001079B4">
        <w:rPr>
          <w:color w:val="000000"/>
          <w:sz w:val="26"/>
          <w:szCs w:val="26"/>
        </w:rPr>
        <w:t>7 palātas tiesneši</w:t>
      </w:r>
      <w:r w:rsidRPr="001079B4">
        <w:rPr>
          <w:color w:val="000000"/>
          <w:sz w:val="26"/>
          <w:szCs w:val="26"/>
        </w:rPr>
        <w:t>em</w:t>
      </w:r>
      <w:r w:rsidR="00762B3D" w:rsidRPr="001079B4">
        <w:rPr>
          <w:color w:val="000000"/>
          <w:sz w:val="26"/>
          <w:szCs w:val="26"/>
        </w:rPr>
        <w:t xml:space="preserve"> kļūst</w:t>
      </w:r>
      <w:r w:rsidRPr="001079B4">
        <w:rPr>
          <w:color w:val="000000"/>
          <w:sz w:val="26"/>
          <w:szCs w:val="26"/>
        </w:rPr>
        <w:t>ot</w:t>
      </w:r>
      <w:r w:rsidR="00762B3D" w:rsidRPr="001079B4">
        <w:rPr>
          <w:color w:val="000000"/>
          <w:sz w:val="26"/>
          <w:szCs w:val="26"/>
        </w:rPr>
        <w:t xml:space="preserve"> par departamenta tiesnešiem </w:t>
      </w:r>
      <w:r w:rsidR="007A2449" w:rsidRPr="001079B4">
        <w:rPr>
          <w:color w:val="000000"/>
          <w:sz w:val="26"/>
          <w:szCs w:val="26"/>
        </w:rPr>
        <w:t>-</w:t>
      </w:r>
      <w:r w:rsidR="00762B3D" w:rsidRPr="001079B4">
        <w:rPr>
          <w:color w:val="000000"/>
          <w:sz w:val="26"/>
          <w:szCs w:val="26"/>
        </w:rPr>
        <w:t xml:space="preserve">7737,48 </w:t>
      </w:r>
      <w:r w:rsidR="00762B3D" w:rsidRPr="001079B4">
        <w:rPr>
          <w:i/>
          <w:color w:val="000000"/>
          <w:sz w:val="26"/>
          <w:szCs w:val="26"/>
        </w:rPr>
        <w:t>euro</w:t>
      </w:r>
    </w:p>
    <w:p w:rsidR="00762B3D" w:rsidRPr="001079B4" w:rsidRDefault="00762B3D" w:rsidP="00762B3D">
      <w:pPr>
        <w:ind w:firstLine="720"/>
        <w:jc w:val="both"/>
        <w:rPr>
          <w:color w:val="000000"/>
          <w:sz w:val="26"/>
          <w:szCs w:val="26"/>
        </w:rPr>
      </w:pPr>
      <w:r w:rsidRPr="001079B4">
        <w:rPr>
          <w:color w:val="000000"/>
          <w:sz w:val="26"/>
          <w:szCs w:val="26"/>
        </w:rPr>
        <w:t xml:space="preserve">(departamenta un palātas tiesnešu algas atšķirība 3157,30-3001,66=155,64 </w:t>
      </w:r>
      <w:r w:rsidRPr="001079B4">
        <w:rPr>
          <w:i/>
          <w:color w:val="000000"/>
          <w:sz w:val="26"/>
          <w:szCs w:val="26"/>
        </w:rPr>
        <w:t>euro</w:t>
      </w:r>
      <w:r w:rsidRPr="001079B4">
        <w:rPr>
          <w:color w:val="000000"/>
          <w:sz w:val="26"/>
          <w:szCs w:val="26"/>
        </w:rPr>
        <w:t xml:space="preserve"> x 6 tiesneši x 12 mēn. = </w:t>
      </w:r>
      <w:r w:rsidR="0094330C" w:rsidRPr="001079B4">
        <w:rPr>
          <w:color w:val="000000"/>
          <w:sz w:val="26"/>
          <w:szCs w:val="26"/>
        </w:rPr>
        <w:t>-</w:t>
      </w:r>
      <w:r w:rsidRPr="001079B4">
        <w:rPr>
          <w:color w:val="000000"/>
          <w:sz w:val="26"/>
          <w:szCs w:val="26"/>
        </w:rPr>
        <w:t xml:space="preserve">13073,76 </w:t>
      </w:r>
      <w:r w:rsidRPr="001079B4">
        <w:rPr>
          <w:i/>
          <w:color w:val="000000"/>
          <w:sz w:val="26"/>
          <w:szCs w:val="26"/>
        </w:rPr>
        <w:t>euro</w:t>
      </w:r>
      <w:r w:rsidRPr="001079B4">
        <w:rPr>
          <w:color w:val="000000"/>
          <w:sz w:val="26"/>
          <w:szCs w:val="26"/>
        </w:rPr>
        <w:t>)</w:t>
      </w:r>
    </w:p>
    <w:p w:rsidR="00762B3D" w:rsidRPr="001079B4" w:rsidRDefault="00762B3D" w:rsidP="00762B3D">
      <w:pPr>
        <w:ind w:firstLine="720"/>
        <w:jc w:val="both"/>
        <w:rPr>
          <w:color w:val="000000"/>
          <w:sz w:val="26"/>
          <w:szCs w:val="26"/>
        </w:rPr>
      </w:pPr>
      <w:r w:rsidRPr="001079B4">
        <w:rPr>
          <w:color w:val="000000"/>
          <w:sz w:val="26"/>
          <w:szCs w:val="26"/>
        </w:rPr>
        <w:t>(departamenta un palātas priekšsēdētāja algas atšķirība 3157,30-3446,35 =</w:t>
      </w:r>
      <w:r w:rsidR="00472A8E" w:rsidRPr="001079B4">
        <w:rPr>
          <w:color w:val="000000"/>
          <w:sz w:val="26"/>
          <w:szCs w:val="26"/>
        </w:rPr>
        <w:t> -</w:t>
      </w:r>
      <w:r w:rsidRPr="001079B4">
        <w:rPr>
          <w:color w:val="000000"/>
          <w:sz w:val="26"/>
          <w:szCs w:val="26"/>
        </w:rPr>
        <w:t xml:space="preserve">289,05 </w:t>
      </w:r>
      <w:r w:rsidRPr="001079B4">
        <w:rPr>
          <w:i/>
          <w:color w:val="000000"/>
          <w:sz w:val="26"/>
          <w:szCs w:val="26"/>
        </w:rPr>
        <w:t>euro</w:t>
      </w:r>
      <w:r w:rsidRPr="001079B4">
        <w:rPr>
          <w:color w:val="000000"/>
          <w:sz w:val="26"/>
          <w:szCs w:val="26"/>
        </w:rPr>
        <w:t xml:space="preserve"> x 12 mēn. = 3468,60 </w:t>
      </w:r>
      <w:r w:rsidRPr="001079B4">
        <w:rPr>
          <w:i/>
          <w:color w:val="000000"/>
          <w:sz w:val="26"/>
          <w:szCs w:val="26"/>
        </w:rPr>
        <w:t>euro</w:t>
      </w:r>
      <w:r w:rsidRPr="001079B4">
        <w:rPr>
          <w:color w:val="000000"/>
          <w:sz w:val="26"/>
          <w:szCs w:val="26"/>
        </w:rPr>
        <w:t>)</w:t>
      </w:r>
    </w:p>
    <w:p w:rsidR="00762B3D" w:rsidRPr="001079B4" w:rsidRDefault="00762B3D" w:rsidP="00762B3D">
      <w:pPr>
        <w:ind w:firstLine="720"/>
        <w:jc w:val="both"/>
        <w:rPr>
          <w:color w:val="000000"/>
          <w:sz w:val="26"/>
          <w:szCs w:val="26"/>
        </w:rPr>
      </w:pPr>
      <w:r w:rsidRPr="001079B4">
        <w:rPr>
          <w:color w:val="000000"/>
          <w:sz w:val="26"/>
          <w:szCs w:val="26"/>
        </w:rPr>
        <w:t>Tiesnešu palīg</w:t>
      </w:r>
      <w:r w:rsidR="007A2449" w:rsidRPr="001079B4">
        <w:rPr>
          <w:color w:val="000000"/>
          <w:sz w:val="26"/>
          <w:szCs w:val="26"/>
        </w:rPr>
        <w:t>u</w:t>
      </w:r>
      <w:r w:rsidRPr="001079B4">
        <w:rPr>
          <w:color w:val="000000"/>
          <w:sz w:val="26"/>
          <w:szCs w:val="26"/>
        </w:rPr>
        <w:t xml:space="preserve"> </w:t>
      </w:r>
      <w:r w:rsidR="007A2449" w:rsidRPr="001079B4">
        <w:rPr>
          <w:color w:val="000000"/>
          <w:sz w:val="26"/>
          <w:szCs w:val="26"/>
        </w:rPr>
        <w:t>a</w:t>
      </w:r>
      <w:r w:rsidRPr="001079B4">
        <w:rPr>
          <w:color w:val="000000"/>
          <w:sz w:val="26"/>
          <w:szCs w:val="26"/>
        </w:rPr>
        <w:t xml:space="preserve">talgojuma palielinājums </w:t>
      </w:r>
      <w:r w:rsidR="0094330C" w:rsidRPr="001079B4">
        <w:rPr>
          <w:color w:val="000000"/>
          <w:sz w:val="26"/>
          <w:szCs w:val="26"/>
        </w:rPr>
        <w:t>kļūstot par departamenta tiesne</w:t>
      </w:r>
      <w:r w:rsidR="000E3383" w:rsidRPr="001079B4">
        <w:rPr>
          <w:color w:val="000000"/>
          <w:sz w:val="26"/>
          <w:szCs w:val="26"/>
        </w:rPr>
        <w:t xml:space="preserve">šiem </w:t>
      </w:r>
    </w:p>
    <w:p w:rsidR="00762B3D" w:rsidRPr="001079B4" w:rsidRDefault="00762B3D" w:rsidP="00762B3D">
      <w:pPr>
        <w:ind w:firstLine="720"/>
        <w:jc w:val="both"/>
        <w:rPr>
          <w:color w:val="000000"/>
          <w:sz w:val="26"/>
          <w:szCs w:val="26"/>
        </w:rPr>
      </w:pPr>
      <w:r w:rsidRPr="001079B4">
        <w:rPr>
          <w:color w:val="000000"/>
          <w:sz w:val="26"/>
          <w:szCs w:val="26"/>
        </w:rPr>
        <w:t xml:space="preserve">12 palātas tiesnešu palīgi (alga 910 </w:t>
      </w:r>
      <w:r w:rsidRPr="001079B4">
        <w:rPr>
          <w:i/>
          <w:color w:val="000000"/>
          <w:sz w:val="26"/>
          <w:szCs w:val="26"/>
        </w:rPr>
        <w:t>euro</w:t>
      </w:r>
      <w:r w:rsidRPr="001079B4">
        <w:rPr>
          <w:color w:val="000000"/>
          <w:sz w:val="26"/>
          <w:szCs w:val="26"/>
        </w:rPr>
        <w:t xml:space="preserve">) tiek pārcelti par departamenta tiesnešu palīgiem (alga 1160 </w:t>
      </w:r>
      <w:r w:rsidRPr="001079B4">
        <w:rPr>
          <w:i/>
          <w:color w:val="000000"/>
          <w:sz w:val="26"/>
          <w:szCs w:val="26"/>
        </w:rPr>
        <w:t>euro</w:t>
      </w:r>
      <w:r w:rsidRPr="001079B4">
        <w:rPr>
          <w:color w:val="000000"/>
          <w:sz w:val="26"/>
          <w:szCs w:val="26"/>
        </w:rPr>
        <w:t xml:space="preserve">) - (1160 </w:t>
      </w:r>
      <w:r w:rsidRPr="001079B4">
        <w:rPr>
          <w:i/>
          <w:color w:val="000000"/>
          <w:sz w:val="26"/>
          <w:szCs w:val="26"/>
        </w:rPr>
        <w:t>euro</w:t>
      </w:r>
      <w:r w:rsidRPr="001079B4">
        <w:rPr>
          <w:color w:val="000000"/>
          <w:sz w:val="26"/>
          <w:szCs w:val="26"/>
        </w:rPr>
        <w:t xml:space="preserve"> - 910 </w:t>
      </w:r>
      <w:r w:rsidRPr="001079B4">
        <w:rPr>
          <w:i/>
          <w:color w:val="000000"/>
          <w:sz w:val="26"/>
          <w:szCs w:val="26"/>
        </w:rPr>
        <w:t>euro</w:t>
      </w:r>
      <w:r w:rsidRPr="001079B4">
        <w:rPr>
          <w:color w:val="000000"/>
          <w:sz w:val="26"/>
          <w:szCs w:val="26"/>
        </w:rPr>
        <w:t>) x 12 palīgi x 12 mēneši = 36000</w:t>
      </w:r>
      <w:r w:rsidR="000E3383" w:rsidRPr="001079B4">
        <w:rPr>
          <w:color w:val="000000"/>
          <w:sz w:val="26"/>
          <w:szCs w:val="26"/>
        </w:rPr>
        <w:t> </w:t>
      </w:r>
      <w:r w:rsidR="000E3383" w:rsidRPr="001079B4">
        <w:rPr>
          <w:i/>
          <w:color w:val="000000"/>
          <w:sz w:val="26"/>
          <w:szCs w:val="26"/>
        </w:rPr>
        <w:t>euro</w:t>
      </w:r>
      <w:r w:rsidRPr="001079B4">
        <w:rPr>
          <w:color w:val="000000"/>
          <w:sz w:val="26"/>
          <w:szCs w:val="26"/>
        </w:rPr>
        <w:t> </w:t>
      </w:r>
    </w:p>
    <w:p w:rsidR="0094330C" w:rsidRPr="001079B4" w:rsidRDefault="0094330C" w:rsidP="00762B3D">
      <w:pPr>
        <w:ind w:firstLine="720"/>
        <w:jc w:val="both"/>
        <w:rPr>
          <w:color w:val="000000"/>
          <w:sz w:val="26"/>
          <w:szCs w:val="26"/>
        </w:rPr>
      </w:pPr>
      <w:r w:rsidRPr="001079B4">
        <w:rPr>
          <w:color w:val="000000"/>
          <w:sz w:val="26"/>
          <w:szCs w:val="26"/>
        </w:rPr>
        <w:t>Kopā ietaupījums atalgojumam (108</w:t>
      </w:r>
      <w:r w:rsidR="006C4764" w:rsidRPr="001079B4">
        <w:rPr>
          <w:color w:val="000000"/>
          <w:sz w:val="26"/>
          <w:szCs w:val="26"/>
        </w:rPr>
        <w:t> </w:t>
      </w:r>
      <w:r w:rsidRPr="001079B4">
        <w:rPr>
          <w:color w:val="000000"/>
          <w:sz w:val="26"/>
          <w:szCs w:val="26"/>
        </w:rPr>
        <w:t>060+68</w:t>
      </w:r>
      <w:r w:rsidR="006C4764" w:rsidRPr="001079B4">
        <w:rPr>
          <w:color w:val="000000"/>
          <w:sz w:val="26"/>
          <w:szCs w:val="26"/>
        </w:rPr>
        <w:t> </w:t>
      </w:r>
      <w:r w:rsidRPr="001079B4">
        <w:rPr>
          <w:color w:val="000000"/>
          <w:sz w:val="26"/>
          <w:szCs w:val="26"/>
        </w:rPr>
        <w:t>304,40-7</w:t>
      </w:r>
      <w:r w:rsidR="006C4764" w:rsidRPr="001079B4">
        <w:rPr>
          <w:color w:val="000000"/>
          <w:sz w:val="26"/>
          <w:szCs w:val="26"/>
        </w:rPr>
        <w:t> </w:t>
      </w:r>
      <w:r w:rsidRPr="001079B4">
        <w:rPr>
          <w:color w:val="000000"/>
          <w:sz w:val="26"/>
          <w:szCs w:val="26"/>
        </w:rPr>
        <w:t>737,48-36</w:t>
      </w:r>
      <w:r w:rsidR="006C4764" w:rsidRPr="001079B4">
        <w:rPr>
          <w:color w:val="000000"/>
          <w:sz w:val="26"/>
          <w:szCs w:val="26"/>
        </w:rPr>
        <w:t> </w:t>
      </w:r>
      <w:r w:rsidRPr="001079B4">
        <w:rPr>
          <w:color w:val="000000"/>
          <w:sz w:val="26"/>
          <w:szCs w:val="26"/>
        </w:rPr>
        <w:t>000) 132</w:t>
      </w:r>
      <w:r w:rsidR="000E3383" w:rsidRPr="001079B4">
        <w:rPr>
          <w:color w:val="000000"/>
          <w:sz w:val="26"/>
          <w:szCs w:val="26"/>
        </w:rPr>
        <w:t> </w:t>
      </w:r>
      <w:r w:rsidRPr="001079B4">
        <w:rPr>
          <w:color w:val="000000"/>
          <w:sz w:val="26"/>
          <w:szCs w:val="26"/>
        </w:rPr>
        <w:t>627</w:t>
      </w:r>
      <w:r w:rsidR="000E3383" w:rsidRPr="001079B4">
        <w:rPr>
          <w:color w:val="000000"/>
          <w:sz w:val="26"/>
          <w:szCs w:val="26"/>
        </w:rPr>
        <w:t xml:space="preserve"> </w:t>
      </w:r>
      <w:r w:rsidR="000E3383" w:rsidRPr="001079B4">
        <w:rPr>
          <w:i/>
          <w:color w:val="000000"/>
          <w:sz w:val="26"/>
          <w:szCs w:val="26"/>
        </w:rPr>
        <w:t>euro.</w:t>
      </w:r>
    </w:p>
    <w:p w:rsidR="00762B3D" w:rsidRPr="001079B4" w:rsidRDefault="000E3383" w:rsidP="00762B3D">
      <w:pPr>
        <w:ind w:firstLine="720"/>
        <w:jc w:val="both"/>
        <w:rPr>
          <w:color w:val="000000"/>
          <w:sz w:val="26"/>
          <w:szCs w:val="26"/>
        </w:rPr>
      </w:pPr>
      <w:r w:rsidRPr="001079B4">
        <w:rPr>
          <w:color w:val="000000"/>
          <w:sz w:val="26"/>
          <w:szCs w:val="26"/>
        </w:rPr>
        <w:t>2)</w:t>
      </w:r>
      <w:r w:rsidR="0094330C" w:rsidRPr="001079B4">
        <w:rPr>
          <w:color w:val="000000"/>
          <w:sz w:val="26"/>
          <w:szCs w:val="26"/>
        </w:rPr>
        <w:t>Ietaupījums d</w:t>
      </w:r>
      <w:r w:rsidR="00762B3D" w:rsidRPr="001079B4">
        <w:rPr>
          <w:color w:val="000000"/>
          <w:sz w:val="26"/>
          <w:szCs w:val="26"/>
        </w:rPr>
        <w:t>arba devēja valsts sociālās apdrošināšanas obligāt</w:t>
      </w:r>
      <w:r w:rsidR="0094330C" w:rsidRPr="001079B4">
        <w:rPr>
          <w:color w:val="000000"/>
          <w:sz w:val="26"/>
          <w:szCs w:val="26"/>
        </w:rPr>
        <w:t>o</w:t>
      </w:r>
      <w:r w:rsidR="00762B3D" w:rsidRPr="001079B4">
        <w:rPr>
          <w:color w:val="000000"/>
          <w:sz w:val="26"/>
          <w:szCs w:val="26"/>
        </w:rPr>
        <w:t xml:space="preserve"> iemaks</w:t>
      </w:r>
      <w:r w:rsidR="0094330C" w:rsidRPr="001079B4">
        <w:rPr>
          <w:color w:val="000000"/>
          <w:sz w:val="26"/>
          <w:szCs w:val="26"/>
        </w:rPr>
        <w:t>u nodrošināšanai</w:t>
      </w:r>
      <w:r w:rsidR="007A2449" w:rsidRPr="001079B4">
        <w:rPr>
          <w:color w:val="000000"/>
          <w:sz w:val="26"/>
          <w:szCs w:val="26"/>
        </w:rPr>
        <w:t>: 3</w:t>
      </w:r>
      <w:r w:rsidR="00762B3D" w:rsidRPr="001079B4">
        <w:rPr>
          <w:color w:val="000000"/>
          <w:sz w:val="26"/>
          <w:szCs w:val="26"/>
        </w:rPr>
        <w:t>1</w:t>
      </w:r>
      <w:r w:rsidR="0094330C" w:rsidRPr="001079B4">
        <w:rPr>
          <w:color w:val="000000"/>
          <w:sz w:val="26"/>
          <w:szCs w:val="26"/>
        </w:rPr>
        <w:t> </w:t>
      </w:r>
      <w:r w:rsidR="00762B3D" w:rsidRPr="001079B4">
        <w:rPr>
          <w:color w:val="000000"/>
          <w:sz w:val="26"/>
          <w:szCs w:val="26"/>
        </w:rPr>
        <w:t>567</w:t>
      </w:r>
      <w:r w:rsidR="0094330C" w:rsidRPr="001079B4">
        <w:rPr>
          <w:color w:val="000000"/>
          <w:sz w:val="26"/>
          <w:szCs w:val="26"/>
        </w:rPr>
        <w:t xml:space="preserve"> </w:t>
      </w:r>
      <w:r w:rsidR="0094330C" w:rsidRPr="001079B4">
        <w:rPr>
          <w:i/>
          <w:color w:val="000000"/>
          <w:sz w:val="26"/>
          <w:szCs w:val="26"/>
        </w:rPr>
        <w:t>euro</w:t>
      </w:r>
    </w:p>
    <w:p w:rsidR="0094330C" w:rsidRPr="001079B4" w:rsidRDefault="0094330C" w:rsidP="00762B3D">
      <w:pPr>
        <w:ind w:firstLine="720"/>
        <w:jc w:val="both"/>
        <w:rPr>
          <w:color w:val="000000"/>
          <w:sz w:val="26"/>
          <w:szCs w:val="26"/>
        </w:rPr>
      </w:pPr>
    </w:p>
    <w:p w:rsidR="00762B3D" w:rsidRPr="001079B4" w:rsidRDefault="000E3383" w:rsidP="00762B3D">
      <w:pPr>
        <w:ind w:firstLine="720"/>
        <w:jc w:val="both"/>
        <w:rPr>
          <w:i/>
          <w:color w:val="000000"/>
          <w:sz w:val="26"/>
          <w:szCs w:val="26"/>
        </w:rPr>
      </w:pPr>
      <w:r w:rsidRPr="001079B4">
        <w:rPr>
          <w:color w:val="000000"/>
          <w:sz w:val="26"/>
          <w:szCs w:val="26"/>
        </w:rPr>
        <w:t>3)</w:t>
      </w:r>
      <w:r w:rsidR="0094330C" w:rsidRPr="001079B4">
        <w:rPr>
          <w:color w:val="000000"/>
          <w:sz w:val="26"/>
          <w:szCs w:val="26"/>
        </w:rPr>
        <w:t>Ietaupījums preču</w:t>
      </w:r>
      <w:r w:rsidR="00762B3D" w:rsidRPr="001079B4">
        <w:rPr>
          <w:color w:val="000000"/>
          <w:sz w:val="26"/>
          <w:szCs w:val="26"/>
        </w:rPr>
        <w:t xml:space="preserve"> un pakalpojumi</w:t>
      </w:r>
      <w:r w:rsidR="0094330C" w:rsidRPr="001079B4">
        <w:rPr>
          <w:color w:val="000000"/>
          <w:sz w:val="26"/>
          <w:szCs w:val="26"/>
        </w:rPr>
        <w:t xml:space="preserve"> nodrošināšanai</w:t>
      </w:r>
      <w:r w:rsidR="00762B3D" w:rsidRPr="001079B4">
        <w:rPr>
          <w:color w:val="000000"/>
          <w:sz w:val="26"/>
          <w:szCs w:val="26"/>
        </w:rPr>
        <w:t>: Materiāli tehniskais nodrošinājums 5 tiesnešiem</w:t>
      </w:r>
      <w:r w:rsidR="0094330C" w:rsidRPr="001079B4">
        <w:rPr>
          <w:color w:val="000000"/>
          <w:sz w:val="26"/>
          <w:szCs w:val="26"/>
        </w:rPr>
        <w:t xml:space="preserve"> </w:t>
      </w:r>
      <w:r w:rsidR="00762B3D" w:rsidRPr="001079B4">
        <w:rPr>
          <w:color w:val="000000"/>
          <w:sz w:val="26"/>
          <w:szCs w:val="26"/>
        </w:rPr>
        <w:t xml:space="preserve">930 </w:t>
      </w:r>
      <w:r w:rsidR="00762B3D" w:rsidRPr="001079B4">
        <w:rPr>
          <w:i/>
          <w:color w:val="000000"/>
          <w:sz w:val="26"/>
          <w:szCs w:val="26"/>
        </w:rPr>
        <w:t>euro</w:t>
      </w:r>
      <w:r w:rsidR="007A2449" w:rsidRPr="001079B4">
        <w:rPr>
          <w:i/>
          <w:color w:val="000000"/>
          <w:sz w:val="26"/>
          <w:szCs w:val="26"/>
        </w:rPr>
        <w:t>.</w:t>
      </w:r>
    </w:p>
    <w:p w:rsidR="0089389B" w:rsidRPr="001079B4" w:rsidRDefault="0089389B" w:rsidP="00762B3D">
      <w:pPr>
        <w:ind w:firstLine="720"/>
        <w:jc w:val="both"/>
        <w:rPr>
          <w:color w:val="000000"/>
          <w:sz w:val="26"/>
          <w:szCs w:val="26"/>
        </w:rPr>
      </w:pPr>
    </w:p>
    <w:p w:rsidR="007C3B79" w:rsidRPr="001079B4" w:rsidRDefault="00DF4A3D" w:rsidP="00762B3D">
      <w:pPr>
        <w:ind w:firstLine="720"/>
        <w:jc w:val="both"/>
        <w:rPr>
          <w:color w:val="000000"/>
          <w:sz w:val="26"/>
          <w:szCs w:val="26"/>
        </w:rPr>
      </w:pPr>
      <w:r w:rsidRPr="001079B4">
        <w:rPr>
          <w:color w:val="000000"/>
          <w:sz w:val="26"/>
          <w:szCs w:val="26"/>
        </w:rPr>
        <w:t xml:space="preserve">Kopā Augstākai tiesai veicot krimināllietu tiesu palātas </w:t>
      </w:r>
      <w:r w:rsidR="00C54847" w:rsidRPr="001079B4">
        <w:rPr>
          <w:color w:val="000000"/>
          <w:sz w:val="26"/>
          <w:szCs w:val="26"/>
        </w:rPr>
        <w:t>reformu</w:t>
      </w:r>
      <w:r w:rsidRPr="001079B4">
        <w:rPr>
          <w:color w:val="000000"/>
          <w:sz w:val="26"/>
          <w:szCs w:val="26"/>
        </w:rPr>
        <w:t xml:space="preserve"> </w:t>
      </w:r>
      <w:r w:rsidR="00762B3D" w:rsidRPr="001079B4">
        <w:rPr>
          <w:color w:val="000000"/>
          <w:sz w:val="26"/>
          <w:szCs w:val="26"/>
        </w:rPr>
        <w:t xml:space="preserve">likvidējot </w:t>
      </w:r>
      <w:r w:rsidR="00C54847" w:rsidRPr="001079B4">
        <w:rPr>
          <w:color w:val="000000"/>
          <w:sz w:val="26"/>
          <w:szCs w:val="26"/>
        </w:rPr>
        <w:t xml:space="preserve">5 vakantās tiesnešu amata vietas </w:t>
      </w:r>
      <w:r w:rsidRPr="001079B4">
        <w:rPr>
          <w:color w:val="000000"/>
          <w:sz w:val="26"/>
          <w:szCs w:val="26"/>
        </w:rPr>
        <w:t xml:space="preserve">2015.gadā un turpmāk būs 165 124 </w:t>
      </w:r>
      <w:r w:rsidRPr="001079B4">
        <w:rPr>
          <w:i/>
          <w:color w:val="000000"/>
          <w:sz w:val="26"/>
          <w:szCs w:val="26"/>
        </w:rPr>
        <w:t xml:space="preserve">euro </w:t>
      </w:r>
      <w:r w:rsidRPr="001079B4">
        <w:rPr>
          <w:color w:val="000000"/>
          <w:sz w:val="26"/>
          <w:szCs w:val="26"/>
        </w:rPr>
        <w:t xml:space="preserve">ietaupījums, </w:t>
      </w:r>
      <w:r w:rsidR="00762B3D" w:rsidRPr="001079B4">
        <w:rPr>
          <w:color w:val="000000"/>
          <w:sz w:val="26"/>
          <w:szCs w:val="26"/>
        </w:rPr>
        <w:t xml:space="preserve">kuru </w:t>
      </w:r>
      <w:r w:rsidRPr="001079B4">
        <w:rPr>
          <w:color w:val="000000"/>
          <w:sz w:val="26"/>
          <w:szCs w:val="26"/>
        </w:rPr>
        <w:t xml:space="preserve">var </w:t>
      </w:r>
      <w:r w:rsidR="00762B3D" w:rsidRPr="001079B4">
        <w:rPr>
          <w:color w:val="000000"/>
          <w:sz w:val="26"/>
          <w:szCs w:val="26"/>
        </w:rPr>
        <w:t>pārdalīt</w:t>
      </w:r>
      <w:r w:rsidRPr="001079B4">
        <w:rPr>
          <w:color w:val="000000"/>
          <w:sz w:val="26"/>
          <w:szCs w:val="26"/>
        </w:rPr>
        <w:t xml:space="preserve"> apgabaltiesām. </w:t>
      </w:r>
    </w:p>
    <w:p w:rsidR="0089389B" w:rsidRPr="001079B4" w:rsidRDefault="00CA318D" w:rsidP="00E170C3">
      <w:pPr>
        <w:ind w:firstLine="720"/>
        <w:jc w:val="both"/>
        <w:rPr>
          <w:color w:val="000000"/>
          <w:sz w:val="26"/>
          <w:szCs w:val="26"/>
        </w:rPr>
      </w:pPr>
      <w:bookmarkStart w:id="1" w:name="__RefHeading__7_1573766068"/>
      <w:bookmarkEnd w:id="1"/>
      <w:r w:rsidRPr="001079B4">
        <w:rPr>
          <w:color w:val="000000"/>
          <w:sz w:val="26"/>
          <w:szCs w:val="26"/>
        </w:rPr>
        <w:t xml:space="preserve">Savukārt, atbilstoši </w:t>
      </w:r>
      <w:r w:rsidR="00DF4A3D" w:rsidRPr="001079B4">
        <w:rPr>
          <w:color w:val="000000"/>
          <w:sz w:val="26"/>
          <w:szCs w:val="26"/>
        </w:rPr>
        <w:t xml:space="preserve">Tiesu administrācijas aprēķinam, lai izveidotu 5 apgabaltiesas tiesnešu sastāvus (1 tiesnesis, 1 tiesneša palīgs, 1 tiesas sēžu sekretārs) </w:t>
      </w:r>
      <w:r w:rsidRPr="001079B4">
        <w:rPr>
          <w:color w:val="000000"/>
          <w:sz w:val="26"/>
          <w:szCs w:val="26"/>
        </w:rPr>
        <w:t xml:space="preserve">ir nepieciešams </w:t>
      </w:r>
      <w:r w:rsidR="00DF4A3D" w:rsidRPr="001079B4">
        <w:rPr>
          <w:color w:val="000000"/>
          <w:sz w:val="26"/>
          <w:szCs w:val="26"/>
        </w:rPr>
        <w:t xml:space="preserve">izveidot 15 amata vietas un </w:t>
      </w:r>
      <w:r w:rsidRPr="001079B4">
        <w:rPr>
          <w:color w:val="000000"/>
          <w:sz w:val="26"/>
          <w:szCs w:val="26"/>
        </w:rPr>
        <w:t>gad</w:t>
      </w:r>
      <w:r w:rsidR="00DF4A3D" w:rsidRPr="001079B4">
        <w:rPr>
          <w:color w:val="000000"/>
          <w:sz w:val="26"/>
          <w:szCs w:val="26"/>
        </w:rPr>
        <w:t>ā šo amata vietu uzturēšanai</w:t>
      </w:r>
      <w:r w:rsidR="00762B3D" w:rsidRPr="001079B4">
        <w:rPr>
          <w:color w:val="000000"/>
          <w:sz w:val="26"/>
          <w:szCs w:val="26"/>
        </w:rPr>
        <w:t xml:space="preserve"> būs</w:t>
      </w:r>
      <w:r w:rsidR="00DF4A3D" w:rsidRPr="001079B4">
        <w:rPr>
          <w:color w:val="000000"/>
          <w:sz w:val="26"/>
          <w:szCs w:val="26"/>
        </w:rPr>
        <w:t xml:space="preserve"> nepieciešams 311 441</w:t>
      </w:r>
      <w:r w:rsidRPr="001079B4">
        <w:rPr>
          <w:color w:val="000000"/>
          <w:sz w:val="26"/>
          <w:szCs w:val="26"/>
        </w:rPr>
        <w:t xml:space="preserve"> </w:t>
      </w:r>
      <w:r w:rsidR="00DF4A3D" w:rsidRPr="001079B4">
        <w:rPr>
          <w:i/>
          <w:color w:val="000000"/>
          <w:sz w:val="26"/>
          <w:szCs w:val="26"/>
        </w:rPr>
        <w:t>euro</w:t>
      </w:r>
      <w:r w:rsidR="00DF4A3D" w:rsidRPr="001079B4">
        <w:rPr>
          <w:color w:val="000000"/>
          <w:sz w:val="26"/>
          <w:szCs w:val="26"/>
        </w:rPr>
        <w:t xml:space="preserve"> </w:t>
      </w:r>
      <w:r w:rsidR="0089389B" w:rsidRPr="001079B4">
        <w:rPr>
          <w:color w:val="000000"/>
          <w:sz w:val="26"/>
          <w:szCs w:val="26"/>
        </w:rPr>
        <w:t>t.sk.:</w:t>
      </w:r>
    </w:p>
    <w:p w:rsidR="0089389B" w:rsidRPr="001079B4" w:rsidRDefault="0089389B" w:rsidP="0089389B">
      <w:pPr>
        <w:ind w:firstLine="720"/>
        <w:jc w:val="both"/>
        <w:rPr>
          <w:color w:val="000000"/>
          <w:sz w:val="26"/>
          <w:szCs w:val="26"/>
        </w:rPr>
      </w:pPr>
      <w:r w:rsidRPr="001079B4">
        <w:rPr>
          <w:color w:val="000000"/>
          <w:sz w:val="26"/>
          <w:szCs w:val="26"/>
        </w:rPr>
        <w:t xml:space="preserve">Atlīdzība (EKK 1000): 287 456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1)Mēnešalga (EKK 1110): 190 584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5 apgabaltiesas tiesneša amata vietas x mēnešalga 1976,40 x 12 mēneši = 118 584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lastRenderedPageBreak/>
        <w:t xml:space="preserve">5 tiesneša palīga amata vietas (53.1 saime, IVA līmenis, 10.algu grupa) x mēnešalga 680 x 12 mēneši = 40 800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5 tiesas sēžu sekretāra amata vietas (53.1 saime, II līmenis, 7.algu grupa) x mēnešalga 520 x 12 mēneši = 31 200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2) Piemaksas un prēmijas (EKK 1140): EUR 39 302</w:t>
      </w:r>
    </w:p>
    <w:p w:rsidR="0089389B" w:rsidRPr="001079B4" w:rsidRDefault="0089389B" w:rsidP="0089389B">
      <w:pPr>
        <w:ind w:firstLine="720"/>
        <w:jc w:val="both"/>
        <w:rPr>
          <w:color w:val="000000"/>
          <w:sz w:val="26"/>
          <w:szCs w:val="26"/>
        </w:rPr>
      </w:pPr>
      <w:r w:rsidRPr="001079B4">
        <w:rPr>
          <w:color w:val="000000"/>
          <w:sz w:val="26"/>
          <w:szCs w:val="26"/>
        </w:rPr>
        <w:t xml:space="preserve">Piemaksa par izdienu tiesnešiem 24 902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Piemaksas, prēmijas un naudas balvas darbiniekiem - plānotā mēnešalgu kopsumma 72 000 </w:t>
      </w:r>
      <w:r w:rsidRPr="001079B4">
        <w:rPr>
          <w:i/>
          <w:color w:val="000000"/>
          <w:sz w:val="26"/>
          <w:szCs w:val="26"/>
        </w:rPr>
        <w:t>euro</w:t>
      </w:r>
      <w:r w:rsidRPr="001079B4">
        <w:rPr>
          <w:color w:val="000000"/>
          <w:sz w:val="26"/>
          <w:szCs w:val="26"/>
        </w:rPr>
        <w:t xml:space="preserve"> x 10% vispārējām piemaksām un 10% prēmijām = 14 400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3) Veselības apdrošināšana (EKK 1220): 3 340</w:t>
      </w:r>
      <w:r w:rsidRPr="001079B4">
        <w:rPr>
          <w:i/>
          <w:color w:val="000000"/>
          <w:sz w:val="26"/>
          <w:szCs w:val="26"/>
        </w:rPr>
        <w:t xml:space="preserve"> euro</w:t>
      </w:r>
    </w:p>
    <w:p w:rsidR="0089389B" w:rsidRPr="001079B4" w:rsidRDefault="0089389B" w:rsidP="0089389B">
      <w:pPr>
        <w:ind w:firstLine="720"/>
        <w:jc w:val="both"/>
        <w:rPr>
          <w:color w:val="000000"/>
          <w:sz w:val="26"/>
          <w:szCs w:val="26"/>
        </w:rPr>
      </w:pPr>
      <w:r w:rsidRPr="001079B4">
        <w:rPr>
          <w:color w:val="000000"/>
          <w:sz w:val="26"/>
          <w:szCs w:val="26"/>
        </w:rPr>
        <w:t xml:space="preserve">5 tiesneša amata vietas x EUR 242 = 1 210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10 tiesas darbinieku amata vietas x 213 = 2 130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4) Darba devēja valsts sociālās apdrošināšanas obligātās iemaksas (EKK1210): 54 230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Preces un pakalpojumi (EKK 2000): 23 985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1)Pasta, telefona un citi sakaru pakalpojumi: 5 880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2)Izdevumi par komunālajiem pakalpojumiem: 3 420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3)Ar iestādes pārstāvību, iestādes darbības un veicamo funkciju nodrošināšanu saistītie pakalpojumi: 3 885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4)Iekārtas, inventāra un aparatūras remonts, tehniskā apkalpošana, datortehnikas apkalpošana, servera uzturēšana: 1 260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5)Informācijas tehnoloģijas pakalpojumi: 4 140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6)Biroja preces: 4 500 </w:t>
      </w:r>
      <w:r w:rsidRPr="001079B4">
        <w:rPr>
          <w:i/>
          <w:color w:val="000000"/>
          <w:sz w:val="26"/>
          <w:szCs w:val="26"/>
        </w:rPr>
        <w:t>euro</w:t>
      </w:r>
    </w:p>
    <w:p w:rsidR="0089389B" w:rsidRPr="001079B4" w:rsidRDefault="0089389B" w:rsidP="0089389B">
      <w:pPr>
        <w:ind w:firstLine="720"/>
        <w:jc w:val="both"/>
        <w:rPr>
          <w:color w:val="000000"/>
          <w:sz w:val="26"/>
          <w:szCs w:val="26"/>
        </w:rPr>
      </w:pPr>
      <w:r w:rsidRPr="001079B4">
        <w:rPr>
          <w:color w:val="000000"/>
          <w:sz w:val="26"/>
          <w:szCs w:val="26"/>
        </w:rPr>
        <w:t xml:space="preserve">7)Kārtējā remonta un iestāžu uzturēšanas izdevumi: 900 </w:t>
      </w:r>
      <w:r w:rsidRPr="001079B4">
        <w:rPr>
          <w:i/>
          <w:color w:val="000000"/>
          <w:sz w:val="26"/>
          <w:szCs w:val="26"/>
        </w:rPr>
        <w:t>euro</w:t>
      </w:r>
    </w:p>
    <w:p w:rsidR="0089389B" w:rsidRPr="001079B4" w:rsidRDefault="0089389B" w:rsidP="0089389B">
      <w:pPr>
        <w:ind w:firstLine="720"/>
        <w:jc w:val="both"/>
        <w:rPr>
          <w:color w:val="000000"/>
          <w:sz w:val="26"/>
          <w:szCs w:val="26"/>
        </w:rPr>
      </w:pPr>
    </w:p>
    <w:p w:rsidR="00762B3D" w:rsidRPr="001079B4" w:rsidRDefault="003E1C5D" w:rsidP="0089389B">
      <w:pPr>
        <w:ind w:firstLine="720"/>
        <w:jc w:val="both"/>
        <w:rPr>
          <w:color w:val="000000"/>
          <w:sz w:val="26"/>
          <w:szCs w:val="26"/>
        </w:rPr>
      </w:pPr>
      <w:r w:rsidRPr="001079B4">
        <w:rPr>
          <w:color w:val="000000"/>
          <w:sz w:val="26"/>
          <w:szCs w:val="26"/>
        </w:rPr>
        <w:t xml:space="preserve">Darba vietas iekārtošanai un aprīkojuma iegādei 33 340 </w:t>
      </w:r>
      <w:r w:rsidRPr="001079B4">
        <w:rPr>
          <w:i/>
          <w:color w:val="000000"/>
          <w:sz w:val="26"/>
          <w:szCs w:val="26"/>
        </w:rPr>
        <w:t>euro.</w:t>
      </w:r>
      <w:r w:rsidRPr="001079B4">
        <w:rPr>
          <w:color w:val="000000"/>
          <w:sz w:val="26"/>
          <w:szCs w:val="26"/>
        </w:rPr>
        <w:t xml:space="preserve"> </w:t>
      </w:r>
    </w:p>
    <w:p w:rsidR="00B83995" w:rsidRPr="00472A8E" w:rsidRDefault="003E1C5D" w:rsidP="00E170C3">
      <w:pPr>
        <w:ind w:firstLine="720"/>
        <w:jc w:val="both"/>
        <w:rPr>
          <w:b/>
          <w:i/>
          <w:color w:val="000000"/>
          <w:sz w:val="26"/>
          <w:szCs w:val="26"/>
        </w:rPr>
      </w:pPr>
      <w:r w:rsidRPr="001079B4">
        <w:rPr>
          <w:b/>
          <w:color w:val="000000"/>
          <w:sz w:val="26"/>
          <w:szCs w:val="26"/>
        </w:rPr>
        <w:t xml:space="preserve">Līdz ar to, ņemot vērā līdzekļu pārdali no Augstākās tiesas uz apgabaltiesām 165 124 </w:t>
      </w:r>
      <w:r w:rsidRPr="001079B4">
        <w:rPr>
          <w:b/>
          <w:i/>
          <w:color w:val="000000"/>
          <w:sz w:val="26"/>
          <w:szCs w:val="26"/>
        </w:rPr>
        <w:t>euro</w:t>
      </w:r>
      <w:r w:rsidRPr="001079B4">
        <w:rPr>
          <w:b/>
          <w:color w:val="000000"/>
          <w:sz w:val="26"/>
          <w:szCs w:val="26"/>
        </w:rPr>
        <w:t xml:space="preserve"> apmērā</w:t>
      </w:r>
      <w:r w:rsidR="00E170C3" w:rsidRPr="001079B4">
        <w:rPr>
          <w:b/>
          <w:color w:val="000000"/>
          <w:sz w:val="26"/>
          <w:szCs w:val="26"/>
        </w:rPr>
        <w:t>,</w:t>
      </w:r>
      <w:r w:rsidRPr="001079B4">
        <w:rPr>
          <w:b/>
          <w:color w:val="000000"/>
          <w:sz w:val="26"/>
          <w:szCs w:val="26"/>
        </w:rPr>
        <w:t xml:space="preserve"> papildu nepieciešamais finansējums no valsts budžeta līdzekļiem 2015.gadā ir 179 657 </w:t>
      </w:r>
      <w:r w:rsidRPr="001079B4">
        <w:rPr>
          <w:b/>
          <w:i/>
          <w:color w:val="000000"/>
          <w:sz w:val="26"/>
          <w:szCs w:val="26"/>
        </w:rPr>
        <w:t>euro</w:t>
      </w:r>
      <w:r w:rsidRPr="001079B4">
        <w:rPr>
          <w:b/>
          <w:color w:val="000000"/>
          <w:sz w:val="26"/>
          <w:szCs w:val="26"/>
        </w:rPr>
        <w:t xml:space="preserve">  (311 441 </w:t>
      </w:r>
      <w:r w:rsidRPr="001079B4">
        <w:rPr>
          <w:b/>
          <w:i/>
          <w:color w:val="000000"/>
          <w:sz w:val="26"/>
          <w:szCs w:val="26"/>
        </w:rPr>
        <w:t>euro</w:t>
      </w:r>
      <w:r w:rsidRPr="001079B4">
        <w:rPr>
          <w:b/>
          <w:color w:val="000000"/>
          <w:sz w:val="26"/>
          <w:szCs w:val="26"/>
        </w:rPr>
        <w:t xml:space="preserve"> – 165 124 </w:t>
      </w:r>
      <w:r w:rsidRPr="001079B4">
        <w:rPr>
          <w:b/>
          <w:i/>
          <w:color w:val="000000"/>
          <w:sz w:val="26"/>
          <w:szCs w:val="26"/>
        </w:rPr>
        <w:t>euro</w:t>
      </w:r>
      <w:r w:rsidRPr="001079B4">
        <w:rPr>
          <w:b/>
          <w:color w:val="000000"/>
          <w:sz w:val="26"/>
          <w:szCs w:val="26"/>
        </w:rPr>
        <w:t xml:space="preserve"> + 33 340 </w:t>
      </w:r>
      <w:r w:rsidRPr="001079B4">
        <w:rPr>
          <w:b/>
          <w:i/>
          <w:color w:val="000000"/>
          <w:sz w:val="26"/>
          <w:szCs w:val="26"/>
        </w:rPr>
        <w:t>euro</w:t>
      </w:r>
      <w:r w:rsidR="00E170C3" w:rsidRPr="001079B4">
        <w:rPr>
          <w:b/>
          <w:i/>
          <w:color w:val="000000"/>
          <w:sz w:val="26"/>
          <w:szCs w:val="26"/>
        </w:rPr>
        <w:t xml:space="preserve">), </w:t>
      </w:r>
      <w:r w:rsidR="00E170C3" w:rsidRPr="001079B4">
        <w:rPr>
          <w:b/>
          <w:color w:val="000000"/>
          <w:sz w:val="26"/>
          <w:szCs w:val="26"/>
        </w:rPr>
        <w:t xml:space="preserve">2016. gadā un turpmāk 146 317 (311 441 </w:t>
      </w:r>
      <w:r w:rsidR="00E170C3" w:rsidRPr="001079B4">
        <w:rPr>
          <w:b/>
          <w:i/>
          <w:color w:val="000000"/>
          <w:sz w:val="26"/>
          <w:szCs w:val="26"/>
        </w:rPr>
        <w:t>euro</w:t>
      </w:r>
      <w:r w:rsidR="00E170C3" w:rsidRPr="001079B4">
        <w:rPr>
          <w:b/>
          <w:color w:val="000000"/>
          <w:sz w:val="26"/>
          <w:szCs w:val="26"/>
        </w:rPr>
        <w:t xml:space="preserve"> – 165 124 </w:t>
      </w:r>
      <w:r w:rsidR="00E170C3" w:rsidRPr="001079B4">
        <w:rPr>
          <w:b/>
          <w:i/>
          <w:color w:val="000000"/>
          <w:sz w:val="26"/>
          <w:szCs w:val="26"/>
        </w:rPr>
        <w:t>euro</w:t>
      </w:r>
      <w:r w:rsidR="00E170C3" w:rsidRPr="001079B4">
        <w:rPr>
          <w:b/>
          <w:color w:val="000000"/>
          <w:sz w:val="26"/>
          <w:szCs w:val="26"/>
        </w:rPr>
        <w:t>)</w:t>
      </w:r>
      <w:r w:rsidR="00E170C3" w:rsidRPr="001079B4">
        <w:rPr>
          <w:b/>
          <w:i/>
          <w:color w:val="000000"/>
          <w:sz w:val="26"/>
          <w:szCs w:val="26"/>
        </w:rPr>
        <w:t>.</w:t>
      </w:r>
    </w:p>
    <w:p w:rsidR="00E170C3" w:rsidRPr="00EE68D7" w:rsidRDefault="00E170C3" w:rsidP="00E170C3">
      <w:pPr>
        <w:ind w:firstLine="720"/>
        <w:jc w:val="both"/>
        <w:rPr>
          <w:color w:val="000000"/>
          <w:sz w:val="26"/>
          <w:szCs w:val="26"/>
        </w:rPr>
      </w:pPr>
    </w:p>
    <w:p w:rsidR="007C3B79" w:rsidRPr="00EE68D7" w:rsidRDefault="00185926" w:rsidP="00185926">
      <w:pPr>
        <w:ind w:firstLine="709"/>
        <w:jc w:val="both"/>
        <w:rPr>
          <w:b/>
          <w:color w:val="000000"/>
          <w:sz w:val="26"/>
          <w:szCs w:val="26"/>
        </w:rPr>
      </w:pPr>
      <w:r w:rsidRPr="00EE68D7">
        <w:rPr>
          <w:b/>
          <w:color w:val="000000"/>
          <w:sz w:val="26"/>
          <w:szCs w:val="26"/>
        </w:rPr>
        <w:t>4. </w:t>
      </w:r>
      <w:r w:rsidR="00C160BE" w:rsidRPr="00EE68D7">
        <w:rPr>
          <w:b/>
          <w:color w:val="000000"/>
          <w:sz w:val="26"/>
          <w:szCs w:val="26"/>
        </w:rPr>
        <w:t>Kopsavilkums</w:t>
      </w:r>
    </w:p>
    <w:p w:rsidR="00311E2D" w:rsidRPr="00EE68D7" w:rsidRDefault="00311E2D" w:rsidP="0086443E">
      <w:pPr>
        <w:pStyle w:val="Sarakstarindkopa"/>
        <w:numPr>
          <w:ilvl w:val="0"/>
          <w:numId w:val="16"/>
        </w:numPr>
        <w:tabs>
          <w:tab w:val="left" w:pos="1134"/>
        </w:tabs>
        <w:ind w:left="0" w:firstLine="709"/>
        <w:jc w:val="both"/>
        <w:rPr>
          <w:sz w:val="26"/>
          <w:szCs w:val="26"/>
        </w:rPr>
      </w:pPr>
      <w:r w:rsidRPr="00EE68D7">
        <w:rPr>
          <w:color w:val="000000"/>
          <w:sz w:val="26"/>
          <w:szCs w:val="26"/>
        </w:rPr>
        <w:t>Apgabaltiesās kā 1.instances tiesā uz 12.03.2014. bija 48 neizskatītas krimināllietas; Augstākās tiesas Krimināllietu tiesu palātā 127 krimināllietas</w:t>
      </w:r>
      <w:r w:rsidR="00435911" w:rsidRPr="00EE68D7">
        <w:rPr>
          <w:color w:val="000000"/>
          <w:sz w:val="26"/>
          <w:szCs w:val="26"/>
        </w:rPr>
        <w:t xml:space="preserve">; </w:t>
      </w:r>
      <w:r w:rsidR="00624430" w:rsidRPr="00EE68D7">
        <w:rPr>
          <w:color w:val="000000"/>
          <w:sz w:val="26"/>
          <w:szCs w:val="26"/>
        </w:rPr>
        <w:t>Augstākās tiesas Krimināllietu departamentā 154 krimināllietas</w:t>
      </w:r>
      <w:r w:rsidRPr="00EE68D7">
        <w:rPr>
          <w:color w:val="000000"/>
          <w:sz w:val="26"/>
          <w:szCs w:val="26"/>
        </w:rPr>
        <w:t xml:space="preserve">. Kā norādījusi Augstākā tiesa, tad šobrīd nav iespējams prognozēt cik krimināllietas Augstākās tiesas Krimināllietu tiesu palāta varētu izskatīt līdz 2014.gada beigām. </w:t>
      </w:r>
      <w:r w:rsidRPr="00EE68D7">
        <w:rPr>
          <w:sz w:val="26"/>
          <w:szCs w:val="26"/>
        </w:rPr>
        <w:t xml:space="preserve">Lielākais potenciāli iespējamais risks saistāms ar tām krimināllietām, kurās jau ir uzsākta tiesas izmeklēšana. Proti, ja šo lietu izskatīšana Krimināllietu tiesu palātā netiek pabeigta līdz 2014.gada 31.decembrim, tās saskaņā ar Kriminālprocesa likuma pārejas noteikumu 48.punktu nododamas apgabaltiesai kā apelācijas instances tiesai. Savukārt Kriminālprocesa likuma 452.pants paredz tādu kriminālprocesa norises pamatprincipu, kā tiesas sastāva nemainīgumu. Ievērojot minēto, Krimināllietu tiesu palātas iesāktās, bet līdz 2014.gada 31.decembrim nepabeigtās lietas pēc to nodošanas apgabaltiesām visos gadījumos būs jāatsāk izskatīt no jauna, kas atstās būtisku ietekmi uz šo lietu izskatīšanas kopējo termiņu un var radīt Kriminālprocesa likuma 14. panta – tiesības uz lietas izskatīšanu saprātīgā termiņā, kā arī Eiropas Cilvēka tiesību un pamatbrīvību </w:t>
      </w:r>
      <w:r w:rsidRPr="00EE68D7">
        <w:rPr>
          <w:sz w:val="26"/>
          <w:szCs w:val="26"/>
        </w:rPr>
        <w:lastRenderedPageBreak/>
        <w:t xml:space="preserve">aizsardzības konvencijas 6. panta, kas garantē personas tiesības </w:t>
      </w:r>
      <w:r w:rsidRPr="00EE68D7">
        <w:rPr>
          <w:bCs/>
          <w:sz w:val="26"/>
          <w:szCs w:val="26"/>
        </w:rPr>
        <w:t>uz lietas taisnīgu izskatīšanu</w:t>
      </w:r>
      <w:r w:rsidRPr="00EE68D7">
        <w:rPr>
          <w:sz w:val="26"/>
          <w:szCs w:val="26"/>
        </w:rPr>
        <w:t>, t.i. uz taisnīgu un atklātu lietas savlaicīgu izskatīšanu neatkarīgā un objektīvā ar likumu noteiktā tiesā, pārkāpumu.</w:t>
      </w:r>
    </w:p>
    <w:p w:rsidR="00311E2D" w:rsidRPr="00EE68D7" w:rsidRDefault="00435911" w:rsidP="0086443E">
      <w:pPr>
        <w:pStyle w:val="Sarakstarindkopa"/>
        <w:numPr>
          <w:ilvl w:val="0"/>
          <w:numId w:val="16"/>
        </w:numPr>
        <w:tabs>
          <w:tab w:val="left" w:pos="1134"/>
        </w:tabs>
        <w:ind w:left="0" w:firstLine="709"/>
        <w:jc w:val="both"/>
        <w:rPr>
          <w:color w:val="000000"/>
          <w:sz w:val="26"/>
          <w:szCs w:val="26"/>
        </w:rPr>
      </w:pPr>
      <w:r w:rsidRPr="00EE68D7">
        <w:rPr>
          <w:color w:val="000000"/>
          <w:sz w:val="26"/>
          <w:szCs w:val="26"/>
        </w:rPr>
        <w:t>Jāņem</w:t>
      </w:r>
      <w:r w:rsidR="001F2CD1" w:rsidRPr="00EE68D7">
        <w:rPr>
          <w:color w:val="000000"/>
          <w:sz w:val="26"/>
          <w:szCs w:val="26"/>
        </w:rPr>
        <w:t xml:space="preserve"> vērā, ka Augstākās tiesas Krimināllietu tiesu palātā izskatītās krimināllietas tiek pārsūdzētas kasācijas kārtībā. Saskaņā ar Kriminālprocesa likuma 591.panta pirmo daļu lietu, kurā pieņemtais nolēmums atcelts, nosūta jaunai izskatīšanai tiesā, kura to pieņēmusi, un to izskata vispārējā kārtībā, bet citā sastāvā. Augstākās tiesas Krimināllietu tiesu palātā šobrīd ir tikai septiņi tiesneši. Savukārt atbilstoši Kriminālprocesa likuma 447.panta ceturtajai daļai apelācijas instances tiesā krimināllietu iztiesā koleģiāli, trīs tiesnešu sastāv</w:t>
      </w:r>
      <w:r w:rsidRPr="00EE68D7">
        <w:rPr>
          <w:color w:val="000000"/>
          <w:sz w:val="26"/>
          <w:szCs w:val="26"/>
        </w:rPr>
        <w:t>ā.</w:t>
      </w:r>
      <w:r w:rsidR="001F2CD1" w:rsidRPr="00EE68D7">
        <w:rPr>
          <w:color w:val="000000"/>
          <w:sz w:val="26"/>
          <w:szCs w:val="26"/>
        </w:rPr>
        <w:t xml:space="preserve"> </w:t>
      </w:r>
      <w:r w:rsidRPr="00EE68D7">
        <w:rPr>
          <w:sz w:val="26"/>
          <w:szCs w:val="26"/>
        </w:rPr>
        <w:t>Ievērojot minēto ir</w:t>
      </w:r>
      <w:r w:rsidR="001F2CD1" w:rsidRPr="00EE68D7">
        <w:rPr>
          <w:sz w:val="26"/>
          <w:szCs w:val="26"/>
        </w:rPr>
        <w:t xml:space="preserve"> būtiski apgrūtināta lietu jauna izskatīšana apelācijas kārtībā un nepietiekamais tiesnešu skaits samazinā</w:t>
      </w:r>
      <w:r w:rsidRPr="00EE68D7">
        <w:rPr>
          <w:sz w:val="26"/>
          <w:szCs w:val="26"/>
        </w:rPr>
        <w:t>jis</w:t>
      </w:r>
      <w:r w:rsidR="001F2CD1" w:rsidRPr="00EE68D7">
        <w:rPr>
          <w:sz w:val="26"/>
          <w:szCs w:val="26"/>
        </w:rPr>
        <w:t xml:space="preserve"> iztiesājamo lietu skaitu attiecīgajā posmā un attiecīgi</w:t>
      </w:r>
      <w:r w:rsidRPr="00EE68D7">
        <w:rPr>
          <w:sz w:val="26"/>
          <w:szCs w:val="26"/>
        </w:rPr>
        <w:t xml:space="preserve"> ir</w:t>
      </w:r>
      <w:r w:rsidR="001F2CD1" w:rsidRPr="00EE68D7">
        <w:rPr>
          <w:sz w:val="26"/>
          <w:szCs w:val="26"/>
        </w:rPr>
        <w:t xml:space="preserve"> pagarinā</w:t>
      </w:r>
      <w:r w:rsidRPr="00EE68D7">
        <w:rPr>
          <w:sz w:val="26"/>
          <w:szCs w:val="26"/>
        </w:rPr>
        <w:t>jies</w:t>
      </w:r>
      <w:r w:rsidR="001F2CD1" w:rsidRPr="00EE68D7">
        <w:rPr>
          <w:sz w:val="26"/>
          <w:szCs w:val="26"/>
        </w:rPr>
        <w:t xml:space="preserve"> krimināllietu izskatīšanas termiņ</w:t>
      </w:r>
      <w:r w:rsidRPr="00EE68D7">
        <w:rPr>
          <w:sz w:val="26"/>
          <w:szCs w:val="26"/>
        </w:rPr>
        <w:t>š</w:t>
      </w:r>
      <w:r w:rsidR="001F2CD1" w:rsidRPr="00EE68D7">
        <w:rPr>
          <w:sz w:val="26"/>
          <w:szCs w:val="26"/>
        </w:rPr>
        <w:t xml:space="preserve">. </w:t>
      </w:r>
      <w:r w:rsidR="00BF6552" w:rsidRPr="00EE68D7">
        <w:rPr>
          <w:sz w:val="26"/>
          <w:szCs w:val="26"/>
        </w:rPr>
        <w:t>Kriminālprocesa likuma</w:t>
      </w:r>
      <w:r w:rsidR="001F2CD1" w:rsidRPr="00EE68D7">
        <w:rPr>
          <w:sz w:val="26"/>
          <w:szCs w:val="26"/>
        </w:rPr>
        <w:t xml:space="preserve"> pār</w:t>
      </w:r>
      <w:r w:rsidR="00BF6552" w:rsidRPr="00EE68D7">
        <w:rPr>
          <w:sz w:val="26"/>
          <w:szCs w:val="26"/>
        </w:rPr>
        <w:t>ejas noteikumu 51.punkts noteic</w:t>
      </w:r>
      <w:r w:rsidR="001F2CD1" w:rsidRPr="00EE68D7">
        <w:rPr>
          <w:sz w:val="26"/>
          <w:szCs w:val="26"/>
        </w:rPr>
        <w:t>, ka Augstākās tiesas Krimināllietu tiesu palātā izskatītās lietas, kurās pēc 2014.gada 1.janvāra kasācijas instance ir atcēlusi nolēmumu, nosūtāmas jaunai izskatīšanai apgabaltiesai kā apelācijas instances tiesai. No prakses izriet, ka šādi gadījumi, kad kasācijas instance atceļ Augstākās tiesu Krimināllietu tiesu palātas nolēmumus ir 36% gadījumu. Pamatojoties uz minēto, secināms, ka jau 2014.gada laikā apgabaltiesa</w:t>
      </w:r>
      <w:r w:rsidR="00D17E54" w:rsidRPr="00EE68D7">
        <w:rPr>
          <w:sz w:val="26"/>
          <w:szCs w:val="26"/>
        </w:rPr>
        <w:t>s</w:t>
      </w:r>
      <w:r w:rsidR="001F2CD1" w:rsidRPr="00EE68D7">
        <w:rPr>
          <w:sz w:val="26"/>
          <w:szCs w:val="26"/>
        </w:rPr>
        <w:t xml:space="preserve"> visticamāk saņems kopumā apmēram 50 krimināllieta</w:t>
      </w:r>
      <w:r w:rsidR="00A5314E" w:rsidRPr="00EE68D7">
        <w:rPr>
          <w:sz w:val="26"/>
          <w:szCs w:val="26"/>
        </w:rPr>
        <w:t xml:space="preserve">s (minētais </w:t>
      </w:r>
      <w:r w:rsidR="00B71DFC" w:rsidRPr="00EE68D7">
        <w:rPr>
          <w:sz w:val="26"/>
          <w:szCs w:val="26"/>
        </w:rPr>
        <w:t xml:space="preserve">krimināllietu </w:t>
      </w:r>
      <w:r w:rsidR="00A5314E" w:rsidRPr="00EE68D7">
        <w:rPr>
          <w:sz w:val="26"/>
          <w:szCs w:val="26"/>
        </w:rPr>
        <w:t>skaits modelēts ievērojot, ka pašreiz Augstākās tiesas Krimināllietu tiesu departamentā atrodas 156 krimināllietas un, ņemot v</w:t>
      </w:r>
      <w:r w:rsidR="00B71DFC" w:rsidRPr="00EE68D7">
        <w:rPr>
          <w:sz w:val="26"/>
          <w:szCs w:val="26"/>
        </w:rPr>
        <w:t xml:space="preserve">ērā iepriekšējo gadu tendences, </w:t>
      </w:r>
      <w:r w:rsidR="00A5314E" w:rsidRPr="00EE68D7">
        <w:rPr>
          <w:sz w:val="26"/>
          <w:szCs w:val="26"/>
        </w:rPr>
        <w:t>1/3 krimināllietu kasācijas instance atceļ Augstākās tiesas Krimināl</w:t>
      </w:r>
      <w:r w:rsidR="00B71DFC" w:rsidRPr="00EE68D7">
        <w:rPr>
          <w:sz w:val="26"/>
          <w:szCs w:val="26"/>
        </w:rPr>
        <w:t>lietu tiesu palātas</w:t>
      </w:r>
      <w:r w:rsidR="00A5314E" w:rsidRPr="00EE68D7">
        <w:rPr>
          <w:sz w:val="26"/>
          <w:szCs w:val="26"/>
        </w:rPr>
        <w:t xml:space="preserve"> pieņemto nolēmumu)</w:t>
      </w:r>
      <w:r w:rsidR="001F2CD1" w:rsidRPr="00EE68D7">
        <w:rPr>
          <w:sz w:val="26"/>
          <w:szCs w:val="26"/>
        </w:rPr>
        <w:t>. 2014.gadā papildu resursi un tiesneša amata vietas apgabaltiesām nav paredzēti</w:t>
      </w:r>
      <w:r w:rsidR="0075614C" w:rsidRPr="00EE68D7">
        <w:rPr>
          <w:sz w:val="26"/>
          <w:szCs w:val="26"/>
        </w:rPr>
        <w:t>, taču jāņem vērā, ka krimināllietas tiks nodotas ievērojot krimināllietu</w:t>
      </w:r>
      <w:r w:rsidR="00084BBF" w:rsidRPr="00EE68D7">
        <w:rPr>
          <w:sz w:val="26"/>
          <w:szCs w:val="26"/>
        </w:rPr>
        <w:t xml:space="preserve"> teritoriālo</w:t>
      </w:r>
      <w:r w:rsidR="0075614C" w:rsidRPr="00EE68D7">
        <w:rPr>
          <w:sz w:val="26"/>
          <w:szCs w:val="26"/>
        </w:rPr>
        <w:t xml:space="preserve"> piekritību principu, līdz ar to izslēdzot gadījumu, kad visas krimināllietas tiktu nodotas vienai apgabaltiesai</w:t>
      </w:r>
      <w:r w:rsidR="001F2CD1" w:rsidRPr="00EE68D7">
        <w:rPr>
          <w:sz w:val="26"/>
          <w:szCs w:val="26"/>
        </w:rPr>
        <w:t>.</w:t>
      </w:r>
    </w:p>
    <w:p w:rsidR="00E048AC" w:rsidRPr="00EE68D7" w:rsidRDefault="00A85C04" w:rsidP="0086443E">
      <w:pPr>
        <w:pStyle w:val="Sarakstarindkopa"/>
        <w:numPr>
          <w:ilvl w:val="0"/>
          <w:numId w:val="16"/>
        </w:numPr>
        <w:tabs>
          <w:tab w:val="left" w:pos="1134"/>
        </w:tabs>
        <w:ind w:left="0" w:firstLine="709"/>
        <w:jc w:val="both"/>
        <w:rPr>
          <w:sz w:val="26"/>
          <w:szCs w:val="26"/>
        </w:rPr>
      </w:pPr>
      <w:r w:rsidRPr="00EE68D7">
        <w:rPr>
          <w:sz w:val="26"/>
          <w:szCs w:val="26"/>
        </w:rPr>
        <w:t>Augstākās tiesas reforma un tās noteiktās tiesnešu skaita izmaiņas Augstākajā tiesā n</w:t>
      </w:r>
      <w:r w:rsidR="00230B7F" w:rsidRPr="00EE68D7">
        <w:rPr>
          <w:sz w:val="26"/>
          <w:szCs w:val="26"/>
        </w:rPr>
        <w:t>evar būt</w:t>
      </w:r>
      <w:r w:rsidRPr="00EE68D7">
        <w:rPr>
          <w:sz w:val="26"/>
          <w:szCs w:val="26"/>
        </w:rPr>
        <w:t xml:space="preserve"> pamats tiesneša atbrīvošanai no amata. </w:t>
      </w:r>
      <w:r w:rsidR="005563BB" w:rsidRPr="00EE68D7">
        <w:rPr>
          <w:sz w:val="26"/>
          <w:szCs w:val="26"/>
        </w:rPr>
        <w:t>R</w:t>
      </w:r>
      <w:r w:rsidRPr="00EE68D7">
        <w:rPr>
          <w:sz w:val="26"/>
          <w:szCs w:val="26"/>
        </w:rPr>
        <w:t xml:space="preserve">isināms jautājums par Augstākās tiesas Krimināllietu tiesu palātas tiesnešu turpmāko karjeru. Šobrīd likumā „Par tiesu varu” paredzēti risinājumi ir </w:t>
      </w:r>
      <w:r w:rsidR="00EE68D7" w:rsidRPr="00EE68D7">
        <w:rPr>
          <w:color w:val="000000"/>
          <w:sz w:val="26"/>
          <w:szCs w:val="26"/>
        </w:rPr>
        <w:t>–</w:t>
      </w:r>
      <w:r w:rsidRPr="00EE68D7">
        <w:rPr>
          <w:sz w:val="26"/>
          <w:szCs w:val="26"/>
        </w:rPr>
        <w:t xml:space="preserve"> pāriešana, pārcelšana vai norīkošana.</w:t>
      </w:r>
      <w:r w:rsidR="00E048AC" w:rsidRPr="00EE68D7">
        <w:rPr>
          <w:sz w:val="26"/>
          <w:szCs w:val="26"/>
        </w:rPr>
        <w:t xml:space="preserve"> Tiesneša pārcelšanas, gan norīkošanas gadījumā normatīvie akti paredz, ka tiesnesim ir saglabājama atlīdzība vismaz iepriekšējā līmenī.</w:t>
      </w:r>
    </w:p>
    <w:p w:rsidR="005563BB" w:rsidRPr="00EE68D7" w:rsidRDefault="00E048AC" w:rsidP="00FA4E6E">
      <w:pPr>
        <w:ind w:firstLine="709"/>
        <w:jc w:val="both"/>
        <w:rPr>
          <w:color w:val="000000"/>
          <w:sz w:val="26"/>
          <w:szCs w:val="26"/>
        </w:rPr>
      </w:pPr>
      <w:r w:rsidRPr="00EE68D7">
        <w:rPr>
          <w:color w:val="000000"/>
          <w:sz w:val="26"/>
          <w:szCs w:val="26"/>
        </w:rPr>
        <w:t xml:space="preserve">Atsaucoties Augstākās tiesas ierosinājumam, kā risinājums sadarbībā ar Labklājības ministriju </w:t>
      </w:r>
      <w:r w:rsidR="00BF0DE5" w:rsidRPr="00EE68D7">
        <w:rPr>
          <w:color w:val="000000"/>
          <w:sz w:val="26"/>
          <w:szCs w:val="26"/>
        </w:rPr>
        <w:t>nepieciešam</w:t>
      </w:r>
      <w:r w:rsidR="00FF3FD9" w:rsidRPr="00EE68D7">
        <w:rPr>
          <w:color w:val="000000"/>
          <w:sz w:val="26"/>
          <w:szCs w:val="26"/>
        </w:rPr>
        <w:t xml:space="preserve">s izvērtēt un izstrādāt kārtību, lai nodrošinātu </w:t>
      </w:r>
      <w:r w:rsidR="00521F39" w:rsidRPr="00EE68D7">
        <w:rPr>
          <w:color w:val="000000"/>
          <w:sz w:val="26"/>
          <w:szCs w:val="26"/>
        </w:rPr>
        <w:t>tiesības šādam tiesnesim</w:t>
      </w:r>
      <w:r w:rsidR="00FF3FD9" w:rsidRPr="00EE68D7">
        <w:rPr>
          <w:color w:val="000000"/>
          <w:sz w:val="26"/>
          <w:szCs w:val="26"/>
        </w:rPr>
        <w:t xml:space="preserve"> uzreiz</w:t>
      </w:r>
      <w:r w:rsidR="00521F39" w:rsidRPr="00EE68D7">
        <w:rPr>
          <w:color w:val="000000"/>
          <w:sz w:val="26"/>
          <w:szCs w:val="26"/>
        </w:rPr>
        <w:t xml:space="preserve"> doties pirmstermiņa izdienas pensijā.</w:t>
      </w:r>
    </w:p>
    <w:p w:rsidR="00A85C04" w:rsidRPr="003F3F99" w:rsidRDefault="005563BB" w:rsidP="0086443E">
      <w:pPr>
        <w:pStyle w:val="Sarakstarindkopa"/>
        <w:numPr>
          <w:ilvl w:val="0"/>
          <w:numId w:val="16"/>
        </w:numPr>
        <w:tabs>
          <w:tab w:val="left" w:pos="1134"/>
        </w:tabs>
        <w:ind w:left="0" w:firstLine="709"/>
        <w:jc w:val="both"/>
        <w:rPr>
          <w:color w:val="000000"/>
          <w:sz w:val="26"/>
          <w:szCs w:val="26"/>
        </w:rPr>
      </w:pPr>
      <w:r w:rsidRPr="00EE68D7">
        <w:rPr>
          <w:color w:val="000000"/>
          <w:sz w:val="26"/>
          <w:szCs w:val="26"/>
        </w:rPr>
        <w:t>I</w:t>
      </w:r>
      <w:r w:rsidR="00E048AC" w:rsidRPr="00EE68D7">
        <w:rPr>
          <w:color w:val="000000"/>
          <w:sz w:val="26"/>
          <w:szCs w:val="26"/>
        </w:rPr>
        <w:t xml:space="preserve">evērojot starptautiskajās rekomendācijās (skatīt iepriekš) nostiprinātos pieļaujamās rīcības ietvarus, par atbilstošu papildu risinājumu varētu tikt atzīta tiesneša pārcelšana vai norīkošana citā tiesā bez viņa piekrišanas, ja tam piekritusi </w:t>
      </w:r>
      <w:r w:rsidR="00E048AC" w:rsidRPr="003F3F99">
        <w:rPr>
          <w:color w:val="000000"/>
          <w:sz w:val="26"/>
          <w:szCs w:val="26"/>
        </w:rPr>
        <w:t>Tieslietu padome un saglabājot viņam iepriekš noteikto</w:t>
      </w:r>
      <w:r w:rsidR="00EF0361" w:rsidRPr="003F3F99">
        <w:rPr>
          <w:color w:val="000000"/>
          <w:sz w:val="26"/>
          <w:szCs w:val="26"/>
        </w:rPr>
        <w:t xml:space="preserve"> mēnešalgu un izdienas piemaksu.</w:t>
      </w:r>
    </w:p>
    <w:p w:rsidR="00A85C04" w:rsidRPr="004E2063" w:rsidRDefault="00EF0361" w:rsidP="0086443E">
      <w:pPr>
        <w:pStyle w:val="Sarakstarindkopa"/>
        <w:numPr>
          <w:ilvl w:val="0"/>
          <w:numId w:val="16"/>
        </w:numPr>
        <w:tabs>
          <w:tab w:val="left" w:pos="1134"/>
        </w:tabs>
        <w:ind w:left="0" w:firstLine="709"/>
        <w:jc w:val="both"/>
        <w:rPr>
          <w:sz w:val="26"/>
          <w:szCs w:val="26"/>
        </w:rPr>
      </w:pPr>
      <w:r w:rsidRPr="004E2063">
        <w:rPr>
          <w:color w:val="000000"/>
          <w:sz w:val="26"/>
          <w:szCs w:val="26"/>
        </w:rPr>
        <w:t xml:space="preserve">Augstākās tiesas Krimināllietu tiesu palātas likvidācija būs saistīta </w:t>
      </w:r>
      <w:r w:rsidR="007D6CC5" w:rsidRPr="004E2063">
        <w:rPr>
          <w:color w:val="000000"/>
          <w:sz w:val="26"/>
          <w:szCs w:val="26"/>
        </w:rPr>
        <w:t>resursu pārdali starp Augstākās tiesas un</w:t>
      </w:r>
      <w:r w:rsidR="005213BE" w:rsidRPr="004E2063">
        <w:rPr>
          <w:color w:val="000000"/>
          <w:sz w:val="26"/>
          <w:szCs w:val="26"/>
        </w:rPr>
        <w:t xml:space="preserve"> Tiesu administrācijas budžetu</w:t>
      </w:r>
      <w:r w:rsidR="00C72C8F" w:rsidRPr="004E2063">
        <w:rPr>
          <w:color w:val="000000"/>
          <w:sz w:val="26"/>
          <w:szCs w:val="26"/>
        </w:rPr>
        <w:t xml:space="preserve">. Kā norāda Augstākā tiesa, tad, kā viena no Augstākās tiesas prioritātēm ir </w:t>
      </w:r>
      <w:r w:rsidR="005213BE" w:rsidRPr="004E2063">
        <w:rPr>
          <w:color w:val="000000"/>
          <w:sz w:val="26"/>
          <w:szCs w:val="26"/>
        </w:rPr>
        <w:t>stiprināt Augstākās tiesas departamentu kapacitāti</w:t>
      </w:r>
      <w:r w:rsidR="00C72C8F" w:rsidRPr="004E2063">
        <w:rPr>
          <w:color w:val="000000"/>
          <w:sz w:val="26"/>
          <w:szCs w:val="26"/>
        </w:rPr>
        <w:t>.</w:t>
      </w:r>
      <w:r w:rsidR="005213BE" w:rsidRPr="004E2063">
        <w:rPr>
          <w:color w:val="000000"/>
          <w:sz w:val="26"/>
          <w:szCs w:val="26"/>
        </w:rPr>
        <w:t xml:space="preserve"> </w:t>
      </w:r>
      <w:r w:rsidR="00C72C8F" w:rsidRPr="004E2063">
        <w:rPr>
          <w:color w:val="000000"/>
          <w:sz w:val="26"/>
          <w:szCs w:val="26"/>
        </w:rPr>
        <w:t>Līdz ar to</w:t>
      </w:r>
      <w:r w:rsidR="005213BE" w:rsidRPr="004E2063">
        <w:rPr>
          <w:color w:val="000000"/>
          <w:sz w:val="26"/>
          <w:szCs w:val="26"/>
        </w:rPr>
        <w:t xml:space="preserve"> līdzekļu apmērs, ko Augstākā tiesa ir paredzējusi </w:t>
      </w:r>
      <w:r w:rsidR="000E3383" w:rsidRPr="004E2063">
        <w:rPr>
          <w:color w:val="000000"/>
          <w:sz w:val="26"/>
          <w:szCs w:val="26"/>
        </w:rPr>
        <w:t>pārdalīt</w:t>
      </w:r>
      <w:r w:rsidR="005213BE" w:rsidRPr="004E2063">
        <w:rPr>
          <w:color w:val="000000"/>
          <w:sz w:val="26"/>
          <w:szCs w:val="26"/>
        </w:rPr>
        <w:t xml:space="preserve"> Tiesu administrācijai ir 165</w:t>
      </w:r>
      <w:r w:rsidR="000E3383" w:rsidRPr="004E2063">
        <w:rPr>
          <w:color w:val="000000"/>
          <w:sz w:val="26"/>
          <w:szCs w:val="26"/>
        </w:rPr>
        <w:t> </w:t>
      </w:r>
      <w:r w:rsidR="005213BE" w:rsidRPr="004E2063">
        <w:rPr>
          <w:color w:val="000000"/>
          <w:sz w:val="26"/>
          <w:szCs w:val="26"/>
        </w:rPr>
        <w:t>12</w:t>
      </w:r>
      <w:r w:rsidR="00D9426C" w:rsidRPr="004E2063">
        <w:rPr>
          <w:color w:val="000000"/>
          <w:sz w:val="26"/>
          <w:szCs w:val="26"/>
        </w:rPr>
        <w:t>4</w:t>
      </w:r>
      <w:r w:rsidR="000E3383" w:rsidRPr="004E2063">
        <w:rPr>
          <w:color w:val="000000"/>
          <w:sz w:val="26"/>
          <w:szCs w:val="26"/>
        </w:rPr>
        <w:t xml:space="preserve"> </w:t>
      </w:r>
      <w:r w:rsidR="000E3383" w:rsidRPr="004E2063">
        <w:rPr>
          <w:i/>
          <w:color w:val="000000"/>
          <w:sz w:val="26"/>
          <w:szCs w:val="26"/>
        </w:rPr>
        <w:t>euro</w:t>
      </w:r>
      <w:r w:rsidR="006D7FA5" w:rsidRPr="004E2063">
        <w:rPr>
          <w:color w:val="000000"/>
          <w:sz w:val="26"/>
          <w:szCs w:val="26"/>
        </w:rPr>
        <w:t>. Savukārt</w:t>
      </w:r>
      <w:r w:rsidR="00C72C8F" w:rsidRPr="004E2063">
        <w:rPr>
          <w:color w:val="000000"/>
          <w:sz w:val="26"/>
          <w:szCs w:val="26"/>
        </w:rPr>
        <w:t xml:space="preserve"> Tiesu administrācijai</w:t>
      </w:r>
      <w:r w:rsidR="005213BE" w:rsidRPr="004E2063">
        <w:rPr>
          <w:color w:val="000000"/>
          <w:sz w:val="26"/>
          <w:szCs w:val="26"/>
        </w:rPr>
        <w:t xml:space="preserve"> nepieciešamā summa, kas būtu paredzama kā ikgada finansējums</w:t>
      </w:r>
      <w:r w:rsidR="00C72C8F" w:rsidRPr="004E2063">
        <w:rPr>
          <w:color w:val="000000"/>
          <w:sz w:val="26"/>
          <w:szCs w:val="26"/>
        </w:rPr>
        <w:t xml:space="preserve">, lai nodrošinātu ar finansējumu </w:t>
      </w:r>
      <w:r w:rsidR="000E3383" w:rsidRPr="004E2063">
        <w:rPr>
          <w:color w:val="000000"/>
          <w:sz w:val="26"/>
          <w:szCs w:val="26"/>
        </w:rPr>
        <w:t xml:space="preserve">5 </w:t>
      </w:r>
      <w:r w:rsidR="00D9426C" w:rsidRPr="004E2063">
        <w:rPr>
          <w:color w:val="000000"/>
          <w:sz w:val="26"/>
          <w:szCs w:val="26"/>
        </w:rPr>
        <w:t xml:space="preserve">tiesnešu sastāvu </w:t>
      </w:r>
      <w:r w:rsidR="000E3383" w:rsidRPr="004E2063">
        <w:rPr>
          <w:color w:val="000000"/>
          <w:sz w:val="26"/>
          <w:szCs w:val="26"/>
        </w:rPr>
        <w:t>izveidi ir</w:t>
      </w:r>
      <w:r w:rsidR="005213BE" w:rsidRPr="004E2063">
        <w:rPr>
          <w:color w:val="000000"/>
          <w:sz w:val="26"/>
          <w:szCs w:val="26"/>
        </w:rPr>
        <w:t xml:space="preserve"> </w:t>
      </w:r>
      <w:r w:rsidR="00D9426C" w:rsidRPr="004E2063">
        <w:rPr>
          <w:color w:val="000000"/>
          <w:sz w:val="26"/>
          <w:szCs w:val="26"/>
        </w:rPr>
        <w:t>311</w:t>
      </w:r>
      <w:r w:rsidR="000E3383" w:rsidRPr="004E2063">
        <w:rPr>
          <w:color w:val="000000"/>
          <w:sz w:val="26"/>
          <w:szCs w:val="26"/>
        </w:rPr>
        <w:t> </w:t>
      </w:r>
      <w:r w:rsidR="00D9426C" w:rsidRPr="004E2063">
        <w:rPr>
          <w:color w:val="000000"/>
          <w:sz w:val="26"/>
          <w:szCs w:val="26"/>
        </w:rPr>
        <w:t>441</w:t>
      </w:r>
      <w:r w:rsidR="000E3383" w:rsidRPr="004E2063">
        <w:rPr>
          <w:color w:val="000000"/>
          <w:sz w:val="26"/>
          <w:szCs w:val="26"/>
        </w:rPr>
        <w:t xml:space="preserve"> </w:t>
      </w:r>
      <w:r w:rsidR="000E3383" w:rsidRPr="004E2063">
        <w:rPr>
          <w:i/>
          <w:color w:val="000000"/>
          <w:sz w:val="26"/>
          <w:szCs w:val="26"/>
        </w:rPr>
        <w:t>euro</w:t>
      </w:r>
      <w:r w:rsidR="005213BE" w:rsidRPr="004E2063">
        <w:rPr>
          <w:color w:val="000000"/>
          <w:sz w:val="26"/>
          <w:szCs w:val="26"/>
        </w:rPr>
        <w:t>. Tāpat</w:t>
      </w:r>
      <w:r w:rsidR="000E3383" w:rsidRPr="004E2063">
        <w:rPr>
          <w:color w:val="000000"/>
          <w:sz w:val="26"/>
          <w:szCs w:val="26"/>
        </w:rPr>
        <w:t xml:space="preserve"> 2015.gadā</w:t>
      </w:r>
      <w:r w:rsidRPr="004E2063">
        <w:rPr>
          <w:color w:val="000000"/>
          <w:sz w:val="26"/>
          <w:szCs w:val="26"/>
        </w:rPr>
        <w:t xml:space="preserve"> papildus </w:t>
      </w:r>
      <w:r w:rsidR="000E3383" w:rsidRPr="004E2063">
        <w:rPr>
          <w:color w:val="000000"/>
          <w:sz w:val="26"/>
          <w:szCs w:val="26"/>
        </w:rPr>
        <w:lastRenderedPageBreak/>
        <w:t xml:space="preserve">nepieciešami </w:t>
      </w:r>
      <w:r w:rsidRPr="004E2063">
        <w:rPr>
          <w:color w:val="000000"/>
          <w:sz w:val="26"/>
          <w:szCs w:val="26"/>
        </w:rPr>
        <w:t>līdzekļi</w:t>
      </w:r>
      <w:r w:rsidR="00C72C8F" w:rsidRPr="004E2063">
        <w:rPr>
          <w:color w:val="000000"/>
          <w:sz w:val="26"/>
          <w:szCs w:val="26"/>
        </w:rPr>
        <w:t xml:space="preserve"> 33</w:t>
      </w:r>
      <w:r w:rsidR="00702B6F" w:rsidRPr="004E2063">
        <w:rPr>
          <w:color w:val="000000"/>
          <w:sz w:val="26"/>
          <w:szCs w:val="26"/>
        </w:rPr>
        <w:t> </w:t>
      </w:r>
      <w:r w:rsidR="00D9426C" w:rsidRPr="004E2063">
        <w:rPr>
          <w:color w:val="000000"/>
          <w:sz w:val="26"/>
          <w:szCs w:val="26"/>
        </w:rPr>
        <w:t>340</w:t>
      </w:r>
      <w:r w:rsidR="00702B6F" w:rsidRPr="004E2063">
        <w:rPr>
          <w:color w:val="000000"/>
          <w:sz w:val="26"/>
          <w:szCs w:val="26"/>
        </w:rPr>
        <w:t xml:space="preserve"> </w:t>
      </w:r>
      <w:r w:rsidR="000E3383" w:rsidRPr="004E2063">
        <w:rPr>
          <w:i/>
          <w:color w:val="000000"/>
          <w:sz w:val="26"/>
          <w:szCs w:val="26"/>
        </w:rPr>
        <w:t>euro</w:t>
      </w:r>
      <w:r w:rsidR="000E3383" w:rsidRPr="004E2063">
        <w:rPr>
          <w:color w:val="000000"/>
          <w:sz w:val="26"/>
          <w:szCs w:val="26"/>
        </w:rPr>
        <w:t xml:space="preserve"> </w:t>
      </w:r>
      <w:r w:rsidR="00702B6F" w:rsidRPr="004E2063">
        <w:rPr>
          <w:color w:val="000000"/>
          <w:sz w:val="26"/>
          <w:szCs w:val="26"/>
        </w:rPr>
        <w:t>apmērā,</w:t>
      </w:r>
      <w:r w:rsidRPr="004E2063">
        <w:rPr>
          <w:color w:val="000000"/>
          <w:sz w:val="26"/>
          <w:szCs w:val="26"/>
        </w:rPr>
        <w:t xml:space="preserve"> lai nodrošinātu jaunu tiesas sastāvu ar materiāltehniskajiem līdzekļiem</w:t>
      </w:r>
      <w:r w:rsidR="00C72C8F" w:rsidRPr="004E2063">
        <w:rPr>
          <w:color w:val="000000"/>
          <w:sz w:val="26"/>
          <w:szCs w:val="26"/>
        </w:rPr>
        <w:t xml:space="preserve">. </w:t>
      </w:r>
      <w:r w:rsidR="005213BE" w:rsidRPr="004E2063">
        <w:rPr>
          <w:color w:val="000000"/>
          <w:sz w:val="26"/>
          <w:szCs w:val="26"/>
        </w:rPr>
        <w:t>Ievērojot minēto,</w:t>
      </w:r>
      <w:r w:rsidR="006D7FA5" w:rsidRPr="004E2063">
        <w:rPr>
          <w:color w:val="000000"/>
          <w:sz w:val="26"/>
          <w:szCs w:val="26"/>
        </w:rPr>
        <w:t xml:space="preserve"> secināms, ka</w:t>
      </w:r>
      <w:r w:rsidR="005213BE" w:rsidRPr="004E2063">
        <w:rPr>
          <w:color w:val="000000"/>
          <w:sz w:val="26"/>
          <w:szCs w:val="26"/>
        </w:rPr>
        <w:t xml:space="preserve"> Tiesu administrācijai būs nepieciešam</w:t>
      </w:r>
      <w:r w:rsidR="000E3383" w:rsidRPr="004E2063">
        <w:rPr>
          <w:color w:val="000000"/>
          <w:sz w:val="26"/>
          <w:szCs w:val="26"/>
        </w:rPr>
        <w:t>i</w:t>
      </w:r>
      <w:r w:rsidR="00C72C8F" w:rsidRPr="004E2063">
        <w:rPr>
          <w:color w:val="000000"/>
          <w:sz w:val="26"/>
          <w:szCs w:val="26"/>
        </w:rPr>
        <w:t xml:space="preserve"> </w:t>
      </w:r>
      <w:r w:rsidR="005213BE" w:rsidRPr="004E2063">
        <w:rPr>
          <w:color w:val="000000"/>
          <w:sz w:val="26"/>
          <w:szCs w:val="26"/>
        </w:rPr>
        <w:t xml:space="preserve">papildus </w:t>
      </w:r>
      <w:r w:rsidR="00C72C8F" w:rsidRPr="004E2063">
        <w:rPr>
          <w:color w:val="000000"/>
          <w:sz w:val="26"/>
          <w:szCs w:val="26"/>
        </w:rPr>
        <w:t xml:space="preserve">finanšu </w:t>
      </w:r>
      <w:r w:rsidR="00F05C7D" w:rsidRPr="004E2063">
        <w:rPr>
          <w:color w:val="000000"/>
          <w:sz w:val="26"/>
          <w:szCs w:val="26"/>
        </w:rPr>
        <w:t>līdzekļ</w:t>
      </w:r>
      <w:r w:rsidR="000E3383" w:rsidRPr="004E2063">
        <w:rPr>
          <w:color w:val="000000"/>
          <w:sz w:val="26"/>
          <w:szCs w:val="26"/>
        </w:rPr>
        <w:t>i</w:t>
      </w:r>
      <w:r w:rsidR="00F05C7D" w:rsidRPr="004E2063">
        <w:rPr>
          <w:color w:val="000000"/>
          <w:sz w:val="26"/>
          <w:szCs w:val="26"/>
        </w:rPr>
        <w:t xml:space="preserve"> no valsts budžeta 2015.gadā 179  657 </w:t>
      </w:r>
      <w:r w:rsidR="00F05C7D" w:rsidRPr="004E2063">
        <w:rPr>
          <w:i/>
          <w:color w:val="000000"/>
          <w:sz w:val="26"/>
          <w:szCs w:val="26"/>
        </w:rPr>
        <w:t>euro</w:t>
      </w:r>
      <w:r w:rsidR="000E3383" w:rsidRPr="004E2063">
        <w:rPr>
          <w:i/>
          <w:color w:val="000000"/>
          <w:sz w:val="26"/>
          <w:szCs w:val="26"/>
        </w:rPr>
        <w:t xml:space="preserve"> </w:t>
      </w:r>
      <w:r w:rsidR="000E3383" w:rsidRPr="004E2063">
        <w:rPr>
          <w:color w:val="000000"/>
          <w:sz w:val="26"/>
          <w:szCs w:val="26"/>
        </w:rPr>
        <w:t>apmērā</w:t>
      </w:r>
      <w:r w:rsidR="00F05C7D" w:rsidRPr="004E2063">
        <w:rPr>
          <w:color w:val="000000"/>
          <w:sz w:val="26"/>
          <w:szCs w:val="26"/>
        </w:rPr>
        <w:t xml:space="preserve">, 2016.gadā un turpmākajos gados  146 317 </w:t>
      </w:r>
      <w:r w:rsidR="00F05C7D" w:rsidRPr="004E2063">
        <w:rPr>
          <w:i/>
          <w:color w:val="000000"/>
          <w:sz w:val="26"/>
          <w:szCs w:val="26"/>
        </w:rPr>
        <w:t>euro</w:t>
      </w:r>
      <w:r w:rsidR="000E3383" w:rsidRPr="004E2063">
        <w:rPr>
          <w:color w:val="000000"/>
          <w:sz w:val="26"/>
          <w:szCs w:val="26"/>
        </w:rPr>
        <w:t xml:space="preserve"> apmērā</w:t>
      </w:r>
      <w:r w:rsidR="00F05C7D" w:rsidRPr="004E2063">
        <w:rPr>
          <w:i/>
          <w:color w:val="000000"/>
          <w:sz w:val="26"/>
          <w:szCs w:val="26"/>
        </w:rPr>
        <w:t>.</w:t>
      </w:r>
    </w:p>
    <w:p w:rsidR="00311E2D" w:rsidRDefault="00311E2D" w:rsidP="008942A0">
      <w:pPr>
        <w:ind w:firstLine="720"/>
        <w:jc w:val="both"/>
        <w:rPr>
          <w:color w:val="000000"/>
          <w:sz w:val="26"/>
          <w:szCs w:val="26"/>
          <w:highlight w:val="yellow"/>
        </w:rPr>
      </w:pPr>
    </w:p>
    <w:p w:rsidR="004E2063" w:rsidRDefault="004E2063" w:rsidP="008942A0">
      <w:pPr>
        <w:ind w:firstLine="720"/>
        <w:jc w:val="both"/>
        <w:rPr>
          <w:color w:val="000000"/>
          <w:sz w:val="26"/>
          <w:szCs w:val="26"/>
          <w:highlight w:val="yellow"/>
        </w:rPr>
      </w:pPr>
    </w:p>
    <w:p w:rsidR="004E2063" w:rsidRDefault="004E2063" w:rsidP="008942A0">
      <w:pPr>
        <w:ind w:firstLine="720"/>
        <w:jc w:val="both"/>
        <w:rPr>
          <w:color w:val="000000"/>
          <w:sz w:val="26"/>
          <w:szCs w:val="26"/>
          <w:highlight w:val="yellow"/>
        </w:rPr>
      </w:pPr>
    </w:p>
    <w:p w:rsidR="004E2063" w:rsidRPr="00EE68D7" w:rsidRDefault="004E2063" w:rsidP="008942A0">
      <w:pPr>
        <w:ind w:firstLine="720"/>
        <w:jc w:val="both"/>
        <w:rPr>
          <w:color w:val="000000"/>
          <w:sz w:val="26"/>
          <w:szCs w:val="26"/>
          <w:highlight w:val="yellow"/>
        </w:rPr>
      </w:pPr>
    </w:p>
    <w:p w:rsidR="007C3B79" w:rsidRPr="00EE68D7" w:rsidRDefault="007C3B79" w:rsidP="007C3B79">
      <w:pPr>
        <w:jc w:val="both"/>
        <w:rPr>
          <w:sz w:val="26"/>
          <w:szCs w:val="26"/>
        </w:rPr>
      </w:pPr>
      <w:r w:rsidRPr="00EE68D7">
        <w:rPr>
          <w:sz w:val="26"/>
          <w:szCs w:val="26"/>
        </w:rPr>
        <w:t>Tieslietu ministre</w:t>
      </w:r>
      <w:r w:rsidRPr="00EE68D7">
        <w:rPr>
          <w:sz w:val="26"/>
          <w:szCs w:val="26"/>
        </w:rPr>
        <w:tab/>
      </w:r>
      <w:r w:rsidRPr="00EE68D7">
        <w:rPr>
          <w:sz w:val="26"/>
          <w:szCs w:val="26"/>
        </w:rPr>
        <w:tab/>
      </w:r>
      <w:r w:rsidRPr="00EE68D7">
        <w:rPr>
          <w:sz w:val="26"/>
          <w:szCs w:val="26"/>
        </w:rPr>
        <w:tab/>
      </w:r>
      <w:r w:rsidRPr="00EE68D7">
        <w:rPr>
          <w:sz w:val="26"/>
          <w:szCs w:val="26"/>
        </w:rPr>
        <w:tab/>
      </w:r>
      <w:r w:rsidRPr="00EE68D7">
        <w:rPr>
          <w:sz w:val="26"/>
          <w:szCs w:val="26"/>
        </w:rPr>
        <w:tab/>
      </w:r>
      <w:r w:rsidRPr="00EE68D7">
        <w:rPr>
          <w:sz w:val="26"/>
          <w:szCs w:val="26"/>
        </w:rPr>
        <w:tab/>
      </w:r>
      <w:r w:rsidRPr="00EE68D7">
        <w:rPr>
          <w:sz w:val="26"/>
          <w:szCs w:val="26"/>
        </w:rPr>
        <w:tab/>
      </w:r>
      <w:r w:rsidRPr="00EE68D7">
        <w:rPr>
          <w:sz w:val="26"/>
          <w:szCs w:val="26"/>
        </w:rPr>
        <w:tab/>
      </w:r>
      <w:r w:rsidRPr="00EE68D7">
        <w:rPr>
          <w:sz w:val="26"/>
          <w:szCs w:val="26"/>
        </w:rPr>
        <w:tab/>
        <w:t>B.Broka</w:t>
      </w:r>
    </w:p>
    <w:p w:rsidR="007C3B79" w:rsidRPr="005F1CE1" w:rsidRDefault="007C3B79" w:rsidP="007C3B79">
      <w:pPr>
        <w:ind w:firstLine="720"/>
        <w:jc w:val="both"/>
      </w:pPr>
    </w:p>
    <w:p w:rsidR="007C3B79" w:rsidRDefault="007C3B79" w:rsidP="007C3B79">
      <w:pPr>
        <w:jc w:val="both"/>
      </w:pPr>
    </w:p>
    <w:p w:rsidR="00EE68D7" w:rsidRDefault="00EE68D7" w:rsidP="007C3B79">
      <w:pPr>
        <w:jc w:val="both"/>
      </w:pPr>
    </w:p>
    <w:p w:rsidR="00EE68D7" w:rsidRPr="005F1CE1" w:rsidRDefault="00EE68D7" w:rsidP="007C3B79">
      <w:pPr>
        <w:jc w:val="both"/>
      </w:pPr>
    </w:p>
    <w:p w:rsidR="007C3B79" w:rsidRDefault="00542C71" w:rsidP="007C3B79">
      <w:pPr>
        <w:rPr>
          <w:sz w:val="20"/>
          <w:szCs w:val="20"/>
        </w:rPr>
      </w:pPr>
      <w:r>
        <w:rPr>
          <w:sz w:val="20"/>
          <w:szCs w:val="20"/>
        </w:rPr>
        <w:t>25</w:t>
      </w:r>
      <w:r w:rsidR="004E2063">
        <w:rPr>
          <w:sz w:val="20"/>
          <w:szCs w:val="20"/>
        </w:rPr>
        <w:t>.06.2014</w:t>
      </w:r>
      <w:r w:rsidR="00EF0361">
        <w:rPr>
          <w:sz w:val="20"/>
          <w:szCs w:val="20"/>
        </w:rPr>
        <w:t xml:space="preserve">. </w:t>
      </w:r>
      <w:r w:rsidR="004E2063">
        <w:rPr>
          <w:sz w:val="20"/>
          <w:szCs w:val="20"/>
        </w:rPr>
        <w:t>10:00</w:t>
      </w:r>
    </w:p>
    <w:p w:rsidR="000763C1" w:rsidRDefault="000763C1" w:rsidP="007C3B79">
      <w:pPr>
        <w:rPr>
          <w:sz w:val="20"/>
          <w:szCs w:val="20"/>
        </w:rPr>
      </w:pPr>
      <w:r>
        <w:rPr>
          <w:sz w:val="20"/>
          <w:szCs w:val="20"/>
        </w:rPr>
        <w:t>4620</w:t>
      </w:r>
    </w:p>
    <w:p w:rsidR="007C3B79" w:rsidRPr="001A44F5" w:rsidRDefault="007C3B79" w:rsidP="007C3B79">
      <w:pPr>
        <w:pStyle w:val="StyleRight"/>
        <w:spacing w:after="0"/>
        <w:ind w:firstLine="0"/>
        <w:jc w:val="both"/>
        <w:rPr>
          <w:sz w:val="20"/>
          <w:szCs w:val="20"/>
        </w:rPr>
      </w:pPr>
      <w:r w:rsidRPr="001A44F5">
        <w:rPr>
          <w:sz w:val="20"/>
          <w:szCs w:val="20"/>
        </w:rPr>
        <w:t>A.Detlavs</w:t>
      </w:r>
    </w:p>
    <w:p w:rsidR="007C3B79" w:rsidRPr="001A44F5" w:rsidRDefault="007C3B79" w:rsidP="007C3B79">
      <w:pPr>
        <w:pStyle w:val="StyleRight"/>
        <w:spacing w:after="0"/>
        <w:ind w:firstLine="0"/>
        <w:jc w:val="both"/>
        <w:rPr>
          <w:sz w:val="20"/>
          <w:szCs w:val="20"/>
        </w:rPr>
      </w:pPr>
      <w:r w:rsidRPr="001A44F5">
        <w:rPr>
          <w:sz w:val="20"/>
          <w:szCs w:val="20"/>
        </w:rPr>
        <w:t xml:space="preserve">67036827; </w:t>
      </w:r>
      <w:hyperlink r:id="rId14" w:history="1">
        <w:r w:rsidR="00540263" w:rsidRPr="00E62496">
          <w:rPr>
            <w:rStyle w:val="Hipersaite"/>
            <w:sz w:val="20"/>
            <w:szCs w:val="20"/>
          </w:rPr>
          <w:t>Arturs.Detlavs@tm.gov.lv</w:t>
        </w:r>
      </w:hyperlink>
      <w:r w:rsidRPr="001A44F5">
        <w:rPr>
          <w:sz w:val="20"/>
          <w:szCs w:val="20"/>
        </w:rPr>
        <w:t xml:space="preserve">  </w:t>
      </w:r>
    </w:p>
    <w:p w:rsidR="007C3B79" w:rsidRDefault="007C3B79" w:rsidP="007C3B79">
      <w:pPr>
        <w:jc w:val="center"/>
      </w:pPr>
    </w:p>
    <w:p w:rsidR="007C3B79" w:rsidRDefault="007C3B79" w:rsidP="007C3B79">
      <w:pPr>
        <w:jc w:val="center"/>
      </w:pPr>
    </w:p>
    <w:p w:rsidR="00CF46C8" w:rsidRPr="00CF46C8" w:rsidRDefault="00CF46C8" w:rsidP="00CF46C8"/>
    <w:sectPr w:rsidR="00CF46C8" w:rsidRPr="00CF46C8" w:rsidSect="0086443E">
      <w:headerReference w:type="default" r:id="rId15"/>
      <w:footerReference w:type="default" r:id="rId16"/>
      <w:footerReference w:type="first" r:id="rId17"/>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37" w:rsidRDefault="006A6237" w:rsidP="00046311">
      <w:r>
        <w:separator/>
      </w:r>
    </w:p>
  </w:endnote>
  <w:endnote w:type="continuationSeparator" w:id="0">
    <w:p w:rsidR="006A6237" w:rsidRDefault="006A6237" w:rsidP="0004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B4" w:rsidRPr="000B4365" w:rsidRDefault="001079B4" w:rsidP="001079B4">
    <w:pPr>
      <w:pStyle w:val="Kjene"/>
      <w:jc w:val="both"/>
      <w:rPr>
        <w:sz w:val="20"/>
        <w:szCs w:val="20"/>
      </w:rPr>
    </w:pPr>
    <w:r w:rsidRPr="000B4365">
      <w:rPr>
        <w:sz w:val="20"/>
        <w:szCs w:val="20"/>
      </w:rPr>
      <w:t>TMZino_</w:t>
    </w:r>
    <w:r w:rsidR="002A1346">
      <w:rPr>
        <w:sz w:val="20"/>
        <w:szCs w:val="20"/>
      </w:rPr>
      <w:t>25</w:t>
    </w:r>
    <w:r>
      <w:rPr>
        <w:sz w:val="20"/>
        <w:szCs w:val="20"/>
      </w:rPr>
      <w:t xml:space="preserve">0614_ATpalatas; </w:t>
    </w:r>
    <w:r w:rsidRPr="000B4365">
      <w:rPr>
        <w:sz w:val="20"/>
        <w:szCs w:val="20"/>
      </w:rPr>
      <w:t>Informatīvais ziņojums „Par Augstākās tiesas Krimināllietu tiesu palātas likvidācijas ietekmi uz tiesvedību krimināllietās”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63" w:rsidRPr="000B4365" w:rsidRDefault="00540263" w:rsidP="00540263">
    <w:pPr>
      <w:pStyle w:val="Kjene"/>
      <w:jc w:val="both"/>
      <w:rPr>
        <w:sz w:val="20"/>
        <w:szCs w:val="20"/>
      </w:rPr>
    </w:pPr>
    <w:r w:rsidRPr="000B4365">
      <w:rPr>
        <w:sz w:val="20"/>
        <w:szCs w:val="20"/>
      </w:rPr>
      <w:t>TMZino_</w:t>
    </w:r>
    <w:r w:rsidR="002A1346">
      <w:rPr>
        <w:sz w:val="20"/>
        <w:szCs w:val="20"/>
      </w:rPr>
      <w:t>25</w:t>
    </w:r>
    <w:r w:rsidR="001079B4">
      <w:rPr>
        <w:sz w:val="20"/>
        <w:szCs w:val="20"/>
      </w:rPr>
      <w:t>0614</w:t>
    </w:r>
    <w:r>
      <w:rPr>
        <w:sz w:val="20"/>
        <w:szCs w:val="20"/>
      </w:rPr>
      <w:t xml:space="preserve">_ATpalatas; </w:t>
    </w:r>
    <w:r w:rsidRPr="000B4365">
      <w:rPr>
        <w:sz w:val="20"/>
        <w:szCs w:val="20"/>
      </w:rPr>
      <w:t>Informatīvais ziņojums „Par Augstākās tiesas Krimināllietu tiesu palātas likvidācijas ietekmi uz tiesvedību krimināllietās”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37" w:rsidRDefault="006A6237" w:rsidP="00046311">
      <w:r>
        <w:separator/>
      </w:r>
    </w:p>
  </w:footnote>
  <w:footnote w:type="continuationSeparator" w:id="0">
    <w:p w:rsidR="006A6237" w:rsidRDefault="006A6237" w:rsidP="00046311">
      <w:r>
        <w:continuationSeparator/>
      </w:r>
    </w:p>
  </w:footnote>
  <w:footnote w:id="1">
    <w:p w:rsidR="00605BAF" w:rsidRDefault="00605BAF" w:rsidP="00C93BF2">
      <w:pPr>
        <w:pStyle w:val="Vresteksts"/>
        <w:jc w:val="both"/>
      </w:pPr>
      <w:r>
        <w:rPr>
          <w:rStyle w:val="Vresatsauce"/>
        </w:rPr>
        <w:footnoteRef/>
      </w:r>
      <w:r w:rsidR="00B86E74">
        <w:t xml:space="preserve"> S</w:t>
      </w:r>
      <w:r>
        <w:t>agatavots saskaņā ar Tiesu informatīvajā sistēmā esošajiem statistikas pārskatiem: Statistikas pārskats par krimināllietām pirmajā instancē;</w:t>
      </w:r>
      <w:r w:rsidR="004354A6" w:rsidRPr="004354A6">
        <w:t xml:space="preserve"> </w:t>
      </w:r>
      <w:r w:rsidR="004354A6">
        <w:t>Statistikas pārskats par krimināllietām apelācijas instancē (pēc pantu grupām)</w:t>
      </w:r>
      <w:r w:rsidR="00C93BF2">
        <w:t xml:space="preserve">; </w:t>
      </w:r>
      <w:r>
        <w:t xml:space="preserve">Latvijas Republikas Augstākās tiesas Senāta Krimināllietu departamenta pārskats par krimināllietu izskatīšanu kasācijas kārtībā. </w:t>
      </w:r>
      <w:r w:rsidR="00AB71A1">
        <w:t>Dati aplūkoti</w:t>
      </w:r>
      <w:r>
        <w:t xml:space="preserve"> </w:t>
      </w:r>
      <w:r w:rsidR="004354A6">
        <w:t>12.03.2014</w:t>
      </w:r>
      <w:r>
        <w:t>.</w:t>
      </w:r>
    </w:p>
  </w:footnote>
  <w:footnote w:id="2">
    <w:p w:rsidR="00605BAF" w:rsidRDefault="00605BAF" w:rsidP="0086443E">
      <w:pPr>
        <w:pStyle w:val="Vresteksts"/>
        <w:jc w:val="both"/>
      </w:pPr>
      <w:r>
        <w:rPr>
          <w:rStyle w:val="Vresatsauce"/>
        </w:rPr>
        <w:footnoteRef/>
      </w:r>
      <w:r>
        <w:t xml:space="preserve"> Sagatavots saskaņā ar Tiesu informatīvās sistēmas statistikas pārskatu: Latvijas Republikas Augstākās tiesas Senāta Krimināllietu departamenta pārskats par kasācijas kārtībā pārsūdzēto nolēmumu izskatīšanas rezultātiem pa zemākas instances tiesām. Dati aplūkoti </w:t>
      </w:r>
      <w:r w:rsidR="00624430">
        <w:t>12.03</w:t>
      </w:r>
      <w:r>
        <w:t>.2014.</w:t>
      </w:r>
    </w:p>
  </w:footnote>
  <w:footnote w:id="3">
    <w:p w:rsidR="00B86E74" w:rsidRPr="0028757E" w:rsidRDefault="00B86E74" w:rsidP="0086443E">
      <w:pPr>
        <w:jc w:val="both"/>
        <w:rPr>
          <w:sz w:val="20"/>
          <w:szCs w:val="20"/>
        </w:rPr>
      </w:pPr>
      <w:r>
        <w:rPr>
          <w:rStyle w:val="Vresatsauce"/>
        </w:rPr>
        <w:footnoteRef/>
      </w:r>
      <w:r>
        <w:t xml:space="preserve"> </w:t>
      </w:r>
      <w:r w:rsidRPr="0028757E">
        <w:rPr>
          <w:sz w:val="20"/>
          <w:szCs w:val="20"/>
        </w:rPr>
        <w:t xml:space="preserve">Sagatavots saskaņā ar Tiesu informatīvajā sistēmā esošajiem statistikas pārskatiem: Tiesnešu noslodzes rādītāji pirmās instances tiesā civillietās un krimināllietās; Tiesnešu noslodzes rādītāji apelācijas instances tiesā civillietās un krimināllietās. </w:t>
      </w:r>
      <w:r w:rsidR="00AB71A1">
        <w:rPr>
          <w:sz w:val="20"/>
          <w:szCs w:val="20"/>
        </w:rPr>
        <w:t>Dati aplūkoti</w:t>
      </w:r>
      <w:r w:rsidRPr="0028757E">
        <w:rPr>
          <w:sz w:val="20"/>
          <w:szCs w:val="20"/>
        </w:rPr>
        <w:t xml:space="preserve"> </w:t>
      </w:r>
      <w:r w:rsidR="002243BA">
        <w:rPr>
          <w:sz w:val="20"/>
          <w:szCs w:val="20"/>
        </w:rPr>
        <w:t>12.03.2014</w:t>
      </w:r>
      <w:r w:rsidRPr="0028757E">
        <w:rPr>
          <w:sz w:val="20"/>
          <w:szCs w:val="20"/>
        </w:rPr>
        <w:t>.</w:t>
      </w:r>
    </w:p>
    <w:p w:rsidR="00B86E74" w:rsidRDefault="00B86E74">
      <w:pPr>
        <w:pStyle w:val="Vresteksts"/>
      </w:pPr>
    </w:p>
  </w:footnote>
  <w:footnote w:id="4">
    <w:p w:rsidR="00605BAF" w:rsidRDefault="00605BAF" w:rsidP="0086443E">
      <w:pPr>
        <w:pStyle w:val="Vresteksts"/>
        <w:jc w:val="both"/>
      </w:pPr>
      <w:r>
        <w:rPr>
          <w:rStyle w:val="Vresatsauce"/>
        </w:rPr>
        <w:footnoteRef/>
      </w:r>
      <w:r>
        <w:t xml:space="preserve"> Pieņemti Apvienoto Nāciju VII kongresā un apstiprināti ar Ģenerālās Asamblejas 1985.gada 29.novembra rezolūciju 40/32 un 1985.gada 13.decembra rezolūciju 40/146.</w:t>
      </w:r>
    </w:p>
  </w:footnote>
  <w:footnote w:id="5">
    <w:p w:rsidR="00605BAF" w:rsidRDefault="00605BAF">
      <w:pPr>
        <w:pStyle w:val="Vresteksts"/>
      </w:pPr>
      <w:r>
        <w:rPr>
          <w:rStyle w:val="Vresatsauce"/>
        </w:rPr>
        <w:footnoteRef/>
      </w:r>
      <w:r>
        <w:t xml:space="preserve"> Pieņemtas Eiropas Padomes Ministru komitejas 2010.gada 17.novembra sēdē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350570"/>
      <w:docPartObj>
        <w:docPartGallery w:val="Page Numbers (Top of Page)"/>
        <w:docPartUnique/>
      </w:docPartObj>
    </w:sdtPr>
    <w:sdtEndPr/>
    <w:sdtContent>
      <w:p w:rsidR="003828F1" w:rsidRDefault="003828F1">
        <w:pPr>
          <w:pStyle w:val="Galvene"/>
          <w:jc w:val="center"/>
        </w:pPr>
        <w:r>
          <w:fldChar w:fldCharType="begin"/>
        </w:r>
        <w:r>
          <w:instrText>PAGE   \* MERGEFORMAT</w:instrText>
        </w:r>
        <w:r>
          <w:fldChar w:fldCharType="separate"/>
        </w:r>
        <w:r w:rsidR="00023683">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6D2"/>
    <w:multiLevelType w:val="hybridMultilevel"/>
    <w:tmpl w:val="11BC95AC"/>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B0E57C7"/>
    <w:multiLevelType w:val="hybridMultilevel"/>
    <w:tmpl w:val="8BD8572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3E61D11"/>
    <w:multiLevelType w:val="hybridMultilevel"/>
    <w:tmpl w:val="7C5A17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A736FE9"/>
    <w:multiLevelType w:val="hybridMultilevel"/>
    <w:tmpl w:val="448E7DBC"/>
    <w:lvl w:ilvl="0" w:tplc="73AC1E0E">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D626B7B"/>
    <w:multiLevelType w:val="hybridMultilevel"/>
    <w:tmpl w:val="11BA5F8A"/>
    <w:lvl w:ilvl="0" w:tplc="415820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07C7FDA"/>
    <w:multiLevelType w:val="hybridMultilevel"/>
    <w:tmpl w:val="2FAC3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54466D"/>
    <w:multiLevelType w:val="hybridMultilevel"/>
    <w:tmpl w:val="9064D726"/>
    <w:lvl w:ilvl="0" w:tplc="0B4006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A472211"/>
    <w:multiLevelType w:val="hybridMultilevel"/>
    <w:tmpl w:val="842060A6"/>
    <w:lvl w:ilvl="0" w:tplc="47529402">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8">
    <w:nsid w:val="34073439"/>
    <w:multiLevelType w:val="singleLevel"/>
    <w:tmpl w:val="2F926302"/>
    <w:lvl w:ilvl="0">
      <w:start w:val="1"/>
      <w:numFmt w:val="decimal"/>
      <w:pStyle w:val="Virsraksts1"/>
      <w:lvlText w:val="%1)"/>
      <w:legacy w:legacy="1" w:legacySpace="0" w:legacyIndent="360"/>
      <w:lvlJc w:val="left"/>
      <w:rPr>
        <w:rFonts w:ascii="Times New Roman" w:hAnsi="Times New Roman" w:cs="Times New Roman" w:hint="default"/>
      </w:rPr>
    </w:lvl>
  </w:abstractNum>
  <w:abstractNum w:abstractNumId="9">
    <w:nsid w:val="367F5761"/>
    <w:multiLevelType w:val="hybridMultilevel"/>
    <w:tmpl w:val="00D42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B671DF4"/>
    <w:multiLevelType w:val="hybridMultilevel"/>
    <w:tmpl w:val="5BC2B0D8"/>
    <w:lvl w:ilvl="0" w:tplc="E7182074">
      <w:start w:val="1"/>
      <w:numFmt w:val="decimal"/>
      <w:lvlText w:val="%1."/>
      <w:lvlJc w:val="left"/>
      <w:pPr>
        <w:ind w:left="928" w:hanging="360"/>
      </w:pPr>
      <w:rPr>
        <w:rFonts w:hint="default"/>
        <w:color w:val="000000"/>
      </w:rPr>
    </w:lvl>
    <w:lvl w:ilvl="1" w:tplc="04260019" w:tentative="1">
      <w:start w:val="1"/>
      <w:numFmt w:val="lowerLetter"/>
      <w:lvlText w:val="%2."/>
      <w:lvlJc w:val="left"/>
      <w:pPr>
        <w:ind w:left="3578" w:hanging="360"/>
      </w:pPr>
    </w:lvl>
    <w:lvl w:ilvl="2" w:tplc="0426001B" w:tentative="1">
      <w:start w:val="1"/>
      <w:numFmt w:val="lowerRoman"/>
      <w:lvlText w:val="%3."/>
      <w:lvlJc w:val="right"/>
      <w:pPr>
        <w:ind w:left="4298" w:hanging="180"/>
      </w:pPr>
    </w:lvl>
    <w:lvl w:ilvl="3" w:tplc="0426000F" w:tentative="1">
      <w:start w:val="1"/>
      <w:numFmt w:val="decimal"/>
      <w:lvlText w:val="%4."/>
      <w:lvlJc w:val="left"/>
      <w:pPr>
        <w:ind w:left="5018" w:hanging="360"/>
      </w:pPr>
    </w:lvl>
    <w:lvl w:ilvl="4" w:tplc="04260019" w:tentative="1">
      <w:start w:val="1"/>
      <w:numFmt w:val="lowerLetter"/>
      <w:lvlText w:val="%5."/>
      <w:lvlJc w:val="left"/>
      <w:pPr>
        <w:ind w:left="5738" w:hanging="360"/>
      </w:pPr>
    </w:lvl>
    <w:lvl w:ilvl="5" w:tplc="0426001B" w:tentative="1">
      <w:start w:val="1"/>
      <w:numFmt w:val="lowerRoman"/>
      <w:lvlText w:val="%6."/>
      <w:lvlJc w:val="right"/>
      <w:pPr>
        <w:ind w:left="6458" w:hanging="180"/>
      </w:pPr>
    </w:lvl>
    <w:lvl w:ilvl="6" w:tplc="0426000F" w:tentative="1">
      <w:start w:val="1"/>
      <w:numFmt w:val="decimal"/>
      <w:lvlText w:val="%7."/>
      <w:lvlJc w:val="left"/>
      <w:pPr>
        <w:ind w:left="7178" w:hanging="360"/>
      </w:pPr>
    </w:lvl>
    <w:lvl w:ilvl="7" w:tplc="04260019" w:tentative="1">
      <w:start w:val="1"/>
      <w:numFmt w:val="lowerLetter"/>
      <w:lvlText w:val="%8."/>
      <w:lvlJc w:val="left"/>
      <w:pPr>
        <w:ind w:left="7898" w:hanging="360"/>
      </w:pPr>
    </w:lvl>
    <w:lvl w:ilvl="8" w:tplc="0426001B">
      <w:start w:val="1"/>
      <w:numFmt w:val="lowerRoman"/>
      <w:lvlText w:val="%9."/>
      <w:lvlJc w:val="right"/>
      <w:pPr>
        <w:ind w:left="8618" w:hanging="180"/>
      </w:pPr>
    </w:lvl>
  </w:abstractNum>
  <w:abstractNum w:abstractNumId="11">
    <w:nsid w:val="48854FA8"/>
    <w:multiLevelType w:val="hybridMultilevel"/>
    <w:tmpl w:val="54DA8A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4CC269DD"/>
    <w:multiLevelType w:val="hybridMultilevel"/>
    <w:tmpl w:val="9626BC74"/>
    <w:lvl w:ilvl="0" w:tplc="2E8066A4">
      <w:start w:val="1"/>
      <w:numFmt w:val="decimal"/>
      <w:lvlText w:val="%1."/>
      <w:lvlJc w:val="left"/>
      <w:pPr>
        <w:ind w:left="660" w:hanging="360"/>
      </w:pPr>
      <w:rPr>
        <w:rFonts w:hint="default"/>
        <w:b/>
        <w:i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nsid w:val="54D82890"/>
    <w:multiLevelType w:val="hybridMultilevel"/>
    <w:tmpl w:val="BA68C4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5A6D410C"/>
    <w:multiLevelType w:val="hybridMultilevel"/>
    <w:tmpl w:val="F2728168"/>
    <w:lvl w:ilvl="0" w:tplc="28082FE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nsid w:val="5EEC3C22"/>
    <w:multiLevelType w:val="hybridMultilevel"/>
    <w:tmpl w:val="B91E2E44"/>
    <w:lvl w:ilvl="0" w:tplc="A85206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74360216"/>
    <w:multiLevelType w:val="hybridMultilevel"/>
    <w:tmpl w:val="82AEEA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7D155568"/>
    <w:multiLevelType w:val="hybridMultilevel"/>
    <w:tmpl w:val="7502298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2"/>
  </w:num>
  <w:num w:numId="2">
    <w:abstractNumId w:val="14"/>
  </w:num>
  <w:num w:numId="3">
    <w:abstractNumId w:val="7"/>
  </w:num>
  <w:num w:numId="4">
    <w:abstractNumId w:val="8"/>
  </w:num>
  <w:num w:numId="5">
    <w:abstractNumId w:val="6"/>
  </w:num>
  <w:num w:numId="6">
    <w:abstractNumId w:val="2"/>
  </w:num>
  <w:num w:numId="7">
    <w:abstractNumId w:val="13"/>
  </w:num>
  <w:num w:numId="8">
    <w:abstractNumId w:val="16"/>
  </w:num>
  <w:num w:numId="9">
    <w:abstractNumId w:val="11"/>
  </w:num>
  <w:num w:numId="10">
    <w:abstractNumId w:val="0"/>
  </w:num>
  <w:num w:numId="11">
    <w:abstractNumId w:val="17"/>
  </w:num>
  <w:num w:numId="12">
    <w:abstractNumId w:val="3"/>
  </w:num>
  <w:num w:numId="13">
    <w:abstractNumId w:val="4"/>
  </w:num>
  <w:num w:numId="14">
    <w:abstractNumId w:val="9"/>
  </w:num>
  <w:num w:numId="15">
    <w:abstractNumId w:val="5"/>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85"/>
    <w:rsid w:val="00003678"/>
    <w:rsid w:val="0000762D"/>
    <w:rsid w:val="00023683"/>
    <w:rsid w:val="00031384"/>
    <w:rsid w:val="00046311"/>
    <w:rsid w:val="00074A58"/>
    <w:rsid w:val="000763C1"/>
    <w:rsid w:val="00080086"/>
    <w:rsid w:val="00084BBF"/>
    <w:rsid w:val="00084ECC"/>
    <w:rsid w:val="00086EA6"/>
    <w:rsid w:val="00090B0A"/>
    <w:rsid w:val="00094971"/>
    <w:rsid w:val="000965F5"/>
    <w:rsid w:val="000B0067"/>
    <w:rsid w:val="000B0109"/>
    <w:rsid w:val="000B4365"/>
    <w:rsid w:val="000C6D6C"/>
    <w:rsid w:val="000D6EDF"/>
    <w:rsid w:val="000E3383"/>
    <w:rsid w:val="000F6D85"/>
    <w:rsid w:val="001079B4"/>
    <w:rsid w:val="0011089D"/>
    <w:rsid w:val="00111977"/>
    <w:rsid w:val="0011275F"/>
    <w:rsid w:val="001149EE"/>
    <w:rsid w:val="00144067"/>
    <w:rsid w:val="0015594E"/>
    <w:rsid w:val="00157FD3"/>
    <w:rsid w:val="00161121"/>
    <w:rsid w:val="001648B3"/>
    <w:rsid w:val="00173627"/>
    <w:rsid w:val="00185926"/>
    <w:rsid w:val="001923A7"/>
    <w:rsid w:val="00193B4A"/>
    <w:rsid w:val="00195906"/>
    <w:rsid w:val="001A44F5"/>
    <w:rsid w:val="001B6C98"/>
    <w:rsid w:val="001C3295"/>
    <w:rsid w:val="001F2CD1"/>
    <w:rsid w:val="00200BAC"/>
    <w:rsid w:val="002243BA"/>
    <w:rsid w:val="00230B7F"/>
    <w:rsid w:val="00231AD5"/>
    <w:rsid w:val="002373C3"/>
    <w:rsid w:val="00270A03"/>
    <w:rsid w:val="002A1346"/>
    <w:rsid w:val="002B5DA6"/>
    <w:rsid w:val="002C1A98"/>
    <w:rsid w:val="002F4933"/>
    <w:rsid w:val="002F72FF"/>
    <w:rsid w:val="00300E86"/>
    <w:rsid w:val="00311E2D"/>
    <w:rsid w:val="00316723"/>
    <w:rsid w:val="003501E8"/>
    <w:rsid w:val="003729D4"/>
    <w:rsid w:val="003828F1"/>
    <w:rsid w:val="00383C3B"/>
    <w:rsid w:val="00392D38"/>
    <w:rsid w:val="00396B6F"/>
    <w:rsid w:val="003B1482"/>
    <w:rsid w:val="003B5824"/>
    <w:rsid w:val="003E1C5D"/>
    <w:rsid w:val="003E211C"/>
    <w:rsid w:val="003E590D"/>
    <w:rsid w:val="003F3F99"/>
    <w:rsid w:val="00402A8B"/>
    <w:rsid w:val="00405DE0"/>
    <w:rsid w:val="00410868"/>
    <w:rsid w:val="004354A6"/>
    <w:rsid w:val="00435911"/>
    <w:rsid w:val="00440762"/>
    <w:rsid w:val="00441CB1"/>
    <w:rsid w:val="004613D5"/>
    <w:rsid w:val="00462686"/>
    <w:rsid w:val="00472A8E"/>
    <w:rsid w:val="0048712E"/>
    <w:rsid w:val="004A0789"/>
    <w:rsid w:val="004B73A6"/>
    <w:rsid w:val="004C04FA"/>
    <w:rsid w:val="004D3B92"/>
    <w:rsid w:val="004D7379"/>
    <w:rsid w:val="004E2063"/>
    <w:rsid w:val="004F28E2"/>
    <w:rsid w:val="00502298"/>
    <w:rsid w:val="005213BE"/>
    <w:rsid w:val="00521F39"/>
    <w:rsid w:val="00525606"/>
    <w:rsid w:val="005348FF"/>
    <w:rsid w:val="00540263"/>
    <w:rsid w:val="00540EB4"/>
    <w:rsid w:val="00541492"/>
    <w:rsid w:val="00542C71"/>
    <w:rsid w:val="00547A20"/>
    <w:rsid w:val="005563BB"/>
    <w:rsid w:val="00573D44"/>
    <w:rsid w:val="00577C77"/>
    <w:rsid w:val="005A1292"/>
    <w:rsid w:val="005A7485"/>
    <w:rsid w:val="005B0737"/>
    <w:rsid w:val="005F0289"/>
    <w:rsid w:val="005F04F3"/>
    <w:rsid w:val="00603A28"/>
    <w:rsid w:val="00605BAF"/>
    <w:rsid w:val="00615F44"/>
    <w:rsid w:val="00624430"/>
    <w:rsid w:val="00665F61"/>
    <w:rsid w:val="0067185C"/>
    <w:rsid w:val="0069554B"/>
    <w:rsid w:val="006A61E3"/>
    <w:rsid w:val="006A6237"/>
    <w:rsid w:val="006B1876"/>
    <w:rsid w:val="006C4649"/>
    <w:rsid w:val="006C4764"/>
    <w:rsid w:val="006D7FA5"/>
    <w:rsid w:val="006F5837"/>
    <w:rsid w:val="00702B6F"/>
    <w:rsid w:val="0072573E"/>
    <w:rsid w:val="00727FBC"/>
    <w:rsid w:val="00731BC4"/>
    <w:rsid w:val="00743783"/>
    <w:rsid w:val="007466BD"/>
    <w:rsid w:val="0074712F"/>
    <w:rsid w:val="00752F7F"/>
    <w:rsid w:val="0075614C"/>
    <w:rsid w:val="00762B3D"/>
    <w:rsid w:val="00777E4E"/>
    <w:rsid w:val="007907F7"/>
    <w:rsid w:val="00795A9A"/>
    <w:rsid w:val="007A2449"/>
    <w:rsid w:val="007A63BA"/>
    <w:rsid w:val="007B0B65"/>
    <w:rsid w:val="007B2D37"/>
    <w:rsid w:val="007C3B79"/>
    <w:rsid w:val="007D5D79"/>
    <w:rsid w:val="007D6CC5"/>
    <w:rsid w:val="007E3821"/>
    <w:rsid w:val="007F0A1D"/>
    <w:rsid w:val="007F5CC6"/>
    <w:rsid w:val="008010EE"/>
    <w:rsid w:val="00824349"/>
    <w:rsid w:val="00830753"/>
    <w:rsid w:val="00836D12"/>
    <w:rsid w:val="00837F72"/>
    <w:rsid w:val="00851FD0"/>
    <w:rsid w:val="0086443E"/>
    <w:rsid w:val="0089389B"/>
    <w:rsid w:val="00893CB5"/>
    <w:rsid w:val="008942A0"/>
    <w:rsid w:val="008E0BB0"/>
    <w:rsid w:val="008E10E8"/>
    <w:rsid w:val="008F61DB"/>
    <w:rsid w:val="00904502"/>
    <w:rsid w:val="00906510"/>
    <w:rsid w:val="00937023"/>
    <w:rsid w:val="0094330C"/>
    <w:rsid w:val="00951E82"/>
    <w:rsid w:val="009953C6"/>
    <w:rsid w:val="009970CD"/>
    <w:rsid w:val="009A3A85"/>
    <w:rsid w:val="009D5396"/>
    <w:rsid w:val="00A22189"/>
    <w:rsid w:val="00A23354"/>
    <w:rsid w:val="00A35FC4"/>
    <w:rsid w:val="00A47829"/>
    <w:rsid w:val="00A5087A"/>
    <w:rsid w:val="00A527D5"/>
    <w:rsid w:val="00A5314E"/>
    <w:rsid w:val="00A729E8"/>
    <w:rsid w:val="00A85C04"/>
    <w:rsid w:val="00AB71A1"/>
    <w:rsid w:val="00AC356D"/>
    <w:rsid w:val="00AC4BEE"/>
    <w:rsid w:val="00AD491D"/>
    <w:rsid w:val="00AE417C"/>
    <w:rsid w:val="00AF3112"/>
    <w:rsid w:val="00B11BA4"/>
    <w:rsid w:val="00B21DDF"/>
    <w:rsid w:val="00B31663"/>
    <w:rsid w:val="00B643AB"/>
    <w:rsid w:val="00B71DFC"/>
    <w:rsid w:val="00B83995"/>
    <w:rsid w:val="00B86E74"/>
    <w:rsid w:val="00BB2629"/>
    <w:rsid w:val="00BB4AA5"/>
    <w:rsid w:val="00BC5382"/>
    <w:rsid w:val="00BD731B"/>
    <w:rsid w:val="00BF0DE5"/>
    <w:rsid w:val="00BF14DC"/>
    <w:rsid w:val="00BF6552"/>
    <w:rsid w:val="00C10B29"/>
    <w:rsid w:val="00C11109"/>
    <w:rsid w:val="00C160BE"/>
    <w:rsid w:val="00C21189"/>
    <w:rsid w:val="00C265E8"/>
    <w:rsid w:val="00C3122B"/>
    <w:rsid w:val="00C36248"/>
    <w:rsid w:val="00C4742F"/>
    <w:rsid w:val="00C54847"/>
    <w:rsid w:val="00C56130"/>
    <w:rsid w:val="00C607A8"/>
    <w:rsid w:val="00C72C8F"/>
    <w:rsid w:val="00C804EE"/>
    <w:rsid w:val="00C92E81"/>
    <w:rsid w:val="00C93BF2"/>
    <w:rsid w:val="00C95357"/>
    <w:rsid w:val="00CA318D"/>
    <w:rsid w:val="00CB0233"/>
    <w:rsid w:val="00CC5FF3"/>
    <w:rsid w:val="00CF46C8"/>
    <w:rsid w:val="00D00FFF"/>
    <w:rsid w:val="00D17C25"/>
    <w:rsid w:val="00D17E54"/>
    <w:rsid w:val="00D27261"/>
    <w:rsid w:val="00D3128B"/>
    <w:rsid w:val="00D34340"/>
    <w:rsid w:val="00D36429"/>
    <w:rsid w:val="00D4343C"/>
    <w:rsid w:val="00D44AF3"/>
    <w:rsid w:val="00D46EE9"/>
    <w:rsid w:val="00D61660"/>
    <w:rsid w:val="00D65706"/>
    <w:rsid w:val="00D6609B"/>
    <w:rsid w:val="00D75E38"/>
    <w:rsid w:val="00D9426C"/>
    <w:rsid w:val="00DA00E8"/>
    <w:rsid w:val="00DB1547"/>
    <w:rsid w:val="00DB2575"/>
    <w:rsid w:val="00DD377E"/>
    <w:rsid w:val="00DD6FA0"/>
    <w:rsid w:val="00DE078D"/>
    <w:rsid w:val="00DF4A3D"/>
    <w:rsid w:val="00E048AC"/>
    <w:rsid w:val="00E06E58"/>
    <w:rsid w:val="00E12618"/>
    <w:rsid w:val="00E170C3"/>
    <w:rsid w:val="00E24FEC"/>
    <w:rsid w:val="00E312FF"/>
    <w:rsid w:val="00E73E43"/>
    <w:rsid w:val="00E81108"/>
    <w:rsid w:val="00EB6762"/>
    <w:rsid w:val="00EE68D7"/>
    <w:rsid w:val="00EE6E57"/>
    <w:rsid w:val="00EF0361"/>
    <w:rsid w:val="00F05C7D"/>
    <w:rsid w:val="00F13A6D"/>
    <w:rsid w:val="00F24C5A"/>
    <w:rsid w:val="00F6008E"/>
    <w:rsid w:val="00F677F1"/>
    <w:rsid w:val="00F7614C"/>
    <w:rsid w:val="00FA4E6E"/>
    <w:rsid w:val="00FB7F30"/>
    <w:rsid w:val="00FD1D4A"/>
    <w:rsid w:val="00FD486A"/>
    <w:rsid w:val="00FF3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1E82"/>
    <w:pPr>
      <w:suppressAutoHyphens/>
    </w:pPr>
    <w:rPr>
      <w:sz w:val="24"/>
      <w:szCs w:val="24"/>
      <w:lang w:eastAsia="zh-CN"/>
    </w:rPr>
  </w:style>
  <w:style w:type="paragraph" w:styleId="Virsraksts1">
    <w:name w:val="heading 1"/>
    <w:basedOn w:val="Parasts"/>
    <w:next w:val="Parasts"/>
    <w:link w:val="Virsraksts1Rakstz"/>
    <w:qFormat/>
    <w:rsid w:val="007C3B79"/>
    <w:pPr>
      <w:keepNext/>
      <w:numPr>
        <w:numId w:val="4"/>
      </w:numPr>
      <w:jc w:val="center"/>
      <w:outlineLvl w:val="0"/>
    </w:pPr>
    <w:rPr>
      <w:b/>
      <w:sz w:val="28"/>
      <w:szCs w:val="20"/>
      <w:lang w:eastAsia="ar-SA"/>
    </w:rPr>
  </w:style>
  <w:style w:type="paragraph" w:styleId="Virsraksts3">
    <w:name w:val="heading 3"/>
    <w:basedOn w:val="Parasts"/>
    <w:next w:val="Parasts"/>
    <w:link w:val="Virsraksts3Rakstz"/>
    <w:uiPriority w:val="9"/>
    <w:unhideWhenUsed/>
    <w:qFormat/>
    <w:rsid w:val="007C3B79"/>
    <w:pPr>
      <w:keepNext/>
      <w:keepLines/>
      <w:widowControl w:val="0"/>
      <w:suppressAutoHyphens w:val="0"/>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951E82"/>
  </w:style>
  <w:style w:type="character" w:customStyle="1" w:styleId="WW-Absatz-Standardschriftart">
    <w:name w:val="WW-Absatz-Standardschriftart"/>
    <w:rsid w:val="00951E82"/>
  </w:style>
  <w:style w:type="character" w:customStyle="1" w:styleId="Noklusjumarindkopasfonts1">
    <w:name w:val="Noklusējuma rindkopas fonts1"/>
    <w:rsid w:val="00951E82"/>
  </w:style>
  <w:style w:type="paragraph" w:customStyle="1" w:styleId="Heading">
    <w:name w:val="Heading"/>
    <w:basedOn w:val="Parasts"/>
    <w:next w:val="Pamatteksts"/>
    <w:rsid w:val="00951E82"/>
    <w:pPr>
      <w:keepNext/>
      <w:spacing w:before="240" w:after="120"/>
    </w:pPr>
    <w:rPr>
      <w:rFonts w:ascii="Arial" w:eastAsia="Arial Unicode MS" w:hAnsi="Arial" w:cs="Arial Unicode MS"/>
      <w:sz w:val="28"/>
      <w:szCs w:val="28"/>
    </w:rPr>
  </w:style>
  <w:style w:type="paragraph" w:styleId="Pamatteksts">
    <w:name w:val="Body Text"/>
    <w:basedOn w:val="Parasts"/>
    <w:rsid w:val="00951E82"/>
    <w:pPr>
      <w:spacing w:after="120"/>
    </w:pPr>
  </w:style>
  <w:style w:type="paragraph" w:styleId="Saraksts">
    <w:name w:val="List"/>
    <w:basedOn w:val="Pamatteksts"/>
    <w:rsid w:val="00951E82"/>
  </w:style>
  <w:style w:type="paragraph" w:styleId="Parakstszemobjekta">
    <w:name w:val="caption"/>
    <w:basedOn w:val="Parasts"/>
    <w:qFormat/>
    <w:rsid w:val="00951E82"/>
    <w:pPr>
      <w:suppressLineNumbers/>
      <w:spacing w:before="120" w:after="120"/>
    </w:pPr>
    <w:rPr>
      <w:i/>
      <w:iCs/>
    </w:rPr>
  </w:style>
  <w:style w:type="paragraph" w:customStyle="1" w:styleId="Index">
    <w:name w:val="Index"/>
    <w:basedOn w:val="Parasts"/>
    <w:rsid w:val="00951E82"/>
    <w:pPr>
      <w:suppressLineNumbers/>
    </w:pPr>
  </w:style>
  <w:style w:type="paragraph" w:styleId="Galvene">
    <w:name w:val="header"/>
    <w:basedOn w:val="Parasts"/>
    <w:link w:val="GalveneRakstz"/>
    <w:uiPriority w:val="99"/>
    <w:unhideWhenUsed/>
    <w:rsid w:val="00046311"/>
    <w:pPr>
      <w:tabs>
        <w:tab w:val="center" w:pos="4153"/>
        <w:tab w:val="right" w:pos="8306"/>
      </w:tabs>
    </w:pPr>
  </w:style>
  <w:style w:type="character" w:customStyle="1" w:styleId="GalveneRakstz">
    <w:name w:val="Galvene Rakstz."/>
    <w:basedOn w:val="Noklusjumarindkopasfonts"/>
    <w:link w:val="Galvene"/>
    <w:uiPriority w:val="99"/>
    <w:rsid w:val="00046311"/>
    <w:rPr>
      <w:sz w:val="24"/>
      <w:szCs w:val="24"/>
      <w:lang w:eastAsia="zh-CN"/>
    </w:rPr>
  </w:style>
  <w:style w:type="paragraph" w:styleId="Kjene">
    <w:name w:val="footer"/>
    <w:basedOn w:val="Parasts"/>
    <w:link w:val="KjeneRakstz"/>
    <w:uiPriority w:val="99"/>
    <w:unhideWhenUsed/>
    <w:rsid w:val="00046311"/>
    <w:pPr>
      <w:tabs>
        <w:tab w:val="center" w:pos="4153"/>
        <w:tab w:val="right" w:pos="8306"/>
      </w:tabs>
    </w:pPr>
  </w:style>
  <w:style w:type="character" w:customStyle="1" w:styleId="KjeneRakstz">
    <w:name w:val="Kājene Rakstz."/>
    <w:basedOn w:val="Noklusjumarindkopasfonts"/>
    <w:link w:val="Kjene"/>
    <w:uiPriority w:val="99"/>
    <w:rsid w:val="00046311"/>
    <w:rPr>
      <w:sz w:val="24"/>
      <w:szCs w:val="24"/>
      <w:lang w:eastAsia="zh-CN"/>
    </w:rPr>
  </w:style>
  <w:style w:type="paragraph" w:styleId="Balonteksts">
    <w:name w:val="Balloon Text"/>
    <w:basedOn w:val="Parasts"/>
    <w:link w:val="BalontekstsRakstz"/>
    <w:uiPriority w:val="99"/>
    <w:semiHidden/>
    <w:unhideWhenUsed/>
    <w:rsid w:val="005B07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0737"/>
    <w:rPr>
      <w:rFonts w:ascii="Tahoma" w:hAnsi="Tahoma" w:cs="Tahoma"/>
      <w:sz w:val="16"/>
      <w:szCs w:val="16"/>
      <w:lang w:eastAsia="zh-CN"/>
    </w:rPr>
  </w:style>
  <w:style w:type="paragraph" w:customStyle="1" w:styleId="tv2131">
    <w:name w:val="tv2131"/>
    <w:basedOn w:val="Parasts"/>
    <w:rsid w:val="007466BD"/>
    <w:pPr>
      <w:suppressAutoHyphens w:val="0"/>
      <w:spacing w:line="360" w:lineRule="auto"/>
      <w:ind w:firstLine="300"/>
    </w:pPr>
    <w:rPr>
      <w:color w:val="414142"/>
      <w:sz w:val="20"/>
      <w:szCs w:val="20"/>
      <w:lang w:eastAsia="lv-LV"/>
    </w:rPr>
  </w:style>
  <w:style w:type="paragraph" w:customStyle="1" w:styleId="labojumupamats1">
    <w:name w:val="labojumu_pamats1"/>
    <w:basedOn w:val="Parasts"/>
    <w:rsid w:val="007466BD"/>
    <w:pPr>
      <w:suppressAutoHyphens w:val="0"/>
      <w:spacing w:before="45" w:line="360" w:lineRule="auto"/>
      <w:ind w:firstLine="300"/>
    </w:pPr>
    <w:rPr>
      <w:i/>
      <w:iCs/>
      <w:color w:val="414142"/>
      <w:sz w:val="20"/>
      <w:szCs w:val="20"/>
      <w:lang w:eastAsia="lv-LV"/>
    </w:rPr>
  </w:style>
  <w:style w:type="paragraph" w:styleId="Sarakstarindkopa">
    <w:name w:val="List Paragraph"/>
    <w:basedOn w:val="Parasts"/>
    <w:uiPriority w:val="34"/>
    <w:qFormat/>
    <w:rsid w:val="007466BD"/>
    <w:pPr>
      <w:ind w:left="720"/>
      <w:contextualSpacing/>
    </w:pPr>
  </w:style>
  <w:style w:type="paragraph" w:styleId="Paraststmeklis">
    <w:name w:val="Normal (Web)"/>
    <w:basedOn w:val="Parasts"/>
    <w:uiPriority w:val="99"/>
    <w:semiHidden/>
    <w:unhideWhenUsed/>
    <w:rsid w:val="0000762D"/>
    <w:pPr>
      <w:suppressAutoHyphens w:val="0"/>
      <w:spacing w:before="100" w:beforeAutospacing="1" w:after="100" w:afterAutospacing="1"/>
    </w:pPr>
    <w:rPr>
      <w:lang w:eastAsia="lv-LV"/>
    </w:rPr>
  </w:style>
  <w:style w:type="character" w:styleId="Hipersaite">
    <w:name w:val="Hyperlink"/>
    <w:basedOn w:val="Noklusjumarindkopasfonts"/>
    <w:uiPriority w:val="99"/>
    <w:unhideWhenUsed/>
    <w:rsid w:val="0000762D"/>
    <w:rPr>
      <w:color w:val="0000FF"/>
      <w:u w:val="single"/>
    </w:rPr>
  </w:style>
  <w:style w:type="character" w:customStyle="1" w:styleId="fontsize21">
    <w:name w:val="fontsize21"/>
    <w:basedOn w:val="Noklusjumarindkopasfonts"/>
    <w:rsid w:val="00F24C5A"/>
    <w:rPr>
      <w:b w:val="0"/>
      <w:bCs w:val="0"/>
      <w:i/>
      <w:iCs/>
    </w:rPr>
  </w:style>
  <w:style w:type="character" w:customStyle="1" w:styleId="Virsraksts1Rakstz">
    <w:name w:val="Virsraksts 1 Rakstz."/>
    <w:basedOn w:val="Noklusjumarindkopasfonts"/>
    <w:link w:val="Virsraksts1"/>
    <w:rsid w:val="007C3B79"/>
    <w:rPr>
      <w:b/>
      <w:sz w:val="28"/>
      <w:lang w:eastAsia="ar-SA"/>
    </w:rPr>
  </w:style>
  <w:style w:type="character" w:customStyle="1" w:styleId="Virsraksts3Rakstz">
    <w:name w:val="Virsraksts 3 Rakstz."/>
    <w:basedOn w:val="Noklusjumarindkopasfonts"/>
    <w:link w:val="Virsraksts3"/>
    <w:uiPriority w:val="9"/>
    <w:rsid w:val="007C3B79"/>
    <w:rPr>
      <w:rFonts w:asciiTheme="majorHAnsi" w:eastAsiaTheme="majorEastAsia" w:hAnsiTheme="majorHAnsi" w:cstheme="majorBidi"/>
      <w:b/>
      <w:bCs/>
      <w:color w:val="4F81BD" w:themeColor="accent1"/>
      <w:kern w:val="28"/>
    </w:rPr>
  </w:style>
  <w:style w:type="character" w:styleId="Komentraatsauce">
    <w:name w:val="annotation reference"/>
    <w:basedOn w:val="Noklusjumarindkopasfonts"/>
    <w:uiPriority w:val="99"/>
    <w:semiHidden/>
    <w:unhideWhenUsed/>
    <w:rsid w:val="007C3B79"/>
    <w:rPr>
      <w:sz w:val="16"/>
      <w:szCs w:val="16"/>
    </w:rPr>
  </w:style>
  <w:style w:type="paragraph" w:styleId="Komentrateksts">
    <w:name w:val="annotation text"/>
    <w:basedOn w:val="Parasts"/>
    <w:link w:val="KomentratekstsRakstz"/>
    <w:uiPriority w:val="99"/>
    <w:unhideWhenUsed/>
    <w:rsid w:val="007C3B79"/>
    <w:pPr>
      <w:widowControl w:val="0"/>
      <w:suppressAutoHyphens w:val="0"/>
      <w:overflowPunct w:val="0"/>
      <w:autoSpaceDE w:val="0"/>
      <w:autoSpaceDN w:val="0"/>
      <w:adjustRightInd w:val="0"/>
    </w:pPr>
    <w:rPr>
      <w:rFonts w:eastAsiaTheme="minorEastAsia"/>
      <w:kern w:val="28"/>
      <w:sz w:val="20"/>
      <w:szCs w:val="20"/>
      <w:lang w:eastAsia="lv-LV"/>
    </w:rPr>
  </w:style>
  <w:style w:type="character" w:customStyle="1" w:styleId="KomentratekstsRakstz">
    <w:name w:val="Komentāra teksts Rakstz."/>
    <w:basedOn w:val="Noklusjumarindkopasfonts"/>
    <w:link w:val="Komentrateksts"/>
    <w:uiPriority w:val="99"/>
    <w:rsid w:val="007C3B79"/>
    <w:rPr>
      <w:rFonts w:eastAsiaTheme="minorEastAsia"/>
      <w:kern w:val="28"/>
    </w:rPr>
  </w:style>
  <w:style w:type="paragraph" w:customStyle="1" w:styleId="StyleRight">
    <w:name w:val="Style Right"/>
    <w:basedOn w:val="Parasts"/>
    <w:rsid w:val="007C3B79"/>
    <w:pPr>
      <w:spacing w:after="120"/>
      <w:ind w:firstLine="720"/>
      <w:jc w:val="right"/>
    </w:pPr>
    <w:rPr>
      <w:sz w:val="28"/>
      <w:szCs w:val="28"/>
      <w:lang w:eastAsia="ar-SA"/>
    </w:rPr>
  </w:style>
  <w:style w:type="table" w:styleId="Reatabula">
    <w:name w:val="Table Grid"/>
    <w:basedOn w:val="Parastatabula"/>
    <w:uiPriority w:val="59"/>
    <w:rsid w:val="007D5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0">
    <w:name w:val="goog_qs-tidbit-0"/>
    <w:basedOn w:val="Noklusjumarindkopasfonts"/>
    <w:rsid w:val="003729D4"/>
  </w:style>
  <w:style w:type="paragraph" w:styleId="Vresteksts">
    <w:name w:val="footnote text"/>
    <w:basedOn w:val="Parasts"/>
    <w:link w:val="VrestekstsRakstz"/>
    <w:uiPriority w:val="99"/>
    <w:semiHidden/>
    <w:unhideWhenUsed/>
    <w:rsid w:val="00300E86"/>
    <w:rPr>
      <w:sz w:val="20"/>
      <w:szCs w:val="20"/>
    </w:rPr>
  </w:style>
  <w:style w:type="character" w:customStyle="1" w:styleId="VrestekstsRakstz">
    <w:name w:val="Vēres teksts Rakstz."/>
    <w:basedOn w:val="Noklusjumarindkopasfonts"/>
    <w:link w:val="Vresteksts"/>
    <w:uiPriority w:val="99"/>
    <w:semiHidden/>
    <w:rsid w:val="00300E86"/>
    <w:rPr>
      <w:lang w:eastAsia="zh-CN"/>
    </w:rPr>
  </w:style>
  <w:style w:type="character" w:styleId="Vresatsauce">
    <w:name w:val="footnote reference"/>
    <w:basedOn w:val="Noklusjumarindkopasfonts"/>
    <w:uiPriority w:val="99"/>
    <w:semiHidden/>
    <w:unhideWhenUsed/>
    <w:rsid w:val="00300E86"/>
    <w:rPr>
      <w:vertAlign w:val="superscript"/>
    </w:rPr>
  </w:style>
  <w:style w:type="paragraph" w:styleId="Komentratma">
    <w:name w:val="annotation subject"/>
    <w:basedOn w:val="Komentrateksts"/>
    <w:next w:val="Komentrateksts"/>
    <w:link w:val="KomentratmaRakstz"/>
    <w:uiPriority w:val="99"/>
    <w:semiHidden/>
    <w:unhideWhenUsed/>
    <w:rsid w:val="00F6008E"/>
    <w:pPr>
      <w:widowControl/>
      <w:suppressAutoHyphens/>
      <w:overflowPunct/>
      <w:autoSpaceDE/>
      <w:autoSpaceDN/>
      <w:adjustRightInd/>
    </w:pPr>
    <w:rPr>
      <w:rFonts w:eastAsia="Times New Roman"/>
      <w:b/>
      <w:bCs/>
      <w:kern w:val="0"/>
      <w:lang w:eastAsia="zh-CN"/>
    </w:rPr>
  </w:style>
  <w:style w:type="character" w:customStyle="1" w:styleId="KomentratmaRakstz">
    <w:name w:val="Komentāra tēma Rakstz."/>
    <w:basedOn w:val="KomentratekstsRakstz"/>
    <w:link w:val="Komentratma"/>
    <w:uiPriority w:val="99"/>
    <w:semiHidden/>
    <w:rsid w:val="00F6008E"/>
    <w:rPr>
      <w:rFonts w:eastAsiaTheme="minorEastAsia"/>
      <w:b/>
      <w:bCs/>
      <w:kern w:val="28"/>
      <w:lang w:eastAsia="zh-CN"/>
    </w:rPr>
  </w:style>
  <w:style w:type="paragraph" w:customStyle="1" w:styleId="naiskr">
    <w:name w:val="naiskr"/>
    <w:basedOn w:val="Parasts"/>
    <w:rsid w:val="000B0109"/>
    <w:pPr>
      <w:suppressAutoHyphens w:val="0"/>
      <w:spacing w:before="75" w:after="75"/>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1E82"/>
    <w:pPr>
      <w:suppressAutoHyphens/>
    </w:pPr>
    <w:rPr>
      <w:sz w:val="24"/>
      <w:szCs w:val="24"/>
      <w:lang w:eastAsia="zh-CN"/>
    </w:rPr>
  </w:style>
  <w:style w:type="paragraph" w:styleId="Virsraksts1">
    <w:name w:val="heading 1"/>
    <w:basedOn w:val="Parasts"/>
    <w:next w:val="Parasts"/>
    <w:link w:val="Virsraksts1Rakstz"/>
    <w:qFormat/>
    <w:rsid w:val="007C3B79"/>
    <w:pPr>
      <w:keepNext/>
      <w:numPr>
        <w:numId w:val="4"/>
      </w:numPr>
      <w:jc w:val="center"/>
      <w:outlineLvl w:val="0"/>
    </w:pPr>
    <w:rPr>
      <w:b/>
      <w:sz w:val="28"/>
      <w:szCs w:val="20"/>
      <w:lang w:eastAsia="ar-SA"/>
    </w:rPr>
  </w:style>
  <w:style w:type="paragraph" w:styleId="Virsraksts3">
    <w:name w:val="heading 3"/>
    <w:basedOn w:val="Parasts"/>
    <w:next w:val="Parasts"/>
    <w:link w:val="Virsraksts3Rakstz"/>
    <w:uiPriority w:val="9"/>
    <w:unhideWhenUsed/>
    <w:qFormat/>
    <w:rsid w:val="007C3B79"/>
    <w:pPr>
      <w:keepNext/>
      <w:keepLines/>
      <w:widowControl w:val="0"/>
      <w:suppressAutoHyphens w:val="0"/>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951E82"/>
  </w:style>
  <w:style w:type="character" w:customStyle="1" w:styleId="WW-Absatz-Standardschriftart">
    <w:name w:val="WW-Absatz-Standardschriftart"/>
    <w:rsid w:val="00951E82"/>
  </w:style>
  <w:style w:type="character" w:customStyle="1" w:styleId="Noklusjumarindkopasfonts1">
    <w:name w:val="Noklusējuma rindkopas fonts1"/>
    <w:rsid w:val="00951E82"/>
  </w:style>
  <w:style w:type="paragraph" w:customStyle="1" w:styleId="Heading">
    <w:name w:val="Heading"/>
    <w:basedOn w:val="Parasts"/>
    <w:next w:val="Pamatteksts"/>
    <w:rsid w:val="00951E82"/>
    <w:pPr>
      <w:keepNext/>
      <w:spacing w:before="240" w:after="120"/>
    </w:pPr>
    <w:rPr>
      <w:rFonts w:ascii="Arial" w:eastAsia="Arial Unicode MS" w:hAnsi="Arial" w:cs="Arial Unicode MS"/>
      <w:sz w:val="28"/>
      <w:szCs w:val="28"/>
    </w:rPr>
  </w:style>
  <w:style w:type="paragraph" w:styleId="Pamatteksts">
    <w:name w:val="Body Text"/>
    <w:basedOn w:val="Parasts"/>
    <w:rsid w:val="00951E82"/>
    <w:pPr>
      <w:spacing w:after="120"/>
    </w:pPr>
  </w:style>
  <w:style w:type="paragraph" w:styleId="Saraksts">
    <w:name w:val="List"/>
    <w:basedOn w:val="Pamatteksts"/>
    <w:rsid w:val="00951E82"/>
  </w:style>
  <w:style w:type="paragraph" w:styleId="Parakstszemobjekta">
    <w:name w:val="caption"/>
    <w:basedOn w:val="Parasts"/>
    <w:qFormat/>
    <w:rsid w:val="00951E82"/>
    <w:pPr>
      <w:suppressLineNumbers/>
      <w:spacing w:before="120" w:after="120"/>
    </w:pPr>
    <w:rPr>
      <w:i/>
      <w:iCs/>
    </w:rPr>
  </w:style>
  <w:style w:type="paragraph" w:customStyle="1" w:styleId="Index">
    <w:name w:val="Index"/>
    <w:basedOn w:val="Parasts"/>
    <w:rsid w:val="00951E82"/>
    <w:pPr>
      <w:suppressLineNumbers/>
    </w:pPr>
  </w:style>
  <w:style w:type="paragraph" w:styleId="Galvene">
    <w:name w:val="header"/>
    <w:basedOn w:val="Parasts"/>
    <w:link w:val="GalveneRakstz"/>
    <w:uiPriority w:val="99"/>
    <w:unhideWhenUsed/>
    <w:rsid w:val="00046311"/>
    <w:pPr>
      <w:tabs>
        <w:tab w:val="center" w:pos="4153"/>
        <w:tab w:val="right" w:pos="8306"/>
      </w:tabs>
    </w:pPr>
  </w:style>
  <w:style w:type="character" w:customStyle="1" w:styleId="GalveneRakstz">
    <w:name w:val="Galvene Rakstz."/>
    <w:basedOn w:val="Noklusjumarindkopasfonts"/>
    <w:link w:val="Galvene"/>
    <w:uiPriority w:val="99"/>
    <w:rsid w:val="00046311"/>
    <w:rPr>
      <w:sz w:val="24"/>
      <w:szCs w:val="24"/>
      <w:lang w:eastAsia="zh-CN"/>
    </w:rPr>
  </w:style>
  <w:style w:type="paragraph" w:styleId="Kjene">
    <w:name w:val="footer"/>
    <w:basedOn w:val="Parasts"/>
    <w:link w:val="KjeneRakstz"/>
    <w:uiPriority w:val="99"/>
    <w:unhideWhenUsed/>
    <w:rsid w:val="00046311"/>
    <w:pPr>
      <w:tabs>
        <w:tab w:val="center" w:pos="4153"/>
        <w:tab w:val="right" w:pos="8306"/>
      </w:tabs>
    </w:pPr>
  </w:style>
  <w:style w:type="character" w:customStyle="1" w:styleId="KjeneRakstz">
    <w:name w:val="Kājene Rakstz."/>
    <w:basedOn w:val="Noklusjumarindkopasfonts"/>
    <w:link w:val="Kjene"/>
    <w:uiPriority w:val="99"/>
    <w:rsid w:val="00046311"/>
    <w:rPr>
      <w:sz w:val="24"/>
      <w:szCs w:val="24"/>
      <w:lang w:eastAsia="zh-CN"/>
    </w:rPr>
  </w:style>
  <w:style w:type="paragraph" w:styleId="Balonteksts">
    <w:name w:val="Balloon Text"/>
    <w:basedOn w:val="Parasts"/>
    <w:link w:val="BalontekstsRakstz"/>
    <w:uiPriority w:val="99"/>
    <w:semiHidden/>
    <w:unhideWhenUsed/>
    <w:rsid w:val="005B07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0737"/>
    <w:rPr>
      <w:rFonts w:ascii="Tahoma" w:hAnsi="Tahoma" w:cs="Tahoma"/>
      <w:sz w:val="16"/>
      <w:szCs w:val="16"/>
      <w:lang w:eastAsia="zh-CN"/>
    </w:rPr>
  </w:style>
  <w:style w:type="paragraph" w:customStyle="1" w:styleId="tv2131">
    <w:name w:val="tv2131"/>
    <w:basedOn w:val="Parasts"/>
    <w:rsid w:val="007466BD"/>
    <w:pPr>
      <w:suppressAutoHyphens w:val="0"/>
      <w:spacing w:line="360" w:lineRule="auto"/>
      <w:ind w:firstLine="300"/>
    </w:pPr>
    <w:rPr>
      <w:color w:val="414142"/>
      <w:sz w:val="20"/>
      <w:szCs w:val="20"/>
      <w:lang w:eastAsia="lv-LV"/>
    </w:rPr>
  </w:style>
  <w:style w:type="paragraph" w:customStyle="1" w:styleId="labojumupamats1">
    <w:name w:val="labojumu_pamats1"/>
    <w:basedOn w:val="Parasts"/>
    <w:rsid w:val="007466BD"/>
    <w:pPr>
      <w:suppressAutoHyphens w:val="0"/>
      <w:spacing w:before="45" w:line="360" w:lineRule="auto"/>
      <w:ind w:firstLine="300"/>
    </w:pPr>
    <w:rPr>
      <w:i/>
      <w:iCs/>
      <w:color w:val="414142"/>
      <w:sz w:val="20"/>
      <w:szCs w:val="20"/>
      <w:lang w:eastAsia="lv-LV"/>
    </w:rPr>
  </w:style>
  <w:style w:type="paragraph" w:styleId="Sarakstarindkopa">
    <w:name w:val="List Paragraph"/>
    <w:basedOn w:val="Parasts"/>
    <w:uiPriority w:val="34"/>
    <w:qFormat/>
    <w:rsid w:val="007466BD"/>
    <w:pPr>
      <w:ind w:left="720"/>
      <w:contextualSpacing/>
    </w:pPr>
  </w:style>
  <w:style w:type="paragraph" w:styleId="Paraststmeklis">
    <w:name w:val="Normal (Web)"/>
    <w:basedOn w:val="Parasts"/>
    <w:uiPriority w:val="99"/>
    <w:semiHidden/>
    <w:unhideWhenUsed/>
    <w:rsid w:val="0000762D"/>
    <w:pPr>
      <w:suppressAutoHyphens w:val="0"/>
      <w:spacing w:before="100" w:beforeAutospacing="1" w:after="100" w:afterAutospacing="1"/>
    </w:pPr>
    <w:rPr>
      <w:lang w:eastAsia="lv-LV"/>
    </w:rPr>
  </w:style>
  <w:style w:type="character" w:styleId="Hipersaite">
    <w:name w:val="Hyperlink"/>
    <w:basedOn w:val="Noklusjumarindkopasfonts"/>
    <w:uiPriority w:val="99"/>
    <w:unhideWhenUsed/>
    <w:rsid w:val="0000762D"/>
    <w:rPr>
      <w:color w:val="0000FF"/>
      <w:u w:val="single"/>
    </w:rPr>
  </w:style>
  <w:style w:type="character" w:customStyle="1" w:styleId="fontsize21">
    <w:name w:val="fontsize21"/>
    <w:basedOn w:val="Noklusjumarindkopasfonts"/>
    <w:rsid w:val="00F24C5A"/>
    <w:rPr>
      <w:b w:val="0"/>
      <w:bCs w:val="0"/>
      <w:i/>
      <w:iCs/>
    </w:rPr>
  </w:style>
  <w:style w:type="character" w:customStyle="1" w:styleId="Virsraksts1Rakstz">
    <w:name w:val="Virsraksts 1 Rakstz."/>
    <w:basedOn w:val="Noklusjumarindkopasfonts"/>
    <w:link w:val="Virsraksts1"/>
    <w:rsid w:val="007C3B79"/>
    <w:rPr>
      <w:b/>
      <w:sz w:val="28"/>
      <w:lang w:eastAsia="ar-SA"/>
    </w:rPr>
  </w:style>
  <w:style w:type="character" w:customStyle="1" w:styleId="Virsraksts3Rakstz">
    <w:name w:val="Virsraksts 3 Rakstz."/>
    <w:basedOn w:val="Noklusjumarindkopasfonts"/>
    <w:link w:val="Virsraksts3"/>
    <w:uiPriority w:val="9"/>
    <w:rsid w:val="007C3B79"/>
    <w:rPr>
      <w:rFonts w:asciiTheme="majorHAnsi" w:eastAsiaTheme="majorEastAsia" w:hAnsiTheme="majorHAnsi" w:cstheme="majorBidi"/>
      <w:b/>
      <w:bCs/>
      <w:color w:val="4F81BD" w:themeColor="accent1"/>
      <w:kern w:val="28"/>
    </w:rPr>
  </w:style>
  <w:style w:type="character" w:styleId="Komentraatsauce">
    <w:name w:val="annotation reference"/>
    <w:basedOn w:val="Noklusjumarindkopasfonts"/>
    <w:uiPriority w:val="99"/>
    <w:semiHidden/>
    <w:unhideWhenUsed/>
    <w:rsid w:val="007C3B79"/>
    <w:rPr>
      <w:sz w:val="16"/>
      <w:szCs w:val="16"/>
    </w:rPr>
  </w:style>
  <w:style w:type="paragraph" w:styleId="Komentrateksts">
    <w:name w:val="annotation text"/>
    <w:basedOn w:val="Parasts"/>
    <w:link w:val="KomentratekstsRakstz"/>
    <w:uiPriority w:val="99"/>
    <w:unhideWhenUsed/>
    <w:rsid w:val="007C3B79"/>
    <w:pPr>
      <w:widowControl w:val="0"/>
      <w:suppressAutoHyphens w:val="0"/>
      <w:overflowPunct w:val="0"/>
      <w:autoSpaceDE w:val="0"/>
      <w:autoSpaceDN w:val="0"/>
      <w:adjustRightInd w:val="0"/>
    </w:pPr>
    <w:rPr>
      <w:rFonts w:eastAsiaTheme="minorEastAsia"/>
      <w:kern w:val="28"/>
      <w:sz w:val="20"/>
      <w:szCs w:val="20"/>
      <w:lang w:eastAsia="lv-LV"/>
    </w:rPr>
  </w:style>
  <w:style w:type="character" w:customStyle="1" w:styleId="KomentratekstsRakstz">
    <w:name w:val="Komentāra teksts Rakstz."/>
    <w:basedOn w:val="Noklusjumarindkopasfonts"/>
    <w:link w:val="Komentrateksts"/>
    <w:uiPriority w:val="99"/>
    <w:rsid w:val="007C3B79"/>
    <w:rPr>
      <w:rFonts w:eastAsiaTheme="minorEastAsia"/>
      <w:kern w:val="28"/>
    </w:rPr>
  </w:style>
  <w:style w:type="paragraph" w:customStyle="1" w:styleId="StyleRight">
    <w:name w:val="Style Right"/>
    <w:basedOn w:val="Parasts"/>
    <w:rsid w:val="007C3B79"/>
    <w:pPr>
      <w:spacing w:after="120"/>
      <w:ind w:firstLine="720"/>
      <w:jc w:val="right"/>
    </w:pPr>
    <w:rPr>
      <w:sz w:val="28"/>
      <w:szCs w:val="28"/>
      <w:lang w:eastAsia="ar-SA"/>
    </w:rPr>
  </w:style>
  <w:style w:type="table" w:styleId="Reatabula">
    <w:name w:val="Table Grid"/>
    <w:basedOn w:val="Parastatabula"/>
    <w:uiPriority w:val="59"/>
    <w:rsid w:val="007D5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0">
    <w:name w:val="goog_qs-tidbit-0"/>
    <w:basedOn w:val="Noklusjumarindkopasfonts"/>
    <w:rsid w:val="003729D4"/>
  </w:style>
  <w:style w:type="paragraph" w:styleId="Vresteksts">
    <w:name w:val="footnote text"/>
    <w:basedOn w:val="Parasts"/>
    <w:link w:val="VrestekstsRakstz"/>
    <w:uiPriority w:val="99"/>
    <w:semiHidden/>
    <w:unhideWhenUsed/>
    <w:rsid w:val="00300E86"/>
    <w:rPr>
      <w:sz w:val="20"/>
      <w:szCs w:val="20"/>
    </w:rPr>
  </w:style>
  <w:style w:type="character" w:customStyle="1" w:styleId="VrestekstsRakstz">
    <w:name w:val="Vēres teksts Rakstz."/>
    <w:basedOn w:val="Noklusjumarindkopasfonts"/>
    <w:link w:val="Vresteksts"/>
    <w:uiPriority w:val="99"/>
    <w:semiHidden/>
    <w:rsid w:val="00300E86"/>
    <w:rPr>
      <w:lang w:eastAsia="zh-CN"/>
    </w:rPr>
  </w:style>
  <w:style w:type="character" w:styleId="Vresatsauce">
    <w:name w:val="footnote reference"/>
    <w:basedOn w:val="Noklusjumarindkopasfonts"/>
    <w:uiPriority w:val="99"/>
    <w:semiHidden/>
    <w:unhideWhenUsed/>
    <w:rsid w:val="00300E86"/>
    <w:rPr>
      <w:vertAlign w:val="superscript"/>
    </w:rPr>
  </w:style>
  <w:style w:type="paragraph" w:styleId="Komentratma">
    <w:name w:val="annotation subject"/>
    <w:basedOn w:val="Komentrateksts"/>
    <w:next w:val="Komentrateksts"/>
    <w:link w:val="KomentratmaRakstz"/>
    <w:uiPriority w:val="99"/>
    <w:semiHidden/>
    <w:unhideWhenUsed/>
    <w:rsid w:val="00F6008E"/>
    <w:pPr>
      <w:widowControl/>
      <w:suppressAutoHyphens/>
      <w:overflowPunct/>
      <w:autoSpaceDE/>
      <w:autoSpaceDN/>
      <w:adjustRightInd/>
    </w:pPr>
    <w:rPr>
      <w:rFonts w:eastAsia="Times New Roman"/>
      <w:b/>
      <w:bCs/>
      <w:kern w:val="0"/>
      <w:lang w:eastAsia="zh-CN"/>
    </w:rPr>
  </w:style>
  <w:style w:type="character" w:customStyle="1" w:styleId="KomentratmaRakstz">
    <w:name w:val="Komentāra tēma Rakstz."/>
    <w:basedOn w:val="KomentratekstsRakstz"/>
    <w:link w:val="Komentratma"/>
    <w:uiPriority w:val="99"/>
    <w:semiHidden/>
    <w:rsid w:val="00F6008E"/>
    <w:rPr>
      <w:rFonts w:eastAsiaTheme="minorEastAsia"/>
      <w:b/>
      <w:bCs/>
      <w:kern w:val="28"/>
      <w:lang w:eastAsia="zh-CN"/>
    </w:rPr>
  </w:style>
  <w:style w:type="paragraph" w:customStyle="1" w:styleId="naiskr">
    <w:name w:val="naiskr"/>
    <w:basedOn w:val="Parasts"/>
    <w:rsid w:val="000B0109"/>
    <w:pPr>
      <w:suppressAutoHyphens w:val="0"/>
      <w:spacing w:before="75" w:after="75"/>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468">
      <w:bodyDiv w:val="1"/>
      <w:marLeft w:val="0"/>
      <w:marRight w:val="0"/>
      <w:marTop w:val="0"/>
      <w:marBottom w:val="0"/>
      <w:divBdr>
        <w:top w:val="none" w:sz="0" w:space="0" w:color="auto"/>
        <w:left w:val="none" w:sz="0" w:space="0" w:color="auto"/>
        <w:bottom w:val="none" w:sz="0" w:space="0" w:color="auto"/>
        <w:right w:val="none" w:sz="0" w:space="0" w:color="auto"/>
      </w:divBdr>
      <w:divsChild>
        <w:div w:id="235940624">
          <w:marLeft w:val="0"/>
          <w:marRight w:val="0"/>
          <w:marTop w:val="0"/>
          <w:marBottom w:val="0"/>
          <w:divBdr>
            <w:top w:val="none" w:sz="0" w:space="0" w:color="auto"/>
            <w:left w:val="none" w:sz="0" w:space="0" w:color="auto"/>
            <w:bottom w:val="none" w:sz="0" w:space="0" w:color="auto"/>
            <w:right w:val="none" w:sz="0" w:space="0" w:color="auto"/>
          </w:divBdr>
          <w:divsChild>
            <w:div w:id="577983264">
              <w:marLeft w:val="0"/>
              <w:marRight w:val="0"/>
              <w:marTop w:val="0"/>
              <w:marBottom w:val="0"/>
              <w:divBdr>
                <w:top w:val="none" w:sz="0" w:space="0" w:color="auto"/>
                <w:left w:val="none" w:sz="0" w:space="0" w:color="auto"/>
                <w:bottom w:val="none" w:sz="0" w:space="0" w:color="auto"/>
                <w:right w:val="none" w:sz="0" w:space="0" w:color="auto"/>
              </w:divBdr>
              <w:divsChild>
                <w:div w:id="1042022751">
                  <w:marLeft w:val="0"/>
                  <w:marRight w:val="0"/>
                  <w:marTop w:val="0"/>
                  <w:marBottom w:val="0"/>
                  <w:divBdr>
                    <w:top w:val="none" w:sz="0" w:space="0" w:color="auto"/>
                    <w:left w:val="none" w:sz="0" w:space="0" w:color="auto"/>
                    <w:bottom w:val="none" w:sz="0" w:space="0" w:color="auto"/>
                    <w:right w:val="none" w:sz="0" w:space="0" w:color="auto"/>
                  </w:divBdr>
                  <w:divsChild>
                    <w:div w:id="15578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0941">
      <w:bodyDiv w:val="1"/>
      <w:marLeft w:val="0"/>
      <w:marRight w:val="0"/>
      <w:marTop w:val="0"/>
      <w:marBottom w:val="0"/>
      <w:divBdr>
        <w:top w:val="none" w:sz="0" w:space="0" w:color="auto"/>
        <w:left w:val="none" w:sz="0" w:space="0" w:color="auto"/>
        <w:bottom w:val="none" w:sz="0" w:space="0" w:color="auto"/>
        <w:right w:val="none" w:sz="0" w:space="0" w:color="auto"/>
      </w:divBdr>
      <w:divsChild>
        <w:div w:id="1340153805">
          <w:marLeft w:val="0"/>
          <w:marRight w:val="0"/>
          <w:marTop w:val="0"/>
          <w:marBottom w:val="0"/>
          <w:divBdr>
            <w:top w:val="none" w:sz="0" w:space="0" w:color="auto"/>
            <w:left w:val="none" w:sz="0" w:space="0" w:color="auto"/>
            <w:bottom w:val="none" w:sz="0" w:space="0" w:color="auto"/>
            <w:right w:val="none" w:sz="0" w:space="0" w:color="auto"/>
          </w:divBdr>
          <w:divsChild>
            <w:div w:id="10089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4220">
      <w:bodyDiv w:val="1"/>
      <w:marLeft w:val="0"/>
      <w:marRight w:val="0"/>
      <w:marTop w:val="0"/>
      <w:marBottom w:val="0"/>
      <w:divBdr>
        <w:top w:val="none" w:sz="0" w:space="0" w:color="auto"/>
        <w:left w:val="none" w:sz="0" w:space="0" w:color="auto"/>
        <w:bottom w:val="none" w:sz="0" w:space="0" w:color="auto"/>
        <w:right w:val="none" w:sz="0" w:space="0" w:color="auto"/>
      </w:divBdr>
      <w:divsChild>
        <w:div w:id="1283266118">
          <w:marLeft w:val="0"/>
          <w:marRight w:val="0"/>
          <w:marTop w:val="0"/>
          <w:marBottom w:val="0"/>
          <w:divBdr>
            <w:top w:val="none" w:sz="0" w:space="0" w:color="auto"/>
            <w:left w:val="none" w:sz="0" w:space="0" w:color="auto"/>
            <w:bottom w:val="none" w:sz="0" w:space="0" w:color="auto"/>
            <w:right w:val="none" w:sz="0" w:space="0" w:color="auto"/>
          </w:divBdr>
          <w:divsChild>
            <w:div w:id="358315982">
              <w:marLeft w:val="0"/>
              <w:marRight w:val="0"/>
              <w:marTop w:val="0"/>
              <w:marBottom w:val="0"/>
              <w:divBdr>
                <w:top w:val="none" w:sz="0" w:space="0" w:color="auto"/>
                <w:left w:val="none" w:sz="0" w:space="0" w:color="auto"/>
                <w:bottom w:val="none" w:sz="0" w:space="0" w:color="auto"/>
                <w:right w:val="none" w:sz="0" w:space="0" w:color="auto"/>
              </w:divBdr>
              <w:divsChild>
                <w:div w:id="284506457">
                  <w:marLeft w:val="0"/>
                  <w:marRight w:val="0"/>
                  <w:marTop w:val="0"/>
                  <w:marBottom w:val="0"/>
                  <w:divBdr>
                    <w:top w:val="none" w:sz="0" w:space="0" w:color="auto"/>
                    <w:left w:val="none" w:sz="0" w:space="0" w:color="auto"/>
                    <w:bottom w:val="none" w:sz="0" w:space="0" w:color="auto"/>
                    <w:right w:val="none" w:sz="0" w:space="0" w:color="auto"/>
                  </w:divBdr>
                  <w:divsChild>
                    <w:div w:id="276252791">
                      <w:marLeft w:val="0"/>
                      <w:marRight w:val="0"/>
                      <w:marTop w:val="0"/>
                      <w:marBottom w:val="0"/>
                      <w:divBdr>
                        <w:top w:val="none" w:sz="0" w:space="0" w:color="auto"/>
                        <w:left w:val="none" w:sz="0" w:space="0" w:color="auto"/>
                        <w:bottom w:val="none" w:sz="0" w:space="0" w:color="auto"/>
                        <w:right w:val="none" w:sz="0" w:space="0" w:color="auto"/>
                      </w:divBdr>
                      <w:divsChild>
                        <w:div w:id="1116170270">
                          <w:marLeft w:val="0"/>
                          <w:marRight w:val="0"/>
                          <w:marTop w:val="0"/>
                          <w:marBottom w:val="0"/>
                          <w:divBdr>
                            <w:top w:val="none" w:sz="0" w:space="0" w:color="auto"/>
                            <w:left w:val="none" w:sz="0" w:space="0" w:color="auto"/>
                            <w:bottom w:val="none" w:sz="0" w:space="0" w:color="auto"/>
                            <w:right w:val="none" w:sz="0" w:space="0" w:color="auto"/>
                          </w:divBdr>
                          <w:divsChild>
                            <w:div w:id="882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18576">
      <w:bodyDiv w:val="1"/>
      <w:marLeft w:val="0"/>
      <w:marRight w:val="0"/>
      <w:marTop w:val="0"/>
      <w:marBottom w:val="0"/>
      <w:divBdr>
        <w:top w:val="none" w:sz="0" w:space="0" w:color="auto"/>
        <w:left w:val="none" w:sz="0" w:space="0" w:color="auto"/>
        <w:bottom w:val="none" w:sz="0" w:space="0" w:color="auto"/>
        <w:right w:val="none" w:sz="0" w:space="0" w:color="auto"/>
      </w:divBdr>
      <w:divsChild>
        <w:div w:id="1556353539">
          <w:marLeft w:val="0"/>
          <w:marRight w:val="0"/>
          <w:marTop w:val="0"/>
          <w:marBottom w:val="0"/>
          <w:divBdr>
            <w:top w:val="none" w:sz="0" w:space="0" w:color="auto"/>
            <w:left w:val="none" w:sz="0" w:space="0" w:color="auto"/>
            <w:bottom w:val="none" w:sz="0" w:space="0" w:color="auto"/>
            <w:right w:val="none" w:sz="0" w:space="0" w:color="auto"/>
          </w:divBdr>
          <w:divsChild>
            <w:div w:id="636692101">
              <w:marLeft w:val="0"/>
              <w:marRight w:val="0"/>
              <w:marTop w:val="0"/>
              <w:marBottom w:val="0"/>
              <w:divBdr>
                <w:top w:val="none" w:sz="0" w:space="0" w:color="auto"/>
                <w:left w:val="none" w:sz="0" w:space="0" w:color="auto"/>
                <w:bottom w:val="none" w:sz="0" w:space="0" w:color="auto"/>
                <w:right w:val="none" w:sz="0" w:space="0" w:color="auto"/>
              </w:divBdr>
              <w:divsChild>
                <w:div w:id="832259755">
                  <w:marLeft w:val="0"/>
                  <w:marRight w:val="0"/>
                  <w:marTop w:val="0"/>
                  <w:marBottom w:val="0"/>
                  <w:divBdr>
                    <w:top w:val="none" w:sz="0" w:space="0" w:color="auto"/>
                    <w:left w:val="none" w:sz="0" w:space="0" w:color="auto"/>
                    <w:bottom w:val="none" w:sz="0" w:space="0" w:color="auto"/>
                    <w:right w:val="none" w:sz="0" w:space="0" w:color="auto"/>
                  </w:divBdr>
                  <w:divsChild>
                    <w:div w:id="13761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20625">
      <w:bodyDiv w:val="1"/>
      <w:marLeft w:val="0"/>
      <w:marRight w:val="0"/>
      <w:marTop w:val="0"/>
      <w:marBottom w:val="0"/>
      <w:divBdr>
        <w:top w:val="none" w:sz="0" w:space="0" w:color="auto"/>
        <w:left w:val="none" w:sz="0" w:space="0" w:color="auto"/>
        <w:bottom w:val="none" w:sz="0" w:space="0" w:color="auto"/>
        <w:right w:val="none" w:sz="0" w:space="0" w:color="auto"/>
      </w:divBdr>
      <w:divsChild>
        <w:div w:id="759956811">
          <w:marLeft w:val="0"/>
          <w:marRight w:val="0"/>
          <w:marTop w:val="0"/>
          <w:marBottom w:val="0"/>
          <w:divBdr>
            <w:top w:val="none" w:sz="0" w:space="0" w:color="auto"/>
            <w:left w:val="none" w:sz="0" w:space="0" w:color="auto"/>
            <w:bottom w:val="none" w:sz="0" w:space="0" w:color="auto"/>
            <w:right w:val="none" w:sz="0" w:space="0" w:color="auto"/>
          </w:divBdr>
          <w:divsChild>
            <w:div w:id="411974908">
              <w:marLeft w:val="0"/>
              <w:marRight w:val="0"/>
              <w:marTop w:val="0"/>
              <w:marBottom w:val="0"/>
              <w:divBdr>
                <w:top w:val="none" w:sz="0" w:space="0" w:color="auto"/>
                <w:left w:val="none" w:sz="0" w:space="0" w:color="auto"/>
                <w:bottom w:val="none" w:sz="0" w:space="0" w:color="auto"/>
                <w:right w:val="none" w:sz="0" w:space="0" w:color="auto"/>
              </w:divBdr>
              <w:divsChild>
                <w:div w:id="224071872">
                  <w:marLeft w:val="0"/>
                  <w:marRight w:val="0"/>
                  <w:marTop w:val="0"/>
                  <w:marBottom w:val="0"/>
                  <w:divBdr>
                    <w:top w:val="none" w:sz="0" w:space="0" w:color="auto"/>
                    <w:left w:val="none" w:sz="0" w:space="0" w:color="auto"/>
                    <w:bottom w:val="none" w:sz="0" w:space="0" w:color="auto"/>
                    <w:right w:val="none" w:sz="0" w:space="0" w:color="auto"/>
                  </w:divBdr>
                  <w:divsChild>
                    <w:div w:id="1783451350">
                      <w:marLeft w:val="0"/>
                      <w:marRight w:val="0"/>
                      <w:marTop w:val="0"/>
                      <w:marBottom w:val="0"/>
                      <w:divBdr>
                        <w:top w:val="none" w:sz="0" w:space="0" w:color="auto"/>
                        <w:left w:val="none" w:sz="0" w:space="0" w:color="auto"/>
                        <w:bottom w:val="none" w:sz="0" w:space="0" w:color="auto"/>
                        <w:right w:val="none" w:sz="0" w:space="0" w:color="auto"/>
                      </w:divBdr>
                      <w:divsChild>
                        <w:div w:id="82919894">
                          <w:marLeft w:val="0"/>
                          <w:marRight w:val="0"/>
                          <w:marTop w:val="0"/>
                          <w:marBottom w:val="0"/>
                          <w:divBdr>
                            <w:top w:val="none" w:sz="0" w:space="0" w:color="auto"/>
                            <w:left w:val="none" w:sz="0" w:space="0" w:color="auto"/>
                            <w:bottom w:val="none" w:sz="0" w:space="0" w:color="auto"/>
                            <w:right w:val="none" w:sz="0" w:space="0" w:color="auto"/>
                          </w:divBdr>
                          <w:divsChild>
                            <w:div w:id="5133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48649">
      <w:bodyDiv w:val="1"/>
      <w:marLeft w:val="0"/>
      <w:marRight w:val="0"/>
      <w:marTop w:val="0"/>
      <w:marBottom w:val="0"/>
      <w:divBdr>
        <w:top w:val="none" w:sz="0" w:space="0" w:color="auto"/>
        <w:left w:val="none" w:sz="0" w:space="0" w:color="auto"/>
        <w:bottom w:val="none" w:sz="0" w:space="0" w:color="auto"/>
        <w:right w:val="none" w:sz="0" w:space="0" w:color="auto"/>
      </w:divBdr>
      <w:divsChild>
        <w:div w:id="948779343">
          <w:marLeft w:val="0"/>
          <w:marRight w:val="0"/>
          <w:marTop w:val="0"/>
          <w:marBottom w:val="0"/>
          <w:divBdr>
            <w:top w:val="none" w:sz="0" w:space="0" w:color="auto"/>
            <w:left w:val="none" w:sz="0" w:space="0" w:color="auto"/>
            <w:bottom w:val="none" w:sz="0" w:space="0" w:color="auto"/>
            <w:right w:val="none" w:sz="0" w:space="0" w:color="auto"/>
          </w:divBdr>
          <w:divsChild>
            <w:div w:id="120465749">
              <w:marLeft w:val="0"/>
              <w:marRight w:val="0"/>
              <w:marTop w:val="0"/>
              <w:marBottom w:val="0"/>
              <w:divBdr>
                <w:top w:val="none" w:sz="0" w:space="0" w:color="auto"/>
                <w:left w:val="none" w:sz="0" w:space="0" w:color="auto"/>
                <w:bottom w:val="none" w:sz="0" w:space="0" w:color="auto"/>
                <w:right w:val="none" w:sz="0" w:space="0" w:color="auto"/>
              </w:divBdr>
              <w:divsChild>
                <w:div w:id="1620574418">
                  <w:marLeft w:val="0"/>
                  <w:marRight w:val="0"/>
                  <w:marTop w:val="0"/>
                  <w:marBottom w:val="0"/>
                  <w:divBdr>
                    <w:top w:val="none" w:sz="0" w:space="0" w:color="auto"/>
                    <w:left w:val="none" w:sz="0" w:space="0" w:color="auto"/>
                    <w:bottom w:val="none" w:sz="0" w:space="0" w:color="auto"/>
                    <w:right w:val="none" w:sz="0" w:space="0" w:color="auto"/>
                  </w:divBdr>
                  <w:divsChild>
                    <w:div w:id="1471826768">
                      <w:marLeft w:val="0"/>
                      <w:marRight w:val="0"/>
                      <w:marTop w:val="0"/>
                      <w:marBottom w:val="0"/>
                      <w:divBdr>
                        <w:top w:val="none" w:sz="0" w:space="0" w:color="auto"/>
                        <w:left w:val="none" w:sz="0" w:space="0" w:color="auto"/>
                        <w:bottom w:val="none" w:sz="0" w:space="0" w:color="auto"/>
                        <w:right w:val="none" w:sz="0" w:space="0" w:color="auto"/>
                      </w:divBdr>
                      <w:divsChild>
                        <w:div w:id="34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459628">
      <w:bodyDiv w:val="1"/>
      <w:marLeft w:val="0"/>
      <w:marRight w:val="0"/>
      <w:marTop w:val="0"/>
      <w:marBottom w:val="0"/>
      <w:divBdr>
        <w:top w:val="none" w:sz="0" w:space="0" w:color="auto"/>
        <w:left w:val="none" w:sz="0" w:space="0" w:color="auto"/>
        <w:bottom w:val="none" w:sz="0" w:space="0" w:color="auto"/>
        <w:right w:val="none" w:sz="0" w:space="0" w:color="auto"/>
      </w:divBdr>
      <w:divsChild>
        <w:div w:id="497158612">
          <w:marLeft w:val="0"/>
          <w:marRight w:val="0"/>
          <w:marTop w:val="0"/>
          <w:marBottom w:val="0"/>
          <w:divBdr>
            <w:top w:val="none" w:sz="0" w:space="0" w:color="auto"/>
            <w:left w:val="none" w:sz="0" w:space="0" w:color="auto"/>
            <w:bottom w:val="none" w:sz="0" w:space="0" w:color="auto"/>
            <w:right w:val="none" w:sz="0" w:space="0" w:color="auto"/>
          </w:divBdr>
          <w:divsChild>
            <w:div w:id="1669206935">
              <w:marLeft w:val="0"/>
              <w:marRight w:val="0"/>
              <w:marTop w:val="0"/>
              <w:marBottom w:val="0"/>
              <w:divBdr>
                <w:top w:val="none" w:sz="0" w:space="0" w:color="auto"/>
                <w:left w:val="none" w:sz="0" w:space="0" w:color="auto"/>
                <w:bottom w:val="none" w:sz="0" w:space="0" w:color="auto"/>
                <w:right w:val="none" w:sz="0" w:space="0" w:color="auto"/>
              </w:divBdr>
              <w:divsChild>
                <w:div w:id="112867324">
                  <w:marLeft w:val="0"/>
                  <w:marRight w:val="0"/>
                  <w:marTop w:val="0"/>
                  <w:marBottom w:val="0"/>
                  <w:divBdr>
                    <w:top w:val="none" w:sz="0" w:space="0" w:color="auto"/>
                    <w:left w:val="none" w:sz="0" w:space="0" w:color="auto"/>
                    <w:bottom w:val="none" w:sz="0" w:space="0" w:color="auto"/>
                    <w:right w:val="none" w:sz="0" w:space="0" w:color="auto"/>
                  </w:divBdr>
                  <w:divsChild>
                    <w:div w:id="579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17538">
      <w:bodyDiv w:val="1"/>
      <w:marLeft w:val="0"/>
      <w:marRight w:val="0"/>
      <w:marTop w:val="0"/>
      <w:marBottom w:val="0"/>
      <w:divBdr>
        <w:top w:val="none" w:sz="0" w:space="0" w:color="auto"/>
        <w:left w:val="none" w:sz="0" w:space="0" w:color="auto"/>
        <w:bottom w:val="none" w:sz="0" w:space="0" w:color="auto"/>
        <w:right w:val="none" w:sz="0" w:space="0" w:color="auto"/>
      </w:divBdr>
    </w:div>
    <w:div w:id="682441629">
      <w:bodyDiv w:val="1"/>
      <w:marLeft w:val="0"/>
      <w:marRight w:val="0"/>
      <w:marTop w:val="0"/>
      <w:marBottom w:val="0"/>
      <w:divBdr>
        <w:top w:val="none" w:sz="0" w:space="0" w:color="auto"/>
        <w:left w:val="none" w:sz="0" w:space="0" w:color="auto"/>
        <w:bottom w:val="none" w:sz="0" w:space="0" w:color="auto"/>
        <w:right w:val="none" w:sz="0" w:space="0" w:color="auto"/>
      </w:divBdr>
    </w:div>
    <w:div w:id="712198569">
      <w:bodyDiv w:val="1"/>
      <w:marLeft w:val="0"/>
      <w:marRight w:val="0"/>
      <w:marTop w:val="600"/>
      <w:marBottom w:val="0"/>
      <w:divBdr>
        <w:top w:val="none" w:sz="0" w:space="0" w:color="auto"/>
        <w:left w:val="none" w:sz="0" w:space="0" w:color="auto"/>
        <w:bottom w:val="none" w:sz="0" w:space="0" w:color="auto"/>
        <w:right w:val="none" w:sz="0" w:space="0" w:color="auto"/>
      </w:divBdr>
      <w:divsChild>
        <w:div w:id="1026252781">
          <w:marLeft w:val="0"/>
          <w:marRight w:val="0"/>
          <w:marTop w:val="0"/>
          <w:marBottom w:val="0"/>
          <w:divBdr>
            <w:top w:val="none" w:sz="0" w:space="0" w:color="auto"/>
            <w:left w:val="none" w:sz="0" w:space="0" w:color="auto"/>
            <w:bottom w:val="none" w:sz="0" w:space="0" w:color="auto"/>
            <w:right w:val="none" w:sz="0" w:space="0" w:color="auto"/>
          </w:divBdr>
          <w:divsChild>
            <w:div w:id="359666384">
              <w:marLeft w:val="0"/>
              <w:marRight w:val="0"/>
              <w:marTop w:val="0"/>
              <w:marBottom w:val="450"/>
              <w:divBdr>
                <w:top w:val="none" w:sz="0" w:space="0" w:color="auto"/>
                <w:left w:val="none" w:sz="0" w:space="0" w:color="auto"/>
                <w:bottom w:val="none" w:sz="0" w:space="0" w:color="auto"/>
                <w:right w:val="none" w:sz="0" w:space="0" w:color="auto"/>
              </w:divBdr>
              <w:divsChild>
                <w:div w:id="15534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8633">
      <w:bodyDiv w:val="1"/>
      <w:marLeft w:val="0"/>
      <w:marRight w:val="0"/>
      <w:marTop w:val="0"/>
      <w:marBottom w:val="0"/>
      <w:divBdr>
        <w:top w:val="none" w:sz="0" w:space="0" w:color="auto"/>
        <w:left w:val="none" w:sz="0" w:space="0" w:color="auto"/>
        <w:bottom w:val="none" w:sz="0" w:space="0" w:color="auto"/>
        <w:right w:val="none" w:sz="0" w:space="0" w:color="auto"/>
      </w:divBdr>
      <w:divsChild>
        <w:div w:id="1692611789">
          <w:marLeft w:val="0"/>
          <w:marRight w:val="0"/>
          <w:marTop w:val="0"/>
          <w:marBottom w:val="0"/>
          <w:divBdr>
            <w:top w:val="none" w:sz="0" w:space="0" w:color="auto"/>
            <w:left w:val="none" w:sz="0" w:space="0" w:color="auto"/>
            <w:bottom w:val="none" w:sz="0" w:space="0" w:color="auto"/>
            <w:right w:val="none" w:sz="0" w:space="0" w:color="auto"/>
          </w:divBdr>
          <w:divsChild>
            <w:div w:id="1063214383">
              <w:marLeft w:val="0"/>
              <w:marRight w:val="0"/>
              <w:marTop w:val="0"/>
              <w:marBottom w:val="0"/>
              <w:divBdr>
                <w:top w:val="none" w:sz="0" w:space="0" w:color="auto"/>
                <w:left w:val="none" w:sz="0" w:space="0" w:color="auto"/>
                <w:bottom w:val="none" w:sz="0" w:space="0" w:color="auto"/>
                <w:right w:val="none" w:sz="0" w:space="0" w:color="auto"/>
              </w:divBdr>
              <w:divsChild>
                <w:div w:id="248734608">
                  <w:marLeft w:val="0"/>
                  <w:marRight w:val="0"/>
                  <w:marTop w:val="0"/>
                  <w:marBottom w:val="0"/>
                  <w:divBdr>
                    <w:top w:val="none" w:sz="0" w:space="0" w:color="auto"/>
                    <w:left w:val="none" w:sz="0" w:space="0" w:color="auto"/>
                    <w:bottom w:val="none" w:sz="0" w:space="0" w:color="auto"/>
                    <w:right w:val="none" w:sz="0" w:space="0" w:color="auto"/>
                  </w:divBdr>
                  <w:divsChild>
                    <w:div w:id="6239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9283">
      <w:bodyDiv w:val="1"/>
      <w:marLeft w:val="0"/>
      <w:marRight w:val="0"/>
      <w:marTop w:val="0"/>
      <w:marBottom w:val="0"/>
      <w:divBdr>
        <w:top w:val="none" w:sz="0" w:space="0" w:color="auto"/>
        <w:left w:val="none" w:sz="0" w:space="0" w:color="auto"/>
        <w:bottom w:val="none" w:sz="0" w:space="0" w:color="auto"/>
        <w:right w:val="none" w:sz="0" w:space="0" w:color="auto"/>
      </w:divBdr>
      <w:divsChild>
        <w:div w:id="1728917475">
          <w:marLeft w:val="0"/>
          <w:marRight w:val="0"/>
          <w:marTop w:val="0"/>
          <w:marBottom w:val="0"/>
          <w:divBdr>
            <w:top w:val="none" w:sz="0" w:space="0" w:color="auto"/>
            <w:left w:val="none" w:sz="0" w:space="0" w:color="auto"/>
            <w:bottom w:val="none" w:sz="0" w:space="0" w:color="auto"/>
            <w:right w:val="none" w:sz="0" w:space="0" w:color="auto"/>
          </w:divBdr>
          <w:divsChild>
            <w:div w:id="934746380">
              <w:marLeft w:val="0"/>
              <w:marRight w:val="0"/>
              <w:marTop w:val="0"/>
              <w:marBottom w:val="0"/>
              <w:divBdr>
                <w:top w:val="none" w:sz="0" w:space="0" w:color="auto"/>
                <w:left w:val="none" w:sz="0" w:space="0" w:color="auto"/>
                <w:bottom w:val="none" w:sz="0" w:space="0" w:color="auto"/>
                <w:right w:val="none" w:sz="0" w:space="0" w:color="auto"/>
              </w:divBdr>
              <w:divsChild>
                <w:div w:id="1027029404">
                  <w:marLeft w:val="0"/>
                  <w:marRight w:val="0"/>
                  <w:marTop w:val="0"/>
                  <w:marBottom w:val="0"/>
                  <w:divBdr>
                    <w:top w:val="none" w:sz="0" w:space="0" w:color="auto"/>
                    <w:left w:val="none" w:sz="0" w:space="0" w:color="auto"/>
                    <w:bottom w:val="none" w:sz="0" w:space="0" w:color="auto"/>
                    <w:right w:val="none" w:sz="0" w:space="0" w:color="auto"/>
                  </w:divBdr>
                  <w:divsChild>
                    <w:div w:id="1456946489">
                      <w:marLeft w:val="0"/>
                      <w:marRight w:val="0"/>
                      <w:marTop w:val="0"/>
                      <w:marBottom w:val="0"/>
                      <w:divBdr>
                        <w:top w:val="none" w:sz="0" w:space="0" w:color="auto"/>
                        <w:left w:val="none" w:sz="0" w:space="0" w:color="auto"/>
                        <w:bottom w:val="none" w:sz="0" w:space="0" w:color="auto"/>
                        <w:right w:val="none" w:sz="0" w:space="0" w:color="auto"/>
                      </w:divBdr>
                      <w:divsChild>
                        <w:div w:id="12225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69359">
      <w:bodyDiv w:val="1"/>
      <w:marLeft w:val="0"/>
      <w:marRight w:val="0"/>
      <w:marTop w:val="0"/>
      <w:marBottom w:val="0"/>
      <w:divBdr>
        <w:top w:val="none" w:sz="0" w:space="0" w:color="auto"/>
        <w:left w:val="none" w:sz="0" w:space="0" w:color="auto"/>
        <w:bottom w:val="none" w:sz="0" w:space="0" w:color="auto"/>
        <w:right w:val="none" w:sz="0" w:space="0" w:color="auto"/>
      </w:divBdr>
      <w:divsChild>
        <w:div w:id="1209493099">
          <w:marLeft w:val="0"/>
          <w:marRight w:val="0"/>
          <w:marTop w:val="0"/>
          <w:marBottom w:val="0"/>
          <w:divBdr>
            <w:top w:val="none" w:sz="0" w:space="0" w:color="auto"/>
            <w:left w:val="none" w:sz="0" w:space="0" w:color="auto"/>
            <w:bottom w:val="none" w:sz="0" w:space="0" w:color="auto"/>
            <w:right w:val="none" w:sz="0" w:space="0" w:color="auto"/>
          </w:divBdr>
          <w:divsChild>
            <w:div w:id="1705981888">
              <w:marLeft w:val="0"/>
              <w:marRight w:val="0"/>
              <w:marTop w:val="0"/>
              <w:marBottom w:val="0"/>
              <w:divBdr>
                <w:top w:val="none" w:sz="0" w:space="0" w:color="auto"/>
                <w:left w:val="none" w:sz="0" w:space="0" w:color="auto"/>
                <w:bottom w:val="none" w:sz="0" w:space="0" w:color="auto"/>
                <w:right w:val="none" w:sz="0" w:space="0" w:color="auto"/>
              </w:divBdr>
              <w:divsChild>
                <w:div w:id="1070618302">
                  <w:marLeft w:val="0"/>
                  <w:marRight w:val="0"/>
                  <w:marTop w:val="0"/>
                  <w:marBottom w:val="0"/>
                  <w:divBdr>
                    <w:top w:val="none" w:sz="0" w:space="0" w:color="auto"/>
                    <w:left w:val="none" w:sz="0" w:space="0" w:color="auto"/>
                    <w:bottom w:val="none" w:sz="0" w:space="0" w:color="auto"/>
                    <w:right w:val="none" w:sz="0" w:space="0" w:color="auto"/>
                  </w:divBdr>
                  <w:divsChild>
                    <w:div w:id="18001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8165">
      <w:bodyDiv w:val="1"/>
      <w:marLeft w:val="0"/>
      <w:marRight w:val="0"/>
      <w:marTop w:val="0"/>
      <w:marBottom w:val="0"/>
      <w:divBdr>
        <w:top w:val="none" w:sz="0" w:space="0" w:color="auto"/>
        <w:left w:val="none" w:sz="0" w:space="0" w:color="auto"/>
        <w:bottom w:val="none" w:sz="0" w:space="0" w:color="auto"/>
        <w:right w:val="none" w:sz="0" w:space="0" w:color="auto"/>
      </w:divBdr>
      <w:divsChild>
        <w:div w:id="330917506">
          <w:marLeft w:val="0"/>
          <w:marRight w:val="0"/>
          <w:marTop w:val="0"/>
          <w:marBottom w:val="0"/>
          <w:divBdr>
            <w:top w:val="none" w:sz="0" w:space="0" w:color="auto"/>
            <w:left w:val="none" w:sz="0" w:space="0" w:color="auto"/>
            <w:bottom w:val="none" w:sz="0" w:space="0" w:color="auto"/>
            <w:right w:val="none" w:sz="0" w:space="0" w:color="auto"/>
          </w:divBdr>
          <w:divsChild>
            <w:div w:id="1285963240">
              <w:marLeft w:val="0"/>
              <w:marRight w:val="0"/>
              <w:marTop w:val="0"/>
              <w:marBottom w:val="0"/>
              <w:divBdr>
                <w:top w:val="none" w:sz="0" w:space="0" w:color="auto"/>
                <w:left w:val="none" w:sz="0" w:space="0" w:color="auto"/>
                <w:bottom w:val="none" w:sz="0" w:space="0" w:color="auto"/>
                <w:right w:val="none" w:sz="0" w:space="0" w:color="auto"/>
              </w:divBdr>
              <w:divsChild>
                <w:div w:id="142285337">
                  <w:marLeft w:val="0"/>
                  <w:marRight w:val="0"/>
                  <w:marTop w:val="0"/>
                  <w:marBottom w:val="0"/>
                  <w:divBdr>
                    <w:top w:val="none" w:sz="0" w:space="0" w:color="auto"/>
                    <w:left w:val="none" w:sz="0" w:space="0" w:color="auto"/>
                    <w:bottom w:val="none" w:sz="0" w:space="0" w:color="auto"/>
                    <w:right w:val="none" w:sz="0" w:space="0" w:color="auto"/>
                  </w:divBdr>
                  <w:divsChild>
                    <w:div w:id="732583298">
                      <w:marLeft w:val="0"/>
                      <w:marRight w:val="0"/>
                      <w:marTop w:val="0"/>
                      <w:marBottom w:val="0"/>
                      <w:divBdr>
                        <w:top w:val="none" w:sz="0" w:space="0" w:color="auto"/>
                        <w:left w:val="none" w:sz="0" w:space="0" w:color="auto"/>
                        <w:bottom w:val="none" w:sz="0" w:space="0" w:color="auto"/>
                        <w:right w:val="none" w:sz="0" w:space="0" w:color="auto"/>
                      </w:divBdr>
                      <w:divsChild>
                        <w:div w:id="1880387269">
                          <w:marLeft w:val="0"/>
                          <w:marRight w:val="0"/>
                          <w:marTop w:val="0"/>
                          <w:marBottom w:val="0"/>
                          <w:divBdr>
                            <w:top w:val="none" w:sz="0" w:space="0" w:color="auto"/>
                            <w:left w:val="none" w:sz="0" w:space="0" w:color="auto"/>
                            <w:bottom w:val="none" w:sz="0" w:space="0" w:color="auto"/>
                            <w:right w:val="none" w:sz="0" w:space="0" w:color="auto"/>
                          </w:divBdr>
                          <w:divsChild>
                            <w:div w:id="12718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771354">
      <w:bodyDiv w:val="1"/>
      <w:marLeft w:val="0"/>
      <w:marRight w:val="0"/>
      <w:marTop w:val="0"/>
      <w:marBottom w:val="0"/>
      <w:divBdr>
        <w:top w:val="none" w:sz="0" w:space="0" w:color="auto"/>
        <w:left w:val="none" w:sz="0" w:space="0" w:color="auto"/>
        <w:bottom w:val="none" w:sz="0" w:space="0" w:color="auto"/>
        <w:right w:val="none" w:sz="0" w:space="0" w:color="auto"/>
      </w:divBdr>
      <w:divsChild>
        <w:div w:id="495073306">
          <w:marLeft w:val="0"/>
          <w:marRight w:val="0"/>
          <w:marTop w:val="0"/>
          <w:marBottom w:val="0"/>
          <w:divBdr>
            <w:top w:val="none" w:sz="0" w:space="0" w:color="auto"/>
            <w:left w:val="none" w:sz="0" w:space="0" w:color="auto"/>
            <w:bottom w:val="none" w:sz="0" w:space="0" w:color="auto"/>
            <w:right w:val="none" w:sz="0" w:space="0" w:color="auto"/>
          </w:divBdr>
          <w:divsChild>
            <w:div w:id="241961228">
              <w:marLeft w:val="0"/>
              <w:marRight w:val="0"/>
              <w:marTop w:val="0"/>
              <w:marBottom w:val="0"/>
              <w:divBdr>
                <w:top w:val="none" w:sz="0" w:space="0" w:color="auto"/>
                <w:left w:val="none" w:sz="0" w:space="0" w:color="auto"/>
                <w:bottom w:val="none" w:sz="0" w:space="0" w:color="auto"/>
                <w:right w:val="none" w:sz="0" w:space="0" w:color="auto"/>
              </w:divBdr>
              <w:divsChild>
                <w:div w:id="1906837435">
                  <w:marLeft w:val="0"/>
                  <w:marRight w:val="0"/>
                  <w:marTop w:val="0"/>
                  <w:marBottom w:val="0"/>
                  <w:divBdr>
                    <w:top w:val="none" w:sz="0" w:space="0" w:color="auto"/>
                    <w:left w:val="none" w:sz="0" w:space="0" w:color="auto"/>
                    <w:bottom w:val="none" w:sz="0" w:space="0" w:color="auto"/>
                    <w:right w:val="none" w:sz="0" w:space="0" w:color="auto"/>
                  </w:divBdr>
                  <w:divsChild>
                    <w:div w:id="15571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83048">
      <w:bodyDiv w:val="1"/>
      <w:marLeft w:val="0"/>
      <w:marRight w:val="0"/>
      <w:marTop w:val="0"/>
      <w:marBottom w:val="0"/>
      <w:divBdr>
        <w:top w:val="none" w:sz="0" w:space="0" w:color="auto"/>
        <w:left w:val="none" w:sz="0" w:space="0" w:color="auto"/>
        <w:bottom w:val="none" w:sz="0" w:space="0" w:color="auto"/>
        <w:right w:val="none" w:sz="0" w:space="0" w:color="auto"/>
      </w:divBdr>
      <w:divsChild>
        <w:div w:id="656692786">
          <w:marLeft w:val="0"/>
          <w:marRight w:val="0"/>
          <w:marTop w:val="0"/>
          <w:marBottom w:val="0"/>
          <w:divBdr>
            <w:top w:val="none" w:sz="0" w:space="0" w:color="auto"/>
            <w:left w:val="none" w:sz="0" w:space="0" w:color="auto"/>
            <w:bottom w:val="none" w:sz="0" w:space="0" w:color="auto"/>
            <w:right w:val="none" w:sz="0" w:space="0" w:color="auto"/>
          </w:divBdr>
          <w:divsChild>
            <w:div w:id="160043794">
              <w:marLeft w:val="0"/>
              <w:marRight w:val="0"/>
              <w:marTop w:val="0"/>
              <w:marBottom w:val="0"/>
              <w:divBdr>
                <w:top w:val="none" w:sz="0" w:space="0" w:color="auto"/>
                <w:left w:val="none" w:sz="0" w:space="0" w:color="auto"/>
                <w:bottom w:val="none" w:sz="0" w:space="0" w:color="auto"/>
                <w:right w:val="none" w:sz="0" w:space="0" w:color="auto"/>
              </w:divBdr>
              <w:divsChild>
                <w:div w:id="1465201101">
                  <w:marLeft w:val="0"/>
                  <w:marRight w:val="0"/>
                  <w:marTop w:val="0"/>
                  <w:marBottom w:val="0"/>
                  <w:divBdr>
                    <w:top w:val="none" w:sz="0" w:space="0" w:color="auto"/>
                    <w:left w:val="none" w:sz="0" w:space="0" w:color="auto"/>
                    <w:bottom w:val="none" w:sz="0" w:space="0" w:color="auto"/>
                    <w:right w:val="none" w:sz="0" w:space="0" w:color="auto"/>
                  </w:divBdr>
                  <w:divsChild>
                    <w:div w:id="1415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9948">
      <w:bodyDiv w:val="1"/>
      <w:marLeft w:val="0"/>
      <w:marRight w:val="0"/>
      <w:marTop w:val="0"/>
      <w:marBottom w:val="0"/>
      <w:divBdr>
        <w:top w:val="none" w:sz="0" w:space="0" w:color="auto"/>
        <w:left w:val="none" w:sz="0" w:space="0" w:color="auto"/>
        <w:bottom w:val="none" w:sz="0" w:space="0" w:color="auto"/>
        <w:right w:val="none" w:sz="0" w:space="0" w:color="auto"/>
      </w:divBdr>
      <w:divsChild>
        <w:div w:id="1531801744">
          <w:marLeft w:val="0"/>
          <w:marRight w:val="0"/>
          <w:marTop w:val="0"/>
          <w:marBottom w:val="0"/>
          <w:divBdr>
            <w:top w:val="none" w:sz="0" w:space="0" w:color="auto"/>
            <w:left w:val="none" w:sz="0" w:space="0" w:color="auto"/>
            <w:bottom w:val="none" w:sz="0" w:space="0" w:color="auto"/>
            <w:right w:val="none" w:sz="0" w:space="0" w:color="auto"/>
          </w:divBdr>
          <w:divsChild>
            <w:div w:id="650521478">
              <w:marLeft w:val="0"/>
              <w:marRight w:val="0"/>
              <w:marTop w:val="0"/>
              <w:marBottom w:val="0"/>
              <w:divBdr>
                <w:top w:val="none" w:sz="0" w:space="0" w:color="auto"/>
                <w:left w:val="none" w:sz="0" w:space="0" w:color="auto"/>
                <w:bottom w:val="none" w:sz="0" w:space="0" w:color="auto"/>
                <w:right w:val="none" w:sz="0" w:space="0" w:color="auto"/>
              </w:divBdr>
              <w:divsChild>
                <w:div w:id="1384021535">
                  <w:marLeft w:val="0"/>
                  <w:marRight w:val="0"/>
                  <w:marTop w:val="0"/>
                  <w:marBottom w:val="0"/>
                  <w:divBdr>
                    <w:top w:val="none" w:sz="0" w:space="0" w:color="auto"/>
                    <w:left w:val="none" w:sz="0" w:space="0" w:color="auto"/>
                    <w:bottom w:val="none" w:sz="0" w:space="0" w:color="auto"/>
                    <w:right w:val="none" w:sz="0" w:space="0" w:color="auto"/>
                  </w:divBdr>
                  <w:divsChild>
                    <w:div w:id="8976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8118">
      <w:bodyDiv w:val="1"/>
      <w:marLeft w:val="0"/>
      <w:marRight w:val="0"/>
      <w:marTop w:val="0"/>
      <w:marBottom w:val="0"/>
      <w:divBdr>
        <w:top w:val="none" w:sz="0" w:space="0" w:color="auto"/>
        <w:left w:val="none" w:sz="0" w:space="0" w:color="auto"/>
        <w:bottom w:val="none" w:sz="0" w:space="0" w:color="auto"/>
        <w:right w:val="none" w:sz="0" w:space="0" w:color="auto"/>
      </w:divBdr>
      <w:divsChild>
        <w:div w:id="2113359997">
          <w:marLeft w:val="0"/>
          <w:marRight w:val="0"/>
          <w:marTop w:val="0"/>
          <w:marBottom w:val="0"/>
          <w:divBdr>
            <w:top w:val="none" w:sz="0" w:space="0" w:color="auto"/>
            <w:left w:val="none" w:sz="0" w:space="0" w:color="auto"/>
            <w:bottom w:val="none" w:sz="0" w:space="0" w:color="auto"/>
            <w:right w:val="none" w:sz="0" w:space="0" w:color="auto"/>
          </w:divBdr>
          <w:divsChild>
            <w:div w:id="135878956">
              <w:marLeft w:val="0"/>
              <w:marRight w:val="0"/>
              <w:marTop w:val="0"/>
              <w:marBottom w:val="0"/>
              <w:divBdr>
                <w:top w:val="none" w:sz="0" w:space="0" w:color="auto"/>
                <w:left w:val="none" w:sz="0" w:space="0" w:color="auto"/>
                <w:bottom w:val="none" w:sz="0" w:space="0" w:color="auto"/>
                <w:right w:val="none" w:sz="0" w:space="0" w:color="auto"/>
              </w:divBdr>
              <w:divsChild>
                <w:div w:id="1612320439">
                  <w:marLeft w:val="0"/>
                  <w:marRight w:val="0"/>
                  <w:marTop w:val="0"/>
                  <w:marBottom w:val="0"/>
                  <w:divBdr>
                    <w:top w:val="none" w:sz="0" w:space="0" w:color="auto"/>
                    <w:left w:val="none" w:sz="0" w:space="0" w:color="auto"/>
                    <w:bottom w:val="none" w:sz="0" w:space="0" w:color="auto"/>
                    <w:right w:val="none" w:sz="0" w:space="0" w:color="auto"/>
                  </w:divBdr>
                  <w:divsChild>
                    <w:div w:id="49692253">
                      <w:marLeft w:val="0"/>
                      <w:marRight w:val="0"/>
                      <w:marTop w:val="400"/>
                      <w:marBottom w:val="0"/>
                      <w:divBdr>
                        <w:top w:val="none" w:sz="0" w:space="0" w:color="auto"/>
                        <w:left w:val="none" w:sz="0" w:space="0" w:color="auto"/>
                        <w:bottom w:val="none" w:sz="0" w:space="0" w:color="auto"/>
                        <w:right w:val="none" w:sz="0" w:space="0" w:color="auto"/>
                      </w:divBdr>
                    </w:div>
                    <w:div w:id="438140567">
                      <w:marLeft w:val="0"/>
                      <w:marRight w:val="0"/>
                      <w:marTop w:val="0"/>
                      <w:marBottom w:val="0"/>
                      <w:divBdr>
                        <w:top w:val="none" w:sz="0" w:space="0" w:color="auto"/>
                        <w:left w:val="none" w:sz="0" w:space="0" w:color="auto"/>
                        <w:bottom w:val="none" w:sz="0" w:space="0" w:color="auto"/>
                        <w:right w:val="none" w:sz="0" w:space="0" w:color="auto"/>
                      </w:divBdr>
                      <w:divsChild>
                        <w:div w:id="522399738">
                          <w:marLeft w:val="0"/>
                          <w:marRight w:val="0"/>
                          <w:marTop w:val="0"/>
                          <w:marBottom w:val="0"/>
                          <w:divBdr>
                            <w:top w:val="none" w:sz="0" w:space="0" w:color="auto"/>
                            <w:left w:val="none" w:sz="0" w:space="0" w:color="auto"/>
                            <w:bottom w:val="none" w:sz="0" w:space="0" w:color="auto"/>
                            <w:right w:val="none" w:sz="0" w:space="0" w:color="auto"/>
                          </w:divBdr>
                        </w:div>
                      </w:divsChild>
                    </w:div>
                    <w:div w:id="1788347617">
                      <w:marLeft w:val="0"/>
                      <w:marRight w:val="0"/>
                      <w:marTop w:val="0"/>
                      <w:marBottom w:val="0"/>
                      <w:divBdr>
                        <w:top w:val="none" w:sz="0" w:space="0" w:color="auto"/>
                        <w:left w:val="none" w:sz="0" w:space="0" w:color="auto"/>
                        <w:bottom w:val="none" w:sz="0" w:space="0" w:color="auto"/>
                        <w:right w:val="none" w:sz="0" w:space="0" w:color="auto"/>
                      </w:divBdr>
                      <w:divsChild>
                        <w:div w:id="356347761">
                          <w:marLeft w:val="0"/>
                          <w:marRight w:val="0"/>
                          <w:marTop w:val="0"/>
                          <w:marBottom w:val="0"/>
                          <w:divBdr>
                            <w:top w:val="none" w:sz="0" w:space="0" w:color="auto"/>
                            <w:left w:val="none" w:sz="0" w:space="0" w:color="auto"/>
                            <w:bottom w:val="none" w:sz="0" w:space="0" w:color="auto"/>
                            <w:right w:val="none" w:sz="0" w:space="0" w:color="auto"/>
                          </w:divBdr>
                        </w:div>
                      </w:divsChild>
                    </w:div>
                    <w:div w:id="397822452">
                      <w:marLeft w:val="0"/>
                      <w:marRight w:val="0"/>
                      <w:marTop w:val="0"/>
                      <w:marBottom w:val="0"/>
                      <w:divBdr>
                        <w:top w:val="none" w:sz="0" w:space="0" w:color="auto"/>
                        <w:left w:val="none" w:sz="0" w:space="0" w:color="auto"/>
                        <w:bottom w:val="none" w:sz="0" w:space="0" w:color="auto"/>
                        <w:right w:val="none" w:sz="0" w:space="0" w:color="auto"/>
                      </w:divBdr>
                      <w:divsChild>
                        <w:div w:id="983966326">
                          <w:marLeft w:val="0"/>
                          <w:marRight w:val="0"/>
                          <w:marTop w:val="0"/>
                          <w:marBottom w:val="0"/>
                          <w:divBdr>
                            <w:top w:val="none" w:sz="0" w:space="0" w:color="auto"/>
                            <w:left w:val="none" w:sz="0" w:space="0" w:color="auto"/>
                            <w:bottom w:val="none" w:sz="0" w:space="0" w:color="auto"/>
                            <w:right w:val="none" w:sz="0" w:space="0" w:color="auto"/>
                          </w:divBdr>
                        </w:div>
                      </w:divsChild>
                    </w:div>
                    <w:div w:id="1238438611">
                      <w:marLeft w:val="0"/>
                      <w:marRight w:val="0"/>
                      <w:marTop w:val="0"/>
                      <w:marBottom w:val="0"/>
                      <w:divBdr>
                        <w:top w:val="none" w:sz="0" w:space="0" w:color="auto"/>
                        <w:left w:val="none" w:sz="0" w:space="0" w:color="auto"/>
                        <w:bottom w:val="none" w:sz="0" w:space="0" w:color="auto"/>
                        <w:right w:val="none" w:sz="0" w:space="0" w:color="auto"/>
                      </w:divBdr>
                      <w:divsChild>
                        <w:div w:id="883176720">
                          <w:marLeft w:val="0"/>
                          <w:marRight w:val="0"/>
                          <w:marTop w:val="0"/>
                          <w:marBottom w:val="0"/>
                          <w:divBdr>
                            <w:top w:val="none" w:sz="0" w:space="0" w:color="auto"/>
                            <w:left w:val="none" w:sz="0" w:space="0" w:color="auto"/>
                            <w:bottom w:val="none" w:sz="0" w:space="0" w:color="auto"/>
                            <w:right w:val="none" w:sz="0" w:space="0" w:color="auto"/>
                          </w:divBdr>
                        </w:div>
                      </w:divsChild>
                    </w:div>
                    <w:div w:id="394471903">
                      <w:marLeft w:val="0"/>
                      <w:marRight w:val="0"/>
                      <w:marTop w:val="0"/>
                      <w:marBottom w:val="0"/>
                      <w:divBdr>
                        <w:top w:val="none" w:sz="0" w:space="0" w:color="auto"/>
                        <w:left w:val="none" w:sz="0" w:space="0" w:color="auto"/>
                        <w:bottom w:val="none" w:sz="0" w:space="0" w:color="auto"/>
                        <w:right w:val="none" w:sz="0" w:space="0" w:color="auto"/>
                      </w:divBdr>
                      <w:divsChild>
                        <w:div w:id="1060904732">
                          <w:marLeft w:val="0"/>
                          <w:marRight w:val="0"/>
                          <w:marTop w:val="0"/>
                          <w:marBottom w:val="0"/>
                          <w:divBdr>
                            <w:top w:val="none" w:sz="0" w:space="0" w:color="auto"/>
                            <w:left w:val="none" w:sz="0" w:space="0" w:color="auto"/>
                            <w:bottom w:val="none" w:sz="0" w:space="0" w:color="auto"/>
                            <w:right w:val="none" w:sz="0" w:space="0" w:color="auto"/>
                          </w:divBdr>
                        </w:div>
                      </w:divsChild>
                    </w:div>
                    <w:div w:id="14489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78713">
      <w:bodyDiv w:val="1"/>
      <w:marLeft w:val="0"/>
      <w:marRight w:val="0"/>
      <w:marTop w:val="0"/>
      <w:marBottom w:val="0"/>
      <w:divBdr>
        <w:top w:val="none" w:sz="0" w:space="0" w:color="auto"/>
        <w:left w:val="none" w:sz="0" w:space="0" w:color="auto"/>
        <w:bottom w:val="none" w:sz="0" w:space="0" w:color="auto"/>
        <w:right w:val="none" w:sz="0" w:space="0" w:color="auto"/>
      </w:divBdr>
      <w:divsChild>
        <w:div w:id="1170676064">
          <w:marLeft w:val="0"/>
          <w:marRight w:val="0"/>
          <w:marTop w:val="0"/>
          <w:marBottom w:val="0"/>
          <w:divBdr>
            <w:top w:val="none" w:sz="0" w:space="0" w:color="auto"/>
            <w:left w:val="none" w:sz="0" w:space="0" w:color="auto"/>
            <w:bottom w:val="none" w:sz="0" w:space="0" w:color="auto"/>
            <w:right w:val="none" w:sz="0" w:space="0" w:color="auto"/>
          </w:divBdr>
          <w:divsChild>
            <w:div w:id="1741250488">
              <w:marLeft w:val="0"/>
              <w:marRight w:val="0"/>
              <w:marTop w:val="0"/>
              <w:marBottom w:val="0"/>
              <w:divBdr>
                <w:top w:val="none" w:sz="0" w:space="0" w:color="auto"/>
                <w:left w:val="none" w:sz="0" w:space="0" w:color="auto"/>
                <w:bottom w:val="none" w:sz="0" w:space="0" w:color="auto"/>
                <w:right w:val="none" w:sz="0" w:space="0" w:color="auto"/>
              </w:divBdr>
              <w:divsChild>
                <w:div w:id="2090803852">
                  <w:marLeft w:val="0"/>
                  <w:marRight w:val="0"/>
                  <w:marTop w:val="0"/>
                  <w:marBottom w:val="0"/>
                  <w:divBdr>
                    <w:top w:val="none" w:sz="0" w:space="0" w:color="auto"/>
                    <w:left w:val="none" w:sz="0" w:space="0" w:color="auto"/>
                    <w:bottom w:val="none" w:sz="0" w:space="0" w:color="auto"/>
                    <w:right w:val="none" w:sz="0" w:space="0" w:color="auto"/>
                  </w:divBdr>
                  <w:divsChild>
                    <w:div w:id="19940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380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380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937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doc.php?id=3804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139370" TargetMode="External"/><Relationship Id="rId14" Type="http://schemas.openxmlformats.org/officeDocument/2006/relationships/hyperlink" Target="mailto:Arturs.Detlavs@t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AF23-C4A1-4667-B92E-296768A3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5269</Words>
  <Characters>30034</Characters>
  <Application>Microsoft Office Word</Application>
  <DocSecurity>4</DocSecurity>
  <Lines>250</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ziņojums„Par Augstākās tiesas Krimināllietu tiesu palātas likvidācijas ietekmi uz   tiesvedību krimināllietās”</vt:lpstr>
      <vt:lpstr>Informatīvais ziņojums„Par Augstākās tiesas Krimināllietu tiesu palātas likvidācijas ietekmi uz   tiesvedību krimināllietās”</vt:lpstr>
    </vt:vector>
  </TitlesOfParts>
  <Company>Tieslietu Ministrija</Company>
  <LinksUpToDate>false</LinksUpToDate>
  <CharactersWithSpaces>35233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Augstākās tiesas Krimināllietu tiesu palātas likvidācijas ietekmi uz tiesvedību krimināllietās”</dc:title>
  <dc:subject>Informatīvais ziņojums</dc:subject>
  <dc:creator>Tieslietu ministrija</dc:creator>
  <dc:description>A.Detlavs
67036827; Arturs.Detlavs@tm.gov.lv</dc:description>
  <cp:lastModifiedBy>Kristine Kuprijanova</cp:lastModifiedBy>
  <cp:revision>2</cp:revision>
  <cp:lastPrinted>2014-06-17T12:00:00Z</cp:lastPrinted>
  <dcterms:created xsi:type="dcterms:W3CDTF">2014-06-25T10:01:00Z</dcterms:created>
  <dcterms:modified xsi:type="dcterms:W3CDTF">2014-06-25T10:01:00Z</dcterms:modified>
</cp:coreProperties>
</file>