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D8" w:rsidRPr="009651CA" w:rsidRDefault="00403300" w:rsidP="009651CA">
      <w:pPr>
        <w:jc w:val="center"/>
        <w:rPr>
          <w:rFonts w:ascii="Times New Roman" w:hAnsi="Times New Roman"/>
          <w:b/>
          <w:sz w:val="24"/>
          <w:szCs w:val="24"/>
        </w:rPr>
      </w:pPr>
      <w:bookmarkStart w:id="0" w:name="_GoBack"/>
      <w:bookmarkEnd w:id="0"/>
      <w:r w:rsidRPr="009651CA">
        <w:rPr>
          <w:rFonts w:ascii="Times New Roman" w:hAnsi="Times New Roman"/>
          <w:b/>
          <w:sz w:val="24"/>
          <w:szCs w:val="24"/>
        </w:rPr>
        <w:t>Ministru kabineta noteikumu</w:t>
      </w:r>
      <w:r w:rsidR="00C4287E" w:rsidRPr="009651CA">
        <w:rPr>
          <w:rFonts w:ascii="Times New Roman" w:hAnsi="Times New Roman"/>
          <w:b/>
          <w:sz w:val="24"/>
          <w:szCs w:val="24"/>
        </w:rPr>
        <w:t xml:space="preserve"> projekta</w:t>
      </w:r>
      <w:r w:rsidR="007F27A5" w:rsidRPr="009651CA">
        <w:rPr>
          <w:rFonts w:ascii="Times New Roman" w:hAnsi="Times New Roman"/>
          <w:b/>
          <w:sz w:val="24"/>
          <w:szCs w:val="24"/>
        </w:rPr>
        <w:t xml:space="preserve"> „</w:t>
      </w:r>
      <w:r w:rsidR="009651CA" w:rsidRPr="009651CA">
        <w:rPr>
          <w:rFonts w:ascii="Times New Roman" w:hAnsi="Times New Roman"/>
          <w:b/>
          <w:sz w:val="24"/>
          <w:szCs w:val="24"/>
        </w:rPr>
        <w:t>Reģionālās attīstības uzraudzības un novērtēšanas kārtība</w:t>
      </w:r>
      <w:r w:rsidR="003151D8" w:rsidRPr="009651CA">
        <w:rPr>
          <w:rFonts w:ascii="Times New Roman" w:hAnsi="Times New Roman"/>
          <w:b/>
          <w:sz w:val="24"/>
          <w:szCs w:val="24"/>
        </w:rPr>
        <w:t xml:space="preserve">” sākotnējās ietekmes novērtējuma </w:t>
      </w:r>
      <w:smartTag w:uri="schemas-tilde-lv/tildestengine" w:element="veidnes">
        <w:smartTagPr>
          <w:attr w:name="baseform" w:val="ziņojums"/>
          <w:attr w:name="id" w:val="-1"/>
          <w:attr w:name="text" w:val="ziņojums"/>
        </w:smartTagPr>
        <w:r w:rsidR="003151D8" w:rsidRPr="009651CA">
          <w:rPr>
            <w:rFonts w:ascii="Times New Roman" w:hAnsi="Times New Roman"/>
            <w:b/>
            <w:sz w:val="24"/>
            <w:szCs w:val="24"/>
          </w:rPr>
          <w:t>ziņojums</w:t>
        </w:r>
      </w:smartTag>
      <w:r w:rsidR="003151D8" w:rsidRPr="009651CA">
        <w:rPr>
          <w:rFonts w:ascii="Times New Roman" w:hAnsi="Times New Roman"/>
          <w:b/>
          <w:sz w:val="24"/>
          <w:szCs w:val="24"/>
        </w:rPr>
        <w:t xml:space="preserve"> (anotācija)</w:t>
      </w:r>
    </w:p>
    <w:p w:rsidR="003151D8" w:rsidRPr="009651CA" w:rsidRDefault="003151D8">
      <w:pPr>
        <w:rPr>
          <w:rFonts w:ascii="Times New Roman" w:hAnsi="Times New Roman"/>
          <w:sz w:val="24"/>
          <w:szCs w:val="24"/>
        </w:rPr>
      </w:pPr>
    </w:p>
    <w:tbl>
      <w:tblPr>
        <w:tblStyle w:val="TableGrid"/>
        <w:tblW w:w="0" w:type="auto"/>
        <w:tblLook w:val="04A0" w:firstRow="1" w:lastRow="0" w:firstColumn="1" w:lastColumn="0" w:noHBand="0" w:noVBand="1"/>
      </w:tblPr>
      <w:tblGrid>
        <w:gridCol w:w="493"/>
        <w:gridCol w:w="3350"/>
        <w:gridCol w:w="5670"/>
      </w:tblGrid>
      <w:tr w:rsidR="002863C4" w:rsidRPr="009651CA" w:rsidTr="00A77A7C">
        <w:tc>
          <w:tcPr>
            <w:tcW w:w="9513" w:type="dxa"/>
            <w:gridSpan w:val="3"/>
          </w:tcPr>
          <w:p w:rsidR="002863C4" w:rsidRPr="009651CA" w:rsidRDefault="002863C4" w:rsidP="002863C4">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b/>
                <w:bCs/>
                <w:sz w:val="24"/>
                <w:szCs w:val="24"/>
                <w:lang w:eastAsia="lv-LV"/>
              </w:rPr>
              <w:t xml:space="preserve"> I. Tiesību </w:t>
            </w:r>
            <w:smartTag w:uri="schemas-tilde-lv/tildestengine" w:element="veidnes">
              <w:smartTagPr>
                <w:attr w:name="text" w:val="akta"/>
                <w:attr w:name="id" w:val="-1"/>
                <w:attr w:name="baseform" w:val="akt|s"/>
              </w:smartTagPr>
              <w:r w:rsidRPr="009651CA">
                <w:rPr>
                  <w:rFonts w:ascii="Times New Roman" w:eastAsia="Times New Roman" w:hAnsi="Times New Roman"/>
                  <w:b/>
                  <w:bCs/>
                  <w:sz w:val="24"/>
                  <w:szCs w:val="24"/>
                  <w:lang w:eastAsia="lv-LV"/>
                </w:rPr>
                <w:t>akta</w:t>
              </w:r>
            </w:smartTag>
            <w:r w:rsidRPr="009651CA">
              <w:rPr>
                <w:rFonts w:ascii="Times New Roman" w:eastAsia="Times New Roman" w:hAnsi="Times New Roman"/>
                <w:b/>
                <w:bCs/>
                <w:sz w:val="24"/>
                <w:szCs w:val="24"/>
                <w:lang w:eastAsia="lv-LV"/>
              </w:rPr>
              <w:t xml:space="preserve"> projekta izstrādes nepieciešamība</w:t>
            </w:r>
          </w:p>
        </w:tc>
      </w:tr>
      <w:tr w:rsidR="002863C4" w:rsidRPr="009651CA" w:rsidTr="00A77A7C">
        <w:trPr>
          <w:trHeight w:val="630"/>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1.</w:t>
            </w:r>
          </w:p>
        </w:tc>
        <w:tc>
          <w:tcPr>
            <w:tcW w:w="3350" w:type="dxa"/>
          </w:tcPr>
          <w:p w:rsidR="002863C4" w:rsidRPr="009651CA" w:rsidRDefault="002863C4" w:rsidP="008F6BF0">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Pamatojums</w:t>
            </w:r>
          </w:p>
        </w:tc>
        <w:tc>
          <w:tcPr>
            <w:tcW w:w="5670" w:type="dxa"/>
          </w:tcPr>
          <w:p w:rsidR="00593C54" w:rsidRPr="009651CA" w:rsidRDefault="003F50FC" w:rsidP="008B6823">
            <w:pPr>
              <w:spacing w:before="63" w:after="63"/>
              <w:rPr>
                <w:rFonts w:ascii="Times New Roman" w:hAnsi="Times New Roman"/>
                <w:sz w:val="24"/>
                <w:szCs w:val="24"/>
              </w:rPr>
            </w:pPr>
            <w:r w:rsidRPr="009651CA">
              <w:rPr>
                <w:rFonts w:ascii="Times New Roman" w:eastAsia="Times New Roman" w:hAnsi="Times New Roman"/>
                <w:sz w:val="24"/>
                <w:szCs w:val="24"/>
                <w:lang w:eastAsia="lv-LV"/>
              </w:rPr>
              <w:t>Reģionālās attīst</w:t>
            </w:r>
            <w:r w:rsidR="007F27A5" w:rsidRPr="009651CA">
              <w:rPr>
                <w:rFonts w:ascii="Times New Roman" w:eastAsia="Times New Roman" w:hAnsi="Times New Roman"/>
                <w:sz w:val="24"/>
                <w:szCs w:val="24"/>
                <w:lang w:eastAsia="lv-LV"/>
              </w:rPr>
              <w:t>ības likuma 14.panta 4.</w:t>
            </w:r>
            <w:r w:rsidR="008B6823">
              <w:rPr>
                <w:rFonts w:ascii="Times New Roman" w:eastAsia="Times New Roman" w:hAnsi="Times New Roman"/>
                <w:sz w:val="24"/>
                <w:szCs w:val="24"/>
                <w:lang w:eastAsia="lv-LV"/>
              </w:rPr>
              <w:t xml:space="preserve"> </w:t>
            </w:r>
            <w:r w:rsidR="008B6823" w:rsidRPr="00FC50C4">
              <w:rPr>
                <w:rFonts w:ascii="Times New Roman" w:eastAsia="Times New Roman" w:hAnsi="Times New Roman"/>
                <w:sz w:val="24"/>
                <w:szCs w:val="24"/>
                <w:lang w:eastAsia="lv-LV"/>
              </w:rPr>
              <w:t>un 5.</w:t>
            </w:r>
            <w:r w:rsidR="007F27A5" w:rsidRPr="00FC50C4">
              <w:rPr>
                <w:rFonts w:ascii="Times New Roman" w:eastAsia="Times New Roman" w:hAnsi="Times New Roman"/>
                <w:sz w:val="24"/>
                <w:szCs w:val="24"/>
                <w:lang w:eastAsia="lv-LV"/>
              </w:rPr>
              <w:t>punkts.</w:t>
            </w:r>
            <w:r w:rsidRPr="009651CA">
              <w:rPr>
                <w:rFonts w:ascii="Times New Roman" w:eastAsia="Times New Roman" w:hAnsi="Times New Roman"/>
                <w:sz w:val="24"/>
                <w:szCs w:val="24"/>
                <w:lang w:eastAsia="lv-LV"/>
              </w:rPr>
              <w:t xml:space="preserve"> </w:t>
            </w:r>
          </w:p>
        </w:tc>
      </w:tr>
      <w:tr w:rsidR="002863C4" w:rsidRPr="009651CA" w:rsidTr="00A77A7C">
        <w:trPr>
          <w:trHeight w:val="472"/>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2.</w:t>
            </w:r>
          </w:p>
        </w:tc>
        <w:tc>
          <w:tcPr>
            <w:tcW w:w="3350"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Pašreizējā situācija un problēmas</w:t>
            </w:r>
          </w:p>
        </w:tc>
        <w:tc>
          <w:tcPr>
            <w:tcW w:w="5670" w:type="dxa"/>
          </w:tcPr>
          <w:p w:rsidR="006D5227" w:rsidRPr="00FC50C4" w:rsidRDefault="006D5227" w:rsidP="002F2195">
            <w:pPr>
              <w:spacing w:after="120"/>
              <w:rPr>
                <w:rFonts w:ascii="Times New Roman" w:hAnsi="Times New Roman"/>
                <w:sz w:val="24"/>
                <w:szCs w:val="24"/>
              </w:rPr>
            </w:pPr>
            <w:r w:rsidRPr="00FC50C4">
              <w:rPr>
                <w:rFonts w:ascii="Times New Roman" w:hAnsi="Times New Roman"/>
                <w:sz w:val="24"/>
                <w:szCs w:val="24"/>
              </w:rPr>
              <w:t xml:space="preserve">2014.gada </w:t>
            </w:r>
            <w:r w:rsidR="00376AA9" w:rsidRPr="00FC50C4">
              <w:rPr>
                <w:rFonts w:ascii="Times New Roman" w:hAnsi="Times New Roman"/>
                <w:sz w:val="24"/>
                <w:szCs w:val="24"/>
              </w:rPr>
              <w:t xml:space="preserve">15.aprīlī ir izsludināti 2014.gada </w:t>
            </w:r>
            <w:r w:rsidRPr="00FC50C4">
              <w:rPr>
                <w:rFonts w:ascii="Times New Roman" w:hAnsi="Times New Roman"/>
                <w:sz w:val="24"/>
                <w:szCs w:val="24"/>
              </w:rPr>
              <w:t>3.aprīlī Saeimā pieņemti</w:t>
            </w:r>
            <w:r w:rsidR="00376AA9" w:rsidRPr="00FC50C4">
              <w:rPr>
                <w:rFonts w:ascii="Times New Roman" w:hAnsi="Times New Roman"/>
                <w:sz w:val="24"/>
                <w:szCs w:val="24"/>
              </w:rPr>
              <w:t>e</w:t>
            </w:r>
            <w:r w:rsidRPr="00FC50C4">
              <w:rPr>
                <w:rFonts w:ascii="Times New Roman" w:hAnsi="Times New Roman"/>
                <w:sz w:val="24"/>
                <w:szCs w:val="24"/>
              </w:rPr>
              <w:t xml:space="preserve"> grozījumi Reģionālās attīstības likumā, </w:t>
            </w:r>
            <w:r w:rsidR="002F2195" w:rsidRPr="00FC50C4">
              <w:rPr>
                <w:rFonts w:ascii="Times New Roman" w:hAnsi="Times New Roman"/>
                <w:sz w:val="24"/>
                <w:szCs w:val="24"/>
              </w:rPr>
              <w:t>paplašinot 14.panta 4.punktā Ministru kabinetam sniegto deleģējumu un paredzot, ka Ministru kabinets nosaka reģionālās attīstības uzraudzības un novērtēšanas kārtību.</w:t>
            </w:r>
          </w:p>
          <w:p w:rsidR="008043D3" w:rsidRPr="00FC50C4" w:rsidRDefault="00C92A8B" w:rsidP="006D5227">
            <w:pPr>
              <w:spacing w:after="120"/>
              <w:rPr>
                <w:rFonts w:ascii="Times New Roman" w:hAnsi="Times New Roman"/>
                <w:sz w:val="24"/>
                <w:szCs w:val="24"/>
              </w:rPr>
            </w:pPr>
            <w:r w:rsidRPr="00FC50C4">
              <w:rPr>
                <w:rFonts w:ascii="Times New Roman" w:hAnsi="Times New Roman"/>
                <w:sz w:val="24"/>
                <w:szCs w:val="24"/>
              </w:rPr>
              <w:t xml:space="preserve">Iepriekš </w:t>
            </w:r>
            <w:r w:rsidR="007F27A5" w:rsidRPr="00FC50C4">
              <w:rPr>
                <w:rFonts w:ascii="Times New Roman" w:hAnsi="Times New Roman"/>
                <w:sz w:val="24"/>
                <w:szCs w:val="24"/>
              </w:rPr>
              <w:t>Reģionālās attīstības likuma 14.panta 4.</w:t>
            </w:r>
            <w:r w:rsidRPr="00FC50C4">
              <w:rPr>
                <w:rFonts w:ascii="Times New Roman" w:hAnsi="Times New Roman"/>
                <w:sz w:val="24"/>
                <w:szCs w:val="24"/>
              </w:rPr>
              <w:t xml:space="preserve">punkts paredzēja, ka </w:t>
            </w:r>
            <w:r w:rsidR="007F27A5" w:rsidRPr="00FC50C4">
              <w:rPr>
                <w:rFonts w:ascii="Times New Roman" w:hAnsi="Times New Roman"/>
                <w:sz w:val="24"/>
                <w:szCs w:val="24"/>
              </w:rPr>
              <w:t>Ministru kabinets nosaka reģionālās attīstības uzraudzības un novērtēšanas sistēmas darbībā iesaistīto institūciju informācijas apmai</w:t>
            </w:r>
            <w:r w:rsidR="0092791B" w:rsidRPr="00FC50C4">
              <w:rPr>
                <w:rFonts w:ascii="Times New Roman" w:hAnsi="Times New Roman"/>
                <w:sz w:val="24"/>
                <w:szCs w:val="24"/>
              </w:rPr>
              <w:t>ņas kārtību.</w:t>
            </w:r>
          </w:p>
          <w:p w:rsidR="007F27A5" w:rsidRPr="009651CA" w:rsidRDefault="0092791B" w:rsidP="006D5227">
            <w:pPr>
              <w:spacing w:after="120"/>
              <w:rPr>
                <w:rFonts w:ascii="Times New Roman" w:hAnsi="Times New Roman"/>
                <w:bCs/>
                <w:sz w:val="24"/>
                <w:szCs w:val="24"/>
              </w:rPr>
            </w:pPr>
            <w:r w:rsidRPr="009651CA">
              <w:rPr>
                <w:rFonts w:ascii="Times New Roman" w:hAnsi="Times New Roman"/>
                <w:sz w:val="24"/>
                <w:szCs w:val="24"/>
              </w:rPr>
              <w:t>Pašlaik spēkā ir Ministru kabineta 2006.gada 19.septembra noteikumi Nr.766 „Reģionālās attīstības uzraudzības un novērtēšanas sistēmas darbībā iesaistīto institūciju informācijas apmaiņas kārtība”. Noteikumi tika izstrādāti</w:t>
            </w:r>
            <w:r w:rsidR="004E5AA4" w:rsidRPr="009651CA">
              <w:rPr>
                <w:rFonts w:ascii="Times New Roman" w:hAnsi="Times New Roman"/>
                <w:sz w:val="24"/>
                <w:szCs w:val="24"/>
              </w:rPr>
              <w:t>, balstoties uz Reģionālās attīstības pamatnostādņu (Ministru kabineta 2004.gada 2.aprīļa rīkojums Nr.198 „</w:t>
            </w:r>
            <w:r w:rsidR="004E5AA4" w:rsidRPr="009651CA">
              <w:rPr>
                <w:rFonts w:ascii="Times New Roman" w:hAnsi="Times New Roman"/>
                <w:bCs/>
                <w:sz w:val="24"/>
                <w:szCs w:val="24"/>
              </w:rPr>
              <w:t xml:space="preserve">Par Reģionālās politikas pamatnostādnēm”) doto uzdevumu izveidot reģionālās politikas ieviešanas uzraudzības un novērtēšanas sistēmu, kuras pamatā ir reģionālās attīstības uzraudzības un novērtēšanas sistēma. </w:t>
            </w:r>
            <w:r w:rsidR="00764173">
              <w:rPr>
                <w:rFonts w:ascii="Times New Roman" w:hAnsi="Times New Roman"/>
                <w:bCs/>
                <w:sz w:val="24"/>
                <w:szCs w:val="24"/>
              </w:rPr>
              <w:t>Tajā</w:t>
            </w:r>
            <w:r w:rsidR="004E5AA4" w:rsidRPr="009651CA">
              <w:rPr>
                <w:rFonts w:ascii="Times New Roman" w:hAnsi="Times New Roman"/>
                <w:bCs/>
                <w:sz w:val="24"/>
                <w:szCs w:val="24"/>
              </w:rPr>
              <w:t xml:space="preserve"> tiktu uzkrāta un analizēta informācija par reģionu attīstību raksturojošiem sociālekonomiskajiem rādītājiem, kā arī informācija par ministriju pārziņā esošiem reģionālās attīstības atbalsta instrumentu (pasākumi, programmas utt.) finanšu resursu un darbības rezultātu rezultatīvajiem rādītājiem administratīvi teritoriālā iedalī</w:t>
            </w:r>
            <w:r w:rsidR="005C7400">
              <w:rPr>
                <w:rFonts w:ascii="Times New Roman" w:hAnsi="Times New Roman"/>
                <w:bCs/>
                <w:sz w:val="24"/>
                <w:szCs w:val="24"/>
              </w:rPr>
              <w:t>jumā</w:t>
            </w:r>
            <w:r w:rsidR="004E5AA4" w:rsidRPr="009651CA">
              <w:rPr>
                <w:rFonts w:ascii="Times New Roman" w:hAnsi="Times New Roman"/>
                <w:bCs/>
                <w:sz w:val="24"/>
                <w:szCs w:val="24"/>
              </w:rPr>
              <w:t>. Sistēmas ieviešanai tika paredzēts izstrādāt reģionālās attīstības uzraudzības un novērtēšanas informācijas sistēmu</w:t>
            </w:r>
            <w:r w:rsidR="0028094C" w:rsidRPr="009651CA">
              <w:rPr>
                <w:rFonts w:ascii="Times New Roman" w:hAnsi="Times New Roman"/>
                <w:bCs/>
                <w:sz w:val="24"/>
                <w:szCs w:val="24"/>
              </w:rPr>
              <w:t>.</w:t>
            </w:r>
            <w:r w:rsidR="006512F2" w:rsidRPr="009651CA">
              <w:rPr>
                <w:rFonts w:ascii="Times New Roman" w:hAnsi="Times New Roman"/>
                <w:bCs/>
                <w:sz w:val="24"/>
                <w:szCs w:val="24"/>
              </w:rPr>
              <w:t xml:space="preserve"> No sistēmas izstrādes bija atkarīga </w:t>
            </w:r>
            <w:r w:rsidR="006512F2" w:rsidRPr="009651CA">
              <w:rPr>
                <w:rFonts w:ascii="Times New Roman" w:hAnsi="Times New Roman"/>
                <w:sz w:val="24"/>
                <w:szCs w:val="24"/>
              </w:rPr>
              <w:t>Ministru kabineta 2006.gada 19.septembra noteikumu Nr.766 „Reģionālās attīstības uzraudzības un novērtēšanas sistēmas darbībā iesaistīto institūciju informācijas apmaiņas kārtība” normu piemērošana.</w:t>
            </w:r>
          </w:p>
          <w:p w:rsidR="00DA663B" w:rsidRPr="009651CA" w:rsidRDefault="00596C15" w:rsidP="007F27A5">
            <w:pPr>
              <w:spacing w:after="120"/>
              <w:rPr>
                <w:rFonts w:ascii="Times New Roman" w:hAnsi="Times New Roman"/>
                <w:bCs/>
                <w:sz w:val="24"/>
                <w:szCs w:val="24"/>
              </w:rPr>
            </w:pPr>
            <w:r>
              <w:rPr>
                <w:rFonts w:ascii="Times New Roman" w:hAnsi="Times New Roman"/>
                <w:bCs/>
                <w:sz w:val="24"/>
                <w:szCs w:val="24"/>
              </w:rPr>
              <w:t xml:space="preserve"> </w:t>
            </w:r>
            <w:r w:rsidR="0028094C" w:rsidRPr="009651CA">
              <w:rPr>
                <w:rFonts w:ascii="Times New Roman" w:hAnsi="Times New Roman"/>
                <w:bCs/>
                <w:sz w:val="24"/>
                <w:szCs w:val="24"/>
              </w:rPr>
              <w:t>Reģionālās attīstības uzraudzības un novērtēšanas informācijas sistēmas pirmās kārtas realizācijai tika plānots izmantot Eiropas Reģionālās attīstības fonda līdzekļus, projekta kopējām izmaksām paredzot l</w:t>
            </w:r>
            <w:r w:rsidR="0028094C" w:rsidRPr="00FA5D5F">
              <w:rPr>
                <w:rFonts w:ascii="Times New Roman" w:hAnsi="Times New Roman"/>
                <w:bCs/>
                <w:sz w:val="24"/>
                <w:szCs w:val="24"/>
              </w:rPr>
              <w:t>īdz 924 948,18 LVL</w:t>
            </w:r>
            <w:r w:rsidR="0028094C" w:rsidRPr="009651CA">
              <w:rPr>
                <w:rFonts w:ascii="Times New Roman" w:hAnsi="Times New Roman"/>
                <w:bCs/>
                <w:sz w:val="24"/>
                <w:szCs w:val="24"/>
              </w:rPr>
              <w:t xml:space="preserve"> </w:t>
            </w:r>
            <w:r w:rsidR="00F012FB">
              <w:rPr>
                <w:rFonts w:ascii="Times New Roman" w:hAnsi="Times New Roman"/>
                <w:bCs/>
                <w:sz w:val="24"/>
                <w:szCs w:val="24"/>
              </w:rPr>
              <w:t>(1 316 082,</w:t>
            </w:r>
            <w:r w:rsidR="00F012FB" w:rsidRPr="00F012FB">
              <w:rPr>
                <w:rFonts w:ascii="Times New Roman" w:hAnsi="Times New Roman"/>
                <w:bCs/>
                <w:sz w:val="24"/>
                <w:szCs w:val="24"/>
              </w:rPr>
              <w:t>69</w:t>
            </w:r>
            <w:r w:rsidR="00F012FB">
              <w:rPr>
                <w:rFonts w:ascii="Times New Roman" w:hAnsi="Times New Roman"/>
                <w:bCs/>
                <w:sz w:val="24"/>
                <w:szCs w:val="24"/>
              </w:rPr>
              <w:t xml:space="preserve"> EUR)</w:t>
            </w:r>
            <w:r w:rsidR="00F012FB" w:rsidRPr="00F012FB">
              <w:rPr>
                <w:rFonts w:ascii="Times New Roman" w:hAnsi="Times New Roman"/>
                <w:bCs/>
                <w:sz w:val="24"/>
                <w:szCs w:val="24"/>
              </w:rPr>
              <w:t xml:space="preserve"> </w:t>
            </w:r>
            <w:proofErr w:type="gramStart"/>
            <w:r w:rsidR="0028094C" w:rsidRPr="009651CA">
              <w:rPr>
                <w:rFonts w:ascii="Times New Roman" w:hAnsi="Times New Roman"/>
                <w:bCs/>
                <w:sz w:val="24"/>
                <w:szCs w:val="24"/>
              </w:rPr>
              <w:t>(</w:t>
            </w:r>
            <w:proofErr w:type="gramEnd"/>
            <w:r w:rsidR="0028094C" w:rsidRPr="009651CA">
              <w:rPr>
                <w:rFonts w:ascii="Times New Roman" w:hAnsi="Times New Roman"/>
                <w:bCs/>
                <w:sz w:val="24"/>
                <w:szCs w:val="24"/>
              </w:rPr>
              <w:t xml:space="preserve">skat. Ministru kabineta </w:t>
            </w:r>
            <w:r w:rsidR="008B6B62" w:rsidRPr="009651CA">
              <w:rPr>
                <w:rFonts w:ascii="Times New Roman" w:hAnsi="Times New Roman"/>
                <w:bCs/>
                <w:sz w:val="24"/>
                <w:szCs w:val="24"/>
              </w:rPr>
              <w:t>2010.gada 15.marta rīkojumu Nr.147</w:t>
            </w:r>
            <w:r w:rsidR="008B6B62" w:rsidRPr="009651CA">
              <w:rPr>
                <w:rFonts w:ascii="Times New Roman" w:hAnsi="Times New Roman"/>
                <w:sz w:val="24"/>
                <w:szCs w:val="24"/>
              </w:rPr>
              <w:t xml:space="preserve"> „</w:t>
            </w:r>
            <w:r w:rsidR="008B6B62" w:rsidRPr="009651CA">
              <w:rPr>
                <w:rFonts w:ascii="Times New Roman" w:hAnsi="Times New Roman"/>
                <w:bCs/>
                <w:sz w:val="24"/>
                <w:szCs w:val="24"/>
              </w:rPr>
              <w:t xml:space="preserve">Par elektroniskās pārvaldes un informācijas sabiedrības </w:t>
            </w:r>
            <w:r w:rsidR="008B6B62" w:rsidRPr="009651CA">
              <w:rPr>
                <w:rFonts w:ascii="Times New Roman" w:hAnsi="Times New Roman"/>
                <w:bCs/>
                <w:sz w:val="24"/>
                <w:szCs w:val="24"/>
              </w:rPr>
              <w:lastRenderedPageBreak/>
              <w:t xml:space="preserve">attīstības prioritāro projektu sarakstu”). Ekonomiskās krīzes ietekmē projekta izmaksas tika pārskatītas un projekta realizācija atcelta. Taču </w:t>
            </w:r>
            <w:r w:rsidR="006F2E6E">
              <w:rPr>
                <w:rFonts w:ascii="Times New Roman" w:hAnsi="Times New Roman"/>
                <w:bCs/>
                <w:sz w:val="24"/>
                <w:szCs w:val="24"/>
              </w:rPr>
              <w:t xml:space="preserve">tajā </w:t>
            </w:r>
            <w:r w:rsidR="00764173">
              <w:rPr>
                <w:rFonts w:ascii="Times New Roman" w:hAnsi="Times New Roman"/>
                <w:bCs/>
                <w:sz w:val="24"/>
                <w:szCs w:val="24"/>
              </w:rPr>
              <w:t>pašā laikā</w:t>
            </w:r>
            <w:r w:rsidR="008B6B62" w:rsidRPr="009651CA">
              <w:rPr>
                <w:rFonts w:ascii="Times New Roman" w:hAnsi="Times New Roman"/>
                <w:bCs/>
                <w:sz w:val="24"/>
                <w:szCs w:val="24"/>
              </w:rPr>
              <w:t xml:space="preserve"> tika saskatīta iespēja projekta ideju </w:t>
            </w:r>
            <w:r w:rsidR="006F2E6E">
              <w:rPr>
                <w:rFonts w:ascii="Times New Roman" w:hAnsi="Times New Roman"/>
                <w:bCs/>
                <w:sz w:val="24"/>
                <w:szCs w:val="24"/>
              </w:rPr>
              <w:t>īstenot</w:t>
            </w:r>
            <w:r w:rsidR="006F2E6E" w:rsidRPr="009651CA">
              <w:rPr>
                <w:rFonts w:ascii="Times New Roman" w:hAnsi="Times New Roman"/>
                <w:bCs/>
                <w:sz w:val="24"/>
                <w:szCs w:val="24"/>
              </w:rPr>
              <w:t xml:space="preserve"> </w:t>
            </w:r>
            <w:r w:rsidR="006512F2" w:rsidRPr="009651CA">
              <w:rPr>
                <w:rFonts w:ascii="Times New Roman" w:hAnsi="Times New Roman"/>
                <w:bCs/>
                <w:sz w:val="24"/>
                <w:szCs w:val="24"/>
              </w:rPr>
              <w:t>līdz</w:t>
            </w:r>
            <w:r w:rsidR="008B6B62" w:rsidRPr="009651CA">
              <w:rPr>
                <w:rFonts w:ascii="Times New Roman" w:hAnsi="Times New Roman"/>
                <w:bCs/>
                <w:sz w:val="24"/>
                <w:szCs w:val="24"/>
              </w:rPr>
              <w:t xml:space="preserve"> ar Teritorijas attīstības plānošanas informācijas sistēmas izstrād</w:t>
            </w:r>
            <w:r w:rsidR="006512F2" w:rsidRPr="009651CA">
              <w:rPr>
                <w:rFonts w:ascii="Times New Roman" w:hAnsi="Times New Roman"/>
                <w:bCs/>
                <w:sz w:val="24"/>
                <w:szCs w:val="24"/>
              </w:rPr>
              <w:t>i</w:t>
            </w:r>
            <w:r w:rsidR="008B6B62" w:rsidRPr="009651CA">
              <w:rPr>
                <w:rFonts w:ascii="Times New Roman" w:hAnsi="Times New Roman"/>
                <w:bCs/>
                <w:sz w:val="24"/>
                <w:szCs w:val="24"/>
              </w:rPr>
              <w:t xml:space="preserve">. </w:t>
            </w:r>
            <w:r w:rsidR="00764173">
              <w:rPr>
                <w:rFonts w:ascii="Times New Roman" w:hAnsi="Times New Roman"/>
                <w:bCs/>
                <w:sz w:val="24"/>
                <w:szCs w:val="24"/>
              </w:rPr>
              <w:t>R</w:t>
            </w:r>
            <w:r w:rsidR="008B6B62" w:rsidRPr="009651CA">
              <w:rPr>
                <w:rFonts w:ascii="Times New Roman" w:hAnsi="Times New Roman"/>
                <w:bCs/>
                <w:sz w:val="24"/>
                <w:szCs w:val="24"/>
              </w:rPr>
              <w:t xml:space="preserve">ezultātā tika izstrādāts </w:t>
            </w:r>
            <w:r w:rsidR="008B6B62" w:rsidRPr="004D5B86">
              <w:rPr>
                <w:rFonts w:ascii="Times New Roman" w:hAnsi="Times New Roman"/>
                <w:bCs/>
                <w:i/>
                <w:sz w:val="24"/>
                <w:szCs w:val="24"/>
              </w:rPr>
              <w:t>Reģionālās attīst</w:t>
            </w:r>
            <w:r w:rsidR="007D7845" w:rsidRPr="004D5B86">
              <w:rPr>
                <w:rFonts w:ascii="Times New Roman" w:hAnsi="Times New Roman"/>
                <w:bCs/>
                <w:i/>
                <w:sz w:val="24"/>
                <w:szCs w:val="24"/>
              </w:rPr>
              <w:t>ības indikatoru modulis</w:t>
            </w:r>
            <w:r w:rsidR="004D5B86" w:rsidRPr="004D5B86">
              <w:rPr>
                <w:rFonts w:ascii="Times New Roman" w:hAnsi="Times New Roman"/>
                <w:bCs/>
                <w:i/>
                <w:sz w:val="24"/>
                <w:szCs w:val="24"/>
              </w:rPr>
              <w:t xml:space="preserve"> (turpmāk – RAIM)</w:t>
            </w:r>
            <w:r w:rsidR="007D7845" w:rsidRPr="009651CA">
              <w:rPr>
                <w:rFonts w:ascii="Times New Roman" w:hAnsi="Times New Roman"/>
                <w:bCs/>
                <w:sz w:val="24"/>
                <w:szCs w:val="24"/>
              </w:rPr>
              <w:t xml:space="preserve"> kā</w:t>
            </w:r>
            <w:r w:rsidR="008B6B62" w:rsidRPr="009651CA">
              <w:rPr>
                <w:rFonts w:ascii="Times New Roman" w:hAnsi="Times New Roman"/>
                <w:bCs/>
                <w:sz w:val="24"/>
                <w:szCs w:val="24"/>
              </w:rPr>
              <w:t xml:space="preserve"> </w:t>
            </w:r>
            <w:r w:rsidR="008B6B62" w:rsidRPr="007F1FC9">
              <w:rPr>
                <w:rFonts w:ascii="Times New Roman" w:hAnsi="Times New Roman"/>
                <w:bCs/>
                <w:sz w:val="24"/>
                <w:szCs w:val="24"/>
              </w:rPr>
              <w:t>Valsts reģionālās attīstības aģentūras</w:t>
            </w:r>
            <w:r w:rsidR="007F1FC9">
              <w:rPr>
                <w:rFonts w:ascii="Times New Roman" w:hAnsi="Times New Roman"/>
                <w:bCs/>
                <w:sz w:val="24"/>
                <w:szCs w:val="24"/>
              </w:rPr>
              <w:t xml:space="preserve"> (turpmāk – VRAA)</w:t>
            </w:r>
            <w:r w:rsidR="008B6B62" w:rsidRPr="009651CA">
              <w:rPr>
                <w:rFonts w:ascii="Times New Roman" w:hAnsi="Times New Roman"/>
                <w:bCs/>
                <w:sz w:val="24"/>
                <w:szCs w:val="24"/>
              </w:rPr>
              <w:t xml:space="preserve"> realizētā</w:t>
            </w:r>
            <w:r w:rsidR="007D7845" w:rsidRPr="009651CA">
              <w:rPr>
                <w:rFonts w:ascii="Times New Roman" w:hAnsi="Times New Roman"/>
                <w:bCs/>
                <w:sz w:val="24"/>
                <w:szCs w:val="24"/>
              </w:rPr>
              <w:t xml:space="preserve"> Eiropas Reģionālās attīstības fonda</w:t>
            </w:r>
            <w:r w:rsidR="008B6B62" w:rsidRPr="009651CA">
              <w:rPr>
                <w:rFonts w:ascii="Times New Roman" w:hAnsi="Times New Roman"/>
                <w:bCs/>
                <w:sz w:val="24"/>
                <w:szCs w:val="24"/>
              </w:rPr>
              <w:t xml:space="preserve"> projekta „Pašvaldību teritorijas attīstības plānošanas, infrastruktūras un nekustamo īpašumu pārvaldības un uzraudzības informācijas sistēma”, kas plašāk pazīstama kā Teritorijas attīstības plānošanas informācijas sistēma</w:t>
            </w:r>
            <w:r w:rsidR="007D7845" w:rsidRPr="009651CA">
              <w:rPr>
                <w:rFonts w:ascii="Times New Roman" w:hAnsi="Times New Roman"/>
                <w:bCs/>
                <w:sz w:val="24"/>
                <w:szCs w:val="24"/>
              </w:rPr>
              <w:t xml:space="preserve">, </w:t>
            </w:r>
            <w:proofErr w:type="spellStart"/>
            <w:r w:rsidR="007D7845" w:rsidRPr="009651CA">
              <w:rPr>
                <w:rFonts w:ascii="Times New Roman" w:hAnsi="Times New Roman"/>
                <w:bCs/>
                <w:sz w:val="24"/>
                <w:szCs w:val="24"/>
              </w:rPr>
              <w:t>apakšprojekts</w:t>
            </w:r>
            <w:proofErr w:type="spellEnd"/>
            <w:r w:rsidR="007D7845" w:rsidRPr="009651CA">
              <w:rPr>
                <w:rFonts w:ascii="Times New Roman" w:hAnsi="Times New Roman"/>
                <w:bCs/>
                <w:sz w:val="24"/>
                <w:szCs w:val="24"/>
              </w:rPr>
              <w:t>.</w:t>
            </w:r>
            <w:r w:rsidR="007D7845" w:rsidRPr="009651CA">
              <w:rPr>
                <w:rStyle w:val="FootnoteReference"/>
                <w:rFonts w:ascii="Times New Roman" w:hAnsi="Times New Roman"/>
                <w:bCs/>
                <w:sz w:val="24"/>
                <w:szCs w:val="24"/>
              </w:rPr>
              <w:footnoteReference w:id="1"/>
            </w:r>
            <w:r w:rsidR="00764173">
              <w:rPr>
                <w:rFonts w:ascii="Times New Roman" w:hAnsi="Times New Roman"/>
                <w:bCs/>
                <w:sz w:val="24"/>
                <w:szCs w:val="24"/>
              </w:rPr>
              <w:t xml:space="preserve"> </w:t>
            </w:r>
            <w:r w:rsidR="00DA663B" w:rsidRPr="009651CA">
              <w:rPr>
                <w:rFonts w:ascii="Times New Roman" w:hAnsi="Times New Roman"/>
                <w:bCs/>
                <w:sz w:val="24"/>
                <w:szCs w:val="24"/>
              </w:rPr>
              <w:t xml:space="preserve">Attiecīgi </w:t>
            </w:r>
            <w:r w:rsidR="006F2E6E">
              <w:rPr>
                <w:rFonts w:ascii="Times New Roman" w:hAnsi="Times New Roman"/>
                <w:bCs/>
                <w:sz w:val="24"/>
                <w:szCs w:val="24"/>
              </w:rPr>
              <w:t xml:space="preserve">ir </w:t>
            </w:r>
            <w:r w:rsidR="00DA663B" w:rsidRPr="009651CA">
              <w:rPr>
                <w:rFonts w:ascii="Times New Roman" w:hAnsi="Times New Roman"/>
                <w:bCs/>
                <w:sz w:val="24"/>
                <w:szCs w:val="24"/>
              </w:rPr>
              <w:t>nepieciešams</w:t>
            </w:r>
            <w:r w:rsidR="006512F2" w:rsidRPr="009651CA">
              <w:rPr>
                <w:rFonts w:ascii="Times New Roman" w:hAnsi="Times New Roman"/>
                <w:bCs/>
                <w:sz w:val="24"/>
                <w:szCs w:val="24"/>
              </w:rPr>
              <w:t xml:space="preserve"> izstrādāt</w:t>
            </w:r>
            <w:r w:rsidR="00DA663B" w:rsidRPr="009651CA">
              <w:rPr>
                <w:rFonts w:ascii="Times New Roman" w:hAnsi="Times New Roman"/>
                <w:bCs/>
                <w:sz w:val="24"/>
                <w:szCs w:val="24"/>
              </w:rPr>
              <w:t xml:space="preserve"> esošajai situācijai atbilstošu normatīvo regulējumu</w:t>
            </w:r>
            <w:r w:rsidR="006512F2" w:rsidRPr="009651CA">
              <w:rPr>
                <w:rFonts w:ascii="Times New Roman" w:hAnsi="Times New Roman"/>
                <w:bCs/>
                <w:sz w:val="24"/>
                <w:szCs w:val="24"/>
              </w:rPr>
              <w:t xml:space="preserve"> (</w:t>
            </w:r>
            <w:r w:rsidR="006F2E6E" w:rsidRPr="009651CA">
              <w:rPr>
                <w:rFonts w:ascii="Times New Roman" w:hAnsi="Times New Roman"/>
                <w:bCs/>
                <w:sz w:val="24"/>
                <w:szCs w:val="24"/>
              </w:rPr>
              <w:t>ta</w:t>
            </w:r>
            <w:r w:rsidR="006F2E6E">
              <w:rPr>
                <w:rFonts w:ascii="Times New Roman" w:hAnsi="Times New Roman"/>
                <w:bCs/>
                <w:sz w:val="24"/>
                <w:szCs w:val="24"/>
              </w:rPr>
              <w:t>jā</w:t>
            </w:r>
            <w:r w:rsidR="006F2E6E" w:rsidRPr="009651CA">
              <w:rPr>
                <w:rFonts w:ascii="Times New Roman" w:hAnsi="Times New Roman"/>
                <w:bCs/>
                <w:sz w:val="24"/>
                <w:szCs w:val="24"/>
              </w:rPr>
              <w:t xml:space="preserve"> </w:t>
            </w:r>
            <w:r w:rsidR="006512F2" w:rsidRPr="009651CA">
              <w:rPr>
                <w:rFonts w:ascii="Times New Roman" w:hAnsi="Times New Roman"/>
                <w:bCs/>
                <w:sz w:val="24"/>
                <w:szCs w:val="24"/>
              </w:rPr>
              <w:t xml:space="preserve">skaitā ņemot vērā apstākli, ka finansējums bija </w:t>
            </w:r>
            <w:r w:rsidR="00764173">
              <w:rPr>
                <w:rFonts w:ascii="Times New Roman" w:hAnsi="Times New Roman"/>
                <w:bCs/>
                <w:sz w:val="24"/>
                <w:szCs w:val="24"/>
              </w:rPr>
              <w:t>būtiski</w:t>
            </w:r>
            <w:r w:rsidR="006512F2" w:rsidRPr="009651CA">
              <w:rPr>
                <w:rFonts w:ascii="Times New Roman" w:hAnsi="Times New Roman"/>
                <w:bCs/>
                <w:sz w:val="24"/>
                <w:szCs w:val="24"/>
              </w:rPr>
              <w:t xml:space="preserve"> mazāks</w:t>
            </w:r>
            <w:r w:rsidR="006F2E6E">
              <w:rPr>
                <w:rFonts w:ascii="Times New Roman" w:hAnsi="Times New Roman"/>
                <w:bCs/>
                <w:sz w:val="24"/>
                <w:szCs w:val="24"/>
              </w:rPr>
              <w:t>,</w:t>
            </w:r>
            <w:r w:rsidR="006512F2" w:rsidRPr="009651CA">
              <w:rPr>
                <w:rFonts w:ascii="Times New Roman" w:hAnsi="Times New Roman"/>
                <w:bCs/>
                <w:sz w:val="24"/>
                <w:szCs w:val="24"/>
              </w:rPr>
              <w:t xml:space="preserve"> </w:t>
            </w:r>
            <w:r w:rsidR="006F2E6E">
              <w:rPr>
                <w:rFonts w:ascii="Times New Roman" w:hAnsi="Times New Roman"/>
                <w:bCs/>
                <w:sz w:val="24"/>
                <w:szCs w:val="24"/>
              </w:rPr>
              <w:t>ne</w:t>
            </w:r>
            <w:r w:rsidR="006512F2" w:rsidRPr="009651CA">
              <w:rPr>
                <w:rFonts w:ascii="Times New Roman" w:hAnsi="Times New Roman"/>
                <w:bCs/>
                <w:sz w:val="24"/>
                <w:szCs w:val="24"/>
              </w:rPr>
              <w:t xml:space="preserve">kā sākotnēji tika </w:t>
            </w:r>
            <w:r w:rsidR="002D4C4C">
              <w:rPr>
                <w:rFonts w:ascii="Times New Roman" w:hAnsi="Times New Roman"/>
                <w:bCs/>
                <w:sz w:val="24"/>
                <w:szCs w:val="24"/>
              </w:rPr>
              <w:t>paredzēts</w:t>
            </w:r>
            <w:r w:rsidR="006512F2" w:rsidRPr="009651CA">
              <w:rPr>
                <w:rFonts w:ascii="Times New Roman" w:hAnsi="Times New Roman"/>
                <w:bCs/>
                <w:sz w:val="24"/>
                <w:szCs w:val="24"/>
              </w:rPr>
              <w:t xml:space="preserve">, plānojot reģionālās attīstības uzraudzības un novērtēšanas informācijas sistēmas izstrādi, līdz ar to tas ietekmē </w:t>
            </w:r>
            <w:r w:rsidR="002D4C4C">
              <w:rPr>
                <w:rFonts w:ascii="Times New Roman" w:hAnsi="Times New Roman"/>
                <w:bCs/>
                <w:sz w:val="24"/>
                <w:szCs w:val="24"/>
              </w:rPr>
              <w:t xml:space="preserve">RAIM </w:t>
            </w:r>
            <w:r w:rsidR="006512F2" w:rsidRPr="009651CA">
              <w:rPr>
                <w:rFonts w:ascii="Times New Roman" w:hAnsi="Times New Roman"/>
                <w:bCs/>
                <w:sz w:val="24"/>
                <w:szCs w:val="24"/>
              </w:rPr>
              <w:t xml:space="preserve">funkcionalitāti). </w:t>
            </w:r>
            <w:r w:rsidR="005A23A4" w:rsidRPr="005416D0">
              <w:rPr>
                <w:rFonts w:ascii="Times New Roman" w:hAnsi="Times New Roman"/>
                <w:bCs/>
                <w:sz w:val="24"/>
                <w:szCs w:val="24"/>
              </w:rPr>
              <w:t xml:space="preserve">Lai nodrošinātu iepriekš minēto, </w:t>
            </w:r>
            <w:r w:rsidR="005A23A4" w:rsidRPr="005416D0">
              <w:rPr>
                <w:rFonts w:ascii="Times New Roman" w:hAnsi="Times New Roman"/>
                <w:sz w:val="24"/>
                <w:szCs w:val="24"/>
              </w:rPr>
              <w:t>Vides aizsardzības un reģionālās attīstības ministrija (turpmāk – VARAM)</w:t>
            </w:r>
            <w:r w:rsidR="005A23A4">
              <w:rPr>
                <w:rFonts w:ascii="Times New Roman" w:hAnsi="Times New Roman"/>
                <w:sz w:val="24"/>
                <w:szCs w:val="24"/>
              </w:rPr>
              <w:t xml:space="preserve"> ir</w:t>
            </w:r>
            <w:r w:rsidR="005A23A4" w:rsidRPr="005416D0">
              <w:rPr>
                <w:rFonts w:ascii="Times New Roman" w:hAnsi="Times New Roman"/>
                <w:bCs/>
                <w:sz w:val="24"/>
                <w:szCs w:val="24"/>
              </w:rPr>
              <w:t xml:space="preserve"> izstrādājusi </w:t>
            </w:r>
            <w:r w:rsidR="005A23A4" w:rsidRPr="005416D0">
              <w:rPr>
                <w:rFonts w:ascii="Times New Roman" w:hAnsi="Times New Roman"/>
                <w:sz w:val="24"/>
                <w:szCs w:val="24"/>
              </w:rPr>
              <w:t xml:space="preserve">Ministru kabineta noteikumu projektu </w:t>
            </w:r>
            <w:r w:rsidR="005A23A4" w:rsidRPr="005416D0">
              <w:rPr>
                <w:rFonts w:ascii="Times New Roman" w:hAnsi="Times New Roman"/>
                <w:bCs/>
                <w:sz w:val="24"/>
                <w:szCs w:val="24"/>
              </w:rPr>
              <w:t>„Reģionālās attīstības uzraudzības un novērtēšanas kārtība” (turpmāk – noteikumu projekts).</w:t>
            </w:r>
          </w:p>
          <w:p w:rsidR="00764173" w:rsidRDefault="00AF43F3" w:rsidP="006F2E6E">
            <w:pPr>
              <w:spacing w:after="120"/>
              <w:rPr>
                <w:rFonts w:ascii="Times New Roman" w:hAnsi="Times New Roman"/>
                <w:sz w:val="24"/>
                <w:szCs w:val="24"/>
              </w:rPr>
            </w:pPr>
            <w:r w:rsidRPr="00AF43F3">
              <w:rPr>
                <w:rFonts w:ascii="Times New Roman" w:hAnsi="Times New Roman"/>
                <w:bCs/>
                <w:sz w:val="24"/>
                <w:szCs w:val="24"/>
              </w:rPr>
              <w:t xml:space="preserve">RAIM </w:t>
            </w:r>
            <w:r w:rsidRPr="00AF43F3">
              <w:rPr>
                <w:rFonts w:ascii="Times New Roman" w:hAnsi="Times New Roman"/>
                <w:sz w:val="24"/>
                <w:szCs w:val="24"/>
              </w:rPr>
              <w:t xml:space="preserve">būs palīginstruments </w:t>
            </w:r>
            <w:r w:rsidR="006F2E6E">
              <w:rPr>
                <w:rFonts w:ascii="Times New Roman" w:hAnsi="Times New Roman"/>
                <w:sz w:val="24"/>
                <w:szCs w:val="24"/>
              </w:rPr>
              <w:t xml:space="preserve">visas valsts, plānošanas reģionu un </w:t>
            </w:r>
            <w:r w:rsidRPr="00AF43F3">
              <w:rPr>
                <w:rFonts w:ascii="Times New Roman" w:hAnsi="Times New Roman"/>
                <w:sz w:val="24"/>
                <w:szCs w:val="24"/>
              </w:rPr>
              <w:t xml:space="preserve">pašvaldību teritorijas attīstības tendenču izvērtēšanai, kā arī </w:t>
            </w:r>
            <w:r w:rsidR="006F2E6E">
              <w:rPr>
                <w:rFonts w:ascii="Times New Roman" w:hAnsi="Times New Roman"/>
                <w:sz w:val="24"/>
                <w:szCs w:val="24"/>
              </w:rPr>
              <w:t xml:space="preserve">plānošanas reģionu un </w:t>
            </w:r>
            <w:r w:rsidR="006F2E6E" w:rsidRPr="00AF43F3">
              <w:rPr>
                <w:rFonts w:ascii="Times New Roman" w:hAnsi="Times New Roman"/>
                <w:sz w:val="24"/>
                <w:szCs w:val="24"/>
              </w:rPr>
              <w:t xml:space="preserve">pašvaldību </w:t>
            </w:r>
            <w:r w:rsidR="006F2E6E">
              <w:rPr>
                <w:rFonts w:ascii="Times New Roman" w:hAnsi="Times New Roman"/>
                <w:sz w:val="24"/>
                <w:szCs w:val="24"/>
              </w:rPr>
              <w:t>teritorijas attīstības plānošanas dokumentu</w:t>
            </w:r>
            <w:r w:rsidRPr="00AF43F3">
              <w:rPr>
                <w:rFonts w:ascii="Times New Roman" w:hAnsi="Times New Roman"/>
                <w:sz w:val="24"/>
                <w:szCs w:val="24"/>
              </w:rPr>
              <w:t xml:space="preserve"> sagatavošanai un uzraudzībai.</w:t>
            </w:r>
            <w:r>
              <w:rPr>
                <w:rFonts w:ascii="Times New Roman" w:hAnsi="Times New Roman"/>
                <w:sz w:val="24"/>
                <w:szCs w:val="24"/>
              </w:rPr>
              <w:t xml:space="preserve"> </w:t>
            </w:r>
            <w:r w:rsidRPr="00AF43F3">
              <w:rPr>
                <w:rStyle w:val="Strong"/>
                <w:rFonts w:ascii="Times New Roman" w:hAnsi="Times New Roman"/>
                <w:b w:val="0"/>
                <w:sz w:val="24"/>
                <w:szCs w:val="24"/>
              </w:rPr>
              <w:t xml:space="preserve">RAIM sevī ietvers divas informācijas kopas: </w:t>
            </w:r>
            <w:r w:rsidRPr="00AF43F3">
              <w:rPr>
                <w:rFonts w:ascii="Times New Roman" w:hAnsi="Times New Roman"/>
                <w:sz w:val="24"/>
                <w:szCs w:val="24"/>
              </w:rPr>
              <w:t>sociālekonomisko rādītāju kop</w:t>
            </w:r>
            <w:r>
              <w:rPr>
                <w:rFonts w:ascii="Times New Roman" w:hAnsi="Times New Roman"/>
                <w:sz w:val="24"/>
                <w:szCs w:val="24"/>
              </w:rPr>
              <w:t>u</w:t>
            </w:r>
            <w:r w:rsidRPr="00AF43F3">
              <w:rPr>
                <w:rFonts w:ascii="Times New Roman" w:hAnsi="Times New Roman"/>
                <w:sz w:val="24"/>
                <w:szCs w:val="24"/>
              </w:rPr>
              <w:t xml:space="preserve"> (tiks izmantota, lai analizētu atsevišķu valsts teritoriju sociālās un ekonomiskās attīstības tendences) un nozaru politiku īstenošanas instrumentu kop</w:t>
            </w:r>
            <w:r>
              <w:rPr>
                <w:rFonts w:ascii="Times New Roman" w:hAnsi="Times New Roman"/>
                <w:sz w:val="24"/>
                <w:szCs w:val="24"/>
              </w:rPr>
              <w:t>u</w:t>
            </w:r>
            <w:r w:rsidRPr="00AF43F3">
              <w:rPr>
                <w:rFonts w:ascii="Times New Roman" w:hAnsi="Times New Roman"/>
                <w:sz w:val="24"/>
                <w:szCs w:val="24"/>
              </w:rPr>
              <w:t xml:space="preserve"> </w:t>
            </w:r>
            <w:r>
              <w:rPr>
                <w:rFonts w:ascii="Times New Roman" w:hAnsi="Times New Roman"/>
                <w:sz w:val="24"/>
                <w:szCs w:val="24"/>
              </w:rPr>
              <w:t>(</w:t>
            </w:r>
            <w:r w:rsidRPr="00AF43F3">
              <w:rPr>
                <w:rFonts w:ascii="Times New Roman" w:hAnsi="Times New Roman"/>
                <w:sz w:val="24"/>
                <w:szCs w:val="24"/>
              </w:rPr>
              <w:t>tiks veidota, lai izvērtētu, kādu iespaidu uz valsts teritoriju attīstību atstāj nozaru politiku īstenošanas instrumenti un cik koordinēti tie ir</w:t>
            </w:r>
            <w:r>
              <w:rPr>
                <w:rFonts w:ascii="Times New Roman" w:hAnsi="Times New Roman"/>
                <w:sz w:val="24"/>
                <w:szCs w:val="24"/>
              </w:rPr>
              <w:t>)</w:t>
            </w:r>
            <w:r w:rsidRPr="00AF43F3">
              <w:rPr>
                <w:rFonts w:ascii="Times New Roman" w:hAnsi="Times New Roman"/>
                <w:sz w:val="24"/>
                <w:szCs w:val="24"/>
              </w:rPr>
              <w:t>.</w:t>
            </w:r>
            <w:r>
              <w:rPr>
                <w:rFonts w:ascii="Times New Roman" w:hAnsi="Times New Roman"/>
                <w:sz w:val="24"/>
                <w:szCs w:val="24"/>
              </w:rPr>
              <w:t xml:space="preserve"> </w:t>
            </w:r>
            <w:r w:rsidRPr="00AF43F3">
              <w:rPr>
                <w:rFonts w:ascii="Times New Roman" w:hAnsi="Times New Roman"/>
                <w:sz w:val="24"/>
                <w:szCs w:val="24"/>
              </w:rPr>
              <w:t>Uzskatāmākai informācijas attēlošanai tiks veidots katras teritorijas (plānošanas reģiona</w:t>
            </w:r>
            <w:r w:rsidR="006F2E6E">
              <w:rPr>
                <w:rFonts w:ascii="Times New Roman" w:hAnsi="Times New Roman"/>
                <w:sz w:val="24"/>
                <w:szCs w:val="24"/>
              </w:rPr>
              <w:t xml:space="preserve"> un pašvaldības</w:t>
            </w:r>
            <w:r w:rsidRPr="00AF43F3">
              <w:rPr>
                <w:rFonts w:ascii="Times New Roman" w:hAnsi="Times New Roman"/>
                <w:sz w:val="24"/>
                <w:szCs w:val="24"/>
              </w:rPr>
              <w:t>) portrets. Tā būs sava veida „vizītkarte”, kas parādīs konkrētā</w:t>
            </w:r>
            <w:r w:rsidR="006F2E6E">
              <w:rPr>
                <w:rFonts w:ascii="Times New Roman" w:hAnsi="Times New Roman"/>
                <w:sz w:val="24"/>
                <w:szCs w:val="24"/>
              </w:rPr>
              <w:t>s</w:t>
            </w:r>
            <w:r w:rsidRPr="00AF43F3">
              <w:rPr>
                <w:rFonts w:ascii="Times New Roman" w:hAnsi="Times New Roman"/>
                <w:sz w:val="24"/>
                <w:szCs w:val="24"/>
              </w:rPr>
              <w:t xml:space="preserve"> </w:t>
            </w:r>
            <w:r w:rsidR="006F2E6E">
              <w:rPr>
                <w:rFonts w:ascii="Times New Roman" w:hAnsi="Times New Roman"/>
                <w:sz w:val="24"/>
                <w:szCs w:val="24"/>
              </w:rPr>
              <w:t xml:space="preserve">teritorijas </w:t>
            </w:r>
            <w:r w:rsidRPr="00AF43F3">
              <w:rPr>
                <w:rFonts w:ascii="Times New Roman" w:hAnsi="Times New Roman"/>
                <w:sz w:val="24"/>
                <w:szCs w:val="24"/>
              </w:rPr>
              <w:t>attīstības tendences skaitļos, grafikos, diagrammās.</w:t>
            </w:r>
          </w:p>
          <w:p w:rsidR="008043D3" w:rsidRPr="00FC50C4" w:rsidRDefault="008043D3" w:rsidP="002F2195">
            <w:pPr>
              <w:spacing w:after="120"/>
              <w:rPr>
                <w:rFonts w:ascii="Times New Roman" w:hAnsi="Times New Roman"/>
                <w:sz w:val="24"/>
                <w:szCs w:val="24"/>
              </w:rPr>
            </w:pPr>
            <w:r w:rsidRPr="00FC50C4">
              <w:rPr>
                <w:rFonts w:ascii="Times New Roman" w:hAnsi="Times New Roman"/>
                <w:sz w:val="24"/>
                <w:szCs w:val="24"/>
              </w:rPr>
              <w:t xml:space="preserve">2014.gada </w:t>
            </w:r>
            <w:r w:rsidR="00376AA9" w:rsidRPr="00FC50C4">
              <w:rPr>
                <w:rFonts w:ascii="Times New Roman" w:hAnsi="Times New Roman"/>
                <w:sz w:val="24"/>
                <w:szCs w:val="24"/>
              </w:rPr>
              <w:t>15</w:t>
            </w:r>
            <w:r w:rsidRPr="00FC50C4">
              <w:rPr>
                <w:rFonts w:ascii="Times New Roman" w:hAnsi="Times New Roman"/>
                <w:sz w:val="24"/>
                <w:szCs w:val="24"/>
              </w:rPr>
              <w:t xml:space="preserve">.aprīlī </w:t>
            </w:r>
            <w:r w:rsidR="00376AA9" w:rsidRPr="00FC50C4">
              <w:rPr>
                <w:rFonts w:ascii="Times New Roman" w:hAnsi="Times New Roman"/>
                <w:sz w:val="24"/>
                <w:szCs w:val="24"/>
              </w:rPr>
              <w:t>izsludinātie</w:t>
            </w:r>
            <w:r w:rsidRPr="00FC50C4">
              <w:rPr>
                <w:rFonts w:ascii="Times New Roman" w:hAnsi="Times New Roman"/>
                <w:sz w:val="24"/>
                <w:szCs w:val="24"/>
              </w:rPr>
              <w:t xml:space="preserve"> grozījumi Reģionālās attīstības likumā </w:t>
            </w:r>
            <w:r w:rsidR="002F2195" w:rsidRPr="00FC50C4">
              <w:rPr>
                <w:rFonts w:ascii="Times New Roman" w:hAnsi="Times New Roman"/>
                <w:sz w:val="24"/>
                <w:szCs w:val="24"/>
              </w:rPr>
              <w:t xml:space="preserve">paplašina arī 14.panta 5.punktā Ministru kabinetam sniegto deleģējumu, </w:t>
            </w:r>
            <w:r w:rsidRPr="00FC50C4">
              <w:rPr>
                <w:rFonts w:ascii="Times New Roman" w:hAnsi="Times New Roman"/>
                <w:sz w:val="24"/>
                <w:szCs w:val="24"/>
              </w:rPr>
              <w:t xml:space="preserve">nosakot teritorijas attīstības indeksa aprēķināšanas un tā vērtību publicēšanas kārtību. </w:t>
            </w:r>
          </w:p>
          <w:p w:rsidR="002F2195" w:rsidRPr="00FC50C4" w:rsidRDefault="002F2195" w:rsidP="002F2195">
            <w:pPr>
              <w:spacing w:after="120"/>
              <w:rPr>
                <w:rFonts w:ascii="Times New Roman" w:hAnsi="Times New Roman"/>
                <w:sz w:val="24"/>
                <w:szCs w:val="24"/>
              </w:rPr>
            </w:pPr>
            <w:r w:rsidRPr="00FC50C4">
              <w:rPr>
                <w:rFonts w:ascii="Times New Roman" w:hAnsi="Times New Roman"/>
                <w:sz w:val="24"/>
                <w:szCs w:val="24"/>
              </w:rPr>
              <w:lastRenderedPageBreak/>
              <w:t>Iepriekš Reģionā</w:t>
            </w:r>
            <w:r w:rsidR="0006349C" w:rsidRPr="00FC50C4">
              <w:rPr>
                <w:rFonts w:ascii="Times New Roman" w:hAnsi="Times New Roman"/>
                <w:sz w:val="24"/>
                <w:szCs w:val="24"/>
              </w:rPr>
              <w:t>lās attīstības likuma 14.panta 5</w:t>
            </w:r>
            <w:r w:rsidRPr="00FC50C4">
              <w:rPr>
                <w:rFonts w:ascii="Times New Roman" w:hAnsi="Times New Roman"/>
                <w:sz w:val="24"/>
                <w:szCs w:val="24"/>
              </w:rPr>
              <w:t xml:space="preserve">.punkts paredzēja, ka Ministru kabinets </w:t>
            </w:r>
            <w:r w:rsidR="0006349C" w:rsidRPr="00FC50C4">
              <w:rPr>
                <w:rFonts w:ascii="Times New Roman" w:hAnsi="Times New Roman"/>
                <w:sz w:val="24"/>
                <w:szCs w:val="24"/>
              </w:rPr>
              <w:t>nosaka teritorijas attīstības indeksa aprēķināšanas kārtību un tā vērtības.</w:t>
            </w:r>
          </w:p>
          <w:p w:rsidR="008D2573" w:rsidRPr="00FC50C4" w:rsidRDefault="008D2573" w:rsidP="008D2573">
            <w:pPr>
              <w:spacing w:after="120"/>
              <w:rPr>
                <w:rFonts w:ascii="Times New Roman" w:hAnsi="Times New Roman"/>
                <w:sz w:val="24"/>
                <w:szCs w:val="24"/>
              </w:rPr>
            </w:pPr>
            <w:r w:rsidRPr="00FC50C4">
              <w:rPr>
                <w:rFonts w:ascii="Times New Roman" w:hAnsi="Times New Roman"/>
                <w:sz w:val="24"/>
                <w:szCs w:val="24"/>
              </w:rPr>
              <w:t xml:space="preserve">Noteikumu projekts paredz, ka </w:t>
            </w:r>
            <w:r w:rsidR="00E7075B" w:rsidRPr="00FC50C4">
              <w:rPr>
                <w:rFonts w:ascii="Times New Roman" w:hAnsi="Times New Roman"/>
                <w:sz w:val="24"/>
                <w:szCs w:val="24"/>
              </w:rPr>
              <w:t xml:space="preserve">VRAA </w:t>
            </w:r>
            <w:r w:rsidR="0003428C" w:rsidRPr="00FC50C4">
              <w:rPr>
                <w:rFonts w:ascii="Times New Roman" w:hAnsi="Times New Roman"/>
                <w:sz w:val="24"/>
                <w:szCs w:val="24"/>
              </w:rPr>
              <w:t xml:space="preserve">nodrošina </w:t>
            </w:r>
            <w:r w:rsidRPr="00FC50C4">
              <w:rPr>
                <w:rFonts w:ascii="Times New Roman" w:hAnsi="Times New Roman"/>
                <w:sz w:val="24"/>
                <w:szCs w:val="24"/>
              </w:rPr>
              <w:t>t</w:t>
            </w:r>
            <w:r w:rsidR="0003428C" w:rsidRPr="00FC50C4">
              <w:rPr>
                <w:rFonts w:ascii="Times New Roman" w:hAnsi="Times New Roman"/>
                <w:sz w:val="24"/>
                <w:szCs w:val="24"/>
              </w:rPr>
              <w:t xml:space="preserve">eritorijas attīstības indeksa </w:t>
            </w:r>
            <w:r w:rsidRPr="00FC50C4">
              <w:rPr>
                <w:rFonts w:ascii="Times New Roman" w:hAnsi="Times New Roman"/>
                <w:sz w:val="24"/>
                <w:szCs w:val="24"/>
              </w:rPr>
              <w:t>aprēķināšanu katru gadu par iepriekšējo gadu novadiem, republikas pil</w:t>
            </w:r>
            <w:r w:rsidR="0003428C" w:rsidRPr="00FC50C4">
              <w:rPr>
                <w:rFonts w:ascii="Times New Roman" w:hAnsi="Times New Roman"/>
                <w:sz w:val="24"/>
                <w:szCs w:val="24"/>
              </w:rPr>
              <w:t>sētām un plānošanas reģioniem</w:t>
            </w:r>
            <w:r w:rsidR="00E7075B" w:rsidRPr="00FC50C4">
              <w:rPr>
                <w:rFonts w:ascii="Times New Roman" w:hAnsi="Times New Roman"/>
                <w:sz w:val="24"/>
                <w:szCs w:val="24"/>
              </w:rPr>
              <w:t>, kā arī</w:t>
            </w:r>
            <w:r w:rsidR="0003428C" w:rsidRPr="00FC50C4">
              <w:rPr>
                <w:rFonts w:ascii="Times New Roman" w:hAnsi="Times New Roman"/>
                <w:sz w:val="24"/>
                <w:szCs w:val="24"/>
              </w:rPr>
              <w:t xml:space="preserve"> </w:t>
            </w:r>
            <w:r w:rsidRPr="00FC50C4">
              <w:rPr>
                <w:rFonts w:ascii="Times New Roman" w:hAnsi="Times New Roman"/>
                <w:sz w:val="24"/>
                <w:szCs w:val="24"/>
              </w:rPr>
              <w:t xml:space="preserve">aprēķināto vērtību publicēšanu līdz attiecīgā gada 1.jūnijam </w:t>
            </w:r>
            <w:r w:rsidR="00E7075B" w:rsidRPr="00FC50C4">
              <w:rPr>
                <w:rFonts w:ascii="Times New Roman" w:hAnsi="Times New Roman"/>
                <w:sz w:val="24"/>
                <w:szCs w:val="24"/>
              </w:rPr>
              <w:t>VRAA</w:t>
            </w:r>
            <w:r w:rsidRPr="00FC50C4">
              <w:rPr>
                <w:rFonts w:ascii="Times New Roman" w:hAnsi="Times New Roman"/>
                <w:sz w:val="24"/>
                <w:szCs w:val="24"/>
              </w:rPr>
              <w:t xml:space="preserve"> oficiālajā tīmekļa vietnē un RAIM.</w:t>
            </w:r>
          </w:p>
          <w:p w:rsidR="008D2573" w:rsidRPr="00764173" w:rsidRDefault="008D2573" w:rsidP="003F3005">
            <w:pPr>
              <w:spacing w:after="120"/>
              <w:rPr>
                <w:rFonts w:ascii="Times New Roman" w:hAnsi="Times New Roman"/>
                <w:sz w:val="24"/>
                <w:szCs w:val="24"/>
              </w:rPr>
            </w:pPr>
            <w:r w:rsidRPr="00FC50C4">
              <w:rPr>
                <w:rFonts w:ascii="Times New Roman" w:hAnsi="Times New Roman"/>
                <w:sz w:val="24"/>
                <w:szCs w:val="24"/>
              </w:rPr>
              <w:t xml:space="preserve">Pašlaik spēkā ir Ministru kabineta </w:t>
            </w:r>
            <w:r w:rsidR="000919A9" w:rsidRPr="00FC50C4">
              <w:rPr>
                <w:rFonts w:ascii="Times New Roman" w:hAnsi="Times New Roman"/>
                <w:sz w:val="24"/>
                <w:szCs w:val="24"/>
              </w:rPr>
              <w:t xml:space="preserve">2010.gada 25.maija </w:t>
            </w:r>
            <w:r w:rsidRPr="00FC50C4">
              <w:rPr>
                <w:rFonts w:ascii="Times New Roman" w:hAnsi="Times New Roman"/>
                <w:sz w:val="24"/>
                <w:szCs w:val="24"/>
              </w:rPr>
              <w:t>noteikumi Nr. 482 „Noteikumi par teritorijas attīstības indeksa aprēķināšanas kārtību un tā vērtībām”, kas nosaka vietējo pašvaldību un plānošanas reģionu teritorijas attīstības indeksa aprēķināšanas kārtību un tā vērtības</w:t>
            </w:r>
            <w:r w:rsidR="00E7075B" w:rsidRPr="00FC50C4">
              <w:rPr>
                <w:rFonts w:ascii="Times New Roman" w:hAnsi="Times New Roman"/>
                <w:sz w:val="24"/>
                <w:szCs w:val="24"/>
              </w:rPr>
              <w:t>. S</w:t>
            </w:r>
            <w:r w:rsidRPr="00FC50C4">
              <w:rPr>
                <w:rFonts w:ascii="Times New Roman" w:hAnsi="Times New Roman"/>
                <w:sz w:val="24"/>
                <w:szCs w:val="24"/>
              </w:rPr>
              <w:t xml:space="preserve">askaņā ar </w:t>
            </w:r>
            <w:r w:rsidR="00E7075B" w:rsidRPr="00FC50C4">
              <w:rPr>
                <w:rFonts w:ascii="Times New Roman" w:hAnsi="Times New Roman"/>
                <w:sz w:val="24"/>
                <w:szCs w:val="24"/>
              </w:rPr>
              <w:t>šiem noteikumiem</w:t>
            </w:r>
            <w:r w:rsidRPr="00FC50C4">
              <w:rPr>
                <w:rFonts w:ascii="Times New Roman" w:hAnsi="Times New Roman"/>
                <w:sz w:val="24"/>
                <w:szCs w:val="24"/>
              </w:rPr>
              <w:t xml:space="preserve"> </w:t>
            </w:r>
            <w:r w:rsidR="003F3005">
              <w:rPr>
                <w:rFonts w:ascii="Times New Roman" w:hAnsi="Times New Roman"/>
                <w:sz w:val="24"/>
                <w:szCs w:val="24"/>
              </w:rPr>
              <w:t>VRAA</w:t>
            </w:r>
            <w:r w:rsidRPr="00FC50C4">
              <w:rPr>
                <w:rFonts w:ascii="Times New Roman" w:hAnsi="Times New Roman"/>
                <w:sz w:val="24"/>
                <w:szCs w:val="24"/>
              </w:rPr>
              <w:t xml:space="preserve"> katru gadu aprēķina teritorijas attīstības indeksu par iepriekšējo gadu, un vides aizsardzības un reģionālās attīstības ministrs iesniedz noteiktā kārtībā Ministru kabinetā noteikumu projektu par grozījumiem </w:t>
            </w:r>
            <w:r w:rsidR="006918CF" w:rsidRPr="00FC50C4">
              <w:rPr>
                <w:rFonts w:ascii="Times New Roman" w:hAnsi="Times New Roman"/>
                <w:sz w:val="24"/>
                <w:szCs w:val="24"/>
              </w:rPr>
              <w:t xml:space="preserve">attiecīgo </w:t>
            </w:r>
            <w:r w:rsidRPr="00FC50C4">
              <w:rPr>
                <w:rFonts w:ascii="Times New Roman" w:hAnsi="Times New Roman"/>
                <w:sz w:val="24"/>
                <w:szCs w:val="24"/>
              </w:rPr>
              <w:t>noteikumu pielikumos, kas atspoguļo teritorijas attīstības indeksa vērtības.</w:t>
            </w:r>
            <w:r w:rsidR="000919A9" w:rsidRPr="00FC50C4">
              <w:rPr>
                <w:rFonts w:ascii="Times New Roman" w:hAnsi="Times New Roman"/>
                <w:sz w:val="24"/>
                <w:szCs w:val="24"/>
              </w:rPr>
              <w:t xml:space="preserve"> Līdz ar noteikumu projekta spēkā stāšanos spēku zaudēs Ministru kabineta 2010.gada 25.maija noteikumi Nr.482 „Noteikumi par teritorijas attīstības indeksa aprēķināšanas kārtību un tā vērtībām”.</w:t>
            </w:r>
          </w:p>
        </w:tc>
      </w:tr>
      <w:tr w:rsidR="002863C4" w:rsidRPr="009651CA" w:rsidTr="00A77A7C">
        <w:trPr>
          <w:trHeight w:val="411"/>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 3.</w:t>
            </w:r>
          </w:p>
        </w:tc>
        <w:tc>
          <w:tcPr>
            <w:tcW w:w="3350" w:type="dxa"/>
          </w:tcPr>
          <w:p w:rsidR="002863C4" w:rsidRPr="009651CA" w:rsidRDefault="008F6BF0"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xml:space="preserve"> </w:t>
            </w:r>
            <w:r w:rsidR="002863C4" w:rsidRPr="009651CA">
              <w:rPr>
                <w:rFonts w:ascii="Times New Roman" w:eastAsia="Times New Roman" w:hAnsi="Times New Roman"/>
                <w:sz w:val="24"/>
                <w:szCs w:val="24"/>
                <w:lang w:eastAsia="lv-LV"/>
              </w:rPr>
              <w:t>Saistītie politikas ietekmes novērtējumi un pētījumi</w:t>
            </w:r>
          </w:p>
        </w:tc>
        <w:tc>
          <w:tcPr>
            <w:tcW w:w="5670" w:type="dxa"/>
          </w:tcPr>
          <w:p w:rsidR="00F12953" w:rsidRPr="009651CA" w:rsidRDefault="000A4C0B" w:rsidP="00F12953">
            <w:pPr>
              <w:spacing w:before="63" w:after="63"/>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r w:rsidR="00596C15">
              <w:rPr>
                <w:rFonts w:ascii="Times New Roman" w:eastAsia="Times New Roman" w:hAnsi="Times New Roman"/>
                <w:sz w:val="24"/>
                <w:szCs w:val="24"/>
                <w:lang w:eastAsia="lv-LV"/>
              </w:rPr>
              <w:t>Projekts šo jomu neskar.</w:t>
            </w:r>
          </w:p>
          <w:p w:rsidR="00B0250A" w:rsidRPr="009651CA" w:rsidRDefault="00B0250A" w:rsidP="00F37444">
            <w:pPr>
              <w:spacing w:before="63" w:after="63"/>
              <w:rPr>
                <w:rFonts w:ascii="Times New Roman" w:eastAsia="Times New Roman" w:hAnsi="Times New Roman"/>
                <w:sz w:val="24"/>
                <w:szCs w:val="24"/>
                <w:lang w:eastAsia="lv-LV"/>
              </w:rPr>
            </w:pPr>
          </w:p>
        </w:tc>
      </w:tr>
      <w:tr w:rsidR="002863C4" w:rsidRPr="009651CA" w:rsidTr="00A77A7C">
        <w:trPr>
          <w:trHeight w:val="384"/>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4.</w:t>
            </w:r>
          </w:p>
        </w:tc>
        <w:tc>
          <w:tcPr>
            <w:tcW w:w="3350" w:type="dxa"/>
          </w:tcPr>
          <w:p w:rsidR="002863C4" w:rsidRPr="009651CA" w:rsidRDefault="008F6BF0"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xml:space="preserve"> </w:t>
            </w:r>
            <w:r w:rsidR="002863C4" w:rsidRPr="009651CA">
              <w:rPr>
                <w:rFonts w:ascii="Times New Roman" w:eastAsia="Times New Roman" w:hAnsi="Times New Roman"/>
                <w:sz w:val="24"/>
                <w:szCs w:val="24"/>
                <w:lang w:eastAsia="lv-LV"/>
              </w:rPr>
              <w:t>Tiesiskā regulējuma mērķis un būtība</w:t>
            </w:r>
          </w:p>
        </w:tc>
        <w:tc>
          <w:tcPr>
            <w:tcW w:w="5670" w:type="dxa"/>
          </w:tcPr>
          <w:p w:rsidR="00B24FEC" w:rsidRDefault="002863C4" w:rsidP="00EC2CDD">
            <w:pPr>
              <w:spacing w:before="0"/>
              <w:rPr>
                <w:rFonts w:ascii="Times New Roman" w:hAnsi="Times New Roman"/>
                <w:sz w:val="24"/>
                <w:szCs w:val="24"/>
              </w:rPr>
            </w:pPr>
            <w:r w:rsidRPr="009651CA">
              <w:rPr>
                <w:rFonts w:ascii="Times New Roman" w:eastAsia="Times New Roman" w:hAnsi="Times New Roman"/>
                <w:sz w:val="24"/>
                <w:szCs w:val="24"/>
                <w:lang w:eastAsia="lv-LV"/>
              </w:rPr>
              <w:t> </w:t>
            </w:r>
            <w:r w:rsidR="00EC2CDD">
              <w:rPr>
                <w:rFonts w:ascii="Times New Roman" w:hAnsi="Times New Roman"/>
                <w:sz w:val="24"/>
                <w:szCs w:val="24"/>
              </w:rPr>
              <w:t>Saskaņā ar 2009.gada 3.februāra Ministru kabineta noteikumu Nr.108 „</w:t>
            </w:r>
            <w:r w:rsidR="00EC2CDD" w:rsidRPr="00121FEA">
              <w:rPr>
                <w:rFonts w:ascii="Times New Roman" w:eastAsia="Times New Roman" w:hAnsi="Times New Roman"/>
                <w:sz w:val="24"/>
                <w:szCs w:val="24"/>
                <w:lang w:eastAsia="lv-LV"/>
              </w:rPr>
              <w:t>Normatīvo aktu projektu sagatavošanas noteikumi</w:t>
            </w:r>
            <w:r w:rsidR="00EC2CDD">
              <w:rPr>
                <w:rFonts w:ascii="Times New Roman" w:hAnsi="Times New Roman"/>
                <w:sz w:val="24"/>
                <w:szCs w:val="24"/>
              </w:rPr>
              <w:t>” 140.punktu grozījumu noteikumu projekt</w:t>
            </w:r>
            <w:r w:rsidR="00B24FEC">
              <w:rPr>
                <w:rFonts w:ascii="Times New Roman" w:hAnsi="Times New Roman"/>
                <w:sz w:val="24"/>
                <w:szCs w:val="24"/>
              </w:rPr>
              <w:t>u negatavo</w:t>
            </w:r>
            <w:r w:rsidR="00EC2CDD">
              <w:rPr>
                <w:rFonts w:ascii="Times New Roman" w:hAnsi="Times New Roman"/>
                <w:sz w:val="24"/>
                <w:szCs w:val="24"/>
              </w:rPr>
              <w:t>, j</w:t>
            </w:r>
            <w:r w:rsidR="00B24FEC">
              <w:rPr>
                <w:rFonts w:ascii="Times New Roman" w:hAnsi="Times New Roman"/>
                <w:sz w:val="24"/>
                <w:szCs w:val="24"/>
              </w:rPr>
              <w:t>a</w:t>
            </w:r>
            <w:r w:rsidR="00EC2CDD">
              <w:rPr>
                <w:rFonts w:ascii="Times New Roman" w:hAnsi="Times New Roman"/>
                <w:sz w:val="24"/>
                <w:szCs w:val="24"/>
              </w:rPr>
              <w:t xml:space="preserve"> tā normu apjoms pārsniedz pusi no spēkā esošo noteikumu normu apjoma, </w:t>
            </w:r>
            <w:r w:rsidR="00B24FEC">
              <w:rPr>
                <w:rFonts w:ascii="Times New Roman" w:hAnsi="Times New Roman"/>
                <w:sz w:val="24"/>
                <w:szCs w:val="24"/>
              </w:rPr>
              <w:t>attiecīgi</w:t>
            </w:r>
            <w:r w:rsidR="00EC2CDD">
              <w:rPr>
                <w:rFonts w:ascii="Times New Roman" w:hAnsi="Times New Roman"/>
                <w:sz w:val="24"/>
                <w:szCs w:val="24"/>
              </w:rPr>
              <w:t xml:space="preserve"> šajā gadījumā sagatavots jauns noteikumu projekts.</w:t>
            </w:r>
          </w:p>
          <w:p w:rsidR="004A023C" w:rsidRDefault="00B24FEC" w:rsidP="00AA75D0">
            <w:pPr>
              <w:tabs>
                <w:tab w:val="left" w:pos="2430"/>
              </w:tabs>
              <w:rPr>
                <w:rFonts w:ascii="Times New Roman" w:hAnsi="Times New Roman"/>
                <w:sz w:val="24"/>
                <w:szCs w:val="24"/>
              </w:rPr>
            </w:pPr>
            <w:r w:rsidRPr="009651CA">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Noteikumu projekts definē reģionālās attīstības uzraudzības un novērtēšanas jēdzienu, tostarp reģionālās attīstības uzraudzības un novērtēšanas procesā iesaistītās institūcijas. Noteikumu projekts paredz noteikt, kādus pasākumus īsteno iesaistītās institūcijas reģionālās attīstības uzraudzības un novērtēšanas procesā, tostarp kā notiek informācijas apmaiņa starp institūcijām. Vienlaikus noteikts, kā tiek izmantoti reģionālās attīstības uzraudzības un novērtēšanas rezultāti politikas plānošanā un ietekmes novērtēšanā. </w:t>
            </w:r>
          </w:p>
          <w:p w:rsidR="005A581D" w:rsidRDefault="00B24FEC" w:rsidP="00AA75D0">
            <w:pPr>
              <w:tabs>
                <w:tab w:val="left" w:pos="2430"/>
              </w:tabs>
              <w:rPr>
                <w:rFonts w:ascii="Times New Roman" w:hAnsi="Times New Roman"/>
                <w:sz w:val="24"/>
                <w:szCs w:val="24"/>
              </w:rPr>
            </w:pPr>
            <w:r w:rsidRPr="00B24FEC">
              <w:rPr>
                <w:rFonts w:ascii="Times New Roman" w:hAnsi="Times New Roman"/>
                <w:sz w:val="24"/>
                <w:szCs w:val="24"/>
              </w:rPr>
              <w:t xml:space="preserve">Noteikumu projekts ietver arī regulējumu, kas skar RAIM uzturēšanu (tajā iekļauto datu saturu, </w:t>
            </w:r>
            <w:r w:rsidRPr="00B24FEC">
              <w:rPr>
                <w:rFonts w:ascii="Times New Roman" w:hAnsi="Times New Roman"/>
                <w:sz w:val="24"/>
                <w:szCs w:val="24"/>
              </w:rPr>
              <w:lastRenderedPageBreak/>
              <w:t>informācijas ieguves, apstrādes, glabāšanas un izplatīšanas kārtī</w:t>
            </w:r>
            <w:r w:rsidR="005D795E">
              <w:rPr>
                <w:rFonts w:ascii="Times New Roman" w:hAnsi="Times New Roman"/>
                <w:sz w:val="24"/>
                <w:szCs w:val="24"/>
              </w:rPr>
              <w:t>bu) un pārzināšanu</w:t>
            </w:r>
            <w:r w:rsidRPr="00B24FEC">
              <w:rPr>
                <w:rFonts w:ascii="Times New Roman" w:hAnsi="Times New Roman"/>
                <w:sz w:val="24"/>
                <w:szCs w:val="24"/>
              </w:rPr>
              <w:t>, nosaka valsts institūciju un pašvaldību iesaisti RAIM uzturēšanā un izmantošanā. Noteikumu projektā ir noteiktas galvenās lietotāju grupas, kurām tiek piešķirtas to funkciju izpildei atbilstošas lietotāja tiesības. Katrai lietotāju grupai noteikumu projekts nosaka to informācijas apjomu un sistēmas funkcionalitāti, kuras izmantošana tiek nodrošināta bez maksas un bez papildus informācijas pieprasījumu nosūtīšanas sistēmas uzturētājam. Lielākā daļa sistēmā iekļautās informācijas būs pieejama publiskiem lietotājiem. Profesionālu plānošanas, novērtēšanas un uzraudzības uzdevumu veikšanai autorizēto lietotāju grupām (VARAM, VRAA, plānošanas reģioni, pašvaldības) tiks nodrošināta papildus funkcionalitāte, kas dos iespēju veikt datu padziļinātu analīzi.</w:t>
            </w:r>
          </w:p>
          <w:p w:rsidR="005A23A4" w:rsidRDefault="005A23A4" w:rsidP="005A23A4">
            <w:pPr>
              <w:tabs>
                <w:tab w:val="left" w:pos="2430"/>
              </w:tabs>
              <w:rPr>
                <w:rFonts w:ascii="Times New Roman" w:hAnsi="Times New Roman"/>
                <w:sz w:val="24"/>
                <w:szCs w:val="24"/>
              </w:rPr>
            </w:pPr>
            <w:r>
              <w:rPr>
                <w:rFonts w:ascii="Times New Roman" w:hAnsi="Times New Roman"/>
                <w:sz w:val="24"/>
                <w:szCs w:val="24"/>
              </w:rPr>
              <w:t>RAIM ietvaros izstrādātas divas rokasgrāmatas, kas paredzētas autorizēto lietotāju grupām un publiskajiem jeb neautorizētajiem lietotājiem. Autorizēto lietotāju rokasgrāmatā aprakstītas RAIM iespējas un darbības, šo rokasgrāmatu varēs izmantot pašvaldību, plānošanas reģionu, u.c. autorizēto lietotāju grupas. Līdz ar to nav paredzēts specifiski apmācīt ar RAIM strādājošos autorizētos lietotājus. Savukārt publiskajiem RAIM lietotājiem būs iespēja izmantot rokasgrāmatu, kurā aprakstīts neautorizētajiem lietotājiem pieejamais RAIM saturs un lietotāja iespējas. Projekta ietvaros 2014.gadā plānots nodrošināt informatīvos pasākumus, piemēram, pašvaldību un plānošanas reģionu autorizētajiem lietotājiem.</w:t>
            </w:r>
          </w:p>
          <w:p w:rsidR="005A23A4" w:rsidRDefault="005A23A4" w:rsidP="005A23A4">
            <w:pPr>
              <w:rPr>
                <w:rFonts w:ascii="Times New Roman" w:hAnsi="Times New Roman"/>
                <w:sz w:val="24"/>
                <w:szCs w:val="24"/>
              </w:rPr>
            </w:pPr>
            <w:r>
              <w:rPr>
                <w:rFonts w:ascii="Times New Roman" w:hAnsi="Times New Roman"/>
                <w:sz w:val="24"/>
                <w:szCs w:val="24"/>
              </w:rPr>
              <w:t xml:space="preserve">Noteikumu projektā paredzēts, ka sākot ar </w:t>
            </w:r>
            <w:r w:rsidR="00B81850">
              <w:rPr>
                <w:rFonts w:ascii="Times New Roman" w:hAnsi="Times New Roman"/>
                <w:sz w:val="24"/>
                <w:szCs w:val="24"/>
              </w:rPr>
              <w:t>2015</w:t>
            </w:r>
            <w:r>
              <w:rPr>
                <w:rFonts w:ascii="Times New Roman" w:hAnsi="Times New Roman"/>
                <w:sz w:val="24"/>
                <w:szCs w:val="24"/>
              </w:rPr>
              <w:t xml:space="preserve">.gada 20.martu VARAM ikgadēji sagatavo un aģentūra publicē RAIM analītisku ziņojumu par Eiropas Savienības fondu ieguldījumiem Latvijas administratīvajās teritorijās un uzraudzības rādītājiem plānošanas reģionos. Reizi gadā VARAM līdz 20.martam iesniedz vadošajā iestādē ziņojumu ar analīzi par ES fondu ieguldījumu attiecīgo horizontālo prioritāšu mērķu sasniegšanā un sasniegtajiem horizontālajiem rādītājiem iepriekšējā gadā, kas balstīta uz atbildīgo iestāžu ziņojumos iekļauto informāciju par horizontālo politiku īstenošanu ES fondu līdzfinansēto pasākumu un aktivitāšu ietvaros. Minētā ziņojuma sagatavošanas pienākums noteikts Ministru kabineta 2007.gada 26.jūnija noteikumu Nr.419 „Kārtība, kādā Eiropas Savienības struktūrfondu un Kohēzijas fonda vadībā iesaistītās institūcijas nodrošina plānošanas </w:t>
            </w:r>
            <w:r>
              <w:rPr>
                <w:rFonts w:ascii="Times New Roman" w:hAnsi="Times New Roman"/>
                <w:sz w:val="24"/>
                <w:szCs w:val="24"/>
              </w:rPr>
              <w:lastRenderedPageBreak/>
              <w:t>dokumentu sagatavošanu un šo fondu ieviešanu” trešajā punktā. No 2009.gada līdz 2014.gada (ieskaitot) 20.martam, VARAM ikgadēji izstrādā ziņojumu par horizontālo prioritāšu „Teritoriju līdzsvarota attīstība” un „Rīgas starptautiskā konkurētspēja”, līdz ar to noteikumu projektā paredzēts, ka šāda satura ziņojuma izstrāde tiks paredzēta arī pēc 2014.gada, tādējādi saglabājot ziņojuma izstrādes pēctecību.</w:t>
            </w:r>
          </w:p>
          <w:p w:rsidR="005A23A4" w:rsidRDefault="005A23A4" w:rsidP="005A23A4">
            <w:pPr>
              <w:tabs>
                <w:tab w:val="left" w:pos="2430"/>
              </w:tabs>
              <w:rPr>
                <w:rFonts w:ascii="Times New Roman" w:hAnsi="Times New Roman"/>
                <w:sz w:val="24"/>
                <w:szCs w:val="24"/>
              </w:rPr>
            </w:pPr>
            <w:r w:rsidRPr="005416D0">
              <w:rPr>
                <w:rFonts w:ascii="Times New Roman" w:eastAsia="Times New Roman" w:hAnsi="Times New Roman"/>
                <w:sz w:val="24"/>
                <w:szCs w:val="24"/>
                <w:lang w:eastAsia="lv-LV"/>
              </w:rPr>
              <w:t xml:space="preserve">Noteikumu projektā paredzēts, ka ar 2014.gada 1.novembri RAIM iekļauj </w:t>
            </w:r>
            <w:r w:rsidRPr="005416D0">
              <w:rPr>
                <w:rFonts w:ascii="Times New Roman" w:hAnsi="Times New Roman"/>
                <w:sz w:val="24"/>
                <w:szCs w:val="24"/>
              </w:rPr>
              <w:t xml:space="preserve">Teritorijas attīstības plānošanas informācijas sistēmā esošo informāciju par aizsargājamajām dabas teritorijām, platībām pa teritoriālā plānojuma funkcionālā zonējuma, teritoriju galvenajiem izmantošanas veidiem, teritorijas platību, ūdensobjektu aizņemto platību. Līdz minētajam termiņam tiks nodrošināta Teritorijas attīstības plānošanas informācijas sistēmas darbības uzsākšana. </w:t>
            </w:r>
          </w:p>
          <w:p w:rsidR="00F073C5" w:rsidRDefault="005A23A4" w:rsidP="005A23A4">
            <w:pPr>
              <w:tabs>
                <w:tab w:val="left" w:pos="2430"/>
              </w:tabs>
              <w:rPr>
                <w:rFonts w:ascii="Times New Roman" w:hAnsi="Times New Roman"/>
                <w:sz w:val="24"/>
                <w:szCs w:val="24"/>
                <w:lang w:eastAsia="lv-LV"/>
              </w:rPr>
            </w:pPr>
            <w:r w:rsidRPr="00792F6D">
              <w:rPr>
                <w:rFonts w:ascii="Times New Roman" w:hAnsi="Times New Roman"/>
                <w:sz w:val="24"/>
                <w:szCs w:val="24"/>
                <w:lang w:eastAsia="lv-LV"/>
              </w:rPr>
              <w:t>Noslēgtās starpresoru vienošanās par datu nodošanu RAIM izbeigsies saskaņā ar Valsts pārvaldes iekārtas likuma 60.panta 4.punktu, kas nosaka, ka starpresoru vienošanās izbeidzas, ja viena iestāde to nepilda vai nevar pildīt sakarā ar faktisko vai tiesisko apstākļu maiņu. Noteikumu projekta ietvaros nav nepieciešams ietvert starpresoru vienošanās kārtības izbeigšanos.</w:t>
            </w:r>
          </w:p>
          <w:p w:rsidR="00A6124F" w:rsidRPr="00B24FEC" w:rsidRDefault="00A6124F" w:rsidP="00AA75D0">
            <w:pPr>
              <w:tabs>
                <w:tab w:val="left" w:pos="2430"/>
              </w:tabs>
              <w:rPr>
                <w:rFonts w:ascii="Times New Roman" w:hAnsi="Times New Roman"/>
                <w:sz w:val="24"/>
                <w:szCs w:val="24"/>
              </w:rPr>
            </w:pPr>
            <w:r w:rsidRPr="00F012FB">
              <w:rPr>
                <w:rFonts w:ascii="Times New Roman" w:hAnsi="Times New Roman"/>
                <w:sz w:val="24"/>
                <w:szCs w:val="24"/>
              </w:rPr>
              <w:t xml:space="preserve">Noteikumu projekts nosaka </w:t>
            </w:r>
            <w:r w:rsidR="008B6823">
              <w:rPr>
                <w:rFonts w:ascii="Times New Roman" w:hAnsi="Times New Roman"/>
                <w:sz w:val="24"/>
                <w:szCs w:val="24"/>
              </w:rPr>
              <w:t xml:space="preserve">arī </w:t>
            </w:r>
            <w:r w:rsidRPr="00F012FB">
              <w:rPr>
                <w:rFonts w:ascii="Times New Roman" w:hAnsi="Times New Roman"/>
                <w:sz w:val="24"/>
                <w:szCs w:val="24"/>
              </w:rPr>
              <w:t>kārtību, kādā tiek veikta teritorijas attīstības indeksa aprēķināšana un vērtību publicēšana.</w:t>
            </w:r>
          </w:p>
        </w:tc>
      </w:tr>
      <w:tr w:rsidR="002863C4" w:rsidRPr="009651CA" w:rsidTr="00A77A7C">
        <w:trPr>
          <w:trHeight w:val="476"/>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 5.</w:t>
            </w:r>
          </w:p>
        </w:tc>
        <w:tc>
          <w:tcPr>
            <w:tcW w:w="3350"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izstrādē iesaistītās institūcijas</w:t>
            </w:r>
          </w:p>
        </w:tc>
        <w:tc>
          <w:tcPr>
            <w:tcW w:w="5670" w:type="dxa"/>
          </w:tcPr>
          <w:p w:rsidR="00C451BC" w:rsidRPr="009651CA" w:rsidRDefault="002863C4" w:rsidP="00C451BC">
            <w:pPr>
              <w:spacing w:before="63" w:after="63"/>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r w:rsidR="007F1FC9">
              <w:rPr>
                <w:rFonts w:ascii="Times New Roman" w:eastAsia="Times New Roman" w:hAnsi="Times New Roman"/>
                <w:sz w:val="24"/>
                <w:szCs w:val="24"/>
                <w:lang w:eastAsia="lv-LV"/>
              </w:rPr>
              <w:t>VRAA</w:t>
            </w:r>
            <w:r w:rsidR="00502F9E">
              <w:rPr>
                <w:rFonts w:ascii="Times New Roman" w:eastAsia="Times New Roman" w:hAnsi="Times New Roman"/>
                <w:sz w:val="24"/>
                <w:szCs w:val="24"/>
                <w:lang w:eastAsia="lv-LV"/>
              </w:rPr>
              <w:t>.</w:t>
            </w:r>
          </w:p>
          <w:p w:rsidR="009005D5" w:rsidRPr="009651CA" w:rsidRDefault="009005D5" w:rsidP="00E70239">
            <w:pPr>
              <w:spacing w:before="63" w:after="63"/>
              <w:rPr>
                <w:rFonts w:ascii="Times New Roman" w:eastAsia="Times New Roman" w:hAnsi="Times New Roman"/>
                <w:sz w:val="24"/>
                <w:szCs w:val="24"/>
                <w:lang w:eastAsia="lv-LV"/>
              </w:rPr>
            </w:pPr>
          </w:p>
        </w:tc>
      </w:tr>
      <w:tr w:rsidR="002863C4" w:rsidRPr="009651CA" w:rsidTr="00A77A7C">
        <w:trPr>
          <w:trHeight w:val="733"/>
        </w:trPr>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6.</w:t>
            </w:r>
          </w:p>
        </w:tc>
        <w:tc>
          <w:tcPr>
            <w:tcW w:w="3350"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Iemesli, kādēļ netika nodrošināta sabiedrības līdzdalība</w:t>
            </w:r>
          </w:p>
        </w:tc>
        <w:tc>
          <w:tcPr>
            <w:tcW w:w="5670" w:type="dxa"/>
          </w:tcPr>
          <w:p w:rsidR="002863C4" w:rsidRPr="005A23A4" w:rsidRDefault="00F073C5" w:rsidP="004B60DE">
            <w:pPr>
              <w:spacing w:before="63" w:after="63"/>
              <w:rPr>
                <w:rFonts w:ascii="Times New Roman" w:eastAsia="Times New Roman" w:hAnsi="Times New Roman"/>
                <w:sz w:val="24"/>
                <w:szCs w:val="24"/>
                <w:lang w:eastAsia="lv-LV"/>
              </w:rPr>
            </w:pPr>
            <w:r w:rsidRPr="005416D0">
              <w:rPr>
                <w:rFonts w:ascii="Times New Roman" w:hAnsi="Times New Roman"/>
                <w:iCs/>
                <w:sz w:val="24"/>
                <w:szCs w:val="24"/>
              </w:rPr>
              <w:t>Sabiedrības līdzdalība netika nodrošināta, jo noteikumu projektā nav ietvertas normas, kas tieši skartu sabiedrības intereses. Tostarp projekta ietvaros apstiprināto RAIM uzbūvi šobrīd nevar ietekmēt, ņemot vērā, ka projektā nav paredzēts papildus finansējums.</w:t>
            </w:r>
          </w:p>
        </w:tc>
      </w:tr>
      <w:tr w:rsidR="002863C4" w:rsidRPr="009651CA" w:rsidTr="00A77A7C">
        <w:tc>
          <w:tcPr>
            <w:tcW w:w="493"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7.</w:t>
            </w:r>
          </w:p>
        </w:tc>
        <w:tc>
          <w:tcPr>
            <w:tcW w:w="3350"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Cita informācija</w:t>
            </w:r>
          </w:p>
        </w:tc>
        <w:tc>
          <w:tcPr>
            <w:tcW w:w="5670" w:type="dxa"/>
          </w:tcPr>
          <w:p w:rsidR="002863C4" w:rsidRPr="009651CA" w:rsidRDefault="002863C4" w:rsidP="000968AE">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r w:rsidR="000968AE">
              <w:rPr>
                <w:rFonts w:ascii="Times New Roman" w:eastAsia="Times New Roman" w:hAnsi="Times New Roman"/>
                <w:sz w:val="24"/>
                <w:szCs w:val="24"/>
                <w:lang w:eastAsia="lv-LV"/>
              </w:rPr>
              <w:t>Nav.</w:t>
            </w:r>
          </w:p>
        </w:tc>
      </w:tr>
    </w:tbl>
    <w:p w:rsidR="002863C4" w:rsidRPr="009651CA" w:rsidRDefault="002863C4" w:rsidP="002863C4">
      <w:pPr>
        <w:spacing w:before="63" w:after="63"/>
        <w:ind w:firstLine="313"/>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p>
    <w:tbl>
      <w:tblPr>
        <w:tblStyle w:val="TableGrid"/>
        <w:tblW w:w="0" w:type="auto"/>
        <w:tblLook w:val="04A0" w:firstRow="1" w:lastRow="0" w:firstColumn="1" w:lastColumn="0" w:noHBand="0" w:noVBand="1"/>
      </w:tblPr>
      <w:tblGrid>
        <w:gridCol w:w="488"/>
        <w:gridCol w:w="3355"/>
        <w:gridCol w:w="5670"/>
      </w:tblGrid>
      <w:tr w:rsidR="002863C4" w:rsidRPr="009651CA" w:rsidTr="00A77A7C">
        <w:tc>
          <w:tcPr>
            <w:tcW w:w="9513" w:type="dxa"/>
            <w:gridSpan w:val="3"/>
          </w:tcPr>
          <w:p w:rsidR="002863C4" w:rsidRPr="009651CA" w:rsidRDefault="002863C4" w:rsidP="002863C4">
            <w:pPr>
              <w:spacing w:before="125" w:after="125"/>
              <w:jc w:val="center"/>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 xml:space="preserve"> II. Tiesību </w:t>
            </w:r>
            <w:smartTag w:uri="schemas-tilde-lv/tildestengine" w:element="veidnes">
              <w:smartTagPr>
                <w:attr w:name="baseform" w:val="akt|s"/>
                <w:attr w:name="id" w:val="-1"/>
                <w:attr w:name="text" w:val="akta"/>
              </w:smartTagPr>
              <w:r w:rsidRPr="009651CA">
                <w:rPr>
                  <w:rFonts w:ascii="Times New Roman" w:eastAsia="Times New Roman" w:hAnsi="Times New Roman"/>
                  <w:b/>
                  <w:bCs/>
                  <w:sz w:val="24"/>
                  <w:szCs w:val="24"/>
                  <w:lang w:eastAsia="lv-LV"/>
                </w:rPr>
                <w:t>akta</w:t>
              </w:r>
            </w:smartTag>
            <w:r w:rsidRPr="009651CA">
              <w:rPr>
                <w:rFonts w:ascii="Times New Roman" w:eastAsia="Times New Roman" w:hAnsi="Times New Roman"/>
                <w:b/>
                <w:bCs/>
                <w:sz w:val="24"/>
                <w:szCs w:val="24"/>
                <w:lang w:eastAsia="lv-LV"/>
              </w:rPr>
              <w:t xml:space="preserve"> projekta ietekme uz sabiedrību</w:t>
            </w:r>
          </w:p>
        </w:tc>
      </w:tr>
      <w:tr w:rsidR="002863C4" w:rsidRPr="009651CA" w:rsidTr="00A77A7C">
        <w:trPr>
          <w:trHeight w:val="467"/>
        </w:trPr>
        <w:tc>
          <w:tcPr>
            <w:tcW w:w="488"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1.</w:t>
            </w:r>
          </w:p>
        </w:tc>
        <w:tc>
          <w:tcPr>
            <w:tcW w:w="3355"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Sabiedrības mērķgrupa</w:t>
            </w:r>
          </w:p>
        </w:tc>
        <w:tc>
          <w:tcPr>
            <w:tcW w:w="5670" w:type="dxa"/>
          </w:tcPr>
          <w:p w:rsidR="00593C54" w:rsidRPr="00545953" w:rsidRDefault="002863C4" w:rsidP="009101D3">
            <w:pPr>
              <w:spacing w:before="63" w:after="63"/>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r w:rsidR="00545953">
              <w:rPr>
                <w:rFonts w:ascii="Times New Roman" w:eastAsia="Times New Roman" w:hAnsi="Times New Roman"/>
                <w:sz w:val="24"/>
                <w:szCs w:val="24"/>
                <w:lang w:eastAsia="lv-LV"/>
              </w:rPr>
              <w:t>RAIM</w:t>
            </w:r>
            <w:r w:rsidR="00B24FEC">
              <w:rPr>
                <w:rFonts w:ascii="Times New Roman" w:eastAsia="Times New Roman" w:hAnsi="Times New Roman"/>
                <w:sz w:val="24"/>
                <w:szCs w:val="24"/>
                <w:lang w:eastAsia="lv-LV"/>
              </w:rPr>
              <w:t xml:space="preserve"> sistēmas</w:t>
            </w:r>
            <w:r w:rsidR="00545953">
              <w:rPr>
                <w:rFonts w:ascii="Times New Roman" w:eastAsia="Times New Roman" w:hAnsi="Times New Roman"/>
                <w:sz w:val="24"/>
                <w:szCs w:val="24"/>
                <w:lang w:eastAsia="lv-LV"/>
              </w:rPr>
              <w:t xml:space="preserve"> lietotāji – </w:t>
            </w:r>
            <w:r w:rsidR="009101D3">
              <w:rPr>
                <w:rFonts w:ascii="Times New Roman" w:eastAsia="Times New Roman" w:hAnsi="Times New Roman"/>
                <w:sz w:val="24"/>
                <w:szCs w:val="24"/>
                <w:lang w:eastAsia="lv-LV"/>
              </w:rPr>
              <w:t>VARAM</w:t>
            </w:r>
            <w:r w:rsidR="00545953">
              <w:rPr>
                <w:rFonts w:ascii="Times New Roman" w:eastAsia="Times New Roman" w:hAnsi="Times New Roman"/>
                <w:sz w:val="24"/>
                <w:szCs w:val="24"/>
                <w:lang w:eastAsia="lv-LV"/>
              </w:rPr>
              <w:t xml:space="preserve"> speciālisti, V</w:t>
            </w:r>
            <w:r w:rsidR="009101D3">
              <w:rPr>
                <w:rFonts w:ascii="Times New Roman" w:eastAsia="Times New Roman" w:hAnsi="Times New Roman"/>
                <w:sz w:val="24"/>
                <w:szCs w:val="24"/>
                <w:lang w:eastAsia="lv-LV"/>
              </w:rPr>
              <w:t xml:space="preserve">RAA </w:t>
            </w:r>
            <w:r w:rsidR="00545953">
              <w:rPr>
                <w:rFonts w:ascii="Times New Roman" w:eastAsia="Times New Roman" w:hAnsi="Times New Roman"/>
                <w:sz w:val="24"/>
                <w:szCs w:val="24"/>
                <w:lang w:eastAsia="lv-LV"/>
              </w:rPr>
              <w:t>speciālisti, plānošanas reģionu administrācijas, pašvaldību administrācijas, publiskie (neautorizētie) lietotāji.</w:t>
            </w:r>
          </w:p>
        </w:tc>
      </w:tr>
      <w:tr w:rsidR="002863C4" w:rsidRPr="009651CA" w:rsidTr="00A77A7C">
        <w:trPr>
          <w:trHeight w:val="523"/>
        </w:trPr>
        <w:tc>
          <w:tcPr>
            <w:tcW w:w="488"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2.</w:t>
            </w:r>
          </w:p>
        </w:tc>
        <w:tc>
          <w:tcPr>
            <w:tcW w:w="3355"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xml:space="preserve"> Citas sabiedrības grupas (bez mērķgrupas), kuras tiesiskais regulējums arī ietekmē vai </w:t>
            </w:r>
            <w:r w:rsidRPr="009651CA">
              <w:rPr>
                <w:rFonts w:ascii="Times New Roman" w:eastAsia="Times New Roman" w:hAnsi="Times New Roman"/>
                <w:sz w:val="24"/>
                <w:szCs w:val="24"/>
                <w:lang w:eastAsia="lv-LV"/>
              </w:rPr>
              <w:lastRenderedPageBreak/>
              <w:t>varētu ietekmēt</w:t>
            </w:r>
          </w:p>
        </w:tc>
        <w:tc>
          <w:tcPr>
            <w:tcW w:w="5670" w:type="dxa"/>
          </w:tcPr>
          <w:p w:rsidR="00723B36" w:rsidRPr="009651CA" w:rsidRDefault="00AD644C" w:rsidP="00A108DC">
            <w:pPr>
              <w:spacing w:before="63" w:after="63"/>
              <w:rPr>
                <w:rFonts w:ascii="Times New Roman" w:eastAsia="Times New Roman" w:hAnsi="Times New Roman"/>
                <w:sz w:val="24"/>
                <w:szCs w:val="24"/>
                <w:lang w:eastAsia="lv-LV"/>
              </w:rPr>
            </w:pPr>
            <w:r>
              <w:rPr>
                <w:rFonts w:ascii="Times New Roman" w:hAnsi="Times New Roman"/>
                <w:sz w:val="24"/>
                <w:szCs w:val="24"/>
              </w:rPr>
              <w:lastRenderedPageBreak/>
              <w:t>Projekts šo jomu neskar.</w:t>
            </w:r>
          </w:p>
        </w:tc>
      </w:tr>
      <w:tr w:rsidR="002863C4" w:rsidRPr="009651CA" w:rsidTr="003E70E7">
        <w:trPr>
          <w:trHeight w:val="517"/>
        </w:trPr>
        <w:tc>
          <w:tcPr>
            <w:tcW w:w="488"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 3.</w:t>
            </w:r>
          </w:p>
        </w:tc>
        <w:tc>
          <w:tcPr>
            <w:tcW w:w="3355"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Tiesiskā regulējuma finansiālā ietekme</w:t>
            </w:r>
          </w:p>
        </w:tc>
        <w:tc>
          <w:tcPr>
            <w:tcW w:w="5670" w:type="dxa"/>
            <w:shd w:val="clear" w:color="auto" w:fill="auto"/>
          </w:tcPr>
          <w:p w:rsidR="00593C54" w:rsidRPr="00AD644C" w:rsidRDefault="003E70E7" w:rsidP="005C3A41">
            <w:pPr>
              <w:spacing w:after="63"/>
              <w:rPr>
                <w:rFonts w:ascii="Times New Roman" w:eastAsia="Times New Roman" w:hAnsi="Times New Roman"/>
                <w:sz w:val="24"/>
                <w:szCs w:val="24"/>
                <w:highlight w:val="yellow"/>
                <w:lang w:eastAsia="lv-LV"/>
              </w:rPr>
            </w:pPr>
            <w:r>
              <w:rPr>
                <w:rFonts w:ascii="Times New Roman" w:hAnsi="Times New Roman"/>
                <w:sz w:val="24"/>
                <w:szCs w:val="24"/>
              </w:rPr>
              <w:t>Projekts šo jomu neskar.</w:t>
            </w:r>
          </w:p>
        </w:tc>
      </w:tr>
      <w:tr w:rsidR="002863C4" w:rsidRPr="009651CA" w:rsidTr="0078727A">
        <w:trPr>
          <w:trHeight w:val="517"/>
        </w:trPr>
        <w:tc>
          <w:tcPr>
            <w:tcW w:w="488" w:type="dxa"/>
            <w:shd w:val="clear" w:color="auto" w:fill="auto"/>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4.</w:t>
            </w:r>
          </w:p>
        </w:tc>
        <w:tc>
          <w:tcPr>
            <w:tcW w:w="3355" w:type="dxa"/>
            <w:shd w:val="clear" w:color="auto" w:fill="auto"/>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Tiesiskā regulējuma nefinansiālā ietekme</w:t>
            </w:r>
          </w:p>
        </w:tc>
        <w:tc>
          <w:tcPr>
            <w:tcW w:w="5670" w:type="dxa"/>
            <w:shd w:val="clear" w:color="auto" w:fill="auto"/>
          </w:tcPr>
          <w:p w:rsidR="0086462D" w:rsidRDefault="0086462D" w:rsidP="0078727A">
            <w:pPr>
              <w:spacing w:before="63" w:after="63"/>
              <w:rPr>
                <w:rFonts w:ascii="Times New Roman" w:hAnsi="Times New Roman"/>
                <w:sz w:val="24"/>
                <w:szCs w:val="24"/>
              </w:rPr>
            </w:pPr>
            <w:r w:rsidRPr="00AF43F3">
              <w:rPr>
                <w:rFonts w:ascii="Times New Roman" w:hAnsi="Times New Roman"/>
                <w:bCs/>
                <w:sz w:val="24"/>
                <w:szCs w:val="24"/>
              </w:rPr>
              <w:t xml:space="preserve">RAIM </w:t>
            </w:r>
            <w:r w:rsidRPr="00AF43F3">
              <w:rPr>
                <w:rFonts w:ascii="Times New Roman" w:hAnsi="Times New Roman"/>
                <w:sz w:val="24"/>
                <w:szCs w:val="24"/>
              </w:rPr>
              <w:t xml:space="preserve">būs palīginstruments </w:t>
            </w:r>
            <w:r>
              <w:rPr>
                <w:rFonts w:ascii="Times New Roman" w:hAnsi="Times New Roman"/>
                <w:sz w:val="24"/>
                <w:szCs w:val="24"/>
              </w:rPr>
              <w:t xml:space="preserve">visas valsts, plānošanas reģionu un </w:t>
            </w:r>
            <w:r w:rsidRPr="00AF43F3">
              <w:rPr>
                <w:rFonts w:ascii="Times New Roman" w:hAnsi="Times New Roman"/>
                <w:sz w:val="24"/>
                <w:szCs w:val="24"/>
              </w:rPr>
              <w:t xml:space="preserve">pašvaldību teritorijas attīstības tendenču izvērtēšanai, kā arī </w:t>
            </w:r>
            <w:r>
              <w:rPr>
                <w:rFonts w:ascii="Times New Roman" w:hAnsi="Times New Roman"/>
                <w:sz w:val="24"/>
                <w:szCs w:val="24"/>
              </w:rPr>
              <w:t xml:space="preserve">plānošanas reģionu un </w:t>
            </w:r>
            <w:r w:rsidRPr="00AF43F3">
              <w:rPr>
                <w:rFonts w:ascii="Times New Roman" w:hAnsi="Times New Roman"/>
                <w:sz w:val="24"/>
                <w:szCs w:val="24"/>
              </w:rPr>
              <w:t xml:space="preserve">pašvaldību </w:t>
            </w:r>
            <w:r>
              <w:rPr>
                <w:rFonts w:ascii="Times New Roman" w:hAnsi="Times New Roman"/>
                <w:sz w:val="24"/>
                <w:szCs w:val="24"/>
              </w:rPr>
              <w:t>teritorijas attīstības plānošanas dokumentu</w:t>
            </w:r>
            <w:r w:rsidRPr="00AF43F3">
              <w:rPr>
                <w:rFonts w:ascii="Times New Roman" w:hAnsi="Times New Roman"/>
                <w:sz w:val="24"/>
                <w:szCs w:val="24"/>
              </w:rPr>
              <w:t xml:space="preserve"> sagatavošanai un uzraudzībai.</w:t>
            </w:r>
          </w:p>
          <w:p w:rsidR="002863C4" w:rsidRPr="00A6124F" w:rsidRDefault="0078727A" w:rsidP="00F012FB">
            <w:pPr>
              <w:spacing w:before="63" w:after="63"/>
              <w:rPr>
                <w:rFonts w:ascii="Times New Roman" w:hAnsi="Times New Roman"/>
                <w:sz w:val="24"/>
                <w:szCs w:val="24"/>
              </w:rPr>
            </w:pPr>
            <w:r w:rsidRPr="0078727A">
              <w:rPr>
                <w:rFonts w:ascii="Times New Roman" w:hAnsi="Times New Roman"/>
                <w:sz w:val="24"/>
                <w:szCs w:val="24"/>
              </w:rPr>
              <w:t>RAIM mērķis ir nodrošināt s</w:t>
            </w:r>
            <w:r>
              <w:rPr>
                <w:rFonts w:ascii="Times New Roman" w:hAnsi="Times New Roman"/>
                <w:sz w:val="24"/>
                <w:szCs w:val="24"/>
              </w:rPr>
              <w:t>ociālekonomisko</w:t>
            </w:r>
            <w:r w:rsidRPr="0078727A">
              <w:rPr>
                <w:rFonts w:ascii="Times New Roman" w:hAnsi="Times New Roman"/>
                <w:sz w:val="24"/>
                <w:szCs w:val="24"/>
              </w:rPr>
              <w:t xml:space="preserve"> un nozaru politiku īstenošanas instrumentu rādītāju kopu informācijas pieejamību gan valsts, pašvaldību, plānošanas reģionu speciālistiem, gan investoriem un visai sabiedrībai, lai sekmētu vienotu un vispusīgu valsts pārvaldes, </w:t>
            </w:r>
            <w:r w:rsidR="00A33C30">
              <w:rPr>
                <w:rFonts w:ascii="Times New Roman" w:hAnsi="Times New Roman"/>
                <w:sz w:val="24"/>
                <w:szCs w:val="24"/>
              </w:rPr>
              <w:t xml:space="preserve">plānošanas reģionu, </w:t>
            </w:r>
            <w:r w:rsidRPr="0078727A">
              <w:rPr>
                <w:rFonts w:ascii="Times New Roman" w:hAnsi="Times New Roman"/>
                <w:sz w:val="24"/>
                <w:szCs w:val="24"/>
              </w:rPr>
              <w:t>pašvaldību institūciju un sabiedrības izpratni par reģionālo politiku un teritorijas attīstības perspektīvām.</w:t>
            </w:r>
          </w:p>
        </w:tc>
      </w:tr>
      <w:tr w:rsidR="002863C4" w:rsidRPr="009651CA" w:rsidTr="009B61B1">
        <w:trPr>
          <w:trHeight w:val="531"/>
        </w:trPr>
        <w:tc>
          <w:tcPr>
            <w:tcW w:w="488" w:type="dxa"/>
            <w:shd w:val="clear" w:color="auto" w:fill="auto"/>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5.</w:t>
            </w:r>
          </w:p>
        </w:tc>
        <w:tc>
          <w:tcPr>
            <w:tcW w:w="3355" w:type="dxa"/>
            <w:shd w:val="clear" w:color="auto" w:fill="auto"/>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Administratīvās procedūras raksturojums</w:t>
            </w:r>
          </w:p>
        </w:tc>
        <w:tc>
          <w:tcPr>
            <w:tcW w:w="5670" w:type="dxa"/>
            <w:shd w:val="clear" w:color="auto" w:fill="auto"/>
          </w:tcPr>
          <w:p w:rsidR="00A33C30" w:rsidRDefault="00AD0F0A" w:rsidP="007F1FC9">
            <w:pPr>
              <w:spacing w:before="0"/>
              <w:rPr>
                <w:rFonts w:ascii="Times New Roman" w:eastAsia="Times New Roman" w:hAnsi="Times New Roman"/>
                <w:sz w:val="24"/>
                <w:szCs w:val="24"/>
                <w:lang w:eastAsia="lv-LV"/>
              </w:rPr>
            </w:pPr>
            <w:r w:rsidRPr="009B61B1">
              <w:rPr>
                <w:rFonts w:ascii="Times New Roman" w:eastAsia="Times New Roman" w:hAnsi="Times New Roman"/>
                <w:sz w:val="24"/>
                <w:szCs w:val="24"/>
                <w:lang w:eastAsia="lv-LV"/>
              </w:rPr>
              <w:t>RAIM nodrošinās piekļuvi</w:t>
            </w:r>
            <w:r w:rsidR="00A33C30">
              <w:rPr>
                <w:rFonts w:ascii="Times New Roman" w:eastAsia="Times New Roman" w:hAnsi="Times New Roman"/>
                <w:sz w:val="24"/>
                <w:szCs w:val="24"/>
                <w:lang w:eastAsia="lv-LV"/>
              </w:rPr>
              <w:t>:</w:t>
            </w:r>
          </w:p>
          <w:p w:rsidR="00A33C30" w:rsidRDefault="00AD0F0A" w:rsidP="00AA75D0">
            <w:pPr>
              <w:pStyle w:val="ListParagraph"/>
              <w:numPr>
                <w:ilvl w:val="0"/>
                <w:numId w:val="24"/>
              </w:numPr>
              <w:spacing w:before="0"/>
              <w:ind w:left="0" w:firstLine="360"/>
              <w:rPr>
                <w:rFonts w:ascii="Times New Roman" w:hAnsi="Times New Roman"/>
                <w:sz w:val="24"/>
                <w:szCs w:val="24"/>
              </w:rPr>
            </w:pPr>
            <w:r w:rsidRPr="00AA75D0">
              <w:rPr>
                <w:rFonts w:ascii="Times New Roman" w:hAnsi="Times New Roman"/>
                <w:sz w:val="24"/>
                <w:szCs w:val="24"/>
              </w:rPr>
              <w:t>kvantitatīvai informācij</w:t>
            </w:r>
            <w:r w:rsidR="009B61B1" w:rsidRPr="00AA75D0">
              <w:rPr>
                <w:rFonts w:ascii="Times New Roman" w:hAnsi="Times New Roman"/>
                <w:sz w:val="24"/>
                <w:szCs w:val="24"/>
              </w:rPr>
              <w:t xml:space="preserve">ai par sociālekonomiskajiem rādītājiem par visu valsti kopumā, atsevišķu valsts teritoriju iedalījumā un par konkrētu laika periodu; </w:t>
            </w:r>
          </w:p>
          <w:p w:rsidR="00A33C30" w:rsidRDefault="009B61B1" w:rsidP="00AA75D0">
            <w:pPr>
              <w:pStyle w:val="ListParagraph"/>
              <w:numPr>
                <w:ilvl w:val="0"/>
                <w:numId w:val="24"/>
              </w:numPr>
              <w:spacing w:before="0"/>
              <w:ind w:left="0" w:firstLine="360"/>
              <w:rPr>
                <w:rFonts w:ascii="Times New Roman" w:hAnsi="Times New Roman"/>
                <w:sz w:val="24"/>
                <w:szCs w:val="24"/>
              </w:rPr>
            </w:pPr>
            <w:r w:rsidRPr="00AA75D0">
              <w:rPr>
                <w:rFonts w:ascii="Times New Roman" w:hAnsi="Times New Roman"/>
                <w:sz w:val="24"/>
                <w:szCs w:val="24"/>
              </w:rPr>
              <w:t>kvantitatīvai informācijai par valsts budžeta, Eiropas Savienības fondu</w:t>
            </w:r>
            <w:r w:rsidR="004F5250">
              <w:rPr>
                <w:rFonts w:ascii="Times New Roman" w:hAnsi="Times New Roman"/>
                <w:sz w:val="24"/>
                <w:szCs w:val="24"/>
              </w:rPr>
              <w:t xml:space="preserve"> (</w:t>
            </w:r>
            <w:r w:rsidR="00F85FC3">
              <w:rPr>
                <w:rFonts w:ascii="Times New Roman" w:hAnsi="Times New Roman"/>
                <w:sz w:val="24"/>
                <w:szCs w:val="24"/>
              </w:rPr>
              <w:t>Eiropas Reģionālās attīstības fonds, Eiropas Soci</w:t>
            </w:r>
            <w:r w:rsidR="00A070C4">
              <w:rPr>
                <w:rFonts w:ascii="Times New Roman" w:hAnsi="Times New Roman"/>
                <w:sz w:val="24"/>
                <w:szCs w:val="24"/>
              </w:rPr>
              <w:t xml:space="preserve">ālais fonds, </w:t>
            </w:r>
            <w:r w:rsidR="00F85FC3">
              <w:rPr>
                <w:rFonts w:ascii="Times New Roman" w:hAnsi="Times New Roman"/>
                <w:sz w:val="24"/>
                <w:szCs w:val="24"/>
              </w:rPr>
              <w:t>Kohēzijas fonds</w:t>
            </w:r>
            <w:r w:rsidR="00A070C4">
              <w:rPr>
                <w:rFonts w:ascii="Times New Roman" w:hAnsi="Times New Roman"/>
                <w:sz w:val="24"/>
                <w:szCs w:val="24"/>
              </w:rPr>
              <w:t xml:space="preserve">, </w:t>
            </w:r>
            <w:r w:rsidR="00A070C4" w:rsidRPr="00DE240B">
              <w:rPr>
                <w:rFonts w:ascii="Times New Roman" w:hAnsi="Times New Roman"/>
                <w:sz w:val="24"/>
                <w:szCs w:val="24"/>
              </w:rPr>
              <w:t xml:space="preserve">Eiropas </w:t>
            </w:r>
            <w:r w:rsidR="00A070C4">
              <w:rPr>
                <w:rFonts w:ascii="Times New Roman" w:hAnsi="Times New Roman"/>
                <w:sz w:val="24"/>
                <w:szCs w:val="24"/>
              </w:rPr>
              <w:t xml:space="preserve">Lauksaimniecības garantiju fonds, </w:t>
            </w:r>
            <w:r w:rsidR="00A070C4" w:rsidRPr="00DE240B">
              <w:rPr>
                <w:rFonts w:ascii="Times New Roman" w:hAnsi="Times New Roman"/>
                <w:sz w:val="24"/>
                <w:szCs w:val="24"/>
              </w:rPr>
              <w:t>Eiropas Lauksaimniecības fonds lauku attīstībai</w:t>
            </w:r>
            <w:r w:rsidR="000504A5">
              <w:rPr>
                <w:rFonts w:ascii="Times New Roman" w:hAnsi="Times New Roman"/>
                <w:sz w:val="24"/>
                <w:szCs w:val="24"/>
              </w:rPr>
              <w:t xml:space="preserve"> un</w:t>
            </w:r>
            <w:r w:rsidR="00A070C4">
              <w:rPr>
                <w:rFonts w:ascii="Times New Roman" w:hAnsi="Times New Roman"/>
                <w:sz w:val="24"/>
                <w:szCs w:val="24"/>
              </w:rPr>
              <w:t xml:space="preserve"> </w:t>
            </w:r>
            <w:r w:rsidR="00A070C4" w:rsidRPr="00DE240B">
              <w:rPr>
                <w:rFonts w:ascii="Times New Roman" w:hAnsi="Times New Roman"/>
                <w:sz w:val="24"/>
                <w:szCs w:val="24"/>
              </w:rPr>
              <w:t>Eiropas Zivsaimniecības fonds</w:t>
            </w:r>
            <w:r w:rsidR="00A070C4">
              <w:rPr>
                <w:rFonts w:ascii="Times New Roman" w:hAnsi="Times New Roman"/>
                <w:sz w:val="24"/>
                <w:szCs w:val="24"/>
              </w:rPr>
              <w:t>)</w:t>
            </w:r>
            <w:r w:rsidR="004F5250" w:rsidRPr="00AA75D0">
              <w:rPr>
                <w:rFonts w:ascii="Times New Roman" w:hAnsi="Times New Roman"/>
                <w:sz w:val="24"/>
                <w:szCs w:val="24"/>
              </w:rPr>
              <w:t xml:space="preserve"> </w:t>
            </w:r>
            <w:r w:rsidRPr="00AA75D0">
              <w:rPr>
                <w:rFonts w:ascii="Times New Roman" w:hAnsi="Times New Roman"/>
                <w:sz w:val="24"/>
                <w:szCs w:val="24"/>
              </w:rPr>
              <w:t xml:space="preserve">un ārvalstu finanšu instrumentu ieguldījumiem par visu valsti kopumā, atsevišķu valsts teritoriju iedalījumā un par konkrētu laika periodu; </w:t>
            </w:r>
          </w:p>
          <w:p w:rsidR="00AD0F0A" w:rsidRPr="00AA75D0" w:rsidRDefault="009B61B1" w:rsidP="00AA75D0">
            <w:pPr>
              <w:pStyle w:val="ListParagraph"/>
              <w:numPr>
                <w:ilvl w:val="0"/>
                <w:numId w:val="24"/>
              </w:numPr>
              <w:spacing w:before="0"/>
              <w:ind w:left="-15" w:firstLine="348"/>
              <w:rPr>
                <w:rFonts w:ascii="Times New Roman" w:hAnsi="Times New Roman"/>
                <w:sz w:val="24"/>
                <w:szCs w:val="24"/>
              </w:rPr>
            </w:pPr>
            <w:r w:rsidRPr="00AA75D0">
              <w:rPr>
                <w:rFonts w:ascii="Times New Roman" w:hAnsi="Times New Roman"/>
                <w:sz w:val="24"/>
                <w:szCs w:val="24"/>
              </w:rPr>
              <w:t>VRAA iepriekš sagatavotiem teritoriju profiliem par valsti kopumā, katru plānošanas reģionu un pašvaldību.</w:t>
            </w:r>
          </w:p>
        </w:tc>
      </w:tr>
      <w:tr w:rsidR="002863C4" w:rsidRPr="009651CA" w:rsidTr="00A77A7C">
        <w:trPr>
          <w:trHeight w:val="357"/>
        </w:trPr>
        <w:tc>
          <w:tcPr>
            <w:tcW w:w="488"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6.</w:t>
            </w:r>
          </w:p>
        </w:tc>
        <w:tc>
          <w:tcPr>
            <w:tcW w:w="3355"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Administratīvo izmaksu monetārs novērtējums</w:t>
            </w:r>
          </w:p>
        </w:tc>
        <w:tc>
          <w:tcPr>
            <w:tcW w:w="5670" w:type="dxa"/>
          </w:tcPr>
          <w:p w:rsidR="002863C4" w:rsidRPr="009651CA" w:rsidRDefault="000968AE" w:rsidP="00C13E70">
            <w:pPr>
              <w:pStyle w:val="Header"/>
              <w:tabs>
                <w:tab w:val="clear" w:pos="4153"/>
                <w:tab w:val="clear" w:pos="8306"/>
                <w:tab w:val="left" w:pos="2520"/>
                <w:tab w:val="left" w:pos="6804"/>
              </w:tabs>
              <w:rPr>
                <w:rFonts w:ascii="Times New Roman" w:hAnsi="Times New Roman"/>
                <w:sz w:val="24"/>
                <w:szCs w:val="24"/>
              </w:rPr>
            </w:pPr>
            <w:r>
              <w:rPr>
                <w:rFonts w:ascii="Times New Roman" w:hAnsi="Times New Roman"/>
                <w:sz w:val="24"/>
                <w:szCs w:val="24"/>
              </w:rPr>
              <w:t>Projekts šo jomu neskar.</w:t>
            </w:r>
          </w:p>
        </w:tc>
      </w:tr>
      <w:tr w:rsidR="002863C4" w:rsidRPr="009651CA" w:rsidTr="00A77A7C">
        <w:tc>
          <w:tcPr>
            <w:tcW w:w="488"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7.</w:t>
            </w:r>
          </w:p>
        </w:tc>
        <w:tc>
          <w:tcPr>
            <w:tcW w:w="3355"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Cita informācija</w:t>
            </w:r>
          </w:p>
        </w:tc>
        <w:tc>
          <w:tcPr>
            <w:tcW w:w="5670" w:type="dxa"/>
          </w:tcPr>
          <w:p w:rsidR="002863C4" w:rsidRPr="009651CA" w:rsidRDefault="000968AE" w:rsidP="00D61CDE">
            <w:pPr>
              <w:autoSpaceDE w:val="0"/>
              <w:autoSpaceDN w:val="0"/>
              <w:adjustRightInd w:val="0"/>
              <w:spacing w:before="0"/>
              <w:rPr>
                <w:rFonts w:ascii="Times New Roman" w:hAnsi="Times New Roman"/>
                <w:sz w:val="24"/>
                <w:szCs w:val="24"/>
                <w:lang w:eastAsia="lv-LV"/>
              </w:rPr>
            </w:pPr>
            <w:r>
              <w:rPr>
                <w:rFonts w:ascii="Times New Roman" w:hAnsi="Times New Roman"/>
                <w:sz w:val="24"/>
                <w:szCs w:val="24"/>
                <w:lang w:eastAsia="lv-LV"/>
              </w:rPr>
              <w:t>Nav.</w:t>
            </w:r>
          </w:p>
        </w:tc>
      </w:tr>
    </w:tbl>
    <w:p w:rsidR="00160BE6" w:rsidRDefault="00160BE6">
      <w:pPr>
        <w:spacing w:before="63" w:after="63"/>
        <w:rPr>
          <w:rFonts w:ascii="Times New Roman" w:eastAsia="Times New Roman" w:hAnsi="Times New Roman"/>
          <w:sz w:val="24"/>
          <w:szCs w:val="24"/>
          <w:lang w:eastAsia="lv-LV"/>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420"/>
        <w:gridCol w:w="1133"/>
        <w:gridCol w:w="1274"/>
        <w:gridCol w:w="1306"/>
        <w:gridCol w:w="1495"/>
      </w:tblGrid>
      <w:tr w:rsidR="00FC2E2B" w:rsidRPr="009651CA" w:rsidTr="008D48B1">
        <w:tc>
          <w:tcPr>
            <w:tcW w:w="5000" w:type="pct"/>
            <w:gridSpan w:val="6"/>
            <w:tcBorders>
              <w:top w:val="single" w:sz="4" w:space="0" w:color="auto"/>
              <w:left w:val="single" w:sz="4" w:space="0" w:color="auto"/>
              <w:bottom w:val="single" w:sz="4" w:space="0" w:color="auto"/>
              <w:right w:val="single" w:sz="4" w:space="0" w:color="auto"/>
            </w:tcBorders>
          </w:tcPr>
          <w:p w:rsidR="00FC2E2B" w:rsidRPr="009651CA" w:rsidRDefault="00FC2E2B" w:rsidP="008D48B1">
            <w:pPr>
              <w:spacing w:before="63" w:after="63"/>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III. Tiesību akta projekta ietekme uz valsts budžetu un pašvaldību budžetiem</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val="restar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Rādītāji</w:t>
            </w:r>
          </w:p>
        </w:tc>
        <w:tc>
          <w:tcPr>
            <w:tcW w:w="1329" w:type="pct"/>
            <w:gridSpan w:val="2"/>
            <w:vMerge w:val="restar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914F4D">
            <w:pPr>
              <w:spacing w:before="63" w:after="63"/>
              <w:jc w:val="center"/>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201</w:t>
            </w:r>
            <w:r w:rsidR="004612E5">
              <w:rPr>
                <w:rFonts w:ascii="Times New Roman" w:eastAsia="Times New Roman" w:hAnsi="Times New Roman"/>
                <w:b/>
                <w:bCs/>
                <w:sz w:val="24"/>
                <w:szCs w:val="24"/>
                <w:lang w:eastAsia="lv-LV"/>
              </w:rPr>
              <w:t>4</w:t>
            </w:r>
            <w:r w:rsidRPr="009651CA">
              <w:rPr>
                <w:rFonts w:ascii="Times New Roman" w:eastAsia="Times New Roman" w:hAnsi="Times New Roman"/>
                <w:b/>
                <w:bCs/>
                <w:sz w:val="24"/>
                <w:szCs w:val="24"/>
                <w:lang w:eastAsia="lv-LV"/>
              </w:rPr>
              <w:t>. gads</w:t>
            </w:r>
          </w:p>
        </w:tc>
        <w:tc>
          <w:tcPr>
            <w:tcW w:w="2121" w:type="pct"/>
            <w:gridSpan w:val="3"/>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C64EA3">
            <w:pPr>
              <w:spacing w:before="63" w:after="63"/>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xml:space="preserve">Turpmākie trīs gadi (tūkst. </w:t>
            </w:r>
            <w:r w:rsidR="00C64EA3">
              <w:rPr>
                <w:rFonts w:ascii="Times New Roman" w:eastAsia="Times New Roman" w:hAnsi="Times New Roman"/>
                <w:sz w:val="24"/>
                <w:szCs w:val="24"/>
                <w:lang w:eastAsia="lv-LV"/>
              </w:rPr>
              <w:t>EUR</w:t>
            </w:r>
            <w:r w:rsidRPr="009651CA">
              <w:rPr>
                <w:rFonts w:ascii="Times New Roman" w:eastAsia="Times New Roman" w:hAnsi="Times New Roman"/>
                <w:sz w:val="24"/>
                <w:szCs w:val="24"/>
                <w:lang w:eastAsia="lv-LV"/>
              </w:rPr>
              <w:t>)</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rPr>
                <w:rFonts w:ascii="Times New Roman" w:eastAsia="Times New Roman" w:hAnsi="Times New Roman"/>
                <w:b/>
                <w:bCs/>
                <w:sz w:val="24"/>
                <w:szCs w:val="24"/>
                <w:lang w:eastAsia="lv-LV"/>
              </w:rPr>
            </w:pPr>
          </w:p>
        </w:tc>
        <w:tc>
          <w:tcPr>
            <w:tcW w:w="1329" w:type="pct"/>
            <w:gridSpan w:val="2"/>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rPr>
                <w:rFonts w:ascii="Times New Roman" w:eastAsia="Times New Roman" w:hAnsi="Times New Roman"/>
                <w:b/>
                <w:bCs/>
                <w:sz w:val="24"/>
                <w:szCs w:val="24"/>
                <w:lang w:eastAsia="lv-LV"/>
              </w:rPr>
            </w:pPr>
          </w:p>
        </w:tc>
        <w:tc>
          <w:tcPr>
            <w:tcW w:w="663"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201</w:t>
            </w:r>
            <w:r w:rsidR="004612E5">
              <w:rPr>
                <w:rFonts w:ascii="Times New Roman" w:eastAsia="Times New Roman" w:hAnsi="Times New Roman"/>
                <w:b/>
                <w:bCs/>
                <w:sz w:val="24"/>
                <w:szCs w:val="24"/>
                <w:lang w:eastAsia="lv-LV"/>
              </w:rPr>
              <w:t>5</w:t>
            </w:r>
          </w:p>
        </w:tc>
        <w:tc>
          <w:tcPr>
            <w:tcW w:w="68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201</w:t>
            </w:r>
            <w:r w:rsidR="004612E5">
              <w:rPr>
                <w:rFonts w:ascii="Times New Roman" w:eastAsia="Times New Roman" w:hAnsi="Times New Roman"/>
                <w:b/>
                <w:bCs/>
                <w:sz w:val="24"/>
                <w:szCs w:val="24"/>
                <w:lang w:eastAsia="lv-LV"/>
              </w:rPr>
              <w:t>6</w:t>
            </w:r>
          </w:p>
        </w:tc>
        <w:tc>
          <w:tcPr>
            <w:tcW w:w="778"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b/>
                <w:bCs/>
                <w:sz w:val="24"/>
                <w:szCs w:val="24"/>
                <w:lang w:eastAsia="lv-LV"/>
              </w:rPr>
            </w:pPr>
            <w:r w:rsidRPr="009651CA">
              <w:rPr>
                <w:rFonts w:ascii="Times New Roman" w:eastAsia="Times New Roman" w:hAnsi="Times New Roman"/>
                <w:b/>
                <w:bCs/>
                <w:sz w:val="24"/>
                <w:szCs w:val="24"/>
                <w:lang w:eastAsia="lv-LV"/>
              </w:rPr>
              <w:t>201</w:t>
            </w:r>
            <w:r w:rsidR="004612E5">
              <w:rPr>
                <w:rFonts w:ascii="Times New Roman" w:eastAsia="Times New Roman" w:hAnsi="Times New Roman"/>
                <w:b/>
                <w:bCs/>
                <w:sz w:val="24"/>
                <w:szCs w:val="24"/>
                <w:lang w:eastAsia="lv-LV"/>
              </w:rPr>
              <w:t>7</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rPr>
                <w:rFonts w:ascii="Times New Roman" w:eastAsia="Times New Roman" w:hAnsi="Times New Roman"/>
                <w:b/>
                <w:bCs/>
                <w:sz w:val="24"/>
                <w:szCs w:val="24"/>
                <w:lang w:eastAsia="lv-LV"/>
              </w:rPr>
            </w:pPr>
          </w:p>
        </w:tc>
        <w:tc>
          <w:tcPr>
            <w:tcW w:w="739"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xml:space="preserve">Saskaņā ar valsts budžetu kārtējam </w:t>
            </w:r>
            <w:r w:rsidRPr="009651CA">
              <w:rPr>
                <w:rFonts w:ascii="Times New Roman" w:eastAsia="Times New Roman" w:hAnsi="Times New Roman"/>
                <w:sz w:val="24"/>
                <w:szCs w:val="24"/>
                <w:lang w:eastAsia="lv-LV"/>
              </w:rPr>
              <w:lastRenderedPageBreak/>
              <w:t>gadam</w:t>
            </w:r>
          </w:p>
        </w:tc>
        <w:tc>
          <w:tcPr>
            <w:tcW w:w="59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 xml:space="preserve">Izmaiņas kārtējā gadā, salīdzinot </w:t>
            </w:r>
            <w:r w:rsidRPr="009651CA">
              <w:rPr>
                <w:rFonts w:ascii="Times New Roman" w:eastAsia="Times New Roman" w:hAnsi="Times New Roman"/>
                <w:sz w:val="24"/>
                <w:szCs w:val="24"/>
                <w:lang w:eastAsia="lv-LV"/>
              </w:rPr>
              <w:lastRenderedPageBreak/>
              <w:t>ar budžetu kārtējam gadam</w:t>
            </w:r>
          </w:p>
        </w:tc>
        <w:tc>
          <w:tcPr>
            <w:tcW w:w="663"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Izmaiņas salīdzinot ar kārtējo (n) gadu</w:t>
            </w:r>
          </w:p>
        </w:tc>
        <w:tc>
          <w:tcPr>
            <w:tcW w:w="68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Izmaiņas salīdzinot ar kārtējo (n) gadu</w:t>
            </w:r>
          </w:p>
        </w:tc>
        <w:tc>
          <w:tcPr>
            <w:tcW w:w="778"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Izmaiņas salīdzinot ar kārtējo (n) gadu</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0"/>
        </w:trPr>
        <w:tc>
          <w:tcPr>
            <w:tcW w:w="155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1</w:t>
            </w:r>
          </w:p>
        </w:tc>
        <w:tc>
          <w:tcPr>
            <w:tcW w:w="739"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2</w:t>
            </w:r>
          </w:p>
        </w:tc>
        <w:tc>
          <w:tcPr>
            <w:tcW w:w="59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3</w:t>
            </w:r>
          </w:p>
        </w:tc>
        <w:tc>
          <w:tcPr>
            <w:tcW w:w="663"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4</w:t>
            </w:r>
          </w:p>
        </w:tc>
        <w:tc>
          <w:tcPr>
            <w:tcW w:w="680"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5</w:t>
            </w:r>
          </w:p>
        </w:tc>
        <w:tc>
          <w:tcPr>
            <w:tcW w:w="778" w:type="pct"/>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jc w:val="center"/>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6</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1. Budžeta ieņēmumi:</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1.1. valsts pamatbudžets, tai skaitā ieņēmumi no maksas pakalpojumiem un citi pašu ieņēmumi</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1.2. valsts speciālais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1.3. pašvaldību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2. Budžeta izdevumi:</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7B6874" w:rsidRDefault="000058F5" w:rsidP="000058F5">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51 694</w:t>
            </w:r>
          </w:p>
        </w:tc>
        <w:tc>
          <w:tcPr>
            <w:tcW w:w="680" w:type="pct"/>
            <w:tcBorders>
              <w:top w:val="outset" w:sz="6" w:space="0" w:color="000000"/>
              <w:left w:val="outset" w:sz="6" w:space="0" w:color="000000"/>
              <w:bottom w:val="outset" w:sz="6" w:space="0" w:color="000000"/>
              <w:right w:val="outset" w:sz="6" w:space="0" w:color="000000"/>
            </w:tcBorders>
          </w:tcPr>
          <w:p w:rsidR="00FC2E2B" w:rsidRDefault="000058F5" w:rsidP="007B6874">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37 171</w:t>
            </w:r>
          </w:p>
          <w:p w:rsidR="00A0047B" w:rsidRPr="007B6874" w:rsidRDefault="00A0047B" w:rsidP="007B6874">
            <w:pPr>
              <w:spacing w:before="0"/>
              <w:jc w:val="left"/>
              <w:rPr>
                <w:rFonts w:ascii="Times New Roman" w:eastAsia="Times New Roman" w:hAnsi="Times New Roman"/>
                <w:sz w:val="24"/>
                <w:szCs w:val="24"/>
                <w:lang w:eastAsia="lv-LV"/>
              </w:rPr>
            </w:pPr>
          </w:p>
        </w:tc>
        <w:tc>
          <w:tcPr>
            <w:tcW w:w="778" w:type="pct"/>
            <w:tcBorders>
              <w:top w:val="outset" w:sz="6" w:space="0" w:color="000000"/>
              <w:left w:val="outset" w:sz="6" w:space="0" w:color="000000"/>
              <w:bottom w:val="outset" w:sz="6" w:space="0" w:color="000000"/>
              <w:right w:val="outset" w:sz="6" w:space="0" w:color="000000"/>
            </w:tcBorders>
          </w:tcPr>
          <w:p w:rsidR="00FC2E2B" w:rsidRPr="007B6874" w:rsidRDefault="000058F5" w:rsidP="000058F5">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38 326</w:t>
            </w:r>
          </w:p>
        </w:tc>
      </w:tr>
      <w:tr w:rsidR="00A0047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2.1. valsts pamatbudžets</w:t>
            </w:r>
          </w:p>
        </w:tc>
        <w:tc>
          <w:tcPr>
            <w:tcW w:w="739"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A0047B" w:rsidRPr="007B6874" w:rsidRDefault="000058F5" w:rsidP="007B6874">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51 694</w:t>
            </w:r>
          </w:p>
        </w:tc>
        <w:tc>
          <w:tcPr>
            <w:tcW w:w="680" w:type="pct"/>
            <w:tcBorders>
              <w:top w:val="outset" w:sz="6" w:space="0" w:color="000000"/>
              <w:left w:val="outset" w:sz="6" w:space="0" w:color="000000"/>
              <w:bottom w:val="outset" w:sz="6" w:space="0" w:color="000000"/>
              <w:right w:val="outset" w:sz="6" w:space="0" w:color="000000"/>
            </w:tcBorders>
          </w:tcPr>
          <w:p w:rsidR="00A0047B" w:rsidRPr="007B6874" w:rsidRDefault="000058F5" w:rsidP="007B6874">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37 171</w:t>
            </w:r>
          </w:p>
        </w:tc>
        <w:tc>
          <w:tcPr>
            <w:tcW w:w="778" w:type="pct"/>
            <w:tcBorders>
              <w:top w:val="outset" w:sz="6" w:space="0" w:color="000000"/>
              <w:left w:val="outset" w:sz="6" w:space="0" w:color="000000"/>
              <w:bottom w:val="outset" w:sz="6" w:space="0" w:color="000000"/>
              <w:right w:val="outset" w:sz="6" w:space="0" w:color="000000"/>
            </w:tcBorders>
          </w:tcPr>
          <w:p w:rsidR="00A0047B" w:rsidRPr="007B6874" w:rsidRDefault="000058F5" w:rsidP="007B6874">
            <w:pPr>
              <w:spacing w:befor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38 326</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2.2. valsts speciālais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2.3. pašvaldību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3. Finansiālā ietekme:</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611654" w:rsidRDefault="00FC2E2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51 694</w:t>
            </w:r>
          </w:p>
        </w:tc>
        <w:tc>
          <w:tcPr>
            <w:tcW w:w="680" w:type="pct"/>
            <w:tcBorders>
              <w:top w:val="outset" w:sz="6" w:space="0" w:color="000000"/>
              <w:left w:val="outset" w:sz="6" w:space="0" w:color="000000"/>
              <w:bottom w:val="outset" w:sz="6" w:space="0" w:color="000000"/>
              <w:right w:val="outset" w:sz="6" w:space="0" w:color="000000"/>
            </w:tcBorders>
          </w:tcPr>
          <w:p w:rsidR="00FC2E2B" w:rsidRPr="00611654" w:rsidRDefault="00FC2E2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37 171</w:t>
            </w:r>
          </w:p>
        </w:tc>
        <w:tc>
          <w:tcPr>
            <w:tcW w:w="778" w:type="pct"/>
            <w:tcBorders>
              <w:top w:val="outset" w:sz="6" w:space="0" w:color="000000"/>
              <w:left w:val="outset" w:sz="6" w:space="0" w:color="000000"/>
              <w:bottom w:val="outset" w:sz="6" w:space="0" w:color="000000"/>
              <w:right w:val="outset" w:sz="6" w:space="0" w:color="000000"/>
            </w:tcBorders>
          </w:tcPr>
          <w:p w:rsidR="00FC2E2B" w:rsidRPr="00611654" w:rsidRDefault="00FC2E2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38 326</w:t>
            </w:r>
          </w:p>
        </w:tc>
      </w:tr>
      <w:tr w:rsidR="00A0047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3.1. valsts pamatbudžets</w:t>
            </w:r>
          </w:p>
        </w:tc>
        <w:tc>
          <w:tcPr>
            <w:tcW w:w="739"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A0047B" w:rsidRPr="009651CA" w:rsidRDefault="00A0047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A0047B" w:rsidRPr="00611654" w:rsidRDefault="00A0047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51 694</w:t>
            </w:r>
          </w:p>
        </w:tc>
        <w:tc>
          <w:tcPr>
            <w:tcW w:w="680" w:type="pct"/>
            <w:tcBorders>
              <w:top w:val="outset" w:sz="6" w:space="0" w:color="000000"/>
              <w:left w:val="outset" w:sz="6" w:space="0" w:color="000000"/>
              <w:bottom w:val="outset" w:sz="6" w:space="0" w:color="000000"/>
              <w:right w:val="outset" w:sz="6" w:space="0" w:color="000000"/>
            </w:tcBorders>
          </w:tcPr>
          <w:p w:rsidR="00A0047B" w:rsidRPr="00611654" w:rsidRDefault="00A0047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37 171</w:t>
            </w:r>
          </w:p>
        </w:tc>
        <w:tc>
          <w:tcPr>
            <w:tcW w:w="778" w:type="pct"/>
            <w:tcBorders>
              <w:top w:val="outset" w:sz="6" w:space="0" w:color="000000"/>
              <w:left w:val="outset" w:sz="6" w:space="0" w:color="000000"/>
              <w:bottom w:val="outset" w:sz="6" w:space="0" w:color="000000"/>
              <w:right w:val="outset" w:sz="6" w:space="0" w:color="000000"/>
            </w:tcBorders>
          </w:tcPr>
          <w:p w:rsidR="00A0047B" w:rsidRPr="00611654" w:rsidRDefault="00A0047B" w:rsidP="000058F5">
            <w:pPr>
              <w:spacing w:before="0"/>
              <w:jc w:val="left"/>
              <w:rPr>
                <w:rFonts w:ascii="Times New Roman" w:eastAsia="Times New Roman" w:hAnsi="Times New Roman"/>
                <w:sz w:val="24"/>
                <w:szCs w:val="24"/>
                <w:lang w:eastAsia="lv-LV"/>
              </w:rPr>
            </w:pPr>
            <w:r w:rsidRPr="00611654">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38 326</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3.2. speciālais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3.3. pašvaldību budžets</w:t>
            </w:r>
          </w:p>
        </w:tc>
        <w:tc>
          <w:tcPr>
            <w:tcW w:w="739"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val="restar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4. Finanšu līdzekļi papildu izde</w:t>
            </w:r>
            <w:r w:rsidRPr="009651CA">
              <w:rPr>
                <w:rFonts w:ascii="Times New Roman" w:eastAsia="Times New Roman" w:hAnsi="Times New Roman"/>
                <w:sz w:val="24"/>
                <w:szCs w:val="24"/>
                <w:lang w:eastAsia="lv-LV"/>
              </w:rPr>
              <w:softHyphen/>
              <w:t>vumu finansēšanai (kompensējošu izdevumu samazinājumu norāda ar "+" zīmi)</w:t>
            </w:r>
          </w:p>
        </w:tc>
        <w:tc>
          <w:tcPr>
            <w:tcW w:w="739" w:type="pct"/>
            <w:vMerge w:val="restar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X</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611654" w:rsidP="000058F5">
            <w:pPr>
              <w:spacing w:before="0"/>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0058F5">
              <w:rPr>
                <w:rFonts w:ascii="Times New Roman" w:eastAsia="Times New Roman" w:hAnsi="Times New Roman"/>
                <w:sz w:val="24"/>
                <w:szCs w:val="24"/>
                <w:lang w:eastAsia="lv-LV"/>
              </w:rPr>
              <w:t>51 694</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739"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739"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5. Precizēta finansiālā ietekme:</w:t>
            </w:r>
          </w:p>
        </w:tc>
        <w:tc>
          <w:tcPr>
            <w:tcW w:w="739" w:type="pct"/>
            <w:vMerge w:val="restar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X</w:t>
            </w: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5.1. valsts pamatbudžets</w:t>
            </w:r>
          </w:p>
        </w:tc>
        <w:tc>
          <w:tcPr>
            <w:tcW w:w="739"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5.2. speciālais budžets</w:t>
            </w:r>
          </w:p>
        </w:tc>
        <w:tc>
          <w:tcPr>
            <w:tcW w:w="739"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5.3. pašvaldību budžets</w:t>
            </w:r>
          </w:p>
        </w:tc>
        <w:tc>
          <w:tcPr>
            <w:tcW w:w="739" w:type="pct"/>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c>
          <w:tcPr>
            <w:tcW w:w="59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63"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68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c>
          <w:tcPr>
            <w:tcW w:w="778"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0</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6. Detalizēts ieņēmumu un izdevu</w:t>
            </w:r>
            <w:r w:rsidRPr="009651CA">
              <w:rPr>
                <w:rFonts w:ascii="Times New Roman" w:eastAsia="Times New Roman" w:hAnsi="Times New Roman"/>
                <w:sz w:val="24"/>
                <w:szCs w:val="24"/>
                <w:lang w:eastAsia="lv-LV"/>
              </w:rPr>
              <w:softHyphen/>
              <w:t>mu aprēķins (ja nepieciešams, detalizētu ieņēmumu un izdevumu aprēķinu var pievienot anotācijas pielikumā):</w:t>
            </w:r>
          </w:p>
        </w:tc>
        <w:tc>
          <w:tcPr>
            <w:tcW w:w="3450" w:type="pct"/>
            <w:gridSpan w:val="5"/>
            <w:vMerge w:val="restart"/>
            <w:tcBorders>
              <w:top w:val="outset" w:sz="6" w:space="0" w:color="000000"/>
              <w:left w:val="outset" w:sz="6" w:space="0" w:color="000000"/>
              <w:bottom w:val="outset" w:sz="6" w:space="0" w:color="000000"/>
              <w:right w:val="outset" w:sz="6" w:space="0" w:color="000000"/>
            </w:tcBorders>
          </w:tcPr>
          <w:p w:rsidR="00FC2E2B" w:rsidRPr="004021E3" w:rsidRDefault="00FC2E2B" w:rsidP="008D48B1">
            <w:pPr>
              <w:spacing w:before="0"/>
              <w:rPr>
                <w:rFonts w:ascii="Times New Roman" w:eastAsia="Times New Roman" w:hAnsi="Times New Roman"/>
                <w:sz w:val="24"/>
                <w:szCs w:val="24"/>
                <w:lang w:eastAsia="lv-LV"/>
              </w:rPr>
            </w:pPr>
            <w:r w:rsidRPr="004021E3">
              <w:rPr>
                <w:rFonts w:ascii="Times New Roman" w:eastAsia="Times New Roman" w:hAnsi="Times New Roman"/>
                <w:sz w:val="24"/>
                <w:szCs w:val="24"/>
                <w:lang w:eastAsia="lv-LV"/>
              </w:rPr>
              <w:t xml:space="preserve">RAIM uzturēšanai </w:t>
            </w:r>
            <w:r w:rsidR="00A33C30" w:rsidRPr="004021E3">
              <w:rPr>
                <w:rFonts w:ascii="Times New Roman" w:eastAsia="Times New Roman" w:hAnsi="Times New Roman"/>
                <w:sz w:val="24"/>
                <w:szCs w:val="24"/>
                <w:lang w:eastAsia="lv-LV"/>
              </w:rPr>
              <w:t>nepieciešam</w:t>
            </w:r>
            <w:r w:rsidR="00A33C30">
              <w:rPr>
                <w:rFonts w:ascii="Times New Roman" w:eastAsia="Times New Roman" w:hAnsi="Times New Roman"/>
                <w:sz w:val="24"/>
                <w:szCs w:val="24"/>
                <w:lang w:eastAsia="lv-LV"/>
              </w:rPr>
              <w:t>i</w:t>
            </w:r>
            <w:r w:rsidR="00A33C30" w:rsidRPr="004021E3">
              <w:rPr>
                <w:rFonts w:ascii="Times New Roman" w:eastAsia="Times New Roman" w:hAnsi="Times New Roman"/>
                <w:sz w:val="24"/>
                <w:szCs w:val="24"/>
                <w:lang w:eastAsia="lv-LV"/>
              </w:rPr>
              <w:t xml:space="preserve"> </w:t>
            </w:r>
            <w:r w:rsidR="000058F5">
              <w:rPr>
                <w:rFonts w:ascii="Times New Roman" w:eastAsia="Times New Roman" w:hAnsi="Times New Roman"/>
                <w:sz w:val="24"/>
                <w:szCs w:val="24"/>
                <w:lang w:eastAsia="lv-LV"/>
              </w:rPr>
              <w:t xml:space="preserve">51 694 </w:t>
            </w:r>
            <w:r w:rsidR="00914F4D">
              <w:rPr>
                <w:rFonts w:ascii="Times New Roman" w:eastAsia="Times New Roman" w:hAnsi="Times New Roman"/>
                <w:sz w:val="24"/>
                <w:szCs w:val="24"/>
                <w:lang w:eastAsia="lv-LV"/>
              </w:rPr>
              <w:t>EUR (2015.</w:t>
            </w:r>
            <w:r w:rsidR="00C64EA3">
              <w:rPr>
                <w:rFonts w:ascii="Times New Roman" w:eastAsia="Times New Roman" w:hAnsi="Times New Roman"/>
                <w:sz w:val="24"/>
                <w:szCs w:val="24"/>
                <w:lang w:eastAsia="lv-LV"/>
              </w:rPr>
              <w:t>gadā)</w:t>
            </w:r>
            <w:r w:rsidR="000058F5">
              <w:rPr>
                <w:rFonts w:ascii="Times New Roman" w:eastAsia="Times New Roman" w:hAnsi="Times New Roman"/>
                <w:sz w:val="24"/>
                <w:szCs w:val="24"/>
                <w:lang w:eastAsia="lv-LV"/>
              </w:rPr>
              <w:t>; 37 171 EUR (2016.gadā); 38 326 EUR (2017.gadā)</w:t>
            </w:r>
            <w:r w:rsidRPr="004021E3">
              <w:rPr>
                <w:rFonts w:ascii="Times New Roman" w:eastAsia="Times New Roman" w:hAnsi="Times New Roman"/>
                <w:sz w:val="24"/>
                <w:szCs w:val="24"/>
                <w:lang w:eastAsia="lv-LV"/>
              </w:rPr>
              <w:t xml:space="preserve">, </w:t>
            </w:r>
            <w:r w:rsidR="004021E3">
              <w:rPr>
                <w:rFonts w:ascii="Times New Roman" w:eastAsia="Times New Roman" w:hAnsi="Times New Roman"/>
                <w:sz w:val="24"/>
                <w:szCs w:val="24"/>
                <w:lang w:eastAsia="lv-LV"/>
              </w:rPr>
              <w:t>t.sk.</w:t>
            </w:r>
            <w:r w:rsidRPr="004021E3">
              <w:rPr>
                <w:rFonts w:ascii="Times New Roman" w:eastAsia="Times New Roman" w:hAnsi="Times New Roman"/>
                <w:sz w:val="24"/>
                <w:szCs w:val="24"/>
                <w:lang w:eastAsia="lv-LV"/>
              </w:rPr>
              <w:t>:</w:t>
            </w:r>
          </w:p>
          <w:p w:rsidR="00026E62" w:rsidRDefault="00FC2E2B" w:rsidP="00501231">
            <w:pPr>
              <w:pStyle w:val="ListParagraph"/>
              <w:numPr>
                <w:ilvl w:val="0"/>
                <w:numId w:val="23"/>
              </w:numPr>
              <w:spacing w:before="0"/>
              <w:rPr>
                <w:rFonts w:ascii="Times New Roman" w:eastAsia="Times New Roman" w:hAnsi="Times New Roman"/>
                <w:sz w:val="24"/>
                <w:szCs w:val="24"/>
                <w:lang w:eastAsia="lv-LV"/>
              </w:rPr>
            </w:pPr>
            <w:r w:rsidRPr="004021E3">
              <w:rPr>
                <w:rFonts w:ascii="Times New Roman" w:eastAsia="Times New Roman" w:hAnsi="Times New Roman"/>
                <w:sz w:val="24"/>
                <w:szCs w:val="24"/>
                <w:lang w:eastAsia="lv-LV"/>
              </w:rPr>
              <w:t>„</w:t>
            </w:r>
            <w:proofErr w:type="spellStart"/>
            <w:r w:rsidRPr="004021E3">
              <w:rPr>
                <w:rFonts w:ascii="Times New Roman" w:eastAsia="Times New Roman" w:hAnsi="Times New Roman"/>
                <w:sz w:val="24"/>
                <w:szCs w:val="24"/>
                <w:lang w:eastAsia="lv-LV"/>
              </w:rPr>
              <w:t>Microstrategy</w:t>
            </w:r>
            <w:proofErr w:type="spellEnd"/>
            <w:r w:rsidR="00A0047B">
              <w:rPr>
                <w:rFonts w:ascii="Times New Roman" w:eastAsia="Times New Roman" w:hAnsi="Times New Roman"/>
                <w:sz w:val="24"/>
                <w:szCs w:val="24"/>
                <w:lang w:eastAsia="lv-LV"/>
              </w:rPr>
              <w:t xml:space="preserve"> </w:t>
            </w:r>
            <w:r w:rsidRPr="004021E3">
              <w:rPr>
                <w:rFonts w:ascii="Times New Roman" w:eastAsia="Times New Roman" w:hAnsi="Times New Roman"/>
                <w:sz w:val="24"/>
                <w:szCs w:val="24"/>
                <w:lang w:eastAsia="lv-LV"/>
              </w:rPr>
              <w:t>9”</w:t>
            </w:r>
            <w:r w:rsidR="00C64EA3">
              <w:rPr>
                <w:rFonts w:ascii="Times New Roman" w:eastAsia="Times New Roman" w:hAnsi="Times New Roman"/>
                <w:sz w:val="24"/>
                <w:szCs w:val="24"/>
                <w:lang w:eastAsia="lv-LV"/>
              </w:rPr>
              <w:t xml:space="preserve"> un „</w:t>
            </w:r>
            <w:proofErr w:type="spellStart"/>
            <w:r w:rsidR="00C64EA3">
              <w:rPr>
                <w:rFonts w:ascii="Times New Roman" w:eastAsia="Times New Roman" w:hAnsi="Times New Roman"/>
                <w:sz w:val="24"/>
                <w:szCs w:val="24"/>
                <w:lang w:eastAsia="lv-LV"/>
              </w:rPr>
              <w:t>Visual</w:t>
            </w:r>
            <w:proofErr w:type="spellEnd"/>
            <w:r w:rsidR="00C64EA3">
              <w:rPr>
                <w:rFonts w:ascii="Times New Roman" w:eastAsia="Times New Roman" w:hAnsi="Times New Roman"/>
                <w:sz w:val="24"/>
                <w:szCs w:val="24"/>
                <w:lang w:eastAsia="lv-LV"/>
              </w:rPr>
              <w:t xml:space="preserve"> </w:t>
            </w:r>
            <w:proofErr w:type="spellStart"/>
            <w:r w:rsidR="00C64EA3">
              <w:rPr>
                <w:rFonts w:ascii="Times New Roman" w:eastAsia="Times New Roman" w:hAnsi="Times New Roman"/>
                <w:sz w:val="24"/>
                <w:szCs w:val="24"/>
                <w:lang w:eastAsia="lv-LV"/>
              </w:rPr>
              <w:t>Crossing</w:t>
            </w:r>
            <w:proofErr w:type="spellEnd"/>
            <w:r w:rsidR="00C64EA3">
              <w:rPr>
                <w:rFonts w:ascii="Times New Roman" w:eastAsia="Times New Roman" w:hAnsi="Times New Roman"/>
                <w:sz w:val="24"/>
                <w:szCs w:val="24"/>
                <w:lang w:eastAsia="lv-LV"/>
              </w:rPr>
              <w:t>”</w:t>
            </w:r>
            <w:r w:rsidRPr="004021E3">
              <w:rPr>
                <w:rFonts w:ascii="Times New Roman" w:eastAsia="Times New Roman" w:hAnsi="Times New Roman"/>
                <w:sz w:val="24"/>
                <w:szCs w:val="24"/>
                <w:lang w:eastAsia="lv-LV"/>
              </w:rPr>
              <w:t xml:space="preserve"> licenču uzturēšanai </w:t>
            </w:r>
            <w:r w:rsidR="00A0047B">
              <w:rPr>
                <w:rFonts w:ascii="Times New Roman" w:eastAsia="Times New Roman" w:hAnsi="Times New Roman"/>
                <w:sz w:val="24"/>
                <w:szCs w:val="24"/>
                <w:lang w:eastAsia="lv-LV"/>
              </w:rPr>
              <w:t>22 000 EUR (2015. gadā) ar 5% ikgadējo sadārdzinājumu katrā nākošajā gadā</w:t>
            </w:r>
            <w:r w:rsidR="00026E62">
              <w:rPr>
                <w:rFonts w:ascii="Times New Roman" w:eastAsia="Times New Roman" w:hAnsi="Times New Roman"/>
                <w:sz w:val="24"/>
                <w:szCs w:val="24"/>
                <w:lang w:eastAsia="lv-LV"/>
              </w:rPr>
              <w:t>: 23 100 EUR 2016.gadā, 24 255 EUR 2017.gadā</w:t>
            </w:r>
            <w:r w:rsidR="004021E3" w:rsidRPr="004021E3">
              <w:rPr>
                <w:rFonts w:ascii="Times New Roman" w:eastAsia="Times New Roman" w:hAnsi="Times New Roman"/>
                <w:sz w:val="24"/>
                <w:szCs w:val="24"/>
                <w:lang w:eastAsia="lv-LV"/>
              </w:rPr>
              <w:t xml:space="preserve"> (EKK </w:t>
            </w:r>
            <w:r w:rsidR="00026E62">
              <w:rPr>
                <w:rFonts w:ascii="Times New Roman" w:eastAsia="Times New Roman" w:hAnsi="Times New Roman"/>
                <w:sz w:val="24"/>
                <w:szCs w:val="24"/>
                <w:lang w:eastAsia="lv-LV"/>
              </w:rPr>
              <w:t>2252</w:t>
            </w:r>
            <w:r w:rsidR="00026E62" w:rsidRPr="004021E3">
              <w:rPr>
                <w:rFonts w:ascii="Times New Roman" w:eastAsia="Times New Roman" w:hAnsi="Times New Roman"/>
                <w:sz w:val="24"/>
                <w:szCs w:val="24"/>
                <w:lang w:eastAsia="lv-LV"/>
              </w:rPr>
              <w:t xml:space="preserve"> </w:t>
            </w:r>
            <w:r w:rsidR="004021E3" w:rsidRPr="004021E3">
              <w:rPr>
                <w:rFonts w:ascii="Times New Roman" w:eastAsia="Times New Roman" w:hAnsi="Times New Roman"/>
                <w:sz w:val="24"/>
                <w:szCs w:val="24"/>
                <w:lang w:eastAsia="lv-LV"/>
              </w:rPr>
              <w:t>–</w:t>
            </w:r>
            <w:r w:rsidR="00026E62">
              <w:rPr>
                <w:rFonts w:ascii="Times New Roman" w:hAnsi="Times New Roman"/>
                <w:sz w:val="24"/>
                <w:szCs w:val="24"/>
              </w:rPr>
              <w:t xml:space="preserve"> Informācijas sistēmas licenču nomas izdevumi</w:t>
            </w:r>
            <w:r w:rsidR="004021E3" w:rsidRPr="004021E3">
              <w:rPr>
                <w:rFonts w:ascii="Times New Roman" w:hAnsi="Times New Roman"/>
                <w:sz w:val="24"/>
                <w:szCs w:val="24"/>
              </w:rPr>
              <w:t>)</w:t>
            </w:r>
            <w:r w:rsidR="00026E62">
              <w:rPr>
                <w:rFonts w:ascii="Times New Roman" w:eastAsia="Times New Roman" w:hAnsi="Times New Roman"/>
                <w:sz w:val="24"/>
                <w:szCs w:val="24"/>
                <w:lang w:eastAsia="lv-LV"/>
              </w:rPr>
              <w:t>;</w:t>
            </w:r>
          </w:p>
          <w:p w:rsidR="00501231" w:rsidRPr="009F5277" w:rsidRDefault="00026E62" w:rsidP="009F5277">
            <w:pPr>
              <w:pStyle w:val="ListParagraph"/>
              <w:numPr>
                <w:ilvl w:val="0"/>
                <w:numId w:val="23"/>
              </w:numPr>
              <w:spacing w:before="0"/>
              <w:rPr>
                <w:rFonts w:ascii="Times New Roman" w:eastAsia="Times New Roman" w:hAnsi="Times New Roman"/>
                <w:sz w:val="24"/>
                <w:szCs w:val="24"/>
                <w:lang w:eastAsia="lv-LV"/>
              </w:rPr>
            </w:pPr>
            <w:r>
              <w:rPr>
                <w:rFonts w:ascii="Times New Roman" w:eastAsia="Times New Roman" w:hAnsi="Times New Roman"/>
                <w:sz w:val="24"/>
                <w:szCs w:val="24"/>
                <w:lang w:eastAsia="lv-LV"/>
              </w:rPr>
              <w:t>Sistēmas uzturēšanai</w:t>
            </w:r>
            <w:r w:rsidR="009F5277">
              <w:rPr>
                <w:rFonts w:ascii="Times New Roman" w:eastAsia="Times New Roman" w:hAnsi="Times New Roman"/>
                <w:sz w:val="24"/>
                <w:szCs w:val="24"/>
                <w:lang w:eastAsia="lv-LV"/>
              </w:rPr>
              <w:t xml:space="preserve"> nepieciešami 29 694 EUR (2015.gadā) un turpmāk ik gadu – 14 071 EUR</w:t>
            </w:r>
            <w:r w:rsidR="003B7969">
              <w:rPr>
                <w:rFonts w:ascii="Times New Roman" w:eastAsia="Times New Roman" w:hAnsi="Times New Roman"/>
                <w:sz w:val="24"/>
                <w:szCs w:val="24"/>
                <w:lang w:eastAsia="lv-LV"/>
              </w:rPr>
              <w:t>:</w:t>
            </w:r>
          </w:p>
          <w:p w:rsidR="009D37F0" w:rsidRPr="00E31E10" w:rsidRDefault="009D37F0" w:rsidP="00914F4D">
            <w:pPr>
              <w:pStyle w:val="naisf"/>
              <w:spacing w:before="0" w:after="0"/>
              <w:ind w:firstLine="0"/>
            </w:pPr>
            <w:r w:rsidRPr="00E31E10">
              <w:t>Sistēmas uzturēšanai nepieciešamo cilvēkdienu skaits un cilvēkdienas izmaksas noteiktas, vadoties no VRAA ekspertu viedokļa un līdzšinējās pieredzes līdzīgos iepirkumos.</w:t>
            </w:r>
          </w:p>
          <w:p w:rsidR="009D37F0" w:rsidRPr="00E31E10" w:rsidRDefault="00914F4D" w:rsidP="00914F4D">
            <w:pPr>
              <w:pStyle w:val="naisf"/>
              <w:spacing w:before="0" w:after="0"/>
              <w:ind w:firstLine="0"/>
            </w:pPr>
            <w:r>
              <w:t xml:space="preserve">Sakarā ar to, </w:t>
            </w:r>
            <w:r w:rsidR="009D37F0" w:rsidRPr="00E31E10">
              <w:t xml:space="preserve">ka uzturēšanai ir piešķirts finansējums 2015.gadā  </w:t>
            </w:r>
            <w:r w:rsidR="009D37F0" w:rsidRPr="00E31E10">
              <w:lastRenderedPageBreak/>
              <w:t xml:space="preserve">3 906 </w:t>
            </w:r>
            <w:r w:rsidRPr="00914F4D">
              <w:t>EUR</w:t>
            </w:r>
            <w:r w:rsidR="009D37F0" w:rsidRPr="00E31E10">
              <w:t xml:space="preserve"> un 2016.gadā  19 529 </w:t>
            </w:r>
            <w:r w:rsidRPr="00914F4D">
              <w:t>EUR</w:t>
            </w:r>
            <w:r w:rsidR="009D37F0" w:rsidRPr="00E31E10">
              <w:t xml:space="preserve"> apmērā atbilstoši VARAM jauno politiku iniciatīvu pieprasījumam 2014.-2016.gadam, papildus nepieciešami līdzekļi</w:t>
            </w:r>
            <w:r w:rsidR="009D37F0">
              <w:t xml:space="preserve"> </w:t>
            </w:r>
            <w:r w:rsidR="009D37F0" w:rsidRPr="00E31E10">
              <w:t xml:space="preserve">2015.gadā – </w:t>
            </w:r>
            <w:r w:rsidR="009F5277">
              <w:t>29 694</w:t>
            </w:r>
            <w:r w:rsidR="009D37F0" w:rsidRPr="00E31E10">
              <w:t xml:space="preserve"> </w:t>
            </w:r>
            <w:r w:rsidRPr="00914F4D">
              <w:t>EUR</w:t>
            </w:r>
            <w:r w:rsidR="009D37F0" w:rsidRPr="00E31E10">
              <w:t xml:space="preserve">, 2016.gadā un turpmāk </w:t>
            </w:r>
            <w:r w:rsidR="009F5277">
              <w:t>–</w:t>
            </w:r>
            <w:r w:rsidR="009D37F0" w:rsidRPr="00E31E10">
              <w:t xml:space="preserve"> </w:t>
            </w:r>
            <w:r w:rsidR="009F5277">
              <w:t>14 071</w:t>
            </w:r>
            <w:r w:rsidR="009D37F0" w:rsidRPr="00E31E10">
              <w:t xml:space="preserve"> </w:t>
            </w:r>
            <w:r w:rsidRPr="00914F4D">
              <w:t>EUR</w:t>
            </w:r>
            <w:r w:rsidR="009D37F0" w:rsidRPr="00E31E10">
              <w:t>.</w:t>
            </w:r>
          </w:p>
          <w:p w:rsidR="009F5277" w:rsidRDefault="009F5277" w:rsidP="009D37F0">
            <w:pPr>
              <w:pStyle w:val="naisf"/>
              <w:spacing w:before="0" w:after="0"/>
              <w:ind w:left="360" w:firstLine="0"/>
            </w:pPr>
          </w:p>
          <w:p w:rsidR="009D37F0" w:rsidRPr="00E31E10" w:rsidRDefault="009D37F0" w:rsidP="009D37F0">
            <w:pPr>
              <w:pStyle w:val="naisf"/>
              <w:spacing w:before="0" w:after="0"/>
              <w:ind w:left="360" w:firstLine="0"/>
            </w:pPr>
            <w:r w:rsidRPr="00E31E10">
              <w:t>2015.gadā:</w:t>
            </w:r>
          </w:p>
          <w:p w:rsidR="009D37F0" w:rsidRPr="009F5277" w:rsidRDefault="009F5277" w:rsidP="00B34D86">
            <w:pPr>
              <w:spacing w:before="0"/>
              <w:ind w:left="395"/>
              <w:rPr>
                <w:rFonts w:ascii="Times New Roman" w:eastAsia="Times New Roman" w:hAnsi="Times New Roman"/>
                <w:i/>
                <w:sz w:val="24"/>
                <w:szCs w:val="24"/>
                <w:lang w:eastAsia="lv-LV"/>
              </w:rPr>
            </w:pPr>
            <w:r>
              <w:rPr>
                <w:rFonts w:ascii="Times New Roman" w:eastAsia="Times New Roman" w:hAnsi="Times New Roman"/>
                <w:i/>
                <w:sz w:val="24"/>
                <w:szCs w:val="24"/>
                <w:lang w:eastAsia="lv-LV"/>
              </w:rPr>
              <w:t>80</w:t>
            </w:r>
            <w:r w:rsidR="009D37F0" w:rsidRPr="009D37F0">
              <w:rPr>
                <w:rFonts w:ascii="Times New Roman" w:eastAsia="Times New Roman" w:hAnsi="Times New Roman"/>
                <w:i/>
                <w:sz w:val="24"/>
                <w:szCs w:val="24"/>
                <w:lang w:eastAsia="lv-LV"/>
              </w:rPr>
              <w:t xml:space="preserve">c/d x420 </w:t>
            </w:r>
            <w:r w:rsidR="00914F4D" w:rsidRPr="00914F4D">
              <w:rPr>
                <w:rFonts w:ascii="Times New Roman" w:eastAsia="Times New Roman" w:hAnsi="Times New Roman"/>
                <w:i/>
                <w:sz w:val="24"/>
                <w:szCs w:val="24"/>
                <w:lang w:eastAsia="lv-LV"/>
              </w:rPr>
              <w:t xml:space="preserve">EUR </w:t>
            </w:r>
            <w:r w:rsidR="009D37F0" w:rsidRPr="009D37F0">
              <w:rPr>
                <w:rFonts w:ascii="Times New Roman" w:eastAsia="Times New Roman" w:hAnsi="Times New Roman"/>
                <w:i/>
                <w:sz w:val="24"/>
                <w:szCs w:val="24"/>
                <w:lang w:eastAsia="lv-LV"/>
              </w:rPr>
              <w:t xml:space="preserve">/c/d= </w:t>
            </w:r>
            <w:r>
              <w:rPr>
                <w:rFonts w:ascii="Times New Roman" w:eastAsia="Times New Roman" w:hAnsi="Times New Roman"/>
                <w:i/>
                <w:sz w:val="24"/>
                <w:szCs w:val="24"/>
                <w:lang w:eastAsia="lv-LV"/>
              </w:rPr>
              <w:t>33 600</w:t>
            </w:r>
            <w:r w:rsidR="009D37F0" w:rsidRPr="009D37F0">
              <w:rPr>
                <w:rFonts w:ascii="Times New Roman" w:eastAsia="Times New Roman" w:hAnsi="Times New Roman"/>
                <w:i/>
                <w:sz w:val="24"/>
                <w:szCs w:val="24"/>
                <w:lang w:eastAsia="lv-LV"/>
              </w:rPr>
              <w:t xml:space="preserve"> EUR</w:t>
            </w:r>
          </w:p>
          <w:p w:rsidR="009D37F0" w:rsidRPr="00E31E10" w:rsidRDefault="009F5277" w:rsidP="009D37F0">
            <w:pPr>
              <w:pStyle w:val="naisf"/>
              <w:spacing w:before="0" w:after="0"/>
              <w:ind w:left="360" w:firstLine="0"/>
              <w:rPr>
                <w:b/>
                <w:i/>
              </w:rPr>
            </w:pPr>
            <w:r>
              <w:rPr>
                <w:b/>
                <w:i/>
              </w:rPr>
              <w:t>33 600</w:t>
            </w:r>
            <w:r w:rsidR="009D37F0" w:rsidRPr="00E31E10">
              <w:rPr>
                <w:b/>
                <w:i/>
              </w:rPr>
              <w:t xml:space="preserve"> – 3 906 = </w:t>
            </w:r>
            <w:r>
              <w:rPr>
                <w:b/>
                <w:i/>
              </w:rPr>
              <w:t>29 694</w:t>
            </w:r>
            <w:r w:rsidR="009D37F0" w:rsidRPr="00E31E10">
              <w:rPr>
                <w:b/>
                <w:i/>
              </w:rPr>
              <w:t xml:space="preserve"> </w:t>
            </w:r>
            <w:r w:rsidR="00914F4D" w:rsidRPr="00914F4D">
              <w:rPr>
                <w:b/>
                <w:i/>
              </w:rPr>
              <w:t>EUR</w:t>
            </w:r>
          </w:p>
          <w:p w:rsidR="009D37F0" w:rsidRPr="00E31E10" w:rsidRDefault="009D37F0" w:rsidP="009D37F0">
            <w:pPr>
              <w:pStyle w:val="naisf"/>
              <w:spacing w:before="0" w:after="0"/>
              <w:ind w:left="360" w:firstLine="0"/>
            </w:pPr>
            <w:r w:rsidRPr="00E31E10">
              <w:t>2016.gadā un turpmāk:</w:t>
            </w:r>
          </w:p>
          <w:p w:rsidR="009D37F0" w:rsidRDefault="009F5277" w:rsidP="009D37F0">
            <w:pPr>
              <w:pStyle w:val="naisf"/>
              <w:spacing w:before="0" w:after="0"/>
              <w:ind w:left="360" w:firstLine="0"/>
              <w:rPr>
                <w:b/>
                <w:i/>
              </w:rPr>
            </w:pPr>
            <w:r>
              <w:rPr>
                <w:i/>
              </w:rPr>
              <w:t>80</w:t>
            </w:r>
            <w:r w:rsidR="009D37F0" w:rsidRPr="009D37F0">
              <w:rPr>
                <w:i/>
              </w:rPr>
              <w:t xml:space="preserve">c/d x420 </w:t>
            </w:r>
            <w:r w:rsidR="00914F4D" w:rsidRPr="00914F4D">
              <w:rPr>
                <w:i/>
              </w:rPr>
              <w:t xml:space="preserve">EUR </w:t>
            </w:r>
            <w:r w:rsidR="009D37F0" w:rsidRPr="009D37F0">
              <w:rPr>
                <w:i/>
              </w:rPr>
              <w:t xml:space="preserve">/c/d= </w:t>
            </w:r>
            <w:r>
              <w:rPr>
                <w:i/>
              </w:rPr>
              <w:t>33 600</w:t>
            </w:r>
            <w:r w:rsidR="009D37F0" w:rsidRPr="009D37F0">
              <w:rPr>
                <w:i/>
              </w:rPr>
              <w:t xml:space="preserve"> EUR</w:t>
            </w:r>
            <w:r w:rsidR="009D37F0" w:rsidRPr="00E31E10">
              <w:rPr>
                <w:b/>
                <w:i/>
              </w:rPr>
              <w:t xml:space="preserve"> </w:t>
            </w:r>
          </w:p>
          <w:p w:rsidR="009D37F0" w:rsidRPr="00E31E10" w:rsidRDefault="009F5277" w:rsidP="009D37F0">
            <w:pPr>
              <w:pStyle w:val="naisf"/>
              <w:spacing w:before="0" w:after="0"/>
              <w:ind w:left="360" w:firstLine="0"/>
              <w:rPr>
                <w:b/>
                <w:i/>
              </w:rPr>
            </w:pPr>
            <w:r>
              <w:rPr>
                <w:b/>
                <w:i/>
              </w:rPr>
              <w:t>33 600</w:t>
            </w:r>
            <w:r w:rsidR="009D37F0" w:rsidRPr="00E31E10">
              <w:rPr>
                <w:b/>
                <w:i/>
              </w:rPr>
              <w:t xml:space="preserve"> – 19 529 = </w:t>
            </w:r>
            <w:r>
              <w:rPr>
                <w:b/>
                <w:i/>
              </w:rPr>
              <w:t>14 071</w:t>
            </w:r>
            <w:r w:rsidR="009D37F0" w:rsidRPr="00E31E10">
              <w:rPr>
                <w:b/>
                <w:i/>
              </w:rPr>
              <w:t xml:space="preserve"> </w:t>
            </w:r>
            <w:r w:rsidR="00914F4D" w:rsidRPr="00914F4D">
              <w:rPr>
                <w:b/>
                <w:i/>
              </w:rPr>
              <w:t>EUR</w:t>
            </w:r>
          </w:p>
          <w:p w:rsidR="009D37F0" w:rsidRPr="009D37F0" w:rsidRDefault="009D37F0" w:rsidP="009D37F0">
            <w:pPr>
              <w:spacing w:before="0"/>
              <w:ind w:left="720"/>
              <w:rPr>
                <w:rFonts w:ascii="Times New Roman" w:eastAsia="Times New Roman" w:hAnsi="Times New Roman"/>
                <w:sz w:val="24"/>
                <w:szCs w:val="24"/>
                <w:lang w:eastAsia="lv-LV"/>
              </w:rPr>
            </w:pPr>
          </w:p>
          <w:p w:rsidR="00501231" w:rsidRDefault="00501231" w:rsidP="00501231">
            <w:pPr>
              <w:spacing w:befor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RAIM izstrādāts </w:t>
            </w:r>
            <w:r w:rsidRPr="009651CA">
              <w:rPr>
                <w:rFonts w:ascii="Times New Roman" w:hAnsi="Times New Roman"/>
                <w:bCs/>
                <w:sz w:val="24"/>
                <w:szCs w:val="24"/>
              </w:rPr>
              <w:t>Eiropas Reģionālās attīstības fonda</w:t>
            </w:r>
            <w:r>
              <w:rPr>
                <w:rFonts w:ascii="Times New Roman" w:eastAsia="Times New Roman" w:hAnsi="Times New Roman"/>
                <w:sz w:val="24"/>
                <w:szCs w:val="24"/>
                <w:lang w:eastAsia="lv-LV"/>
              </w:rPr>
              <w:t xml:space="preserve"> projekta „Pašvaldību teritorijas plānošanas, infrastruktūras un nekustamo īpašumu pārvaldības un uzraudzības informācijas sistēmas ieviešana novados - 2.kārta” (3DP/3.2.2.1.1/09/IPIA/IUM/EPLS/018) ietvaros, projekta kopējā summa – </w:t>
            </w:r>
            <w:r w:rsidR="0036014E">
              <w:rPr>
                <w:rFonts w:ascii="Times New Roman" w:eastAsia="Times New Roman" w:hAnsi="Times New Roman"/>
                <w:sz w:val="24"/>
                <w:szCs w:val="24"/>
                <w:lang w:eastAsia="lv-LV"/>
              </w:rPr>
              <w:t>1 342 414,10 EUR</w:t>
            </w:r>
            <w:r>
              <w:rPr>
                <w:rFonts w:ascii="Times New Roman" w:eastAsia="Times New Roman" w:hAnsi="Times New Roman"/>
                <w:sz w:val="24"/>
                <w:szCs w:val="24"/>
                <w:lang w:eastAsia="lv-LV"/>
              </w:rPr>
              <w:t xml:space="preserve"> (attiecināmās izmaksas – </w:t>
            </w:r>
            <w:r w:rsidR="0036014E">
              <w:rPr>
                <w:rFonts w:ascii="Times New Roman" w:eastAsia="Times New Roman" w:hAnsi="Times New Roman"/>
                <w:sz w:val="24"/>
                <w:szCs w:val="24"/>
                <w:lang w:eastAsia="lv-LV"/>
              </w:rPr>
              <w:t>1 245 012,83 EUR</w:t>
            </w:r>
            <w:r>
              <w:rPr>
                <w:rFonts w:ascii="Times New Roman" w:eastAsia="Times New Roman" w:hAnsi="Times New Roman"/>
                <w:sz w:val="24"/>
                <w:szCs w:val="24"/>
                <w:lang w:eastAsia="lv-LV"/>
              </w:rPr>
              <w:t>).</w:t>
            </w:r>
          </w:p>
          <w:p w:rsidR="00501231" w:rsidRDefault="00501231" w:rsidP="00501231">
            <w:pPr>
              <w:spacing w:befor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RAIM izstrādes izmaksas (ar PVN) – </w:t>
            </w:r>
            <w:r w:rsidR="0036014E">
              <w:rPr>
                <w:rFonts w:ascii="Times New Roman" w:eastAsia="Times New Roman" w:hAnsi="Times New Roman"/>
                <w:sz w:val="24"/>
                <w:szCs w:val="24"/>
                <w:lang w:eastAsia="lv-LV"/>
              </w:rPr>
              <w:t>333 700,43 EUR</w:t>
            </w:r>
            <w:r w:rsidRPr="00501231">
              <w:rPr>
                <w:rFonts w:ascii="Times New Roman" w:eastAsia="Times New Roman" w:hAnsi="Times New Roman"/>
                <w:sz w:val="24"/>
                <w:szCs w:val="24"/>
                <w:lang w:eastAsia="lv-LV"/>
              </w:rPr>
              <w:t xml:space="preserve">. </w:t>
            </w:r>
          </w:p>
          <w:p w:rsidR="00501231" w:rsidRPr="00501231" w:rsidRDefault="00501231" w:rsidP="00A33C30">
            <w:pPr>
              <w:spacing w:before="0"/>
              <w:rPr>
                <w:rFonts w:ascii="Times New Roman" w:eastAsia="Times New Roman" w:hAnsi="Times New Roman"/>
                <w:sz w:val="24"/>
                <w:szCs w:val="24"/>
                <w:lang w:eastAsia="lv-LV"/>
              </w:rPr>
            </w:pPr>
            <w:r w:rsidRPr="00501231">
              <w:rPr>
                <w:rFonts w:ascii="Times New Roman" w:eastAsia="Times New Roman" w:hAnsi="Times New Roman"/>
                <w:sz w:val="24"/>
                <w:szCs w:val="24"/>
                <w:lang w:eastAsia="lv-LV"/>
              </w:rPr>
              <w:t>RAIM nodots</w:t>
            </w:r>
            <w:r>
              <w:rPr>
                <w:rFonts w:ascii="Times New Roman" w:eastAsia="Times New Roman" w:hAnsi="Times New Roman"/>
                <w:sz w:val="24"/>
                <w:szCs w:val="24"/>
                <w:lang w:eastAsia="lv-LV"/>
              </w:rPr>
              <w:t xml:space="preserve"> produktīvajā ekspluatācijā 2013.gada 11.martā.</w:t>
            </w: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6.1. detalizēts ieņēmumu aprēķins</w:t>
            </w:r>
          </w:p>
        </w:tc>
        <w:tc>
          <w:tcPr>
            <w:tcW w:w="3450" w:type="pct"/>
            <w:gridSpan w:val="5"/>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6.2. detalizēts izdevumu aprēķins</w:t>
            </w:r>
          </w:p>
        </w:tc>
        <w:tc>
          <w:tcPr>
            <w:tcW w:w="3450" w:type="pct"/>
            <w:gridSpan w:val="5"/>
            <w:vMerge/>
            <w:tcBorders>
              <w:top w:val="outset" w:sz="6" w:space="0" w:color="000000"/>
              <w:left w:val="outset" w:sz="6" w:space="0" w:color="000000"/>
              <w:bottom w:val="outset" w:sz="6" w:space="0" w:color="000000"/>
              <w:right w:val="outset" w:sz="6" w:space="0" w:color="000000"/>
            </w:tcBorders>
            <w:vAlign w:val="center"/>
          </w:tcPr>
          <w:p w:rsidR="00FC2E2B" w:rsidRPr="009651CA" w:rsidRDefault="00FC2E2B" w:rsidP="008D48B1">
            <w:pPr>
              <w:spacing w:before="0"/>
              <w:rPr>
                <w:rFonts w:ascii="Times New Roman" w:eastAsia="Times New Roman" w:hAnsi="Times New Roman"/>
                <w:sz w:val="24"/>
                <w:szCs w:val="24"/>
                <w:lang w:eastAsia="lv-LV"/>
              </w:rPr>
            </w:pPr>
          </w:p>
        </w:tc>
      </w:tr>
      <w:tr w:rsidR="00FC2E2B" w:rsidRPr="009651CA" w:rsidTr="008D48B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550" w:type="pct"/>
            <w:tcBorders>
              <w:top w:val="outset" w:sz="6" w:space="0" w:color="000000"/>
              <w:left w:val="outset" w:sz="6" w:space="0" w:color="000000"/>
              <w:bottom w:val="outset" w:sz="6" w:space="0" w:color="000000"/>
              <w:right w:val="outset" w:sz="6" w:space="0" w:color="000000"/>
            </w:tcBorders>
          </w:tcPr>
          <w:p w:rsidR="00FC2E2B" w:rsidRPr="009651CA" w:rsidRDefault="00FC2E2B" w:rsidP="008D48B1">
            <w:pPr>
              <w:spacing w:before="0"/>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7. Cita informācija</w:t>
            </w:r>
          </w:p>
        </w:tc>
        <w:tc>
          <w:tcPr>
            <w:tcW w:w="3450" w:type="pct"/>
            <w:gridSpan w:val="5"/>
            <w:tcBorders>
              <w:top w:val="outset" w:sz="6" w:space="0" w:color="000000"/>
              <w:left w:val="outset" w:sz="6" w:space="0" w:color="000000"/>
              <w:bottom w:val="outset" w:sz="6" w:space="0" w:color="000000"/>
              <w:right w:val="outset" w:sz="6" w:space="0" w:color="000000"/>
            </w:tcBorders>
          </w:tcPr>
          <w:p w:rsidR="0036759A" w:rsidRPr="0036759A" w:rsidRDefault="0036759A" w:rsidP="0036759A">
            <w:pPr>
              <w:spacing w:before="0"/>
              <w:rPr>
                <w:rFonts w:ascii="Times New Roman" w:hAnsi="Times New Roman"/>
                <w:sz w:val="24"/>
                <w:szCs w:val="24"/>
                <w:lang w:eastAsia="lv-LV"/>
              </w:rPr>
            </w:pPr>
            <w:r>
              <w:rPr>
                <w:rFonts w:ascii="Times New Roman" w:hAnsi="Times New Roman"/>
                <w:sz w:val="24"/>
                <w:szCs w:val="24"/>
              </w:rPr>
              <w:t>F</w:t>
            </w:r>
            <w:r w:rsidRPr="0036759A">
              <w:rPr>
                <w:rFonts w:ascii="Times New Roman" w:hAnsi="Times New Roman"/>
                <w:sz w:val="24"/>
                <w:szCs w:val="24"/>
              </w:rPr>
              <w:t>inansējums projekta uzturēšanai 2015.</w:t>
            </w:r>
            <w:r w:rsidRPr="0036759A">
              <w:rPr>
                <w:rFonts w:ascii="Times New Roman" w:hAnsi="Times New Roman"/>
                <w:color w:val="1F497D"/>
                <w:sz w:val="24"/>
                <w:szCs w:val="24"/>
              </w:rPr>
              <w:t>–</w:t>
            </w:r>
            <w:r w:rsidRPr="0036759A">
              <w:rPr>
                <w:rFonts w:ascii="Times New Roman" w:hAnsi="Times New Roman"/>
                <w:sz w:val="24"/>
                <w:szCs w:val="24"/>
              </w:rPr>
              <w:t>2017.gadam tiks pieprasīts atbilstoši 2012.gada 11.decembra</w:t>
            </w:r>
            <w:r w:rsidRPr="0036759A">
              <w:rPr>
                <w:rFonts w:ascii="Arial" w:hAnsi="Arial" w:cs="Arial"/>
                <w:color w:val="414142"/>
                <w:sz w:val="24"/>
                <w:szCs w:val="24"/>
              </w:rPr>
              <w:t xml:space="preserve"> </w:t>
            </w:r>
            <w:r w:rsidRPr="0036759A">
              <w:rPr>
                <w:rFonts w:ascii="Times New Roman" w:hAnsi="Times New Roman"/>
                <w:sz w:val="24"/>
                <w:szCs w:val="24"/>
              </w:rPr>
              <w:t>Ministru kabineta noteikumu Nr.867 “Kārtība, kādā nosakāms maksimāli pieļaujamais valsts budžeta izdevumu kopapjoms un maksimāli pieļaujamais valsts budžeta izdevumu kopējais apjoms katrai ministrijai un citām centrālajām valsts iestādēm vidējam termiņam” 10.2.4.apakšpunktā noteiktajam.</w:t>
            </w:r>
          </w:p>
        </w:tc>
      </w:tr>
    </w:tbl>
    <w:p w:rsidR="002863C4" w:rsidRPr="009651CA" w:rsidRDefault="002863C4" w:rsidP="005F5211">
      <w:pPr>
        <w:spacing w:before="63" w:after="63"/>
        <w:jc w:val="left"/>
        <w:rPr>
          <w:rFonts w:ascii="Times New Roman" w:eastAsia="Times New Roman" w:hAnsi="Times New Roman"/>
          <w:sz w:val="24"/>
          <w:szCs w:val="24"/>
          <w:lang w:eastAsia="lv-LV"/>
        </w:rPr>
      </w:pPr>
    </w:p>
    <w:tbl>
      <w:tblPr>
        <w:tblStyle w:val="TableGrid"/>
        <w:tblW w:w="9513" w:type="dxa"/>
        <w:tblLook w:val="04A0" w:firstRow="1" w:lastRow="0" w:firstColumn="1" w:lastColumn="0" w:noHBand="0" w:noVBand="1"/>
      </w:tblPr>
      <w:tblGrid>
        <w:gridCol w:w="476"/>
        <w:gridCol w:w="3367"/>
        <w:gridCol w:w="5670"/>
      </w:tblGrid>
      <w:tr w:rsidR="002863C4" w:rsidRPr="009651CA" w:rsidTr="00A77A7C">
        <w:tc>
          <w:tcPr>
            <w:tcW w:w="9513" w:type="dxa"/>
            <w:gridSpan w:val="3"/>
          </w:tcPr>
          <w:p w:rsidR="002863C4" w:rsidRPr="009651CA" w:rsidRDefault="002863C4" w:rsidP="002863C4">
            <w:pPr>
              <w:spacing w:before="63" w:after="63"/>
              <w:jc w:val="center"/>
              <w:rPr>
                <w:rFonts w:ascii="Times New Roman" w:eastAsia="Times New Roman" w:hAnsi="Times New Roman"/>
                <w:sz w:val="24"/>
                <w:szCs w:val="24"/>
                <w:lang w:eastAsia="lv-LV"/>
              </w:rPr>
            </w:pPr>
            <w:r w:rsidRPr="009651CA">
              <w:rPr>
                <w:rFonts w:ascii="Times New Roman" w:eastAsia="Times New Roman" w:hAnsi="Times New Roman"/>
                <w:b/>
                <w:bCs/>
                <w:sz w:val="24"/>
                <w:szCs w:val="24"/>
                <w:lang w:eastAsia="lv-LV"/>
              </w:rPr>
              <w:t xml:space="preserve"> VII. Tiesību </w:t>
            </w:r>
            <w:smartTag w:uri="schemas-tilde-lv/tildestengine" w:element="veidnes">
              <w:smartTagPr>
                <w:attr w:name="baseform" w:val="akt|s"/>
                <w:attr w:name="id" w:val="-1"/>
                <w:attr w:name="text" w:val="akta"/>
              </w:smartTagPr>
              <w:r w:rsidRPr="009651CA">
                <w:rPr>
                  <w:rFonts w:ascii="Times New Roman" w:eastAsia="Times New Roman" w:hAnsi="Times New Roman"/>
                  <w:b/>
                  <w:bCs/>
                  <w:sz w:val="24"/>
                  <w:szCs w:val="24"/>
                  <w:lang w:eastAsia="lv-LV"/>
                </w:rPr>
                <w:t>akta</w:t>
              </w:r>
            </w:smartTag>
            <w:r w:rsidRPr="009651CA">
              <w:rPr>
                <w:rFonts w:ascii="Times New Roman" w:eastAsia="Times New Roman" w:hAnsi="Times New Roman"/>
                <w:b/>
                <w:bCs/>
                <w:sz w:val="24"/>
                <w:szCs w:val="24"/>
                <w:lang w:eastAsia="lv-LV"/>
              </w:rPr>
              <w:t xml:space="preserve"> projekta izpildes nodrošināšana un tās ietekme uz institūcijām</w:t>
            </w:r>
          </w:p>
        </w:tc>
      </w:tr>
      <w:tr w:rsidR="002863C4" w:rsidRPr="009651CA" w:rsidTr="00A77A7C">
        <w:trPr>
          <w:trHeight w:val="823"/>
        </w:trPr>
        <w:tc>
          <w:tcPr>
            <w:tcW w:w="476" w:type="dxa"/>
          </w:tcPr>
          <w:p w:rsidR="00886749"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1.</w:t>
            </w:r>
          </w:p>
          <w:p w:rsidR="00160BE6" w:rsidRPr="009651CA" w:rsidRDefault="00160BE6">
            <w:pPr>
              <w:rPr>
                <w:rFonts w:ascii="Times New Roman" w:eastAsia="Times New Roman" w:hAnsi="Times New Roman"/>
                <w:sz w:val="24"/>
                <w:szCs w:val="24"/>
                <w:lang w:eastAsia="lv-LV"/>
              </w:rPr>
            </w:pPr>
          </w:p>
        </w:tc>
        <w:tc>
          <w:tcPr>
            <w:tcW w:w="3367"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izpildē iesaistītās institūcijas</w:t>
            </w:r>
          </w:p>
        </w:tc>
        <w:tc>
          <w:tcPr>
            <w:tcW w:w="5670" w:type="dxa"/>
          </w:tcPr>
          <w:p w:rsidR="009101D3" w:rsidRDefault="005F5211" w:rsidP="009101D3">
            <w:pPr>
              <w:spacing w:before="63" w:after="6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izpildi nodrošinās VARAM un </w:t>
            </w:r>
            <w:r w:rsidR="009101D3">
              <w:rPr>
                <w:rFonts w:ascii="Times New Roman" w:eastAsia="Times New Roman" w:hAnsi="Times New Roman"/>
                <w:sz w:val="24"/>
                <w:szCs w:val="24"/>
                <w:lang w:eastAsia="lv-LV"/>
              </w:rPr>
              <w:t>VRAA</w:t>
            </w:r>
            <w:r>
              <w:rPr>
                <w:rFonts w:ascii="Times New Roman" w:eastAsia="Times New Roman" w:hAnsi="Times New Roman"/>
                <w:sz w:val="24"/>
                <w:szCs w:val="24"/>
                <w:lang w:eastAsia="lv-LV"/>
              </w:rPr>
              <w:t>.</w:t>
            </w:r>
          </w:p>
          <w:p w:rsidR="00AA75D0" w:rsidRDefault="00D704A0" w:rsidP="00994EC2">
            <w:pPr>
              <w:spacing w:before="63" w:after="63"/>
              <w:rPr>
                <w:rFonts w:ascii="Times New Roman" w:eastAsia="Times New Roman" w:hAnsi="Times New Roman"/>
                <w:sz w:val="24"/>
                <w:szCs w:val="24"/>
                <w:lang w:eastAsia="lv-LV"/>
              </w:rPr>
            </w:pPr>
            <w:r>
              <w:rPr>
                <w:rFonts w:ascii="Times New Roman" w:eastAsia="Times New Roman" w:hAnsi="Times New Roman"/>
                <w:sz w:val="24"/>
                <w:szCs w:val="24"/>
                <w:lang w:eastAsia="lv-LV"/>
              </w:rPr>
              <w:t>RAIM darbībā iesaistītās institūcijas, kuru pienākums</w:t>
            </w:r>
            <w:r w:rsidR="00994EC2">
              <w:rPr>
                <w:rFonts w:ascii="Times New Roman" w:eastAsia="Times New Roman" w:hAnsi="Times New Roman"/>
                <w:sz w:val="24"/>
                <w:szCs w:val="24"/>
                <w:lang w:eastAsia="lv-LV"/>
              </w:rPr>
              <w:t xml:space="preserve"> ir noteikumu ietvaros</w:t>
            </w:r>
            <w:r>
              <w:rPr>
                <w:rFonts w:ascii="Times New Roman" w:eastAsia="Times New Roman" w:hAnsi="Times New Roman"/>
                <w:sz w:val="24"/>
                <w:szCs w:val="24"/>
                <w:lang w:eastAsia="lv-LV"/>
              </w:rPr>
              <w:t xml:space="preserve"> </w:t>
            </w:r>
            <w:r w:rsidR="00994EC2">
              <w:rPr>
                <w:rFonts w:ascii="Times New Roman" w:eastAsia="Times New Roman" w:hAnsi="Times New Roman"/>
                <w:sz w:val="24"/>
                <w:szCs w:val="24"/>
                <w:lang w:eastAsia="lv-LV"/>
              </w:rPr>
              <w:t>sniegt</w:t>
            </w:r>
            <w:r>
              <w:rPr>
                <w:rFonts w:ascii="Times New Roman" w:eastAsia="Times New Roman" w:hAnsi="Times New Roman"/>
                <w:sz w:val="24"/>
                <w:szCs w:val="24"/>
                <w:lang w:eastAsia="lv-LV"/>
              </w:rPr>
              <w:t xml:space="preserve"> datus VRAA – Labklājības ministrija (Nodarbinātības valsts aģentūra, Valsts sociālās apdrošināšanas aģentūra), Zemkopības ministrija (Lauku atbalsta dienests), Izglītības un zinātnes ministrija, Tieslietu ministrija (Uzņēmumu reģistrs), Finanšu ministrija (Valsts ieņēmumu dienests, Valsts kase), Satiksmes ministrija (Valsts akciju sabiedrība „Latvijas Valsts ceļi”), Iekšlietu ministrija (ministrijas Informācijas centrs), Ekonomikas ministrija (Centrālā statistikas pārvalde).</w:t>
            </w:r>
          </w:p>
          <w:p w:rsidR="005A23A4" w:rsidRDefault="005A23A4" w:rsidP="005A23A4">
            <w:pPr>
              <w:spacing w:before="63" w:after="63"/>
              <w:rPr>
                <w:rFonts w:ascii="Times New Roman" w:hAnsi="Times New Roman"/>
                <w:sz w:val="24"/>
                <w:szCs w:val="24"/>
              </w:rPr>
            </w:pPr>
            <w:r w:rsidRPr="005416D0">
              <w:rPr>
                <w:rFonts w:ascii="Times New Roman" w:eastAsia="Times New Roman" w:hAnsi="Times New Roman"/>
                <w:sz w:val="24"/>
                <w:szCs w:val="24"/>
                <w:lang w:eastAsia="lv-LV"/>
              </w:rPr>
              <w:t xml:space="preserve">RAIM darbībā iesaistītajām institūcijām papildus administratīvais slogs datu sagatavošanai un sniegšanai netiks radīts, jo nav paredzēts institūcijām deleģēt jaunus pienākumus. Informācijas sniegšanas pienākums </w:t>
            </w:r>
            <w:r w:rsidRPr="005416D0">
              <w:rPr>
                <w:rFonts w:ascii="Times New Roman" w:eastAsia="Times New Roman" w:hAnsi="Times New Roman"/>
                <w:sz w:val="24"/>
                <w:szCs w:val="24"/>
                <w:lang w:eastAsia="lv-LV"/>
              </w:rPr>
              <w:lastRenderedPageBreak/>
              <w:t xml:space="preserve">ir katras nozaru ministrijas un to padotībā esošo iestāžu kompetencē, līdz ar to nevar rasties šaubas, ka informācijas sniegšana RAIM radīs papildus izmaksas, darbinieku noslodzi u.tml., jo jau šobrīd nozaru ministrijas vai to padotības iestādes ir spējīgas sagatavot un nodrošināt interesentiem tādu statistiku, kas iekļauta RAIM. </w:t>
            </w:r>
            <w:r w:rsidRPr="005416D0">
              <w:rPr>
                <w:rFonts w:ascii="Times New Roman" w:hAnsi="Times New Roman"/>
                <w:sz w:val="24"/>
                <w:szCs w:val="24"/>
                <w:lang w:eastAsia="lv-LV"/>
              </w:rPr>
              <w:t>Ar starpresoru vienošanās noslēgšanu 2012.gadā datu sniedzēji apliecināja, ka dati atbilstoši vienošanās noteiktajam saturam, struktūrai, formātam tiks sagatavoti un iesniegti. Tostarp starpresoru vienošanās neparedz nepieciešamību par papildus finansējumu datu sagatavošanai.</w:t>
            </w:r>
            <w:r>
              <w:rPr>
                <w:rFonts w:ascii="Times New Roman" w:hAnsi="Times New Roman"/>
                <w:sz w:val="24"/>
                <w:szCs w:val="24"/>
                <w:lang w:eastAsia="lv-LV"/>
              </w:rPr>
              <w:t xml:space="preserve"> </w:t>
            </w:r>
            <w:r>
              <w:rPr>
                <w:rFonts w:ascii="Times New Roman" w:hAnsi="Times New Roman"/>
                <w:sz w:val="24"/>
                <w:szCs w:val="24"/>
              </w:rPr>
              <w:t xml:space="preserve">Nākotnē saistībā ar RAIM statistikas datu nodrošināšanu iespējami papildus izdevumi datu sniedzēju institūcijām. Tostarp, ņemot vērā Reģionālās politikas pamatnostādnēs, u.c. attīstības plānošanas dokumentos </w:t>
            </w:r>
            <w:proofErr w:type="gramStart"/>
            <w:r>
              <w:rPr>
                <w:rFonts w:ascii="Times New Roman" w:hAnsi="Times New Roman"/>
                <w:sz w:val="24"/>
                <w:szCs w:val="24"/>
              </w:rPr>
              <w:t>noteikto, būtu</w:t>
            </w:r>
            <w:proofErr w:type="gramEnd"/>
            <w:r>
              <w:rPr>
                <w:rFonts w:ascii="Times New Roman" w:hAnsi="Times New Roman"/>
                <w:sz w:val="24"/>
                <w:szCs w:val="24"/>
              </w:rPr>
              <w:t xml:space="preserve"> lietderīgi statistikas dati par nacionālas un reģionālas nozīmes attīstības centriem. Šobrīd saistībā ar datu sniegšanu RAIM vajadzībām, datu sniedzēju institūcijām nav paredzētas papildus, neplānotas izmaksas. Pieņemot, ka nākotnē RAIM varētu tikt ietverti plašāki statistikas dati nekā šobrīd, iespējamas izmaksas datu sniedzēju institūcijām, kas saistītas, piemēram, ar attiecīgu programmatūru izstrādi. Šādas izmaksas nākotnē paredz Pilsonības un migrācijas lietu pārvalde, provizoriski </w:t>
            </w:r>
            <w:r w:rsidR="00D73A0A" w:rsidRPr="00D73A0A">
              <w:rPr>
                <w:rFonts w:ascii="Times New Roman" w:hAnsi="Times New Roman"/>
                <w:sz w:val="24"/>
                <w:szCs w:val="24"/>
              </w:rPr>
              <w:t>3000 līdz 4000 LVL (4268,6 līdz 5691,4</w:t>
            </w:r>
            <w:r w:rsidRPr="00D73A0A">
              <w:rPr>
                <w:rFonts w:ascii="Times New Roman" w:hAnsi="Times New Roman"/>
                <w:sz w:val="24"/>
                <w:szCs w:val="24"/>
              </w:rPr>
              <w:t xml:space="preserve"> </w:t>
            </w:r>
            <w:r w:rsidR="00D73A0A" w:rsidRPr="00D73A0A">
              <w:rPr>
                <w:rFonts w:ascii="Times New Roman" w:hAnsi="Times New Roman"/>
                <w:sz w:val="24"/>
                <w:szCs w:val="24"/>
              </w:rPr>
              <w:t xml:space="preserve">EUR) </w:t>
            </w:r>
            <w:r w:rsidRPr="00D73A0A">
              <w:rPr>
                <w:rFonts w:ascii="Times New Roman" w:hAnsi="Times New Roman"/>
                <w:sz w:val="24"/>
                <w:szCs w:val="24"/>
              </w:rPr>
              <w:t>apmērā.</w:t>
            </w:r>
          </w:p>
          <w:p w:rsidR="005A23A4" w:rsidRPr="009101D3" w:rsidRDefault="005A23A4" w:rsidP="005A23A4">
            <w:pPr>
              <w:spacing w:before="63" w:after="63"/>
              <w:rPr>
                <w:rFonts w:ascii="Times New Roman" w:eastAsia="Times New Roman" w:hAnsi="Times New Roman"/>
                <w:sz w:val="24"/>
                <w:szCs w:val="24"/>
                <w:lang w:eastAsia="lv-LV"/>
              </w:rPr>
            </w:pPr>
            <w:r w:rsidRPr="005416D0">
              <w:rPr>
                <w:rFonts w:ascii="Times New Roman" w:eastAsia="Times New Roman" w:hAnsi="Times New Roman"/>
                <w:sz w:val="24"/>
                <w:szCs w:val="24"/>
                <w:lang w:eastAsia="lv-LV"/>
              </w:rPr>
              <w:t xml:space="preserve">Vienlaikus RAIM darbība daļēji varētu mazināt to nozaru ministriju, padotībā esošo iestāžu, kuras sniedz datus RAIM, noslodzi statistiskās informācijas sagatavošanā, jo paredzams, ka informācijas pieprasījuma apjoms no dažādiem interesentiem (pašvaldībām, plānošanas reģioniem, augstākās izglītības iestāžu izglītojamajiem u.c.) varētu samazināties. Tostarp, VRAA iespēju robežās informāciju iegūst nepastarpināti no esošajām informācijas sistēmām un datu bāzēm. </w:t>
            </w:r>
            <w:r w:rsidRPr="005416D0">
              <w:rPr>
                <w:rFonts w:ascii="Times New Roman" w:eastAsia="Times New Roman" w:hAnsi="Times New Roman"/>
                <w:sz w:val="24"/>
                <w:szCs w:val="20"/>
              </w:rPr>
              <w:t xml:space="preserve">Piemēram, </w:t>
            </w:r>
            <w:r w:rsidRPr="005416D0">
              <w:rPr>
                <w:rFonts w:ascii="Times New Roman" w:eastAsia="Times New Roman" w:hAnsi="Times New Roman"/>
                <w:sz w:val="24"/>
                <w:szCs w:val="24"/>
                <w:lang w:eastAsia="lv-LV"/>
              </w:rPr>
              <w:t>i</w:t>
            </w:r>
            <w:r w:rsidRPr="005416D0">
              <w:rPr>
                <w:rFonts w:ascii="Times New Roman" w:eastAsia="Times New Roman" w:hAnsi="Times New Roman"/>
                <w:sz w:val="24"/>
                <w:szCs w:val="20"/>
              </w:rPr>
              <w:t xml:space="preserve">mportējot sistēmā Centrālās statistikas pārvaldes (turpmāk – CSP) sagatavotos datus, tiek izmantotas procedūras, kas CSP sagatavotās datnes lejuplādē no CSP interneta vietnes, pārveido sistēmai nepieciešamā datņu formātā un datu struktūrā un piegādā tālākai ielādei. Šīs darbības notiek bez CSP darbinieku iesaistes un var nodrošināt datu ielādes procesu, kamēr CSP publicēto datu struktūra un datņu formāti paliek nemainīgi. Tostarp </w:t>
            </w:r>
            <w:r w:rsidRPr="005416D0">
              <w:rPr>
                <w:rFonts w:ascii="Times New Roman" w:eastAsia="Times New Roman" w:hAnsi="Times New Roman"/>
                <w:sz w:val="24"/>
                <w:szCs w:val="24"/>
                <w:lang w:eastAsia="lv-LV"/>
              </w:rPr>
              <w:t>m</w:t>
            </w:r>
            <w:r w:rsidRPr="005416D0">
              <w:rPr>
                <w:rFonts w:ascii="Times New Roman" w:eastAsia="Times New Roman" w:hAnsi="Times New Roman"/>
                <w:sz w:val="24"/>
                <w:szCs w:val="20"/>
              </w:rPr>
              <w:t>anuāli tiek ielādēti dati no Eiropas Savienības struktūrfondu un Kohēzijas fonda vadības informācijas sistēmas, kas pirms ievadīšanas RAIM tiek pielāgoti ielādei sistēmā.</w:t>
            </w:r>
          </w:p>
        </w:tc>
      </w:tr>
      <w:tr w:rsidR="002863C4" w:rsidRPr="009651CA" w:rsidTr="00A77A7C">
        <w:trPr>
          <w:trHeight w:val="463"/>
        </w:trPr>
        <w:tc>
          <w:tcPr>
            <w:tcW w:w="476"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lastRenderedPageBreak/>
              <w:t> 2.</w:t>
            </w:r>
          </w:p>
        </w:tc>
        <w:tc>
          <w:tcPr>
            <w:tcW w:w="3367"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izpildes ietekme uz pārvaldes funkcijām</w:t>
            </w:r>
          </w:p>
        </w:tc>
        <w:tc>
          <w:tcPr>
            <w:tcW w:w="5670" w:type="dxa"/>
          </w:tcPr>
          <w:p w:rsidR="005A23A4" w:rsidRPr="00FD5AE4" w:rsidRDefault="00F073C5" w:rsidP="000F00BD">
            <w:pPr>
              <w:spacing w:before="63" w:after="63"/>
              <w:rPr>
                <w:rFonts w:ascii="Times New Roman" w:eastAsia="Times New Roman" w:hAnsi="Times New Roman"/>
                <w:sz w:val="24"/>
                <w:szCs w:val="24"/>
                <w:lang w:eastAsia="lv-LV"/>
              </w:rPr>
            </w:pPr>
            <w:r w:rsidRPr="005416D0">
              <w:rPr>
                <w:rFonts w:ascii="Times New Roman" w:eastAsia="Times New Roman" w:hAnsi="Times New Roman"/>
                <w:sz w:val="24"/>
                <w:szCs w:val="24"/>
                <w:lang w:eastAsia="lv-LV"/>
              </w:rPr>
              <w:t>Noteikumu projekta izpildi nodrošinās VARAM un VRAA</w:t>
            </w:r>
            <w:r w:rsidR="000F00BD">
              <w:rPr>
                <w:rFonts w:ascii="Times New Roman" w:eastAsia="Times New Roman" w:hAnsi="Times New Roman"/>
                <w:sz w:val="24"/>
                <w:szCs w:val="24"/>
                <w:lang w:eastAsia="lv-LV"/>
              </w:rPr>
              <w:t xml:space="preserve">. </w:t>
            </w:r>
            <w:r w:rsidRPr="005416D0">
              <w:rPr>
                <w:rFonts w:ascii="Times New Roman" w:hAnsi="Times New Roman"/>
                <w:sz w:val="24"/>
                <w:szCs w:val="24"/>
              </w:rPr>
              <w:t xml:space="preserve">Noteikumu projekta izpilde ietekmē arī datu sniedzējus - Labklājības ministriju (Nodarbinātības valsts aģentūru, Valsts sociālās apdrošināšanas aģentūru), Zemkopības ministriju (Lauku atbalsta dienestu), Izglītības un zinātnes ministriju, Tieslietu ministriju (Uzņēmumu reģistru), Finanšu ministriju (Valsts ieņēmumu dienestu, Valsts kasi), Satiksmes ministriju (Valsts akciju sabiedrību „Latvijas Valsts ceļi”), Iekšlietu ministriju (ministrijas Informācijas centru) un Ekonomikas ministriju (Centrālo statistikas pārvaldi). Vienlaikus noteikumu projekta izpilde neradīs </w:t>
            </w:r>
            <w:r w:rsidRPr="005416D0">
              <w:rPr>
                <w:rFonts w:ascii="Times New Roman" w:eastAsia="Times New Roman" w:hAnsi="Times New Roman"/>
                <w:sz w:val="24"/>
                <w:szCs w:val="24"/>
                <w:lang w:eastAsia="lv-LV"/>
              </w:rPr>
              <w:t>RAIM darbībā iesaistītajām institūcijām papildus administratīvo slogu datu sagatavošanas un sniegšanas laikā, jo nav paredzēts institūcijām deleģēt jaunus pienākumus, bet gan īstenot starpresoru vienošanās nosacījumus.</w:t>
            </w:r>
          </w:p>
        </w:tc>
      </w:tr>
      <w:tr w:rsidR="009C4D82" w:rsidRPr="009651CA" w:rsidTr="00A77A7C">
        <w:trPr>
          <w:trHeight w:val="725"/>
        </w:trPr>
        <w:tc>
          <w:tcPr>
            <w:tcW w:w="476"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3.</w:t>
            </w:r>
          </w:p>
        </w:tc>
        <w:tc>
          <w:tcPr>
            <w:tcW w:w="3367"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izpildes ietekme uz pārvaldes institucionālo struktūru.</w:t>
            </w:r>
          </w:p>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Jaunu institūciju izveide</w:t>
            </w:r>
          </w:p>
        </w:tc>
        <w:tc>
          <w:tcPr>
            <w:tcW w:w="5670" w:type="dxa"/>
          </w:tcPr>
          <w:p w:rsidR="009C4D82" w:rsidRPr="009651CA" w:rsidRDefault="00370340">
            <w:pPr>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9C4D82" w:rsidRPr="009651CA" w:rsidTr="00A77A7C">
        <w:trPr>
          <w:trHeight w:val="411"/>
        </w:trPr>
        <w:tc>
          <w:tcPr>
            <w:tcW w:w="476"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4.</w:t>
            </w:r>
          </w:p>
        </w:tc>
        <w:tc>
          <w:tcPr>
            <w:tcW w:w="3367"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izpildes ietekme uz pārvaldes institucionālo struktūru.</w:t>
            </w:r>
          </w:p>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Esošu institūciju likvidācija</w:t>
            </w:r>
          </w:p>
        </w:tc>
        <w:tc>
          <w:tcPr>
            <w:tcW w:w="5670" w:type="dxa"/>
          </w:tcPr>
          <w:p w:rsidR="009C4D82" w:rsidRPr="009651CA" w:rsidRDefault="00370340">
            <w:pPr>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9C4D82" w:rsidRPr="009651CA" w:rsidTr="00A77A7C">
        <w:trPr>
          <w:trHeight w:val="703"/>
        </w:trPr>
        <w:tc>
          <w:tcPr>
            <w:tcW w:w="476"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5.</w:t>
            </w:r>
          </w:p>
        </w:tc>
        <w:tc>
          <w:tcPr>
            <w:tcW w:w="3367" w:type="dxa"/>
          </w:tcPr>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Projekta izpildes ietekme uz pārvaldes institucionālo struktūru.</w:t>
            </w:r>
          </w:p>
          <w:p w:rsidR="009C4D82" w:rsidRPr="009651CA" w:rsidRDefault="009C4D82"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Esošu institūciju reorganizācija</w:t>
            </w:r>
          </w:p>
        </w:tc>
        <w:tc>
          <w:tcPr>
            <w:tcW w:w="5670" w:type="dxa"/>
          </w:tcPr>
          <w:p w:rsidR="009C4D82" w:rsidRPr="009651CA" w:rsidRDefault="00370340">
            <w:pPr>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2863C4" w:rsidRPr="009651CA" w:rsidTr="00A77A7C">
        <w:trPr>
          <w:trHeight w:val="476"/>
        </w:trPr>
        <w:tc>
          <w:tcPr>
            <w:tcW w:w="476"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6.</w:t>
            </w:r>
          </w:p>
        </w:tc>
        <w:tc>
          <w:tcPr>
            <w:tcW w:w="3367"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Cita informācija</w:t>
            </w:r>
          </w:p>
        </w:tc>
        <w:tc>
          <w:tcPr>
            <w:tcW w:w="5670" w:type="dxa"/>
          </w:tcPr>
          <w:p w:rsidR="002863C4" w:rsidRPr="009651CA" w:rsidRDefault="002863C4" w:rsidP="002863C4">
            <w:pPr>
              <w:spacing w:before="63" w:after="63"/>
              <w:jc w:val="left"/>
              <w:rPr>
                <w:rFonts w:ascii="Times New Roman" w:eastAsia="Times New Roman" w:hAnsi="Times New Roman"/>
                <w:sz w:val="24"/>
                <w:szCs w:val="24"/>
                <w:lang w:eastAsia="lv-LV"/>
              </w:rPr>
            </w:pPr>
            <w:r w:rsidRPr="009651CA">
              <w:rPr>
                <w:rFonts w:ascii="Times New Roman" w:eastAsia="Times New Roman" w:hAnsi="Times New Roman"/>
                <w:sz w:val="24"/>
                <w:szCs w:val="24"/>
                <w:lang w:eastAsia="lv-LV"/>
              </w:rPr>
              <w:t> </w:t>
            </w:r>
            <w:r w:rsidR="005F5211">
              <w:rPr>
                <w:rFonts w:ascii="Times New Roman" w:eastAsia="Times New Roman" w:hAnsi="Times New Roman"/>
                <w:sz w:val="24"/>
                <w:szCs w:val="24"/>
                <w:lang w:eastAsia="lv-LV"/>
              </w:rPr>
              <w:t>Nav.</w:t>
            </w:r>
          </w:p>
        </w:tc>
      </w:tr>
    </w:tbl>
    <w:p w:rsidR="0040160C" w:rsidRDefault="0040160C" w:rsidP="00D362BE">
      <w:pPr>
        <w:spacing w:before="0"/>
        <w:rPr>
          <w:rFonts w:ascii="Times New Roman" w:hAnsi="Times New Roman"/>
          <w:sz w:val="24"/>
          <w:szCs w:val="24"/>
        </w:rPr>
      </w:pPr>
    </w:p>
    <w:p w:rsidR="005F5211" w:rsidRDefault="005F5211" w:rsidP="00D362BE">
      <w:pPr>
        <w:spacing w:before="0"/>
        <w:rPr>
          <w:rFonts w:ascii="Times New Roman" w:eastAsia="Times New Roman" w:hAnsi="Times New Roman"/>
          <w:sz w:val="24"/>
          <w:szCs w:val="24"/>
          <w:lang w:eastAsia="lv-LV"/>
        </w:rPr>
      </w:pPr>
      <w:r>
        <w:rPr>
          <w:rFonts w:ascii="Times New Roman" w:eastAsia="Times New Roman" w:hAnsi="Times New Roman"/>
          <w:sz w:val="24"/>
          <w:szCs w:val="24"/>
          <w:lang w:eastAsia="lv-LV"/>
        </w:rPr>
        <w:t>Anotācijas IV., V., VI. sadaļa – projekts šīs jomas neskar.</w:t>
      </w:r>
    </w:p>
    <w:p w:rsidR="005F5211" w:rsidRPr="009651CA" w:rsidRDefault="005F5211" w:rsidP="00D362BE">
      <w:pPr>
        <w:spacing w:before="0"/>
        <w:rPr>
          <w:rFonts w:ascii="Times New Roman" w:hAnsi="Times New Roman"/>
          <w:sz w:val="24"/>
          <w:szCs w:val="24"/>
        </w:rPr>
      </w:pPr>
    </w:p>
    <w:p w:rsidR="00AC1A63" w:rsidRDefault="00AC1A63" w:rsidP="00793105">
      <w:pPr>
        <w:rPr>
          <w:rFonts w:ascii="Times New Roman" w:hAnsi="Times New Roman"/>
          <w:sz w:val="24"/>
          <w:szCs w:val="24"/>
        </w:rPr>
      </w:pPr>
    </w:p>
    <w:p w:rsidR="00793105" w:rsidRPr="00793105" w:rsidRDefault="00793105" w:rsidP="00793105">
      <w:pPr>
        <w:rPr>
          <w:rFonts w:ascii="Times New Roman" w:hAnsi="Times New Roman"/>
          <w:sz w:val="24"/>
          <w:szCs w:val="24"/>
        </w:rPr>
      </w:pPr>
      <w:r w:rsidRPr="00793105">
        <w:rPr>
          <w:rFonts w:ascii="Times New Roman" w:hAnsi="Times New Roman"/>
          <w:sz w:val="24"/>
          <w:szCs w:val="24"/>
        </w:rPr>
        <w:t>Iesniedzējs:</w:t>
      </w:r>
    </w:p>
    <w:p w:rsidR="00793105" w:rsidRPr="00793105" w:rsidRDefault="00793105" w:rsidP="00793105">
      <w:pPr>
        <w:rPr>
          <w:rFonts w:ascii="Times New Roman" w:hAnsi="Times New Roman"/>
          <w:sz w:val="24"/>
          <w:szCs w:val="24"/>
        </w:rPr>
      </w:pPr>
      <w:r w:rsidRPr="00793105">
        <w:rPr>
          <w:rFonts w:ascii="Times New Roman" w:hAnsi="Times New Roman"/>
          <w:sz w:val="24"/>
          <w:szCs w:val="24"/>
        </w:rPr>
        <w:t xml:space="preserve">vides aizsardzības un reģionālās attīstības ministrs </w:t>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513751">
        <w:rPr>
          <w:rFonts w:ascii="Times New Roman" w:hAnsi="Times New Roman"/>
          <w:sz w:val="24"/>
          <w:szCs w:val="24"/>
        </w:rPr>
        <w:t>R.Naudiņš</w:t>
      </w:r>
      <w:proofErr w:type="spellEnd"/>
    </w:p>
    <w:p w:rsidR="00793105" w:rsidRPr="00793105" w:rsidRDefault="00793105" w:rsidP="00793105">
      <w:pPr>
        <w:rPr>
          <w:rFonts w:ascii="Times New Roman" w:hAnsi="Times New Roman"/>
          <w:sz w:val="24"/>
          <w:szCs w:val="24"/>
        </w:rPr>
      </w:pPr>
    </w:p>
    <w:p w:rsidR="00793105" w:rsidRPr="00793105" w:rsidRDefault="00793105" w:rsidP="00793105">
      <w:pPr>
        <w:rPr>
          <w:rFonts w:ascii="Times New Roman" w:hAnsi="Times New Roman"/>
          <w:sz w:val="24"/>
          <w:szCs w:val="24"/>
        </w:rPr>
      </w:pPr>
      <w:r w:rsidRPr="00793105">
        <w:rPr>
          <w:rFonts w:ascii="Times New Roman" w:hAnsi="Times New Roman"/>
          <w:sz w:val="24"/>
          <w:szCs w:val="24"/>
        </w:rPr>
        <w:t>Vīza:</w:t>
      </w:r>
    </w:p>
    <w:p w:rsidR="00793105" w:rsidRPr="00793105" w:rsidRDefault="00793105" w:rsidP="00513751">
      <w:pPr>
        <w:rPr>
          <w:rFonts w:ascii="Times New Roman" w:hAnsi="Times New Roman"/>
          <w:sz w:val="24"/>
          <w:szCs w:val="24"/>
        </w:rPr>
      </w:pPr>
      <w:r w:rsidRPr="00793105">
        <w:rPr>
          <w:rFonts w:ascii="Times New Roman" w:hAnsi="Times New Roman"/>
          <w:sz w:val="24"/>
          <w:szCs w:val="24"/>
        </w:rPr>
        <w:t>valsts sekretārs</w:t>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sidRPr="0079310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3751">
        <w:rPr>
          <w:rFonts w:ascii="Times New Roman" w:hAnsi="Times New Roman"/>
          <w:sz w:val="24"/>
          <w:szCs w:val="24"/>
        </w:rPr>
        <w:t>G.Puķītis</w:t>
      </w:r>
    </w:p>
    <w:p w:rsidR="00071E94" w:rsidRPr="00793105" w:rsidRDefault="00071E94" w:rsidP="004353C5">
      <w:pPr>
        <w:spacing w:before="0"/>
        <w:rPr>
          <w:rFonts w:ascii="Times New Roman" w:hAnsi="Times New Roman"/>
          <w:sz w:val="20"/>
          <w:szCs w:val="20"/>
        </w:rPr>
      </w:pPr>
    </w:p>
    <w:p w:rsidR="005F5211" w:rsidRPr="00793105" w:rsidRDefault="008E4D64" w:rsidP="005F5211">
      <w:pPr>
        <w:spacing w:before="0"/>
        <w:ind w:right="113"/>
        <w:rPr>
          <w:rFonts w:ascii="Times New Roman" w:hAnsi="Times New Roman"/>
          <w:sz w:val="20"/>
          <w:szCs w:val="20"/>
          <w:lang w:eastAsia="lv-LV"/>
        </w:rPr>
      </w:pPr>
      <w:r w:rsidRPr="00C333C4">
        <w:rPr>
          <w:rFonts w:ascii="Times New Roman" w:hAnsi="Times New Roman"/>
          <w:sz w:val="20"/>
          <w:szCs w:val="20"/>
          <w:lang w:eastAsia="lv-LV"/>
        </w:rPr>
        <w:fldChar w:fldCharType="begin"/>
      </w:r>
      <w:r w:rsidR="003F0DDA" w:rsidRPr="00C333C4">
        <w:rPr>
          <w:rFonts w:ascii="Times New Roman" w:hAnsi="Times New Roman"/>
          <w:sz w:val="20"/>
          <w:szCs w:val="20"/>
          <w:lang w:eastAsia="lv-LV"/>
        </w:rPr>
        <w:instrText xml:space="preserve"> DATE  \@ "dd.MM.yyyy H:mm"  \* MERGEFORMAT </w:instrText>
      </w:r>
      <w:r w:rsidRPr="00C333C4">
        <w:rPr>
          <w:rFonts w:ascii="Times New Roman" w:hAnsi="Times New Roman"/>
          <w:sz w:val="20"/>
          <w:szCs w:val="20"/>
          <w:lang w:eastAsia="lv-LV"/>
        </w:rPr>
        <w:fldChar w:fldCharType="separate"/>
      </w:r>
      <w:r w:rsidR="00FE5EF1">
        <w:rPr>
          <w:rFonts w:ascii="Times New Roman" w:hAnsi="Times New Roman"/>
          <w:noProof/>
          <w:sz w:val="20"/>
          <w:szCs w:val="20"/>
          <w:lang w:eastAsia="lv-LV"/>
        </w:rPr>
        <w:t>02.06.2014 16:43</w:t>
      </w:r>
      <w:r w:rsidRPr="00C333C4">
        <w:rPr>
          <w:rFonts w:ascii="Times New Roman" w:hAnsi="Times New Roman"/>
          <w:sz w:val="20"/>
          <w:szCs w:val="20"/>
          <w:lang w:eastAsia="lv-LV"/>
        </w:rPr>
        <w:fldChar w:fldCharType="end"/>
      </w:r>
    </w:p>
    <w:p w:rsidR="00513751" w:rsidRDefault="00042D7D" w:rsidP="005F5211">
      <w:pPr>
        <w:spacing w:before="0"/>
        <w:rPr>
          <w:rFonts w:ascii="Times New Roman" w:hAnsi="Times New Roman"/>
          <w:sz w:val="20"/>
          <w:szCs w:val="20"/>
        </w:rPr>
      </w:pPr>
      <w:r>
        <w:fldChar w:fldCharType="begin"/>
      </w:r>
      <w:r>
        <w:instrText xml:space="preserve"> NUMWORDS   \* MERGEFORMAT </w:instrText>
      </w:r>
      <w:r>
        <w:fldChar w:fldCharType="separate"/>
      </w:r>
      <w:r w:rsidR="00677248" w:rsidRPr="00677248">
        <w:rPr>
          <w:rFonts w:ascii="Times New Roman" w:hAnsi="Times New Roman"/>
          <w:noProof/>
          <w:sz w:val="20"/>
          <w:szCs w:val="20"/>
        </w:rPr>
        <w:t>2623</w:t>
      </w:r>
      <w:r>
        <w:rPr>
          <w:rFonts w:ascii="Times New Roman" w:hAnsi="Times New Roman"/>
          <w:noProof/>
          <w:sz w:val="20"/>
          <w:szCs w:val="20"/>
        </w:rPr>
        <w:fldChar w:fldCharType="end"/>
      </w:r>
    </w:p>
    <w:p w:rsidR="005F5211" w:rsidRPr="00793105" w:rsidRDefault="00513751" w:rsidP="005F5211">
      <w:pPr>
        <w:spacing w:before="0"/>
        <w:rPr>
          <w:rFonts w:ascii="Times New Roman" w:eastAsia="Times New Roman" w:hAnsi="Times New Roman"/>
          <w:sz w:val="20"/>
          <w:szCs w:val="20"/>
        </w:rPr>
      </w:pPr>
      <w:r>
        <w:rPr>
          <w:rFonts w:ascii="Times New Roman" w:hAnsi="Times New Roman"/>
          <w:sz w:val="20"/>
          <w:szCs w:val="20"/>
        </w:rPr>
        <w:t>L.Vikšere</w:t>
      </w:r>
    </w:p>
    <w:p w:rsidR="004353C5" w:rsidRPr="00963527" w:rsidRDefault="005F5211" w:rsidP="000D4FA1">
      <w:pPr>
        <w:spacing w:before="0"/>
        <w:rPr>
          <w:rFonts w:ascii="Times New Roman" w:hAnsi="Times New Roman"/>
          <w:sz w:val="20"/>
          <w:szCs w:val="20"/>
        </w:rPr>
      </w:pPr>
      <w:r w:rsidRPr="00793105">
        <w:rPr>
          <w:rFonts w:ascii="Times New Roman" w:hAnsi="Times New Roman"/>
          <w:sz w:val="20"/>
          <w:szCs w:val="20"/>
        </w:rPr>
        <w:t>660167</w:t>
      </w:r>
      <w:r w:rsidR="00D87B78">
        <w:rPr>
          <w:rFonts w:ascii="Times New Roman" w:hAnsi="Times New Roman"/>
          <w:sz w:val="20"/>
          <w:szCs w:val="20"/>
        </w:rPr>
        <w:t>86</w:t>
      </w:r>
      <w:r w:rsidRPr="00793105">
        <w:rPr>
          <w:rFonts w:ascii="Times New Roman" w:hAnsi="Times New Roman"/>
          <w:sz w:val="20"/>
          <w:szCs w:val="20"/>
        </w:rPr>
        <w:t xml:space="preserve">, </w:t>
      </w:r>
      <w:hyperlink r:id="rId9" w:history="1">
        <w:r w:rsidR="00513751" w:rsidRPr="00013FA9">
          <w:rPr>
            <w:rStyle w:val="Hyperlink"/>
            <w:rFonts w:ascii="Times New Roman" w:hAnsi="Times New Roman"/>
            <w:sz w:val="20"/>
            <w:szCs w:val="20"/>
          </w:rPr>
          <w:t>Laura.Viksere@varam.gov.lv</w:t>
        </w:r>
      </w:hyperlink>
    </w:p>
    <w:sectPr w:rsidR="004353C5" w:rsidRPr="00963527" w:rsidSect="00676981">
      <w:headerReference w:type="default" r:id="rId10"/>
      <w:footerReference w:type="default" r:id="rId11"/>
      <w:footerReference w:type="first" r:id="rId12"/>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7D" w:rsidRDefault="00042D7D" w:rsidP="007D58AC">
      <w:pPr>
        <w:spacing w:before="0"/>
      </w:pPr>
      <w:r>
        <w:separator/>
      </w:r>
    </w:p>
  </w:endnote>
  <w:endnote w:type="continuationSeparator" w:id="0">
    <w:p w:rsidR="00042D7D" w:rsidRDefault="00042D7D" w:rsidP="007D58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75359"/>
      <w:docPartObj>
        <w:docPartGallery w:val="Page Numbers (Bottom of Page)"/>
        <w:docPartUnique/>
      </w:docPartObj>
    </w:sdtPr>
    <w:sdtEndPr>
      <w:rPr>
        <w:rFonts w:ascii="Times New Roman" w:hAnsi="Times New Roman"/>
        <w:noProof/>
        <w:sz w:val="24"/>
        <w:szCs w:val="24"/>
      </w:rPr>
    </w:sdtEndPr>
    <w:sdtContent>
      <w:p w:rsidR="000058F5" w:rsidRPr="0009189B" w:rsidRDefault="000058F5">
        <w:pPr>
          <w:pStyle w:val="Footer"/>
          <w:jc w:val="right"/>
          <w:rPr>
            <w:rFonts w:ascii="Times New Roman" w:hAnsi="Times New Roman"/>
            <w:noProof/>
            <w:sz w:val="24"/>
            <w:szCs w:val="24"/>
          </w:rPr>
        </w:pPr>
      </w:p>
      <w:p w:rsidR="000058F5" w:rsidRPr="0009189B" w:rsidRDefault="00042D7D" w:rsidP="0009189B">
        <w:pPr>
          <w:rPr>
            <w:rFonts w:ascii="Times New Roman" w:hAnsi="Times New Roman"/>
            <w:sz w:val="20"/>
            <w:szCs w:val="20"/>
          </w:rPr>
        </w:pPr>
        <w:r>
          <w:fldChar w:fldCharType="begin"/>
        </w:r>
        <w:r>
          <w:instrText xml:space="preserve"> FILENAME   \* MERGEFORMAT </w:instrText>
        </w:r>
        <w:r>
          <w:fldChar w:fldCharType="separate"/>
        </w:r>
        <w:r w:rsidR="00677248" w:rsidRPr="00677248">
          <w:rPr>
            <w:rFonts w:ascii="Times New Roman" w:hAnsi="Times New Roman"/>
            <w:noProof/>
            <w:sz w:val="20"/>
            <w:szCs w:val="20"/>
          </w:rPr>
          <w:t>VARAManot_020614_RAIM</w:t>
        </w:r>
        <w:r>
          <w:rPr>
            <w:rFonts w:ascii="Times New Roman" w:hAnsi="Times New Roman"/>
            <w:noProof/>
            <w:sz w:val="20"/>
            <w:szCs w:val="20"/>
          </w:rPr>
          <w:fldChar w:fldCharType="end"/>
        </w:r>
        <w:r w:rsidR="000058F5" w:rsidRPr="0009189B">
          <w:rPr>
            <w:rFonts w:ascii="Times New Roman" w:hAnsi="Times New Roman"/>
            <w:sz w:val="20"/>
            <w:szCs w:val="20"/>
          </w:rPr>
          <w:t xml:space="preserve">; Ministru kabineta noteikumu projekts </w:t>
        </w:r>
        <w:r w:rsidR="000058F5" w:rsidRPr="0009189B">
          <w:rPr>
            <w:rFonts w:ascii="Times New Roman" w:hAnsi="Times New Roman"/>
            <w:bCs/>
            <w:sz w:val="20"/>
            <w:szCs w:val="20"/>
          </w:rPr>
          <w:t>„Reģionālās attīstības uzraudzības un novērtēšanas kārtība”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F5" w:rsidRPr="00B340C7" w:rsidRDefault="00042D7D" w:rsidP="00B340C7">
    <w:pPr>
      <w:rPr>
        <w:rFonts w:ascii="Times New Roman" w:hAnsi="Times New Roman"/>
        <w:sz w:val="20"/>
        <w:szCs w:val="20"/>
      </w:rPr>
    </w:pPr>
    <w:r>
      <w:fldChar w:fldCharType="begin"/>
    </w:r>
    <w:r>
      <w:instrText xml:space="preserve"> FILENAME   \* MERGEFORMAT </w:instrText>
    </w:r>
    <w:r>
      <w:fldChar w:fldCharType="separate"/>
    </w:r>
    <w:r w:rsidR="00677248" w:rsidRPr="00677248">
      <w:rPr>
        <w:rFonts w:ascii="Times New Roman" w:hAnsi="Times New Roman"/>
        <w:noProof/>
        <w:sz w:val="20"/>
        <w:szCs w:val="20"/>
      </w:rPr>
      <w:t>VARAManot_020614_RAIM</w:t>
    </w:r>
    <w:r>
      <w:rPr>
        <w:rFonts w:ascii="Times New Roman" w:hAnsi="Times New Roman"/>
        <w:noProof/>
        <w:sz w:val="20"/>
        <w:szCs w:val="20"/>
      </w:rPr>
      <w:fldChar w:fldCharType="end"/>
    </w:r>
    <w:r w:rsidR="000058F5" w:rsidRPr="0009189B">
      <w:rPr>
        <w:rFonts w:ascii="Times New Roman" w:hAnsi="Times New Roman"/>
        <w:sz w:val="20"/>
        <w:szCs w:val="20"/>
      </w:rPr>
      <w:t xml:space="preserve">; Ministru kabineta noteikumu projekts </w:t>
    </w:r>
    <w:r w:rsidR="000058F5" w:rsidRPr="0009189B">
      <w:rPr>
        <w:rFonts w:ascii="Times New Roman" w:hAnsi="Times New Roman"/>
        <w:bCs/>
        <w:sz w:val="20"/>
        <w:szCs w:val="20"/>
      </w:rPr>
      <w:t>„Reģionālās attīstības uzraudzības un novērtēšanas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7D" w:rsidRDefault="00042D7D" w:rsidP="007D58AC">
      <w:pPr>
        <w:spacing w:before="0"/>
      </w:pPr>
      <w:r>
        <w:separator/>
      </w:r>
    </w:p>
  </w:footnote>
  <w:footnote w:type="continuationSeparator" w:id="0">
    <w:p w:rsidR="00042D7D" w:rsidRDefault="00042D7D" w:rsidP="007D58AC">
      <w:pPr>
        <w:spacing w:before="0"/>
      </w:pPr>
      <w:r>
        <w:continuationSeparator/>
      </w:r>
    </w:p>
  </w:footnote>
  <w:footnote w:id="1">
    <w:p w:rsidR="000058F5" w:rsidRDefault="000058F5">
      <w:pPr>
        <w:pStyle w:val="FootnoteText"/>
      </w:pPr>
      <w:r>
        <w:rPr>
          <w:rStyle w:val="FootnoteReference"/>
        </w:rPr>
        <w:footnoteRef/>
      </w:r>
      <w:r>
        <w:t xml:space="preserve"> </w:t>
      </w:r>
      <w:r w:rsidRPr="007D7845">
        <w:rPr>
          <w:rFonts w:ascii="Times New Roman" w:hAnsi="Times New Roman"/>
        </w:rPr>
        <w:t>Skat</w:t>
      </w:r>
      <w:r>
        <w:rPr>
          <w:rFonts w:ascii="Times New Roman" w:hAnsi="Times New Roman"/>
        </w:rPr>
        <w:t>īt</w:t>
      </w:r>
      <w:r w:rsidRPr="007D7845">
        <w:rPr>
          <w:rFonts w:ascii="Times New Roman" w:hAnsi="Times New Roman"/>
        </w:rPr>
        <w:t xml:space="preserve"> plašāk informāciju V</w:t>
      </w:r>
      <w:r>
        <w:rPr>
          <w:rFonts w:ascii="Times New Roman" w:hAnsi="Times New Roman"/>
        </w:rPr>
        <w:t>alsts reģionālās attīstības aģentūras</w:t>
      </w:r>
      <w:r w:rsidRPr="007D7845">
        <w:rPr>
          <w:rFonts w:ascii="Times New Roman" w:hAnsi="Times New Roman"/>
        </w:rPr>
        <w:t xml:space="preserve"> </w:t>
      </w:r>
      <w:r>
        <w:rPr>
          <w:rFonts w:ascii="Times New Roman" w:hAnsi="Times New Roman"/>
        </w:rPr>
        <w:t>mājaslapā</w:t>
      </w:r>
      <w:r w:rsidRPr="007D7845">
        <w:rPr>
          <w:rFonts w:ascii="Times New Roman" w:hAnsi="Times New Roman"/>
        </w:rPr>
        <w:t xml:space="preserve">: </w:t>
      </w:r>
      <w:r w:rsidRPr="002D4C4C">
        <w:rPr>
          <w:rFonts w:ascii="Times New Roman" w:hAnsi="Times New Roman"/>
        </w:rPr>
        <w:t>http://www.vraa.gov.lv/lv/e-serviss/tis/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F5" w:rsidRPr="00797F6F" w:rsidRDefault="008E4D64">
    <w:pPr>
      <w:pStyle w:val="Header"/>
      <w:jc w:val="center"/>
      <w:rPr>
        <w:rFonts w:ascii="Times New Roman" w:hAnsi="Times New Roman"/>
        <w:sz w:val="24"/>
        <w:szCs w:val="24"/>
      </w:rPr>
    </w:pPr>
    <w:r w:rsidRPr="00797F6F">
      <w:rPr>
        <w:rFonts w:ascii="Times New Roman" w:hAnsi="Times New Roman"/>
        <w:sz w:val="24"/>
        <w:szCs w:val="24"/>
      </w:rPr>
      <w:fldChar w:fldCharType="begin"/>
    </w:r>
    <w:r w:rsidR="000058F5"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FE5EF1">
      <w:rPr>
        <w:rFonts w:ascii="Times New Roman" w:hAnsi="Times New Roman"/>
        <w:noProof/>
        <w:sz w:val="24"/>
        <w:szCs w:val="24"/>
      </w:rPr>
      <w:t>8</w:t>
    </w:r>
    <w:r w:rsidRPr="00797F6F">
      <w:rPr>
        <w:rFonts w:ascii="Times New Roman" w:hAnsi="Times New Roman"/>
        <w:sz w:val="24"/>
        <w:szCs w:val="24"/>
      </w:rPr>
      <w:fldChar w:fldCharType="end"/>
    </w:r>
  </w:p>
  <w:p w:rsidR="000058F5" w:rsidRDefault="00005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D35AEF"/>
    <w:multiLevelType w:val="multilevel"/>
    <w:tmpl w:val="19AA101C"/>
    <w:lvl w:ilvl="0">
      <w:start w:val="8"/>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15144870"/>
    <w:multiLevelType w:val="hybridMultilevel"/>
    <w:tmpl w:val="320EBA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301A007F"/>
    <w:multiLevelType w:val="hybridMultilevel"/>
    <w:tmpl w:val="623022F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3271547C"/>
    <w:multiLevelType w:val="hybridMultilevel"/>
    <w:tmpl w:val="D632F6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436B1700"/>
    <w:multiLevelType w:val="hybridMultilevel"/>
    <w:tmpl w:val="36F4A39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837EE3"/>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12">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nsid w:val="51BF6624"/>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14">
    <w:nsid w:val="54B84B73"/>
    <w:multiLevelType w:val="multilevel"/>
    <w:tmpl w:val="63D2FBD0"/>
    <w:numStyleLink w:val="ISBullets"/>
  </w:abstractNum>
  <w:abstractNum w:abstractNumId="15">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79171E"/>
    <w:multiLevelType w:val="hybridMultilevel"/>
    <w:tmpl w:val="A4A8675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6E1335"/>
    <w:multiLevelType w:val="hybridMultilevel"/>
    <w:tmpl w:val="2A4E57DE"/>
    <w:lvl w:ilvl="0" w:tplc="04260017">
      <w:start w:val="1"/>
      <w:numFmt w:val="lowerLetter"/>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727214"/>
    <w:multiLevelType w:val="multilevel"/>
    <w:tmpl w:val="78D05BA8"/>
    <w:lvl w:ilvl="0">
      <w:start w:val="9"/>
      <w:numFmt w:val="decimal"/>
      <w:lvlText w:val="%1."/>
      <w:lvlJc w:val="left"/>
      <w:pPr>
        <w:ind w:left="900" w:hanging="5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2">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5"/>
  </w:num>
  <w:num w:numId="3">
    <w:abstractNumId w:val="1"/>
  </w:num>
  <w:num w:numId="4">
    <w:abstractNumId w:val="18"/>
  </w:num>
  <w:num w:numId="5">
    <w:abstractNumId w:val="12"/>
  </w:num>
  <w:num w:numId="6">
    <w:abstractNumId w:val="0"/>
  </w:num>
  <w:num w:numId="7">
    <w:abstractNumId w:val="14"/>
  </w:num>
  <w:num w:numId="8">
    <w:abstractNumId w:val="11"/>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6"/>
  </w:num>
  <w:num w:numId="19">
    <w:abstractNumId w:val="3"/>
  </w:num>
  <w:num w:numId="20">
    <w:abstractNumId w:val="19"/>
  </w:num>
  <w:num w:numId="2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C4"/>
    <w:rsid w:val="000009D1"/>
    <w:rsid w:val="000058F5"/>
    <w:rsid w:val="0001177D"/>
    <w:rsid w:val="00015AE6"/>
    <w:rsid w:val="00015D29"/>
    <w:rsid w:val="00025D0F"/>
    <w:rsid w:val="00026E62"/>
    <w:rsid w:val="00027E52"/>
    <w:rsid w:val="00034073"/>
    <w:rsid w:val="0003428C"/>
    <w:rsid w:val="0003743E"/>
    <w:rsid w:val="00042D7D"/>
    <w:rsid w:val="00042DE4"/>
    <w:rsid w:val="000433EE"/>
    <w:rsid w:val="00045C34"/>
    <w:rsid w:val="000504A5"/>
    <w:rsid w:val="00050FA6"/>
    <w:rsid w:val="0006349C"/>
    <w:rsid w:val="00071E94"/>
    <w:rsid w:val="00071F26"/>
    <w:rsid w:val="00073EA5"/>
    <w:rsid w:val="000751BF"/>
    <w:rsid w:val="000757A3"/>
    <w:rsid w:val="000806D7"/>
    <w:rsid w:val="0009189B"/>
    <w:rsid w:val="000919A9"/>
    <w:rsid w:val="00092CA3"/>
    <w:rsid w:val="00094A1C"/>
    <w:rsid w:val="00094F9B"/>
    <w:rsid w:val="000968AE"/>
    <w:rsid w:val="000A4BB0"/>
    <w:rsid w:val="000A4C0B"/>
    <w:rsid w:val="000B2A28"/>
    <w:rsid w:val="000B3128"/>
    <w:rsid w:val="000B7300"/>
    <w:rsid w:val="000B7CBE"/>
    <w:rsid w:val="000B7E9C"/>
    <w:rsid w:val="000C0881"/>
    <w:rsid w:val="000C31A4"/>
    <w:rsid w:val="000C7AD7"/>
    <w:rsid w:val="000D3669"/>
    <w:rsid w:val="000D4FA1"/>
    <w:rsid w:val="000D5C68"/>
    <w:rsid w:val="000D709D"/>
    <w:rsid w:val="000E1DB3"/>
    <w:rsid w:val="000E2C9F"/>
    <w:rsid w:val="000E30DC"/>
    <w:rsid w:val="000E3602"/>
    <w:rsid w:val="000F00BD"/>
    <w:rsid w:val="000F090A"/>
    <w:rsid w:val="000F0944"/>
    <w:rsid w:val="000F43CD"/>
    <w:rsid w:val="000F4D12"/>
    <w:rsid w:val="001042EB"/>
    <w:rsid w:val="00114008"/>
    <w:rsid w:val="0011788A"/>
    <w:rsid w:val="00121EBB"/>
    <w:rsid w:val="00121FEA"/>
    <w:rsid w:val="001235B1"/>
    <w:rsid w:val="00125023"/>
    <w:rsid w:val="001314B8"/>
    <w:rsid w:val="00132597"/>
    <w:rsid w:val="001337E5"/>
    <w:rsid w:val="00133846"/>
    <w:rsid w:val="001359AA"/>
    <w:rsid w:val="0014798E"/>
    <w:rsid w:val="001532DC"/>
    <w:rsid w:val="00154D0D"/>
    <w:rsid w:val="00154FAC"/>
    <w:rsid w:val="00156338"/>
    <w:rsid w:val="00156FD3"/>
    <w:rsid w:val="00160BE6"/>
    <w:rsid w:val="00162192"/>
    <w:rsid w:val="001629C8"/>
    <w:rsid w:val="00162A36"/>
    <w:rsid w:val="00162DBF"/>
    <w:rsid w:val="0016585E"/>
    <w:rsid w:val="001675F1"/>
    <w:rsid w:val="00170BB6"/>
    <w:rsid w:val="0018488C"/>
    <w:rsid w:val="00195D63"/>
    <w:rsid w:val="00197682"/>
    <w:rsid w:val="001A0F85"/>
    <w:rsid w:val="001A4E2F"/>
    <w:rsid w:val="001A789C"/>
    <w:rsid w:val="001B1CB4"/>
    <w:rsid w:val="001B61E2"/>
    <w:rsid w:val="001B7F1D"/>
    <w:rsid w:val="001C0F66"/>
    <w:rsid w:val="001C16FF"/>
    <w:rsid w:val="001C2E09"/>
    <w:rsid w:val="001C31B7"/>
    <w:rsid w:val="001C47B1"/>
    <w:rsid w:val="001C5FED"/>
    <w:rsid w:val="001C623D"/>
    <w:rsid w:val="001C6646"/>
    <w:rsid w:val="001C7C00"/>
    <w:rsid w:val="001D1060"/>
    <w:rsid w:val="001D10F9"/>
    <w:rsid w:val="001D452A"/>
    <w:rsid w:val="001E270A"/>
    <w:rsid w:val="001E35DA"/>
    <w:rsid w:val="001E5649"/>
    <w:rsid w:val="001F1C2C"/>
    <w:rsid w:val="001F3404"/>
    <w:rsid w:val="00202C26"/>
    <w:rsid w:val="00204976"/>
    <w:rsid w:val="00204F42"/>
    <w:rsid w:val="002051CF"/>
    <w:rsid w:val="0020635C"/>
    <w:rsid w:val="002073BD"/>
    <w:rsid w:val="0020794C"/>
    <w:rsid w:val="00213C38"/>
    <w:rsid w:val="00215046"/>
    <w:rsid w:val="0021567B"/>
    <w:rsid w:val="00216512"/>
    <w:rsid w:val="00217F42"/>
    <w:rsid w:val="00222E32"/>
    <w:rsid w:val="002267D4"/>
    <w:rsid w:val="00230A4E"/>
    <w:rsid w:val="00232E81"/>
    <w:rsid w:val="002330C2"/>
    <w:rsid w:val="002374C5"/>
    <w:rsid w:val="00240481"/>
    <w:rsid w:val="002421FC"/>
    <w:rsid w:val="0024309D"/>
    <w:rsid w:val="00251AC5"/>
    <w:rsid w:val="00255CC9"/>
    <w:rsid w:val="00260680"/>
    <w:rsid w:val="002718FD"/>
    <w:rsid w:val="0027445E"/>
    <w:rsid w:val="0028094C"/>
    <w:rsid w:val="00283F86"/>
    <w:rsid w:val="002863C4"/>
    <w:rsid w:val="00291340"/>
    <w:rsid w:val="00294620"/>
    <w:rsid w:val="00296DC2"/>
    <w:rsid w:val="002972BD"/>
    <w:rsid w:val="002A022D"/>
    <w:rsid w:val="002A1704"/>
    <w:rsid w:val="002A1C59"/>
    <w:rsid w:val="002A1DC8"/>
    <w:rsid w:val="002A4E3C"/>
    <w:rsid w:val="002A56C2"/>
    <w:rsid w:val="002A607C"/>
    <w:rsid w:val="002A7254"/>
    <w:rsid w:val="002B3C29"/>
    <w:rsid w:val="002C137F"/>
    <w:rsid w:val="002C3755"/>
    <w:rsid w:val="002D4C4C"/>
    <w:rsid w:val="002D6C19"/>
    <w:rsid w:val="002F0BEE"/>
    <w:rsid w:val="002F2195"/>
    <w:rsid w:val="002F3331"/>
    <w:rsid w:val="002F438E"/>
    <w:rsid w:val="002F7B46"/>
    <w:rsid w:val="00300107"/>
    <w:rsid w:val="003022ED"/>
    <w:rsid w:val="00303F3A"/>
    <w:rsid w:val="003151D8"/>
    <w:rsid w:val="00316B12"/>
    <w:rsid w:val="0031702C"/>
    <w:rsid w:val="00320A9C"/>
    <w:rsid w:val="00327512"/>
    <w:rsid w:val="00327F9B"/>
    <w:rsid w:val="003374D3"/>
    <w:rsid w:val="00337664"/>
    <w:rsid w:val="0034515D"/>
    <w:rsid w:val="00347D2B"/>
    <w:rsid w:val="0035140F"/>
    <w:rsid w:val="00352E00"/>
    <w:rsid w:val="00352F2E"/>
    <w:rsid w:val="0036014E"/>
    <w:rsid w:val="00361A17"/>
    <w:rsid w:val="00361BBD"/>
    <w:rsid w:val="00362468"/>
    <w:rsid w:val="003624AA"/>
    <w:rsid w:val="00365B2E"/>
    <w:rsid w:val="0036759A"/>
    <w:rsid w:val="00370340"/>
    <w:rsid w:val="00373D7C"/>
    <w:rsid w:val="00374C6E"/>
    <w:rsid w:val="00375B8F"/>
    <w:rsid w:val="00376AA9"/>
    <w:rsid w:val="00385A43"/>
    <w:rsid w:val="00387353"/>
    <w:rsid w:val="00397693"/>
    <w:rsid w:val="003979E2"/>
    <w:rsid w:val="003A0C01"/>
    <w:rsid w:val="003A4476"/>
    <w:rsid w:val="003A46FF"/>
    <w:rsid w:val="003A5273"/>
    <w:rsid w:val="003A5640"/>
    <w:rsid w:val="003B5DD9"/>
    <w:rsid w:val="003B5F34"/>
    <w:rsid w:val="003B7969"/>
    <w:rsid w:val="003C0034"/>
    <w:rsid w:val="003C0815"/>
    <w:rsid w:val="003C0F00"/>
    <w:rsid w:val="003C7158"/>
    <w:rsid w:val="003D6453"/>
    <w:rsid w:val="003D6732"/>
    <w:rsid w:val="003D73FC"/>
    <w:rsid w:val="003E010C"/>
    <w:rsid w:val="003E29F4"/>
    <w:rsid w:val="003E2D9F"/>
    <w:rsid w:val="003E30DF"/>
    <w:rsid w:val="003E5601"/>
    <w:rsid w:val="003E70E7"/>
    <w:rsid w:val="003E7D21"/>
    <w:rsid w:val="003F0DDA"/>
    <w:rsid w:val="003F13F2"/>
    <w:rsid w:val="003F3005"/>
    <w:rsid w:val="003F37B4"/>
    <w:rsid w:val="003F50FC"/>
    <w:rsid w:val="0040160C"/>
    <w:rsid w:val="004021E3"/>
    <w:rsid w:val="00403300"/>
    <w:rsid w:val="00405042"/>
    <w:rsid w:val="00410084"/>
    <w:rsid w:val="004173EF"/>
    <w:rsid w:val="004175A1"/>
    <w:rsid w:val="00421200"/>
    <w:rsid w:val="00422E85"/>
    <w:rsid w:val="0043134B"/>
    <w:rsid w:val="004353C5"/>
    <w:rsid w:val="004425E1"/>
    <w:rsid w:val="00443B69"/>
    <w:rsid w:val="00445C38"/>
    <w:rsid w:val="00451950"/>
    <w:rsid w:val="00453539"/>
    <w:rsid w:val="00455976"/>
    <w:rsid w:val="0045730A"/>
    <w:rsid w:val="004576AE"/>
    <w:rsid w:val="0046031E"/>
    <w:rsid w:val="004612E5"/>
    <w:rsid w:val="004618FC"/>
    <w:rsid w:val="00464680"/>
    <w:rsid w:val="004678E1"/>
    <w:rsid w:val="00467CC1"/>
    <w:rsid w:val="00470C89"/>
    <w:rsid w:val="00477BA7"/>
    <w:rsid w:val="00480DC2"/>
    <w:rsid w:val="00485DDC"/>
    <w:rsid w:val="00490B36"/>
    <w:rsid w:val="00490BE1"/>
    <w:rsid w:val="004965E4"/>
    <w:rsid w:val="00496E17"/>
    <w:rsid w:val="004A023C"/>
    <w:rsid w:val="004A0EE7"/>
    <w:rsid w:val="004A4D8A"/>
    <w:rsid w:val="004A63F3"/>
    <w:rsid w:val="004A71AA"/>
    <w:rsid w:val="004B0592"/>
    <w:rsid w:val="004B60DE"/>
    <w:rsid w:val="004C204B"/>
    <w:rsid w:val="004C4360"/>
    <w:rsid w:val="004C46CE"/>
    <w:rsid w:val="004C6FFC"/>
    <w:rsid w:val="004D5B86"/>
    <w:rsid w:val="004D700D"/>
    <w:rsid w:val="004E259F"/>
    <w:rsid w:val="004E3035"/>
    <w:rsid w:val="004E3BB9"/>
    <w:rsid w:val="004E45BB"/>
    <w:rsid w:val="004E5460"/>
    <w:rsid w:val="004E5AA4"/>
    <w:rsid w:val="004E7AB2"/>
    <w:rsid w:val="004F0CCF"/>
    <w:rsid w:val="004F401C"/>
    <w:rsid w:val="004F5250"/>
    <w:rsid w:val="00501231"/>
    <w:rsid w:val="005012F2"/>
    <w:rsid w:val="00502F9E"/>
    <w:rsid w:val="00505186"/>
    <w:rsid w:val="0050635D"/>
    <w:rsid w:val="00512461"/>
    <w:rsid w:val="00513071"/>
    <w:rsid w:val="0051342D"/>
    <w:rsid w:val="00513751"/>
    <w:rsid w:val="0051763A"/>
    <w:rsid w:val="00524C3F"/>
    <w:rsid w:val="0053173F"/>
    <w:rsid w:val="00533176"/>
    <w:rsid w:val="0053326E"/>
    <w:rsid w:val="00536375"/>
    <w:rsid w:val="005415F0"/>
    <w:rsid w:val="00542C5C"/>
    <w:rsid w:val="005447A1"/>
    <w:rsid w:val="00545953"/>
    <w:rsid w:val="00552602"/>
    <w:rsid w:val="00555DF3"/>
    <w:rsid w:val="00561B38"/>
    <w:rsid w:val="005630C7"/>
    <w:rsid w:val="00575039"/>
    <w:rsid w:val="00577702"/>
    <w:rsid w:val="0057784F"/>
    <w:rsid w:val="00581300"/>
    <w:rsid w:val="00582872"/>
    <w:rsid w:val="00584AF5"/>
    <w:rsid w:val="00593554"/>
    <w:rsid w:val="00593C54"/>
    <w:rsid w:val="00596561"/>
    <w:rsid w:val="0059673A"/>
    <w:rsid w:val="00596C15"/>
    <w:rsid w:val="00597CB9"/>
    <w:rsid w:val="005A23A4"/>
    <w:rsid w:val="005A3A21"/>
    <w:rsid w:val="005A5504"/>
    <w:rsid w:val="005A581D"/>
    <w:rsid w:val="005B057F"/>
    <w:rsid w:val="005B6884"/>
    <w:rsid w:val="005C3A41"/>
    <w:rsid w:val="005C7400"/>
    <w:rsid w:val="005D2CF8"/>
    <w:rsid w:val="005D31A0"/>
    <w:rsid w:val="005D5456"/>
    <w:rsid w:val="005D795E"/>
    <w:rsid w:val="005E31EF"/>
    <w:rsid w:val="005F237D"/>
    <w:rsid w:val="005F405A"/>
    <w:rsid w:val="005F5211"/>
    <w:rsid w:val="005F606A"/>
    <w:rsid w:val="00602F00"/>
    <w:rsid w:val="006034BF"/>
    <w:rsid w:val="00604C4D"/>
    <w:rsid w:val="006051F1"/>
    <w:rsid w:val="00605968"/>
    <w:rsid w:val="00611654"/>
    <w:rsid w:val="006127E4"/>
    <w:rsid w:val="00612EB5"/>
    <w:rsid w:val="006276DD"/>
    <w:rsid w:val="00634207"/>
    <w:rsid w:val="006379CB"/>
    <w:rsid w:val="00643F2E"/>
    <w:rsid w:val="00646690"/>
    <w:rsid w:val="006477F4"/>
    <w:rsid w:val="006512F2"/>
    <w:rsid w:val="0065231C"/>
    <w:rsid w:val="006607E7"/>
    <w:rsid w:val="00676981"/>
    <w:rsid w:val="00677248"/>
    <w:rsid w:val="00681F59"/>
    <w:rsid w:val="006837D2"/>
    <w:rsid w:val="0068382B"/>
    <w:rsid w:val="006857E0"/>
    <w:rsid w:val="00687812"/>
    <w:rsid w:val="006910F1"/>
    <w:rsid w:val="006918CF"/>
    <w:rsid w:val="00696DDC"/>
    <w:rsid w:val="006A127D"/>
    <w:rsid w:val="006A5355"/>
    <w:rsid w:val="006A5E50"/>
    <w:rsid w:val="006A7555"/>
    <w:rsid w:val="006B0A65"/>
    <w:rsid w:val="006B4708"/>
    <w:rsid w:val="006B5E15"/>
    <w:rsid w:val="006B680A"/>
    <w:rsid w:val="006C0AB3"/>
    <w:rsid w:val="006C167B"/>
    <w:rsid w:val="006C3BF4"/>
    <w:rsid w:val="006C46FA"/>
    <w:rsid w:val="006C5159"/>
    <w:rsid w:val="006C53C5"/>
    <w:rsid w:val="006C5F79"/>
    <w:rsid w:val="006D1433"/>
    <w:rsid w:val="006D5227"/>
    <w:rsid w:val="006D6639"/>
    <w:rsid w:val="006D7641"/>
    <w:rsid w:val="006D791B"/>
    <w:rsid w:val="006D7B35"/>
    <w:rsid w:val="006E200F"/>
    <w:rsid w:val="006E5690"/>
    <w:rsid w:val="006F11CC"/>
    <w:rsid w:val="006F16D5"/>
    <w:rsid w:val="006F27FC"/>
    <w:rsid w:val="006F2E6E"/>
    <w:rsid w:val="00702335"/>
    <w:rsid w:val="00705CAF"/>
    <w:rsid w:val="00712817"/>
    <w:rsid w:val="007154E8"/>
    <w:rsid w:val="00715C59"/>
    <w:rsid w:val="00720656"/>
    <w:rsid w:val="00723B36"/>
    <w:rsid w:val="00740705"/>
    <w:rsid w:val="007419BF"/>
    <w:rsid w:val="00744BF3"/>
    <w:rsid w:val="00753850"/>
    <w:rsid w:val="00757504"/>
    <w:rsid w:val="00760893"/>
    <w:rsid w:val="00761C4A"/>
    <w:rsid w:val="00764173"/>
    <w:rsid w:val="00770CDB"/>
    <w:rsid w:val="00771344"/>
    <w:rsid w:val="00775171"/>
    <w:rsid w:val="00783393"/>
    <w:rsid w:val="00786554"/>
    <w:rsid w:val="0078727A"/>
    <w:rsid w:val="007902E7"/>
    <w:rsid w:val="0079148C"/>
    <w:rsid w:val="0079198F"/>
    <w:rsid w:val="007922AC"/>
    <w:rsid w:val="007925CF"/>
    <w:rsid w:val="00793105"/>
    <w:rsid w:val="00797F6F"/>
    <w:rsid w:val="007B6874"/>
    <w:rsid w:val="007C19C3"/>
    <w:rsid w:val="007D58AC"/>
    <w:rsid w:val="007D6858"/>
    <w:rsid w:val="007D6C8E"/>
    <w:rsid w:val="007D7845"/>
    <w:rsid w:val="007E67E8"/>
    <w:rsid w:val="007E7687"/>
    <w:rsid w:val="007F1FC9"/>
    <w:rsid w:val="007F1FDB"/>
    <w:rsid w:val="007F27A5"/>
    <w:rsid w:val="007F2985"/>
    <w:rsid w:val="007F511B"/>
    <w:rsid w:val="007F5B77"/>
    <w:rsid w:val="007F5C0C"/>
    <w:rsid w:val="007F7947"/>
    <w:rsid w:val="008018E9"/>
    <w:rsid w:val="008043D3"/>
    <w:rsid w:val="00805757"/>
    <w:rsid w:val="00806927"/>
    <w:rsid w:val="00807E6E"/>
    <w:rsid w:val="0081002B"/>
    <w:rsid w:val="00810DEA"/>
    <w:rsid w:val="0081534F"/>
    <w:rsid w:val="008233AC"/>
    <w:rsid w:val="00823E71"/>
    <w:rsid w:val="00824546"/>
    <w:rsid w:val="008335BD"/>
    <w:rsid w:val="008408AF"/>
    <w:rsid w:val="00842B58"/>
    <w:rsid w:val="008436DD"/>
    <w:rsid w:val="00843BB5"/>
    <w:rsid w:val="008469A2"/>
    <w:rsid w:val="00854A54"/>
    <w:rsid w:val="00855928"/>
    <w:rsid w:val="00855E5F"/>
    <w:rsid w:val="00861C11"/>
    <w:rsid w:val="0086462D"/>
    <w:rsid w:val="008679CE"/>
    <w:rsid w:val="00874E39"/>
    <w:rsid w:val="008810FC"/>
    <w:rsid w:val="0088415F"/>
    <w:rsid w:val="00886749"/>
    <w:rsid w:val="00893A0A"/>
    <w:rsid w:val="008941B8"/>
    <w:rsid w:val="008A125C"/>
    <w:rsid w:val="008A1BFD"/>
    <w:rsid w:val="008B18FA"/>
    <w:rsid w:val="008B6823"/>
    <w:rsid w:val="008B6B62"/>
    <w:rsid w:val="008B789B"/>
    <w:rsid w:val="008C2028"/>
    <w:rsid w:val="008C66D4"/>
    <w:rsid w:val="008D2573"/>
    <w:rsid w:val="008D44EC"/>
    <w:rsid w:val="008D48B1"/>
    <w:rsid w:val="008D5DCA"/>
    <w:rsid w:val="008D7552"/>
    <w:rsid w:val="008E4D64"/>
    <w:rsid w:val="008E5BFB"/>
    <w:rsid w:val="008E6DDD"/>
    <w:rsid w:val="008F2618"/>
    <w:rsid w:val="008F5277"/>
    <w:rsid w:val="008F5980"/>
    <w:rsid w:val="008F6BF0"/>
    <w:rsid w:val="009005D5"/>
    <w:rsid w:val="009017E9"/>
    <w:rsid w:val="00906109"/>
    <w:rsid w:val="009101D3"/>
    <w:rsid w:val="00911817"/>
    <w:rsid w:val="00914F4D"/>
    <w:rsid w:val="0092791B"/>
    <w:rsid w:val="009348FB"/>
    <w:rsid w:val="00934AEC"/>
    <w:rsid w:val="00935941"/>
    <w:rsid w:val="009460E0"/>
    <w:rsid w:val="00946ECD"/>
    <w:rsid w:val="00951FBB"/>
    <w:rsid w:val="00963527"/>
    <w:rsid w:val="009651CA"/>
    <w:rsid w:val="00966F04"/>
    <w:rsid w:val="009679D3"/>
    <w:rsid w:val="00970A46"/>
    <w:rsid w:val="00970C51"/>
    <w:rsid w:val="00971401"/>
    <w:rsid w:val="00975599"/>
    <w:rsid w:val="009759C8"/>
    <w:rsid w:val="0097797C"/>
    <w:rsid w:val="009803E5"/>
    <w:rsid w:val="0098042F"/>
    <w:rsid w:val="00984530"/>
    <w:rsid w:val="009877F7"/>
    <w:rsid w:val="00994EC2"/>
    <w:rsid w:val="009972E7"/>
    <w:rsid w:val="009A6355"/>
    <w:rsid w:val="009B3B43"/>
    <w:rsid w:val="009B3B70"/>
    <w:rsid w:val="009B546E"/>
    <w:rsid w:val="009B5C72"/>
    <w:rsid w:val="009B61B1"/>
    <w:rsid w:val="009B77D7"/>
    <w:rsid w:val="009C05E8"/>
    <w:rsid w:val="009C4D82"/>
    <w:rsid w:val="009D37F0"/>
    <w:rsid w:val="009D398A"/>
    <w:rsid w:val="009D3AF4"/>
    <w:rsid w:val="009D6AA1"/>
    <w:rsid w:val="009E4932"/>
    <w:rsid w:val="009F0922"/>
    <w:rsid w:val="009F5277"/>
    <w:rsid w:val="009F7EDA"/>
    <w:rsid w:val="00A0047B"/>
    <w:rsid w:val="00A026B1"/>
    <w:rsid w:val="00A06B95"/>
    <w:rsid w:val="00A070C4"/>
    <w:rsid w:val="00A108DC"/>
    <w:rsid w:val="00A24F1D"/>
    <w:rsid w:val="00A26335"/>
    <w:rsid w:val="00A33C30"/>
    <w:rsid w:val="00A34004"/>
    <w:rsid w:val="00A43278"/>
    <w:rsid w:val="00A44CB9"/>
    <w:rsid w:val="00A507B9"/>
    <w:rsid w:val="00A510BE"/>
    <w:rsid w:val="00A51730"/>
    <w:rsid w:val="00A53C6E"/>
    <w:rsid w:val="00A6124F"/>
    <w:rsid w:val="00A630E7"/>
    <w:rsid w:val="00A63995"/>
    <w:rsid w:val="00A66779"/>
    <w:rsid w:val="00A702A7"/>
    <w:rsid w:val="00A743AA"/>
    <w:rsid w:val="00A77A7C"/>
    <w:rsid w:val="00A80990"/>
    <w:rsid w:val="00A91F63"/>
    <w:rsid w:val="00AA0D21"/>
    <w:rsid w:val="00AA22FA"/>
    <w:rsid w:val="00AA4D0C"/>
    <w:rsid w:val="00AA514F"/>
    <w:rsid w:val="00AA75D0"/>
    <w:rsid w:val="00AA777A"/>
    <w:rsid w:val="00AB53B6"/>
    <w:rsid w:val="00AC0A4F"/>
    <w:rsid w:val="00AC1A63"/>
    <w:rsid w:val="00AC3631"/>
    <w:rsid w:val="00AC4C69"/>
    <w:rsid w:val="00AC596E"/>
    <w:rsid w:val="00AC6C45"/>
    <w:rsid w:val="00AC7494"/>
    <w:rsid w:val="00AD0A8E"/>
    <w:rsid w:val="00AD0F0A"/>
    <w:rsid w:val="00AD644C"/>
    <w:rsid w:val="00AD788D"/>
    <w:rsid w:val="00AE2881"/>
    <w:rsid w:val="00AE3E71"/>
    <w:rsid w:val="00AF1BBA"/>
    <w:rsid w:val="00AF43F3"/>
    <w:rsid w:val="00AF6D77"/>
    <w:rsid w:val="00AF73C3"/>
    <w:rsid w:val="00B01F39"/>
    <w:rsid w:val="00B0250A"/>
    <w:rsid w:val="00B0357D"/>
    <w:rsid w:val="00B0385C"/>
    <w:rsid w:val="00B10908"/>
    <w:rsid w:val="00B12578"/>
    <w:rsid w:val="00B12E86"/>
    <w:rsid w:val="00B17D5F"/>
    <w:rsid w:val="00B21695"/>
    <w:rsid w:val="00B21E2A"/>
    <w:rsid w:val="00B224FC"/>
    <w:rsid w:val="00B22BBE"/>
    <w:rsid w:val="00B24FEC"/>
    <w:rsid w:val="00B27943"/>
    <w:rsid w:val="00B31DB6"/>
    <w:rsid w:val="00B340C7"/>
    <w:rsid w:val="00B34D86"/>
    <w:rsid w:val="00B3523E"/>
    <w:rsid w:val="00B36E82"/>
    <w:rsid w:val="00B41336"/>
    <w:rsid w:val="00B41C1A"/>
    <w:rsid w:val="00B45A67"/>
    <w:rsid w:val="00B46797"/>
    <w:rsid w:val="00B4777B"/>
    <w:rsid w:val="00B51D6F"/>
    <w:rsid w:val="00B5741B"/>
    <w:rsid w:val="00B63C7F"/>
    <w:rsid w:val="00B64600"/>
    <w:rsid w:val="00B65E73"/>
    <w:rsid w:val="00B66153"/>
    <w:rsid w:val="00B672BC"/>
    <w:rsid w:val="00B70A0B"/>
    <w:rsid w:val="00B75AE4"/>
    <w:rsid w:val="00B80DF7"/>
    <w:rsid w:val="00B81850"/>
    <w:rsid w:val="00B852E1"/>
    <w:rsid w:val="00B86AB3"/>
    <w:rsid w:val="00B9687D"/>
    <w:rsid w:val="00BA0666"/>
    <w:rsid w:val="00BA1F90"/>
    <w:rsid w:val="00BA3A36"/>
    <w:rsid w:val="00BA5904"/>
    <w:rsid w:val="00BA5CCC"/>
    <w:rsid w:val="00BA693F"/>
    <w:rsid w:val="00BA7EF2"/>
    <w:rsid w:val="00BB09C1"/>
    <w:rsid w:val="00BB1765"/>
    <w:rsid w:val="00BB451E"/>
    <w:rsid w:val="00BB65DD"/>
    <w:rsid w:val="00BB752A"/>
    <w:rsid w:val="00BC5D2E"/>
    <w:rsid w:val="00BD3EA0"/>
    <w:rsid w:val="00BD515F"/>
    <w:rsid w:val="00BD6186"/>
    <w:rsid w:val="00BD7DA2"/>
    <w:rsid w:val="00BE219F"/>
    <w:rsid w:val="00BE3826"/>
    <w:rsid w:val="00BF0B7B"/>
    <w:rsid w:val="00BF2503"/>
    <w:rsid w:val="00BF7037"/>
    <w:rsid w:val="00C01AC2"/>
    <w:rsid w:val="00C035C5"/>
    <w:rsid w:val="00C0465E"/>
    <w:rsid w:val="00C07CE9"/>
    <w:rsid w:val="00C11C4D"/>
    <w:rsid w:val="00C12E59"/>
    <w:rsid w:val="00C13E70"/>
    <w:rsid w:val="00C30413"/>
    <w:rsid w:val="00C333C4"/>
    <w:rsid w:val="00C4287E"/>
    <w:rsid w:val="00C451BC"/>
    <w:rsid w:val="00C455CA"/>
    <w:rsid w:val="00C45851"/>
    <w:rsid w:val="00C45B97"/>
    <w:rsid w:val="00C47368"/>
    <w:rsid w:val="00C5255A"/>
    <w:rsid w:val="00C52BFA"/>
    <w:rsid w:val="00C549DF"/>
    <w:rsid w:val="00C55F00"/>
    <w:rsid w:val="00C606D6"/>
    <w:rsid w:val="00C64EA3"/>
    <w:rsid w:val="00C66648"/>
    <w:rsid w:val="00C74518"/>
    <w:rsid w:val="00C74EA7"/>
    <w:rsid w:val="00C7701C"/>
    <w:rsid w:val="00C77A3F"/>
    <w:rsid w:val="00C81F5C"/>
    <w:rsid w:val="00C8592D"/>
    <w:rsid w:val="00C8595E"/>
    <w:rsid w:val="00C91445"/>
    <w:rsid w:val="00C91CCD"/>
    <w:rsid w:val="00C92A8B"/>
    <w:rsid w:val="00CA1708"/>
    <w:rsid w:val="00CA3336"/>
    <w:rsid w:val="00CA5265"/>
    <w:rsid w:val="00CA68EF"/>
    <w:rsid w:val="00CB2A87"/>
    <w:rsid w:val="00CB7FBA"/>
    <w:rsid w:val="00CC0C01"/>
    <w:rsid w:val="00CC4467"/>
    <w:rsid w:val="00CD74D1"/>
    <w:rsid w:val="00CE3526"/>
    <w:rsid w:val="00CF5A94"/>
    <w:rsid w:val="00D21AE6"/>
    <w:rsid w:val="00D30A8D"/>
    <w:rsid w:val="00D33031"/>
    <w:rsid w:val="00D36272"/>
    <w:rsid w:val="00D362BE"/>
    <w:rsid w:val="00D3681D"/>
    <w:rsid w:val="00D41377"/>
    <w:rsid w:val="00D42570"/>
    <w:rsid w:val="00D456E1"/>
    <w:rsid w:val="00D4607B"/>
    <w:rsid w:val="00D523D5"/>
    <w:rsid w:val="00D52912"/>
    <w:rsid w:val="00D530DB"/>
    <w:rsid w:val="00D5404D"/>
    <w:rsid w:val="00D61CDE"/>
    <w:rsid w:val="00D678BF"/>
    <w:rsid w:val="00D67CC9"/>
    <w:rsid w:val="00D704A0"/>
    <w:rsid w:val="00D70B64"/>
    <w:rsid w:val="00D733A1"/>
    <w:rsid w:val="00D73A0A"/>
    <w:rsid w:val="00D743ED"/>
    <w:rsid w:val="00D7491C"/>
    <w:rsid w:val="00D76F1A"/>
    <w:rsid w:val="00D810DA"/>
    <w:rsid w:val="00D8299A"/>
    <w:rsid w:val="00D858EC"/>
    <w:rsid w:val="00D878C4"/>
    <w:rsid w:val="00D87B78"/>
    <w:rsid w:val="00D913B6"/>
    <w:rsid w:val="00DA056E"/>
    <w:rsid w:val="00DA663B"/>
    <w:rsid w:val="00DB4CF8"/>
    <w:rsid w:val="00DC0DCF"/>
    <w:rsid w:val="00DC28E4"/>
    <w:rsid w:val="00DC77EE"/>
    <w:rsid w:val="00DD7169"/>
    <w:rsid w:val="00DE741A"/>
    <w:rsid w:val="00DF0858"/>
    <w:rsid w:val="00DF254B"/>
    <w:rsid w:val="00DF5724"/>
    <w:rsid w:val="00E00413"/>
    <w:rsid w:val="00E05622"/>
    <w:rsid w:val="00E065F8"/>
    <w:rsid w:val="00E06804"/>
    <w:rsid w:val="00E142A0"/>
    <w:rsid w:val="00E26C10"/>
    <w:rsid w:val="00E314AC"/>
    <w:rsid w:val="00E405B1"/>
    <w:rsid w:val="00E43251"/>
    <w:rsid w:val="00E47A5E"/>
    <w:rsid w:val="00E47B32"/>
    <w:rsid w:val="00E5052B"/>
    <w:rsid w:val="00E50D2D"/>
    <w:rsid w:val="00E5187C"/>
    <w:rsid w:val="00E563B9"/>
    <w:rsid w:val="00E56FA1"/>
    <w:rsid w:val="00E6331C"/>
    <w:rsid w:val="00E652BD"/>
    <w:rsid w:val="00E65F09"/>
    <w:rsid w:val="00E6682D"/>
    <w:rsid w:val="00E70239"/>
    <w:rsid w:val="00E7075B"/>
    <w:rsid w:val="00E70E6E"/>
    <w:rsid w:val="00E72332"/>
    <w:rsid w:val="00E77784"/>
    <w:rsid w:val="00E828CB"/>
    <w:rsid w:val="00E87E78"/>
    <w:rsid w:val="00E97395"/>
    <w:rsid w:val="00EB4458"/>
    <w:rsid w:val="00EB51FD"/>
    <w:rsid w:val="00EB5BEC"/>
    <w:rsid w:val="00EC1D8B"/>
    <w:rsid w:val="00EC2CDD"/>
    <w:rsid w:val="00EC314D"/>
    <w:rsid w:val="00EC6942"/>
    <w:rsid w:val="00ED05F5"/>
    <w:rsid w:val="00ED1264"/>
    <w:rsid w:val="00ED1571"/>
    <w:rsid w:val="00EF4ABD"/>
    <w:rsid w:val="00F012FB"/>
    <w:rsid w:val="00F0272C"/>
    <w:rsid w:val="00F02FFB"/>
    <w:rsid w:val="00F05836"/>
    <w:rsid w:val="00F05FFC"/>
    <w:rsid w:val="00F073C5"/>
    <w:rsid w:val="00F12953"/>
    <w:rsid w:val="00F1668A"/>
    <w:rsid w:val="00F20B99"/>
    <w:rsid w:val="00F247B6"/>
    <w:rsid w:val="00F30878"/>
    <w:rsid w:val="00F33848"/>
    <w:rsid w:val="00F344A0"/>
    <w:rsid w:val="00F372CF"/>
    <w:rsid w:val="00F37444"/>
    <w:rsid w:val="00F41D56"/>
    <w:rsid w:val="00F450E9"/>
    <w:rsid w:val="00F533EC"/>
    <w:rsid w:val="00F54B2C"/>
    <w:rsid w:val="00F57B33"/>
    <w:rsid w:val="00F64AD6"/>
    <w:rsid w:val="00F7077F"/>
    <w:rsid w:val="00F74072"/>
    <w:rsid w:val="00F76D4A"/>
    <w:rsid w:val="00F83791"/>
    <w:rsid w:val="00F84DA5"/>
    <w:rsid w:val="00F85FC3"/>
    <w:rsid w:val="00F95612"/>
    <w:rsid w:val="00F96C3A"/>
    <w:rsid w:val="00FA5D5F"/>
    <w:rsid w:val="00FB2446"/>
    <w:rsid w:val="00FB3E1C"/>
    <w:rsid w:val="00FC2E2B"/>
    <w:rsid w:val="00FC3679"/>
    <w:rsid w:val="00FC50C4"/>
    <w:rsid w:val="00FC5653"/>
    <w:rsid w:val="00FD0885"/>
    <w:rsid w:val="00FD0B7E"/>
    <w:rsid w:val="00FD244C"/>
    <w:rsid w:val="00FD4914"/>
    <w:rsid w:val="00FD5AE4"/>
    <w:rsid w:val="00FD64B2"/>
    <w:rsid w:val="00FE4AB5"/>
    <w:rsid w:val="00FE5EF1"/>
    <w:rsid w:val="00FF1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rsid w:val="00810DEA"/>
  </w:style>
  <w:style w:type="character" w:styleId="Hyperlink">
    <w:name w:val="Hyperlink"/>
    <w:basedOn w:val="DefaultParagraphFont"/>
    <w:rsid w:val="004353C5"/>
    <w:rPr>
      <w:color w:val="0000FF"/>
      <w:u w:val="single"/>
    </w:rPr>
  </w:style>
  <w:style w:type="paragraph" w:styleId="Header">
    <w:name w:val="header"/>
    <w:basedOn w:val="Normal"/>
    <w:link w:val="HeaderChar"/>
    <w:uiPriority w:val="99"/>
    <w:unhideWhenUsed/>
    <w:rsid w:val="007D58AC"/>
    <w:pPr>
      <w:tabs>
        <w:tab w:val="center" w:pos="4153"/>
        <w:tab w:val="right" w:pos="8306"/>
      </w:tabs>
    </w:pPr>
  </w:style>
  <w:style w:type="character" w:customStyle="1" w:styleId="HeaderChar">
    <w:name w:val="Header Char"/>
    <w:basedOn w:val="DefaultParagraphFont"/>
    <w:link w:val="Header"/>
    <w:uiPriority w:val="99"/>
    <w:rsid w:val="007D58AC"/>
    <w:rPr>
      <w:sz w:val="22"/>
      <w:szCs w:val="22"/>
      <w:lang w:eastAsia="en-US"/>
    </w:rPr>
  </w:style>
  <w:style w:type="paragraph" w:styleId="Footer">
    <w:name w:val="footer"/>
    <w:basedOn w:val="Normal"/>
    <w:link w:val="FooterChar"/>
    <w:uiPriority w:val="99"/>
    <w:unhideWhenUsed/>
    <w:rsid w:val="007D58AC"/>
    <w:pPr>
      <w:tabs>
        <w:tab w:val="center" w:pos="4153"/>
        <w:tab w:val="right" w:pos="8306"/>
      </w:tabs>
    </w:pPr>
  </w:style>
  <w:style w:type="character" w:customStyle="1" w:styleId="FooterChar">
    <w:name w:val="Footer Char"/>
    <w:basedOn w:val="DefaultParagraphFont"/>
    <w:link w:val="Footer"/>
    <w:uiPriority w:val="99"/>
    <w:rsid w:val="007D58AC"/>
    <w:rPr>
      <w:sz w:val="22"/>
      <w:szCs w:val="22"/>
      <w:lang w:eastAsia="en-US"/>
    </w:rPr>
  </w:style>
  <w:style w:type="paragraph" w:styleId="BalloonText">
    <w:name w:val="Balloon Text"/>
    <w:basedOn w:val="Normal"/>
    <w:semiHidden/>
    <w:rsid w:val="00E6331C"/>
    <w:rPr>
      <w:rFonts w:ascii="Tahoma" w:hAnsi="Tahoma" w:cs="Tahoma"/>
      <w:sz w:val="16"/>
      <w:szCs w:val="16"/>
    </w:rPr>
  </w:style>
  <w:style w:type="character" w:styleId="CommentReference">
    <w:name w:val="annotation reference"/>
    <w:basedOn w:val="DefaultParagraphFont"/>
    <w:semiHidden/>
    <w:rsid w:val="004A63F3"/>
    <w:rPr>
      <w:sz w:val="16"/>
      <w:szCs w:val="16"/>
    </w:rPr>
  </w:style>
  <w:style w:type="paragraph" w:styleId="CommentText">
    <w:name w:val="annotation text"/>
    <w:basedOn w:val="Normal"/>
    <w:semiHidden/>
    <w:rsid w:val="004A63F3"/>
    <w:rPr>
      <w:sz w:val="20"/>
      <w:szCs w:val="20"/>
    </w:rPr>
  </w:style>
  <w:style w:type="paragraph" w:styleId="CommentSubject">
    <w:name w:val="annotation subject"/>
    <w:basedOn w:val="CommentText"/>
    <w:next w:val="CommentText"/>
    <w:semiHidden/>
    <w:rsid w:val="004A63F3"/>
    <w:rPr>
      <w:b/>
      <w:bCs/>
    </w:rPr>
  </w:style>
  <w:style w:type="character" w:styleId="Strong">
    <w:name w:val="Strong"/>
    <w:basedOn w:val="DefaultParagraphFont"/>
    <w:uiPriority w:val="22"/>
    <w:qFormat/>
    <w:rsid w:val="008A125C"/>
    <w:rPr>
      <w:b/>
      <w:bCs/>
    </w:rPr>
  </w:style>
  <w:style w:type="numbering" w:customStyle="1" w:styleId="ISBullets">
    <w:name w:val="IS Bullets"/>
    <w:rsid w:val="00453539"/>
    <w:pPr>
      <w:numPr>
        <w:numId w:val="6"/>
      </w:numPr>
    </w:pPr>
  </w:style>
  <w:style w:type="paragraph" w:styleId="ListParagraph">
    <w:name w:val="List Paragraph"/>
    <w:basedOn w:val="Normal"/>
    <w:uiPriority w:val="34"/>
    <w:qFormat/>
    <w:rsid w:val="00F54B2C"/>
    <w:pPr>
      <w:ind w:left="720"/>
      <w:contextualSpacing/>
    </w:pPr>
  </w:style>
  <w:style w:type="paragraph" w:styleId="NormalWeb">
    <w:name w:val="Normal (Web)"/>
    <w:basedOn w:val="Normal"/>
    <w:uiPriority w:val="99"/>
    <w:unhideWhenUsed/>
    <w:rsid w:val="004E5AA4"/>
    <w:pPr>
      <w:spacing w:before="100" w:beforeAutospacing="1" w:after="100" w:afterAutospacing="1"/>
      <w:jc w:val="left"/>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28094C"/>
    <w:pPr>
      <w:spacing w:before="0"/>
    </w:pPr>
    <w:rPr>
      <w:sz w:val="20"/>
      <w:szCs w:val="20"/>
    </w:rPr>
  </w:style>
  <w:style w:type="character" w:customStyle="1" w:styleId="FootnoteTextChar">
    <w:name w:val="Footnote Text Char"/>
    <w:basedOn w:val="DefaultParagraphFont"/>
    <w:link w:val="FootnoteText"/>
    <w:uiPriority w:val="99"/>
    <w:semiHidden/>
    <w:rsid w:val="0028094C"/>
    <w:rPr>
      <w:lang w:eastAsia="en-US"/>
    </w:rPr>
  </w:style>
  <w:style w:type="character" w:styleId="FootnoteReference">
    <w:name w:val="footnote reference"/>
    <w:basedOn w:val="DefaultParagraphFont"/>
    <w:uiPriority w:val="99"/>
    <w:semiHidden/>
    <w:unhideWhenUsed/>
    <w:rsid w:val="0028094C"/>
    <w:rPr>
      <w:vertAlign w:val="superscript"/>
    </w:rPr>
  </w:style>
  <w:style w:type="character" w:styleId="FollowedHyperlink">
    <w:name w:val="FollowedHyperlink"/>
    <w:basedOn w:val="DefaultParagraphFont"/>
    <w:uiPriority w:val="99"/>
    <w:semiHidden/>
    <w:unhideWhenUsed/>
    <w:rsid w:val="0028094C"/>
    <w:rPr>
      <w:color w:val="800080" w:themeColor="followedHyperlink"/>
      <w:u w:val="single"/>
    </w:rPr>
  </w:style>
  <w:style w:type="paragraph" w:customStyle="1" w:styleId="tvhtml">
    <w:name w:val="tv_html"/>
    <w:basedOn w:val="Normal"/>
    <w:rsid w:val="006127E4"/>
    <w:pPr>
      <w:spacing w:before="100" w:beforeAutospacing="1" w:after="100" w:afterAutospacing="1"/>
      <w:jc w:val="left"/>
    </w:pPr>
    <w:rPr>
      <w:rFonts w:ascii="Times New Roman" w:eastAsia="Times New Roman" w:hAnsi="Times New Roman"/>
      <w:sz w:val="24"/>
      <w:szCs w:val="24"/>
      <w:lang w:eastAsia="lv-LV"/>
    </w:rPr>
  </w:style>
  <w:style w:type="table" w:styleId="TableGrid">
    <w:name w:val="Table Grid"/>
    <w:basedOn w:val="TableNormal"/>
    <w:uiPriority w:val="59"/>
    <w:rsid w:val="00A7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85FC3"/>
  </w:style>
  <w:style w:type="character" w:styleId="Emphasis">
    <w:name w:val="Emphasis"/>
    <w:basedOn w:val="DefaultParagraphFont"/>
    <w:uiPriority w:val="20"/>
    <w:qFormat/>
    <w:rsid w:val="00F85FC3"/>
    <w:rPr>
      <w:b/>
      <w:bCs/>
      <w:i w:val="0"/>
      <w:iCs w:val="0"/>
    </w:rPr>
  </w:style>
  <w:style w:type="paragraph" w:styleId="PlainText">
    <w:name w:val="Plain Text"/>
    <w:basedOn w:val="Normal"/>
    <w:link w:val="PlainTextChar"/>
    <w:uiPriority w:val="99"/>
    <w:unhideWhenUsed/>
    <w:rsid w:val="008C2028"/>
    <w:pPr>
      <w:spacing w:before="0"/>
      <w:jc w:val="left"/>
    </w:pPr>
    <w:rPr>
      <w:rFonts w:eastAsiaTheme="minorHAnsi"/>
    </w:rPr>
  </w:style>
  <w:style w:type="character" w:customStyle="1" w:styleId="PlainTextChar">
    <w:name w:val="Plain Text Char"/>
    <w:basedOn w:val="DefaultParagraphFont"/>
    <w:link w:val="PlainText"/>
    <w:uiPriority w:val="99"/>
    <w:rsid w:val="008C2028"/>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rsid w:val="00810DEA"/>
  </w:style>
  <w:style w:type="character" w:styleId="Hyperlink">
    <w:name w:val="Hyperlink"/>
    <w:basedOn w:val="DefaultParagraphFont"/>
    <w:rsid w:val="004353C5"/>
    <w:rPr>
      <w:color w:val="0000FF"/>
      <w:u w:val="single"/>
    </w:rPr>
  </w:style>
  <w:style w:type="paragraph" w:styleId="Header">
    <w:name w:val="header"/>
    <w:basedOn w:val="Normal"/>
    <w:link w:val="HeaderChar"/>
    <w:uiPriority w:val="99"/>
    <w:unhideWhenUsed/>
    <w:rsid w:val="007D58AC"/>
    <w:pPr>
      <w:tabs>
        <w:tab w:val="center" w:pos="4153"/>
        <w:tab w:val="right" w:pos="8306"/>
      </w:tabs>
    </w:pPr>
  </w:style>
  <w:style w:type="character" w:customStyle="1" w:styleId="HeaderChar">
    <w:name w:val="Header Char"/>
    <w:basedOn w:val="DefaultParagraphFont"/>
    <w:link w:val="Header"/>
    <w:uiPriority w:val="99"/>
    <w:rsid w:val="007D58AC"/>
    <w:rPr>
      <w:sz w:val="22"/>
      <w:szCs w:val="22"/>
      <w:lang w:eastAsia="en-US"/>
    </w:rPr>
  </w:style>
  <w:style w:type="paragraph" w:styleId="Footer">
    <w:name w:val="footer"/>
    <w:basedOn w:val="Normal"/>
    <w:link w:val="FooterChar"/>
    <w:uiPriority w:val="99"/>
    <w:unhideWhenUsed/>
    <w:rsid w:val="007D58AC"/>
    <w:pPr>
      <w:tabs>
        <w:tab w:val="center" w:pos="4153"/>
        <w:tab w:val="right" w:pos="8306"/>
      </w:tabs>
    </w:pPr>
  </w:style>
  <w:style w:type="character" w:customStyle="1" w:styleId="FooterChar">
    <w:name w:val="Footer Char"/>
    <w:basedOn w:val="DefaultParagraphFont"/>
    <w:link w:val="Footer"/>
    <w:uiPriority w:val="99"/>
    <w:rsid w:val="007D58AC"/>
    <w:rPr>
      <w:sz w:val="22"/>
      <w:szCs w:val="22"/>
      <w:lang w:eastAsia="en-US"/>
    </w:rPr>
  </w:style>
  <w:style w:type="paragraph" w:styleId="BalloonText">
    <w:name w:val="Balloon Text"/>
    <w:basedOn w:val="Normal"/>
    <w:semiHidden/>
    <w:rsid w:val="00E6331C"/>
    <w:rPr>
      <w:rFonts w:ascii="Tahoma" w:hAnsi="Tahoma" w:cs="Tahoma"/>
      <w:sz w:val="16"/>
      <w:szCs w:val="16"/>
    </w:rPr>
  </w:style>
  <w:style w:type="character" w:styleId="CommentReference">
    <w:name w:val="annotation reference"/>
    <w:basedOn w:val="DefaultParagraphFont"/>
    <w:semiHidden/>
    <w:rsid w:val="004A63F3"/>
    <w:rPr>
      <w:sz w:val="16"/>
      <w:szCs w:val="16"/>
    </w:rPr>
  </w:style>
  <w:style w:type="paragraph" w:styleId="CommentText">
    <w:name w:val="annotation text"/>
    <w:basedOn w:val="Normal"/>
    <w:semiHidden/>
    <w:rsid w:val="004A63F3"/>
    <w:rPr>
      <w:sz w:val="20"/>
      <w:szCs w:val="20"/>
    </w:rPr>
  </w:style>
  <w:style w:type="paragraph" w:styleId="CommentSubject">
    <w:name w:val="annotation subject"/>
    <w:basedOn w:val="CommentText"/>
    <w:next w:val="CommentText"/>
    <w:semiHidden/>
    <w:rsid w:val="004A63F3"/>
    <w:rPr>
      <w:b/>
      <w:bCs/>
    </w:rPr>
  </w:style>
  <w:style w:type="character" w:styleId="Strong">
    <w:name w:val="Strong"/>
    <w:basedOn w:val="DefaultParagraphFont"/>
    <w:uiPriority w:val="22"/>
    <w:qFormat/>
    <w:rsid w:val="008A125C"/>
    <w:rPr>
      <w:b/>
      <w:bCs/>
    </w:rPr>
  </w:style>
  <w:style w:type="numbering" w:customStyle="1" w:styleId="ISBullets">
    <w:name w:val="IS Bullets"/>
    <w:rsid w:val="00453539"/>
    <w:pPr>
      <w:numPr>
        <w:numId w:val="6"/>
      </w:numPr>
    </w:pPr>
  </w:style>
  <w:style w:type="paragraph" w:styleId="ListParagraph">
    <w:name w:val="List Paragraph"/>
    <w:basedOn w:val="Normal"/>
    <w:uiPriority w:val="34"/>
    <w:qFormat/>
    <w:rsid w:val="00F54B2C"/>
    <w:pPr>
      <w:ind w:left="720"/>
      <w:contextualSpacing/>
    </w:pPr>
  </w:style>
  <w:style w:type="paragraph" w:styleId="NormalWeb">
    <w:name w:val="Normal (Web)"/>
    <w:basedOn w:val="Normal"/>
    <w:uiPriority w:val="99"/>
    <w:unhideWhenUsed/>
    <w:rsid w:val="004E5AA4"/>
    <w:pPr>
      <w:spacing w:before="100" w:beforeAutospacing="1" w:after="100" w:afterAutospacing="1"/>
      <w:jc w:val="left"/>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28094C"/>
    <w:pPr>
      <w:spacing w:before="0"/>
    </w:pPr>
    <w:rPr>
      <w:sz w:val="20"/>
      <w:szCs w:val="20"/>
    </w:rPr>
  </w:style>
  <w:style w:type="character" w:customStyle="1" w:styleId="FootnoteTextChar">
    <w:name w:val="Footnote Text Char"/>
    <w:basedOn w:val="DefaultParagraphFont"/>
    <w:link w:val="FootnoteText"/>
    <w:uiPriority w:val="99"/>
    <w:semiHidden/>
    <w:rsid w:val="0028094C"/>
    <w:rPr>
      <w:lang w:eastAsia="en-US"/>
    </w:rPr>
  </w:style>
  <w:style w:type="character" w:styleId="FootnoteReference">
    <w:name w:val="footnote reference"/>
    <w:basedOn w:val="DefaultParagraphFont"/>
    <w:uiPriority w:val="99"/>
    <w:semiHidden/>
    <w:unhideWhenUsed/>
    <w:rsid w:val="0028094C"/>
    <w:rPr>
      <w:vertAlign w:val="superscript"/>
    </w:rPr>
  </w:style>
  <w:style w:type="character" w:styleId="FollowedHyperlink">
    <w:name w:val="FollowedHyperlink"/>
    <w:basedOn w:val="DefaultParagraphFont"/>
    <w:uiPriority w:val="99"/>
    <w:semiHidden/>
    <w:unhideWhenUsed/>
    <w:rsid w:val="0028094C"/>
    <w:rPr>
      <w:color w:val="800080" w:themeColor="followedHyperlink"/>
      <w:u w:val="single"/>
    </w:rPr>
  </w:style>
  <w:style w:type="paragraph" w:customStyle="1" w:styleId="tvhtml">
    <w:name w:val="tv_html"/>
    <w:basedOn w:val="Normal"/>
    <w:rsid w:val="006127E4"/>
    <w:pPr>
      <w:spacing w:before="100" w:beforeAutospacing="1" w:after="100" w:afterAutospacing="1"/>
      <w:jc w:val="left"/>
    </w:pPr>
    <w:rPr>
      <w:rFonts w:ascii="Times New Roman" w:eastAsia="Times New Roman" w:hAnsi="Times New Roman"/>
      <w:sz w:val="24"/>
      <w:szCs w:val="24"/>
      <w:lang w:eastAsia="lv-LV"/>
    </w:rPr>
  </w:style>
  <w:style w:type="table" w:styleId="TableGrid">
    <w:name w:val="Table Grid"/>
    <w:basedOn w:val="TableNormal"/>
    <w:uiPriority w:val="59"/>
    <w:rsid w:val="00A7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85FC3"/>
  </w:style>
  <w:style w:type="character" w:styleId="Emphasis">
    <w:name w:val="Emphasis"/>
    <w:basedOn w:val="DefaultParagraphFont"/>
    <w:uiPriority w:val="20"/>
    <w:qFormat/>
    <w:rsid w:val="00F85FC3"/>
    <w:rPr>
      <w:b/>
      <w:bCs/>
      <w:i w:val="0"/>
      <w:iCs w:val="0"/>
    </w:rPr>
  </w:style>
  <w:style w:type="paragraph" w:styleId="PlainText">
    <w:name w:val="Plain Text"/>
    <w:basedOn w:val="Normal"/>
    <w:link w:val="PlainTextChar"/>
    <w:uiPriority w:val="99"/>
    <w:unhideWhenUsed/>
    <w:rsid w:val="008C2028"/>
    <w:pPr>
      <w:spacing w:before="0"/>
      <w:jc w:val="left"/>
    </w:pPr>
    <w:rPr>
      <w:rFonts w:eastAsiaTheme="minorHAnsi"/>
    </w:rPr>
  </w:style>
  <w:style w:type="character" w:customStyle="1" w:styleId="PlainTextChar">
    <w:name w:val="Plain Text Char"/>
    <w:basedOn w:val="DefaultParagraphFont"/>
    <w:link w:val="PlainText"/>
    <w:uiPriority w:val="99"/>
    <w:rsid w:val="008C202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708">
      <w:bodyDiv w:val="1"/>
      <w:marLeft w:val="0"/>
      <w:marRight w:val="0"/>
      <w:marTop w:val="0"/>
      <w:marBottom w:val="0"/>
      <w:divBdr>
        <w:top w:val="none" w:sz="0" w:space="0" w:color="auto"/>
        <w:left w:val="none" w:sz="0" w:space="0" w:color="auto"/>
        <w:bottom w:val="none" w:sz="0" w:space="0" w:color="auto"/>
        <w:right w:val="none" w:sz="0" w:space="0" w:color="auto"/>
      </w:divBdr>
    </w:div>
    <w:div w:id="55975880">
      <w:bodyDiv w:val="1"/>
      <w:marLeft w:val="0"/>
      <w:marRight w:val="0"/>
      <w:marTop w:val="0"/>
      <w:marBottom w:val="0"/>
      <w:divBdr>
        <w:top w:val="none" w:sz="0" w:space="0" w:color="auto"/>
        <w:left w:val="none" w:sz="0" w:space="0" w:color="auto"/>
        <w:bottom w:val="none" w:sz="0" w:space="0" w:color="auto"/>
        <w:right w:val="none" w:sz="0" w:space="0" w:color="auto"/>
      </w:divBdr>
    </w:div>
    <w:div w:id="70083248">
      <w:bodyDiv w:val="1"/>
      <w:marLeft w:val="0"/>
      <w:marRight w:val="0"/>
      <w:marTop w:val="0"/>
      <w:marBottom w:val="0"/>
      <w:divBdr>
        <w:top w:val="none" w:sz="0" w:space="0" w:color="auto"/>
        <w:left w:val="none" w:sz="0" w:space="0" w:color="auto"/>
        <w:bottom w:val="none" w:sz="0" w:space="0" w:color="auto"/>
        <w:right w:val="none" w:sz="0" w:space="0" w:color="auto"/>
      </w:divBdr>
    </w:div>
    <w:div w:id="110173518">
      <w:bodyDiv w:val="1"/>
      <w:marLeft w:val="0"/>
      <w:marRight w:val="0"/>
      <w:marTop w:val="0"/>
      <w:marBottom w:val="0"/>
      <w:divBdr>
        <w:top w:val="none" w:sz="0" w:space="0" w:color="auto"/>
        <w:left w:val="none" w:sz="0" w:space="0" w:color="auto"/>
        <w:bottom w:val="none" w:sz="0" w:space="0" w:color="auto"/>
        <w:right w:val="none" w:sz="0" w:space="0" w:color="auto"/>
      </w:divBdr>
    </w:div>
    <w:div w:id="156578566">
      <w:bodyDiv w:val="1"/>
      <w:marLeft w:val="0"/>
      <w:marRight w:val="0"/>
      <w:marTop w:val="0"/>
      <w:marBottom w:val="0"/>
      <w:divBdr>
        <w:top w:val="none" w:sz="0" w:space="0" w:color="auto"/>
        <w:left w:val="none" w:sz="0" w:space="0" w:color="auto"/>
        <w:bottom w:val="none" w:sz="0" w:space="0" w:color="auto"/>
        <w:right w:val="none" w:sz="0" w:space="0" w:color="auto"/>
      </w:divBdr>
    </w:div>
    <w:div w:id="377708142">
      <w:bodyDiv w:val="1"/>
      <w:marLeft w:val="0"/>
      <w:marRight w:val="0"/>
      <w:marTop w:val="0"/>
      <w:marBottom w:val="0"/>
      <w:divBdr>
        <w:top w:val="none" w:sz="0" w:space="0" w:color="auto"/>
        <w:left w:val="none" w:sz="0" w:space="0" w:color="auto"/>
        <w:bottom w:val="none" w:sz="0" w:space="0" w:color="auto"/>
        <w:right w:val="none" w:sz="0" w:space="0" w:color="auto"/>
      </w:divBdr>
      <w:divsChild>
        <w:div w:id="1512724739">
          <w:marLeft w:val="0"/>
          <w:marRight w:val="0"/>
          <w:marTop w:val="0"/>
          <w:marBottom w:val="0"/>
          <w:divBdr>
            <w:top w:val="none" w:sz="0" w:space="0" w:color="auto"/>
            <w:left w:val="none" w:sz="0" w:space="0" w:color="auto"/>
            <w:bottom w:val="none" w:sz="0" w:space="0" w:color="auto"/>
            <w:right w:val="none" w:sz="0" w:space="0" w:color="auto"/>
          </w:divBdr>
        </w:div>
        <w:div w:id="1710031866">
          <w:marLeft w:val="0"/>
          <w:marRight w:val="0"/>
          <w:marTop w:val="0"/>
          <w:marBottom w:val="0"/>
          <w:divBdr>
            <w:top w:val="none" w:sz="0" w:space="0" w:color="auto"/>
            <w:left w:val="none" w:sz="0" w:space="0" w:color="auto"/>
            <w:bottom w:val="none" w:sz="0" w:space="0" w:color="auto"/>
            <w:right w:val="none" w:sz="0" w:space="0" w:color="auto"/>
          </w:divBdr>
        </w:div>
      </w:divsChild>
    </w:div>
    <w:div w:id="672488924">
      <w:bodyDiv w:val="1"/>
      <w:marLeft w:val="0"/>
      <w:marRight w:val="0"/>
      <w:marTop w:val="0"/>
      <w:marBottom w:val="0"/>
      <w:divBdr>
        <w:top w:val="none" w:sz="0" w:space="0" w:color="auto"/>
        <w:left w:val="none" w:sz="0" w:space="0" w:color="auto"/>
        <w:bottom w:val="none" w:sz="0" w:space="0" w:color="auto"/>
        <w:right w:val="none" w:sz="0" w:space="0" w:color="auto"/>
      </w:divBdr>
    </w:div>
    <w:div w:id="694886667">
      <w:bodyDiv w:val="1"/>
      <w:marLeft w:val="0"/>
      <w:marRight w:val="0"/>
      <w:marTop w:val="0"/>
      <w:marBottom w:val="0"/>
      <w:divBdr>
        <w:top w:val="none" w:sz="0" w:space="0" w:color="auto"/>
        <w:left w:val="none" w:sz="0" w:space="0" w:color="auto"/>
        <w:bottom w:val="none" w:sz="0" w:space="0" w:color="auto"/>
        <w:right w:val="none" w:sz="0" w:space="0" w:color="auto"/>
      </w:divBdr>
    </w:div>
    <w:div w:id="798182968">
      <w:bodyDiv w:val="1"/>
      <w:marLeft w:val="0"/>
      <w:marRight w:val="0"/>
      <w:marTop w:val="0"/>
      <w:marBottom w:val="0"/>
      <w:divBdr>
        <w:top w:val="none" w:sz="0" w:space="0" w:color="auto"/>
        <w:left w:val="none" w:sz="0" w:space="0" w:color="auto"/>
        <w:bottom w:val="none" w:sz="0" w:space="0" w:color="auto"/>
        <w:right w:val="none" w:sz="0" w:space="0" w:color="auto"/>
      </w:divBdr>
    </w:div>
    <w:div w:id="897739515">
      <w:bodyDiv w:val="1"/>
      <w:marLeft w:val="0"/>
      <w:marRight w:val="0"/>
      <w:marTop w:val="0"/>
      <w:marBottom w:val="0"/>
      <w:divBdr>
        <w:top w:val="none" w:sz="0" w:space="0" w:color="auto"/>
        <w:left w:val="none" w:sz="0" w:space="0" w:color="auto"/>
        <w:bottom w:val="none" w:sz="0" w:space="0" w:color="auto"/>
        <w:right w:val="none" w:sz="0" w:space="0" w:color="auto"/>
      </w:divBdr>
    </w:div>
    <w:div w:id="905651362">
      <w:bodyDiv w:val="1"/>
      <w:marLeft w:val="0"/>
      <w:marRight w:val="0"/>
      <w:marTop w:val="0"/>
      <w:marBottom w:val="0"/>
      <w:divBdr>
        <w:top w:val="none" w:sz="0" w:space="0" w:color="auto"/>
        <w:left w:val="none" w:sz="0" w:space="0" w:color="auto"/>
        <w:bottom w:val="none" w:sz="0" w:space="0" w:color="auto"/>
        <w:right w:val="none" w:sz="0" w:space="0" w:color="auto"/>
      </w:divBdr>
    </w:div>
    <w:div w:id="1244410120">
      <w:bodyDiv w:val="1"/>
      <w:marLeft w:val="0"/>
      <w:marRight w:val="0"/>
      <w:marTop w:val="0"/>
      <w:marBottom w:val="0"/>
      <w:divBdr>
        <w:top w:val="none" w:sz="0" w:space="0" w:color="auto"/>
        <w:left w:val="none" w:sz="0" w:space="0" w:color="auto"/>
        <w:bottom w:val="none" w:sz="0" w:space="0" w:color="auto"/>
        <w:right w:val="none" w:sz="0" w:space="0" w:color="auto"/>
      </w:divBdr>
      <w:divsChild>
        <w:div w:id="401485065">
          <w:marLeft w:val="533"/>
          <w:marRight w:val="0"/>
          <w:marTop w:val="101"/>
          <w:marBottom w:val="0"/>
          <w:divBdr>
            <w:top w:val="none" w:sz="0" w:space="0" w:color="auto"/>
            <w:left w:val="none" w:sz="0" w:space="0" w:color="auto"/>
            <w:bottom w:val="none" w:sz="0" w:space="0" w:color="auto"/>
            <w:right w:val="none" w:sz="0" w:space="0" w:color="auto"/>
          </w:divBdr>
        </w:div>
        <w:div w:id="935286946">
          <w:marLeft w:val="533"/>
          <w:marRight w:val="0"/>
          <w:marTop w:val="101"/>
          <w:marBottom w:val="0"/>
          <w:divBdr>
            <w:top w:val="none" w:sz="0" w:space="0" w:color="auto"/>
            <w:left w:val="none" w:sz="0" w:space="0" w:color="auto"/>
            <w:bottom w:val="none" w:sz="0" w:space="0" w:color="auto"/>
            <w:right w:val="none" w:sz="0" w:space="0" w:color="auto"/>
          </w:divBdr>
        </w:div>
        <w:div w:id="1316186040">
          <w:marLeft w:val="533"/>
          <w:marRight w:val="0"/>
          <w:marTop w:val="101"/>
          <w:marBottom w:val="0"/>
          <w:divBdr>
            <w:top w:val="none" w:sz="0" w:space="0" w:color="auto"/>
            <w:left w:val="none" w:sz="0" w:space="0" w:color="auto"/>
            <w:bottom w:val="none" w:sz="0" w:space="0" w:color="auto"/>
            <w:right w:val="none" w:sz="0" w:space="0" w:color="auto"/>
          </w:divBdr>
        </w:div>
        <w:div w:id="631054077">
          <w:marLeft w:val="533"/>
          <w:marRight w:val="0"/>
          <w:marTop w:val="101"/>
          <w:marBottom w:val="0"/>
          <w:divBdr>
            <w:top w:val="none" w:sz="0" w:space="0" w:color="auto"/>
            <w:left w:val="none" w:sz="0" w:space="0" w:color="auto"/>
            <w:bottom w:val="none" w:sz="0" w:space="0" w:color="auto"/>
            <w:right w:val="none" w:sz="0" w:space="0" w:color="auto"/>
          </w:divBdr>
        </w:div>
        <w:div w:id="1624995384">
          <w:marLeft w:val="533"/>
          <w:marRight w:val="0"/>
          <w:marTop w:val="101"/>
          <w:marBottom w:val="0"/>
          <w:divBdr>
            <w:top w:val="none" w:sz="0" w:space="0" w:color="auto"/>
            <w:left w:val="none" w:sz="0" w:space="0" w:color="auto"/>
            <w:bottom w:val="none" w:sz="0" w:space="0" w:color="auto"/>
            <w:right w:val="none" w:sz="0" w:space="0" w:color="auto"/>
          </w:divBdr>
        </w:div>
        <w:div w:id="1657413276">
          <w:marLeft w:val="533"/>
          <w:marRight w:val="0"/>
          <w:marTop w:val="101"/>
          <w:marBottom w:val="0"/>
          <w:divBdr>
            <w:top w:val="none" w:sz="0" w:space="0" w:color="auto"/>
            <w:left w:val="none" w:sz="0" w:space="0" w:color="auto"/>
            <w:bottom w:val="none" w:sz="0" w:space="0" w:color="auto"/>
            <w:right w:val="none" w:sz="0" w:space="0" w:color="auto"/>
          </w:divBdr>
        </w:div>
      </w:divsChild>
    </w:div>
    <w:div w:id="1307124660">
      <w:bodyDiv w:val="1"/>
      <w:marLeft w:val="0"/>
      <w:marRight w:val="0"/>
      <w:marTop w:val="0"/>
      <w:marBottom w:val="0"/>
      <w:divBdr>
        <w:top w:val="none" w:sz="0" w:space="0" w:color="auto"/>
        <w:left w:val="none" w:sz="0" w:space="0" w:color="auto"/>
        <w:bottom w:val="none" w:sz="0" w:space="0" w:color="auto"/>
        <w:right w:val="none" w:sz="0" w:space="0" w:color="auto"/>
      </w:divBdr>
    </w:div>
    <w:div w:id="1422490868">
      <w:bodyDiv w:val="1"/>
      <w:marLeft w:val="0"/>
      <w:marRight w:val="0"/>
      <w:marTop w:val="0"/>
      <w:marBottom w:val="0"/>
      <w:divBdr>
        <w:top w:val="none" w:sz="0" w:space="0" w:color="auto"/>
        <w:left w:val="none" w:sz="0" w:space="0" w:color="auto"/>
        <w:bottom w:val="none" w:sz="0" w:space="0" w:color="auto"/>
        <w:right w:val="none" w:sz="0" w:space="0" w:color="auto"/>
      </w:divBdr>
    </w:div>
    <w:div w:id="1716810203">
      <w:bodyDiv w:val="1"/>
      <w:marLeft w:val="0"/>
      <w:marRight w:val="0"/>
      <w:marTop w:val="0"/>
      <w:marBottom w:val="0"/>
      <w:divBdr>
        <w:top w:val="none" w:sz="0" w:space="0" w:color="auto"/>
        <w:left w:val="none" w:sz="0" w:space="0" w:color="auto"/>
        <w:bottom w:val="none" w:sz="0" w:space="0" w:color="auto"/>
        <w:right w:val="none" w:sz="0" w:space="0" w:color="auto"/>
      </w:divBdr>
    </w:div>
    <w:div w:id="1742559718">
      <w:bodyDiv w:val="1"/>
      <w:marLeft w:val="0"/>
      <w:marRight w:val="0"/>
      <w:marTop w:val="0"/>
      <w:marBottom w:val="0"/>
      <w:divBdr>
        <w:top w:val="none" w:sz="0" w:space="0" w:color="auto"/>
        <w:left w:val="none" w:sz="0" w:space="0" w:color="auto"/>
        <w:bottom w:val="none" w:sz="0" w:space="0" w:color="auto"/>
        <w:right w:val="none" w:sz="0" w:space="0" w:color="auto"/>
      </w:divBdr>
    </w:div>
    <w:div w:id="1743916793">
      <w:bodyDiv w:val="1"/>
      <w:marLeft w:val="0"/>
      <w:marRight w:val="0"/>
      <w:marTop w:val="0"/>
      <w:marBottom w:val="0"/>
      <w:divBdr>
        <w:top w:val="none" w:sz="0" w:space="0" w:color="auto"/>
        <w:left w:val="none" w:sz="0" w:space="0" w:color="auto"/>
        <w:bottom w:val="none" w:sz="0" w:space="0" w:color="auto"/>
        <w:right w:val="none" w:sz="0" w:space="0" w:color="auto"/>
      </w:divBdr>
    </w:div>
    <w:div w:id="1784111809">
      <w:bodyDiv w:val="1"/>
      <w:marLeft w:val="0"/>
      <w:marRight w:val="0"/>
      <w:marTop w:val="0"/>
      <w:marBottom w:val="0"/>
      <w:divBdr>
        <w:top w:val="none" w:sz="0" w:space="0" w:color="auto"/>
        <w:left w:val="none" w:sz="0" w:space="0" w:color="auto"/>
        <w:bottom w:val="none" w:sz="0" w:space="0" w:color="auto"/>
        <w:right w:val="none" w:sz="0" w:space="0" w:color="auto"/>
      </w:divBdr>
    </w:div>
    <w:div w:id="1908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Viks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B792-8FEE-4644-988F-9AF8D505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13855</Words>
  <Characters>7898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Links>
    <vt:vector size="6" baseType="variant">
      <vt:variant>
        <vt:i4>1245245</vt:i4>
      </vt:variant>
      <vt:variant>
        <vt:i4>0</vt:i4>
      </vt:variant>
      <vt:variant>
        <vt:i4>0</vt:i4>
      </vt:variant>
      <vt:variant>
        <vt:i4>5</vt:i4>
      </vt:variant>
      <vt:variant>
        <vt:lpwstr>mailto:laura.anteina@varam.gov.lv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LauraAnteina</dc:creator>
  <cp:lastModifiedBy>Laura Vikšere</cp:lastModifiedBy>
  <cp:revision>11</cp:revision>
  <cp:lastPrinted>2011-12-19T09:06:00Z</cp:lastPrinted>
  <dcterms:created xsi:type="dcterms:W3CDTF">2014-05-16T09:15:00Z</dcterms:created>
  <dcterms:modified xsi:type="dcterms:W3CDTF">2014-06-02T13:43:00Z</dcterms:modified>
</cp:coreProperties>
</file>