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29B" w:rsidRDefault="009B47D3" w:rsidP="0062329B">
      <w:pPr>
        <w:pStyle w:val="Title"/>
      </w:pPr>
      <w:r>
        <w:t>Min</w:t>
      </w:r>
      <w:r w:rsidR="0062329B" w:rsidRPr="003C4EBC">
        <w:t xml:space="preserve">istru kabineta noteikumu projekta </w:t>
      </w:r>
    </w:p>
    <w:p w:rsidR="0062329B" w:rsidRDefault="0062329B" w:rsidP="0062329B">
      <w:pPr>
        <w:pStyle w:val="Title"/>
      </w:pPr>
      <w:r>
        <w:t>„</w:t>
      </w:r>
      <w:r w:rsidRPr="003C4EBC">
        <w:t xml:space="preserve">Grozījumi Ministru kabineta 2011.gada 19.aprīļa noteikumos </w:t>
      </w:r>
      <w:r w:rsidRPr="003C4EBC">
        <w:rPr>
          <w:rFonts w:eastAsia="Calibri"/>
        </w:rPr>
        <w:t>Nr.302 „Noteikumi par atkritumu klasifikatoru un īpašībām, kuras padara atkritumus bīstamus”</w:t>
      </w:r>
      <w:r w:rsidRPr="003C4EBC">
        <w:t>”</w:t>
      </w:r>
      <w:r>
        <w:t xml:space="preserve"> </w:t>
      </w:r>
    </w:p>
    <w:p w:rsidR="0062329B" w:rsidRPr="003C4EBC" w:rsidRDefault="0062329B" w:rsidP="0062329B">
      <w:pPr>
        <w:pStyle w:val="Title"/>
      </w:pPr>
      <w:r w:rsidRPr="003C4EBC">
        <w:t xml:space="preserve">sākotnējās ietekmes novērtējuma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3C4EBC">
          <w:t>ziņojums</w:t>
        </w:r>
      </w:smartTag>
      <w:r w:rsidRPr="003C4EBC">
        <w:t xml:space="preserve"> (anotācija)</w:t>
      </w:r>
    </w:p>
    <w:p w:rsidR="0062329B" w:rsidRPr="00FB41DC" w:rsidRDefault="0062329B" w:rsidP="0062329B">
      <w:pPr>
        <w:rPr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700"/>
        <w:gridCol w:w="5939"/>
      </w:tblGrid>
      <w:tr w:rsidR="0062329B" w:rsidRPr="00FB41DC" w:rsidTr="00A10212">
        <w:tc>
          <w:tcPr>
            <w:tcW w:w="9359" w:type="dxa"/>
            <w:gridSpan w:val="3"/>
          </w:tcPr>
          <w:p w:rsidR="0062329B" w:rsidRPr="00FB41DC" w:rsidRDefault="0062329B" w:rsidP="00A10212">
            <w:pPr>
              <w:jc w:val="center"/>
              <w:rPr>
                <w:b/>
              </w:rPr>
            </w:pPr>
            <w:r w:rsidRPr="00FB41DC">
              <w:rPr>
                <w:b/>
              </w:rPr>
              <w:t>I. Tiesību akta projekta izstrādes nepieciešamība</w:t>
            </w:r>
          </w:p>
        </w:tc>
      </w:tr>
      <w:tr w:rsidR="0062329B" w:rsidRPr="0062273E" w:rsidTr="00A10212">
        <w:tc>
          <w:tcPr>
            <w:tcW w:w="720" w:type="dxa"/>
          </w:tcPr>
          <w:p w:rsidR="0062329B" w:rsidRPr="0062273E" w:rsidRDefault="0062329B" w:rsidP="00A10212">
            <w:pPr>
              <w:jc w:val="center"/>
            </w:pPr>
            <w:r w:rsidRPr="0062273E">
              <w:t>1.</w:t>
            </w:r>
          </w:p>
        </w:tc>
        <w:tc>
          <w:tcPr>
            <w:tcW w:w="2700" w:type="dxa"/>
          </w:tcPr>
          <w:p w:rsidR="0062329B" w:rsidRPr="0062273E" w:rsidRDefault="0062329B" w:rsidP="00A10212"/>
        </w:tc>
        <w:tc>
          <w:tcPr>
            <w:tcW w:w="5939" w:type="dxa"/>
          </w:tcPr>
          <w:p w:rsidR="0062329B" w:rsidRPr="00CA147C" w:rsidRDefault="0062329B" w:rsidP="00CA147C">
            <w:pPr>
              <w:pStyle w:val="Title"/>
              <w:jc w:val="both"/>
              <w:rPr>
                <w:b w:val="0"/>
              </w:rPr>
            </w:pPr>
            <w:r w:rsidRPr="00CA147C">
              <w:rPr>
                <w:b w:val="0"/>
              </w:rPr>
              <w:t>Ministru kabineta noteikumu projekts</w:t>
            </w:r>
            <w:r w:rsidR="00CA147C" w:rsidRPr="00CA147C">
              <w:rPr>
                <w:b w:val="0"/>
                <w:bCs w:val="0"/>
              </w:rPr>
              <w:t xml:space="preserve"> </w:t>
            </w:r>
            <w:r w:rsidR="00CA147C" w:rsidRPr="00CA147C">
              <w:rPr>
                <w:b w:val="0"/>
              </w:rPr>
              <w:t xml:space="preserve">„Grozījumi Ministru kabineta 2011.gada 19.aprīļa noteikumos </w:t>
            </w:r>
            <w:r w:rsidR="00CA147C" w:rsidRPr="00CA147C">
              <w:rPr>
                <w:rFonts w:eastAsia="Calibri"/>
                <w:b w:val="0"/>
              </w:rPr>
              <w:t>Nr.302 „Noteikumi par atkritumu klasifikatoru un īpašībām, kuras padara atkritumus bīstamus”</w:t>
            </w:r>
            <w:r w:rsidR="00CA147C" w:rsidRPr="00CA147C">
              <w:rPr>
                <w:b w:val="0"/>
              </w:rPr>
              <w:t xml:space="preserve">” </w:t>
            </w:r>
            <w:r w:rsidR="00CA147C">
              <w:rPr>
                <w:b w:val="0"/>
              </w:rPr>
              <w:t>(turpmāk – noteikumu projekts)</w:t>
            </w:r>
            <w:r>
              <w:t xml:space="preserve"> </w:t>
            </w:r>
            <w:r w:rsidRPr="00CA147C">
              <w:rPr>
                <w:b w:val="0"/>
              </w:rPr>
              <w:t xml:space="preserve">ir sagatavots atbilstoši Ministru kabineta 2014.gada 7.janvāra sēdes </w:t>
            </w:r>
            <w:proofErr w:type="spellStart"/>
            <w:r w:rsidRPr="00CA147C">
              <w:rPr>
                <w:b w:val="0"/>
              </w:rPr>
              <w:t>protokollēmuma</w:t>
            </w:r>
            <w:proofErr w:type="spellEnd"/>
            <w:r w:rsidRPr="00CA147C">
              <w:rPr>
                <w:b w:val="0"/>
              </w:rPr>
              <w:t xml:space="preserve"> (protokols Nr.1.,47.§) 4.1.1.apakšpunktam, lai Latvijas normatīvajos aktos pilnībā transponētu Eiropas Parlamenta un Padomes 2008.gada 19.novembra direktīvu 2008/98/EK par atkritumiem un dažu direktīvu atcelšanu (turpmāk – Direktīva 2008/98/EK)</w:t>
            </w:r>
            <w:r w:rsidR="006D3E8D" w:rsidRPr="00CA147C">
              <w:rPr>
                <w:b w:val="0"/>
                <w:bCs w:val="0"/>
              </w:rPr>
              <w:t xml:space="preserve"> un atbilstoši Atkritumu apsaimniekošanas likuma 6.panta 1.1 punktā un Pārejas noteikumu 22.1.punktā noteiktā deleģējuma Ministru kabinetam izpildei.</w:t>
            </w:r>
          </w:p>
        </w:tc>
      </w:tr>
      <w:tr w:rsidR="0062329B" w:rsidRPr="00FB41DC" w:rsidTr="00A10212">
        <w:tc>
          <w:tcPr>
            <w:tcW w:w="720" w:type="dxa"/>
          </w:tcPr>
          <w:p w:rsidR="0062329B" w:rsidRPr="00FB41DC" w:rsidRDefault="0062329B" w:rsidP="00A10212">
            <w:pPr>
              <w:jc w:val="center"/>
            </w:pPr>
            <w:r w:rsidRPr="00FB41DC">
              <w:t>2.</w:t>
            </w:r>
          </w:p>
        </w:tc>
        <w:tc>
          <w:tcPr>
            <w:tcW w:w="2700" w:type="dxa"/>
          </w:tcPr>
          <w:p w:rsidR="0062329B" w:rsidRPr="00FB41DC" w:rsidRDefault="0062329B" w:rsidP="00A10212">
            <w:r w:rsidRPr="00FB41DC">
              <w:t>Pašreizējā situācija un problēmas</w:t>
            </w:r>
            <w:r>
              <w:t xml:space="preserve">, </w:t>
            </w:r>
            <w:r w:rsidRPr="00D126DD">
              <w:t>kuru risināšanai tiesību akta projekts izstrādāts, tiesiskā regulējuma mērķis un būtība</w:t>
            </w:r>
          </w:p>
        </w:tc>
        <w:tc>
          <w:tcPr>
            <w:tcW w:w="5939" w:type="dxa"/>
          </w:tcPr>
          <w:p w:rsidR="0062329B" w:rsidRDefault="006D3E8D" w:rsidP="00A10212">
            <w:pPr>
              <w:pStyle w:val="naisc"/>
              <w:spacing w:before="0" w:after="0"/>
              <w:jc w:val="both"/>
            </w:pPr>
            <w:r w:rsidRPr="003C4EBC">
              <w:t>Ministru kabinet</w:t>
            </w:r>
            <w:r>
              <w:t>a 2011.gada 19.aprīļa noteikumu</w:t>
            </w:r>
            <w:proofErr w:type="gramStart"/>
            <w:r>
              <w:t xml:space="preserve"> </w:t>
            </w:r>
            <w:r w:rsidRPr="003C4EBC">
              <w:t xml:space="preserve"> </w:t>
            </w:r>
            <w:proofErr w:type="gramEnd"/>
            <w:r w:rsidRPr="003C4EBC">
              <w:rPr>
                <w:rFonts w:eastAsia="Calibri"/>
              </w:rPr>
              <w:t>Nr.302 „Noteikumi par atkritumu klasifikatoru un īpašībām, kuras padara atkritumus bīstamus”</w:t>
            </w:r>
            <w:r w:rsidR="00263E9C">
              <w:t xml:space="preserve"> (turpmāk – MK noteikumi Nr.302) </w:t>
            </w:r>
            <w:r w:rsidR="00C14F24">
              <w:t>5.punktā</w:t>
            </w:r>
            <w:r w:rsidR="00CA147C">
              <w:t xml:space="preserve"> ir noteikti kritēriji, lai ražošanas procesā radušos vielu vai priekšmetu uzskatītu par blakusproduktu. </w:t>
            </w:r>
            <w:r w:rsidR="00C14F24">
              <w:t xml:space="preserve">Savukārt MK noteikumu 6.punktā </w:t>
            </w:r>
            <w:r w:rsidR="00CA147C">
              <w:t>ir noteikti kritēriji, lai atkritumus, kuriem ir pabeigta pārstrāde vai reģenerācija, vairs neuzskatītu par atkritumiem. MK noteikumos Nr.302 nav noteikta kārtība, kādā minētie kritēriji tiek piemēroti.</w:t>
            </w:r>
          </w:p>
          <w:p w:rsidR="0062329B" w:rsidRPr="00C14F24" w:rsidRDefault="00CA147C" w:rsidP="00440D34">
            <w:pPr>
              <w:ind w:firstLine="720"/>
              <w:jc w:val="both"/>
              <w:rPr>
                <w:b/>
              </w:rPr>
            </w:pPr>
            <w:r>
              <w:t xml:space="preserve">Noteikumu projekts paredz, ka </w:t>
            </w:r>
            <w:r w:rsidR="00C14F24" w:rsidRPr="00C14F24">
              <w:t xml:space="preserve">iekārtu operators, kur ražošanas procesā rodas </w:t>
            </w:r>
            <w:r w:rsidR="00C14F24">
              <w:t xml:space="preserve">MK </w:t>
            </w:r>
            <w:r w:rsidR="00C14F24" w:rsidRPr="00C14F24">
              <w:t>noteikumu</w:t>
            </w:r>
            <w:r w:rsidR="00C14F24">
              <w:t xml:space="preserve"> Nr.302</w:t>
            </w:r>
            <w:proofErr w:type="gramStart"/>
            <w:r w:rsidR="00C14F24">
              <w:t xml:space="preserve"> </w:t>
            </w:r>
            <w:r w:rsidR="00C14F24" w:rsidRPr="00C14F24">
              <w:t xml:space="preserve"> </w:t>
            </w:r>
            <w:proofErr w:type="gramEnd"/>
            <w:r w:rsidR="00C14F24" w:rsidRPr="00C14F24">
              <w:t xml:space="preserve">5.punktā minētās vielas vai priekšmeti, piemēro šo noteikumu 5.punktā minētos kritērijus </w:t>
            </w:r>
            <w:r w:rsidR="00C14F24" w:rsidRPr="00C14F24">
              <w:rPr>
                <w:color w:val="000000"/>
              </w:rPr>
              <w:t>konkrētām vielām un priekšmetiem, lai tos varētu uzskatīt par blakusproduktiem un nevis atkritumiem</w:t>
            </w:r>
            <w:r w:rsidR="00C14F24">
              <w:t xml:space="preserve">. Savukārt MK noteikumu Nr.302 6.punktā minētos kritērijus piemēro </w:t>
            </w:r>
            <w:r w:rsidR="00C14F24" w:rsidRPr="00C14F24">
              <w:t xml:space="preserve">iekārtu operators, kur ir pabeigta šo noteikumu 6.punktā minēto vielu un priekšmetu reģenerācija (arī pārstrāde), ja attiecīgā viela vai priekšmets atbilst Padomes 2011. gada 31.marta regulai Nr. 333/2011,ar ko paredz kritērijus, kuri nosaka, kad dažu veidu metāllūžņi vairs nav atkritumi saskaņā ar Eiropas Parlamenta </w:t>
            </w:r>
            <w:r w:rsidR="00C14F24">
              <w:t>un Padomes Direktīvu 2008/98/EK,</w:t>
            </w:r>
            <w:proofErr w:type="gramStart"/>
            <w:r w:rsidR="00C14F24">
              <w:t xml:space="preserve"> </w:t>
            </w:r>
            <w:r w:rsidR="00C14F24" w:rsidRPr="00C14F24">
              <w:t xml:space="preserve"> </w:t>
            </w:r>
            <w:proofErr w:type="gramEnd"/>
            <w:r w:rsidR="00C14F24" w:rsidRPr="00C14F24">
              <w:t xml:space="preserve">Eiropas Komisijas 2012. gada 10.decembra regulai Nr. 1179/2012, ar ko paredz kritērijus, kuri nosaka, kad stikla lauskas vairs nav atkritumi saskaņā ar Eiropas Parlamenta un Padomes Direktīvu 2008/98/EK, Eiropas Komisijas 2013. gada 25.jūlija regulai Nr. 715/2013, ar ko </w:t>
            </w:r>
            <w:r w:rsidR="00C14F24" w:rsidRPr="00C14F24">
              <w:lastRenderedPageBreak/>
              <w:t>paredz kritērijus, kuri nosaka, kad vara lūžņi vairs nav atkritumi saskaņā ar Eiropas Parlamenta un Padomes Direktīvu 2008/98/EK.</w:t>
            </w:r>
          </w:p>
        </w:tc>
      </w:tr>
      <w:tr w:rsidR="0062329B" w:rsidRPr="00FB41DC" w:rsidTr="00A10212">
        <w:tc>
          <w:tcPr>
            <w:tcW w:w="720" w:type="dxa"/>
          </w:tcPr>
          <w:p w:rsidR="0062329B" w:rsidRPr="00FB41DC" w:rsidRDefault="0062329B" w:rsidP="00A10212">
            <w:pPr>
              <w:jc w:val="center"/>
            </w:pPr>
            <w:r>
              <w:lastRenderedPageBreak/>
              <w:t>3</w:t>
            </w:r>
            <w:r w:rsidRPr="00FB41DC">
              <w:t>.</w:t>
            </w:r>
          </w:p>
        </w:tc>
        <w:tc>
          <w:tcPr>
            <w:tcW w:w="2700" w:type="dxa"/>
          </w:tcPr>
          <w:p w:rsidR="0062329B" w:rsidRPr="00FB41DC" w:rsidRDefault="0062329B" w:rsidP="00A10212">
            <w:r w:rsidRPr="00FB41DC">
              <w:t>Projekta izstrādē iesaistītās institūcijas</w:t>
            </w:r>
          </w:p>
        </w:tc>
        <w:tc>
          <w:tcPr>
            <w:tcW w:w="5939" w:type="dxa"/>
          </w:tcPr>
          <w:p w:rsidR="0062329B" w:rsidRPr="00FB41DC" w:rsidRDefault="0062329B" w:rsidP="00A10212">
            <w:pPr>
              <w:pStyle w:val="naiskr"/>
              <w:jc w:val="both"/>
            </w:pPr>
            <w:r>
              <w:t>Vides aizsardzības un reģionālās attīstības ministrija</w:t>
            </w:r>
          </w:p>
        </w:tc>
      </w:tr>
      <w:tr w:rsidR="0062329B" w:rsidRPr="00FB41DC" w:rsidTr="00A10212">
        <w:trPr>
          <w:trHeight w:val="571"/>
        </w:trPr>
        <w:tc>
          <w:tcPr>
            <w:tcW w:w="720" w:type="dxa"/>
          </w:tcPr>
          <w:p w:rsidR="0062329B" w:rsidRPr="00FB41DC" w:rsidRDefault="0062329B" w:rsidP="00A10212">
            <w:pPr>
              <w:jc w:val="center"/>
            </w:pPr>
            <w:r>
              <w:t>4</w:t>
            </w:r>
            <w:r w:rsidRPr="00FB41DC">
              <w:t>.</w:t>
            </w:r>
          </w:p>
        </w:tc>
        <w:tc>
          <w:tcPr>
            <w:tcW w:w="2700" w:type="dxa"/>
          </w:tcPr>
          <w:p w:rsidR="0062329B" w:rsidRPr="00FB41DC" w:rsidRDefault="0062329B" w:rsidP="00A10212">
            <w:r w:rsidRPr="00FB41DC">
              <w:t>Cita informācija</w:t>
            </w:r>
          </w:p>
        </w:tc>
        <w:tc>
          <w:tcPr>
            <w:tcW w:w="5939" w:type="dxa"/>
          </w:tcPr>
          <w:p w:rsidR="0062329B" w:rsidRPr="00FB41DC" w:rsidRDefault="0062329B" w:rsidP="00A10212">
            <w:pPr>
              <w:jc w:val="both"/>
            </w:pPr>
            <w:r>
              <w:t>Nav.</w:t>
            </w:r>
          </w:p>
        </w:tc>
      </w:tr>
    </w:tbl>
    <w:p w:rsidR="0062329B" w:rsidRPr="00FB41DC" w:rsidRDefault="0062329B" w:rsidP="0062329B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700"/>
        <w:gridCol w:w="5939"/>
      </w:tblGrid>
      <w:tr w:rsidR="0062329B" w:rsidRPr="00FB41DC" w:rsidTr="00A10212">
        <w:tc>
          <w:tcPr>
            <w:tcW w:w="9287" w:type="dxa"/>
            <w:gridSpan w:val="3"/>
          </w:tcPr>
          <w:p w:rsidR="0062329B" w:rsidRPr="00FB41DC" w:rsidRDefault="0062329B" w:rsidP="00A10212">
            <w:pPr>
              <w:jc w:val="center"/>
              <w:rPr>
                <w:b/>
              </w:rPr>
            </w:pPr>
            <w:r w:rsidRPr="00FB41DC">
              <w:rPr>
                <w:b/>
              </w:rPr>
              <w:t>II. Tiesību akta projekta ietekme uz sabiedrību</w:t>
            </w:r>
          </w:p>
        </w:tc>
      </w:tr>
      <w:tr w:rsidR="0062329B" w:rsidRPr="00FB41DC" w:rsidTr="00A10212">
        <w:tc>
          <w:tcPr>
            <w:tcW w:w="648" w:type="dxa"/>
          </w:tcPr>
          <w:p w:rsidR="0062329B" w:rsidRPr="00FB41DC" w:rsidRDefault="0062329B" w:rsidP="00A10212">
            <w:pPr>
              <w:jc w:val="center"/>
            </w:pPr>
            <w:r w:rsidRPr="00FB41DC">
              <w:t>1.</w:t>
            </w:r>
          </w:p>
        </w:tc>
        <w:tc>
          <w:tcPr>
            <w:tcW w:w="2700" w:type="dxa"/>
          </w:tcPr>
          <w:p w:rsidR="0062329B" w:rsidRPr="00FB41DC" w:rsidRDefault="0062329B" w:rsidP="00A10212">
            <w:r w:rsidRPr="00FB41DC">
              <w:t>Sabiedrības mērķgrupa</w:t>
            </w:r>
            <w:r>
              <w:t xml:space="preserve">s, kuras tiesiskais regulējums </w:t>
            </w:r>
            <w:r w:rsidRPr="00FB41DC">
              <w:t xml:space="preserve"> ietekmē vai varētu ietekmēt</w:t>
            </w:r>
          </w:p>
        </w:tc>
        <w:tc>
          <w:tcPr>
            <w:tcW w:w="5939" w:type="dxa"/>
          </w:tcPr>
          <w:p w:rsidR="0062329B" w:rsidRPr="00FB41DC" w:rsidRDefault="002253C9" w:rsidP="002253C9">
            <w:pPr>
              <w:jc w:val="both"/>
            </w:pPr>
            <w:r>
              <w:t>392 operatori, kuriem ir izsniegtas atļaujas A vai B kategorijas piesārņojošas darbības veikšanai atkritumu apsaimniekošanas jomā un operatori, kuru iekārtās ražošanas procesos rodas blakusprodukti</w:t>
            </w:r>
            <w:r w:rsidR="0062329B">
              <w:t xml:space="preserve"> (precīzs skaits nevar tikt noteikts).</w:t>
            </w:r>
          </w:p>
        </w:tc>
      </w:tr>
      <w:tr w:rsidR="0062329B" w:rsidRPr="00CC4F9A" w:rsidTr="00A10212">
        <w:tc>
          <w:tcPr>
            <w:tcW w:w="648" w:type="dxa"/>
            <w:shd w:val="clear" w:color="auto" w:fill="auto"/>
          </w:tcPr>
          <w:p w:rsidR="0062329B" w:rsidRPr="00CC4F9A" w:rsidRDefault="0062329B" w:rsidP="00A10212">
            <w:pPr>
              <w:jc w:val="center"/>
              <w:rPr>
                <w:highlight w:val="yellow"/>
              </w:rPr>
            </w:pPr>
            <w:r>
              <w:t>2</w:t>
            </w:r>
            <w:r w:rsidRPr="00331BA5">
              <w:t>.</w:t>
            </w:r>
          </w:p>
        </w:tc>
        <w:tc>
          <w:tcPr>
            <w:tcW w:w="2700" w:type="dxa"/>
            <w:shd w:val="clear" w:color="auto" w:fill="FFFFFF"/>
          </w:tcPr>
          <w:p w:rsidR="0062329B" w:rsidRPr="00CC4F9A" w:rsidRDefault="0062329B" w:rsidP="00A10212">
            <w:pPr>
              <w:rPr>
                <w:highlight w:val="yellow"/>
              </w:rPr>
            </w:pPr>
            <w:r w:rsidRPr="00331BA5">
              <w:t xml:space="preserve">Tiesiskā regulējuma </w:t>
            </w:r>
            <w:r>
              <w:t>ietekme uz tautsaimniecību un administratīvo slogu</w:t>
            </w:r>
          </w:p>
        </w:tc>
        <w:tc>
          <w:tcPr>
            <w:tcW w:w="5939" w:type="dxa"/>
            <w:shd w:val="clear" w:color="auto" w:fill="auto"/>
          </w:tcPr>
          <w:p w:rsidR="0062329B" w:rsidRPr="00DB4477" w:rsidRDefault="0062329B" w:rsidP="002253C9">
            <w:pPr>
              <w:jc w:val="both"/>
            </w:pPr>
            <w:r>
              <w:t>Noteikumu projekta tiesiskais regulējums nemaina sabiedrības grupu un institūciju tiesības un pienākumus.</w:t>
            </w:r>
            <w:r w:rsidR="002253C9">
              <w:t xml:space="preserve"> </w:t>
            </w:r>
          </w:p>
        </w:tc>
      </w:tr>
      <w:tr w:rsidR="0062329B" w:rsidRPr="00CC4F9A" w:rsidTr="00A10212">
        <w:tc>
          <w:tcPr>
            <w:tcW w:w="648" w:type="dxa"/>
          </w:tcPr>
          <w:p w:rsidR="0062329B" w:rsidRPr="002B44D8" w:rsidRDefault="0062329B" w:rsidP="00A10212">
            <w:pPr>
              <w:jc w:val="center"/>
            </w:pPr>
            <w:r>
              <w:t>3</w:t>
            </w:r>
            <w:r w:rsidRPr="002B44D8">
              <w:t>.</w:t>
            </w:r>
          </w:p>
        </w:tc>
        <w:tc>
          <w:tcPr>
            <w:tcW w:w="2700" w:type="dxa"/>
          </w:tcPr>
          <w:p w:rsidR="0062329B" w:rsidRPr="002B44D8" w:rsidRDefault="0062329B" w:rsidP="00A10212">
            <w:r>
              <w:t>Administratīvo izmaksu monetārs novērtējums</w:t>
            </w:r>
          </w:p>
        </w:tc>
        <w:tc>
          <w:tcPr>
            <w:tcW w:w="5939" w:type="dxa"/>
          </w:tcPr>
          <w:p w:rsidR="0062329B" w:rsidRPr="00DB4477" w:rsidRDefault="0062329B" w:rsidP="00A10212">
            <w:pPr>
              <w:jc w:val="both"/>
            </w:pPr>
            <w:r>
              <w:t>Projekts šo jomu neskar.</w:t>
            </w:r>
          </w:p>
        </w:tc>
      </w:tr>
      <w:tr w:rsidR="0062329B" w:rsidRPr="00FB41DC" w:rsidTr="00A10212">
        <w:tc>
          <w:tcPr>
            <w:tcW w:w="648" w:type="dxa"/>
          </w:tcPr>
          <w:p w:rsidR="0062329B" w:rsidRPr="00FB41DC" w:rsidRDefault="0062329B" w:rsidP="00A10212">
            <w:pPr>
              <w:jc w:val="center"/>
            </w:pPr>
            <w:r>
              <w:t>4</w:t>
            </w:r>
            <w:r w:rsidRPr="00FB41DC">
              <w:t>.</w:t>
            </w:r>
          </w:p>
        </w:tc>
        <w:tc>
          <w:tcPr>
            <w:tcW w:w="2700" w:type="dxa"/>
          </w:tcPr>
          <w:p w:rsidR="0062329B" w:rsidRPr="00FB41DC" w:rsidRDefault="0062329B" w:rsidP="00A10212">
            <w:r w:rsidRPr="00FB41DC">
              <w:t>Cita informācija</w:t>
            </w:r>
          </w:p>
        </w:tc>
        <w:tc>
          <w:tcPr>
            <w:tcW w:w="5939" w:type="dxa"/>
          </w:tcPr>
          <w:p w:rsidR="0062329B" w:rsidRPr="00FB41DC" w:rsidRDefault="0062329B" w:rsidP="00A10212">
            <w:pPr>
              <w:jc w:val="both"/>
            </w:pPr>
            <w:r>
              <w:t>Nav.</w:t>
            </w:r>
          </w:p>
        </w:tc>
      </w:tr>
    </w:tbl>
    <w:p w:rsidR="0062329B" w:rsidRDefault="0062329B" w:rsidP="0062329B"/>
    <w:p w:rsidR="0062329B" w:rsidRPr="00FB41DC" w:rsidRDefault="0062329B" w:rsidP="0062329B"/>
    <w:tbl>
      <w:tblPr>
        <w:tblW w:w="9396" w:type="dxa"/>
        <w:jc w:val="center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3"/>
        <w:gridCol w:w="2296"/>
        <w:gridCol w:w="6577"/>
      </w:tblGrid>
      <w:tr w:rsidR="0062329B" w:rsidRPr="00FB41DC" w:rsidTr="00A10212">
        <w:trPr>
          <w:jc w:val="center"/>
        </w:trPr>
        <w:tc>
          <w:tcPr>
            <w:tcW w:w="9396" w:type="dxa"/>
            <w:gridSpan w:val="3"/>
          </w:tcPr>
          <w:p w:rsidR="0062329B" w:rsidRPr="00FB41DC" w:rsidRDefault="0062329B" w:rsidP="00A10212">
            <w:pPr>
              <w:pStyle w:val="naisnod"/>
              <w:spacing w:before="0" w:after="0"/>
            </w:pPr>
            <w:r w:rsidRPr="00FB41DC">
              <w:t>V. Tiesību akta projekta atbilstība Latvijas Republikas starptautiskajām saistībām</w:t>
            </w:r>
          </w:p>
        </w:tc>
      </w:tr>
      <w:tr w:rsidR="0062329B" w:rsidRPr="0062273E" w:rsidTr="00A10212">
        <w:trPr>
          <w:jc w:val="center"/>
        </w:trPr>
        <w:tc>
          <w:tcPr>
            <w:tcW w:w="523" w:type="dxa"/>
          </w:tcPr>
          <w:p w:rsidR="0062329B" w:rsidRPr="0062273E" w:rsidRDefault="0062329B" w:rsidP="00A1021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62273E">
              <w:t>1.</w:t>
            </w:r>
          </w:p>
        </w:tc>
        <w:tc>
          <w:tcPr>
            <w:tcW w:w="2296" w:type="dxa"/>
          </w:tcPr>
          <w:p w:rsidR="0062329B" w:rsidRPr="0062273E" w:rsidRDefault="0062329B" w:rsidP="00A1021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62273E">
              <w:t>Saistības pret Eiropas Savienību</w:t>
            </w:r>
          </w:p>
        </w:tc>
        <w:tc>
          <w:tcPr>
            <w:tcW w:w="6577" w:type="dxa"/>
          </w:tcPr>
          <w:p w:rsidR="0062329B" w:rsidRDefault="00AB04F0" w:rsidP="00AB04F0">
            <w:pPr>
              <w:pStyle w:val="naisc"/>
              <w:spacing w:before="0" w:after="0"/>
              <w:jc w:val="both"/>
              <w:rPr>
                <w:rStyle w:val="Emphasis"/>
              </w:rPr>
            </w:pPr>
            <w:r>
              <w:rPr>
                <w:bCs/>
              </w:rPr>
              <w:t>1)</w:t>
            </w:r>
            <w:r w:rsidR="0062329B">
              <w:rPr>
                <w:bCs/>
              </w:rPr>
              <w:t>D</w:t>
            </w:r>
            <w:r w:rsidR="0062329B" w:rsidRPr="00FB1366">
              <w:rPr>
                <w:bCs/>
              </w:rPr>
              <w:t>irekt</w:t>
            </w:r>
            <w:r w:rsidR="0062329B">
              <w:rPr>
                <w:bCs/>
              </w:rPr>
              <w:t>īva</w:t>
            </w:r>
            <w:r w:rsidR="0062329B" w:rsidRPr="00FB1366">
              <w:rPr>
                <w:bCs/>
              </w:rPr>
              <w:t xml:space="preserve"> 2008/98/EK </w:t>
            </w:r>
            <w:r w:rsidR="0062329B" w:rsidRPr="0062273E">
              <w:rPr>
                <w:rStyle w:val="Strong"/>
                <w:b w:val="0"/>
              </w:rPr>
              <w:t>(</w:t>
            </w:r>
            <w:r w:rsidR="0062329B">
              <w:rPr>
                <w:rStyle w:val="Emphasis"/>
              </w:rPr>
              <w:t>OV L 312, 22.11.2008., 3</w:t>
            </w:r>
            <w:r w:rsidR="0062329B" w:rsidRPr="0062273E">
              <w:rPr>
                <w:rStyle w:val="Emphasis"/>
              </w:rPr>
              <w:t>. lpp.</w:t>
            </w:r>
            <w:r w:rsidR="0062329B" w:rsidRPr="0062273E">
              <w:rPr>
                <w:rStyle w:val="Emphasis"/>
                <w:i w:val="0"/>
              </w:rPr>
              <w:t>)</w:t>
            </w:r>
            <w:r w:rsidR="0062329B" w:rsidRPr="0062273E">
              <w:rPr>
                <w:rStyle w:val="Emphasis"/>
              </w:rPr>
              <w:t>;</w:t>
            </w:r>
          </w:p>
          <w:p w:rsidR="0062329B" w:rsidRDefault="0062329B" w:rsidP="00A10212">
            <w:pPr>
              <w:pStyle w:val="naisc"/>
              <w:spacing w:before="0" w:after="0"/>
              <w:jc w:val="both"/>
              <w:rPr>
                <w:color w:val="2A2A2A"/>
              </w:rPr>
            </w:pPr>
          </w:p>
          <w:p w:rsidR="00AB04F0" w:rsidRPr="00AB04F0" w:rsidRDefault="00AB04F0" w:rsidP="00AB04F0">
            <w:pPr>
              <w:pStyle w:val="naisc"/>
              <w:spacing w:before="0" w:after="0"/>
              <w:jc w:val="both"/>
              <w:rPr>
                <w:i/>
              </w:rPr>
            </w:pPr>
            <w:r w:rsidRPr="00AB04F0">
              <w:t>2)Padomes 2011. gada 31.marta regulas Nr. 333/2011, ar ko paredz kritērijus, kuri nosaka, kad dažu veidu metāllūžņi vairs nav atkritumi saskaņā ar Eiropas Parlamenta un Padomes Direktīvu 2008/98/EK</w:t>
            </w:r>
            <w:r>
              <w:t xml:space="preserve"> </w:t>
            </w:r>
            <w:r w:rsidRPr="00AB04F0">
              <w:rPr>
                <w:i/>
              </w:rPr>
              <w:t xml:space="preserve">(OV L </w:t>
            </w:r>
            <w:proofErr w:type="spellStart"/>
            <w:r w:rsidRPr="00AB04F0">
              <w:rPr>
                <w:i/>
              </w:rPr>
              <w:t>L</w:t>
            </w:r>
            <w:proofErr w:type="spellEnd"/>
            <w:r w:rsidRPr="00AB04F0">
              <w:rPr>
                <w:i/>
              </w:rPr>
              <w:t xml:space="preserve"> 94, 8.4.2011., 2.lpp.)</w:t>
            </w:r>
          </w:p>
          <w:p w:rsidR="00AB04F0" w:rsidRPr="00AB04F0" w:rsidRDefault="00AB04F0" w:rsidP="00A10212">
            <w:pPr>
              <w:pStyle w:val="naisc"/>
              <w:spacing w:before="0" w:after="0"/>
              <w:jc w:val="both"/>
            </w:pPr>
          </w:p>
          <w:p w:rsidR="00AB04F0" w:rsidRPr="00AB04F0" w:rsidRDefault="00AB04F0" w:rsidP="00A10212">
            <w:pPr>
              <w:pStyle w:val="naisc"/>
              <w:spacing w:before="0" w:after="0"/>
              <w:jc w:val="both"/>
              <w:rPr>
                <w:i/>
                <w:color w:val="2A2A2A"/>
              </w:rPr>
            </w:pPr>
            <w:r w:rsidRPr="00AB04F0">
              <w:t>3) Eiropas Komisijas 2012. gada 10.decembra regulas Nr. 1179/2012, ar ko paredz kritērijus, kuri nosaka, kad stikla lauskas vairs nav atkritumi saskaņā ar Eiropas Parlamenta un Padomes Direktīvu 2008/98/EK</w:t>
            </w:r>
            <w:r>
              <w:t xml:space="preserve"> </w:t>
            </w:r>
            <w:r w:rsidRPr="00AB04F0">
              <w:rPr>
                <w:i/>
              </w:rPr>
              <w:t xml:space="preserve">(OV L </w:t>
            </w:r>
            <w:proofErr w:type="spellStart"/>
            <w:r w:rsidRPr="00AB04F0">
              <w:rPr>
                <w:i/>
              </w:rPr>
              <w:t>L</w:t>
            </w:r>
            <w:proofErr w:type="spellEnd"/>
            <w:r w:rsidRPr="00AB04F0">
              <w:rPr>
                <w:i/>
              </w:rPr>
              <w:t xml:space="preserve"> 337, 11.12.2012, 31.lpp.)</w:t>
            </w:r>
          </w:p>
          <w:p w:rsidR="00AB04F0" w:rsidRPr="00AB04F0" w:rsidRDefault="00AB04F0" w:rsidP="00A10212">
            <w:pPr>
              <w:pStyle w:val="naisc"/>
              <w:spacing w:before="0" w:after="0"/>
              <w:jc w:val="both"/>
              <w:rPr>
                <w:color w:val="2A2A2A"/>
              </w:rPr>
            </w:pPr>
          </w:p>
          <w:p w:rsidR="00AB04F0" w:rsidRPr="00AB04F0" w:rsidRDefault="00AB04F0" w:rsidP="00A10212">
            <w:pPr>
              <w:pStyle w:val="naisc"/>
              <w:spacing w:before="0" w:after="0"/>
              <w:jc w:val="both"/>
              <w:rPr>
                <w:i/>
              </w:rPr>
            </w:pPr>
            <w:r w:rsidRPr="00AB04F0">
              <w:t>4) Eiropas Komisijas 2013. gada 25.jūlija regulai Nr. 715/2013, ar ko paredz kritērijus, kuri nosaka, kad vara lūžņi vairs nav atkritumi saskaņā ar Eiropas Parlamenta un Padomes Direktīvu 2008/98/EK</w:t>
            </w:r>
            <w:r>
              <w:t xml:space="preserve"> </w:t>
            </w:r>
            <w:r w:rsidRPr="00AB04F0">
              <w:rPr>
                <w:i/>
              </w:rPr>
              <w:t>(OV L 214, 26.7.2013., 14.lpp.)</w:t>
            </w:r>
          </w:p>
          <w:p w:rsidR="00AB04F0" w:rsidRDefault="00AB04F0" w:rsidP="00A10212">
            <w:pPr>
              <w:pStyle w:val="naisc"/>
              <w:spacing w:before="0" w:after="0"/>
              <w:jc w:val="both"/>
              <w:rPr>
                <w:color w:val="2A2A2A"/>
              </w:rPr>
            </w:pPr>
          </w:p>
          <w:p w:rsidR="0062329B" w:rsidRPr="00D252E0" w:rsidRDefault="00AB04F0" w:rsidP="00A10212">
            <w:pPr>
              <w:pStyle w:val="naisc"/>
              <w:spacing w:before="0" w:after="0"/>
              <w:jc w:val="both"/>
              <w:rPr>
                <w:rStyle w:val="Strong"/>
              </w:rPr>
            </w:pPr>
            <w:r>
              <w:rPr>
                <w:color w:val="2A2A2A"/>
              </w:rPr>
              <w:t xml:space="preserve">5) </w:t>
            </w:r>
            <w:r w:rsidR="0062329B" w:rsidRPr="00D252E0">
              <w:rPr>
                <w:color w:val="2A2A2A"/>
              </w:rPr>
              <w:t>Eiropas Komisijas 2013.gada 18.oktobra formālais paziņojums pārkāpuma procedūras lietā Nr.2013/2193</w:t>
            </w:r>
          </w:p>
          <w:p w:rsidR="0062329B" w:rsidRPr="00BA241B" w:rsidRDefault="0062329B" w:rsidP="00A10212">
            <w:pPr>
              <w:pStyle w:val="naisc"/>
              <w:spacing w:before="0" w:after="0"/>
              <w:jc w:val="both"/>
              <w:rPr>
                <w:i/>
                <w:iCs/>
              </w:rPr>
            </w:pPr>
          </w:p>
        </w:tc>
      </w:tr>
      <w:tr w:rsidR="0062329B" w:rsidRPr="00FB41DC" w:rsidTr="00A10212">
        <w:trPr>
          <w:jc w:val="center"/>
        </w:trPr>
        <w:tc>
          <w:tcPr>
            <w:tcW w:w="523" w:type="dxa"/>
          </w:tcPr>
          <w:p w:rsidR="0062329B" w:rsidRPr="00FB41DC" w:rsidRDefault="0062329B" w:rsidP="00A1021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2.</w:t>
            </w:r>
          </w:p>
        </w:tc>
        <w:tc>
          <w:tcPr>
            <w:tcW w:w="2296" w:type="dxa"/>
          </w:tcPr>
          <w:p w:rsidR="0062329B" w:rsidRPr="00FB41DC" w:rsidRDefault="0062329B" w:rsidP="00A1021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Citas starptautiskās saistības</w:t>
            </w:r>
          </w:p>
        </w:tc>
        <w:tc>
          <w:tcPr>
            <w:tcW w:w="6577" w:type="dxa"/>
          </w:tcPr>
          <w:p w:rsidR="0062329B" w:rsidRPr="00FB41DC" w:rsidRDefault="0062329B" w:rsidP="00A1021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Projekts šo jomu neskar.</w:t>
            </w:r>
          </w:p>
        </w:tc>
      </w:tr>
      <w:tr w:rsidR="0062329B" w:rsidRPr="00FB41DC" w:rsidTr="00A10212">
        <w:trPr>
          <w:jc w:val="center"/>
        </w:trPr>
        <w:tc>
          <w:tcPr>
            <w:tcW w:w="523" w:type="dxa"/>
          </w:tcPr>
          <w:p w:rsidR="0062329B" w:rsidRPr="00FB41DC" w:rsidRDefault="0062329B" w:rsidP="00A1021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3.</w:t>
            </w:r>
          </w:p>
        </w:tc>
        <w:tc>
          <w:tcPr>
            <w:tcW w:w="2296" w:type="dxa"/>
          </w:tcPr>
          <w:p w:rsidR="0062329B" w:rsidRPr="00FB41DC" w:rsidRDefault="0062329B" w:rsidP="00A1021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FB41DC">
              <w:t>Cita informācija</w:t>
            </w:r>
          </w:p>
        </w:tc>
        <w:tc>
          <w:tcPr>
            <w:tcW w:w="6577" w:type="dxa"/>
          </w:tcPr>
          <w:p w:rsidR="0062329B" w:rsidRPr="00FB41DC" w:rsidRDefault="0062329B" w:rsidP="00A10212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>
              <w:t>Nav.</w:t>
            </w:r>
          </w:p>
        </w:tc>
      </w:tr>
    </w:tbl>
    <w:p w:rsidR="0062329B" w:rsidRPr="00FB41DC" w:rsidRDefault="0062329B" w:rsidP="0062329B">
      <w:pPr>
        <w:pStyle w:val="naisf"/>
        <w:spacing w:before="0" w:after="0"/>
        <w:ind w:firstLine="0"/>
      </w:pPr>
    </w:p>
    <w:tbl>
      <w:tblPr>
        <w:tblW w:w="9455" w:type="dxa"/>
        <w:jc w:val="center"/>
        <w:tblInd w:w="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035"/>
        <w:gridCol w:w="2835"/>
        <w:gridCol w:w="1701"/>
        <w:gridCol w:w="2884"/>
      </w:tblGrid>
      <w:tr w:rsidR="0062329B" w:rsidRPr="00FB41DC" w:rsidTr="00A10212">
        <w:trPr>
          <w:trHeight w:val="523"/>
          <w:jc w:val="center"/>
        </w:trPr>
        <w:tc>
          <w:tcPr>
            <w:tcW w:w="9455" w:type="dxa"/>
            <w:gridSpan w:val="4"/>
            <w:vAlign w:val="center"/>
          </w:tcPr>
          <w:p w:rsidR="0062329B" w:rsidRPr="00FB41DC" w:rsidRDefault="0062329B" w:rsidP="00A10212">
            <w:pPr>
              <w:pStyle w:val="naisnod"/>
              <w:spacing w:before="0" w:after="0"/>
            </w:pPr>
            <w:r w:rsidRPr="00FB41DC">
              <w:t>1.tabula</w:t>
            </w:r>
          </w:p>
          <w:p w:rsidR="0062329B" w:rsidRPr="00FB41DC" w:rsidRDefault="0062329B" w:rsidP="00A10212">
            <w:pPr>
              <w:pStyle w:val="naisnod"/>
              <w:spacing w:before="0" w:after="0"/>
              <w:rPr>
                <w:i/>
              </w:rPr>
            </w:pPr>
            <w:r w:rsidRPr="00FB41DC">
              <w:t>Tiesību akta projekta atbilstība ES tiesību aktiem</w:t>
            </w:r>
          </w:p>
        </w:tc>
      </w:tr>
      <w:tr w:rsidR="0062329B" w:rsidRPr="00A977E6" w:rsidTr="00A10212">
        <w:trPr>
          <w:trHeight w:val="1252"/>
          <w:jc w:val="center"/>
        </w:trPr>
        <w:tc>
          <w:tcPr>
            <w:tcW w:w="2035" w:type="dxa"/>
            <w:vAlign w:val="center"/>
          </w:tcPr>
          <w:p w:rsidR="0062329B" w:rsidRPr="00FB41DC" w:rsidRDefault="0062329B" w:rsidP="00A10212">
            <w:pPr>
              <w:pStyle w:val="naiskr"/>
              <w:spacing w:before="0" w:after="0"/>
              <w:ind w:hanging="10"/>
              <w:jc w:val="both"/>
            </w:pPr>
            <w:r w:rsidRPr="00FB41DC">
              <w:t>Attiecīgā ES tiesību akta datums, numurs un nosaukums</w:t>
            </w:r>
          </w:p>
        </w:tc>
        <w:tc>
          <w:tcPr>
            <w:tcW w:w="7420" w:type="dxa"/>
            <w:gridSpan w:val="3"/>
            <w:vAlign w:val="center"/>
          </w:tcPr>
          <w:p w:rsidR="0062329B" w:rsidRPr="00A977E6" w:rsidRDefault="0062329B" w:rsidP="00A10212">
            <w:pPr>
              <w:pStyle w:val="naisc"/>
              <w:spacing w:before="0" w:after="0"/>
              <w:jc w:val="both"/>
            </w:pPr>
            <w:r w:rsidRPr="00FB1366">
              <w:rPr>
                <w:bCs/>
              </w:rPr>
              <w:t>Eiropas Parlamenta un Padomes 2008.gada 19.novembra direkt</w:t>
            </w:r>
            <w:r>
              <w:rPr>
                <w:bCs/>
              </w:rPr>
              <w:t>īva</w:t>
            </w:r>
            <w:r w:rsidRPr="00FB1366">
              <w:rPr>
                <w:bCs/>
              </w:rPr>
              <w:t xml:space="preserve"> 2008/98/EK par atkritumiem un dažu direktīvu atcelšanu</w:t>
            </w:r>
          </w:p>
        </w:tc>
      </w:tr>
      <w:tr w:rsidR="0062329B" w:rsidRPr="00FB41DC" w:rsidTr="00A10212">
        <w:trPr>
          <w:trHeight w:val="165"/>
          <w:jc w:val="center"/>
        </w:trPr>
        <w:tc>
          <w:tcPr>
            <w:tcW w:w="2035" w:type="dxa"/>
            <w:vAlign w:val="center"/>
          </w:tcPr>
          <w:p w:rsidR="0062329B" w:rsidRPr="00FB41DC" w:rsidRDefault="0062329B" w:rsidP="00A10212">
            <w:pPr>
              <w:pStyle w:val="naiskr"/>
              <w:spacing w:before="0" w:after="0"/>
              <w:jc w:val="both"/>
            </w:pPr>
            <w:r w:rsidRPr="00FB41DC">
              <w:t>A</w:t>
            </w:r>
          </w:p>
        </w:tc>
        <w:tc>
          <w:tcPr>
            <w:tcW w:w="2835" w:type="dxa"/>
            <w:vAlign w:val="center"/>
          </w:tcPr>
          <w:p w:rsidR="0062329B" w:rsidRPr="00FB41DC" w:rsidRDefault="0062329B" w:rsidP="00A10212">
            <w:pPr>
              <w:pStyle w:val="naiskr"/>
              <w:spacing w:before="0" w:after="0"/>
              <w:jc w:val="both"/>
            </w:pPr>
            <w:r w:rsidRPr="00FB41DC">
              <w:t>B</w:t>
            </w:r>
          </w:p>
        </w:tc>
        <w:tc>
          <w:tcPr>
            <w:tcW w:w="1701" w:type="dxa"/>
            <w:vAlign w:val="center"/>
          </w:tcPr>
          <w:p w:rsidR="0062329B" w:rsidRPr="00FB41DC" w:rsidRDefault="0062329B" w:rsidP="00A10212">
            <w:pPr>
              <w:pStyle w:val="naiskr"/>
              <w:spacing w:before="0" w:after="0"/>
              <w:jc w:val="both"/>
            </w:pPr>
            <w:r w:rsidRPr="00FB41DC">
              <w:t>C</w:t>
            </w:r>
          </w:p>
        </w:tc>
        <w:tc>
          <w:tcPr>
            <w:tcW w:w="2884" w:type="dxa"/>
            <w:vAlign w:val="center"/>
          </w:tcPr>
          <w:p w:rsidR="0062329B" w:rsidRPr="00FB41DC" w:rsidRDefault="0062329B" w:rsidP="00A10212">
            <w:pPr>
              <w:pStyle w:val="naiskr"/>
              <w:spacing w:before="0" w:after="0"/>
              <w:jc w:val="both"/>
            </w:pPr>
            <w:r w:rsidRPr="00FB41DC">
              <w:t>D</w:t>
            </w:r>
          </w:p>
        </w:tc>
      </w:tr>
      <w:tr w:rsidR="0062329B" w:rsidTr="00A10212">
        <w:trPr>
          <w:trHeight w:val="313"/>
          <w:jc w:val="center"/>
        </w:trPr>
        <w:tc>
          <w:tcPr>
            <w:tcW w:w="2035" w:type="dxa"/>
          </w:tcPr>
          <w:p w:rsidR="0062329B" w:rsidRDefault="00571341" w:rsidP="00A10212">
            <w:pPr>
              <w:pStyle w:val="naiskr"/>
              <w:spacing w:before="0" w:after="0"/>
              <w:jc w:val="both"/>
            </w:pPr>
            <w:r>
              <w:t>5</w:t>
            </w:r>
            <w:r w:rsidR="0062329B">
              <w:t>.panta 1.punkta</w:t>
            </w:r>
            <w:r>
              <w:t xml:space="preserve"> ievaddaļa</w:t>
            </w:r>
          </w:p>
        </w:tc>
        <w:tc>
          <w:tcPr>
            <w:tcW w:w="2835" w:type="dxa"/>
          </w:tcPr>
          <w:p w:rsidR="0062329B" w:rsidRDefault="00B84F5C" w:rsidP="00A10212">
            <w:pPr>
              <w:pStyle w:val="naiskr"/>
              <w:spacing w:before="0" w:after="0"/>
              <w:jc w:val="both"/>
            </w:pPr>
            <w:r>
              <w:t>3.punkts</w:t>
            </w:r>
          </w:p>
        </w:tc>
        <w:tc>
          <w:tcPr>
            <w:tcW w:w="1701" w:type="dxa"/>
          </w:tcPr>
          <w:p w:rsidR="0062329B" w:rsidRDefault="0062329B" w:rsidP="00A10212">
            <w:pPr>
              <w:pStyle w:val="naiskr"/>
              <w:spacing w:before="0" w:after="0"/>
              <w:jc w:val="both"/>
            </w:pPr>
            <w:r>
              <w:t>Atbilst pilnībā</w:t>
            </w:r>
          </w:p>
        </w:tc>
        <w:tc>
          <w:tcPr>
            <w:tcW w:w="2884" w:type="dxa"/>
          </w:tcPr>
          <w:p w:rsidR="0062329B" w:rsidRDefault="0062329B" w:rsidP="00A10212">
            <w:pPr>
              <w:pStyle w:val="naiskr"/>
              <w:spacing w:before="0" w:after="0"/>
              <w:jc w:val="both"/>
            </w:pPr>
            <w:r>
              <w:t>Netiek noteiktas stingrākas prasības.</w:t>
            </w:r>
          </w:p>
        </w:tc>
      </w:tr>
      <w:tr w:rsidR="00571341" w:rsidTr="00A10212">
        <w:trPr>
          <w:trHeight w:val="313"/>
          <w:jc w:val="center"/>
        </w:trPr>
        <w:tc>
          <w:tcPr>
            <w:tcW w:w="2035" w:type="dxa"/>
          </w:tcPr>
          <w:p w:rsidR="00571341" w:rsidRDefault="00571341" w:rsidP="00A10212">
            <w:pPr>
              <w:pStyle w:val="naiskr"/>
              <w:spacing w:before="0" w:after="0"/>
              <w:jc w:val="both"/>
            </w:pPr>
            <w:r>
              <w:t>5.panta 1.punkta a) apakšpunkts</w:t>
            </w:r>
          </w:p>
        </w:tc>
        <w:tc>
          <w:tcPr>
            <w:tcW w:w="2835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MK noteikumu Nr.302 5.1.punkts</w:t>
            </w:r>
          </w:p>
        </w:tc>
        <w:tc>
          <w:tcPr>
            <w:tcW w:w="1701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Atbilst pilnībā</w:t>
            </w:r>
          </w:p>
        </w:tc>
        <w:tc>
          <w:tcPr>
            <w:tcW w:w="2884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Netiek noteiktas stingrākas prasības.</w:t>
            </w:r>
          </w:p>
        </w:tc>
      </w:tr>
      <w:tr w:rsidR="00571341" w:rsidTr="00A10212">
        <w:trPr>
          <w:trHeight w:val="313"/>
          <w:jc w:val="center"/>
        </w:trPr>
        <w:tc>
          <w:tcPr>
            <w:tcW w:w="2035" w:type="dxa"/>
          </w:tcPr>
          <w:p w:rsidR="00571341" w:rsidRDefault="00571341" w:rsidP="00A10212">
            <w:pPr>
              <w:pStyle w:val="naiskr"/>
              <w:spacing w:before="0" w:after="0"/>
              <w:jc w:val="both"/>
            </w:pPr>
            <w:r>
              <w:t>5.panta 1.punkta b) apakšpunkts</w:t>
            </w:r>
          </w:p>
        </w:tc>
        <w:tc>
          <w:tcPr>
            <w:tcW w:w="2835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MK noteikumu Nr.302 5.2.punkts</w:t>
            </w:r>
          </w:p>
        </w:tc>
        <w:tc>
          <w:tcPr>
            <w:tcW w:w="1701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Atbilst pilnībā</w:t>
            </w:r>
          </w:p>
        </w:tc>
        <w:tc>
          <w:tcPr>
            <w:tcW w:w="2884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Netiek noteiktas stingrākas prasības.</w:t>
            </w:r>
          </w:p>
        </w:tc>
      </w:tr>
      <w:tr w:rsidR="00571341" w:rsidTr="00A10212">
        <w:trPr>
          <w:trHeight w:val="313"/>
          <w:jc w:val="center"/>
        </w:trPr>
        <w:tc>
          <w:tcPr>
            <w:tcW w:w="2035" w:type="dxa"/>
          </w:tcPr>
          <w:p w:rsidR="00571341" w:rsidRPr="00571341" w:rsidRDefault="00571341" w:rsidP="00A10212">
            <w:pPr>
              <w:pStyle w:val="naiskr"/>
              <w:spacing w:before="0" w:after="0"/>
              <w:jc w:val="both"/>
              <w:rPr>
                <w:b/>
              </w:rPr>
            </w:pPr>
            <w:r>
              <w:t>5.panta 1.punkta c) apakšpunkts</w:t>
            </w:r>
          </w:p>
        </w:tc>
        <w:tc>
          <w:tcPr>
            <w:tcW w:w="2835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MK noteikumu Nr.302 5.3.punkts</w:t>
            </w:r>
          </w:p>
        </w:tc>
        <w:tc>
          <w:tcPr>
            <w:tcW w:w="1701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Atbilst pilnībā</w:t>
            </w:r>
          </w:p>
        </w:tc>
        <w:tc>
          <w:tcPr>
            <w:tcW w:w="2884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Netiek noteiktas stingrākas prasības.</w:t>
            </w:r>
          </w:p>
        </w:tc>
      </w:tr>
      <w:tr w:rsidR="00571341" w:rsidTr="00A10212">
        <w:trPr>
          <w:trHeight w:val="313"/>
          <w:jc w:val="center"/>
        </w:trPr>
        <w:tc>
          <w:tcPr>
            <w:tcW w:w="2035" w:type="dxa"/>
          </w:tcPr>
          <w:p w:rsidR="00571341" w:rsidRDefault="00571341" w:rsidP="00A10212">
            <w:pPr>
              <w:pStyle w:val="naiskr"/>
              <w:spacing w:before="0" w:after="0"/>
              <w:jc w:val="both"/>
            </w:pPr>
            <w:r>
              <w:t>5.panta 1.punkta d) apakšpunkts</w:t>
            </w:r>
          </w:p>
        </w:tc>
        <w:tc>
          <w:tcPr>
            <w:tcW w:w="2835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MK noteikumu Nr.302 5.4.punkts</w:t>
            </w:r>
          </w:p>
        </w:tc>
        <w:tc>
          <w:tcPr>
            <w:tcW w:w="1701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Atbilst pilnībā</w:t>
            </w:r>
          </w:p>
        </w:tc>
        <w:tc>
          <w:tcPr>
            <w:tcW w:w="2884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Netiek noteiktas stingrākas prasības.</w:t>
            </w:r>
          </w:p>
        </w:tc>
      </w:tr>
      <w:tr w:rsidR="00571341" w:rsidTr="00A10212">
        <w:trPr>
          <w:trHeight w:val="313"/>
          <w:jc w:val="center"/>
        </w:trPr>
        <w:tc>
          <w:tcPr>
            <w:tcW w:w="2035" w:type="dxa"/>
          </w:tcPr>
          <w:p w:rsidR="00571341" w:rsidRDefault="00571341" w:rsidP="00A10212">
            <w:pPr>
              <w:pStyle w:val="naiskr"/>
              <w:spacing w:before="0" w:after="0"/>
              <w:jc w:val="both"/>
            </w:pPr>
            <w:r>
              <w:t>5.panta 2.punkts</w:t>
            </w:r>
          </w:p>
        </w:tc>
        <w:tc>
          <w:tcPr>
            <w:tcW w:w="2835" w:type="dxa"/>
          </w:tcPr>
          <w:p w:rsidR="00571341" w:rsidRDefault="00571341" w:rsidP="00A10212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Netiks pārņemts</w:t>
            </w:r>
          </w:p>
        </w:tc>
        <w:tc>
          <w:tcPr>
            <w:tcW w:w="2884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Attiecas uz Eiropas Komisijas pilnvarām.</w:t>
            </w:r>
          </w:p>
        </w:tc>
      </w:tr>
      <w:tr w:rsidR="00571341" w:rsidTr="00A10212">
        <w:trPr>
          <w:trHeight w:val="313"/>
          <w:jc w:val="center"/>
        </w:trPr>
        <w:tc>
          <w:tcPr>
            <w:tcW w:w="2035" w:type="dxa"/>
          </w:tcPr>
          <w:p w:rsidR="00571341" w:rsidRDefault="00571341" w:rsidP="00A10212">
            <w:pPr>
              <w:pStyle w:val="naiskr"/>
              <w:spacing w:before="0" w:after="0"/>
              <w:jc w:val="both"/>
            </w:pPr>
            <w:r>
              <w:t>6.panta 1.punkta ievaddaļa</w:t>
            </w:r>
          </w:p>
        </w:tc>
        <w:tc>
          <w:tcPr>
            <w:tcW w:w="2835" w:type="dxa"/>
          </w:tcPr>
          <w:p w:rsidR="00571341" w:rsidRDefault="00B84F5C" w:rsidP="00A10212">
            <w:pPr>
              <w:pStyle w:val="naiskr"/>
              <w:spacing w:before="0" w:after="0"/>
              <w:jc w:val="both"/>
            </w:pPr>
            <w:r>
              <w:t>4</w:t>
            </w:r>
            <w:r w:rsidR="00EC1E49">
              <w:t>.punkts</w:t>
            </w:r>
          </w:p>
        </w:tc>
        <w:tc>
          <w:tcPr>
            <w:tcW w:w="1701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Atbilst pilnībā</w:t>
            </w:r>
          </w:p>
        </w:tc>
        <w:tc>
          <w:tcPr>
            <w:tcW w:w="2884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Netiek noteiktas stingrākas prasības.</w:t>
            </w:r>
          </w:p>
        </w:tc>
      </w:tr>
      <w:tr w:rsidR="00571341" w:rsidTr="00A10212">
        <w:trPr>
          <w:trHeight w:val="313"/>
          <w:jc w:val="center"/>
        </w:trPr>
        <w:tc>
          <w:tcPr>
            <w:tcW w:w="2035" w:type="dxa"/>
          </w:tcPr>
          <w:p w:rsidR="00571341" w:rsidRDefault="00571341" w:rsidP="00A10212">
            <w:pPr>
              <w:pStyle w:val="naiskr"/>
              <w:spacing w:before="0" w:after="0"/>
              <w:jc w:val="both"/>
            </w:pPr>
            <w:r>
              <w:t xml:space="preserve">6.panta 1.punkta a) apakšpunkts </w:t>
            </w:r>
          </w:p>
        </w:tc>
        <w:tc>
          <w:tcPr>
            <w:tcW w:w="2835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MK noteikumu Nr.302 6.1.punkts</w:t>
            </w:r>
          </w:p>
        </w:tc>
        <w:tc>
          <w:tcPr>
            <w:tcW w:w="1701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Atbilst pilnībā</w:t>
            </w:r>
          </w:p>
        </w:tc>
        <w:tc>
          <w:tcPr>
            <w:tcW w:w="2884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Netiek noteiktas stingrākas prasības.</w:t>
            </w:r>
          </w:p>
        </w:tc>
      </w:tr>
      <w:tr w:rsidR="00571341" w:rsidTr="00A10212">
        <w:trPr>
          <w:trHeight w:val="313"/>
          <w:jc w:val="center"/>
        </w:trPr>
        <w:tc>
          <w:tcPr>
            <w:tcW w:w="2035" w:type="dxa"/>
          </w:tcPr>
          <w:p w:rsidR="00571341" w:rsidRPr="00571341" w:rsidRDefault="00EC1E49" w:rsidP="00A10212">
            <w:pPr>
              <w:pStyle w:val="naiskr"/>
              <w:spacing w:before="0" w:after="0"/>
              <w:jc w:val="both"/>
              <w:rPr>
                <w:b/>
              </w:rPr>
            </w:pPr>
            <w:r>
              <w:t>6.panta 1.punkta b</w:t>
            </w:r>
            <w:r w:rsidR="00571341">
              <w:t>) apakšpunkts</w:t>
            </w:r>
          </w:p>
        </w:tc>
        <w:tc>
          <w:tcPr>
            <w:tcW w:w="2835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MK noteikumu Nr.302 6.2.punkts</w:t>
            </w:r>
          </w:p>
        </w:tc>
        <w:tc>
          <w:tcPr>
            <w:tcW w:w="1701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Atbilst pilnībā</w:t>
            </w:r>
          </w:p>
        </w:tc>
        <w:tc>
          <w:tcPr>
            <w:tcW w:w="2884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Netiek noteiktas stingrākas prasības.</w:t>
            </w:r>
          </w:p>
        </w:tc>
      </w:tr>
      <w:tr w:rsidR="00571341" w:rsidTr="00A10212">
        <w:trPr>
          <w:trHeight w:val="313"/>
          <w:jc w:val="center"/>
        </w:trPr>
        <w:tc>
          <w:tcPr>
            <w:tcW w:w="2035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6.panta 1.punkta c</w:t>
            </w:r>
            <w:r w:rsidR="00571341">
              <w:t>) apakšpunkts</w:t>
            </w:r>
          </w:p>
        </w:tc>
        <w:tc>
          <w:tcPr>
            <w:tcW w:w="2835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MK noteikumu Nr.302 6.3.punkts</w:t>
            </w:r>
          </w:p>
        </w:tc>
        <w:tc>
          <w:tcPr>
            <w:tcW w:w="1701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Atbilst pilnībā</w:t>
            </w:r>
          </w:p>
        </w:tc>
        <w:tc>
          <w:tcPr>
            <w:tcW w:w="2884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Netiek noteiktas stingrākas prasības.</w:t>
            </w:r>
          </w:p>
        </w:tc>
      </w:tr>
      <w:tr w:rsidR="00571341" w:rsidTr="00A10212">
        <w:trPr>
          <w:trHeight w:val="313"/>
          <w:jc w:val="center"/>
        </w:trPr>
        <w:tc>
          <w:tcPr>
            <w:tcW w:w="2035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6.panta 1.punkta d</w:t>
            </w:r>
            <w:r w:rsidR="00571341">
              <w:t>) apakšpunkts</w:t>
            </w:r>
          </w:p>
        </w:tc>
        <w:tc>
          <w:tcPr>
            <w:tcW w:w="2835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MK noteikumu Nr.302 6.4.punkts</w:t>
            </w:r>
          </w:p>
        </w:tc>
        <w:tc>
          <w:tcPr>
            <w:tcW w:w="1701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Atbilst pilnībā</w:t>
            </w:r>
          </w:p>
        </w:tc>
        <w:tc>
          <w:tcPr>
            <w:tcW w:w="2884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Netiek noteiktas stingrākas prasības.</w:t>
            </w:r>
          </w:p>
        </w:tc>
      </w:tr>
      <w:tr w:rsidR="00571341" w:rsidTr="00A10212">
        <w:trPr>
          <w:trHeight w:val="313"/>
          <w:jc w:val="center"/>
        </w:trPr>
        <w:tc>
          <w:tcPr>
            <w:tcW w:w="2035" w:type="dxa"/>
          </w:tcPr>
          <w:p w:rsidR="00571341" w:rsidRDefault="00571341" w:rsidP="00A10212">
            <w:pPr>
              <w:pStyle w:val="naiskr"/>
              <w:spacing w:before="0" w:after="0"/>
              <w:jc w:val="both"/>
            </w:pPr>
            <w:r>
              <w:t>6.panta 1.punkta pēdējais teikums</w:t>
            </w:r>
          </w:p>
        </w:tc>
        <w:tc>
          <w:tcPr>
            <w:tcW w:w="2835" w:type="dxa"/>
          </w:tcPr>
          <w:p w:rsidR="00571341" w:rsidRDefault="00B84F5C" w:rsidP="00A10212">
            <w:pPr>
              <w:pStyle w:val="naiskr"/>
              <w:spacing w:before="0" w:after="0"/>
              <w:jc w:val="both"/>
            </w:pPr>
            <w:r>
              <w:t>4</w:t>
            </w:r>
            <w:r w:rsidR="00EC1E49">
              <w:t>.punkts</w:t>
            </w:r>
          </w:p>
        </w:tc>
        <w:tc>
          <w:tcPr>
            <w:tcW w:w="1701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Atbilst pilnībā</w:t>
            </w:r>
          </w:p>
        </w:tc>
        <w:tc>
          <w:tcPr>
            <w:tcW w:w="2884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Netiek noteiktas stingrākas prasības.</w:t>
            </w:r>
          </w:p>
        </w:tc>
      </w:tr>
      <w:tr w:rsidR="00571341" w:rsidTr="00A10212">
        <w:trPr>
          <w:trHeight w:val="313"/>
          <w:jc w:val="center"/>
        </w:trPr>
        <w:tc>
          <w:tcPr>
            <w:tcW w:w="2035" w:type="dxa"/>
          </w:tcPr>
          <w:p w:rsidR="00571341" w:rsidRDefault="00571341" w:rsidP="00A10212">
            <w:pPr>
              <w:pStyle w:val="naiskr"/>
              <w:spacing w:before="0" w:after="0"/>
              <w:jc w:val="both"/>
            </w:pPr>
            <w:r>
              <w:t>6.panta 2.punkts</w:t>
            </w:r>
          </w:p>
        </w:tc>
        <w:tc>
          <w:tcPr>
            <w:tcW w:w="2835" w:type="dxa"/>
          </w:tcPr>
          <w:p w:rsidR="00571341" w:rsidRDefault="00571341" w:rsidP="00A10212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Netiks pārņemts</w:t>
            </w:r>
          </w:p>
        </w:tc>
        <w:tc>
          <w:tcPr>
            <w:tcW w:w="2884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Attiecas uz Eiropas Komisijas pilnvarām.</w:t>
            </w:r>
          </w:p>
        </w:tc>
      </w:tr>
      <w:tr w:rsidR="00571341" w:rsidTr="00A10212">
        <w:trPr>
          <w:trHeight w:val="313"/>
          <w:jc w:val="center"/>
        </w:trPr>
        <w:tc>
          <w:tcPr>
            <w:tcW w:w="2035" w:type="dxa"/>
          </w:tcPr>
          <w:p w:rsidR="00571341" w:rsidRDefault="00571341" w:rsidP="00A10212">
            <w:pPr>
              <w:pStyle w:val="naiskr"/>
              <w:spacing w:before="0" w:after="0"/>
              <w:jc w:val="both"/>
            </w:pPr>
            <w:r>
              <w:t>6.panta 3.punkts</w:t>
            </w:r>
          </w:p>
        </w:tc>
        <w:tc>
          <w:tcPr>
            <w:tcW w:w="2835" w:type="dxa"/>
          </w:tcPr>
          <w:p w:rsidR="00571341" w:rsidRDefault="00B84F5C" w:rsidP="00A10212">
            <w:pPr>
              <w:pStyle w:val="naiskr"/>
              <w:spacing w:before="0" w:after="0"/>
              <w:jc w:val="both"/>
            </w:pPr>
            <w:r>
              <w:t>6</w:t>
            </w:r>
            <w:r w:rsidR="00EC1E49">
              <w:t>.punkts</w:t>
            </w:r>
          </w:p>
        </w:tc>
        <w:tc>
          <w:tcPr>
            <w:tcW w:w="1701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Atbilst pilnībā</w:t>
            </w:r>
          </w:p>
        </w:tc>
        <w:tc>
          <w:tcPr>
            <w:tcW w:w="2884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Netiek noteiktas stingrākas prasības.</w:t>
            </w:r>
          </w:p>
        </w:tc>
      </w:tr>
      <w:tr w:rsidR="00571341" w:rsidTr="00A10212">
        <w:trPr>
          <w:trHeight w:val="313"/>
          <w:jc w:val="center"/>
        </w:trPr>
        <w:tc>
          <w:tcPr>
            <w:tcW w:w="2035" w:type="dxa"/>
          </w:tcPr>
          <w:p w:rsidR="00571341" w:rsidRDefault="00571341" w:rsidP="00A10212">
            <w:pPr>
              <w:pStyle w:val="naiskr"/>
              <w:spacing w:before="0" w:after="0"/>
              <w:jc w:val="both"/>
            </w:pPr>
            <w:r>
              <w:t>6.panta 4.punkts</w:t>
            </w:r>
          </w:p>
        </w:tc>
        <w:tc>
          <w:tcPr>
            <w:tcW w:w="2835" w:type="dxa"/>
          </w:tcPr>
          <w:p w:rsidR="00571341" w:rsidRDefault="00571341" w:rsidP="00A10212">
            <w:pPr>
              <w:pStyle w:val="naiskr"/>
              <w:spacing w:before="0" w:after="0"/>
              <w:jc w:val="both"/>
            </w:pPr>
          </w:p>
        </w:tc>
        <w:tc>
          <w:tcPr>
            <w:tcW w:w="1701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Netiks pārņemts</w:t>
            </w:r>
          </w:p>
        </w:tc>
        <w:tc>
          <w:tcPr>
            <w:tcW w:w="2884" w:type="dxa"/>
          </w:tcPr>
          <w:p w:rsidR="00571341" w:rsidRDefault="00EC1E49" w:rsidP="00A10212">
            <w:pPr>
              <w:pStyle w:val="naiskr"/>
              <w:spacing w:before="0" w:after="0"/>
              <w:jc w:val="both"/>
            </w:pPr>
            <w:r>
              <w:t>Netiks izmantota dalībvalstīm paredzētā rīcības brīvība noteikt papildus kritērijus, lai noteiktu, kad atkritumi pēc to pārstrādes nav uzskatāmi par atkritumiem.</w:t>
            </w:r>
          </w:p>
        </w:tc>
      </w:tr>
      <w:tr w:rsidR="00AB04F0" w:rsidRPr="00A977E6" w:rsidTr="00CE09DB">
        <w:trPr>
          <w:trHeight w:val="1252"/>
          <w:jc w:val="center"/>
        </w:trPr>
        <w:tc>
          <w:tcPr>
            <w:tcW w:w="2035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ind w:hanging="10"/>
              <w:jc w:val="both"/>
            </w:pPr>
            <w:r w:rsidRPr="00FB41DC">
              <w:lastRenderedPageBreak/>
              <w:t>Attiecīgā ES tiesību akta datums, numurs un nosaukums</w:t>
            </w:r>
          </w:p>
        </w:tc>
        <w:tc>
          <w:tcPr>
            <w:tcW w:w="7420" w:type="dxa"/>
            <w:gridSpan w:val="3"/>
            <w:vAlign w:val="center"/>
          </w:tcPr>
          <w:p w:rsidR="00AB04F0" w:rsidRPr="00AB04F0" w:rsidRDefault="00AB04F0" w:rsidP="00AB04F0">
            <w:pPr>
              <w:pStyle w:val="naisc"/>
              <w:spacing w:before="0" w:after="0"/>
              <w:jc w:val="both"/>
              <w:rPr>
                <w:i/>
              </w:rPr>
            </w:pPr>
            <w:r w:rsidRPr="00AB04F0">
              <w:t>Padomes 2011. gada 31.marta regulas Nr. 333/2011, ar ko paredz kritērijus, kuri nosaka, kad dažu veidu metāllūžņi vairs nav atkritumi saskaņā ar Eiropas Parlamenta un Padomes Direktīvu 2008/98/EK</w:t>
            </w:r>
            <w:r>
              <w:t xml:space="preserve"> </w:t>
            </w:r>
            <w:r w:rsidRPr="00AB04F0">
              <w:rPr>
                <w:i/>
              </w:rPr>
              <w:t xml:space="preserve">(OV L </w:t>
            </w:r>
            <w:proofErr w:type="spellStart"/>
            <w:r w:rsidRPr="00AB04F0">
              <w:rPr>
                <w:i/>
              </w:rPr>
              <w:t>L</w:t>
            </w:r>
            <w:proofErr w:type="spellEnd"/>
            <w:r w:rsidRPr="00AB04F0">
              <w:rPr>
                <w:i/>
              </w:rPr>
              <w:t xml:space="preserve"> 94, 8.4.2011., 2.lpp.)</w:t>
            </w:r>
          </w:p>
          <w:p w:rsidR="00AB04F0" w:rsidRPr="00A977E6" w:rsidRDefault="00AB04F0" w:rsidP="00CE09DB">
            <w:pPr>
              <w:pStyle w:val="naisc"/>
              <w:spacing w:before="0" w:after="0"/>
              <w:jc w:val="both"/>
            </w:pPr>
          </w:p>
        </w:tc>
      </w:tr>
      <w:tr w:rsidR="00AB04F0" w:rsidRPr="00FB41DC" w:rsidTr="00CE09DB">
        <w:trPr>
          <w:trHeight w:val="165"/>
          <w:jc w:val="center"/>
        </w:trPr>
        <w:tc>
          <w:tcPr>
            <w:tcW w:w="2035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 w:rsidRPr="00FB41DC">
              <w:t>A</w:t>
            </w:r>
          </w:p>
        </w:tc>
        <w:tc>
          <w:tcPr>
            <w:tcW w:w="2835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 w:rsidRPr="00FB41DC">
              <w:t>B</w:t>
            </w:r>
          </w:p>
        </w:tc>
        <w:tc>
          <w:tcPr>
            <w:tcW w:w="1701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 w:rsidRPr="00FB41DC">
              <w:t>C</w:t>
            </w:r>
          </w:p>
        </w:tc>
        <w:tc>
          <w:tcPr>
            <w:tcW w:w="2884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 w:rsidRPr="00FB41DC">
              <w:t>D</w:t>
            </w:r>
          </w:p>
        </w:tc>
      </w:tr>
      <w:tr w:rsidR="00AB04F0" w:rsidRPr="00FB41DC" w:rsidTr="00CE09DB">
        <w:trPr>
          <w:trHeight w:val="165"/>
          <w:jc w:val="center"/>
        </w:trPr>
        <w:tc>
          <w:tcPr>
            <w:tcW w:w="2035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>
              <w:t>3.pants</w:t>
            </w:r>
          </w:p>
        </w:tc>
        <w:tc>
          <w:tcPr>
            <w:tcW w:w="2835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>
              <w:t>6.1 1.punkts</w:t>
            </w:r>
          </w:p>
        </w:tc>
        <w:tc>
          <w:tcPr>
            <w:tcW w:w="1701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>
              <w:t>Atbilst pilnībā</w:t>
            </w:r>
          </w:p>
        </w:tc>
        <w:tc>
          <w:tcPr>
            <w:tcW w:w="2884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>
              <w:t>Netiek noteiktas stingrākas prasības</w:t>
            </w:r>
          </w:p>
        </w:tc>
      </w:tr>
      <w:tr w:rsidR="00AB04F0" w:rsidRPr="00FB41DC" w:rsidTr="00CE09DB">
        <w:trPr>
          <w:trHeight w:val="165"/>
          <w:jc w:val="center"/>
        </w:trPr>
        <w:tc>
          <w:tcPr>
            <w:tcW w:w="2035" w:type="dxa"/>
            <w:vAlign w:val="center"/>
          </w:tcPr>
          <w:p w:rsidR="00AB04F0" w:rsidRDefault="00AB04F0" w:rsidP="00CE09DB">
            <w:pPr>
              <w:pStyle w:val="naiskr"/>
              <w:spacing w:before="0" w:after="0"/>
              <w:jc w:val="both"/>
            </w:pPr>
            <w:r>
              <w:t>4.pants</w:t>
            </w:r>
          </w:p>
        </w:tc>
        <w:tc>
          <w:tcPr>
            <w:tcW w:w="2835" w:type="dxa"/>
            <w:vAlign w:val="center"/>
          </w:tcPr>
          <w:p w:rsidR="00AB04F0" w:rsidRDefault="00AB04F0" w:rsidP="00CE09DB">
            <w:pPr>
              <w:pStyle w:val="naiskr"/>
              <w:spacing w:before="0" w:after="0"/>
              <w:jc w:val="both"/>
            </w:pPr>
            <w:r>
              <w:t>6.1 1.punkts</w:t>
            </w:r>
          </w:p>
        </w:tc>
        <w:tc>
          <w:tcPr>
            <w:tcW w:w="1701" w:type="dxa"/>
            <w:vAlign w:val="center"/>
          </w:tcPr>
          <w:p w:rsidR="00AB04F0" w:rsidRDefault="00AB04F0" w:rsidP="00CE09DB">
            <w:pPr>
              <w:pStyle w:val="naiskr"/>
              <w:spacing w:before="0" w:after="0"/>
              <w:jc w:val="both"/>
            </w:pPr>
          </w:p>
        </w:tc>
        <w:tc>
          <w:tcPr>
            <w:tcW w:w="2884" w:type="dxa"/>
            <w:vAlign w:val="center"/>
          </w:tcPr>
          <w:p w:rsidR="00AB04F0" w:rsidRDefault="00AB04F0" w:rsidP="00CE09DB">
            <w:pPr>
              <w:pStyle w:val="naiskr"/>
              <w:spacing w:before="0" w:after="0"/>
              <w:jc w:val="both"/>
            </w:pPr>
          </w:p>
        </w:tc>
      </w:tr>
      <w:tr w:rsidR="00AB04F0" w:rsidRPr="00A977E6" w:rsidTr="00CE09DB">
        <w:trPr>
          <w:trHeight w:val="1252"/>
          <w:jc w:val="center"/>
        </w:trPr>
        <w:tc>
          <w:tcPr>
            <w:tcW w:w="2035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ind w:hanging="10"/>
              <w:jc w:val="both"/>
            </w:pPr>
            <w:r w:rsidRPr="00FB41DC">
              <w:t>Attiecīgā ES tiesību akta datums, numurs un nosaukums</w:t>
            </w:r>
          </w:p>
        </w:tc>
        <w:tc>
          <w:tcPr>
            <w:tcW w:w="7420" w:type="dxa"/>
            <w:gridSpan w:val="3"/>
            <w:vAlign w:val="center"/>
          </w:tcPr>
          <w:p w:rsidR="00AB04F0" w:rsidRPr="00A977E6" w:rsidRDefault="00AB04F0" w:rsidP="00CE09DB">
            <w:pPr>
              <w:pStyle w:val="naisc"/>
              <w:spacing w:before="0" w:after="0"/>
              <w:jc w:val="both"/>
            </w:pPr>
            <w:r w:rsidRPr="00AB04F0">
              <w:t>Eiropas Komisijas 2012. gada 10.decembra regulas Nr. 1179/2012, ar ko paredz kritērijus, kuri nosaka, kad stikla lauskas vairs nav atkritumi saskaņā ar Eiropas Parlamenta un Padomes Direktīvu 2008/98/EK</w:t>
            </w:r>
            <w:r>
              <w:t xml:space="preserve"> </w:t>
            </w:r>
            <w:r w:rsidRPr="00AB04F0">
              <w:rPr>
                <w:i/>
              </w:rPr>
              <w:t xml:space="preserve">(OV L </w:t>
            </w:r>
            <w:proofErr w:type="spellStart"/>
            <w:r w:rsidRPr="00AB04F0">
              <w:rPr>
                <w:i/>
              </w:rPr>
              <w:t>L</w:t>
            </w:r>
            <w:proofErr w:type="spellEnd"/>
            <w:r w:rsidRPr="00AB04F0">
              <w:rPr>
                <w:i/>
              </w:rPr>
              <w:t xml:space="preserve"> 337, 11.12.2012, 31.lpp.)</w:t>
            </w:r>
          </w:p>
        </w:tc>
      </w:tr>
      <w:tr w:rsidR="00AB04F0" w:rsidRPr="00FB41DC" w:rsidTr="00CE09DB">
        <w:trPr>
          <w:trHeight w:val="165"/>
          <w:jc w:val="center"/>
        </w:trPr>
        <w:tc>
          <w:tcPr>
            <w:tcW w:w="2035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 w:rsidRPr="00FB41DC">
              <w:t>A</w:t>
            </w:r>
          </w:p>
        </w:tc>
        <w:tc>
          <w:tcPr>
            <w:tcW w:w="2835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 w:rsidRPr="00FB41DC">
              <w:t>B</w:t>
            </w:r>
          </w:p>
        </w:tc>
        <w:tc>
          <w:tcPr>
            <w:tcW w:w="1701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 w:rsidRPr="00FB41DC">
              <w:t>C</w:t>
            </w:r>
          </w:p>
        </w:tc>
        <w:tc>
          <w:tcPr>
            <w:tcW w:w="2884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 w:rsidRPr="00FB41DC">
              <w:t>D</w:t>
            </w:r>
          </w:p>
        </w:tc>
      </w:tr>
      <w:tr w:rsidR="00AB04F0" w:rsidRPr="00FB41DC" w:rsidTr="00CE09DB">
        <w:trPr>
          <w:trHeight w:val="165"/>
          <w:jc w:val="center"/>
        </w:trPr>
        <w:tc>
          <w:tcPr>
            <w:tcW w:w="2035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>
              <w:t>3.pants</w:t>
            </w:r>
          </w:p>
        </w:tc>
        <w:tc>
          <w:tcPr>
            <w:tcW w:w="2835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>
              <w:t>6.1 2.punkts</w:t>
            </w:r>
          </w:p>
        </w:tc>
        <w:tc>
          <w:tcPr>
            <w:tcW w:w="1701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>
              <w:t>Atbilst pilnībā</w:t>
            </w:r>
          </w:p>
        </w:tc>
        <w:tc>
          <w:tcPr>
            <w:tcW w:w="2884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>
              <w:t>Netiek noteiktas stingrākas prasības</w:t>
            </w:r>
          </w:p>
        </w:tc>
      </w:tr>
      <w:tr w:rsidR="00AB04F0" w:rsidRPr="00A977E6" w:rsidTr="00CE09DB">
        <w:trPr>
          <w:trHeight w:val="1252"/>
          <w:jc w:val="center"/>
        </w:trPr>
        <w:tc>
          <w:tcPr>
            <w:tcW w:w="2035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ind w:hanging="10"/>
              <w:jc w:val="both"/>
            </w:pPr>
            <w:r w:rsidRPr="00FB41DC">
              <w:t>Attiecīgā ES tiesību akta datums, numurs un nosaukums</w:t>
            </w:r>
          </w:p>
        </w:tc>
        <w:tc>
          <w:tcPr>
            <w:tcW w:w="7420" w:type="dxa"/>
            <w:gridSpan w:val="3"/>
            <w:vAlign w:val="center"/>
          </w:tcPr>
          <w:p w:rsidR="00AB04F0" w:rsidRPr="00AB04F0" w:rsidRDefault="00AB04F0" w:rsidP="00AB04F0">
            <w:pPr>
              <w:pStyle w:val="naisc"/>
              <w:spacing w:before="0" w:after="0"/>
              <w:jc w:val="both"/>
              <w:rPr>
                <w:i/>
              </w:rPr>
            </w:pPr>
            <w:r w:rsidRPr="00AB04F0">
              <w:t>Eiropas Komisijas 2013. gada 25.jūlija regulai Nr. 715/2013, ar ko paredz kritērijus, kuri nosaka, kad vara lūžņi vairs nav atkritumi saskaņā ar Eiropas Parlamenta un Padomes Direktīvu 2008/98/EK</w:t>
            </w:r>
            <w:r>
              <w:t xml:space="preserve"> </w:t>
            </w:r>
            <w:r w:rsidRPr="00AB04F0">
              <w:rPr>
                <w:i/>
              </w:rPr>
              <w:t>(OV L 214, 26.7.2013., 14.lpp.)</w:t>
            </w:r>
          </w:p>
          <w:p w:rsidR="00AB04F0" w:rsidRPr="00A977E6" w:rsidRDefault="00AB04F0" w:rsidP="00CE09DB">
            <w:pPr>
              <w:pStyle w:val="naisc"/>
              <w:spacing w:before="0" w:after="0"/>
              <w:jc w:val="both"/>
            </w:pPr>
          </w:p>
        </w:tc>
      </w:tr>
      <w:tr w:rsidR="00AB04F0" w:rsidRPr="00FB41DC" w:rsidTr="00CE09DB">
        <w:trPr>
          <w:trHeight w:val="165"/>
          <w:jc w:val="center"/>
        </w:trPr>
        <w:tc>
          <w:tcPr>
            <w:tcW w:w="2035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 w:rsidRPr="00FB41DC">
              <w:t>A</w:t>
            </w:r>
          </w:p>
        </w:tc>
        <w:tc>
          <w:tcPr>
            <w:tcW w:w="2835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 w:rsidRPr="00FB41DC">
              <w:t>B</w:t>
            </w:r>
          </w:p>
        </w:tc>
        <w:tc>
          <w:tcPr>
            <w:tcW w:w="1701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 w:rsidRPr="00FB41DC">
              <w:t>C</w:t>
            </w:r>
          </w:p>
        </w:tc>
        <w:tc>
          <w:tcPr>
            <w:tcW w:w="2884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 w:rsidRPr="00FB41DC">
              <w:t>D</w:t>
            </w:r>
          </w:p>
        </w:tc>
      </w:tr>
      <w:tr w:rsidR="00AB04F0" w:rsidRPr="00FB41DC" w:rsidTr="00CE09DB">
        <w:trPr>
          <w:trHeight w:val="165"/>
          <w:jc w:val="center"/>
        </w:trPr>
        <w:tc>
          <w:tcPr>
            <w:tcW w:w="2035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>
              <w:t>3.pants</w:t>
            </w:r>
          </w:p>
        </w:tc>
        <w:tc>
          <w:tcPr>
            <w:tcW w:w="2835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>
              <w:t>6.2 3.punkts</w:t>
            </w:r>
          </w:p>
        </w:tc>
        <w:tc>
          <w:tcPr>
            <w:tcW w:w="1701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>
              <w:t>Atbilst pilnībā</w:t>
            </w:r>
          </w:p>
        </w:tc>
        <w:tc>
          <w:tcPr>
            <w:tcW w:w="2884" w:type="dxa"/>
            <w:vAlign w:val="center"/>
          </w:tcPr>
          <w:p w:rsidR="00AB04F0" w:rsidRPr="00FB41DC" w:rsidRDefault="00AB04F0" w:rsidP="00CE09DB">
            <w:pPr>
              <w:pStyle w:val="naiskr"/>
              <w:spacing w:before="0" w:after="0"/>
              <w:jc w:val="both"/>
            </w:pPr>
            <w:r>
              <w:t>Netiek noteiktas stingrākas prasības</w:t>
            </w:r>
          </w:p>
        </w:tc>
      </w:tr>
    </w:tbl>
    <w:p w:rsidR="0062329B" w:rsidRDefault="0062329B" w:rsidP="0062329B">
      <w:pPr>
        <w:pStyle w:val="naisf"/>
        <w:spacing w:before="0" w:after="0"/>
        <w:ind w:firstLine="0"/>
      </w:pPr>
    </w:p>
    <w:p w:rsidR="0062329B" w:rsidRDefault="0062329B" w:rsidP="0062329B">
      <w:pPr>
        <w:pStyle w:val="naisf"/>
        <w:spacing w:before="0" w:after="0"/>
        <w:ind w:firstLine="0"/>
      </w:pPr>
    </w:p>
    <w:tbl>
      <w:tblPr>
        <w:tblW w:w="9522" w:type="dxa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836"/>
        <w:gridCol w:w="6686"/>
      </w:tblGrid>
      <w:tr w:rsidR="0062329B" w:rsidRPr="006C4B9F" w:rsidTr="00EC1E49">
        <w:trPr>
          <w:trHeight w:val="281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29B" w:rsidRPr="006C4B9F" w:rsidRDefault="0062329B" w:rsidP="00A10212">
            <w:pPr>
              <w:pStyle w:val="naiskr"/>
              <w:spacing w:before="0" w:after="0"/>
              <w:jc w:val="both"/>
            </w:pPr>
            <w:r w:rsidRPr="006C4B9F">
              <w:t> Kā ir izmantota ES tiesību aktā paredzētā rīcības brīvība dalībvalstij pārņemt vai ieviest noteiktas ES tiesību akta normas.</w:t>
            </w:r>
          </w:p>
          <w:p w:rsidR="0062329B" w:rsidRPr="006C4B9F" w:rsidRDefault="0062329B" w:rsidP="00A10212">
            <w:pPr>
              <w:pStyle w:val="naiskr"/>
              <w:spacing w:before="0" w:after="0"/>
              <w:jc w:val="both"/>
            </w:pPr>
            <w:r w:rsidRPr="006C4B9F">
              <w:t>Kādēļ?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9B" w:rsidRPr="000742CE" w:rsidRDefault="00EC1E49" w:rsidP="00440D34">
            <w:pPr>
              <w:jc w:val="both"/>
              <w:rPr>
                <w:b/>
              </w:rPr>
            </w:pPr>
            <w:r>
              <w:t>Netiks izmantota Direktīvas 2008/98/EK 6.panta 4.punktā dalībvalstīm noteiktā rīcības brīvība noteikt papildus kritērijus, lai noteiktu,</w:t>
            </w:r>
            <w:r w:rsidR="00440D34">
              <w:t xml:space="preserve"> kad atkritumi pēc to reģenerācijas</w:t>
            </w:r>
            <w:proofErr w:type="gramStart"/>
            <w:r w:rsidR="00440D34">
              <w:t xml:space="preserve"> </w:t>
            </w:r>
            <w:r>
              <w:t xml:space="preserve"> </w:t>
            </w:r>
            <w:proofErr w:type="gramEnd"/>
            <w:r>
              <w:t xml:space="preserve">nav uzskatāmi par atkritumiem, tā kā jau šobrīd direktīvas 6.panta 1.daļā minētie kritēriji jau ir pietiekami, lai varētu pieņemt lēmumu, kad </w:t>
            </w:r>
            <w:r w:rsidR="00440D34">
              <w:t>reģenerē</w:t>
            </w:r>
            <w:r>
              <w:t>ti atkritumi vairs nav uzskatāmi par atkritumiem.</w:t>
            </w:r>
          </w:p>
        </w:tc>
      </w:tr>
      <w:tr w:rsidR="0062329B" w:rsidRPr="006C4B9F" w:rsidTr="00EC1E49">
        <w:trPr>
          <w:trHeight w:val="913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29B" w:rsidRPr="006C4B9F" w:rsidRDefault="0062329B" w:rsidP="00A10212">
            <w:pPr>
              <w:pStyle w:val="naiskr"/>
              <w:spacing w:before="0" w:after="0"/>
              <w:jc w:val="both"/>
            </w:pPr>
            <w:r w:rsidRPr="006C4B9F">
              <w:t> 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9B" w:rsidRPr="006C4B9F" w:rsidRDefault="0062329B" w:rsidP="00A10212">
            <w:pPr>
              <w:pStyle w:val="naiskr"/>
              <w:spacing w:before="0" w:after="0"/>
            </w:pPr>
            <w:r w:rsidRPr="006C4B9F">
              <w:t> </w:t>
            </w:r>
            <w:r>
              <w:t>Projekts šo jomu neskar.</w:t>
            </w:r>
          </w:p>
        </w:tc>
      </w:tr>
      <w:tr w:rsidR="0062329B" w:rsidRPr="006C4B9F" w:rsidTr="00EC1E49">
        <w:trPr>
          <w:trHeight w:val="579"/>
          <w:tblCellSpacing w:w="0" w:type="dxa"/>
        </w:trPr>
        <w:tc>
          <w:tcPr>
            <w:tcW w:w="2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9B" w:rsidRPr="006C4B9F" w:rsidRDefault="0062329B" w:rsidP="00A10212">
            <w:pPr>
              <w:pStyle w:val="naiskr"/>
              <w:spacing w:before="0" w:after="0"/>
            </w:pPr>
            <w:r w:rsidRPr="006C4B9F">
              <w:t> Cita informācija</w:t>
            </w:r>
          </w:p>
        </w:tc>
        <w:tc>
          <w:tcPr>
            <w:tcW w:w="66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2329B" w:rsidRPr="006C4B9F" w:rsidRDefault="0062329B" w:rsidP="00A10212">
            <w:pPr>
              <w:pStyle w:val="naiskr"/>
              <w:spacing w:before="0" w:after="0"/>
              <w:jc w:val="both"/>
            </w:pPr>
            <w:r>
              <w:t>Nav</w:t>
            </w:r>
          </w:p>
          <w:p w:rsidR="0062329B" w:rsidRPr="006C4B9F" w:rsidRDefault="0062329B" w:rsidP="00A10212">
            <w:pPr>
              <w:pStyle w:val="naiskr"/>
              <w:spacing w:before="0" w:after="0"/>
              <w:jc w:val="both"/>
            </w:pPr>
          </w:p>
        </w:tc>
      </w:tr>
    </w:tbl>
    <w:p w:rsidR="0062329B" w:rsidRPr="006C4B9F" w:rsidRDefault="0062329B" w:rsidP="0062329B">
      <w:pPr>
        <w:pStyle w:val="naisf"/>
        <w:ind w:firstLine="0"/>
      </w:pPr>
    </w:p>
    <w:tbl>
      <w:tblPr>
        <w:tblW w:w="93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9375"/>
      </w:tblGrid>
      <w:tr w:rsidR="0062329B" w:rsidRPr="006C4B9F" w:rsidTr="00A10212">
        <w:trPr>
          <w:trHeight w:val="792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29B" w:rsidRPr="006C4B9F" w:rsidRDefault="0062329B" w:rsidP="00A10212">
            <w:pPr>
              <w:pStyle w:val="naisnod"/>
              <w:spacing w:before="0" w:after="0"/>
            </w:pPr>
            <w:r w:rsidRPr="006C4B9F">
              <w:lastRenderedPageBreak/>
              <w:t> 2.tabula</w:t>
            </w:r>
          </w:p>
          <w:p w:rsidR="0062329B" w:rsidRPr="006C4B9F" w:rsidRDefault="0062329B" w:rsidP="00A10212">
            <w:pPr>
              <w:pStyle w:val="naisnod"/>
              <w:spacing w:before="0" w:after="0"/>
            </w:pPr>
            <w:r w:rsidRPr="006C4B9F">
              <w:t>Ar tiesību akta projektu uzņemtās saistības, kas izriet no starptautiskajiem tiesību aktiem vai starptautiskas institūcijas vai organizācijas dokumentiem</w:t>
            </w:r>
          </w:p>
          <w:p w:rsidR="0062329B" w:rsidRPr="006C4B9F" w:rsidRDefault="0062329B" w:rsidP="00A10212">
            <w:pPr>
              <w:pStyle w:val="naisnod"/>
              <w:spacing w:before="0" w:after="0"/>
            </w:pPr>
            <w:r w:rsidRPr="006C4B9F">
              <w:t>Pasākumi šo saistību izpildei</w:t>
            </w:r>
          </w:p>
        </w:tc>
      </w:tr>
      <w:tr w:rsidR="0062329B" w:rsidRPr="006C4B9F" w:rsidTr="00A10212">
        <w:trPr>
          <w:trHeight w:val="792"/>
          <w:tblCellSpacing w:w="0" w:type="dxa"/>
        </w:trPr>
        <w:tc>
          <w:tcPr>
            <w:tcW w:w="9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2329B" w:rsidRPr="000F3435" w:rsidRDefault="0062329B" w:rsidP="00A10212">
            <w:pPr>
              <w:pStyle w:val="naisnod"/>
              <w:spacing w:before="0" w:after="0"/>
              <w:rPr>
                <w:b w:val="0"/>
              </w:rPr>
            </w:pPr>
            <w:r w:rsidRPr="000F3435">
              <w:rPr>
                <w:b w:val="0"/>
              </w:rPr>
              <w:t>Projekts šo jomu neskar</w:t>
            </w:r>
          </w:p>
        </w:tc>
      </w:tr>
    </w:tbl>
    <w:p w:rsidR="0062329B" w:rsidRPr="00FB41DC" w:rsidRDefault="0062329B" w:rsidP="0062329B"/>
    <w:tbl>
      <w:tblPr>
        <w:tblW w:w="9472" w:type="dxa"/>
        <w:jc w:val="center"/>
        <w:tblInd w:w="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85"/>
        <w:gridCol w:w="4568"/>
        <w:gridCol w:w="4419"/>
      </w:tblGrid>
      <w:tr w:rsidR="0062329B" w:rsidRPr="00FB41DC" w:rsidTr="00A10212">
        <w:trPr>
          <w:jc w:val="center"/>
        </w:trPr>
        <w:tc>
          <w:tcPr>
            <w:tcW w:w="9472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nod"/>
              <w:spacing w:before="0" w:after="0"/>
              <w:ind w:left="57" w:right="57"/>
            </w:pPr>
            <w:r w:rsidRPr="00FB41DC">
              <w:t xml:space="preserve">VI. Sabiedrības līdzdalība un </w:t>
            </w:r>
            <w:r>
              <w:t>komunikācijas aktivitātes</w:t>
            </w:r>
          </w:p>
        </w:tc>
      </w:tr>
      <w:tr w:rsidR="0062329B" w:rsidRPr="00FB41DC" w:rsidTr="00A10212">
        <w:trPr>
          <w:trHeight w:val="553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1.</w:t>
            </w:r>
          </w:p>
        </w:tc>
        <w:tc>
          <w:tcPr>
            <w:tcW w:w="45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kr"/>
              <w:tabs>
                <w:tab w:val="left" w:pos="170"/>
              </w:tabs>
              <w:spacing w:before="0" w:after="0"/>
              <w:ind w:left="57" w:right="57"/>
            </w:pPr>
            <w:r>
              <w:t>Plānotās sabiedrības līdzdalības un komunikācijas aktivitātes saistībā ar projektu</w:t>
            </w:r>
          </w:p>
        </w:tc>
        <w:tc>
          <w:tcPr>
            <w:tcW w:w="44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kr"/>
              <w:spacing w:before="0" w:after="0"/>
              <w:ind w:left="57" w:right="57"/>
              <w:jc w:val="both"/>
            </w:pPr>
            <w:r>
              <w:t>No</w:t>
            </w:r>
            <w:r w:rsidR="00440D34">
              <w:t>teikumu projekts no 2014.gada 4</w:t>
            </w:r>
            <w:r w:rsidR="00B84F5C">
              <w:t>.jūl</w:t>
            </w:r>
            <w:r>
              <w:t>ija</w:t>
            </w:r>
            <w:r w:rsidRPr="009B45E5">
              <w:t xml:space="preserve"> </w:t>
            </w:r>
            <w:r>
              <w:t xml:space="preserve">ir pieejams Vides aizsardzības un reģionālās attīstības ministrijas mājas lapā </w:t>
            </w:r>
            <w:hyperlink r:id="rId7" w:history="1">
              <w:r w:rsidRPr="00EB4802">
                <w:rPr>
                  <w:rStyle w:val="Hyperlink"/>
                </w:rPr>
                <w:t>www.varam.gov.lv</w:t>
              </w:r>
            </w:hyperlink>
            <w:r>
              <w:t>, līdz ar to ieinteresētajām personām ir iespēja izteikt viedokli un sniegt priekšlikumus.</w:t>
            </w:r>
          </w:p>
        </w:tc>
      </w:tr>
      <w:tr w:rsidR="0062329B" w:rsidRPr="00FB41DC" w:rsidTr="00A10212">
        <w:trPr>
          <w:trHeight w:val="339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2.</w:t>
            </w:r>
          </w:p>
        </w:tc>
        <w:tc>
          <w:tcPr>
            <w:tcW w:w="45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kr"/>
              <w:spacing w:before="0" w:after="0"/>
              <w:ind w:left="57" w:right="57"/>
            </w:pPr>
            <w:r w:rsidRPr="00FB41DC">
              <w:t xml:space="preserve">Sabiedrības līdzdalība projekta izstrādē </w:t>
            </w:r>
          </w:p>
        </w:tc>
        <w:tc>
          <w:tcPr>
            <w:tcW w:w="44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kr"/>
              <w:spacing w:before="0" w:after="0"/>
              <w:ind w:left="57" w:right="57"/>
              <w:jc w:val="both"/>
            </w:pPr>
            <w:r>
              <w:t>Priekšlikumi vai iebildumi par noteikumu projektu nav saņemti</w:t>
            </w:r>
          </w:p>
        </w:tc>
      </w:tr>
      <w:tr w:rsidR="0062329B" w:rsidRPr="00FB41DC" w:rsidTr="00A10212">
        <w:trPr>
          <w:trHeight w:val="375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kr"/>
              <w:spacing w:before="0" w:after="0"/>
              <w:ind w:left="57" w:right="57"/>
              <w:rPr>
                <w:bCs/>
              </w:rPr>
            </w:pPr>
            <w:r w:rsidRPr="00FB41DC">
              <w:rPr>
                <w:bCs/>
              </w:rPr>
              <w:t>3.</w:t>
            </w:r>
          </w:p>
        </w:tc>
        <w:tc>
          <w:tcPr>
            <w:tcW w:w="45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kr"/>
              <w:spacing w:before="0" w:after="0"/>
              <w:ind w:left="57" w:right="57"/>
            </w:pPr>
            <w:r w:rsidRPr="00FB41DC">
              <w:t xml:space="preserve">Sabiedrības līdzdalības rezultāti </w:t>
            </w:r>
          </w:p>
        </w:tc>
        <w:tc>
          <w:tcPr>
            <w:tcW w:w="44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kr"/>
              <w:spacing w:before="0" w:after="0"/>
              <w:ind w:right="57"/>
              <w:jc w:val="both"/>
            </w:pPr>
            <w:r>
              <w:t>Saņemtie priekšlikumi pēc izvērtēšanas tiks iestrādāti noteikumu projektā vai arī tiks sniegts pamatojums, kāpēc sabiedrības priekšlikumi nav iekļaujami noteikumu projektā.</w:t>
            </w:r>
          </w:p>
        </w:tc>
      </w:tr>
      <w:tr w:rsidR="0062329B" w:rsidRPr="00FB41DC" w:rsidTr="00A10212">
        <w:trPr>
          <w:trHeight w:val="476"/>
          <w:jc w:val="center"/>
        </w:trPr>
        <w:tc>
          <w:tcPr>
            <w:tcW w:w="4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kr"/>
              <w:spacing w:before="0" w:after="0"/>
              <w:ind w:left="57" w:right="57"/>
              <w:rPr>
                <w:bCs/>
              </w:rPr>
            </w:pPr>
            <w:r>
              <w:rPr>
                <w:bCs/>
              </w:rPr>
              <w:t>4</w:t>
            </w:r>
            <w:r w:rsidRPr="00FB41DC">
              <w:rPr>
                <w:bCs/>
              </w:rPr>
              <w:t>.</w:t>
            </w:r>
          </w:p>
        </w:tc>
        <w:tc>
          <w:tcPr>
            <w:tcW w:w="45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kr"/>
              <w:spacing w:before="0" w:after="0"/>
              <w:ind w:left="57" w:right="57"/>
            </w:pPr>
            <w:r w:rsidRPr="00FB41DC">
              <w:t>Cita informācija</w:t>
            </w:r>
          </w:p>
        </w:tc>
        <w:tc>
          <w:tcPr>
            <w:tcW w:w="441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kr"/>
              <w:spacing w:before="0" w:after="0"/>
              <w:ind w:right="57"/>
              <w:jc w:val="both"/>
            </w:pPr>
            <w:r>
              <w:t>Nav.</w:t>
            </w:r>
          </w:p>
        </w:tc>
      </w:tr>
    </w:tbl>
    <w:p w:rsidR="0062329B" w:rsidRPr="00FB41DC" w:rsidRDefault="0062329B" w:rsidP="0062329B"/>
    <w:tbl>
      <w:tblPr>
        <w:tblW w:w="9474" w:type="dxa"/>
        <w:jc w:val="center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86"/>
        <w:gridCol w:w="4570"/>
        <w:gridCol w:w="4418"/>
      </w:tblGrid>
      <w:tr w:rsidR="0062329B" w:rsidRPr="00FB41DC" w:rsidTr="00A10212">
        <w:trPr>
          <w:jc w:val="center"/>
        </w:trPr>
        <w:tc>
          <w:tcPr>
            <w:tcW w:w="9474" w:type="dxa"/>
            <w:gridSpan w:val="3"/>
            <w:tcBorders>
              <w:top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nod"/>
              <w:spacing w:before="0" w:after="0"/>
              <w:ind w:left="57" w:right="57"/>
            </w:pPr>
            <w:r w:rsidRPr="00FB41DC">
              <w:t>VII. Tiesību akta projekta izpildes nodrošināšana un tās ietekme uz institūcijām</w:t>
            </w:r>
          </w:p>
        </w:tc>
      </w:tr>
      <w:tr w:rsidR="0062329B" w:rsidRPr="00FB41DC" w:rsidTr="00A10212">
        <w:trPr>
          <w:trHeight w:val="427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FB41DC">
              <w:rPr>
                <w:b w:val="0"/>
              </w:rPr>
              <w:t>1.</w:t>
            </w:r>
          </w:p>
        </w:tc>
        <w:tc>
          <w:tcPr>
            <w:tcW w:w="45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f"/>
              <w:spacing w:before="0" w:after="0"/>
              <w:ind w:left="57" w:right="57" w:firstLine="0"/>
              <w:jc w:val="left"/>
            </w:pPr>
            <w:r w:rsidRPr="00FB41DC">
              <w:t xml:space="preserve">Projekta izpildē iesaistītās institūcijas </w:t>
            </w:r>
          </w:p>
        </w:tc>
        <w:tc>
          <w:tcPr>
            <w:tcW w:w="4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BA241B" w:rsidRDefault="0062329B" w:rsidP="0062329B">
            <w:pPr>
              <w:pStyle w:val="naisc"/>
              <w:spacing w:before="0" w:after="0"/>
              <w:jc w:val="both"/>
            </w:pPr>
            <w:r w:rsidRPr="00BA241B">
              <w:t>Valsts Vides dienests</w:t>
            </w:r>
            <w:r>
              <w:t>, Vides pārraudzības valsts birojs</w:t>
            </w:r>
          </w:p>
        </w:tc>
      </w:tr>
      <w:tr w:rsidR="0062329B" w:rsidRPr="00FB41DC" w:rsidTr="00A10212">
        <w:trPr>
          <w:trHeight w:val="463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nod"/>
              <w:spacing w:before="0" w:after="0"/>
              <w:ind w:left="57" w:right="57"/>
              <w:jc w:val="left"/>
              <w:rPr>
                <w:b w:val="0"/>
              </w:rPr>
            </w:pPr>
            <w:r w:rsidRPr="00FB41DC">
              <w:rPr>
                <w:b w:val="0"/>
              </w:rPr>
              <w:t>2.</w:t>
            </w:r>
          </w:p>
        </w:tc>
        <w:tc>
          <w:tcPr>
            <w:tcW w:w="45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f"/>
              <w:spacing w:before="0" w:after="0"/>
              <w:ind w:left="57" w:right="57" w:firstLine="0"/>
              <w:jc w:val="left"/>
            </w:pPr>
            <w:r w:rsidRPr="00FB41DC">
              <w:t xml:space="preserve">Projekta izpildes ietekme uz pārvaldes funkcijām </w:t>
            </w:r>
            <w:r>
              <w:t>un institucionālo struktūru</w:t>
            </w:r>
          </w:p>
        </w:tc>
        <w:tc>
          <w:tcPr>
            <w:tcW w:w="4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Default="0062329B" w:rsidP="00A10212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  <w:r>
              <w:rPr>
                <w:b w:val="0"/>
              </w:rPr>
              <w:t>Noteikumu projekts neietekmē iesaistīto institūciju funkcijas un uzdevumus.</w:t>
            </w:r>
          </w:p>
          <w:p w:rsidR="0062329B" w:rsidRDefault="0062329B" w:rsidP="00A10212">
            <w:pPr>
              <w:pStyle w:val="naisnod"/>
              <w:spacing w:before="0" w:after="0"/>
              <w:ind w:right="57"/>
              <w:jc w:val="both"/>
              <w:rPr>
                <w:b w:val="0"/>
              </w:rPr>
            </w:pPr>
            <w:r>
              <w:rPr>
                <w:b w:val="0"/>
              </w:rPr>
              <w:t>Nav paredzēta jauno institūciju izveide/likvidēšana/reorganizēšana</w:t>
            </w:r>
          </w:p>
          <w:p w:rsidR="0062329B" w:rsidRPr="00F862E3" w:rsidRDefault="0062329B" w:rsidP="00A10212">
            <w:pPr>
              <w:pStyle w:val="naisnod"/>
              <w:spacing w:before="0" w:after="0"/>
              <w:ind w:right="57"/>
              <w:jc w:val="left"/>
              <w:rPr>
                <w:b w:val="0"/>
              </w:rPr>
            </w:pPr>
          </w:p>
        </w:tc>
      </w:tr>
      <w:tr w:rsidR="0062329B" w:rsidRPr="00FB41DC" w:rsidTr="00A10212">
        <w:trPr>
          <w:trHeight w:val="476"/>
          <w:jc w:val="center"/>
        </w:trPr>
        <w:tc>
          <w:tcPr>
            <w:tcW w:w="4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kr"/>
              <w:spacing w:before="0" w:after="0"/>
              <w:ind w:left="57" w:right="57"/>
            </w:pPr>
            <w:r>
              <w:t>3</w:t>
            </w:r>
            <w:r w:rsidRPr="00FB41DC">
              <w:t>.</w:t>
            </w:r>
          </w:p>
        </w:tc>
        <w:tc>
          <w:tcPr>
            <w:tcW w:w="4570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kr"/>
              <w:spacing w:before="0" w:after="0"/>
              <w:ind w:left="57" w:right="57"/>
            </w:pPr>
            <w:r w:rsidRPr="00FB41DC">
              <w:t>Cita informācija</w:t>
            </w:r>
          </w:p>
        </w:tc>
        <w:tc>
          <w:tcPr>
            <w:tcW w:w="441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2329B" w:rsidRPr="00FB41DC" w:rsidRDefault="0062329B" w:rsidP="00A10212">
            <w:pPr>
              <w:pStyle w:val="naiskr"/>
              <w:spacing w:before="0" w:after="0"/>
              <w:ind w:left="57" w:right="57"/>
            </w:pPr>
            <w:r>
              <w:t>Nav.</w:t>
            </w:r>
          </w:p>
        </w:tc>
      </w:tr>
    </w:tbl>
    <w:p w:rsidR="0062329B" w:rsidRDefault="0062329B" w:rsidP="0062329B">
      <w:pPr>
        <w:pStyle w:val="naisf"/>
        <w:spacing w:before="0" w:after="0"/>
        <w:ind w:firstLine="374"/>
        <w:rPr>
          <w:b/>
        </w:rPr>
      </w:pPr>
    </w:p>
    <w:p w:rsidR="0062329B" w:rsidRPr="00BD51DB" w:rsidRDefault="0062329B" w:rsidP="0062329B">
      <w:pPr>
        <w:pStyle w:val="tvhtml1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b/>
          <w:sz w:val="24"/>
          <w:szCs w:val="24"/>
          <w:lang w:val="lv-LV"/>
        </w:rPr>
        <w:t xml:space="preserve">Anotācijas III un IV </w:t>
      </w:r>
      <w:r w:rsidRPr="008D0542">
        <w:rPr>
          <w:rFonts w:ascii="Times New Roman" w:hAnsi="Times New Roman"/>
          <w:b/>
          <w:sz w:val="24"/>
          <w:szCs w:val="24"/>
          <w:lang w:val="lv-LV"/>
        </w:rPr>
        <w:t xml:space="preserve">sadaļa - </w:t>
      </w:r>
      <w:r w:rsidRPr="008D0542">
        <w:rPr>
          <w:rFonts w:ascii="Times New Roman" w:hAnsi="Times New Roman"/>
          <w:sz w:val="24"/>
          <w:szCs w:val="24"/>
          <w:lang w:val="lv-LV"/>
        </w:rPr>
        <w:t>proje</w:t>
      </w:r>
      <w:r w:rsidRPr="008D0542">
        <w:rPr>
          <w:rFonts w:ascii="Times New Roman" w:hAnsi="Times New Roman"/>
          <w:iCs/>
          <w:sz w:val="24"/>
          <w:szCs w:val="24"/>
          <w:lang w:val="lv-LV"/>
        </w:rPr>
        <w:t>kts šo jomu neskar.</w:t>
      </w:r>
    </w:p>
    <w:p w:rsidR="0062329B" w:rsidRDefault="0062329B" w:rsidP="0062329B">
      <w:pPr>
        <w:pStyle w:val="naisf"/>
        <w:spacing w:before="0" w:after="0"/>
        <w:ind w:firstLine="374"/>
        <w:rPr>
          <w:b/>
        </w:rPr>
      </w:pPr>
    </w:p>
    <w:p w:rsidR="0062329B" w:rsidRDefault="0062329B" w:rsidP="0062329B">
      <w:pPr>
        <w:pStyle w:val="naisf"/>
        <w:spacing w:before="0" w:after="0"/>
        <w:ind w:firstLine="374"/>
        <w:rPr>
          <w:b/>
        </w:rPr>
      </w:pPr>
    </w:p>
    <w:p w:rsidR="0062329B" w:rsidRDefault="0062329B" w:rsidP="0062329B">
      <w:pPr>
        <w:pStyle w:val="naisf"/>
        <w:spacing w:before="0" w:after="0"/>
        <w:ind w:firstLine="374"/>
        <w:rPr>
          <w:b/>
        </w:rPr>
      </w:pPr>
    </w:p>
    <w:p w:rsidR="0062329B" w:rsidRPr="00ED433D" w:rsidRDefault="0062329B" w:rsidP="0062329B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D433D">
        <w:rPr>
          <w:rFonts w:ascii="Times New Roman" w:hAnsi="Times New Roman"/>
          <w:sz w:val="24"/>
          <w:szCs w:val="24"/>
        </w:rPr>
        <w:t xml:space="preserve">Vides aizsardzības un </w:t>
      </w:r>
    </w:p>
    <w:p w:rsidR="0062329B" w:rsidRPr="00ED433D" w:rsidRDefault="0062329B" w:rsidP="0062329B">
      <w:r w:rsidRPr="00ED433D">
        <w:t>reģionālās attīstības ministrs</w:t>
      </w:r>
      <w:proofErr w:type="gramStart"/>
      <w:r w:rsidRPr="00ED433D">
        <w:t xml:space="preserve">                                        </w:t>
      </w:r>
      <w:proofErr w:type="gramEnd"/>
      <w:r w:rsidRPr="00ED433D">
        <w:tab/>
      </w:r>
      <w:r>
        <w:tab/>
      </w:r>
      <w:proofErr w:type="spellStart"/>
      <w:r w:rsidR="00EC1E49">
        <w:t>R.Naudiņš</w:t>
      </w:r>
      <w:proofErr w:type="spellEnd"/>
    </w:p>
    <w:p w:rsidR="0062329B" w:rsidRPr="00ED433D" w:rsidRDefault="0062329B" w:rsidP="0062329B"/>
    <w:p w:rsidR="0062329B" w:rsidRPr="00ED433D" w:rsidRDefault="0062329B" w:rsidP="0062329B">
      <w:r w:rsidRPr="00ED433D">
        <w:lastRenderedPageBreak/>
        <w:t>Iesniedzējs:</w:t>
      </w:r>
    </w:p>
    <w:p w:rsidR="0062329B" w:rsidRPr="00ED433D" w:rsidRDefault="0062329B" w:rsidP="0062329B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ED433D">
        <w:rPr>
          <w:rFonts w:ascii="Times New Roman" w:hAnsi="Times New Roman"/>
          <w:sz w:val="24"/>
          <w:szCs w:val="24"/>
        </w:rPr>
        <w:t xml:space="preserve">Vides aizsardzības un </w:t>
      </w:r>
    </w:p>
    <w:p w:rsidR="0062329B" w:rsidRPr="00ED433D" w:rsidRDefault="0062329B" w:rsidP="0062329B">
      <w:r w:rsidRPr="00ED433D">
        <w:t>reģionālās attīstības ministrs</w:t>
      </w:r>
      <w:r w:rsidRPr="00ED433D">
        <w:tab/>
      </w:r>
      <w:r w:rsidRPr="00ED433D">
        <w:tab/>
      </w:r>
      <w:r w:rsidRPr="00ED433D">
        <w:tab/>
      </w:r>
      <w:r w:rsidRPr="00ED433D">
        <w:tab/>
      </w:r>
      <w:proofErr w:type="gramStart"/>
      <w:r w:rsidRPr="00ED433D">
        <w:t xml:space="preserve">  </w:t>
      </w:r>
      <w:proofErr w:type="gramEnd"/>
      <w:r w:rsidRPr="00ED433D">
        <w:tab/>
      </w:r>
      <w:r>
        <w:tab/>
      </w:r>
      <w:proofErr w:type="spellStart"/>
      <w:r w:rsidR="00EC1E49">
        <w:t>R.Naudiņš</w:t>
      </w:r>
      <w:proofErr w:type="spellEnd"/>
    </w:p>
    <w:p w:rsidR="0062329B" w:rsidRPr="00ED433D" w:rsidRDefault="0062329B" w:rsidP="0062329B"/>
    <w:p w:rsidR="0062329B" w:rsidRPr="00ED433D" w:rsidRDefault="0062329B" w:rsidP="0062329B">
      <w:r w:rsidRPr="00ED433D">
        <w:t>Vīza:</w:t>
      </w:r>
    </w:p>
    <w:p w:rsidR="0062329B" w:rsidRPr="00ED433D" w:rsidRDefault="0062329B" w:rsidP="0062329B">
      <w:r w:rsidRPr="00ED433D">
        <w:t>Vides aizsardzības un</w:t>
      </w:r>
    </w:p>
    <w:p w:rsidR="0062329B" w:rsidRPr="00ED433D" w:rsidRDefault="0062329B" w:rsidP="0062329B">
      <w:r w:rsidRPr="00ED433D">
        <w:t xml:space="preserve">reģionālās attīstības ministrijas </w:t>
      </w:r>
    </w:p>
    <w:p w:rsidR="0062329B" w:rsidRPr="00ED433D" w:rsidRDefault="0062329B" w:rsidP="0062329B">
      <w:r w:rsidRPr="00ED433D">
        <w:t>valsts sekretārs</w:t>
      </w:r>
      <w:r w:rsidRPr="00ED433D">
        <w:tab/>
      </w:r>
      <w:r w:rsidRPr="00ED433D">
        <w:tab/>
      </w:r>
      <w:r w:rsidRPr="00ED433D">
        <w:tab/>
      </w:r>
      <w:r w:rsidRPr="00ED433D">
        <w:tab/>
      </w:r>
      <w:r w:rsidRPr="00ED433D">
        <w:tab/>
      </w:r>
      <w:r w:rsidRPr="00ED433D">
        <w:tab/>
      </w:r>
      <w:r w:rsidRPr="00ED433D">
        <w:tab/>
      </w:r>
      <w:r w:rsidR="00EC1E49">
        <w:t>G.Puķītis</w:t>
      </w:r>
      <w:r w:rsidRPr="00ED433D">
        <w:t xml:space="preserve"> </w:t>
      </w:r>
    </w:p>
    <w:p w:rsidR="0062329B" w:rsidRPr="00C12506" w:rsidRDefault="0062329B" w:rsidP="0062329B">
      <w:pPr>
        <w:pStyle w:val="tv2131"/>
        <w:spacing w:before="0" w:line="240" w:lineRule="auto"/>
        <w:ind w:firstLine="0"/>
        <w:rPr>
          <w:rFonts w:ascii="Times New Roman" w:hAnsi="Times New Roman"/>
          <w:sz w:val="28"/>
          <w:szCs w:val="28"/>
          <w:lang w:val="lv-LV"/>
        </w:rPr>
      </w:pPr>
    </w:p>
    <w:p w:rsidR="0062329B" w:rsidRPr="00F01AAE" w:rsidRDefault="0062329B" w:rsidP="0062329B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bookmarkStart w:id="0" w:name="p2008"/>
      <w:bookmarkEnd w:id="0"/>
    </w:p>
    <w:p w:rsidR="0062329B" w:rsidRPr="00F01AAE" w:rsidRDefault="0062329B" w:rsidP="0062329B">
      <w:pPr>
        <w:pStyle w:val="tv2161"/>
        <w:spacing w:before="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 w:rsidRPr="00F01AA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F01AAE">
        <w:rPr>
          <w:rFonts w:ascii="Times New Roman" w:hAnsi="Times New Roman"/>
          <w:sz w:val="28"/>
          <w:szCs w:val="28"/>
        </w:rPr>
        <w:tab/>
        <w:t xml:space="preserve"> </w:t>
      </w:r>
    </w:p>
    <w:p w:rsidR="0062329B" w:rsidRPr="00507719" w:rsidRDefault="00980BF8" w:rsidP="0062329B">
      <w:pPr>
        <w:rPr>
          <w:sz w:val="20"/>
          <w:szCs w:val="20"/>
        </w:rPr>
      </w:pPr>
      <w:r>
        <w:rPr>
          <w:sz w:val="20"/>
          <w:szCs w:val="20"/>
        </w:rPr>
        <w:t>09.09</w:t>
      </w:r>
      <w:r w:rsidR="0062329B">
        <w:rPr>
          <w:sz w:val="20"/>
          <w:szCs w:val="20"/>
        </w:rPr>
        <w:t>.2014</w:t>
      </w:r>
      <w:r w:rsidR="0062329B" w:rsidRPr="00507719">
        <w:rPr>
          <w:sz w:val="20"/>
          <w:szCs w:val="20"/>
        </w:rPr>
        <w:t>., 14:25</w:t>
      </w:r>
    </w:p>
    <w:p w:rsidR="0062329B" w:rsidRPr="00507719" w:rsidRDefault="00980BF8" w:rsidP="0062329B">
      <w:pPr>
        <w:tabs>
          <w:tab w:val="left" w:pos="3465"/>
        </w:tabs>
        <w:rPr>
          <w:sz w:val="20"/>
          <w:szCs w:val="20"/>
        </w:rPr>
      </w:pPr>
      <w:r>
        <w:rPr>
          <w:sz w:val="20"/>
          <w:szCs w:val="20"/>
        </w:rPr>
        <w:t>1282</w:t>
      </w:r>
      <w:r w:rsidR="0062329B" w:rsidRPr="00507719">
        <w:rPr>
          <w:sz w:val="20"/>
          <w:szCs w:val="20"/>
        </w:rPr>
        <w:tab/>
      </w:r>
    </w:p>
    <w:p w:rsidR="0062329B" w:rsidRPr="00507719" w:rsidRDefault="0062329B" w:rsidP="0062329B">
      <w:pPr>
        <w:rPr>
          <w:sz w:val="20"/>
          <w:szCs w:val="20"/>
        </w:rPr>
      </w:pPr>
      <w:r w:rsidRPr="00507719">
        <w:rPr>
          <w:sz w:val="20"/>
          <w:szCs w:val="20"/>
        </w:rPr>
        <w:t>I.Doniņa</w:t>
      </w:r>
    </w:p>
    <w:p w:rsidR="0062329B" w:rsidRPr="00507719" w:rsidRDefault="0062329B" w:rsidP="0062329B">
      <w:pPr>
        <w:rPr>
          <w:sz w:val="20"/>
          <w:szCs w:val="20"/>
        </w:rPr>
      </w:pPr>
      <w:r w:rsidRPr="00507719">
        <w:rPr>
          <w:sz w:val="20"/>
          <w:szCs w:val="20"/>
        </w:rPr>
        <w:t>6</w:t>
      </w:r>
      <w:smartTag w:uri="schemas-tilde-lv/tildestengine" w:element="phone">
        <w:smartTagPr>
          <w:attr w:name="phone_number" w:val="7026515"/>
        </w:smartTagPr>
        <w:r w:rsidRPr="00507719">
          <w:rPr>
            <w:sz w:val="20"/>
            <w:szCs w:val="20"/>
          </w:rPr>
          <w:t>7026515</w:t>
        </w:r>
      </w:smartTag>
      <w:r w:rsidRPr="00507719">
        <w:rPr>
          <w:sz w:val="20"/>
          <w:szCs w:val="20"/>
        </w:rPr>
        <w:t xml:space="preserve">; </w:t>
      </w:r>
      <w:hyperlink r:id="rId8" w:history="1">
        <w:r w:rsidRPr="00507719">
          <w:rPr>
            <w:rStyle w:val="Hyperlink"/>
            <w:sz w:val="20"/>
            <w:szCs w:val="20"/>
          </w:rPr>
          <w:t>ilze.donina@varam.gov.lv</w:t>
        </w:r>
      </w:hyperlink>
    </w:p>
    <w:p w:rsidR="0062329B" w:rsidRDefault="0062329B" w:rsidP="0062329B"/>
    <w:p w:rsidR="0062329B" w:rsidRDefault="0062329B" w:rsidP="0062329B"/>
    <w:p w:rsidR="00EB30D6" w:rsidRDefault="00EB30D6"/>
    <w:sectPr w:rsidR="00EB30D6" w:rsidSect="00E518DA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725" w:rsidRDefault="00765725" w:rsidP="0088292D">
      <w:r>
        <w:separator/>
      </w:r>
    </w:p>
  </w:endnote>
  <w:endnote w:type="continuationSeparator" w:id="0">
    <w:p w:rsidR="00765725" w:rsidRDefault="00765725" w:rsidP="008829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58" w:rsidRPr="003C4EBC" w:rsidRDefault="00980BF8" w:rsidP="003C4EBC">
    <w:pPr>
      <w:pStyle w:val="Title"/>
      <w:jc w:val="both"/>
      <w:rPr>
        <w:b w:val="0"/>
      </w:rPr>
    </w:pPr>
    <w:r>
      <w:rPr>
        <w:b w:val="0"/>
      </w:rPr>
      <w:t>VARAMAnot_0909</w:t>
    </w:r>
    <w:r w:rsidR="0011468C">
      <w:rPr>
        <w:b w:val="0"/>
      </w:rPr>
      <w:t>14</w:t>
    </w:r>
    <w:r w:rsidR="0011468C" w:rsidRPr="003C4EBC">
      <w:rPr>
        <w:b w:val="0"/>
      </w:rPr>
      <w:t>_</w:t>
    </w:r>
    <w:r w:rsidR="002678DD">
      <w:rPr>
        <w:b w:val="0"/>
      </w:rPr>
      <w:t>EOW</w:t>
    </w:r>
    <w:r w:rsidR="0011468C" w:rsidRPr="003C4EBC">
      <w:rPr>
        <w:b w:val="0"/>
      </w:rPr>
      <w:t xml:space="preserve">; Ministru kabineta noteikumu projekta „Grozījumi Ministru kabineta 2011.gada 19.aprīļa noteikumos </w:t>
    </w:r>
    <w:r w:rsidR="0011468C" w:rsidRPr="003C4EBC">
      <w:rPr>
        <w:rFonts w:eastAsia="Calibri"/>
        <w:b w:val="0"/>
      </w:rPr>
      <w:t>Nr.302 „Noteikumi par atkritumu klasifikatoru un īpašībām, kuras padara atkritumus bīstamus”</w:t>
    </w:r>
    <w:r w:rsidR="0011468C" w:rsidRPr="003C4EBC">
      <w:rPr>
        <w:b w:val="0"/>
      </w:rPr>
      <w:t>”</w:t>
    </w:r>
    <w:r w:rsidR="0011468C">
      <w:rPr>
        <w:b w:val="0"/>
      </w:rPr>
      <w:t xml:space="preserve"> </w:t>
    </w:r>
    <w:r w:rsidR="0011468C" w:rsidRPr="003C4EBC">
      <w:rPr>
        <w:b w:val="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11468C" w:rsidRPr="003C4EBC">
        <w:rPr>
          <w:b w:val="0"/>
        </w:rPr>
        <w:t>ziņojums</w:t>
      </w:r>
    </w:smartTag>
    <w:r w:rsidR="0011468C" w:rsidRPr="003C4EBC">
      <w:rPr>
        <w:b w:val="0"/>
      </w:rPr>
      <w:t xml:space="preserve"> (anotācija)</w:t>
    </w:r>
  </w:p>
  <w:p w:rsidR="00E30058" w:rsidRPr="009F5E0A" w:rsidRDefault="00765725" w:rsidP="00E518DA">
    <w:pPr>
      <w:pStyle w:val="Title"/>
      <w:jc w:val="both"/>
      <w:rPr>
        <w:b w:val="0"/>
        <w:bCs w:val="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58" w:rsidRPr="003C4EBC" w:rsidRDefault="00980BF8" w:rsidP="003C4EBC">
    <w:pPr>
      <w:pStyle w:val="Title"/>
      <w:jc w:val="both"/>
      <w:rPr>
        <w:b w:val="0"/>
      </w:rPr>
    </w:pPr>
    <w:r>
      <w:rPr>
        <w:b w:val="0"/>
      </w:rPr>
      <w:t>VARAMAnot_0909</w:t>
    </w:r>
    <w:r w:rsidR="0011468C">
      <w:rPr>
        <w:b w:val="0"/>
      </w:rPr>
      <w:t>14</w:t>
    </w:r>
    <w:r w:rsidR="0011468C" w:rsidRPr="003C4EBC">
      <w:rPr>
        <w:b w:val="0"/>
      </w:rPr>
      <w:t>_</w:t>
    </w:r>
    <w:r w:rsidR="00C12506">
      <w:rPr>
        <w:b w:val="0"/>
      </w:rPr>
      <w:t>EOW</w:t>
    </w:r>
    <w:r w:rsidR="0011468C" w:rsidRPr="003C4EBC">
      <w:rPr>
        <w:b w:val="0"/>
      </w:rPr>
      <w:t xml:space="preserve">; Ministru kabineta noteikumu projekta „Grozījumi Ministru kabineta 2011.gada 19.aprīļa noteikumos </w:t>
    </w:r>
    <w:r w:rsidR="0011468C" w:rsidRPr="003C4EBC">
      <w:rPr>
        <w:rFonts w:eastAsia="Calibri"/>
        <w:b w:val="0"/>
      </w:rPr>
      <w:t>Nr.302 „Noteikumi par atkritumu klasifikatoru un īpašībām, kuras padara atkritumus bīstamus”</w:t>
    </w:r>
    <w:r w:rsidR="0011468C" w:rsidRPr="003C4EBC">
      <w:rPr>
        <w:b w:val="0"/>
      </w:rPr>
      <w:t>”</w:t>
    </w:r>
    <w:r w:rsidR="0011468C">
      <w:rPr>
        <w:b w:val="0"/>
      </w:rPr>
      <w:t xml:space="preserve"> </w:t>
    </w:r>
    <w:r w:rsidR="0011468C" w:rsidRPr="003C4EBC">
      <w:rPr>
        <w:b w:val="0"/>
      </w:rPr>
      <w:t xml:space="preserve">sākotnējās ietekmes novērtējuma </w:t>
    </w:r>
    <w:smartTag w:uri="schemas-tilde-lv/tildestengine" w:element="veidnes">
      <w:smartTagPr>
        <w:attr w:name="id" w:val="-1"/>
        <w:attr w:name="baseform" w:val="ziņojums"/>
        <w:attr w:name="text" w:val="ziņojums"/>
      </w:smartTagPr>
      <w:r w:rsidR="0011468C" w:rsidRPr="003C4EBC">
        <w:rPr>
          <w:b w:val="0"/>
        </w:rPr>
        <w:t>ziņojums</w:t>
      </w:r>
    </w:smartTag>
    <w:r w:rsidR="0011468C" w:rsidRPr="003C4EBC">
      <w:rPr>
        <w:b w:val="0"/>
      </w:rPr>
      <w:t xml:space="preserve"> (anotācija)</w:t>
    </w:r>
  </w:p>
  <w:p w:rsidR="00E30058" w:rsidRPr="0091577B" w:rsidRDefault="00765725" w:rsidP="00E518DA">
    <w:pPr>
      <w:pStyle w:val="Title"/>
      <w:jc w:val="both"/>
      <w:rPr>
        <w:b w:val="0"/>
        <w:bCs w:val="0"/>
      </w:rPr>
    </w:pPr>
  </w:p>
  <w:p w:rsidR="00E30058" w:rsidRPr="00503A61" w:rsidRDefault="00765725" w:rsidP="00E518DA">
    <w:pPr>
      <w:pStyle w:val="Title"/>
      <w:jc w:val="both"/>
      <w:rPr>
        <w:b w:val="0"/>
        <w:bCs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725" w:rsidRDefault="00765725" w:rsidP="0088292D">
      <w:r>
        <w:separator/>
      </w:r>
    </w:p>
  </w:footnote>
  <w:footnote w:type="continuationSeparator" w:id="0">
    <w:p w:rsidR="00765725" w:rsidRDefault="00765725" w:rsidP="008829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058" w:rsidRDefault="0011468C">
    <w:pPr>
      <w:pStyle w:val="Header"/>
    </w:pPr>
    <w:r w:rsidRPr="00013525">
      <w:rPr>
        <w:rStyle w:val="PageNumber"/>
      </w:rPr>
      <w:tab/>
      <w:t xml:space="preserve"> </w:t>
    </w:r>
    <w:r w:rsidR="00EF1E8D" w:rsidRPr="00013525">
      <w:rPr>
        <w:rStyle w:val="PageNumber"/>
      </w:rPr>
      <w:fldChar w:fldCharType="begin"/>
    </w:r>
    <w:r w:rsidRPr="00013525">
      <w:rPr>
        <w:rStyle w:val="PageNumber"/>
      </w:rPr>
      <w:instrText xml:space="preserve"> PAGE </w:instrText>
    </w:r>
    <w:r w:rsidR="00EF1E8D" w:rsidRPr="00013525">
      <w:rPr>
        <w:rStyle w:val="PageNumber"/>
      </w:rPr>
      <w:fldChar w:fldCharType="separate"/>
    </w:r>
    <w:r w:rsidR="009B47D3">
      <w:rPr>
        <w:rStyle w:val="PageNumber"/>
        <w:noProof/>
      </w:rPr>
      <w:t>6</w:t>
    </w:r>
    <w:r w:rsidR="00EF1E8D" w:rsidRPr="00013525"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711083"/>
    <w:multiLevelType w:val="hybridMultilevel"/>
    <w:tmpl w:val="46F6AA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4485B"/>
    <w:multiLevelType w:val="hybridMultilevel"/>
    <w:tmpl w:val="97261EB2"/>
    <w:lvl w:ilvl="0" w:tplc="3C1ED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329B"/>
    <w:rsid w:val="00027416"/>
    <w:rsid w:val="0011468C"/>
    <w:rsid w:val="001A0441"/>
    <w:rsid w:val="001D0FCE"/>
    <w:rsid w:val="002253C9"/>
    <w:rsid w:val="00263E9C"/>
    <w:rsid w:val="002678DD"/>
    <w:rsid w:val="00276B00"/>
    <w:rsid w:val="003128E1"/>
    <w:rsid w:val="00412416"/>
    <w:rsid w:val="0043741B"/>
    <w:rsid w:val="00440D34"/>
    <w:rsid w:val="004C4E78"/>
    <w:rsid w:val="00571341"/>
    <w:rsid w:val="0062329B"/>
    <w:rsid w:val="00660421"/>
    <w:rsid w:val="006D3E8D"/>
    <w:rsid w:val="00765725"/>
    <w:rsid w:val="00793C29"/>
    <w:rsid w:val="0088292D"/>
    <w:rsid w:val="00980BF8"/>
    <w:rsid w:val="00994561"/>
    <w:rsid w:val="009B47D3"/>
    <w:rsid w:val="00AB04F0"/>
    <w:rsid w:val="00AF40DE"/>
    <w:rsid w:val="00B84F5C"/>
    <w:rsid w:val="00C12506"/>
    <w:rsid w:val="00C14F24"/>
    <w:rsid w:val="00C32094"/>
    <w:rsid w:val="00C462A1"/>
    <w:rsid w:val="00C55C40"/>
    <w:rsid w:val="00CA147C"/>
    <w:rsid w:val="00CB552C"/>
    <w:rsid w:val="00CD0412"/>
    <w:rsid w:val="00EB30D6"/>
    <w:rsid w:val="00EC1E49"/>
    <w:rsid w:val="00EF1E8D"/>
    <w:rsid w:val="00F1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phone"/>
  <w:smartTagType w:namespaceuri="schemas-tilde-lv/tildestengine" w:name="veidnes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232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329B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f">
    <w:name w:val="naisf"/>
    <w:basedOn w:val="Normal"/>
    <w:rsid w:val="0062329B"/>
    <w:pPr>
      <w:spacing w:before="75" w:after="75"/>
      <w:ind w:firstLine="375"/>
      <w:jc w:val="both"/>
    </w:pPr>
  </w:style>
  <w:style w:type="character" w:styleId="PageNumber">
    <w:name w:val="page number"/>
    <w:basedOn w:val="DefaultParagraphFont"/>
    <w:rsid w:val="0062329B"/>
  </w:style>
  <w:style w:type="character" w:styleId="Hyperlink">
    <w:name w:val="Hyperlink"/>
    <w:basedOn w:val="DefaultParagraphFont"/>
    <w:rsid w:val="0062329B"/>
    <w:rPr>
      <w:rFonts w:cs="Times New Roman"/>
      <w:color w:val="0000FF"/>
      <w:u w:val="single"/>
    </w:rPr>
  </w:style>
  <w:style w:type="paragraph" w:customStyle="1" w:styleId="naisnod">
    <w:name w:val="naisnod"/>
    <w:basedOn w:val="Normal"/>
    <w:rsid w:val="0062329B"/>
    <w:pPr>
      <w:spacing w:before="150" w:after="150"/>
      <w:jc w:val="center"/>
    </w:pPr>
    <w:rPr>
      <w:b/>
      <w:bCs/>
    </w:rPr>
  </w:style>
  <w:style w:type="paragraph" w:customStyle="1" w:styleId="naiskr">
    <w:name w:val="naiskr"/>
    <w:basedOn w:val="Normal"/>
    <w:rsid w:val="0062329B"/>
    <w:pPr>
      <w:spacing w:before="75" w:after="75"/>
    </w:pPr>
  </w:style>
  <w:style w:type="paragraph" w:styleId="Title">
    <w:name w:val="Title"/>
    <w:basedOn w:val="Normal"/>
    <w:link w:val="TitleChar"/>
    <w:qFormat/>
    <w:rsid w:val="0062329B"/>
    <w:pPr>
      <w:jc w:val="center"/>
    </w:pPr>
    <w:rPr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62329B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customStyle="1" w:styleId="naisc">
    <w:name w:val="naisc"/>
    <w:basedOn w:val="Normal"/>
    <w:rsid w:val="0062329B"/>
    <w:pPr>
      <w:spacing w:before="75" w:after="75"/>
      <w:jc w:val="center"/>
    </w:pPr>
  </w:style>
  <w:style w:type="character" w:styleId="Emphasis">
    <w:name w:val="Emphasis"/>
    <w:basedOn w:val="DefaultParagraphFont"/>
    <w:uiPriority w:val="20"/>
    <w:qFormat/>
    <w:rsid w:val="0062329B"/>
    <w:rPr>
      <w:i/>
      <w:iCs/>
    </w:rPr>
  </w:style>
  <w:style w:type="paragraph" w:customStyle="1" w:styleId="tvhtml1">
    <w:name w:val="tv_html1"/>
    <w:basedOn w:val="Normal"/>
    <w:rsid w:val="0062329B"/>
    <w:pPr>
      <w:spacing w:before="100" w:beforeAutospacing="1" w:line="360" w:lineRule="auto"/>
    </w:pPr>
    <w:rPr>
      <w:rFonts w:ascii="Verdana" w:hAnsi="Verdana"/>
      <w:sz w:val="18"/>
      <w:szCs w:val="18"/>
      <w:lang w:val="en-US" w:eastAsia="en-US"/>
    </w:rPr>
  </w:style>
  <w:style w:type="character" w:styleId="Strong">
    <w:name w:val="Strong"/>
    <w:basedOn w:val="DefaultParagraphFont"/>
    <w:uiPriority w:val="22"/>
    <w:qFormat/>
    <w:rsid w:val="0062329B"/>
    <w:rPr>
      <w:b/>
      <w:bCs/>
    </w:rPr>
  </w:style>
  <w:style w:type="paragraph" w:customStyle="1" w:styleId="tv2131">
    <w:name w:val="tv2131"/>
    <w:basedOn w:val="Normal"/>
    <w:rsid w:val="0062329B"/>
    <w:pPr>
      <w:spacing w:before="240" w:line="360" w:lineRule="auto"/>
      <w:ind w:firstLine="217"/>
      <w:jc w:val="both"/>
    </w:pPr>
    <w:rPr>
      <w:rFonts w:ascii="Verdana" w:hAnsi="Verdana"/>
      <w:sz w:val="13"/>
      <w:szCs w:val="13"/>
      <w:lang w:val="en-US" w:eastAsia="en-US"/>
    </w:rPr>
  </w:style>
  <w:style w:type="paragraph" w:customStyle="1" w:styleId="tv2161">
    <w:name w:val="tv2161"/>
    <w:basedOn w:val="Normal"/>
    <w:rsid w:val="0062329B"/>
    <w:pPr>
      <w:spacing w:before="240" w:line="360" w:lineRule="auto"/>
      <w:ind w:firstLine="259"/>
      <w:jc w:val="right"/>
    </w:pPr>
    <w:rPr>
      <w:rFonts w:ascii="Verdana" w:hAnsi="Verdana"/>
      <w:sz w:val="16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A147C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CA147C"/>
  </w:style>
  <w:style w:type="paragraph" w:customStyle="1" w:styleId="doc-ti">
    <w:name w:val="doc-ti"/>
    <w:basedOn w:val="Normal"/>
    <w:rsid w:val="00C14F24"/>
    <w:pPr>
      <w:spacing w:before="208" w:after="104"/>
      <w:jc w:val="center"/>
    </w:pPr>
    <w:rPr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donina@varam.gov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aram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vidm</Company>
  <LinksUpToDate>false</LinksUpToDate>
  <CharactersWithSpaces>10378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Donina</dc:creator>
  <cp:keywords/>
  <dc:description/>
  <cp:lastModifiedBy>larisat</cp:lastModifiedBy>
  <cp:revision>3</cp:revision>
  <dcterms:created xsi:type="dcterms:W3CDTF">2014-09-24T13:39:00Z</dcterms:created>
  <dcterms:modified xsi:type="dcterms:W3CDTF">2014-09-29T11:50:00Z</dcterms:modified>
</cp:coreProperties>
</file>