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64" w:rsidRPr="00DB4A2D" w:rsidRDefault="00BE0264" w:rsidP="00BE0264">
      <w:pPr>
        <w:pStyle w:val="naisf"/>
        <w:spacing w:before="0" w:beforeAutospacing="0" w:after="0" w:afterAutospacing="0"/>
        <w:jc w:val="center"/>
        <w:rPr>
          <w:b/>
          <w:sz w:val="28"/>
          <w:szCs w:val="28"/>
        </w:rPr>
      </w:pPr>
      <w:r w:rsidRPr="00DB4A2D">
        <w:rPr>
          <w:b/>
          <w:sz w:val="28"/>
          <w:szCs w:val="28"/>
        </w:rPr>
        <w:t>Ministru kabineta noteikumu projekta</w:t>
      </w:r>
    </w:p>
    <w:p w:rsidR="00BE0264" w:rsidRPr="00DB4A2D" w:rsidRDefault="00BE0264" w:rsidP="00BE0264">
      <w:pPr>
        <w:spacing w:after="0"/>
        <w:ind w:firstLine="709"/>
        <w:jc w:val="center"/>
        <w:rPr>
          <w:rFonts w:ascii="Times New Roman" w:hAnsi="Times New Roman"/>
          <w:b/>
          <w:sz w:val="24"/>
          <w:szCs w:val="24"/>
        </w:rPr>
      </w:pPr>
      <w:r w:rsidRPr="00DB4A2D">
        <w:rPr>
          <w:rFonts w:ascii="Times New Roman" w:hAnsi="Times New Roman"/>
          <w:b/>
          <w:sz w:val="28"/>
          <w:szCs w:val="28"/>
        </w:rPr>
        <w:t>„</w:t>
      </w:r>
      <w:r w:rsidRPr="00DB4A2D">
        <w:rPr>
          <w:rFonts w:ascii="Times New Roman" w:hAnsi="Times New Roman"/>
          <w:b/>
          <w:bCs/>
          <w:color w:val="000000"/>
          <w:sz w:val="28"/>
          <w:szCs w:val="28"/>
        </w:rPr>
        <w:t>Eiropas Ekonomikas zonas finanšu instrumenta 2009.-2014.gada perioda programmas „Nacionālā klimata politika” projektu iesniegumu atklāta konkursa „Ilgtspējīgu ēku, atjaunojamo energoresursu tehnoloģiju un inovatīvu emisiju samazinošu tehnoloģiju attīstība” nolikums”</w:t>
      </w:r>
    </w:p>
    <w:p w:rsidR="00BE0264" w:rsidRPr="00DB4A2D" w:rsidRDefault="00BE0264" w:rsidP="00BE0264">
      <w:pPr>
        <w:pStyle w:val="naisf"/>
        <w:spacing w:before="0" w:beforeAutospacing="0" w:after="0" w:afterAutospacing="0"/>
        <w:jc w:val="center"/>
        <w:rPr>
          <w:b/>
          <w:sz w:val="28"/>
          <w:szCs w:val="28"/>
        </w:rPr>
      </w:pPr>
      <w:r w:rsidRPr="00DB4A2D">
        <w:rPr>
          <w:b/>
          <w:sz w:val="28"/>
          <w:szCs w:val="28"/>
        </w:rPr>
        <w:t>sākotnējās ietekmes novērtējuma ziņojums (anotācija)</w:t>
      </w:r>
    </w:p>
    <w:p w:rsidR="00BE0264" w:rsidRPr="00DB4A2D" w:rsidRDefault="00BE0264" w:rsidP="00BE0264">
      <w:pPr>
        <w:pStyle w:val="naisf"/>
        <w:spacing w:before="0" w:beforeAutospacing="0" w:after="0" w:afterAutospacing="0"/>
        <w:jc w:val="right"/>
        <w:rPr>
          <w:sz w:val="28"/>
          <w:szCs w:val="28"/>
        </w:rPr>
      </w:pPr>
    </w:p>
    <w:tbl>
      <w:tblPr>
        <w:tblpPr w:leftFromText="180" w:rightFromText="180" w:vertAnchor="text" w:horzAnchor="margin" w:tblpXSpec="center" w:tblpY="149"/>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9"/>
        <w:gridCol w:w="2859"/>
        <w:gridCol w:w="6484"/>
      </w:tblGrid>
      <w:tr w:rsidR="00BE0264" w:rsidRPr="00DB4A2D" w:rsidTr="000105A1">
        <w:trPr>
          <w:trHeight w:val="419"/>
        </w:trPr>
        <w:tc>
          <w:tcPr>
            <w:tcW w:w="5000" w:type="pct"/>
            <w:gridSpan w:val="3"/>
            <w:vAlign w:val="center"/>
          </w:tcPr>
          <w:p w:rsidR="00BE0264" w:rsidRPr="00DB4A2D" w:rsidRDefault="00BE0264" w:rsidP="000105A1">
            <w:pPr>
              <w:pStyle w:val="naisnod"/>
              <w:spacing w:before="0" w:beforeAutospacing="0" w:after="0" w:afterAutospacing="0"/>
              <w:ind w:left="-535" w:right="57"/>
              <w:jc w:val="center"/>
              <w:rPr>
                <w:b/>
              </w:rPr>
            </w:pPr>
            <w:r w:rsidRPr="00DB4A2D">
              <w:rPr>
                <w:b/>
              </w:rPr>
              <w:t>I. Tiesību akta projekta izstrādes nepieciešamība</w:t>
            </w:r>
          </w:p>
        </w:tc>
      </w:tr>
      <w:tr w:rsidR="00BE0264" w:rsidRPr="00DB4A2D" w:rsidTr="000105A1">
        <w:trPr>
          <w:trHeight w:val="415"/>
        </w:trPr>
        <w:tc>
          <w:tcPr>
            <w:tcW w:w="483" w:type="pct"/>
          </w:tcPr>
          <w:p w:rsidR="00BE0264" w:rsidRPr="00DB4A2D" w:rsidRDefault="00BE0264" w:rsidP="000105A1">
            <w:pPr>
              <w:pStyle w:val="naiskr"/>
              <w:spacing w:before="0" w:beforeAutospacing="0" w:after="0" w:afterAutospacing="0"/>
              <w:ind w:left="57" w:right="57"/>
              <w:jc w:val="center"/>
            </w:pPr>
            <w:r w:rsidRPr="00DB4A2D">
              <w:t>1.</w:t>
            </w:r>
          </w:p>
        </w:tc>
        <w:tc>
          <w:tcPr>
            <w:tcW w:w="1382" w:type="pct"/>
          </w:tcPr>
          <w:p w:rsidR="00BE0264" w:rsidRPr="00DB4A2D" w:rsidRDefault="00BE0264" w:rsidP="000105A1">
            <w:pPr>
              <w:pStyle w:val="naiskr"/>
              <w:spacing w:before="0" w:beforeAutospacing="0" w:after="200" w:afterAutospacing="0" w:line="360" w:lineRule="auto"/>
              <w:ind w:left="57" w:right="57"/>
            </w:pPr>
            <w:r w:rsidRPr="00DB4A2D">
              <w:t>Pamatojums</w:t>
            </w:r>
          </w:p>
        </w:tc>
        <w:tc>
          <w:tcPr>
            <w:tcW w:w="3135" w:type="pct"/>
          </w:tcPr>
          <w:p w:rsidR="00BE0264" w:rsidRPr="00DB4A2D" w:rsidRDefault="00BE0264" w:rsidP="000105A1">
            <w:pPr>
              <w:spacing w:after="0" w:line="240" w:lineRule="auto"/>
              <w:ind w:right="181"/>
              <w:jc w:val="both"/>
              <w:rPr>
                <w:rFonts w:ascii="Times New Roman" w:hAnsi="Times New Roman"/>
                <w:sz w:val="24"/>
                <w:szCs w:val="24"/>
              </w:rPr>
            </w:pPr>
            <w:r w:rsidRPr="00DB4A2D">
              <w:rPr>
                <w:rFonts w:ascii="Times New Roman" w:hAnsi="Times New Roman"/>
                <w:sz w:val="24"/>
                <w:szCs w:val="24"/>
              </w:rPr>
              <w:t>Ministru kabineta noteikumu projekts (turpmāk – MK noteikumu projekts) izstrādāts pamatojoties uz Eiropas Ekonomikas zonas finanšu instrumenta un Norvēģijas finanšu instrumenta 2009.—2014.gada perioda vadības likuma 15.panta 5. un 6. punktu.</w:t>
            </w:r>
          </w:p>
        </w:tc>
      </w:tr>
      <w:tr w:rsidR="00BE0264" w:rsidRPr="00DB4A2D" w:rsidTr="000105A1">
        <w:trPr>
          <w:trHeight w:val="416"/>
        </w:trPr>
        <w:tc>
          <w:tcPr>
            <w:tcW w:w="483" w:type="pct"/>
          </w:tcPr>
          <w:p w:rsidR="00BE0264" w:rsidRPr="00DB4A2D" w:rsidRDefault="00BE0264" w:rsidP="000105A1">
            <w:pPr>
              <w:pStyle w:val="naiskr"/>
              <w:spacing w:before="0" w:beforeAutospacing="0" w:after="0" w:afterAutospacing="0"/>
              <w:ind w:left="57" w:right="57"/>
              <w:jc w:val="center"/>
            </w:pPr>
            <w:r w:rsidRPr="00DB4A2D">
              <w:t>2.</w:t>
            </w:r>
          </w:p>
        </w:tc>
        <w:tc>
          <w:tcPr>
            <w:tcW w:w="1382" w:type="pct"/>
          </w:tcPr>
          <w:p w:rsidR="00BE0264" w:rsidRPr="00DB4A2D" w:rsidRDefault="00BE0264" w:rsidP="000105A1">
            <w:pPr>
              <w:pStyle w:val="naiskr"/>
              <w:tabs>
                <w:tab w:val="left" w:pos="170"/>
              </w:tabs>
              <w:spacing w:before="0" w:beforeAutospacing="0" w:after="0" w:afterAutospacing="0"/>
              <w:ind w:left="57" w:right="57"/>
              <w:jc w:val="both"/>
            </w:pPr>
            <w:r w:rsidRPr="00DB4A2D">
              <w:t>Pašreizējā situācija un problēmas, kuru risināšanai tiesību akta projekts izstrādāts, tiesiskā regulējuma mērķis un būtība</w:t>
            </w:r>
          </w:p>
        </w:tc>
        <w:tc>
          <w:tcPr>
            <w:tcW w:w="3135" w:type="pct"/>
          </w:tcPr>
          <w:p w:rsidR="00BE0264" w:rsidRPr="00DB4A2D" w:rsidRDefault="00BE0264" w:rsidP="000105A1">
            <w:pPr>
              <w:spacing w:after="0" w:line="240" w:lineRule="auto"/>
              <w:ind w:right="181"/>
              <w:jc w:val="both"/>
              <w:rPr>
                <w:rFonts w:ascii="Times New Roman" w:hAnsi="Times New Roman"/>
                <w:bCs/>
                <w:sz w:val="24"/>
                <w:szCs w:val="24"/>
              </w:rPr>
            </w:pPr>
            <w:r w:rsidRPr="00DB4A2D">
              <w:rPr>
                <w:rFonts w:ascii="Times New Roman" w:hAnsi="Times New Roman"/>
                <w:sz w:val="24"/>
                <w:szCs w:val="24"/>
              </w:rPr>
              <w:t xml:space="preserve">2011.gada 28.aprīlī tika parakstīts Saprašanās memorands (apstiprināts ar Ministru kabineta 2011.gada 29.marta noteikumiem Nr.251 „Par Latvijas Republikas un </w:t>
            </w:r>
            <w:proofErr w:type="spellStart"/>
            <w:r w:rsidRPr="00DB4A2D">
              <w:rPr>
                <w:rFonts w:ascii="Times New Roman" w:hAnsi="Times New Roman"/>
                <w:sz w:val="24"/>
                <w:szCs w:val="24"/>
              </w:rPr>
              <w:t>Īslandes</w:t>
            </w:r>
            <w:proofErr w:type="spellEnd"/>
            <w:r w:rsidRPr="00DB4A2D">
              <w:rPr>
                <w:rFonts w:ascii="Times New Roman" w:hAnsi="Times New Roman"/>
                <w:sz w:val="24"/>
                <w:szCs w:val="24"/>
              </w:rPr>
              <w:t xml:space="preserve">, Lihtenšteinas Firstistes un Norvēģijas Karalistes saprašanās memorandu par Eiropas Ekonomikas zonas instrumenta ieviešanu 2009.–2014.gadā”) starp Latvijas Republiku, </w:t>
            </w:r>
            <w:proofErr w:type="spellStart"/>
            <w:r w:rsidRPr="00DB4A2D">
              <w:rPr>
                <w:rFonts w:ascii="Times New Roman" w:hAnsi="Times New Roman"/>
                <w:sz w:val="24"/>
                <w:szCs w:val="24"/>
              </w:rPr>
              <w:t>Īslandes</w:t>
            </w:r>
            <w:proofErr w:type="spellEnd"/>
            <w:r w:rsidRPr="00DB4A2D">
              <w:rPr>
                <w:rFonts w:ascii="Times New Roman" w:hAnsi="Times New Roman"/>
                <w:sz w:val="24"/>
                <w:szCs w:val="24"/>
              </w:rPr>
              <w:t>, Lihtenšteinas Firstisti un Norvēģijas Karalisti par Eiropas Ekonomikas zonas finanšu instrumenta ieviešanu 2009.–2014.gadā (turpmāk – Saprašanās memorands).</w:t>
            </w:r>
            <w:r w:rsidRPr="00DB4A2D">
              <w:rPr>
                <w:rFonts w:ascii="Times New Roman" w:hAnsi="Times New Roman"/>
                <w:bCs/>
                <w:sz w:val="24"/>
                <w:szCs w:val="24"/>
              </w:rPr>
              <w:t xml:space="preserve"> </w:t>
            </w:r>
          </w:p>
          <w:p w:rsidR="00BE0264" w:rsidRPr="00DB4A2D" w:rsidRDefault="00BE0264" w:rsidP="000105A1">
            <w:pPr>
              <w:spacing w:after="0" w:line="240" w:lineRule="auto"/>
              <w:ind w:right="181"/>
              <w:jc w:val="both"/>
              <w:rPr>
                <w:rFonts w:ascii="Times New Roman" w:hAnsi="Times New Roman"/>
                <w:sz w:val="24"/>
                <w:szCs w:val="24"/>
              </w:rPr>
            </w:pPr>
            <w:r w:rsidRPr="00DB4A2D">
              <w:rPr>
                <w:rFonts w:ascii="Times New Roman" w:hAnsi="Times New Roman"/>
                <w:sz w:val="24"/>
                <w:szCs w:val="24"/>
              </w:rPr>
              <w:t xml:space="preserve">Saskaņā ar Saprašanās memoranda B pielikuma 3. punktu, 10 365 000 </w:t>
            </w:r>
            <w:proofErr w:type="spellStart"/>
            <w:r w:rsidRPr="00DB4A2D">
              <w:rPr>
                <w:rFonts w:ascii="Times New Roman" w:hAnsi="Times New Roman"/>
                <w:i/>
                <w:sz w:val="24"/>
                <w:szCs w:val="24"/>
              </w:rPr>
              <w:t>euro</w:t>
            </w:r>
            <w:proofErr w:type="spellEnd"/>
            <w:r w:rsidRPr="00DB4A2D">
              <w:rPr>
                <w:rFonts w:ascii="Times New Roman" w:hAnsi="Times New Roman"/>
                <w:sz w:val="24"/>
                <w:szCs w:val="24"/>
              </w:rPr>
              <w:t xml:space="preserve"> (7 284 563 LVL) paredzēti programmas „Nacionālā klimata politika”</w:t>
            </w:r>
            <w:r w:rsidRPr="00DB4A2D">
              <w:rPr>
                <w:rFonts w:ascii="Times New Roman" w:hAnsi="Times New Roman"/>
                <w:bCs/>
                <w:sz w:val="24"/>
                <w:szCs w:val="24"/>
              </w:rPr>
              <w:t xml:space="preserve"> (turpmāk – programma) ieviešanai</w:t>
            </w:r>
            <w:r w:rsidRPr="00DB4A2D">
              <w:rPr>
                <w:rFonts w:ascii="Times New Roman" w:hAnsi="Times New Roman"/>
                <w:sz w:val="24"/>
                <w:szCs w:val="24"/>
              </w:rPr>
              <w:t>, kuras īstenotājs ir Vides aizsardzības un reģionālās attīstības ministrija (turpmāk – VARAM) kā programmas apsaimniekotājs.</w:t>
            </w:r>
          </w:p>
          <w:p w:rsidR="00BE0264" w:rsidRPr="00DB4A2D" w:rsidRDefault="00BE0264" w:rsidP="000105A1">
            <w:pPr>
              <w:spacing w:after="0" w:line="240" w:lineRule="auto"/>
              <w:ind w:right="181"/>
              <w:jc w:val="both"/>
              <w:rPr>
                <w:rFonts w:ascii="Times New Roman" w:hAnsi="Times New Roman"/>
                <w:b/>
                <w:sz w:val="24"/>
                <w:szCs w:val="24"/>
              </w:rPr>
            </w:pPr>
            <w:r w:rsidRPr="00DB4A2D">
              <w:rPr>
                <w:rFonts w:ascii="Times New Roman" w:hAnsi="Times New Roman"/>
                <w:sz w:val="24"/>
                <w:szCs w:val="24"/>
              </w:rPr>
              <w:t xml:space="preserve">Izpildot Ministru kabineta 2011.gada 29.marta sēdes </w:t>
            </w:r>
            <w:proofErr w:type="spellStart"/>
            <w:r w:rsidRPr="00DB4A2D">
              <w:rPr>
                <w:rFonts w:ascii="Times New Roman" w:hAnsi="Times New Roman"/>
                <w:sz w:val="24"/>
                <w:szCs w:val="24"/>
              </w:rPr>
              <w:t>protokollēmumu</w:t>
            </w:r>
            <w:proofErr w:type="spellEnd"/>
            <w:r w:rsidRPr="00DB4A2D">
              <w:rPr>
                <w:rFonts w:ascii="Times New Roman" w:hAnsi="Times New Roman"/>
                <w:sz w:val="24"/>
                <w:szCs w:val="24"/>
              </w:rPr>
              <w:t xml:space="preserve"> (Ministru kabineta 29.03.2011. sēdes protokols Nr.20, 62.§, 3.1.punkts), VARAM sadarbībā ar programmas partneriem Norvēģijas Vides aģentūru (līdz 2013. gada 1. jūlijam - Norvēģijas Klimata un piesārņojuma aģentūra) un</w:t>
            </w:r>
            <w:r w:rsidRPr="00DB4A2D">
              <w:rPr>
                <w:rFonts w:ascii="Times New Roman" w:hAnsi="Times New Roman"/>
                <w:iCs/>
                <w:sz w:val="24"/>
                <w:szCs w:val="24"/>
              </w:rPr>
              <w:t xml:space="preserve"> Norvēģijas Civilās aizsardzības</w:t>
            </w:r>
            <w:r w:rsidRPr="00DB4A2D">
              <w:rPr>
                <w:rFonts w:ascii="Times New Roman" w:hAnsi="Times New Roman"/>
                <w:sz w:val="24"/>
                <w:szCs w:val="24"/>
              </w:rPr>
              <w:t xml:space="preserve"> </w:t>
            </w:r>
            <w:r w:rsidRPr="00DB4A2D">
              <w:rPr>
                <w:rFonts w:ascii="Times New Roman" w:hAnsi="Times New Roman"/>
                <w:iCs/>
                <w:sz w:val="24"/>
                <w:szCs w:val="24"/>
              </w:rPr>
              <w:t>direktorātu</w:t>
            </w:r>
            <w:r w:rsidRPr="00DB4A2D">
              <w:rPr>
                <w:rFonts w:ascii="Times New Roman" w:hAnsi="Times New Roman"/>
                <w:sz w:val="24"/>
                <w:szCs w:val="24"/>
              </w:rPr>
              <w:t xml:space="preserve"> izstrādāja programmas iesniegumu, kas tika apstiprināts Ministru kabineta 2012.gada 31.janvāra sēdē (Ministru kabineta 31.01.2012. sēdes protokols Nr.6, 22.§) un iesniegts apstiprināšanai </w:t>
            </w:r>
            <w:proofErr w:type="spellStart"/>
            <w:r w:rsidRPr="00DB4A2D">
              <w:rPr>
                <w:rFonts w:ascii="Times New Roman" w:hAnsi="Times New Roman"/>
                <w:sz w:val="24"/>
                <w:szCs w:val="24"/>
              </w:rPr>
              <w:t>donorvalstīm</w:t>
            </w:r>
            <w:proofErr w:type="spellEnd"/>
            <w:r w:rsidRPr="00DB4A2D">
              <w:rPr>
                <w:rFonts w:ascii="Times New Roman" w:hAnsi="Times New Roman"/>
                <w:sz w:val="24"/>
                <w:szCs w:val="24"/>
              </w:rPr>
              <w:t>. Finanšu instrumentu komiteja programmu „Nacionālā klimata politika” apstiprināja 2012. gada 20. decembrī.</w:t>
            </w:r>
          </w:p>
          <w:p w:rsidR="00BE0264" w:rsidRPr="00DB4A2D" w:rsidRDefault="00BE0264" w:rsidP="000105A1">
            <w:pPr>
              <w:spacing w:after="0" w:line="240" w:lineRule="auto"/>
              <w:ind w:right="181"/>
              <w:jc w:val="both"/>
              <w:rPr>
                <w:rFonts w:ascii="Times New Roman" w:hAnsi="Times New Roman"/>
                <w:b/>
                <w:sz w:val="24"/>
                <w:szCs w:val="24"/>
              </w:rPr>
            </w:pPr>
            <w:r w:rsidRPr="00DB4A2D">
              <w:rPr>
                <w:rFonts w:ascii="Times New Roman" w:hAnsi="Times New Roman"/>
                <w:sz w:val="24"/>
                <w:szCs w:val="24"/>
              </w:rPr>
              <w:t>Lai nodrošinātu programmas īstenošanu saskaņā ar Eiropas Ekonomikas zonas finanšu instrumenta un Norvēģijas finanšu instrumenta 2009.-2014.gada perioda vadības likuma 9.panta pirmo daļu, 15.panta 5. un 6.punktu un pārejas noteikumu 2.punktu Ministru kabinetam līdz 2012.gada 28.decembrim bija jāizdod noteikumi par kārtību, kādā īsteno programmu, programmas apsaimniekotāja un aģentūras funkcionālās padotības formu, nosaka projektu iesniegumu vērtēšanas kritērijus atklāto konkursu ietvaros un prasības projekta iesnieguma iesniedzējiem.</w:t>
            </w:r>
          </w:p>
          <w:p w:rsidR="00BE0264" w:rsidRPr="00DB4A2D" w:rsidRDefault="00BE0264" w:rsidP="000105A1">
            <w:pPr>
              <w:pStyle w:val="Heading3"/>
              <w:shd w:val="clear" w:color="auto" w:fill="FFFFFF"/>
              <w:spacing w:before="0" w:beforeAutospacing="0" w:after="0" w:afterAutospacing="0"/>
              <w:ind w:right="57"/>
              <w:jc w:val="both"/>
              <w:rPr>
                <w:b w:val="0"/>
                <w:sz w:val="24"/>
                <w:szCs w:val="24"/>
              </w:rPr>
            </w:pPr>
            <w:r w:rsidRPr="00DB4A2D">
              <w:rPr>
                <w:b w:val="0"/>
                <w:sz w:val="24"/>
                <w:szCs w:val="24"/>
              </w:rPr>
              <w:t xml:space="preserve">Programmas LV02 „Nacionālā klimata politika” līgums tika parakstīts 2013.gada 6.martā, saskaņā ar kuru 5 000 000 </w:t>
            </w:r>
            <w:proofErr w:type="spellStart"/>
            <w:r w:rsidRPr="00DB4A2D">
              <w:rPr>
                <w:b w:val="0"/>
                <w:i/>
                <w:sz w:val="24"/>
                <w:szCs w:val="24"/>
              </w:rPr>
              <w:t>euro</w:t>
            </w:r>
            <w:proofErr w:type="spellEnd"/>
            <w:r w:rsidRPr="00DB4A2D">
              <w:rPr>
                <w:b w:val="0"/>
                <w:sz w:val="24"/>
                <w:szCs w:val="24"/>
              </w:rPr>
              <w:t xml:space="preserve"> (3 514 020 LVL) tiek paredzēti no oglekļa mazāk atkarīgas ekonomikas izveidei.</w:t>
            </w:r>
          </w:p>
          <w:p w:rsidR="00BE0264" w:rsidRPr="00DB4A2D" w:rsidRDefault="00BE0264" w:rsidP="000105A1">
            <w:pPr>
              <w:pStyle w:val="tvhtml1"/>
              <w:spacing w:before="0" w:beforeAutospacing="0" w:line="240" w:lineRule="auto"/>
              <w:ind w:right="179"/>
              <w:jc w:val="both"/>
              <w:rPr>
                <w:rFonts w:ascii="Times New Roman" w:hAnsi="Times New Roman"/>
                <w:sz w:val="24"/>
                <w:szCs w:val="24"/>
                <w:lang w:val="lv-LV"/>
              </w:rPr>
            </w:pPr>
            <w:r w:rsidRPr="00DB4A2D">
              <w:rPr>
                <w:rFonts w:ascii="Times New Roman" w:hAnsi="Times New Roman"/>
                <w:sz w:val="24"/>
                <w:szCs w:val="24"/>
                <w:lang w:val="lv-LV"/>
              </w:rPr>
              <w:t>Ar MK noteikumu projektu paredzēts noteikt Eiropas Ekonomikas zonas finanšu instrumenta (turpmāk – finanšu instruments) atklāta projektu konkursa „Ilgtspējīgu ēku, atjaunojamo energoresursu tehnoloģiju un inovatīvu emisiju samazinošu tehnoloģiju attīstība” (turpmāk – konkurss) norises kārtību, tai skaitā:</w:t>
            </w:r>
          </w:p>
          <w:p w:rsidR="00BE0264" w:rsidRPr="00DB4A2D" w:rsidRDefault="00BE0264" w:rsidP="00BE0264">
            <w:pPr>
              <w:pStyle w:val="tvhtml1"/>
              <w:numPr>
                <w:ilvl w:val="0"/>
                <w:numId w:val="4"/>
              </w:numPr>
              <w:spacing w:before="0" w:beforeAutospacing="0" w:line="240" w:lineRule="auto"/>
              <w:ind w:right="179"/>
              <w:jc w:val="both"/>
              <w:rPr>
                <w:rFonts w:ascii="Times New Roman" w:hAnsi="Times New Roman"/>
                <w:sz w:val="24"/>
                <w:szCs w:val="24"/>
                <w:lang w:val="lv-LV"/>
              </w:rPr>
            </w:pPr>
            <w:r w:rsidRPr="00DB4A2D">
              <w:rPr>
                <w:rFonts w:ascii="Times New Roman" w:hAnsi="Times New Roman"/>
                <w:sz w:val="24"/>
                <w:szCs w:val="24"/>
                <w:lang w:val="lv-LV"/>
              </w:rPr>
              <w:t xml:space="preserve">projektu iesniegumu vērtēšanas kritērijus, </w:t>
            </w:r>
          </w:p>
          <w:p w:rsidR="00BE0264" w:rsidRPr="00DB4A2D" w:rsidRDefault="00BE0264" w:rsidP="00BE0264">
            <w:pPr>
              <w:pStyle w:val="tvhtml1"/>
              <w:numPr>
                <w:ilvl w:val="0"/>
                <w:numId w:val="4"/>
              </w:numPr>
              <w:spacing w:before="0" w:beforeAutospacing="0" w:line="240" w:lineRule="auto"/>
              <w:ind w:right="179"/>
              <w:jc w:val="both"/>
              <w:rPr>
                <w:rFonts w:ascii="Times New Roman" w:hAnsi="Times New Roman"/>
                <w:sz w:val="24"/>
                <w:szCs w:val="24"/>
                <w:lang w:val="lv-LV"/>
              </w:rPr>
            </w:pPr>
            <w:r w:rsidRPr="00DB4A2D">
              <w:rPr>
                <w:rFonts w:ascii="Times New Roman" w:hAnsi="Times New Roman"/>
                <w:sz w:val="24"/>
                <w:szCs w:val="24"/>
                <w:lang w:val="lv-LV"/>
              </w:rPr>
              <w:t xml:space="preserve">prasības projektu iesniedzējiem, </w:t>
            </w:r>
          </w:p>
          <w:p w:rsidR="00BE0264" w:rsidRPr="00DB4A2D" w:rsidRDefault="00BE0264" w:rsidP="00BE0264">
            <w:pPr>
              <w:pStyle w:val="tvhtml1"/>
              <w:numPr>
                <w:ilvl w:val="0"/>
                <w:numId w:val="4"/>
              </w:numPr>
              <w:spacing w:before="0" w:beforeAutospacing="0" w:line="240" w:lineRule="auto"/>
              <w:ind w:right="179"/>
              <w:jc w:val="both"/>
              <w:rPr>
                <w:rFonts w:ascii="Times New Roman" w:hAnsi="Times New Roman"/>
                <w:sz w:val="24"/>
                <w:szCs w:val="24"/>
                <w:lang w:val="lv-LV"/>
              </w:rPr>
            </w:pPr>
            <w:r w:rsidRPr="00DB4A2D">
              <w:rPr>
                <w:rFonts w:ascii="Times New Roman" w:hAnsi="Times New Roman"/>
                <w:sz w:val="24"/>
                <w:szCs w:val="24"/>
                <w:lang w:val="lv-LV"/>
              </w:rPr>
              <w:t xml:space="preserve">projektu vērtēšanas kārtību, </w:t>
            </w:r>
          </w:p>
          <w:p w:rsidR="00BE0264" w:rsidRPr="00DB4A2D" w:rsidRDefault="00BE0264" w:rsidP="00BE0264">
            <w:pPr>
              <w:pStyle w:val="tvhtml1"/>
              <w:numPr>
                <w:ilvl w:val="0"/>
                <w:numId w:val="4"/>
              </w:numPr>
              <w:spacing w:before="0" w:beforeAutospacing="0" w:line="240" w:lineRule="auto"/>
              <w:ind w:right="179"/>
              <w:jc w:val="both"/>
              <w:rPr>
                <w:rFonts w:ascii="Times New Roman" w:hAnsi="Times New Roman"/>
                <w:sz w:val="24"/>
                <w:szCs w:val="24"/>
                <w:lang w:val="lv-LV"/>
              </w:rPr>
            </w:pPr>
            <w:r w:rsidRPr="00DB4A2D">
              <w:rPr>
                <w:rFonts w:ascii="Times New Roman" w:hAnsi="Times New Roman"/>
                <w:sz w:val="24"/>
                <w:szCs w:val="24"/>
                <w:lang w:val="lv-LV"/>
              </w:rPr>
              <w:t>finansējuma apmēru un piešķiršanas kārtību,</w:t>
            </w:r>
          </w:p>
          <w:p w:rsidR="00BE0264" w:rsidRPr="00DB4A2D" w:rsidRDefault="00BE0264" w:rsidP="00BE0264">
            <w:pPr>
              <w:pStyle w:val="tvhtml1"/>
              <w:numPr>
                <w:ilvl w:val="0"/>
                <w:numId w:val="4"/>
              </w:numPr>
              <w:spacing w:before="0" w:beforeAutospacing="0" w:line="240" w:lineRule="auto"/>
              <w:ind w:right="179"/>
              <w:jc w:val="both"/>
              <w:rPr>
                <w:rFonts w:ascii="Times New Roman" w:hAnsi="Times New Roman"/>
                <w:sz w:val="24"/>
                <w:szCs w:val="24"/>
                <w:lang w:val="lv-LV"/>
              </w:rPr>
            </w:pPr>
            <w:r w:rsidRPr="00DB4A2D">
              <w:rPr>
                <w:rFonts w:ascii="Times New Roman" w:hAnsi="Times New Roman"/>
                <w:sz w:val="24"/>
                <w:szCs w:val="24"/>
                <w:lang w:val="lv-LV"/>
              </w:rPr>
              <w:t xml:space="preserve"> projektu īstenošanas kārtību,</w:t>
            </w:r>
          </w:p>
          <w:p w:rsidR="00BE0264" w:rsidRPr="00DB4A2D" w:rsidRDefault="00BE0264" w:rsidP="00BE0264">
            <w:pPr>
              <w:pStyle w:val="tvhtml1"/>
              <w:numPr>
                <w:ilvl w:val="0"/>
                <w:numId w:val="4"/>
              </w:numPr>
              <w:spacing w:before="0" w:beforeAutospacing="0" w:line="240" w:lineRule="auto"/>
              <w:ind w:right="179"/>
              <w:jc w:val="both"/>
              <w:rPr>
                <w:rFonts w:ascii="Times New Roman" w:hAnsi="Times New Roman"/>
                <w:sz w:val="24"/>
                <w:szCs w:val="24"/>
                <w:lang w:val="lv-LV"/>
              </w:rPr>
            </w:pPr>
            <w:r w:rsidRPr="00DB4A2D">
              <w:rPr>
                <w:rFonts w:ascii="Times New Roman" w:hAnsi="Times New Roman"/>
                <w:sz w:val="24"/>
                <w:szCs w:val="24"/>
                <w:lang w:val="lv-LV"/>
              </w:rPr>
              <w:t>projektu uzraudzības kārtību.</w:t>
            </w:r>
          </w:p>
          <w:p w:rsidR="00BE0264" w:rsidRPr="00DB4A2D" w:rsidRDefault="00BE0264" w:rsidP="000105A1">
            <w:pPr>
              <w:pStyle w:val="tvhtml1"/>
              <w:spacing w:before="0" w:beforeAutospacing="0" w:line="240" w:lineRule="auto"/>
              <w:jc w:val="both"/>
              <w:rPr>
                <w:rFonts w:ascii="Times New Roman" w:hAnsi="Times New Roman"/>
                <w:sz w:val="24"/>
                <w:szCs w:val="24"/>
                <w:lang w:val="lv-LV"/>
              </w:rPr>
            </w:pPr>
            <w:r w:rsidRPr="00DB4A2D">
              <w:rPr>
                <w:rFonts w:ascii="Times New Roman" w:hAnsi="Times New Roman"/>
                <w:sz w:val="24"/>
                <w:szCs w:val="24"/>
                <w:lang w:val="lv-LV"/>
              </w:rPr>
              <w:t xml:space="preserve">Konkursa </w:t>
            </w:r>
            <w:r w:rsidRPr="00BE0264">
              <w:rPr>
                <w:rFonts w:ascii="Times New Roman" w:hAnsi="Times New Roman"/>
                <w:sz w:val="24"/>
                <w:szCs w:val="24"/>
                <w:lang w:val="lv-LV"/>
              </w:rPr>
              <w:t>mērķis ir</w:t>
            </w:r>
            <w:r w:rsidRPr="00DB4A2D">
              <w:rPr>
                <w:rFonts w:ascii="Times New Roman" w:hAnsi="Times New Roman"/>
                <w:sz w:val="24"/>
                <w:szCs w:val="24"/>
                <w:lang w:val="lv-LV"/>
              </w:rPr>
              <w:t xml:space="preserve"> ieviest un demonstrēt zema oglekļa dioksīda (turpmāk – CO</w:t>
            </w:r>
            <w:r w:rsidRPr="00DB4A2D">
              <w:rPr>
                <w:rFonts w:ascii="Times New Roman" w:hAnsi="Times New Roman"/>
                <w:sz w:val="24"/>
                <w:szCs w:val="24"/>
                <w:vertAlign w:val="subscript"/>
                <w:lang w:val="lv-LV"/>
              </w:rPr>
              <w:t>2</w:t>
            </w:r>
            <w:r w:rsidRPr="00DB4A2D">
              <w:rPr>
                <w:rFonts w:ascii="Times New Roman" w:hAnsi="Times New Roman"/>
                <w:sz w:val="24"/>
                <w:szCs w:val="24"/>
                <w:lang w:val="lv-LV"/>
              </w:rPr>
              <w:t xml:space="preserve">) satura tehnoloģiju risinājumus – </w:t>
            </w:r>
            <w:proofErr w:type="spellStart"/>
            <w:r w:rsidRPr="00DB4A2D">
              <w:rPr>
                <w:rFonts w:ascii="Times New Roman" w:hAnsi="Times New Roman"/>
                <w:sz w:val="24"/>
                <w:szCs w:val="24"/>
                <w:lang w:val="lv-LV"/>
              </w:rPr>
              <w:t>energoefektīvas</w:t>
            </w:r>
            <w:proofErr w:type="spellEnd"/>
            <w:r w:rsidRPr="00DB4A2D">
              <w:rPr>
                <w:rFonts w:ascii="Times New Roman" w:hAnsi="Times New Roman"/>
                <w:sz w:val="24"/>
                <w:szCs w:val="24"/>
                <w:lang w:val="lv-LV"/>
              </w:rPr>
              <w:t xml:space="preserve"> tehnoloģijas un risinājumi ilgtspējīgām ēkām, atjaunojamo energoresursu tehnoloģiju izmantošana enerģijas ražošanai un citas tehnoloģijas vai produkti, kas samazina CO</w:t>
            </w:r>
            <w:r w:rsidRPr="00DB4A2D">
              <w:rPr>
                <w:rFonts w:ascii="Times New Roman" w:hAnsi="Times New Roman"/>
                <w:sz w:val="24"/>
                <w:szCs w:val="24"/>
                <w:vertAlign w:val="subscript"/>
                <w:lang w:val="lv-LV"/>
              </w:rPr>
              <w:t>2</w:t>
            </w:r>
            <w:r w:rsidRPr="00DB4A2D">
              <w:rPr>
                <w:rFonts w:ascii="Times New Roman" w:hAnsi="Times New Roman"/>
                <w:sz w:val="24"/>
                <w:szCs w:val="24"/>
                <w:lang w:val="lv-LV"/>
              </w:rPr>
              <w:t xml:space="preserve"> emisijas Latvijā.</w:t>
            </w:r>
          </w:p>
          <w:p w:rsidR="00BE0264" w:rsidRPr="00DB4A2D" w:rsidRDefault="00BE0264" w:rsidP="000105A1">
            <w:pPr>
              <w:pStyle w:val="naisf"/>
              <w:spacing w:before="0" w:beforeAutospacing="0" w:after="0" w:afterAutospacing="0"/>
              <w:jc w:val="both"/>
            </w:pPr>
            <w:r w:rsidRPr="00DB4A2D">
              <w:t xml:space="preserve">Konkursa ietvaros projektam minimāli pieļaujamais programmas  līdzfinansējums vienam projektam ir 175 000 </w:t>
            </w:r>
            <w:proofErr w:type="spellStart"/>
            <w:r w:rsidRPr="00DB4A2D">
              <w:rPr>
                <w:i/>
              </w:rPr>
              <w:t>euro</w:t>
            </w:r>
            <w:proofErr w:type="spellEnd"/>
            <w:r w:rsidRPr="00DB4A2D">
              <w:t xml:space="preserve"> (122 990 LVL), savukārt maksimāli pieļaujamais  programmas līdzfinansējums ir 1 000 000 </w:t>
            </w:r>
            <w:proofErr w:type="spellStart"/>
            <w:r w:rsidRPr="00DB4A2D">
              <w:rPr>
                <w:i/>
              </w:rPr>
              <w:t>euro</w:t>
            </w:r>
            <w:proofErr w:type="spellEnd"/>
            <w:r w:rsidRPr="00DB4A2D">
              <w:t xml:space="preserve"> (702 804 LVL).</w:t>
            </w:r>
          </w:p>
          <w:p w:rsidR="00BE0264" w:rsidRPr="00DB4A2D" w:rsidRDefault="00BE0264" w:rsidP="000105A1">
            <w:pPr>
              <w:pStyle w:val="naisf"/>
              <w:spacing w:before="0" w:beforeAutospacing="0" w:after="0" w:afterAutospacing="0"/>
              <w:ind w:right="181"/>
              <w:jc w:val="both"/>
            </w:pPr>
            <w:r w:rsidRPr="00DB4A2D">
              <w:t>Maksimāli pieejamais līdzfinansējums ir noteikts diferencēti pa atbalsta jomām.</w:t>
            </w:r>
          </w:p>
          <w:p w:rsidR="00BE0264" w:rsidRPr="00DB4A2D" w:rsidRDefault="00BE0264" w:rsidP="000105A1">
            <w:pPr>
              <w:pStyle w:val="naisf"/>
              <w:spacing w:before="0" w:beforeAutospacing="0" w:after="0" w:afterAutospacing="0"/>
              <w:ind w:right="181"/>
              <w:jc w:val="both"/>
              <w:rPr>
                <w:color w:val="000000"/>
              </w:rPr>
            </w:pPr>
            <w:r w:rsidRPr="00DB4A2D">
              <w:rPr>
                <w:bCs/>
              </w:rPr>
              <w:t xml:space="preserve">Lai sasniegtu EEZ nacionālās programmas „Nacionālā klimata politika” iesniegumā noteikto programmas mērķi – demonstrēt zema oglekļa dioksīda risinājumus ar nolūku popularizēt </w:t>
            </w:r>
            <w:proofErr w:type="spellStart"/>
            <w:r w:rsidRPr="00DB4A2D">
              <w:rPr>
                <w:bCs/>
              </w:rPr>
              <w:t>energoefektīvu</w:t>
            </w:r>
            <w:proofErr w:type="spellEnd"/>
            <w:r w:rsidRPr="00DB4A2D">
              <w:rPr>
                <w:bCs/>
              </w:rPr>
              <w:t xml:space="preserve"> pasākumu īstenošanu un atjaunojamo energoresursu tehnoloģiju uzstādīšanu, veicot zema enerģijas patēriņa ēku būvniecību/rekonstrukciju, MK noteikumu projekta izstrādes/saskaņošanas procesā tika p</w:t>
            </w:r>
            <w:r w:rsidRPr="00DB4A2D">
              <w:rPr>
                <w:color w:val="000000"/>
              </w:rPr>
              <w:t xml:space="preserve">recizēts MK noteikumu projekta </w:t>
            </w:r>
            <w:r w:rsidRPr="00DB4A2D">
              <w:rPr>
                <w:bCs/>
                <w:color w:val="000000"/>
              </w:rPr>
              <w:t>9.2. apakšpunkts</w:t>
            </w:r>
            <w:r w:rsidRPr="00DB4A2D">
              <w:rPr>
                <w:color w:val="000000"/>
              </w:rPr>
              <w:t xml:space="preserve"> svītrojot ēku klasi „rūpnieciskās ražošanas ēkas” (kods 1251) un iekļaujot ēku klasi „ēkas </w:t>
            </w:r>
            <w:proofErr w:type="spellStart"/>
            <w:r w:rsidRPr="00DB4A2D">
              <w:rPr>
                <w:color w:val="000000"/>
              </w:rPr>
              <w:t>plašizklaides</w:t>
            </w:r>
            <w:proofErr w:type="spellEnd"/>
            <w:r w:rsidRPr="00DB4A2D">
              <w:rPr>
                <w:color w:val="000000"/>
              </w:rPr>
              <w:t xml:space="preserve"> pasākumiem” (kods 1261)</w:t>
            </w:r>
            <w:r w:rsidR="00894112">
              <w:rPr>
                <w:color w:val="000000"/>
              </w:rPr>
              <w:t xml:space="preserve">, </w:t>
            </w:r>
            <w:r w:rsidR="00894112" w:rsidRPr="00894112">
              <w:rPr>
                <w:b/>
                <w:color w:val="000000"/>
              </w:rPr>
              <w:t xml:space="preserve">attiecinot </w:t>
            </w:r>
            <w:r w:rsidR="00894112" w:rsidRPr="00894112">
              <w:rPr>
                <w:b/>
              </w:rPr>
              <w:t>tikai uz ēkām, kurās tiek īstenotas Kultūras institūciju likuma 2. panta otrajā daļā noteiktās funkcijas</w:t>
            </w:r>
            <w:r w:rsidR="00894112">
              <w:rPr>
                <w:b/>
              </w:rPr>
              <w:t>.</w:t>
            </w:r>
          </w:p>
          <w:p w:rsidR="00BE0264" w:rsidRPr="00DB4A2D" w:rsidRDefault="00BE0264" w:rsidP="000105A1">
            <w:pPr>
              <w:pStyle w:val="naisf"/>
              <w:spacing w:before="0" w:beforeAutospacing="0" w:after="0" w:afterAutospacing="0"/>
              <w:ind w:right="181"/>
              <w:jc w:val="both"/>
              <w:rPr>
                <w:bCs/>
              </w:rPr>
            </w:pPr>
            <w:r w:rsidRPr="00DB4A2D">
              <w:rPr>
                <w:bCs/>
              </w:rPr>
              <w:t xml:space="preserve">Grozījums skaidrojams ar to, ka mērķa sasniegšanu nodrošinās atbalsta sniegšana ēkām, kas ikdienā ir publiski pieejamas plašākai sabiedrībai. Savukārt, sniedzot atbalstu rūpnieciskās ražošanas ēkām, </w:t>
            </w:r>
            <w:proofErr w:type="spellStart"/>
            <w:r w:rsidRPr="00DB4A2D">
              <w:rPr>
                <w:bCs/>
              </w:rPr>
              <w:t>energoefektīvo</w:t>
            </w:r>
            <w:proofErr w:type="spellEnd"/>
            <w:r w:rsidRPr="00DB4A2D">
              <w:rPr>
                <w:bCs/>
              </w:rPr>
              <w:t xml:space="preserve"> risinājumu demonstrēšanas iespējas ir ierobežotas. Bez tam, </w:t>
            </w:r>
            <w:r w:rsidRPr="00DB4A2D">
              <w:t>Klimata pārmaiņu finanšu instrumenta atklāto projektu konkursu ietvaros ražošanas ēkām bija un šobrīd ir pieejams finansējums ēku un tehnoloģiju energoefektivitātes pasākumu īstenošanai.</w:t>
            </w:r>
          </w:p>
          <w:p w:rsidR="00BE0264" w:rsidRPr="00DB4A2D" w:rsidRDefault="00BE0264" w:rsidP="000105A1">
            <w:pPr>
              <w:pStyle w:val="naisf"/>
              <w:spacing w:before="0" w:beforeAutospacing="0" w:after="0" w:afterAutospacing="0"/>
              <w:ind w:right="181"/>
              <w:jc w:val="both"/>
              <w:rPr>
                <w:bCs/>
              </w:rPr>
            </w:pPr>
            <w:r w:rsidRPr="00DB4A2D">
              <w:t>Līdz ar to ņemot vērā, ka pieejamais programmas līdzfinansējums</w:t>
            </w:r>
            <w:r w:rsidRPr="00DB4A2D">
              <w:rPr>
                <w:bCs/>
                <w:color w:val="000000"/>
              </w:rPr>
              <w:t xml:space="preserve"> ēku būvniecībai/rekonstrukcijai atklātā projektu konkursa „Ilgtspējīgu ēku, atjaunojamo energoresursu tehnoloģiju un inovatīvu emisiju samazinošu tehnoloģiju attīstība” ietvaros ir tikai 3 milj. </w:t>
            </w:r>
            <w:proofErr w:type="spellStart"/>
            <w:r w:rsidRPr="00DB4A2D">
              <w:rPr>
                <w:bCs/>
                <w:color w:val="000000"/>
              </w:rPr>
              <w:t>euro</w:t>
            </w:r>
            <w:proofErr w:type="spellEnd"/>
            <w:r w:rsidRPr="00DB4A2D">
              <w:rPr>
                <w:bCs/>
                <w:color w:val="000000"/>
              </w:rPr>
              <w:t xml:space="preserve">, </w:t>
            </w:r>
            <w:r w:rsidRPr="00DB4A2D">
              <w:rPr>
                <w:bCs/>
              </w:rPr>
              <w:t>tika nolemts atbalstīt ēkas ar publisku pieejamību un demonstrēšanas iespējam.</w:t>
            </w:r>
          </w:p>
          <w:p w:rsidR="00BE0264" w:rsidRPr="00DB4A2D" w:rsidRDefault="00BE0264" w:rsidP="000105A1">
            <w:pPr>
              <w:pStyle w:val="naisf"/>
              <w:spacing w:before="0" w:beforeAutospacing="0" w:after="0" w:afterAutospacing="0"/>
              <w:ind w:right="77"/>
              <w:rPr>
                <w:color w:val="000000"/>
              </w:rPr>
            </w:pPr>
            <w:r w:rsidRPr="00DB4A2D">
              <w:rPr>
                <w:color w:val="000000"/>
              </w:rPr>
              <w:t>Konkursa ietvaros atbalsta šādas projekta jomas:</w:t>
            </w:r>
          </w:p>
          <w:p w:rsidR="00BE0264" w:rsidRPr="00DB4A2D" w:rsidRDefault="00BE0264" w:rsidP="00BE0264">
            <w:pPr>
              <w:pStyle w:val="ListParagraph"/>
              <w:numPr>
                <w:ilvl w:val="0"/>
                <w:numId w:val="6"/>
              </w:numPr>
              <w:ind w:right="77"/>
              <w:jc w:val="both"/>
              <w:rPr>
                <w:color w:val="000000"/>
              </w:rPr>
            </w:pPr>
            <w:r w:rsidRPr="00DB4A2D">
              <w:rPr>
                <w:color w:val="000000"/>
              </w:rPr>
              <w:t>energoefektivitātes pasākumu īstenošana un atjaunojamo energoresursu tehnoloģiju uzstādīšana, veicot zema enerģijas patēriņa ēku būvniecību, kā arī esošu ēku rekonstrukciju;</w:t>
            </w:r>
          </w:p>
          <w:p w:rsidR="00BE0264" w:rsidRPr="00DB4A2D" w:rsidRDefault="00BE0264" w:rsidP="00BE0264">
            <w:pPr>
              <w:pStyle w:val="ListParagraph"/>
              <w:numPr>
                <w:ilvl w:val="0"/>
                <w:numId w:val="6"/>
              </w:numPr>
              <w:ind w:right="77"/>
              <w:jc w:val="both"/>
              <w:rPr>
                <w:color w:val="000000"/>
              </w:rPr>
            </w:pPr>
            <w:r w:rsidRPr="00DB4A2D">
              <w:rPr>
                <w:color w:val="000000"/>
              </w:rPr>
              <w:t>atjaunojamo energoresursu tehnoloģiju izmantošana siltumenerģijas un elektroenerģijas ražošanai;</w:t>
            </w:r>
          </w:p>
          <w:p w:rsidR="00BE0264" w:rsidRPr="00DB4A2D" w:rsidRDefault="00BE0264" w:rsidP="00BE0264">
            <w:pPr>
              <w:pStyle w:val="ListParagraph"/>
              <w:numPr>
                <w:ilvl w:val="0"/>
                <w:numId w:val="6"/>
              </w:numPr>
              <w:ind w:right="79"/>
              <w:jc w:val="both"/>
              <w:rPr>
                <w:color w:val="000000"/>
              </w:rPr>
            </w:pPr>
            <w:r w:rsidRPr="00DB4A2D">
              <w:rPr>
                <w:color w:val="000000"/>
              </w:rPr>
              <w:t>inovatīva (jauna) produkta vai tehnoloģijas izveide, testēšana un demonstrēšana, kā arī esošas tehnoloģijas pilnveidošana, testēšana un demonstrēšana siltumnīcefekta gāzu emisiju samazināšanai ne – emisijas kvotu tirdzniecības sistēmas sektorā, ja tas atbilst Komisijas 2008.gada 6.augusta Regulu (EK) Nr.</w:t>
            </w:r>
            <w:hyperlink r:id="rId7" w:tgtFrame="_blank" w:tooltip="REGULA" w:history="1">
              <w:r w:rsidRPr="00DB4A2D">
                <w:rPr>
                  <w:rStyle w:val="Hyperlink"/>
                  <w:color w:val="000000"/>
                </w:rPr>
                <w:t>800/2008</w:t>
              </w:r>
            </w:hyperlink>
            <w:r w:rsidRPr="00DB4A2D">
              <w:rPr>
                <w:color w:val="000000"/>
              </w:rPr>
              <w:t>, kas atzīst noteiktas atbalsta kategorijas par saderīgām ar kopējo tirgu, piemērojot Līguma 87. un 88.pantu (vispārējā grupu atbrīvojuma regula)</w:t>
            </w:r>
            <w:r w:rsidRPr="00DB4A2D">
              <w:rPr>
                <w:i/>
                <w:iCs/>
              </w:rPr>
              <w:t xml:space="preserve"> </w:t>
            </w:r>
            <w:r w:rsidRPr="00DB4A2D">
              <w:rPr>
                <w:iCs/>
              </w:rPr>
              <w:t>[OV L 214,  09/08/2008]</w:t>
            </w:r>
            <w:r w:rsidRPr="00DB4A2D">
              <w:rPr>
                <w:i/>
                <w:iCs/>
              </w:rPr>
              <w:t xml:space="preserve"> </w:t>
            </w:r>
            <w:r w:rsidRPr="00DB4A2D">
              <w:t> </w:t>
            </w:r>
            <w:r w:rsidRPr="00DB4A2D">
              <w:rPr>
                <w:color w:val="000000"/>
              </w:rPr>
              <w:t xml:space="preserve"> (turpmāk – Komisijas regula Nr.</w:t>
            </w:r>
            <w:hyperlink r:id="rId8" w:tgtFrame="_blank" w:tooltip="REGULA" w:history="1">
              <w:r w:rsidRPr="00DB4A2D">
                <w:rPr>
                  <w:rStyle w:val="Hyperlink"/>
                  <w:color w:val="000000"/>
                </w:rPr>
                <w:t>800/2008</w:t>
              </w:r>
            </w:hyperlink>
            <w:r w:rsidRPr="00DB4A2D">
              <w:rPr>
                <w:color w:val="000000"/>
              </w:rPr>
              <w:t>) 30.panta 4.punktā noteiktajam. P</w:t>
            </w:r>
            <w:r w:rsidRPr="00DB4A2D">
              <w:t xml:space="preserve">ar </w:t>
            </w:r>
            <w:r w:rsidRPr="00DB4A2D">
              <w:rPr>
                <w:color w:val="000000"/>
              </w:rPr>
              <w:t xml:space="preserve">jauna un inovatīva produkta vai tehnoloģijas izveidi tiek uzskatīts – </w:t>
            </w:r>
            <w:r w:rsidRPr="00DB4A2D">
              <w:t xml:space="preserve">jauni zinātniski un tehnoloģiski produkti vai tehnoloģijas, kuru izstrādi raksturo padziļināta nozares izpratne, zinātnisku metožu pielietojums, kā arī starptautiska mēroga produktu vai tehnoloģiju patentēšana </w:t>
            </w:r>
          </w:p>
          <w:p w:rsidR="00BE0264" w:rsidRPr="00DB4A2D" w:rsidRDefault="00BE0264" w:rsidP="000105A1">
            <w:pPr>
              <w:ind w:right="79"/>
              <w:jc w:val="both"/>
              <w:rPr>
                <w:rFonts w:ascii="Times New Roman" w:hAnsi="Times New Roman"/>
                <w:color w:val="000000"/>
                <w:sz w:val="24"/>
                <w:szCs w:val="24"/>
              </w:rPr>
            </w:pPr>
            <w:r w:rsidRPr="00DB4A2D">
              <w:rPr>
                <w:rFonts w:ascii="Times New Roman" w:hAnsi="Times New Roman"/>
                <w:color w:val="000000"/>
                <w:sz w:val="24"/>
                <w:szCs w:val="24"/>
              </w:rPr>
              <w:t xml:space="preserve">Saskaņā ar </w:t>
            </w:r>
            <w:proofErr w:type="spellStart"/>
            <w:r w:rsidRPr="00DB4A2D">
              <w:rPr>
                <w:rFonts w:ascii="Times New Roman" w:hAnsi="Times New Roman"/>
                <w:color w:val="000000"/>
                <w:sz w:val="24"/>
                <w:szCs w:val="24"/>
              </w:rPr>
              <w:t>donorvalstu</w:t>
            </w:r>
            <w:proofErr w:type="spellEnd"/>
            <w:r w:rsidRPr="00DB4A2D">
              <w:rPr>
                <w:rFonts w:ascii="Times New Roman" w:hAnsi="Times New Roman"/>
                <w:color w:val="000000"/>
                <w:sz w:val="24"/>
                <w:szCs w:val="24"/>
              </w:rPr>
              <w:t xml:space="preserve"> apstiprināto programmas līgumu, atklāta konkursa ietvaros plānots sasniegt sekojošus rezultātus: </w:t>
            </w:r>
          </w:p>
          <w:p w:rsidR="00BE0264" w:rsidRPr="00DB4A2D" w:rsidRDefault="00BE0264" w:rsidP="00BE0264">
            <w:pPr>
              <w:pStyle w:val="naisf"/>
              <w:numPr>
                <w:ilvl w:val="0"/>
                <w:numId w:val="5"/>
              </w:numPr>
              <w:spacing w:before="0" w:beforeAutospacing="0" w:after="0" w:afterAutospacing="0"/>
              <w:ind w:left="782" w:right="77" w:hanging="357"/>
              <w:jc w:val="both"/>
              <w:rPr>
                <w:color w:val="000000"/>
              </w:rPr>
            </w:pPr>
            <w:r w:rsidRPr="00DB4A2D">
              <w:rPr>
                <w:color w:val="000000"/>
              </w:rPr>
              <w:t>īstenoti trīs zema enerģijas patēriņa ēku būvniecības projekti;</w:t>
            </w:r>
          </w:p>
          <w:p w:rsidR="00BE0264" w:rsidRPr="00DB4A2D" w:rsidRDefault="00BE0264" w:rsidP="00BE0264">
            <w:pPr>
              <w:pStyle w:val="naisf"/>
              <w:numPr>
                <w:ilvl w:val="0"/>
                <w:numId w:val="5"/>
              </w:numPr>
              <w:spacing w:before="0" w:beforeAutospacing="0" w:after="0" w:afterAutospacing="0"/>
              <w:ind w:left="782" w:right="77" w:hanging="357"/>
              <w:jc w:val="both"/>
              <w:rPr>
                <w:color w:val="000000"/>
              </w:rPr>
            </w:pPr>
            <w:r w:rsidRPr="00DB4A2D">
              <w:rPr>
                <w:color w:val="000000"/>
              </w:rPr>
              <w:t>samazināts enerģijas patēriņš līdz 25kWh/m</w:t>
            </w:r>
            <w:r w:rsidRPr="00DB4A2D">
              <w:rPr>
                <w:color w:val="000000"/>
                <w:vertAlign w:val="superscript"/>
              </w:rPr>
              <w:t>2</w:t>
            </w:r>
            <w:r w:rsidRPr="00DB4A2D">
              <w:rPr>
                <w:color w:val="000000"/>
              </w:rPr>
              <w:t xml:space="preserve">/gadā ēkās, kurās tiek ieviestas enerģijas taupošas tehnoloģijas (turpmāk – ēkas enerģijas patēriņa samazinājuma rādītājs); </w:t>
            </w:r>
          </w:p>
          <w:p w:rsidR="00BE0264" w:rsidRPr="00DB4A2D" w:rsidRDefault="00BE0264" w:rsidP="00BE0264">
            <w:pPr>
              <w:pStyle w:val="naisf"/>
              <w:numPr>
                <w:ilvl w:val="0"/>
                <w:numId w:val="5"/>
              </w:numPr>
              <w:spacing w:before="0" w:beforeAutospacing="0" w:after="0" w:afterAutospacing="0"/>
              <w:ind w:left="782" w:right="77" w:hanging="357"/>
              <w:jc w:val="both"/>
              <w:rPr>
                <w:color w:val="000000"/>
              </w:rPr>
            </w:pPr>
            <w:r w:rsidRPr="00DB4A2D">
              <w:rPr>
                <w:color w:val="000000"/>
              </w:rPr>
              <w:t>palielināts emisiju ietaupījums līdz 500 tCO</w:t>
            </w:r>
            <w:r w:rsidRPr="00DB4A2D">
              <w:rPr>
                <w:color w:val="000000"/>
                <w:vertAlign w:val="subscript"/>
              </w:rPr>
              <w:t>2</w:t>
            </w:r>
            <w:r w:rsidRPr="00DB4A2D">
              <w:rPr>
                <w:color w:val="000000"/>
              </w:rPr>
              <w:t>/gadā ēkām, kurās tiek ieviestas enerģijas taupošas tehnoloģijas;</w:t>
            </w:r>
          </w:p>
          <w:p w:rsidR="00BE0264" w:rsidRPr="00DB4A2D" w:rsidRDefault="00BE0264" w:rsidP="00BE0264">
            <w:pPr>
              <w:pStyle w:val="naisf"/>
              <w:numPr>
                <w:ilvl w:val="0"/>
                <w:numId w:val="5"/>
              </w:numPr>
              <w:spacing w:before="0" w:beforeAutospacing="0" w:after="0" w:afterAutospacing="0"/>
              <w:ind w:left="782" w:right="77" w:hanging="357"/>
              <w:jc w:val="both"/>
              <w:rPr>
                <w:color w:val="000000"/>
              </w:rPr>
            </w:pPr>
            <w:r w:rsidRPr="00DB4A2D">
              <w:rPr>
                <w:color w:val="000000"/>
              </w:rPr>
              <w:t>programmas ietvaros īstenoti trīs zema oglekļa emisiju tehnoloģiju projekti;</w:t>
            </w:r>
          </w:p>
          <w:p w:rsidR="00BE0264" w:rsidRPr="00DB4A2D" w:rsidRDefault="00BE0264" w:rsidP="00BE0264">
            <w:pPr>
              <w:pStyle w:val="naisf"/>
              <w:numPr>
                <w:ilvl w:val="0"/>
                <w:numId w:val="5"/>
              </w:numPr>
              <w:spacing w:before="0" w:beforeAutospacing="0" w:after="0" w:afterAutospacing="0"/>
              <w:ind w:left="782" w:right="77" w:hanging="357"/>
              <w:jc w:val="both"/>
              <w:rPr>
                <w:iCs/>
                <w:color w:val="000000"/>
              </w:rPr>
            </w:pPr>
            <w:r w:rsidRPr="00DB4A2D">
              <w:rPr>
                <w:color w:val="000000"/>
              </w:rPr>
              <w:t>samazinātas kopējās SEG emisij</w:t>
            </w:r>
            <w:r w:rsidRPr="00DB4A2D">
              <w:rPr>
                <w:i/>
                <w:iCs/>
                <w:color w:val="000000"/>
              </w:rPr>
              <w:t>a</w:t>
            </w:r>
            <w:r w:rsidRPr="00DB4A2D">
              <w:rPr>
                <w:iCs/>
                <w:color w:val="000000"/>
              </w:rPr>
              <w:t>s līdz 4300 tCO</w:t>
            </w:r>
            <w:r w:rsidRPr="00DB4A2D">
              <w:rPr>
                <w:iCs/>
                <w:color w:val="000000"/>
                <w:vertAlign w:val="subscript"/>
              </w:rPr>
              <w:t>2</w:t>
            </w:r>
            <w:r w:rsidRPr="00DB4A2D">
              <w:rPr>
                <w:iCs/>
                <w:color w:val="000000"/>
              </w:rPr>
              <w:t>/gadā.</w:t>
            </w:r>
          </w:p>
          <w:p w:rsidR="00BE0264" w:rsidRPr="00DB4A2D" w:rsidRDefault="00BE0264" w:rsidP="000105A1">
            <w:pPr>
              <w:pStyle w:val="naisf"/>
              <w:spacing w:before="0" w:beforeAutospacing="0" w:after="0" w:afterAutospacing="0"/>
              <w:ind w:right="77"/>
              <w:jc w:val="both"/>
              <w:rPr>
                <w:color w:val="000000"/>
              </w:rPr>
            </w:pPr>
            <w:r w:rsidRPr="00DB4A2D">
              <w:rPr>
                <w:i/>
                <w:iCs/>
                <w:color w:val="000000"/>
              </w:rPr>
              <w:t>E</w:t>
            </w:r>
            <w:r w:rsidRPr="00DB4A2D">
              <w:rPr>
                <w:color w:val="000000"/>
              </w:rPr>
              <w:t>nerģijas patēriņa samazinājuma rādītājs tika pieņemts pamatojoties uz sekojošo:</w:t>
            </w:r>
          </w:p>
          <w:p w:rsidR="00BE0264" w:rsidRPr="00DB4A2D" w:rsidRDefault="00BE0264" w:rsidP="000105A1">
            <w:pPr>
              <w:spacing w:after="0"/>
              <w:jc w:val="both"/>
              <w:rPr>
                <w:rFonts w:ascii="Times New Roman" w:hAnsi="Times New Roman"/>
                <w:sz w:val="24"/>
                <w:szCs w:val="24"/>
              </w:rPr>
            </w:pPr>
            <w:r w:rsidRPr="00DB4A2D">
              <w:rPr>
                <w:color w:val="000000"/>
              </w:rPr>
              <w:t xml:space="preserve"> </w:t>
            </w:r>
            <w:r w:rsidRPr="00DB4A2D">
              <w:rPr>
                <w:rFonts w:ascii="Times New Roman" w:hAnsi="Times New Roman"/>
                <w:sz w:val="24"/>
                <w:szCs w:val="24"/>
              </w:rPr>
              <w:t>Starptautiskā prakse liecina, ka viena no i</w:t>
            </w:r>
            <w:r w:rsidRPr="00DB4A2D">
              <w:rPr>
                <w:rFonts w:ascii="Times New Roman" w:hAnsi="Times New Roman"/>
                <w:color w:val="000000"/>
                <w:sz w:val="24"/>
                <w:szCs w:val="24"/>
              </w:rPr>
              <w:t xml:space="preserve">espējām </w:t>
            </w:r>
            <w:r w:rsidRPr="00DB4A2D">
              <w:rPr>
                <w:rFonts w:ascii="Times New Roman" w:hAnsi="Times New Roman"/>
                <w:sz w:val="24"/>
                <w:szCs w:val="24"/>
              </w:rPr>
              <w:t>n</w:t>
            </w:r>
            <w:r w:rsidRPr="00DB4A2D">
              <w:rPr>
                <w:rFonts w:ascii="Times New Roman" w:hAnsi="Times New Roman"/>
                <w:color w:val="000000"/>
                <w:sz w:val="24"/>
                <w:szCs w:val="24"/>
              </w:rPr>
              <w:t>odrošināt siltumnīcefekta gāzu (SEG</w:t>
            </w:r>
            <w:r w:rsidRPr="00DB4A2D">
              <w:rPr>
                <w:rFonts w:ascii="Times New Roman" w:hAnsi="Times New Roman"/>
                <w:sz w:val="24"/>
                <w:szCs w:val="24"/>
              </w:rPr>
              <w:t>) e</w:t>
            </w:r>
            <w:r w:rsidRPr="00DB4A2D">
              <w:rPr>
                <w:rFonts w:ascii="Times New Roman" w:hAnsi="Times New Roman"/>
                <w:color w:val="000000"/>
                <w:sz w:val="24"/>
                <w:szCs w:val="24"/>
              </w:rPr>
              <w:t>misiju maksimālu samazinājumu ir zema enerģijas patēriņa ēku būvniecīb</w:t>
            </w:r>
            <w:r w:rsidRPr="00DB4A2D">
              <w:rPr>
                <w:rFonts w:ascii="Times New Roman" w:hAnsi="Times New Roman"/>
                <w:sz w:val="24"/>
                <w:szCs w:val="24"/>
              </w:rPr>
              <w:t>a. Taču, lai izvērtētu šādu ēku būvniecības iespējas Latvijā un veicinātu to plašāku izmantošanu SEG emisiju samazināšanā, pašlaik Latvijā pietrūkst publiski pieejamu (demonstrējamu) šāda veida ēku piemēru.  Projekti tiks realizēti atbilstoši ilgtspējīgas būvniecības un energoefektivitātes standartiem, izmantojot videi draudzīgus būvniecības materiālus, izstrādājumus un metodes. VARAM vērtējot esošo pieredzi un zema enerģijas patēriņa ēku būvniecību Latvijā ir konstatējusi, ka šāda tipa ēku (zema enerģijas) siltumenerģijas patēriņš apkurei gadā ir galvenokārt 15-20 kWh/m</w:t>
            </w:r>
            <w:r w:rsidRPr="00DB4A2D">
              <w:rPr>
                <w:rFonts w:ascii="Times New Roman" w:hAnsi="Times New Roman"/>
                <w:sz w:val="24"/>
                <w:szCs w:val="24"/>
                <w:vertAlign w:val="superscript"/>
              </w:rPr>
              <w:t>2</w:t>
            </w:r>
            <w:r w:rsidRPr="00DB4A2D">
              <w:rPr>
                <w:rFonts w:ascii="Times New Roman" w:hAnsi="Times New Roman"/>
                <w:sz w:val="24"/>
                <w:szCs w:val="24"/>
              </w:rPr>
              <w:t>. Bet ņemot vērā ēku specifiku tiek pieļauts, ka šajā konkursā siltumenerģijas patēriņš apkurei gadā ir līdz 25 kWh/m</w:t>
            </w:r>
            <w:r w:rsidRPr="00DB4A2D">
              <w:rPr>
                <w:rFonts w:ascii="Times New Roman" w:hAnsi="Times New Roman"/>
                <w:sz w:val="24"/>
                <w:szCs w:val="24"/>
                <w:vertAlign w:val="superscript"/>
              </w:rPr>
              <w:t>2</w:t>
            </w:r>
            <w:r w:rsidRPr="00DB4A2D">
              <w:rPr>
                <w:rFonts w:ascii="Times New Roman" w:hAnsi="Times New Roman"/>
                <w:sz w:val="24"/>
                <w:szCs w:val="24"/>
              </w:rPr>
              <w:t>.</w:t>
            </w:r>
          </w:p>
          <w:p w:rsidR="00BE0264" w:rsidRPr="00DB4A2D" w:rsidRDefault="00BE0264" w:rsidP="000105A1">
            <w:pPr>
              <w:spacing w:after="0"/>
              <w:jc w:val="both"/>
              <w:rPr>
                <w:rFonts w:ascii="Times New Roman" w:hAnsi="Times New Roman"/>
                <w:b/>
                <w:sz w:val="24"/>
                <w:szCs w:val="24"/>
              </w:rPr>
            </w:pPr>
            <w:r w:rsidRPr="00DB4A2D">
              <w:rPr>
                <w:rFonts w:ascii="Times New Roman" w:hAnsi="Times New Roman"/>
                <w:sz w:val="24"/>
                <w:szCs w:val="24"/>
              </w:rPr>
              <w:t xml:space="preserve">Valsts reģionālās attīstības aģentūra nodrošina konkursa īstenošanu, t.sk. projektu </w:t>
            </w:r>
            <w:r w:rsidRPr="00DB4A2D">
              <w:rPr>
                <w:rFonts w:ascii="Times New Roman" w:hAnsi="Times New Roman"/>
                <w:color w:val="000000"/>
                <w:sz w:val="24"/>
                <w:szCs w:val="24"/>
              </w:rPr>
              <w:t xml:space="preserve">vērtēšanas organizēšanu, kā arī līgumu slēgšanu, finansējuma piešķiršanu, projektu īstenošanas uzraudzību un </w:t>
            </w:r>
            <w:proofErr w:type="spellStart"/>
            <w:r w:rsidRPr="00DB4A2D">
              <w:rPr>
                <w:rFonts w:ascii="Times New Roman" w:hAnsi="Times New Roman"/>
                <w:color w:val="000000"/>
                <w:sz w:val="24"/>
                <w:szCs w:val="24"/>
              </w:rPr>
              <w:t>pēcuzraudzību</w:t>
            </w:r>
            <w:proofErr w:type="spellEnd"/>
            <w:r w:rsidRPr="00DB4A2D">
              <w:rPr>
                <w:rFonts w:ascii="Times New Roman" w:hAnsi="Times New Roman"/>
                <w:color w:val="000000"/>
                <w:sz w:val="24"/>
                <w:szCs w:val="24"/>
              </w:rPr>
              <w:t>.</w:t>
            </w:r>
          </w:p>
          <w:p w:rsidR="00BE0264" w:rsidRPr="00DB4A2D" w:rsidRDefault="00BE0264" w:rsidP="000105A1">
            <w:pPr>
              <w:pStyle w:val="naisf"/>
              <w:spacing w:before="0" w:beforeAutospacing="0" w:after="0" w:afterAutospacing="0"/>
              <w:jc w:val="both"/>
            </w:pPr>
            <w:r w:rsidRPr="00DB4A2D">
              <w:rPr>
                <w:color w:val="000000"/>
              </w:rPr>
              <w:t xml:space="preserve">Projekta iesniedzējs ir Latvijas Republikas tiešās vai pastarpinātās pārvaldes iestāde, </w:t>
            </w:r>
            <w:r w:rsidRPr="00DB4A2D">
              <w:t>Latvijas Republikā reģistrēta biedrība vai nodibinājums, kā arī Latvijas Republikā reģistrēts komersants.</w:t>
            </w:r>
          </w:p>
          <w:p w:rsidR="00BE0264" w:rsidRPr="00DB4A2D" w:rsidRDefault="00BE0264" w:rsidP="000105A1">
            <w:pPr>
              <w:spacing w:after="0"/>
              <w:jc w:val="both"/>
              <w:rPr>
                <w:rFonts w:ascii="Times New Roman" w:hAnsi="Times New Roman"/>
                <w:color w:val="000000"/>
                <w:sz w:val="24"/>
                <w:szCs w:val="24"/>
              </w:rPr>
            </w:pPr>
            <w:r w:rsidRPr="00DB4A2D">
              <w:rPr>
                <w:rFonts w:ascii="Times New Roman" w:hAnsi="Times New Roman"/>
                <w:color w:val="000000"/>
                <w:sz w:val="24"/>
                <w:szCs w:val="24"/>
              </w:rPr>
              <w:t xml:space="preserve">Projektā iekļautās aktivitātes plānots īstenot uz zemes vai ēkās, kas ir: </w:t>
            </w:r>
          </w:p>
          <w:p w:rsidR="00BE0264" w:rsidRPr="00DB4A2D" w:rsidRDefault="00BE0264" w:rsidP="000105A1">
            <w:pPr>
              <w:spacing w:after="0"/>
              <w:jc w:val="both"/>
              <w:rPr>
                <w:rFonts w:ascii="Times New Roman" w:hAnsi="Times New Roman"/>
                <w:sz w:val="24"/>
                <w:szCs w:val="24"/>
              </w:rPr>
            </w:pPr>
            <w:r w:rsidRPr="00DB4A2D">
              <w:rPr>
                <w:rFonts w:ascii="Times New Roman" w:hAnsi="Times New Roman"/>
                <w:sz w:val="24"/>
                <w:szCs w:val="24"/>
              </w:rPr>
              <w:t xml:space="preserve">1) projekta iesniedzēja īpašumā vai ilgtermiņa nomā; 2) uz normatīvā akta, līguma vai iestādes lēmuma pamata nodota projekta iesniedzējam lietojumā vai valdījumā (attiecas, ja projekta iesniedzējs ir tiešās vai pastarpinātās pārvaldes iestāde). MK noteikumos noteiktajos gadījumos īpašumtiesības, vai nomas tiesības ir nostiprinātas vai līdz projekta līguma noslēgšanai tiks nostiprinātas zemesgrāmatā uz laiku, kas nav mazāks par pieciem gadiem pēc projekta pabeigšanas. </w:t>
            </w:r>
          </w:p>
          <w:p w:rsidR="00BE0264" w:rsidRPr="00173BEF" w:rsidRDefault="00BE0264" w:rsidP="000105A1">
            <w:pPr>
              <w:spacing w:after="0"/>
              <w:jc w:val="both"/>
              <w:rPr>
                <w:rFonts w:ascii="Times New Roman" w:hAnsi="Times New Roman"/>
                <w:b/>
                <w:sz w:val="24"/>
                <w:szCs w:val="24"/>
              </w:rPr>
            </w:pPr>
            <w:r w:rsidRPr="00173BEF">
              <w:rPr>
                <w:rFonts w:ascii="Times New Roman" w:hAnsi="Times New Roman"/>
                <w:b/>
                <w:sz w:val="24"/>
                <w:szCs w:val="24"/>
              </w:rPr>
              <w:t xml:space="preserve">Tā kā nekustamā īpašuma tiesības, kā arī nomas attiecības ir ierakstāmas zemesgrāmatā, vērtēšanas komisijai ir jāpārliecinās, ka minētās tiesības un attiecības ir ierakstītas zemesgrāmatā. </w:t>
            </w:r>
          </w:p>
          <w:p w:rsidR="00BE0264" w:rsidRPr="00DB4A2D" w:rsidRDefault="00BE0264" w:rsidP="000105A1">
            <w:pPr>
              <w:spacing w:after="0"/>
              <w:jc w:val="both"/>
              <w:rPr>
                <w:rFonts w:ascii="Times New Roman" w:hAnsi="Times New Roman"/>
                <w:sz w:val="24"/>
                <w:szCs w:val="24"/>
              </w:rPr>
            </w:pPr>
          </w:p>
        </w:tc>
      </w:tr>
      <w:tr w:rsidR="00BE0264" w:rsidRPr="00DB4A2D" w:rsidTr="000105A1">
        <w:trPr>
          <w:trHeight w:val="476"/>
        </w:trPr>
        <w:tc>
          <w:tcPr>
            <w:tcW w:w="483" w:type="pct"/>
          </w:tcPr>
          <w:p w:rsidR="00BE0264" w:rsidRPr="00DB4A2D" w:rsidRDefault="00BE0264" w:rsidP="000105A1">
            <w:pPr>
              <w:pStyle w:val="naiskr"/>
              <w:spacing w:before="0" w:beforeAutospacing="0" w:after="0" w:afterAutospacing="0"/>
              <w:ind w:left="57" w:right="57"/>
              <w:jc w:val="center"/>
            </w:pPr>
            <w:r w:rsidRPr="00DB4A2D">
              <w:t>3.</w:t>
            </w:r>
          </w:p>
        </w:tc>
        <w:tc>
          <w:tcPr>
            <w:tcW w:w="1382" w:type="pct"/>
          </w:tcPr>
          <w:p w:rsidR="00BE0264" w:rsidRPr="00DB4A2D" w:rsidRDefault="00BE0264" w:rsidP="000105A1">
            <w:pPr>
              <w:pStyle w:val="naiskr"/>
              <w:spacing w:before="0" w:beforeAutospacing="0" w:after="0" w:afterAutospacing="0"/>
              <w:ind w:left="57" w:right="57"/>
            </w:pPr>
            <w:r w:rsidRPr="00DB4A2D">
              <w:t>Projekta izstrādē iesaistītās institūcijas</w:t>
            </w:r>
          </w:p>
        </w:tc>
        <w:tc>
          <w:tcPr>
            <w:tcW w:w="3135" w:type="pct"/>
          </w:tcPr>
          <w:p w:rsidR="00BE0264" w:rsidRPr="00DB4A2D" w:rsidRDefault="00BE0264" w:rsidP="000105A1">
            <w:pPr>
              <w:spacing w:after="0" w:line="240" w:lineRule="auto"/>
              <w:ind w:left="57" w:right="57"/>
              <w:jc w:val="both"/>
              <w:rPr>
                <w:rFonts w:ascii="Times New Roman" w:hAnsi="Times New Roman"/>
                <w:b/>
                <w:sz w:val="24"/>
                <w:szCs w:val="24"/>
              </w:rPr>
            </w:pPr>
            <w:r w:rsidRPr="00DB4A2D">
              <w:rPr>
                <w:rFonts w:ascii="Times New Roman" w:hAnsi="Times New Roman"/>
                <w:sz w:val="24"/>
                <w:szCs w:val="24"/>
              </w:rPr>
              <w:t>MK noteikumu projektu izstrādāja Vides aizsardzības un reģionālās attīstības ministrija, pamatojoties uz apstiprināto p</w:t>
            </w:r>
            <w:r w:rsidRPr="00DB4A2D">
              <w:rPr>
                <w:rFonts w:ascii="Times New Roman" w:hAnsi="Times New Roman"/>
                <w:bCs/>
                <w:sz w:val="24"/>
                <w:szCs w:val="24"/>
              </w:rPr>
              <w:t>rogrammu „Nacionālā klimata politika”</w:t>
            </w:r>
            <w:r w:rsidRPr="00DB4A2D">
              <w:rPr>
                <w:rFonts w:ascii="Times New Roman" w:hAnsi="Times New Roman"/>
                <w:iCs/>
                <w:sz w:val="24"/>
                <w:szCs w:val="24"/>
              </w:rPr>
              <w:t xml:space="preserve">, sadarbojoties ar programmas </w:t>
            </w:r>
            <w:proofErr w:type="spellStart"/>
            <w:r w:rsidRPr="00DB4A2D">
              <w:rPr>
                <w:rFonts w:ascii="Times New Roman" w:hAnsi="Times New Roman"/>
                <w:iCs/>
                <w:sz w:val="24"/>
                <w:szCs w:val="24"/>
              </w:rPr>
              <w:t>donorvalstu</w:t>
            </w:r>
            <w:proofErr w:type="spellEnd"/>
            <w:r w:rsidRPr="00DB4A2D">
              <w:rPr>
                <w:rFonts w:ascii="Times New Roman" w:hAnsi="Times New Roman"/>
                <w:iCs/>
                <w:sz w:val="24"/>
                <w:szCs w:val="24"/>
              </w:rPr>
              <w:t xml:space="preserve"> partneriem - </w:t>
            </w:r>
            <w:r w:rsidRPr="00DB4A2D">
              <w:rPr>
                <w:rFonts w:ascii="Times New Roman" w:hAnsi="Times New Roman"/>
                <w:sz w:val="24"/>
                <w:szCs w:val="24"/>
              </w:rPr>
              <w:t xml:space="preserve">Norvēģijas Vides aģentūru un </w:t>
            </w:r>
            <w:r w:rsidRPr="00DB4A2D">
              <w:rPr>
                <w:rFonts w:ascii="Times New Roman" w:hAnsi="Times New Roman"/>
                <w:iCs/>
                <w:sz w:val="24"/>
                <w:szCs w:val="24"/>
              </w:rPr>
              <w:t>Norvēģijas Civilās aizsardzības</w:t>
            </w:r>
            <w:r w:rsidRPr="00DB4A2D">
              <w:rPr>
                <w:rFonts w:ascii="Times New Roman" w:hAnsi="Times New Roman"/>
                <w:sz w:val="24"/>
                <w:szCs w:val="24"/>
              </w:rPr>
              <w:t xml:space="preserve"> </w:t>
            </w:r>
            <w:r w:rsidRPr="00DB4A2D">
              <w:rPr>
                <w:rFonts w:ascii="Times New Roman" w:hAnsi="Times New Roman"/>
                <w:iCs/>
                <w:sz w:val="24"/>
                <w:szCs w:val="24"/>
              </w:rPr>
              <w:t>direktorātu, kā arī ar Ilgtspējīgas būvniecības padomi un biedrību „</w:t>
            </w:r>
            <w:proofErr w:type="spellStart"/>
            <w:r w:rsidRPr="00DB4A2D">
              <w:rPr>
                <w:rFonts w:ascii="Times New Roman" w:hAnsi="Times New Roman"/>
                <w:iCs/>
                <w:sz w:val="24"/>
                <w:szCs w:val="24"/>
              </w:rPr>
              <w:t>Passive</w:t>
            </w:r>
            <w:proofErr w:type="spellEnd"/>
            <w:r w:rsidRPr="00DB4A2D">
              <w:rPr>
                <w:rFonts w:ascii="Times New Roman" w:hAnsi="Times New Roman"/>
                <w:iCs/>
                <w:sz w:val="24"/>
                <w:szCs w:val="24"/>
              </w:rPr>
              <w:t xml:space="preserve"> </w:t>
            </w:r>
            <w:proofErr w:type="spellStart"/>
            <w:r w:rsidRPr="00DB4A2D">
              <w:rPr>
                <w:rFonts w:ascii="Times New Roman" w:hAnsi="Times New Roman"/>
                <w:iCs/>
                <w:sz w:val="24"/>
                <w:szCs w:val="24"/>
              </w:rPr>
              <w:t>house</w:t>
            </w:r>
            <w:proofErr w:type="spellEnd"/>
            <w:r w:rsidRPr="00DB4A2D">
              <w:rPr>
                <w:rFonts w:ascii="Times New Roman" w:hAnsi="Times New Roman"/>
                <w:iCs/>
                <w:sz w:val="24"/>
                <w:szCs w:val="24"/>
              </w:rPr>
              <w:t xml:space="preserve"> Latvija”.</w:t>
            </w:r>
          </w:p>
        </w:tc>
      </w:tr>
      <w:tr w:rsidR="00BE0264" w:rsidRPr="00DB4A2D" w:rsidTr="000105A1">
        <w:tc>
          <w:tcPr>
            <w:tcW w:w="483" w:type="pct"/>
          </w:tcPr>
          <w:p w:rsidR="00BE0264" w:rsidRPr="00DB4A2D" w:rsidRDefault="00BE0264" w:rsidP="000105A1">
            <w:pPr>
              <w:pStyle w:val="naiskr"/>
              <w:spacing w:before="0" w:beforeAutospacing="0" w:after="0" w:afterAutospacing="0"/>
              <w:ind w:left="57" w:right="57"/>
              <w:jc w:val="center"/>
            </w:pPr>
            <w:r w:rsidRPr="00DB4A2D">
              <w:t>4.</w:t>
            </w:r>
          </w:p>
        </w:tc>
        <w:tc>
          <w:tcPr>
            <w:tcW w:w="1382" w:type="pct"/>
          </w:tcPr>
          <w:p w:rsidR="00BE0264" w:rsidRPr="00DB4A2D" w:rsidRDefault="00BE0264" w:rsidP="000105A1">
            <w:pPr>
              <w:pStyle w:val="naiskr"/>
              <w:spacing w:before="0" w:beforeAutospacing="0" w:after="0" w:afterAutospacing="0"/>
              <w:ind w:left="57" w:right="57"/>
            </w:pPr>
            <w:r w:rsidRPr="00DB4A2D">
              <w:t>Cita informācija</w:t>
            </w:r>
          </w:p>
        </w:tc>
        <w:tc>
          <w:tcPr>
            <w:tcW w:w="3135" w:type="pct"/>
          </w:tcPr>
          <w:p w:rsidR="00BE0264" w:rsidRPr="00DB4A2D" w:rsidRDefault="00BE0264" w:rsidP="000105A1">
            <w:pPr>
              <w:pStyle w:val="naiskr"/>
              <w:spacing w:before="0" w:beforeAutospacing="0" w:after="0" w:afterAutospacing="0"/>
              <w:ind w:left="57" w:right="57"/>
            </w:pPr>
            <w:r w:rsidRPr="00DB4A2D">
              <w:t>Nav</w:t>
            </w:r>
          </w:p>
        </w:tc>
      </w:tr>
    </w:tbl>
    <w:p w:rsidR="00BE0264" w:rsidRPr="00DB4A2D" w:rsidRDefault="00BE0264" w:rsidP="00BE0264">
      <w:pPr>
        <w:spacing w:after="0" w:line="240" w:lineRule="auto"/>
        <w:rPr>
          <w:rFonts w:ascii="Times New Roman" w:hAnsi="Times New Roman"/>
          <w:sz w:val="24"/>
          <w:szCs w:val="24"/>
        </w:rPr>
      </w:pPr>
    </w:p>
    <w:tbl>
      <w:tblPr>
        <w:tblpPr w:leftFromText="180" w:rightFromText="180" w:vertAnchor="text" w:horzAnchor="margin" w:tblpXSpec="center" w:tblpY="119"/>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57"/>
        <w:gridCol w:w="2976"/>
        <w:gridCol w:w="6389"/>
      </w:tblGrid>
      <w:tr w:rsidR="00BE0264" w:rsidRPr="00DB4A2D" w:rsidTr="000105A1">
        <w:trPr>
          <w:trHeight w:val="556"/>
        </w:trPr>
        <w:tc>
          <w:tcPr>
            <w:tcW w:w="10222" w:type="dxa"/>
            <w:gridSpan w:val="3"/>
            <w:vAlign w:val="center"/>
          </w:tcPr>
          <w:p w:rsidR="00BE0264" w:rsidRPr="00DB4A2D" w:rsidRDefault="00BE0264" w:rsidP="000105A1">
            <w:pPr>
              <w:pStyle w:val="naisnod"/>
              <w:spacing w:before="0" w:beforeAutospacing="0" w:after="0" w:afterAutospacing="0"/>
              <w:ind w:left="57" w:right="57"/>
              <w:jc w:val="center"/>
              <w:rPr>
                <w:b/>
              </w:rPr>
            </w:pPr>
            <w:r w:rsidRPr="00DB4A2D">
              <w:rPr>
                <w:b/>
              </w:rPr>
              <w:t>II. Tiesību akta projekta ietekme uz sabiedrību, tautsaimniecības attīstību</w:t>
            </w:r>
          </w:p>
          <w:p w:rsidR="00BE0264" w:rsidRPr="00DB4A2D" w:rsidRDefault="00BE0264" w:rsidP="000105A1">
            <w:pPr>
              <w:pStyle w:val="naisnod"/>
              <w:spacing w:before="0" w:beforeAutospacing="0" w:after="0" w:afterAutospacing="0"/>
              <w:ind w:left="57" w:right="57"/>
              <w:jc w:val="center"/>
              <w:rPr>
                <w:b/>
              </w:rPr>
            </w:pPr>
            <w:r w:rsidRPr="00DB4A2D">
              <w:rPr>
                <w:b/>
              </w:rPr>
              <w:t>un administratīvo slogu</w:t>
            </w:r>
          </w:p>
        </w:tc>
      </w:tr>
      <w:tr w:rsidR="00BE0264" w:rsidRPr="00DB4A2D" w:rsidTr="000105A1">
        <w:trPr>
          <w:trHeight w:val="467"/>
        </w:trPr>
        <w:tc>
          <w:tcPr>
            <w:tcW w:w="857" w:type="dxa"/>
          </w:tcPr>
          <w:p w:rsidR="00BE0264" w:rsidRPr="00DB4A2D" w:rsidRDefault="00BE0264" w:rsidP="000105A1">
            <w:pPr>
              <w:pStyle w:val="naiskr"/>
              <w:spacing w:before="0" w:beforeAutospacing="0" w:after="0" w:afterAutospacing="0"/>
              <w:ind w:left="57" w:right="57"/>
              <w:jc w:val="both"/>
            </w:pPr>
            <w:r w:rsidRPr="00DB4A2D">
              <w:t>1.</w:t>
            </w:r>
          </w:p>
        </w:tc>
        <w:tc>
          <w:tcPr>
            <w:tcW w:w="2976" w:type="dxa"/>
          </w:tcPr>
          <w:p w:rsidR="00BE0264" w:rsidRPr="00DB4A2D" w:rsidRDefault="00BE0264" w:rsidP="000105A1">
            <w:pPr>
              <w:pStyle w:val="naiskr"/>
              <w:spacing w:before="0" w:beforeAutospacing="0" w:after="0" w:afterAutospacing="0"/>
              <w:ind w:left="57" w:right="57"/>
              <w:jc w:val="both"/>
            </w:pPr>
            <w:r w:rsidRPr="00DB4A2D">
              <w:t>Sabiedrības mērķgrupas, kuras tiesiskais regulējums ietekmē vai varētu ietekmēt</w:t>
            </w:r>
          </w:p>
        </w:tc>
        <w:tc>
          <w:tcPr>
            <w:tcW w:w="6389" w:type="dxa"/>
          </w:tcPr>
          <w:p w:rsidR="00BE0264" w:rsidRPr="00DB4A2D" w:rsidRDefault="00BE0264" w:rsidP="000105A1">
            <w:pPr>
              <w:shd w:val="clear" w:color="auto" w:fill="FFFFFF"/>
              <w:spacing w:after="0" w:line="240" w:lineRule="auto"/>
              <w:ind w:left="57" w:right="57"/>
              <w:jc w:val="both"/>
              <w:rPr>
                <w:rFonts w:ascii="Times New Roman" w:hAnsi="Times New Roman"/>
                <w:sz w:val="24"/>
                <w:szCs w:val="24"/>
                <w:lang w:eastAsia="lv-LV"/>
              </w:rPr>
            </w:pPr>
            <w:bookmarkStart w:id="0" w:name="p21"/>
            <w:bookmarkEnd w:id="0"/>
            <w:r w:rsidRPr="00DB4A2D">
              <w:rPr>
                <w:rFonts w:ascii="Times New Roman" w:hAnsi="Times New Roman"/>
                <w:sz w:val="24"/>
                <w:szCs w:val="24"/>
                <w:lang w:eastAsia="lv-LV"/>
              </w:rPr>
              <w:t>Visa sabiedrība kopumā, kā arī Latvijas Republikas tiešās vai pastarpinātās pārvaldes iestāde, tai skaitā zinātnisko institūciju reģistrā reģistrētās zinātniskas institūcijas, Latvijas Republikā reģistrētas biedrības, nodibinājumi un komersanti kā potenciālie projektu iesniegumu iesniedzēji un projektu īstenotāji.</w:t>
            </w:r>
          </w:p>
        </w:tc>
      </w:tr>
      <w:tr w:rsidR="00BE0264" w:rsidRPr="00DB4A2D" w:rsidTr="000105A1">
        <w:trPr>
          <w:trHeight w:val="523"/>
        </w:trPr>
        <w:tc>
          <w:tcPr>
            <w:tcW w:w="857" w:type="dxa"/>
          </w:tcPr>
          <w:p w:rsidR="00BE0264" w:rsidRPr="00DB4A2D" w:rsidRDefault="00BE0264" w:rsidP="000105A1">
            <w:pPr>
              <w:pStyle w:val="naiskr"/>
              <w:spacing w:before="0" w:beforeAutospacing="0" w:after="0" w:afterAutospacing="0"/>
              <w:ind w:left="57" w:right="57"/>
              <w:jc w:val="both"/>
            </w:pPr>
            <w:r w:rsidRPr="00DB4A2D">
              <w:t>2.</w:t>
            </w:r>
          </w:p>
        </w:tc>
        <w:tc>
          <w:tcPr>
            <w:tcW w:w="2976" w:type="dxa"/>
          </w:tcPr>
          <w:p w:rsidR="00BE0264" w:rsidRPr="00DB4A2D" w:rsidRDefault="00BE0264" w:rsidP="000105A1">
            <w:pPr>
              <w:pStyle w:val="naiskr"/>
              <w:spacing w:before="0" w:beforeAutospacing="0" w:after="0" w:afterAutospacing="0"/>
              <w:ind w:left="57" w:right="57"/>
              <w:jc w:val="both"/>
            </w:pPr>
            <w:r w:rsidRPr="00DB4A2D">
              <w:t>Tiesiskā regulējuma ietekme uz tautsaimniecību un administratīvo slogu</w:t>
            </w:r>
          </w:p>
          <w:p w:rsidR="00BE0264" w:rsidRPr="00DB4A2D" w:rsidRDefault="00BE0264" w:rsidP="000105A1">
            <w:pPr>
              <w:pStyle w:val="naiskr"/>
              <w:spacing w:before="0" w:beforeAutospacing="0" w:after="0" w:afterAutospacing="0"/>
              <w:ind w:left="57" w:right="57"/>
            </w:pPr>
          </w:p>
        </w:tc>
        <w:tc>
          <w:tcPr>
            <w:tcW w:w="6389" w:type="dxa"/>
          </w:tcPr>
          <w:p w:rsidR="00BE0264" w:rsidRPr="00DB4A2D" w:rsidRDefault="00BE0264" w:rsidP="000105A1">
            <w:pPr>
              <w:shd w:val="clear" w:color="auto" w:fill="FFFFFF"/>
              <w:spacing w:after="0" w:line="240" w:lineRule="auto"/>
              <w:ind w:left="57" w:right="57"/>
              <w:jc w:val="both"/>
              <w:rPr>
                <w:rFonts w:ascii="Times New Roman" w:hAnsi="Times New Roman"/>
                <w:sz w:val="24"/>
                <w:szCs w:val="24"/>
                <w:lang w:eastAsia="lv-LV"/>
              </w:rPr>
            </w:pPr>
            <w:r w:rsidRPr="00DB4A2D">
              <w:rPr>
                <w:rFonts w:ascii="Times New Roman" w:hAnsi="Times New Roman"/>
                <w:sz w:val="24"/>
                <w:szCs w:val="24"/>
                <w:lang w:eastAsia="lv-LV"/>
              </w:rPr>
              <w:t xml:space="preserve">Pēc MK noteikumu projekta apstiprināšanas, būs iespējams uzsākt atklātā konkursa īstenošanu, kura ietvaros būs pieejams finansējums 5 000 000 </w:t>
            </w:r>
            <w:r w:rsidRPr="00DB4A2D">
              <w:rPr>
                <w:rFonts w:ascii="Times New Roman" w:hAnsi="Times New Roman"/>
                <w:i/>
                <w:sz w:val="24"/>
                <w:szCs w:val="24"/>
                <w:lang w:eastAsia="lv-LV"/>
              </w:rPr>
              <w:t>euro</w:t>
            </w:r>
            <w:r w:rsidRPr="00DB4A2D">
              <w:rPr>
                <w:rFonts w:ascii="Times New Roman" w:hAnsi="Times New Roman"/>
                <w:sz w:val="24"/>
                <w:szCs w:val="24"/>
                <w:lang w:eastAsia="lv-LV"/>
              </w:rPr>
              <w:t xml:space="preserve"> (3 514 020 LVL) apmērā.</w:t>
            </w:r>
          </w:p>
          <w:p w:rsidR="00BE0264" w:rsidRPr="00DB4A2D" w:rsidRDefault="00BE0264" w:rsidP="000105A1">
            <w:pPr>
              <w:shd w:val="clear" w:color="auto" w:fill="FFFFFF"/>
              <w:spacing w:after="0" w:line="240" w:lineRule="auto"/>
              <w:ind w:left="57" w:right="57"/>
              <w:jc w:val="both"/>
              <w:rPr>
                <w:rFonts w:ascii="Times New Roman" w:hAnsi="Times New Roman"/>
                <w:sz w:val="24"/>
                <w:szCs w:val="24"/>
                <w:lang w:eastAsia="lv-LV"/>
              </w:rPr>
            </w:pPr>
            <w:r w:rsidRPr="00DB4A2D">
              <w:rPr>
                <w:rFonts w:ascii="Times New Roman" w:hAnsi="Times New Roman"/>
                <w:sz w:val="24"/>
                <w:szCs w:val="24"/>
                <w:lang w:eastAsia="lv-LV"/>
              </w:rPr>
              <w:t>MK noteikumu projekts tiešā veidā neietekmē uzņēmējdarbības vidi. Sabiedrības grupām un institūcijām projekta tiesiskais regulējums nemaina tiesības un pienākumus, kā arī veicamās darbības.</w:t>
            </w:r>
          </w:p>
        </w:tc>
      </w:tr>
      <w:tr w:rsidR="00BE0264" w:rsidRPr="00DB4A2D" w:rsidTr="000105A1">
        <w:trPr>
          <w:trHeight w:val="523"/>
        </w:trPr>
        <w:tc>
          <w:tcPr>
            <w:tcW w:w="857" w:type="dxa"/>
          </w:tcPr>
          <w:p w:rsidR="00BE0264" w:rsidRPr="00DB4A2D" w:rsidRDefault="00BE0264" w:rsidP="000105A1">
            <w:pPr>
              <w:pStyle w:val="naiskr"/>
              <w:spacing w:before="0" w:beforeAutospacing="0" w:after="0" w:afterAutospacing="0"/>
              <w:ind w:left="57" w:right="57"/>
              <w:jc w:val="both"/>
            </w:pPr>
            <w:r w:rsidRPr="00DB4A2D">
              <w:t>3.</w:t>
            </w:r>
          </w:p>
        </w:tc>
        <w:tc>
          <w:tcPr>
            <w:tcW w:w="2976" w:type="dxa"/>
          </w:tcPr>
          <w:p w:rsidR="00BE0264" w:rsidRPr="00DB4A2D" w:rsidRDefault="00BE0264" w:rsidP="000105A1">
            <w:pPr>
              <w:pStyle w:val="naiskr"/>
              <w:spacing w:before="0" w:beforeAutospacing="0" w:after="0" w:afterAutospacing="0"/>
              <w:ind w:left="57" w:right="57"/>
              <w:jc w:val="both"/>
            </w:pPr>
            <w:r w:rsidRPr="00DB4A2D">
              <w:t>Administratīvo izmaksu monetārs novērtējums</w:t>
            </w:r>
          </w:p>
        </w:tc>
        <w:tc>
          <w:tcPr>
            <w:tcW w:w="6389" w:type="dxa"/>
          </w:tcPr>
          <w:p w:rsidR="00BE0264" w:rsidRPr="00DB4A2D" w:rsidRDefault="00BE0264" w:rsidP="000105A1">
            <w:pPr>
              <w:shd w:val="clear" w:color="auto" w:fill="FFFFFF"/>
              <w:spacing w:after="0" w:line="240" w:lineRule="auto"/>
              <w:ind w:left="57" w:right="57"/>
              <w:jc w:val="both"/>
              <w:rPr>
                <w:rFonts w:ascii="Times New Roman" w:hAnsi="Times New Roman"/>
                <w:sz w:val="24"/>
                <w:szCs w:val="24"/>
                <w:lang w:eastAsia="lv-LV"/>
              </w:rPr>
            </w:pPr>
            <w:r w:rsidRPr="00DB4A2D">
              <w:rPr>
                <w:rFonts w:ascii="Times New Roman" w:hAnsi="Times New Roman"/>
                <w:sz w:val="24"/>
                <w:szCs w:val="24"/>
                <w:lang w:eastAsia="lv-LV"/>
              </w:rPr>
              <w:t xml:space="preserve">Programmas „Nacionālā klimata politika” administratīvās izmaksas, kurās ietilpst MK noteikumu projektā noteikto nosacījumu īstenošana attiecībā uz konkursa ieviešanu, ir attiecināmas un tiek līdzfinansētas no Eiropas Ekonomikas zonas finanšu instrumenta. Eiropas Ekonomikas zonas finanšu instrumenta līdzfinansējums ir 92,5% apmērā no kopējām programmas īstenošanai paredzētajām izmaksām, savukārt Latvijas valsts budžeta līdzfinansējums ir 7,5% apmērā. Programmas administrēšanai paredzētas izmaksas ir 1 025 550 </w:t>
            </w:r>
            <w:r w:rsidRPr="00DB4A2D">
              <w:rPr>
                <w:rFonts w:ascii="Times New Roman" w:hAnsi="Times New Roman"/>
                <w:i/>
                <w:sz w:val="24"/>
                <w:szCs w:val="24"/>
                <w:lang w:eastAsia="lv-LV"/>
              </w:rPr>
              <w:t>euro</w:t>
            </w:r>
            <w:r w:rsidRPr="00DB4A2D">
              <w:rPr>
                <w:rFonts w:ascii="Times New Roman" w:hAnsi="Times New Roman"/>
                <w:sz w:val="24"/>
                <w:szCs w:val="24"/>
                <w:lang w:eastAsia="lv-LV"/>
              </w:rPr>
              <w:t xml:space="preserve"> (720 760,64 LVL). </w:t>
            </w:r>
          </w:p>
        </w:tc>
      </w:tr>
      <w:tr w:rsidR="00BE0264" w:rsidRPr="00DB4A2D" w:rsidTr="000105A1">
        <w:trPr>
          <w:trHeight w:val="357"/>
        </w:trPr>
        <w:tc>
          <w:tcPr>
            <w:tcW w:w="857" w:type="dxa"/>
          </w:tcPr>
          <w:p w:rsidR="00BE0264" w:rsidRPr="00DB4A2D" w:rsidRDefault="00BE0264" w:rsidP="000105A1">
            <w:pPr>
              <w:pStyle w:val="naiskr"/>
              <w:spacing w:before="0" w:beforeAutospacing="0" w:after="0" w:afterAutospacing="0"/>
              <w:ind w:left="57" w:right="57"/>
              <w:jc w:val="both"/>
            </w:pPr>
            <w:r w:rsidRPr="00DB4A2D">
              <w:t>4.</w:t>
            </w:r>
          </w:p>
        </w:tc>
        <w:tc>
          <w:tcPr>
            <w:tcW w:w="2976" w:type="dxa"/>
          </w:tcPr>
          <w:p w:rsidR="00BE0264" w:rsidRPr="00DB4A2D" w:rsidRDefault="00BE0264" w:rsidP="000105A1">
            <w:pPr>
              <w:pStyle w:val="naiskr"/>
              <w:spacing w:before="0" w:beforeAutospacing="0" w:after="0" w:afterAutospacing="0"/>
              <w:ind w:left="57" w:right="57"/>
            </w:pPr>
            <w:r w:rsidRPr="00DB4A2D">
              <w:t>Cita informācija</w:t>
            </w:r>
          </w:p>
        </w:tc>
        <w:tc>
          <w:tcPr>
            <w:tcW w:w="6389" w:type="dxa"/>
          </w:tcPr>
          <w:p w:rsidR="00BE0264" w:rsidRPr="00DB4A2D" w:rsidRDefault="00BE0264" w:rsidP="000105A1">
            <w:pPr>
              <w:shd w:val="clear" w:color="auto" w:fill="FFFFFF"/>
              <w:spacing w:after="0" w:line="240" w:lineRule="auto"/>
              <w:ind w:left="57" w:right="57"/>
              <w:rPr>
                <w:rFonts w:ascii="Times New Roman" w:hAnsi="Times New Roman"/>
                <w:sz w:val="24"/>
                <w:szCs w:val="24"/>
                <w:lang w:eastAsia="lv-LV"/>
              </w:rPr>
            </w:pPr>
            <w:r w:rsidRPr="00DB4A2D">
              <w:rPr>
                <w:rFonts w:ascii="Times New Roman" w:hAnsi="Times New Roman"/>
                <w:sz w:val="24"/>
                <w:szCs w:val="24"/>
              </w:rPr>
              <w:t>Nav</w:t>
            </w:r>
          </w:p>
        </w:tc>
      </w:tr>
    </w:tbl>
    <w:p w:rsidR="00BE0264" w:rsidRPr="00DB4A2D" w:rsidRDefault="00BE0264" w:rsidP="00BE0264">
      <w:pPr>
        <w:spacing w:after="0" w:line="240" w:lineRule="auto"/>
        <w:rPr>
          <w:rFonts w:ascii="Times New Roman" w:hAnsi="Times New Roman"/>
          <w:sz w:val="24"/>
          <w:szCs w:val="24"/>
        </w:rPr>
      </w:pPr>
    </w:p>
    <w:tbl>
      <w:tblPr>
        <w:tblW w:w="10166" w:type="dxa"/>
        <w:jc w:val="center"/>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1522"/>
        <w:gridCol w:w="1197"/>
        <w:gridCol w:w="1212"/>
        <w:gridCol w:w="1150"/>
        <w:gridCol w:w="1804"/>
      </w:tblGrid>
      <w:tr w:rsidR="00BE0264" w:rsidRPr="00DB4A2D" w:rsidTr="000105A1">
        <w:trPr>
          <w:trHeight w:val="361"/>
          <w:jc w:val="center"/>
        </w:trPr>
        <w:tc>
          <w:tcPr>
            <w:tcW w:w="10166" w:type="dxa"/>
            <w:gridSpan w:val="6"/>
            <w:vAlign w:val="center"/>
          </w:tcPr>
          <w:p w:rsidR="00BE0264" w:rsidRPr="00DB4A2D" w:rsidRDefault="00BE0264" w:rsidP="000105A1">
            <w:pPr>
              <w:pStyle w:val="naisnod"/>
              <w:spacing w:before="0" w:beforeAutospacing="0" w:after="0" w:afterAutospacing="0"/>
              <w:jc w:val="center"/>
              <w:rPr>
                <w:b/>
                <w:i/>
              </w:rPr>
            </w:pPr>
            <w:r w:rsidRPr="00DB4A2D">
              <w:br w:type="page"/>
            </w:r>
            <w:r w:rsidRPr="00DB4A2D">
              <w:rPr>
                <w:b/>
              </w:rPr>
              <w:t>III. Tiesību akta projekta ietekme uz valsts budžetu un pašvaldību budžetiem</w:t>
            </w:r>
          </w:p>
        </w:tc>
      </w:tr>
      <w:tr w:rsidR="00BE0264" w:rsidRPr="00DB4A2D" w:rsidTr="000105A1">
        <w:trPr>
          <w:jc w:val="center"/>
        </w:trPr>
        <w:tc>
          <w:tcPr>
            <w:tcW w:w="3281" w:type="dxa"/>
            <w:vMerge w:val="restart"/>
            <w:vAlign w:val="center"/>
          </w:tcPr>
          <w:p w:rsidR="00BE0264" w:rsidRPr="00DB4A2D" w:rsidRDefault="00BE0264" w:rsidP="000105A1">
            <w:pPr>
              <w:pStyle w:val="naisf"/>
              <w:spacing w:before="0" w:beforeAutospacing="0" w:after="0" w:afterAutospacing="0"/>
              <w:jc w:val="center"/>
              <w:rPr>
                <w:b/>
              </w:rPr>
            </w:pPr>
            <w:r w:rsidRPr="00DB4A2D">
              <w:rPr>
                <w:b/>
              </w:rPr>
              <w:t>Rādītāji</w:t>
            </w:r>
          </w:p>
        </w:tc>
        <w:tc>
          <w:tcPr>
            <w:tcW w:w="2719" w:type="dxa"/>
            <w:gridSpan w:val="2"/>
            <w:vMerge w:val="restart"/>
            <w:vAlign w:val="center"/>
          </w:tcPr>
          <w:p w:rsidR="00BE0264" w:rsidRPr="00DB4A2D" w:rsidRDefault="00BE0264" w:rsidP="000105A1">
            <w:pPr>
              <w:pStyle w:val="naisf"/>
              <w:spacing w:before="0" w:beforeAutospacing="0" w:after="0" w:afterAutospacing="0"/>
              <w:jc w:val="center"/>
              <w:rPr>
                <w:b/>
              </w:rPr>
            </w:pPr>
            <w:r w:rsidRPr="00DB4A2D">
              <w:rPr>
                <w:b/>
              </w:rPr>
              <w:t>2014. gads</w:t>
            </w:r>
          </w:p>
        </w:tc>
        <w:tc>
          <w:tcPr>
            <w:tcW w:w="4166" w:type="dxa"/>
            <w:gridSpan w:val="3"/>
            <w:vAlign w:val="center"/>
          </w:tcPr>
          <w:p w:rsidR="00BE0264" w:rsidRPr="00DB4A2D" w:rsidRDefault="00BE0264" w:rsidP="000105A1">
            <w:pPr>
              <w:pStyle w:val="naisf"/>
              <w:spacing w:before="0" w:beforeAutospacing="0" w:after="0" w:afterAutospacing="0"/>
              <w:jc w:val="center"/>
              <w:rPr>
                <w:b/>
                <w:i/>
              </w:rPr>
            </w:pPr>
            <w:r w:rsidRPr="00DB4A2D">
              <w:t>Turpmākie trīs gadi (tūkst.</w:t>
            </w:r>
            <w:r w:rsidRPr="00DB4A2D">
              <w:rPr>
                <w:i/>
              </w:rPr>
              <w:t>euro</w:t>
            </w:r>
            <w:r w:rsidRPr="00DB4A2D">
              <w:t>)</w:t>
            </w:r>
          </w:p>
        </w:tc>
      </w:tr>
      <w:tr w:rsidR="00BE0264" w:rsidRPr="00DB4A2D" w:rsidTr="000105A1">
        <w:trPr>
          <w:jc w:val="center"/>
        </w:trPr>
        <w:tc>
          <w:tcPr>
            <w:tcW w:w="3281" w:type="dxa"/>
            <w:vMerge/>
            <w:vAlign w:val="center"/>
          </w:tcPr>
          <w:p w:rsidR="00BE0264" w:rsidRPr="00DB4A2D" w:rsidRDefault="00BE0264" w:rsidP="000105A1">
            <w:pPr>
              <w:pStyle w:val="naisf"/>
              <w:spacing w:before="0" w:beforeAutospacing="0" w:after="0" w:afterAutospacing="0"/>
              <w:jc w:val="center"/>
              <w:rPr>
                <w:b/>
                <w:i/>
              </w:rPr>
            </w:pPr>
          </w:p>
        </w:tc>
        <w:tc>
          <w:tcPr>
            <w:tcW w:w="2719" w:type="dxa"/>
            <w:gridSpan w:val="2"/>
            <w:vMerge/>
            <w:vAlign w:val="center"/>
          </w:tcPr>
          <w:p w:rsidR="00BE0264" w:rsidRPr="00DB4A2D" w:rsidRDefault="00BE0264" w:rsidP="000105A1">
            <w:pPr>
              <w:pStyle w:val="naisf"/>
              <w:spacing w:before="0" w:beforeAutospacing="0" w:after="0" w:afterAutospacing="0"/>
              <w:jc w:val="center"/>
              <w:rPr>
                <w:b/>
                <w:i/>
              </w:rPr>
            </w:pPr>
          </w:p>
        </w:tc>
        <w:tc>
          <w:tcPr>
            <w:tcW w:w="1212" w:type="dxa"/>
            <w:vAlign w:val="center"/>
          </w:tcPr>
          <w:p w:rsidR="00BE0264" w:rsidRPr="00DB4A2D" w:rsidRDefault="00BE0264" w:rsidP="000105A1">
            <w:pPr>
              <w:pStyle w:val="naisf"/>
              <w:spacing w:before="0" w:beforeAutospacing="0" w:after="0" w:afterAutospacing="0"/>
              <w:jc w:val="center"/>
              <w:rPr>
                <w:b/>
                <w:i/>
              </w:rPr>
            </w:pPr>
            <w:r w:rsidRPr="00DB4A2D">
              <w:rPr>
                <w:b/>
                <w:bCs/>
              </w:rPr>
              <w:t>2015.g.</w:t>
            </w:r>
          </w:p>
        </w:tc>
        <w:tc>
          <w:tcPr>
            <w:tcW w:w="1150" w:type="dxa"/>
            <w:vAlign w:val="center"/>
          </w:tcPr>
          <w:p w:rsidR="00BE0264" w:rsidRPr="00DB4A2D" w:rsidRDefault="00BE0264" w:rsidP="000105A1">
            <w:pPr>
              <w:pStyle w:val="naisf"/>
              <w:spacing w:before="0" w:beforeAutospacing="0" w:after="0" w:afterAutospacing="0"/>
              <w:jc w:val="center"/>
              <w:rPr>
                <w:b/>
                <w:i/>
              </w:rPr>
            </w:pPr>
            <w:r w:rsidRPr="00DB4A2D">
              <w:rPr>
                <w:b/>
                <w:bCs/>
              </w:rPr>
              <w:t>2016.g.</w:t>
            </w:r>
          </w:p>
        </w:tc>
        <w:tc>
          <w:tcPr>
            <w:tcW w:w="1804" w:type="dxa"/>
            <w:vAlign w:val="center"/>
          </w:tcPr>
          <w:p w:rsidR="00BE0264" w:rsidRPr="00DB4A2D" w:rsidRDefault="00BE0264" w:rsidP="000105A1">
            <w:pPr>
              <w:pStyle w:val="naisf"/>
              <w:spacing w:before="0" w:beforeAutospacing="0" w:after="0" w:afterAutospacing="0"/>
              <w:jc w:val="center"/>
              <w:rPr>
                <w:b/>
                <w:i/>
              </w:rPr>
            </w:pPr>
            <w:r w:rsidRPr="00DB4A2D">
              <w:rPr>
                <w:b/>
                <w:bCs/>
              </w:rPr>
              <w:t>2017.g.</w:t>
            </w:r>
          </w:p>
        </w:tc>
      </w:tr>
      <w:tr w:rsidR="00BE0264" w:rsidRPr="00DB4A2D" w:rsidTr="000105A1">
        <w:trPr>
          <w:jc w:val="center"/>
        </w:trPr>
        <w:tc>
          <w:tcPr>
            <w:tcW w:w="3281" w:type="dxa"/>
            <w:vMerge/>
            <w:vAlign w:val="center"/>
          </w:tcPr>
          <w:p w:rsidR="00BE0264" w:rsidRPr="00DB4A2D" w:rsidRDefault="00BE0264" w:rsidP="000105A1">
            <w:pPr>
              <w:pStyle w:val="naisf"/>
              <w:spacing w:before="0" w:beforeAutospacing="0" w:after="0" w:afterAutospacing="0"/>
              <w:jc w:val="center"/>
              <w:rPr>
                <w:b/>
                <w:i/>
              </w:rPr>
            </w:pPr>
          </w:p>
        </w:tc>
        <w:tc>
          <w:tcPr>
            <w:tcW w:w="1522" w:type="dxa"/>
            <w:vAlign w:val="center"/>
          </w:tcPr>
          <w:p w:rsidR="00BE0264" w:rsidRPr="00DB4A2D" w:rsidRDefault="00BE0264" w:rsidP="000105A1">
            <w:pPr>
              <w:pStyle w:val="naisf"/>
              <w:spacing w:before="0" w:beforeAutospacing="0" w:after="0" w:afterAutospacing="0"/>
              <w:jc w:val="center"/>
              <w:rPr>
                <w:b/>
                <w:i/>
              </w:rPr>
            </w:pPr>
            <w:r w:rsidRPr="00DB4A2D">
              <w:t>saskaņā ar valsts budžetu kārtējam gadam</w:t>
            </w:r>
          </w:p>
        </w:tc>
        <w:tc>
          <w:tcPr>
            <w:tcW w:w="1197" w:type="dxa"/>
            <w:vAlign w:val="center"/>
          </w:tcPr>
          <w:p w:rsidR="00BE0264" w:rsidRPr="00DB4A2D" w:rsidRDefault="00BE0264" w:rsidP="000105A1">
            <w:pPr>
              <w:pStyle w:val="naisf"/>
              <w:spacing w:before="0" w:beforeAutospacing="0" w:after="0" w:afterAutospacing="0"/>
              <w:jc w:val="center"/>
              <w:rPr>
                <w:b/>
                <w:i/>
              </w:rPr>
            </w:pPr>
            <w:r w:rsidRPr="00DB4A2D">
              <w:t>izmaiņas kārtējā gadā, salīdzinot ar budžetu kārtējam gadam</w:t>
            </w:r>
          </w:p>
        </w:tc>
        <w:tc>
          <w:tcPr>
            <w:tcW w:w="1212" w:type="dxa"/>
            <w:vAlign w:val="center"/>
          </w:tcPr>
          <w:p w:rsidR="00BE0264" w:rsidRPr="00DB4A2D" w:rsidRDefault="00BE0264" w:rsidP="000105A1">
            <w:pPr>
              <w:pStyle w:val="naisf"/>
              <w:spacing w:before="0" w:beforeAutospacing="0" w:after="0" w:afterAutospacing="0"/>
              <w:jc w:val="center"/>
              <w:rPr>
                <w:b/>
                <w:i/>
              </w:rPr>
            </w:pPr>
            <w:r w:rsidRPr="00DB4A2D">
              <w:t>izmaiņas, salīdzinot ar kārtējo (n) gadu</w:t>
            </w:r>
          </w:p>
        </w:tc>
        <w:tc>
          <w:tcPr>
            <w:tcW w:w="1150" w:type="dxa"/>
            <w:vAlign w:val="center"/>
          </w:tcPr>
          <w:p w:rsidR="00BE0264" w:rsidRPr="00DB4A2D" w:rsidRDefault="00BE0264" w:rsidP="000105A1">
            <w:pPr>
              <w:pStyle w:val="naisf"/>
              <w:spacing w:before="0" w:beforeAutospacing="0" w:after="0" w:afterAutospacing="0"/>
              <w:jc w:val="center"/>
              <w:rPr>
                <w:b/>
                <w:i/>
              </w:rPr>
            </w:pPr>
            <w:r w:rsidRPr="00DB4A2D">
              <w:t>izmaiņas, salīdzinot ar kārtējo (n) gadu</w:t>
            </w:r>
          </w:p>
        </w:tc>
        <w:tc>
          <w:tcPr>
            <w:tcW w:w="1804" w:type="dxa"/>
            <w:vAlign w:val="center"/>
          </w:tcPr>
          <w:p w:rsidR="00BE0264" w:rsidRPr="00DB4A2D" w:rsidRDefault="00BE0264" w:rsidP="000105A1">
            <w:pPr>
              <w:pStyle w:val="naisf"/>
              <w:spacing w:before="0" w:beforeAutospacing="0" w:after="0" w:afterAutospacing="0"/>
              <w:jc w:val="center"/>
              <w:rPr>
                <w:b/>
                <w:i/>
              </w:rPr>
            </w:pPr>
            <w:r w:rsidRPr="00DB4A2D">
              <w:t>izmaiņas, salīdzinot ar kārtējo (n) gadu</w:t>
            </w:r>
          </w:p>
        </w:tc>
      </w:tr>
      <w:tr w:rsidR="00BE0264" w:rsidRPr="00DB4A2D" w:rsidTr="000105A1">
        <w:trPr>
          <w:jc w:val="center"/>
        </w:trPr>
        <w:tc>
          <w:tcPr>
            <w:tcW w:w="3281" w:type="dxa"/>
            <w:vAlign w:val="center"/>
          </w:tcPr>
          <w:p w:rsidR="00BE0264" w:rsidRPr="00DB4A2D" w:rsidRDefault="00BE0264" w:rsidP="000105A1">
            <w:pPr>
              <w:pStyle w:val="naisf"/>
              <w:spacing w:before="0" w:beforeAutospacing="0" w:after="0" w:afterAutospacing="0"/>
              <w:jc w:val="center"/>
              <w:rPr>
                <w:bCs/>
              </w:rPr>
            </w:pPr>
            <w:r w:rsidRPr="00DB4A2D">
              <w:rPr>
                <w:bCs/>
              </w:rPr>
              <w:t>1</w:t>
            </w:r>
          </w:p>
        </w:tc>
        <w:tc>
          <w:tcPr>
            <w:tcW w:w="1522" w:type="dxa"/>
            <w:vAlign w:val="center"/>
          </w:tcPr>
          <w:p w:rsidR="00BE0264" w:rsidRPr="00DB4A2D" w:rsidRDefault="00BE0264" w:rsidP="000105A1">
            <w:pPr>
              <w:pStyle w:val="naisf"/>
              <w:spacing w:before="0" w:beforeAutospacing="0" w:after="0" w:afterAutospacing="0"/>
              <w:jc w:val="center"/>
              <w:rPr>
                <w:bCs/>
              </w:rPr>
            </w:pPr>
            <w:r w:rsidRPr="00DB4A2D">
              <w:rPr>
                <w:bCs/>
              </w:rPr>
              <w:t>2</w:t>
            </w:r>
          </w:p>
        </w:tc>
        <w:tc>
          <w:tcPr>
            <w:tcW w:w="1197" w:type="dxa"/>
          </w:tcPr>
          <w:p w:rsidR="00BE0264" w:rsidRPr="00DB4A2D" w:rsidRDefault="00BE0264" w:rsidP="000105A1">
            <w:pPr>
              <w:pStyle w:val="naisf"/>
              <w:spacing w:before="0" w:beforeAutospacing="0" w:after="0" w:afterAutospacing="0"/>
              <w:jc w:val="center"/>
              <w:rPr>
                <w:bCs/>
              </w:rPr>
            </w:pPr>
            <w:r w:rsidRPr="00DB4A2D">
              <w:rPr>
                <w:bCs/>
              </w:rPr>
              <w:t>3</w:t>
            </w:r>
          </w:p>
        </w:tc>
        <w:tc>
          <w:tcPr>
            <w:tcW w:w="1212" w:type="dxa"/>
            <w:vAlign w:val="center"/>
          </w:tcPr>
          <w:p w:rsidR="00BE0264" w:rsidRPr="00DB4A2D" w:rsidRDefault="00BE0264" w:rsidP="000105A1">
            <w:pPr>
              <w:pStyle w:val="naisf"/>
              <w:spacing w:before="0" w:beforeAutospacing="0" w:after="0" w:afterAutospacing="0"/>
              <w:jc w:val="center"/>
              <w:rPr>
                <w:bCs/>
              </w:rPr>
            </w:pPr>
            <w:r w:rsidRPr="00DB4A2D">
              <w:rPr>
                <w:bCs/>
              </w:rPr>
              <w:t>4</w:t>
            </w:r>
          </w:p>
        </w:tc>
        <w:tc>
          <w:tcPr>
            <w:tcW w:w="1150" w:type="dxa"/>
            <w:vAlign w:val="center"/>
          </w:tcPr>
          <w:p w:rsidR="00BE0264" w:rsidRPr="00DB4A2D" w:rsidRDefault="00BE0264" w:rsidP="000105A1">
            <w:pPr>
              <w:pStyle w:val="naisf"/>
              <w:spacing w:before="0" w:beforeAutospacing="0" w:after="0" w:afterAutospacing="0"/>
              <w:jc w:val="center"/>
              <w:rPr>
                <w:bCs/>
              </w:rPr>
            </w:pPr>
            <w:r w:rsidRPr="00DB4A2D">
              <w:rPr>
                <w:bCs/>
              </w:rPr>
              <w:t>5</w:t>
            </w:r>
          </w:p>
        </w:tc>
        <w:tc>
          <w:tcPr>
            <w:tcW w:w="1804" w:type="dxa"/>
            <w:vAlign w:val="center"/>
          </w:tcPr>
          <w:p w:rsidR="00BE0264" w:rsidRPr="00DB4A2D" w:rsidRDefault="00BE0264" w:rsidP="000105A1">
            <w:pPr>
              <w:pStyle w:val="naisf"/>
              <w:spacing w:before="0" w:beforeAutospacing="0" w:after="0" w:afterAutospacing="0"/>
              <w:jc w:val="center"/>
              <w:rPr>
                <w:bCs/>
              </w:rPr>
            </w:pPr>
            <w:r w:rsidRPr="00DB4A2D">
              <w:rPr>
                <w:bCs/>
              </w:rPr>
              <w:t>6</w:t>
            </w:r>
          </w:p>
        </w:tc>
      </w:tr>
      <w:tr w:rsidR="00BE0264" w:rsidRPr="00DB4A2D" w:rsidTr="000105A1">
        <w:trPr>
          <w:jc w:val="center"/>
        </w:trPr>
        <w:tc>
          <w:tcPr>
            <w:tcW w:w="3281" w:type="dxa"/>
          </w:tcPr>
          <w:p w:rsidR="00BE0264" w:rsidRPr="00DB4A2D" w:rsidRDefault="00BE0264" w:rsidP="000105A1">
            <w:pPr>
              <w:pStyle w:val="naisf"/>
              <w:spacing w:before="0" w:beforeAutospacing="0" w:after="0" w:afterAutospacing="0"/>
              <w:rPr>
                <w:b/>
                <w:i/>
              </w:rPr>
            </w:pPr>
            <w:r w:rsidRPr="00DB4A2D">
              <w:rPr>
                <w:b/>
              </w:rPr>
              <w:t>1. Budžeta ieņēmumi:</w:t>
            </w:r>
          </w:p>
        </w:tc>
        <w:tc>
          <w:tcPr>
            <w:tcW w:w="1522" w:type="dxa"/>
          </w:tcPr>
          <w:p w:rsidR="00BE0264" w:rsidRPr="00DB4A2D" w:rsidRDefault="00BE0264" w:rsidP="000105A1">
            <w:pPr>
              <w:pStyle w:val="naisf"/>
              <w:spacing w:before="0" w:beforeAutospacing="0" w:after="0" w:afterAutospacing="0"/>
              <w:rPr>
                <w:b/>
              </w:rPr>
            </w:pPr>
          </w:p>
          <w:p w:rsidR="00BE0264" w:rsidRPr="00DB4A2D" w:rsidRDefault="00BE0264" w:rsidP="000105A1">
            <w:pPr>
              <w:pStyle w:val="naisf"/>
              <w:spacing w:before="0" w:beforeAutospacing="0" w:after="0" w:afterAutospacing="0"/>
              <w:rPr>
                <w:b/>
              </w:rPr>
            </w:pPr>
            <w:r w:rsidRPr="00DB4A2D">
              <w:rPr>
                <w:b/>
              </w:rPr>
              <w:t>2 312 €</w:t>
            </w:r>
          </w:p>
          <w:p w:rsidR="00BE0264" w:rsidRPr="00DB4A2D" w:rsidRDefault="00BE0264" w:rsidP="000105A1">
            <w:pPr>
              <w:pStyle w:val="naisf"/>
              <w:spacing w:before="0" w:beforeAutospacing="0" w:after="0" w:afterAutospacing="0"/>
              <w:rPr>
                <w:b/>
              </w:rPr>
            </w:pPr>
            <w:r w:rsidRPr="00DB4A2D">
              <w:rPr>
                <w:b/>
              </w:rPr>
              <w:t>(1 625 Ls)</w:t>
            </w:r>
          </w:p>
        </w:tc>
        <w:tc>
          <w:tcPr>
            <w:tcW w:w="1197" w:type="dxa"/>
          </w:tcPr>
          <w:p w:rsidR="00BE0264" w:rsidRPr="00DB4A2D" w:rsidRDefault="00BE0264" w:rsidP="000105A1">
            <w:pPr>
              <w:pStyle w:val="naisf"/>
              <w:spacing w:before="0" w:beforeAutospacing="0" w:after="0" w:afterAutospacing="0"/>
              <w:jc w:val="center"/>
            </w:pPr>
          </w:p>
          <w:p w:rsidR="00BE0264" w:rsidRPr="00DB4A2D" w:rsidRDefault="00BE0264" w:rsidP="000105A1">
            <w:pPr>
              <w:pStyle w:val="naisf"/>
              <w:spacing w:before="0" w:beforeAutospacing="0" w:after="0" w:afterAutospacing="0"/>
              <w:jc w:val="center"/>
              <w:rPr>
                <w:b/>
              </w:rPr>
            </w:pPr>
            <w:r w:rsidRPr="00DB4A2D">
              <w:rPr>
                <w:b/>
              </w:rPr>
              <w:t>0</w:t>
            </w:r>
          </w:p>
        </w:tc>
        <w:tc>
          <w:tcPr>
            <w:tcW w:w="1212" w:type="dxa"/>
          </w:tcPr>
          <w:p w:rsidR="00BE0264" w:rsidRPr="00DB4A2D" w:rsidRDefault="00BE0264" w:rsidP="000105A1">
            <w:pPr>
              <w:pStyle w:val="naisf"/>
              <w:spacing w:before="0" w:beforeAutospacing="0" w:after="0" w:afterAutospacing="0"/>
              <w:rPr>
                <w:b/>
              </w:rPr>
            </w:pPr>
          </w:p>
          <w:p w:rsidR="00BE0264" w:rsidRPr="00DB4A2D" w:rsidRDefault="00BE0264" w:rsidP="000105A1">
            <w:pPr>
              <w:pStyle w:val="naisf"/>
              <w:spacing w:before="0" w:beforeAutospacing="0" w:after="0" w:afterAutospacing="0"/>
              <w:rPr>
                <w:b/>
              </w:rPr>
            </w:pPr>
            <w:r w:rsidRPr="00DB4A2D">
              <w:rPr>
                <w:b/>
              </w:rPr>
              <w:t xml:space="preserve"> 1388 €</w:t>
            </w:r>
          </w:p>
          <w:p w:rsidR="00BE0264" w:rsidRPr="00DB4A2D" w:rsidRDefault="00BE0264" w:rsidP="000105A1">
            <w:pPr>
              <w:pStyle w:val="naisf"/>
              <w:spacing w:before="0" w:beforeAutospacing="0" w:after="0" w:afterAutospacing="0"/>
              <w:rPr>
                <w:b/>
              </w:rPr>
            </w:pPr>
            <w:r w:rsidRPr="00DB4A2D">
              <w:rPr>
                <w:b/>
              </w:rPr>
              <w:t>(975 Ls)</w:t>
            </w:r>
          </w:p>
          <w:p w:rsidR="00BE0264" w:rsidRPr="00DB4A2D" w:rsidRDefault="00BE0264" w:rsidP="000105A1">
            <w:pPr>
              <w:pStyle w:val="naisf"/>
              <w:spacing w:before="0" w:beforeAutospacing="0" w:after="0" w:afterAutospacing="0"/>
              <w:rPr>
                <w:b/>
              </w:rPr>
            </w:pPr>
          </w:p>
        </w:tc>
        <w:tc>
          <w:tcPr>
            <w:tcW w:w="1150" w:type="dxa"/>
          </w:tcPr>
          <w:p w:rsidR="00BE0264" w:rsidRPr="00DB4A2D" w:rsidRDefault="00BE0264" w:rsidP="000105A1">
            <w:pPr>
              <w:pStyle w:val="naisf"/>
              <w:spacing w:before="0" w:beforeAutospacing="0" w:after="0" w:afterAutospacing="0"/>
              <w:rPr>
                <w:b/>
              </w:rPr>
            </w:pPr>
          </w:p>
          <w:p w:rsidR="00BE0264" w:rsidRPr="00DB4A2D" w:rsidRDefault="00BE0264" w:rsidP="000105A1">
            <w:pPr>
              <w:pStyle w:val="naisf"/>
              <w:spacing w:before="0" w:beforeAutospacing="0" w:after="0" w:afterAutospacing="0"/>
              <w:rPr>
                <w:b/>
              </w:rPr>
            </w:pPr>
            <w:r w:rsidRPr="00DB4A2D" w:rsidDel="00CF40AF">
              <w:rPr>
                <w:b/>
              </w:rPr>
              <w:t xml:space="preserve"> </w:t>
            </w:r>
            <w:r w:rsidRPr="00DB4A2D">
              <w:rPr>
                <w:b/>
              </w:rPr>
              <w:t>925 €</w:t>
            </w:r>
          </w:p>
          <w:p w:rsidR="00BE0264" w:rsidRPr="00DB4A2D" w:rsidRDefault="00BE0264" w:rsidP="000105A1">
            <w:pPr>
              <w:pStyle w:val="naisf"/>
              <w:spacing w:before="0" w:beforeAutospacing="0" w:after="0" w:afterAutospacing="0"/>
              <w:rPr>
                <w:b/>
              </w:rPr>
            </w:pPr>
            <w:r w:rsidRPr="00DB4A2D">
              <w:rPr>
                <w:b/>
              </w:rPr>
              <w:t>(650 Ls)</w:t>
            </w:r>
          </w:p>
          <w:p w:rsidR="00BE0264" w:rsidRPr="00DB4A2D" w:rsidRDefault="00BE0264" w:rsidP="000105A1">
            <w:pPr>
              <w:pStyle w:val="naisf"/>
              <w:spacing w:before="0" w:beforeAutospacing="0" w:after="0" w:afterAutospacing="0"/>
              <w:rPr>
                <w:b/>
              </w:rPr>
            </w:pPr>
          </w:p>
        </w:tc>
        <w:tc>
          <w:tcPr>
            <w:tcW w:w="1804" w:type="dxa"/>
          </w:tcPr>
          <w:p w:rsidR="00BE0264" w:rsidRPr="00DB4A2D" w:rsidRDefault="00BE0264" w:rsidP="000105A1">
            <w:pPr>
              <w:pStyle w:val="naisf"/>
              <w:spacing w:before="0" w:beforeAutospacing="0" w:after="0" w:afterAutospacing="0"/>
              <w:rPr>
                <w:b/>
              </w:rPr>
            </w:pPr>
          </w:p>
          <w:p w:rsidR="00BE0264" w:rsidRPr="00DB4A2D" w:rsidRDefault="00BE0264" w:rsidP="000105A1">
            <w:pPr>
              <w:pStyle w:val="naisf"/>
              <w:spacing w:before="0" w:beforeAutospacing="0" w:after="0" w:afterAutospacing="0"/>
              <w:jc w:val="center"/>
              <w:rPr>
                <w:b/>
              </w:rPr>
            </w:pPr>
            <w:r w:rsidRPr="00DB4A2D">
              <w:rPr>
                <w:b/>
              </w:rPr>
              <w:t>0</w:t>
            </w:r>
          </w:p>
        </w:tc>
      </w:tr>
      <w:tr w:rsidR="00BE0264" w:rsidRPr="00DB4A2D" w:rsidTr="000105A1">
        <w:trPr>
          <w:jc w:val="center"/>
        </w:trPr>
        <w:tc>
          <w:tcPr>
            <w:tcW w:w="3281" w:type="dxa"/>
          </w:tcPr>
          <w:p w:rsidR="00BE0264" w:rsidRPr="00DB4A2D" w:rsidRDefault="00BE0264" w:rsidP="000105A1">
            <w:pPr>
              <w:pStyle w:val="naisf"/>
              <w:spacing w:before="0" w:beforeAutospacing="0" w:after="0" w:afterAutospacing="0"/>
              <w:rPr>
                <w:i/>
              </w:rPr>
            </w:pPr>
            <w:r w:rsidRPr="00DB4A2D">
              <w:t>1.1. valsts pamatbudžets, tai skaitā ieņēmumi no maksas pakalpojumiem un citi pašu ieņēmumi</w:t>
            </w:r>
          </w:p>
        </w:tc>
        <w:tc>
          <w:tcPr>
            <w:tcW w:w="1522" w:type="dxa"/>
          </w:tcPr>
          <w:p w:rsidR="00BE0264" w:rsidRPr="00DB4A2D" w:rsidRDefault="00BE0264" w:rsidP="000105A1">
            <w:pPr>
              <w:pStyle w:val="naisf"/>
              <w:spacing w:before="0" w:beforeAutospacing="0" w:after="0" w:afterAutospacing="0"/>
              <w:jc w:val="center"/>
            </w:pPr>
            <w:r w:rsidRPr="00DB4A2D">
              <w:t>0</w:t>
            </w:r>
          </w:p>
        </w:tc>
        <w:tc>
          <w:tcPr>
            <w:tcW w:w="1197" w:type="dxa"/>
          </w:tcPr>
          <w:p w:rsidR="00BE0264" w:rsidRPr="00DB4A2D" w:rsidRDefault="00BE0264" w:rsidP="000105A1">
            <w:pPr>
              <w:pStyle w:val="naisf"/>
              <w:spacing w:before="0" w:beforeAutospacing="0" w:after="0" w:afterAutospacing="0"/>
              <w:jc w:val="center"/>
            </w:pPr>
            <w:r w:rsidRPr="00DB4A2D">
              <w:t>0</w:t>
            </w:r>
          </w:p>
        </w:tc>
        <w:tc>
          <w:tcPr>
            <w:tcW w:w="1212" w:type="dxa"/>
          </w:tcPr>
          <w:p w:rsidR="00BE0264" w:rsidRPr="00DB4A2D" w:rsidRDefault="00BE0264" w:rsidP="000105A1">
            <w:pPr>
              <w:pStyle w:val="naisf"/>
              <w:spacing w:before="0" w:beforeAutospacing="0" w:after="0" w:afterAutospacing="0"/>
              <w:jc w:val="center"/>
            </w:pPr>
            <w:r w:rsidRPr="00DB4A2D">
              <w:t>0</w:t>
            </w:r>
          </w:p>
        </w:tc>
        <w:tc>
          <w:tcPr>
            <w:tcW w:w="1150" w:type="dxa"/>
          </w:tcPr>
          <w:p w:rsidR="00BE0264" w:rsidRPr="00DB4A2D" w:rsidRDefault="00BE0264" w:rsidP="000105A1">
            <w:pPr>
              <w:pStyle w:val="naisf"/>
              <w:spacing w:before="0" w:beforeAutospacing="0" w:after="0" w:afterAutospacing="0"/>
              <w:jc w:val="center"/>
            </w:pPr>
            <w:r w:rsidRPr="00DB4A2D">
              <w:t>0</w:t>
            </w:r>
          </w:p>
        </w:tc>
        <w:tc>
          <w:tcPr>
            <w:tcW w:w="1804" w:type="dxa"/>
          </w:tcPr>
          <w:p w:rsidR="00BE0264" w:rsidRPr="00DB4A2D" w:rsidRDefault="00BE0264" w:rsidP="000105A1">
            <w:pPr>
              <w:pStyle w:val="naisf"/>
              <w:spacing w:before="0" w:beforeAutospacing="0" w:after="0" w:afterAutospacing="0"/>
              <w:jc w:val="center"/>
            </w:pPr>
            <w:r w:rsidRPr="00DB4A2D">
              <w:t>0</w:t>
            </w:r>
          </w:p>
        </w:tc>
      </w:tr>
      <w:tr w:rsidR="00BE0264" w:rsidRPr="00DB4A2D" w:rsidTr="000105A1">
        <w:trPr>
          <w:jc w:val="center"/>
        </w:trPr>
        <w:tc>
          <w:tcPr>
            <w:tcW w:w="3281" w:type="dxa"/>
          </w:tcPr>
          <w:p w:rsidR="00BE0264" w:rsidRPr="00DB4A2D" w:rsidRDefault="00BE0264" w:rsidP="000105A1">
            <w:pPr>
              <w:pStyle w:val="naisf"/>
              <w:spacing w:before="0" w:beforeAutospacing="0" w:after="0" w:afterAutospacing="0"/>
              <w:rPr>
                <w:i/>
              </w:rPr>
            </w:pPr>
            <w:r w:rsidRPr="00DB4A2D">
              <w:t>1.2. valsts speciālais budžets</w:t>
            </w:r>
          </w:p>
        </w:tc>
        <w:tc>
          <w:tcPr>
            <w:tcW w:w="1522" w:type="dxa"/>
          </w:tcPr>
          <w:p w:rsidR="00BE0264" w:rsidRPr="00DB4A2D" w:rsidRDefault="00BE0264" w:rsidP="000105A1">
            <w:pPr>
              <w:pStyle w:val="naisf"/>
              <w:spacing w:before="0" w:beforeAutospacing="0" w:after="0" w:afterAutospacing="0"/>
              <w:jc w:val="center"/>
            </w:pPr>
            <w:r w:rsidRPr="00DB4A2D">
              <w:t>0</w:t>
            </w:r>
          </w:p>
        </w:tc>
        <w:tc>
          <w:tcPr>
            <w:tcW w:w="1197" w:type="dxa"/>
          </w:tcPr>
          <w:p w:rsidR="00BE0264" w:rsidRPr="00DB4A2D" w:rsidRDefault="00BE0264" w:rsidP="000105A1">
            <w:pPr>
              <w:pStyle w:val="naisf"/>
              <w:spacing w:before="0" w:beforeAutospacing="0" w:after="0" w:afterAutospacing="0"/>
              <w:jc w:val="center"/>
            </w:pPr>
            <w:r w:rsidRPr="00DB4A2D">
              <w:t>0</w:t>
            </w:r>
          </w:p>
        </w:tc>
        <w:tc>
          <w:tcPr>
            <w:tcW w:w="1212"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150"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804"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r>
      <w:tr w:rsidR="00BE0264" w:rsidRPr="00DB4A2D" w:rsidTr="000105A1">
        <w:trPr>
          <w:jc w:val="center"/>
        </w:trPr>
        <w:tc>
          <w:tcPr>
            <w:tcW w:w="3281" w:type="dxa"/>
          </w:tcPr>
          <w:p w:rsidR="00BE0264" w:rsidRPr="00DB4A2D" w:rsidRDefault="00BE0264" w:rsidP="000105A1">
            <w:pPr>
              <w:pStyle w:val="naisf"/>
              <w:spacing w:before="0" w:beforeAutospacing="0" w:after="0" w:afterAutospacing="0"/>
              <w:rPr>
                <w:i/>
              </w:rPr>
            </w:pPr>
            <w:r w:rsidRPr="00DB4A2D">
              <w:t>1.3. pašvaldību budžets</w:t>
            </w:r>
          </w:p>
        </w:tc>
        <w:tc>
          <w:tcPr>
            <w:tcW w:w="1522" w:type="dxa"/>
          </w:tcPr>
          <w:p w:rsidR="00BE0264" w:rsidRPr="00DB4A2D" w:rsidRDefault="00BE0264" w:rsidP="000105A1">
            <w:pPr>
              <w:pStyle w:val="naisf"/>
              <w:spacing w:before="0" w:beforeAutospacing="0" w:after="0" w:afterAutospacing="0"/>
              <w:jc w:val="center"/>
            </w:pPr>
            <w:r w:rsidRPr="00DB4A2D">
              <w:t>0</w:t>
            </w:r>
          </w:p>
        </w:tc>
        <w:tc>
          <w:tcPr>
            <w:tcW w:w="1197" w:type="dxa"/>
          </w:tcPr>
          <w:p w:rsidR="00BE0264" w:rsidRPr="00DB4A2D" w:rsidRDefault="00BE0264" w:rsidP="000105A1">
            <w:pPr>
              <w:pStyle w:val="naisf"/>
              <w:spacing w:before="0" w:beforeAutospacing="0" w:after="0" w:afterAutospacing="0"/>
              <w:jc w:val="center"/>
            </w:pPr>
            <w:r w:rsidRPr="00DB4A2D">
              <w:t>0</w:t>
            </w:r>
          </w:p>
        </w:tc>
        <w:tc>
          <w:tcPr>
            <w:tcW w:w="1212"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150"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804"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r>
      <w:tr w:rsidR="00BE0264" w:rsidRPr="00DB4A2D" w:rsidTr="000105A1">
        <w:trPr>
          <w:jc w:val="center"/>
        </w:trPr>
        <w:tc>
          <w:tcPr>
            <w:tcW w:w="3281" w:type="dxa"/>
          </w:tcPr>
          <w:p w:rsidR="00BE0264" w:rsidRPr="00DB4A2D" w:rsidRDefault="00BE0264" w:rsidP="000105A1">
            <w:pPr>
              <w:spacing w:after="0" w:line="240" w:lineRule="auto"/>
              <w:rPr>
                <w:rFonts w:ascii="Times New Roman" w:hAnsi="Times New Roman"/>
                <w:b/>
                <w:sz w:val="24"/>
                <w:szCs w:val="24"/>
              </w:rPr>
            </w:pPr>
            <w:r w:rsidRPr="00DB4A2D">
              <w:rPr>
                <w:rFonts w:ascii="Times New Roman" w:hAnsi="Times New Roman"/>
                <w:b/>
                <w:sz w:val="24"/>
                <w:szCs w:val="24"/>
              </w:rPr>
              <w:t>2. Budžeta izdevumi:</w:t>
            </w:r>
          </w:p>
        </w:tc>
        <w:tc>
          <w:tcPr>
            <w:tcW w:w="1522" w:type="dxa"/>
          </w:tcPr>
          <w:p w:rsidR="00BE0264" w:rsidRPr="00DB4A2D" w:rsidRDefault="00BE0264" w:rsidP="000105A1">
            <w:pPr>
              <w:pStyle w:val="naisf"/>
              <w:spacing w:before="0" w:beforeAutospacing="0" w:after="0" w:afterAutospacing="0"/>
              <w:rPr>
                <w:b/>
              </w:rPr>
            </w:pPr>
            <w:r w:rsidRPr="00DB4A2D">
              <w:rPr>
                <w:b/>
              </w:rPr>
              <w:t>2 720 €</w:t>
            </w:r>
          </w:p>
          <w:p w:rsidR="00BE0264" w:rsidRPr="00DB4A2D" w:rsidRDefault="00BE0264" w:rsidP="000105A1">
            <w:pPr>
              <w:pStyle w:val="naisf"/>
              <w:spacing w:before="0" w:beforeAutospacing="0" w:after="0" w:afterAutospacing="0"/>
              <w:rPr>
                <w:b/>
              </w:rPr>
            </w:pPr>
            <w:r w:rsidRPr="00DB4A2D">
              <w:rPr>
                <w:b/>
              </w:rPr>
              <w:t>(1 912 Ls)</w:t>
            </w:r>
          </w:p>
          <w:p w:rsidR="00BE0264" w:rsidRPr="00DB4A2D" w:rsidRDefault="00BE0264" w:rsidP="000105A1">
            <w:pPr>
              <w:pStyle w:val="naisf"/>
              <w:spacing w:before="0" w:beforeAutospacing="0" w:after="0" w:afterAutospacing="0"/>
              <w:jc w:val="center"/>
            </w:pPr>
          </w:p>
        </w:tc>
        <w:tc>
          <w:tcPr>
            <w:tcW w:w="1197" w:type="dxa"/>
          </w:tcPr>
          <w:p w:rsidR="00BE0264" w:rsidRPr="00DB4A2D" w:rsidRDefault="00BE0264" w:rsidP="000105A1">
            <w:pPr>
              <w:pStyle w:val="naisf"/>
              <w:spacing w:before="0" w:beforeAutospacing="0" w:after="0" w:afterAutospacing="0"/>
              <w:jc w:val="center"/>
            </w:pPr>
          </w:p>
          <w:p w:rsidR="00BE0264" w:rsidRPr="00DB4A2D" w:rsidRDefault="00BE0264" w:rsidP="000105A1">
            <w:pPr>
              <w:pStyle w:val="naisf"/>
              <w:spacing w:before="0" w:beforeAutospacing="0" w:after="0" w:afterAutospacing="0"/>
              <w:jc w:val="center"/>
              <w:rPr>
                <w:b/>
              </w:rPr>
            </w:pPr>
            <w:r w:rsidRPr="00DB4A2D">
              <w:rPr>
                <w:b/>
              </w:rPr>
              <w:t>0</w:t>
            </w:r>
          </w:p>
        </w:tc>
        <w:tc>
          <w:tcPr>
            <w:tcW w:w="1212" w:type="dxa"/>
          </w:tcPr>
          <w:p w:rsidR="00BE0264" w:rsidRPr="00DB4A2D" w:rsidRDefault="00BE0264" w:rsidP="000105A1">
            <w:pPr>
              <w:pStyle w:val="naisf"/>
              <w:spacing w:before="0" w:beforeAutospacing="0" w:after="0" w:afterAutospacing="0"/>
              <w:rPr>
                <w:b/>
              </w:rPr>
            </w:pPr>
            <w:r w:rsidRPr="00DB4A2D">
              <w:rPr>
                <w:b/>
              </w:rPr>
              <w:t>1 632 €</w:t>
            </w:r>
          </w:p>
          <w:p w:rsidR="00BE0264" w:rsidRPr="00DB4A2D" w:rsidRDefault="00BE0264" w:rsidP="000105A1">
            <w:pPr>
              <w:pStyle w:val="naisf"/>
              <w:spacing w:before="0" w:beforeAutospacing="0" w:after="0" w:afterAutospacing="0"/>
              <w:rPr>
                <w:b/>
              </w:rPr>
            </w:pPr>
            <w:r w:rsidRPr="00DB4A2D">
              <w:rPr>
                <w:b/>
              </w:rPr>
              <w:t>(1 147Ls)</w:t>
            </w:r>
          </w:p>
          <w:p w:rsidR="00BE0264" w:rsidRPr="00DB4A2D" w:rsidRDefault="00BE0264" w:rsidP="000105A1">
            <w:pPr>
              <w:pStyle w:val="naisf"/>
              <w:spacing w:before="0" w:beforeAutospacing="0" w:after="0" w:afterAutospacing="0"/>
              <w:jc w:val="center"/>
              <w:rPr>
                <w:b/>
              </w:rPr>
            </w:pPr>
          </w:p>
          <w:p w:rsidR="00BE0264" w:rsidRPr="00DB4A2D" w:rsidRDefault="00BE0264" w:rsidP="000105A1">
            <w:pPr>
              <w:pStyle w:val="naisf"/>
              <w:spacing w:before="0" w:beforeAutospacing="0" w:after="0" w:afterAutospacing="0"/>
              <w:jc w:val="center"/>
              <w:rPr>
                <w:b/>
              </w:rPr>
            </w:pPr>
          </w:p>
        </w:tc>
        <w:tc>
          <w:tcPr>
            <w:tcW w:w="1150" w:type="dxa"/>
          </w:tcPr>
          <w:p w:rsidR="00BE0264" w:rsidRPr="00DB4A2D" w:rsidRDefault="00BE0264" w:rsidP="000105A1">
            <w:pPr>
              <w:pStyle w:val="naisf"/>
              <w:spacing w:before="0" w:beforeAutospacing="0" w:after="0" w:afterAutospacing="0"/>
              <w:rPr>
                <w:b/>
              </w:rPr>
            </w:pPr>
            <w:r w:rsidRPr="00DB4A2D">
              <w:rPr>
                <w:b/>
              </w:rPr>
              <w:t>1 088 €</w:t>
            </w:r>
          </w:p>
          <w:p w:rsidR="00BE0264" w:rsidRPr="00DB4A2D" w:rsidRDefault="00BE0264" w:rsidP="000105A1">
            <w:pPr>
              <w:pStyle w:val="naisf"/>
              <w:spacing w:before="0" w:beforeAutospacing="0" w:after="0" w:afterAutospacing="0"/>
              <w:jc w:val="center"/>
              <w:rPr>
                <w:b/>
              </w:rPr>
            </w:pPr>
            <w:r w:rsidRPr="00DB4A2D">
              <w:rPr>
                <w:b/>
              </w:rPr>
              <w:t>(765 Ls)</w:t>
            </w:r>
          </w:p>
          <w:p w:rsidR="00BE0264" w:rsidRPr="00DB4A2D" w:rsidRDefault="00BE0264" w:rsidP="000105A1">
            <w:pPr>
              <w:pStyle w:val="naisf"/>
              <w:spacing w:before="0" w:beforeAutospacing="0" w:after="0" w:afterAutospacing="0"/>
              <w:jc w:val="center"/>
              <w:rPr>
                <w:b/>
              </w:rPr>
            </w:pPr>
          </w:p>
        </w:tc>
        <w:tc>
          <w:tcPr>
            <w:tcW w:w="1804" w:type="dxa"/>
          </w:tcPr>
          <w:p w:rsidR="00BE0264" w:rsidRPr="00DB4A2D" w:rsidRDefault="00BE0264" w:rsidP="000105A1">
            <w:pPr>
              <w:pStyle w:val="naisf"/>
              <w:spacing w:before="0" w:beforeAutospacing="0" w:after="0" w:afterAutospacing="0"/>
              <w:jc w:val="center"/>
              <w:rPr>
                <w:b/>
              </w:rPr>
            </w:pPr>
          </w:p>
          <w:p w:rsidR="00BE0264" w:rsidRPr="00DB4A2D" w:rsidRDefault="00BE0264" w:rsidP="000105A1">
            <w:pPr>
              <w:pStyle w:val="naisf"/>
              <w:spacing w:before="0" w:beforeAutospacing="0" w:after="0" w:afterAutospacing="0"/>
              <w:jc w:val="center"/>
              <w:rPr>
                <w:b/>
              </w:rPr>
            </w:pPr>
            <w:r w:rsidRPr="00DB4A2D">
              <w:rPr>
                <w:b/>
              </w:rPr>
              <w:t>0</w:t>
            </w:r>
          </w:p>
        </w:tc>
      </w:tr>
      <w:tr w:rsidR="00BE0264" w:rsidRPr="00DB4A2D" w:rsidTr="000105A1">
        <w:trPr>
          <w:jc w:val="center"/>
        </w:trPr>
        <w:tc>
          <w:tcPr>
            <w:tcW w:w="3281" w:type="dxa"/>
          </w:tcPr>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2.1. valsts pamatbudžets</w:t>
            </w:r>
          </w:p>
        </w:tc>
        <w:tc>
          <w:tcPr>
            <w:tcW w:w="1522" w:type="dxa"/>
          </w:tcPr>
          <w:p w:rsidR="00BE0264" w:rsidRPr="00DB4A2D" w:rsidRDefault="00BE0264" w:rsidP="000105A1">
            <w:pPr>
              <w:pStyle w:val="naisf"/>
              <w:spacing w:before="0" w:beforeAutospacing="0" w:after="0" w:afterAutospacing="0"/>
              <w:jc w:val="center"/>
            </w:pPr>
            <w:r w:rsidRPr="00DB4A2D">
              <w:t>2500 €</w:t>
            </w:r>
          </w:p>
          <w:p w:rsidR="00BE0264" w:rsidRPr="00DB4A2D" w:rsidRDefault="00BE0264" w:rsidP="000105A1">
            <w:pPr>
              <w:pStyle w:val="naisf"/>
              <w:spacing w:before="0" w:beforeAutospacing="0" w:after="0" w:afterAutospacing="0"/>
              <w:jc w:val="center"/>
            </w:pPr>
            <w:r w:rsidRPr="00DB4A2D">
              <w:t>(1757 Ls)</w:t>
            </w:r>
          </w:p>
          <w:p w:rsidR="00BE0264" w:rsidRPr="00DB4A2D" w:rsidRDefault="00BE0264" w:rsidP="000105A1">
            <w:pPr>
              <w:pStyle w:val="naisf"/>
              <w:spacing w:before="0" w:beforeAutospacing="0" w:after="0" w:afterAutospacing="0"/>
              <w:jc w:val="center"/>
            </w:pPr>
          </w:p>
          <w:p w:rsidR="00BE0264" w:rsidRPr="00DB4A2D" w:rsidRDefault="00BE0264" w:rsidP="000105A1">
            <w:pPr>
              <w:pStyle w:val="naisf"/>
              <w:spacing w:before="0" w:beforeAutospacing="0" w:after="0" w:afterAutospacing="0"/>
              <w:jc w:val="center"/>
            </w:pPr>
          </w:p>
        </w:tc>
        <w:tc>
          <w:tcPr>
            <w:tcW w:w="1197" w:type="dxa"/>
          </w:tcPr>
          <w:p w:rsidR="00BE0264" w:rsidRPr="00DB4A2D" w:rsidRDefault="00BE0264" w:rsidP="000105A1">
            <w:pPr>
              <w:pStyle w:val="naisf"/>
              <w:spacing w:before="0" w:beforeAutospacing="0" w:after="0" w:afterAutospacing="0"/>
              <w:jc w:val="center"/>
            </w:pPr>
          </w:p>
          <w:p w:rsidR="00BE0264" w:rsidRPr="00DB4A2D" w:rsidRDefault="00BE0264" w:rsidP="000105A1">
            <w:pPr>
              <w:pStyle w:val="naisf"/>
              <w:spacing w:before="0" w:beforeAutospacing="0" w:after="0" w:afterAutospacing="0"/>
              <w:jc w:val="center"/>
            </w:pPr>
            <w:r w:rsidRPr="00DB4A2D">
              <w:t>0</w:t>
            </w:r>
          </w:p>
        </w:tc>
        <w:tc>
          <w:tcPr>
            <w:tcW w:w="1212" w:type="dxa"/>
          </w:tcPr>
          <w:p w:rsidR="00BE0264" w:rsidRPr="00DB4A2D" w:rsidRDefault="00BE0264" w:rsidP="000105A1">
            <w:pPr>
              <w:pStyle w:val="naisf"/>
              <w:spacing w:before="0" w:beforeAutospacing="0" w:after="0" w:afterAutospacing="0"/>
              <w:jc w:val="center"/>
            </w:pPr>
            <w:r w:rsidRPr="00DB4A2D">
              <w:t>1500 €</w:t>
            </w:r>
          </w:p>
          <w:p w:rsidR="00BE0264" w:rsidRPr="00DB4A2D" w:rsidRDefault="00BE0264" w:rsidP="000105A1">
            <w:pPr>
              <w:pStyle w:val="naisf"/>
              <w:spacing w:before="0" w:beforeAutospacing="0" w:after="0" w:afterAutospacing="0"/>
              <w:jc w:val="center"/>
            </w:pPr>
            <w:r w:rsidRPr="00DB4A2D">
              <w:t>(1054 Ls)</w:t>
            </w:r>
          </w:p>
          <w:p w:rsidR="00BE0264" w:rsidRPr="00DB4A2D" w:rsidRDefault="00BE0264" w:rsidP="000105A1">
            <w:pPr>
              <w:pStyle w:val="naisf"/>
              <w:spacing w:before="0" w:beforeAutospacing="0" w:after="0" w:afterAutospacing="0"/>
              <w:jc w:val="center"/>
            </w:pPr>
          </w:p>
        </w:tc>
        <w:tc>
          <w:tcPr>
            <w:tcW w:w="1150" w:type="dxa"/>
          </w:tcPr>
          <w:p w:rsidR="00BE0264" w:rsidRPr="00DB4A2D" w:rsidRDefault="00BE0264" w:rsidP="000105A1">
            <w:pPr>
              <w:pStyle w:val="naisf"/>
              <w:spacing w:before="0" w:beforeAutospacing="0" w:after="0" w:afterAutospacing="0"/>
              <w:jc w:val="center"/>
            </w:pPr>
            <w:r w:rsidRPr="00DB4A2D">
              <w:t>1000 €</w:t>
            </w:r>
          </w:p>
          <w:p w:rsidR="00BE0264" w:rsidRPr="00DB4A2D" w:rsidRDefault="00BE0264" w:rsidP="000105A1">
            <w:pPr>
              <w:pStyle w:val="naisf"/>
              <w:spacing w:before="0" w:beforeAutospacing="0" w:after="0" w:afterAutospacing="0"/>
              <w:jc w:val="center"/>
            </w:pPr>
            <w:r w:rsidRPr="00DB4A2D">
              <w:t>(703 Ls)</w:t>
            </w:r>
          </w:p>
          <w:p w:rsidR="00BE0264" w:rsidRPr="00DB4A2D" w:rsidRDefault="00BE0264" w:rsidP="000105A1">
            <w:pPr>
              <w:pStyle w:val="naisf"/>
              <w:spacing w:before="0" w:beforeAutospacing="0" w:after="0" w:afterAutospacing="0"/>
              <w:jc w:val="center"/>
            </w:pPr>
          </w:p>
          <w:p w:rsidR="00BE0264" w:rsidRPr="00DB4A2D" w:rsidRDefault="00BE0264" w:rsidP="000105A1">
            <w:pPr>
              <w:pStyle w:val="naisf"/>
              <w:spacing w:before="0" w:beforeAutospacing="0" w:after="0" w:afterAutospacing="0"/>
              <w:jc w:val="center"/>
            </w:pPr>
          </w:p>
        </w:tc>
        <w:tc>
          <w:tcPr>
            <w:tcW w:w="1804" w:type="dxa"/>
          </w:tcPr>
          <w:p w:rsidR="00BE0264" w:rsidRPr="00DB4A2D" w:rsidRDefault="00BE0264" w:rsidP="000105A1">
            <w:pPr>
              <w:pStyle w:val="naisf"/>
              <w:spacing w:before="0" w:beforeAutospacing="0" w:after="0" w:afterAutospacing="0"/>
              <w:jc w:val="center"/>
            </w:pPr>
          </w:p>
          <w:p w:rsidR="00BE0264" w:rsidRPr="00DB4A2D" w:rsidRDefault="00BE0264" w:rsidP="000105A1">
            <w:pPr>
              <w:pStyle w:val="naisf"/>
              <w:spacing w:before="0" w:beforeAutospacing="0" w:after="0" w:afterAutospacing="0"/>
              <w:jc w:val="center"/>
            </w:pPr>
            <w:r w:rsidRPr="00DB4A2D">
              <w:t>0</w:t>
            </w:r>
          </w:p>
        </w:tc>
      </w:tr>
      <w:tr w:rsidR="00BE0264" w:rsidRPr="00DB4A2D" w:rsidTr="000105A1">
        <w:trPr>
          <w:jc w:val="center"/>
        </w:trPr>
        <w:tc>
          <w:tcPr>
            <w:tcW w:w="3281" w:type="dxa"/>
          </w:tcPr>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2.2. valsts speciālais budžets</w:t>
            </w:r>
          </w:p>
        </w:tc>
        <w:tc>
          <w:tcPr>
            <w:tcW w:w="1522" w:type="dxa"/>
          </w:tcPr>
          <w:p w:rsidR="00BE0264" w:rsidRPr="00DB4A2D" w:rsidRDefault="00BE0264" w:rsidP="000105A1">
            <w:pPr>
              <w:pStyle w:val="naisf"/>
              <w:spacing w:before="0" w:beforeAutospacing="0" w:after="0" w:afterAutospacing="0"/>
              <w:jc w:val="center"/>
            </w:pPr>
            <w:r w:rsidRPr="00DB4A2D">
              <w:t>110 €</w:t>
            </w:r>
          </w:p>
          <w:p w:rsidR="00BE0264" w:rsidRPr="00DB4A2D" w:rsidRDefault="00BE0264" w:rsidP="000105A1">
            <w:pPr>
              <w:pStyle w:val="naisf"/>
              <w:spacing w:before="0" w:beforeAutospacing="0" w:after="0" w:afterAutospacing="0"/>
              <w:jc w:val="center"/>
            </w:pPr>
            <w:r w:rsidRPr="00DB4A2D">
              <w:t>(77 Ls)</w:t>
            </w:r>
          </w:p>
        </w:tc>
        <w:tc>
          <w:tcPr>
            <w:tcW w:w="1197" w:type="dxa"/>
          </w:tcPr>
          <w:p w:rsidR="00BE0264" w:rsidRPr="00DB4A2D" w:rsidRDefault="00BE0264" w:rsidP="000105A1">
            <w:pPr>
              <w:pStyle w:val="naisf"/>
              <w:spacing w:before="0" w:beforeAutospacing="0" w:after="0" w:afterAutospacing="0"/>
              <w:jc w:val="center"/>
            </w:pPr>
            <w:r w:rsidRPr="00DB4A2D">
              <w:t>0</w:t>
            </w:r>
          </w:p>
        </w:tc>
        <w:tc>
          <w:tcPr>
            <w:tcW w:w="1212" w:type="dxa"/>
          </w:tcPr>
          <w:p w:rsidR="00BE0264" w:rsidRPr="00DB4A2D" w:rsidRDefault="00BE0264" w:rsidP="000105A1">
            <w:pPr>
              <w:pStyle w:val="naisf"/>
              <w:spacing w:before="0" w:beforeAutospacing="0" w:after="0" w:afterAutospacing="0"/>
              <w:jc w:val="center"/>
            </w:pPr>
            <w:r w:rsidRPr="00DB4A2D">
              <w:t>66 €</w:t>
            </w:r>
          </w:p>
          <w:p w:rsidR="00BE0264" w:rsidRPr="00DB4A2D" w:rsidRDefault="00BE0264" w:rsidP="000105A1">
            <w:pPr>
              <w:pStyle w:val="naisf"/>
              <w:spacing w:before="0" w:beforeAutospacing="0" w:after="0" w:afterAutospacing="0"/>
              <w:jc w:val="center"/>
            </w:pPr>
            <w:r w:rsidRPr="00DB4A2D">
              <w:t>(46 Ls)</w:t>
            </w:r>
          </w:p>
        </w:tc>
        <w:tc>
          <w:tcPr>
            <w:tcW w:w="1150" w:type="dxa"/>
          </w:tcPr>
          <w:p w:rsidR="00BE0264" w:rsidRPr="00DB4A2D" w:rsidRDefault="00BE0264" w:rsidP="000105A1">
            <w:pPr>
              <w:pStyle w:val="naisf"/>
              <w:spacing w:before="0" w:beforeAutospacing="0" w:after="0" w:afterAutospacing="0"/>
              <w:jc w:val="center"/>
            </w:pPr>
            <w:r w:rsidRPr="00DB4A2D">
              <w:t>44 €</w:t>
            </w:r>
          </w:p>
          <w:p w:rsidR="00BE0264" w:rsidRPr="00DB4A2D" w:rsidRDefault="00BE0264" w:rsidP="000105A1">
            <w:pPr>
              <w:pStyle w:val="naisf"/>
              <w:spacing w:before="0" w:beforeAutospacing="0" w:after="0" w:afterAutospacing="0"/>
              <w:jc w:val="center"/>
            </w:pPr>
            <w:r w:rsidRPr="00DB4A2D">
              <w:t>(31 Ls)</w:t>
            </w:r>
          </w:p>
          <w:p w:rsidR="00BE0264" w:rsidRPr="00DB4A2D" w:rsidRDefault="00BE0264" w:rsidP="000105A1">
            <w:pPr>
              <w:pStyle w:val="naisf"/>
              <w:spacing w:before="0" w:beforeAutospacing="0" w:after="0" w:afterAutospacing="0"/>
              <w:jc w:val="center"/>
            </w:pPr>
          </w:p>
        </w:tc>
        <w:tc>
          <w:tcPr>
            <w:tcW w:w="1804" w:type="dxa"/>
          </w:tcPr>
          <w:p w:rsidR="00BE0264" w:rsidRPr="00DB4A2D" w:rsidRDefault="00BE0264" w:rsidP="000105A1">
            <w:pPr>
              <w:pStyle w:val="naisf"/>
              <w:spacing w:before="0" w:beforeAutospacing="0" w:after="0" w:afterAutospacing="0"/>
              <w:jc w:val="center"/>
            </w:pPr>
            <w:r w:rsidRPr="00DB4A2D">
              <w:t>0</w:t>
            </w:r>
          </w:p>
        </w:tc>
      </w:tr>
      <w:tr w:rsidR="00BE0264" w:rsidRPr="00DB4A2D" w:rsidTr="000105A1">
        <w:trPr>
          <w:jc w:val="center"/>
        </w:trPr>
        <w:tc>
          <w:tcPr>
            <w:tcW w:w="3281" w:type="dxa"/>
          </w:tcPr>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 xml:space="preserve">2.3. pašvaldību budžets </w:t>
            </w:r>
          </w:p>
        </w:tc>
        <w:tc>
          <w:tcPr>
            <w:tcW w:w="1522" w:type="dxa"/>
          </w:tcPr>
          <w:p w:rsidR="00BE0264" w:rsidRPr="00DB4A2D" w:rsidRDefault="00BE0264" w:rsidP="000105A1">
            <w:pPr>
              <w:pStyle w:val="naisf"/>
              <w:spacing w:before="0" w:beforeAutospacing="0" w:after="0" w:afterAutospacing="0"/>
              <w:jc w:val="center"/>
            </w:pPr>
            <w:r w:rsidRPr="00DB4A2D">
              <w:t>110 €</w:t>
            </w:r>
          </w:p>
          <w:p w:rsidR="00BE0264" w:rsidRPr="00DB4A2D" w:rsidRDefault="00BE0264" w:rsidP="000105A1">
            <w:pPr>
              <w:pStyle w:val="naisf"/>
              <w:spacing w:before="0" w:beforeAutospacing="0" w:after="0" w:afterAutospacing="0"/>
              <w:jc w:val="center"/>
            </w:pPr>
            <w:r w:rsidRPr="00DB4A2D">
              <w:t>(77 Ls)</w:t>
            </w:r>
          </w:p>
        </w:tc>
        <w:tc>
          <w:tcPr>
            <w:tcW w:w="1197" w:type="dxa"/>
          </w:tcPr>
          <w:p w:rsidR="00BE0264" w:rsidRPr="00DB4A2D" w:rsidRDefault="00BE0264" w:rsidP="000105A1">
            <w:pPr>
              <w:pStyle w:val="naisf"/>
              <w:spacing w:before="0" w:beforeAutospacing="0" w:after="0" w:afterAutospacing="0"/>
              <w:jc w:val="center"/>
            </w:pPr>
            <w:r w:rsidRPr="00DB4A2D">
              <w:t>0</w:t>
            </w:r>
          </w:p>
        </w:tc>
        <w:tc>
          <w:tcPr>
            <w:tcW w:w="1212" w:type="dxa"/>
          </w:tcPr>
          <w:p w:rsidR="00BE0264" w:rsidRPr="00DB4A2D" w:rsidRDefault="00BE0264" w:rsidP="000105A1">
            <w:pPr>
              <w:pStyle w:val="naisf"/>
              <w:spacing w:before="0" w:beforeAutospacing="0" w:after="0" w:afterAutospacing="0"/>
              <w:jc w:val="center"/>
            </w:pPr>
            <w:r w:rsidRPr="00DB4A2D">
              <w:t>66 €</w:t>
            </w:r>
          </w:p>
          <w:p w:rsidR="00BE0264" w:rsidRPr="00DB4A2D" w:rsidRDefault="00BE0264" w:rsidP="000105A1">
            <w:pPr>
              <w:pStyle w:val="naisf"/>
              <w:spacing w:before="0" w:beforeAutospacing="0" w:after="0" w:afterAutospacing="0"/>
              <w:jc w:val="center"/>
            </w:pPr>
            <w:r w:rsidRPr="00DB4A2D">
              <w:t>(46 Ls)</w:t>
            </w:r>
          </w:p>
        </w:tc>
        <w:tc>
          <w:tcPr>
            <w:tcW w:w="1150" w:type="dxa"/>
          </w:tcPr>
          <w:p w:rsidR="00BE0264" w:rsidRPr="00DB4A2D" w:rsidRDefault="00BE0264" w:rsidP="000105A1">
            <w:pPr>
              <w:pStyle w:val="naisf"/>
              <w:spacing w:before="0" w:beforeAutospacing="0" w:after="0" w:afterAutospacing="0"/>
              <w:jc w:val="center"/>
            </w:pPr>
            <w:r w:rsidRPr="00DB4A2D">
              <w:t>44 €</w:t>
            </w:r>
          </w:p>
          <w:p w:rsidR="00BE0264" w:rsidRPr="00DB4A2D" w:rsidRDefault="00BE0264" w:rsidP="000105A1">
            <w:pPr>
              <w:pStyle w:val="naisf"/>
              <w:spacing w:before="0" w:beforeAutospacing="0" w:after="0" w:afterAutospacing="0"/>
              <w:jc w:val="center"/>
            </w:pPr>
            <w:r w:rsidRPr="00DB4A2D">
              <w:t>(31 Ls)</w:t>
            </w:r>
          </w:p>
          <w:p w:rsidR="00BE0264" w:rsidRPr="00DB4A2D" w:rsidRDefault="00BE0264" w:rsidP="000105A1">
            <w:pPr>
              <w:pStyle w:val="naisf"/>
              <w:spacing w:before="0" w:beforeAutospacing="0" w:after="0" w:afterAutospacing="0"/>
              <w:jc w:val="center"/>
            </w:pPr>
          </w:p>
        </w:tc>
        <w:tc>
          <w:tcPr>
            <w:tcW w:w="1804" w:type="dxa"/>
          </w:tcPr>
          <w:p w:rsidR="00BE0264" w:rsidRPr="00DB4A2D" w:rsidRDefault="00BE0264" w:rsidP="000105A1">
            <w:pPr>
              <w:pStyle w:val="naisf"/>
              <w:spacing w:before="0" w:beforeAutospacing="0" w:after="0" w:afterAutospacing="0"/>
              <w:jc w:val="center"/>
            </w:pPr>
            <w:r w:rsidRPr="00DB4A2D">
              <w:t>0</w:t>
            </w:r>
          </w:p>
        </w:tc>
      </w:tr>
      <w:tr w:rsidR="00BE0264" w:rsidRPr="00DB4A2D" w:rsidTr="000105A1">
        <w:trPr>
          <w:jc w:val="center"/>
        </w:trPr>
        <w:tc>
          <w:tcPr>
            <w:tcW w:w="3281" w:type="dxa"/>
          </w:tcPr>
          <w:p w:rsidR="00BE0264" w:rsidRPr="00DB4A2D" w:rsidRDefault="00BE0264" w:rsidP="000105A1">
            <w:pPr>
              <w:spacing w:after="0" w:line="240" w:lineRule="auto"/>
              <w:rPr>
                <w:rFonts w:ascii="Times New Roman" w:hAnsi="Times New Roman"/>
                <w:b/>
                <w:sz w:val="24"/>
                <w:szCs w:val="24"/>
              </w:rPr>
            </w:pPr>
            <w:r w:rsidRPr="00DB4A2D">
              <w:rPr>
                <w:rFonts w:ascii="Times New Roman" w:hAnsi="Times New Roman"/>
                <w:b/>
                <w:sz w:val="24"/>
                <w:szCs w:val="24"/>
              </w:rPr>
              <w:t>3. Finansiālā ietekme:</w:t>
            </w:r>
          </w:p>
        </w:tc>
        <w:tc>
          <w:tcPr>
            <w:tcW w:w="1522" w:type="dxa"/>
          </w:tcPr>
          <w:p w:rsidR="00BE0264" w:rsidRPr="00DB4A2D" w:rsidRDefault="00BE0264" w:rsidP="000105A1">
            <w:pPr>
              <w:pStyle w:val="naisf"/>
              <w:spacing w:before="0" w:beforeAutospacing="0" w:after="0" w:afterAutospacing="0"/>
              <w:jc w:val="center"/>
              <w:rPr>
                <w:b/>
              </w:rPr>
            </w:pPr>
            <w:r w:rsidRPr="00DB4A2D">
              <w:rPr>
                <w:b/>
              </w:rPr>
              <w:t>-408 €</w:t>
            </w:r>
          </w:p>
          <w:p w:rsidR="00BE0264" w:rsidRPr="00DB4A2D" w:rsidRDefault="00BE0264" w:rsidP="000105A1">
            <w:pPr>
              <w:pStyle w:val="naisf"/>
              <w:spacing w:before="0" w:beforeAutospacing="0" w:after="0" w:afterAutospacing="0"/>
              <w:jc w:val="center"/>
            </w:pPr>
            <w:r w:rsidRPr="00DB4A2D">
              <w:rPr>
                <w:b/>
              </w:rPr>
              <w:t>(-287 Ls)</w:t>
            </w:r>
          </w:p>
        </w:tc>
        <w:tc>
          <w:tcPr>
            <w:tcW w:w="1197" w:type="dxa"/>
          </w:tcPr>
          <w:p w:rsidR="00BE0264" w:rsidRPr="00DB4A2D" w:rsidRDefault="00BE0264" w:rsidP="000105A1">
            <w:pPr>
              <w:pStyle w:val="naisf"/>
              <w:spacing w:before="0" w:beforeAutospacing="0" w:after="0" w:afterAutospacing="0"/>
              <w:jc w:val="center"/>
            </w:pPr>
          </w:p>
          <w:p w:rsidR="00BE0264" w:rsidRPr="00DB4A2D" w:rsidRDefault="00BE0264" w:rsidP="000105A1">
            <w:pPr>
              <w:pStyle w:val="naisf"/>
              <w:spacing w:before="0" w:beforeAutospacing="0" w:after="0" w:afterAutospacing="0"/>
              <w:jc w:val="center"/>
            </w:pPr>
            <w:r w:rsidRPr="00DB4A2D">
              <w:t>0</w:t>
            </w:r>
          </w:p>
        </w:tc>
        <w:tc>
          <w:tcPr>
            <w:tcW w:w="1212" w:type="dxa"/>
          </w:tcPr>
          <w:p w:rsidR="00BE0264" w:rsidRPr="00DB4A2D" w:rsidRDefault="00BE0264" w:rsidP="000105A1">
            <w:pPr>
              <w:pStyle w:val="naisf"/>
              <w:spacing w:before="0" w:beforeAutospacing="0" w:after="0" w:afterAutospacing="0"/>
              <w:jc w:val="center"/>
              <w:rPr>
                <w:b/>
              </w:rPr>
            </w:pPr>
            <w:r w:rsidRPr="00DB4A2D">
              <w:rPr>
                <w:b/>
              </w:rPr>
              <w:t>-244 €</w:t>
            </w:r>
          </w:p>
          <w:p w:rsidR="00BE0264" w:rsidRPr="00DB4A2D" w:rsidRDefault="00BE0264" w:rsidP="000105A1">
            <w:pPr>
              <w:pStyle w:val="naisf"/>
              <w:spacing w:before="0" w:beforeAutospacing="0" w:after="0" w:afterAutospacing="0"/>
              <w:jc w:val="center"/>
              <w:rPr>
                <w:b/>
              </w:rPr>
            </w:pPr>
            <w:r w:rsidRPr="00DB4A2D">
              <w:rPr>
                <w:b/>
              </w:rPr>
              <w:t>(-171 Ls)</w:t>
            </w:r>
          </w:p>
          <w:p w:rsidR="00BE0264" w:rsidRPr="00DB4A2D" w:rsidRDefault="00BE0264" w:rsidP="000105A1">
            <w:pPr>
              <w:pStyle w:val="naisf"/>
              <w:spacing w:before="0" w:beforeAutospacing="0" w:after="0" w:afterAutospacing="0"/>
              <w:jc w:val="center"/>
              <w:rPr>
                <w:b/>
              </w:rPr>
            </w:pPr>
          </w:p>
        </w:tc>
        <w:tc>
          <w:tcPr>
            <w:tcW w:w="1150" w:type="dxa"/>
          </w:tcPr>
          <w:p w:rsidR="00BE0264" w:rsidRPr="00DB4A2D" w:rsidRDefault="00BE0264" w:rsidP="000105A1">
            <w:pPr>
              <w:pStyle w:val="naisf"/>
              <w:spacing w:before="0" w:beforeAutospacing="0" w:after="0" w:afterAutospacing="0"/>
              <w:jc w:val="center"/>
              <w:rPr>
                <w:b/>
              </w:rPr>
            </w:pPr>
            <w:r w:rsidRPr="00DB4A2D">
              <w:rPr>
                <w:b/>
              </w:rPr>
              <w:t>-</w:t>
            </w:r>
            <w:r w:rsidRPr="00DB4A2D" w:rsidDel="00B27EC0">
              <w:rPr>
                <w:b/>
              </w:rPr>
              <w:t xml:space="preserve"> </w:t>
            </w:r>
            <w:r w:rsidRPr="00DB4A2D">
              <w:rPr>
                <w:b/>
              </w:rPr>
              <w:t>163 €</w:t>
            </w:r>
          </w:p>
          <w:p w:rsidR="00BE0264" w:rsidRPr="00DB4A2D" w:rsidRDefault="00BE0264" w:rsidP="000105A1">
            <w:pPr>
              <w:pStyle w:val="naisf"/>
              <w:spacing w:before="0" w:beforeAutospacing="0" w:after="0" w:afterAutospacing="0"/>
              <w:jc w:val="center"/>
              <w:rPr>
                <w:b/>
              </w:rPr>
            </w:pPr>
            <w:r w:rsidRPr="00DB4A2D">
              <w:rPr>
                <w:b/>
              </w:rPr>
              <w:t>(-114 Ls)</w:t>
            </w:r>
          </w:p>
          <w:p w:rsidR="00BE0264" w:rsidRPr="00DB4A2D" w:rsidRDefault="00BE0264" w:rsidP="000105A1">
            <w:pPr>
              <w:pStyle w:val="naisf"/>
              <w:spacing w:before="0" w:beforeAutospacing="0" w:after="0" w:afterAutospacing="0"/>
              <w:jc w:val="center"/>
              <w:rPr>
                <w:b/>
              </w:rPr>
            </w:pPr>
          </w:p>
        </w:tc>
        <w:tc>
          <w:tcPr>
            <w:tcW w:w="1804" w:type="dxa"/>
          </w:tcPr>
          <w:p w:rsidR="00BE0264" w:rsidRPr="00DB4A2D" w:rsidRDefault="00BE0264" w:rsidP="000105A1">
            <w:pPr>
              <w:pStyle w:val="naisf"/>
              <w:spacing w:before="0" w:beforeAutospacing="0" w:after="0" w:afterAutospacing="0"/>
              <w:jc w:val="center"/>
              <w:rPr>
                <w:b/>
              </w:rPr>
            </w:pPr>
          </w:p>
          <w:p w:rsidR="00BE0264" w:rsidRPr="00DB4A2D" w:rsidRDefault="00BE0264" w:rsidP="000105A1">
            <w:pPr>
              <w:pStyle w:val="naisf"/>
              <w:spacing w:before="0" w:beforeAutospacing="0" w:after="0" w:afterAutospacing="0"/>
              <w:jc w:val="center"/>
              <w:rPr>
                <w:b/>
              </w:rPr>
            </w:pPr>
            <w:r w:rsidRPr="00DB4A2D">
              <w:rPr>
                <w:b/>
              </w:rPr>
              <w:t>0</w:t>
            </w:r>
          </w:p>
        </w:tc>
      </w:tr>
      <w:tr w:rsidR="00BE0264" w:rsidRPr="00DB4A2D" w:rsidTr="000105A1">
        <w:trPr>
          <w:jc w:val="center"/>
        </w:trPr>
        <w:tc>
          <w:tcPr>
            <w:tcW w:w="3281" w:type="dxa"/>
          </w:tcPr>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3.1. valsts pamatbudžets</w:t>
            </w:r>
          </w:p>
        </w:tc>
        <w:tc>
          <w:tcPr>
            <w:tcW w:w="1522" w:type="dxa"/>
          </w:tcPr>
          <w:p w:rsidR="00BE0264" w:rsidRPr="00DB4A2D" w:rsidRDefault="00BE0264" w:rsidP="000105A1">
            <w:pPr>
              <w:pStyle w:val="naisf"/>
              <w:spacing w:before="0" w:beforeAutospacing="0" w:after="0" w:afterAutospacing="0"/>
              <w:jc w:val="center"/>
            </w:pPr>
            <w:r w:rsidRPr="00DB4A2D">
              <w:t>- 188 €</w:t>
            </w:r>
          </w:p>
          <w:p w:rsidR="00BE0264" w:rsidRPr="00DB4A2D" w:rsidRDefault="00BE0264" w:rsidP="000105A1">
            <w:pPr>
              <w:pStyle w:val="naisf"/>
              <w:spacing w:before="0" w:beforeAutospacing="0" w:after="0" w:afterAutospacing="0"/>
            </w:pPr>
            <w:r w:rsidRPr="00DB4A2D">
              <w:t>(- 132 Ls)</w:t>
            </w:r>
          </w:p>
          <w:p w:rsidR="00BE0264" w:rsidRPr="00DB4A2D" w:rsidRDefault="00BE0264" w:rsidP="000105A1">
            <w:pPr>
              <w:pStyle w:val="naisf"/>
              <w:spacing w:before="0" w:beforeAutospacing="0" w:after="0" w:afterAutospacing="0"/>
              <w:jc w:val="center"/>
            </w:pPr>
          </w:p>
        </w:tc>
        <w:tc>
          <w:tcPr>
            <w:tcW w:w="1197" w:type="dxa"/>
          </w:tcPr>
          <w:p w:rsidR="00BE0264" w:rsidRPr="00DB4A2D" w:rsidRDefault="00BE0264" w:rsidP="000105A1">
            <w:pPr>
              <w:pStyle w:val="naisf"/>
              <w:spacing w:before="0" w:beforeAutospacing="0" w:after="0" w:afterAutospacing="0"/>
              <w:jc w:val="center"/>
            </w:pPr>
          </w:p>
          <w:p w:rsidR="00BE0264" w:rsidRPr="00DB4A2D" w:rsidRDefault="00BE0264" w:rsidP="000105A1">
            <w:pPr>
              <w:pStyle w:val="naisf"/>
              <w:spacing w:before="0" w:beforeAutospacing="0" w:after="0" w:afterAutospacing="0"/>
              <w:jc w:val="center"/>
            </w:pPr>
            <w:r w:rsidRPr="00DB4A2D">
              <w:t>0</w:t>
            </w:r>
          </w:p>
        </w:tc>
        <w:tc>
          <w:tcPr>
            <w:tcW w:w="1212" w:type="dxa"/>
          </w:tcPr>
          <w:p w:rsidR="00BE0264" w:rsidRPr="00DB4A2D" w:rsidRDefault="00BE0264" w:rsidP="000105A1">
            <w:pPr>
              <w:pStyle w:val="naisf"/>
              <w:spacing w:before="0" w:beforeAutospacing="0" w:after="0" w:afterAutospacing="0"/>
              <w:jc w:val="center"/>
            </w:pPr>
            <w:r w:rsidRPr="00DB4A2D">
              <w:t>- 112 €</w:t>
            </w:r>
          </w:p>
          <w:p w:rsidR="00BE0264" w:rsidRPr="00DB4A2D" w:rsidRDefault="00BE0264" w:rsidP="000105A1">
            <w:pPr>
              <w:pStyle w:val="naisf"/>
              <w:spacing w:before="0" w:beforeAutospacing="0" w:after="0" w:afterAutospacing="0"/>
              <w:jc w:val="center"/>
            </w:pPr>
            <w:r w:rsidRPr="00DB4A2D">
              <w:t>(-79 Ls)</w:t>
            </w:r>
          </w:p>
        </w:tc>
        <w:tc>
          <w:tcPr>
            <w:tcW w:w="1150" w:type="dxa"/>
          </w:tcPr>
          <w:p w:rsidR="00BE0264" w:rsidRPr="00DB4A2D" w:rsidRDefault="00BE0264" w:rsidP="000105A1">
            <w:pPr>
              <w:pStyle w:val="naisf"/>
              <w:spacing w:before="0" w:beforeAutospacing="0" w:after="0" w:afterAutospacing="0"/>
              <w:jc w:val="center"/>
            </w:pPr>
            <w:r w:rsidRPr="00DB4A2D">
              <w:t>- 75 €</w:t>
            </w:r>
          </w:p>
          <w:p w:rsidR="00BE0264" w:rsidRPr="00DB4A2D" w:rsidRDefault="00BE0264" w:rsidP="000105A1">
            <w:pPr>
              <w:pStyle w:val="naisf"/>
              <w:spacing w:before="0" w:beforeAutospacing="0" w:after="0" w:afterAutospacing="0"/>
              <w:jc w:val="center"/>
            </w:pPr>
            <w:r w:rsidRPr="00DB4A2D">
              <w:t>(-53 Ls)</w:t>
            </w:r>
          </w:p>
          <w:p w:rsidR="00BE0264" w:rsidRPr="00DB4A2D" w:rsidRDefault="00BE0264" w:rsidP="000105A1">
            <w:pPr>
              <w:pStyle w:val="naisf"/>
              <w:spacing w:before="0" w:beforeAutospacing="0" w:after="0" w:afterAutospacing="0"/>
              <w:jc w:val="center"/>
            </w:pPr>
          </w:p>
        </w:tc>
        <w:tc>
          <w:tcPr>
            <w:tcW w:w="1804" w:type="dxa"/>
          </w:tcPr>
          <w:p w:rsidR="00BE0264" w:rsidRPr="00DB4A2D" w:rsidRDefault="00BE0264" w:rsidP="000105A1">
            <w:pPr>
              <w:pStyle w:val="naisf"/>
              <w:spacing w:before="0" w:beforeAutospacing="0" w:after="0" w:afterAutospacing="0"/>
              <w:jc w:val="center"/>
            </w:pPr>
          </w:p>
          <w:p w:rsidR="00BE0264" w:rsidRPr="00DB4A2D" w:rsidRDefault="00BE0264" w:rsidP="000105A1">
            <w:pPr>
              <w:pStyle w:val="naisf"/>
              <w:spacing w:before="0" w:beforeAutospacing="0" w:after="0" w:afterAutospacing="0"/>
              <w:jc w:val="center"/>
            </w:pPr>
            <w:r w:rsidRPr="00DB4A2D">
              <w:t>0</w:t>
            </w:r>
          </w:p>
        </w:tc>
      </w:tr>
      <w:tr w:rsidR="00BE0264" w:rsidRPr="00DB4A2D" w:rsidTr="000105A1">
        <w:trPr>
          <w:jc w:val="center"/>
        </w:trPr>
        <w:tc>
          <w:tcPr>
            <w:tcW w:w="3281" w:type="dxa"/>
          </w:tcPr>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3.2. speciālais budžets</w:t>
            </w:r>
          </w:p>
        </w:tc>
        <w:tc>
          <w:tcPr>
            <w:tcW w:w="1522" w:type="dxa"/>
          </w:tcPr>
          <w:p w:rsidR="00BE0264" w:rsidRPr="00DB4A2D" w:rsidRDefault="00BE0264" w:rsidP="000105A1">
            <w:pPr>
              <w:pStyle w:val="naisf"/>
              <w:spacing w:before="0" w:beforeAutospacing="0" w:after="0" w:afterAutospacing="0"/>
              <w:jc w:val="center"/>
            </w:pPr>
            <w:r w:rsidRPr="00DB4A2D">
              <w:t>-110 €</w:t>
            </w:r>
          </w:p>
          <w:p w:rsidR="00BE0264" w:rsidRPr="00DB4A2D" w:rsidRDefault="00BE0264" w:rsidP="000105A1">
            <w:pPr>
              <w:pStyle w:val="naisf"/>
              <w:spacing w:before="0" w:beforeAutospacing="0" w:after="0" w:afterAutospacing="0"/>
              <w:jc w:val="center"/>
            </w:pPr>
            <w:r w:rsidRPr="00DB4A2D">
              <w:t>(-77 Ls)</w:t>
            </w:r>
          </w:p>
        </w:tc>
        <w:tc>
          <w:tcPr>
            <w:tcW w:w="1197" w:type="dxa"/>
          </w:tcPr>
          <w:p w:rsidR="00BE0264" w:rsidRPr="00DB4A2D" w:rsidRDefault="00BE0264" w:rsidP="000105A1">
            <w:pPr>
              <w:pStyle w:val="naisf"/>
              <w:spacing w:before="0" w:beforeAutospacing="0" w:after="0" w:afterAutospacing="0"/>
              <w:jc w:val="center"/>
            </w:pPr>
            <w:r w:rsidRPr="00DB4A2D">
              <w:t>0</w:t>
            </w:r>
          </w:p>
        </w:tc>
        <w:tc>
          <w:tcPr>
            <w:tcW w:w="1212" w:type="dxa"/>
          </w:tcPr>
          <w:p w:rsidR="00BE0264" w:rsidRPr="00DB4A2D" w:rsidRDefault="00BE0264" w:rsidP="000105A1">
            <w:pPr>
              <w:pStyle w:val="naisf"/>
              <w:spacing w:before="0" w:beforeAutospacing="0" w:after="0" w:afterAutospacing="0"/>
              <w:jc w:val="center"/>
            </w:pPr>
            <w:r w:rsidRPr="00DB4A2D">
              <w:t>-66 €</w:t>
            </w:r>
          </w:p>
          <w:p w:rsidR="00BE0264" w:rsidRPr="00DB4A2D" w:rsidRDefault="00BE0264" w:rsidP="000105A1">
            <w:pPr>
              <w:pStyle w:val="naisf"/>
              <w:spacing w:before="0" w:beforeAutospacing="0" w:after="0" w:afterAutospacing="0"/>
              <w:jc w:val="center"/>
            </w:pPr>
            <w:r w:rsidRPr="00DB4A2D">
              <w:t>(-46 Ls)</w:t>
            </w:r>
          </w:p>
        </w:tc>
        <w:tc>
          <w:tcPr>
            <w:tcW w:w="1150" w:type="dxa"/>
          </w:tcPr>
          <w:p w:rsidR="00BE0264" w:rsidRPr="00DB4A2D" w:rsidRDefault="00BE0264" w:rsidP="000105A1">
            <w:pPr>
              <w:pStyle w:val="naisf"/>
              <w:spacing w:before="0" w:beforeAutospacing="0" w:after="0" w:afterAutospacing="0"/>
              <w:jc w:val="center"/>
            </w:pPr>
            <w:r w:rsidRPr="00DB4A2D">
              <w:t>-44 €</w:t>
            </w:r>
          </w:p>
          <w:p w:rsidR="00BE0264" w:rsidRPr="00DB4A2D" w:rsidRDefault="00BE0264" w:rsidP="000105A1">
            <w:pPr>
              <w:pStyle w:val="naisf"/>
              <w:spacing w:before="0" w:beforeAutospacing="0" w:after="0" w:afterAutospacing="0"/>
              <w:jc w:val="center"/>
            </w:pPr>
            <w:r w:rsidRPr="00DB4A2D">
              <w:t>(-31 Ls)</w:t>
            </w:r>
          </w:p>
        </w:tc>
        <w:tc>
          <w:tcPr>
            <w:tcW w:w="1804" w:type="dxa"/>
          </w:tcPr>
          <w:p w:rsidR="00BE0264" w:rsidRPr="00DB4A2D" w:rsidRDefault="00BE0264" w:rsidP="000105A1">
            <w:pPr>
              <w:pStyle w:val="naisf"/>
              <w:spacing w:before="0" w:beforeAutospacing="0" w:after="0" w:afterAutospacing="0"/>
              <w:jc w:val="center"/>
            </w:pPr>
            <w:r w:rsidRPr="00DB4A2D">
              <w:t>0</w:t>
            </w:r>
          </w:p>
        </w:tc>
      </w:tr>
      <w:tr w:rsidR="00BE0264" w:rsidRPr="00DB4A2D" w:rsidTr="000105A1">
        <w:trPr>
          <w:jc w:val="center"/>
        </w:trPr>
        <w:tc>
          <w:tcPr>
            <w:tcW w:w="3281" w:type="dxa"/>
          </w:tcPr>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 xml:space="preserve">3.3. pašvaldību budžets </w:t>
            </w:r>
          </w:p>
        </w:tc>
        <w:tc>
          <w:tcPr>
            <w:tcW w:w="1522" w:type="dxa"/>
          </w:tcPr>
          <w:p w:rsidR="00BE0264" w:rsidRPr="00DB4A2D" w:rsidRDefault="00BE0264" w:rsidP="000105A1">
            <w:pPr>
              <w:pStyle w:val="naisf"/>
              <w:spacing w:before="0" w:beforeAutospacing="0" w:after="0" w:afterAutospacing="0"/>
              <w:jc w:val="center"/>
            </w:pPr>
            <w:r w:rsidRPr="00DB4A2D">
              <w:t>-110 €</w:t>
            </w:r>
          </w:p>
          <w:p w:rsidR="00BE0264" w:rsidRPr="00DB4A2D" w:rsidRDefault="00BE0264" w:rsidP="000105A1">
            <w:pPr>
              <w:pStyle w:val="naisf"/>
              <w:spacing w:before="0" w:beforeAutospacing="0" w:after="0" w:afterAutospacing="0"/>
              <w:jc w:val="center"/>
            </w:pPr>
            <w:r w:rsidRPr="00DB4A2D">
              <w:t>(-77 Ls)</w:t>
            </w:r>
          </w:p>
          <w:p w:rsidR="00BE0264" w:rsidRPr="00DB4A2D" w:rsidRDefault="00BE0264" w:rsidP="000105A1">
            <w:pPr>
              <w:pStyle w:val="naisf"/>
              <w:spacing w:before="0" w:beforeAutospacing="0" w:after="0" w:afterAutospacing="0"/>
              <w:jc w:val="center"/>
            </w:pPr>
          </w:p>
        </w:tc>
        <w:tc>
          <w:tcPr>
            <w:tcW w:w="1197" w:type="dxa"/>
          </w:tcPr>
          <w:p w:rsidR="00BE0264" w:rsidRPr="00DB4A2D" w:rsidRDefault="00BE0264" w:rsidP="000105A1">
            <w:pPr>
              <w:pStyle w:val="naisf"/>
              <w:spacing w:before="0" w:beforeAutospacing="0" w:after="0" w:afterAutospacing="0"/>
              <w:jc w:val="center"/>
            </w:pPr>
            <w:r w:rsidRPr="00DB4A2D">
              <w:t>0</w:t>
            </w:r>
          </w:p>
        </w:tc>
        <w:tc>
          <w:tcPr>
            <w:tcW w:w="1212" w:type="dxa"/>
          </w:tcPr>
          <w:p w:rsidR="00BE0264" w:rsidRPr="00DB4A2D" w:rsidRDefault="00BE0264" w:rsidP="000105A1">
            <w:pPr>
              <w:pStyle w:val="naisf"/>
              <w:spacing w:before="0" w:beforeAutospacing="0" w:after="0" w:afterAutospacing="0"/>
              <w:jc w:val="center"/>
            </w:pPr>
            <w:r w:rsidRPr="00DB4A2D" w:rsidDel="00B27EC0">
              <w:t xml:space="preserve"> </w:t>
            </w:r>
            <w:r w:rsidRPr="00DB4A2D">
              <w:t>-66 €</w:t>
            </w:r>
          </w:p>
          <w:p w:rsidR="00BE0264" w:rsidRPr="00DB4A2D" w:rsidRDefault="00BE0264" w:rsidP="000105A1">
            <w:pPr>
              <w:pStyle w:val="naisf"/>
              <w:spacing w:before="0" w:beforeAutospacing="0" w:after="0" w:afterAutospacing="0"/>
              <w:jc w:val="center"/>
            </w:pPr>
            <w:r w:rsidRPr="00DB4A2D">
              <w:t>(-46 Ls)</w:t>
            </w:r>
          </w:p>
          <w:p w:rsidR="00BE0264" w:rsidRPr="00DB4A2D" w:rsidRDefault="00BE0264" w:rsidP="000105A1">
            <w:pPr>
              <w:pStyle w:val="naisf"/>
              <w:spacing w:before="0" w:beforeAutospacing="0" w:after="0" w:afterAutospacing="0"/>
              <w:jc w:val="center"/>
            </w:pPr>
          </w:p>
        </w:tc>
        <w:tc>
          <w:tcPr>
            <w:tcW w:w="1150" w:type="dxa"/>
          </w:tcPr>
          <w:p w:rsidR="00BE0264" w:rsidRPr="00DB4A2D" w:rsidRDefault="00BE0264" w:rsidP="000105A1">
            <w:pPr>
              <w:pStyle w:val="naisf"/>
              <w:spacing w:before="0" w:beforeAutospacing="0" w:after="0" w:afterAutospacing="0"/>
              <w:jc w:val="center"/>
            </w:pPr>
            <w:r w:rsidRPr="00DB4A2D" w:rsidDel="00B27EC0">
              <w:t xml:space="preserve"> </w:t>
            </w:r>
            <w:r w:rsidRPr="00DB4A2D">
              <w:t>-44 €</w:t>
            </w:r>
          </w:p>
          <w:p w:rsidR="00BE0264" w:rsidRPr="00DB4A2D" w:rsidRDefault="00BE0264" w:rsidP="000105A1">
            <w:pPr>
              <w:pStyle w:val="naisf"/>
              <w:spacing w:before="0" w:beforeAutospacing="0" w:after="0" w:afterAutospacing="0"/>
              <w:jc w:val="center"/>
            </w:pPr>
            <w:r w:rsidRPr="00DB4A2D">
              <w:t>(-31 Ls)</w:t>
            </w:r>
          </w:p>
          <w:p w:rsidR="00BE0264" w:rsidRPr="00DB4A2D" w:rsidRDefault="00BE0264" w:rsidP="000105A1">
            <w:pPr>
              <w:pStyle w:val="naisf"/>
              <w:spacing w:before="0" w:beforeAutospacing="0" w:after="0" w:afterAutospacing="0"/>
              <w:jc w:val="center"/>
            </w:pPr>
          </w:p>
        </w:tc>
        <w:tc>
          <w:tcPr>
            <w:tcW w:w="1804" w:type="dxa"/>
          </w:tcPr>
          <w:p w:rsidR="00BE0264" w:rsidRPr="00DB4A2D" w:rsidRDefault="00BE0264" w:rsidP="000105A1">
            <w:pPr>
              <w:pStyle w:val="naisf"/>
              <w:spacing w:before="0" w:beforeAutospacing="0" w:after="0" w:afterAutospacing="0"/>
              <w:jc w:val="center"/>
            </w:pPr>
            <w:r w:rsidRPr="00DB4A2D">
              <w:t>0</w:t>
            </w:r>
          </w:p>
        </w:tc>
      </w:tr>
      <w:tr w:rsidR="00BE0264" w:rsidRPr="00DB4A2D" w:rsidTr="000105A1">
        <w:trPr>
          <w:jc w:val="center"/>
        </w:trPr>
        <w:tc>
          <w:tcPr>
            <w:tcW w:w="3281" w:type="dxa"/>
            <w:vMerge w:val="restart"/>
          </w:tcPr>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4. Finanšu līdzekļi papildu izdevumu finansēšanai (kompensējošu izdevumu samazinājumu norāda ar "+" zīmi)</w:t>
            </w:r>
          </w:p>
        </w:tc>
        <w:tc>
          <w:tcPr>
            <w:tcW w:w="1522" w:type="dxa"/>
            <w:vMerge w:val="restart"/>
          </w:tcPr>
          <w:p w:rsidR="00BE0264" w:rsidRPr="00DB4A2D" w:rsidRDefault="00BE0264" w:rsidP="000105A1">
            <w:pPr>
              <w:pStyle w:val="naisf"/>
              <w:spacing w:before="0" w:beforeAutospacing="0" w:after="0" w:afterAutospacing="0"/>
              <w:jc w:val="center"/>
              <w:rPr>
                <w:i/>
              </w:rPr>
            </w:pPr>
            <w:r w:rsidRPr="00DB4A2D">
              <w:t>X</w:t>
            </w:r>
          </w:p>
        </w:tc>
        <w:tc>
          <w:tcPr>
            <w:tcW w:w="1197"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212"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150"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804"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r>
      <w:tr w:rsidR="00BE0264" w:rsidRPr="00DB4A2D" w:rsidTr="000105A1">
        <w:trPr>
          <w:jc w:val="center"/>
        </w:trPr>
        <w:tc>
          <w:tcPr>
            <w:tcW w:w="3281" w:type="dxa"/>
            <w:vMerge/>
          </w:tcPr>
          <w:p w:rsidR="00BE0264" w:rsidRPr="00DB4A2D" w:rsidRDefault="00BE0264" w:rsidP="000105A1">
            <w:pPr>
              <w:spacing w:after="0" w:line="240" w:lineRule="auto"/>
              <w:rPr>
                <w:rFonts w:ascii="Times New Roman" w:hAnsi="Times New Roman"/>
                <w:sz w:val="24"/>
                <w:szCs w:val="24"/>
              </w:rPr>
            </w:pPr>
          </w:p>
        </w:tc>
        <w:tc>
          <w:tcPr>
            <w:tcW w:w="1522" w:type="dxa"/>
            <w:vMerge/>
          </w:tcPr>
          <w:p w:rsidR="00BE0264" w:rsidRPr="00DB4A2D" w:rsidRDefault="00BE0264" w:rsidP="000105A1">
            <w:pPr>
              <w:pStyle w:val="naisf"/>
              <w:spacing w:before="0" w:beforeAutospacing="0" w:after="0" w:afterAutospacing="0"/>
              <w:jc w:val="center"/>
              <w:rPr>
                <w:i/>
              </w:rPr>
            </w:pPr>
          </w:p>
        </w:tc>
        <w:tc>
          <w:tcPr>
            <w:tcW w:w="1197"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212"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150"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804"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r>
      <w:tr w:rsidR="00BE0264" w:rsidRPr="00DB4A2D" w:rsidTr="000105A1">
        <w:trPr>
          <w:jc w:val="center"/>
        </w:trPr>
        <w:tc>
          <w:tcPr>
            <w:tcW w:w="3281" w:type="dxa"/>
            <w:vMerge/>
          </w:tcPr>
          <w:p w:rsidR="00BE0264" w:rsidRPr="00DB4A2D" w:rsidRDefault="00BE0264" w:rsidP="000105A1">
            <w:pPr>
              <w:spacing w:after="0" w:line="240" w:lineRule="auto"/>
              <w:rPr>
                <w:rFonts w:ascii="Times New Roman" w:hAnsi="Times New Roman"/>
                <w:sz w:val="24"/>
                <w:szCs w:val="24"/>
              </w:rPr>
            </w:pPr>
          </w:p>
        </w:tc>
        <w:tc>
          <w:tcPr>
            <w:tcW w:w="1522" w:type="dxa"/>
            <w:vMerge/>
          </w:tcPr>
          <w:p w:rsidR="00BE0264" w:rsidRPr="00DB4A2D" w:rsidRDefault="00BE0264" w:rsidP="000105A1">
            <w:pPr>
              <w:pStyle w:val="naisf"/>
              <w:spacing w:before="0" w:beforeAutospacing="0" w:after="0" w:afterAutospacing="0"/>
              <w:jc w:val="center"/>
              <w:rPr>
                <w:i/>
              </w:rPr>
            </w:pPr>
          </w:p>
        </w:tc>
        <w:tc>
          <w:tcPr>
            <w:tcW w:w="1197"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212"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150"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804"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r>
      <w:tr w:rsidR="00BE0264" w:rsidRPr="00DB4A2D" w:rsidTr="000105A1">
        <w:trPr>
          <w:jc w:val="center"/>
        </w:trPr>
        <w:tc>
          <w:tcPr>
            <w:tcW w:w="3281" w:type="dxa"/>
          </w:tcPr>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5. Precizēta finansiālā ietekme:</w:t>
            </w:r>
          </w:p>
        </w:tc>
        <w:tc>
          <w:tcPr>
            <w:tcW w:w="1522" w:type="dxa"/>
            <w:vMerge w:val="restart"/>
          </w:tcPr>
          <w:p w:rsidR="00BE0264" w:rsidRPr="00DB4A2D" w:rsidRDefault="00BE0264" w:rsidP="000105A1">
            <w:pPr>
              <w:pStyle w:val="naisf"/>
              <w:spacing w:before="0" w:beforeAutospacing="0" w:after="0" w:afterAutospacing="0"/>
              <w:jc w:val="center"/>
              <w:rPr>
                <w:i/>
              </w:rPr>
            </w:pPr>
            <w:r w:rsidRPr="00DB4A2D">
              <w:t>X</w:t>
            </w:r>
          </w:p>
        </w:tc>
        <w:tc>
          <w:tcPr>
            <w:tcW w:w="1197"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212"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150"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804"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r>
      <w:tr w:rsidR="00BE0264" w:rsidRPr="00DB4A2D" w:rsidTr="000105A1">
        <w:trPr>
          <w:jc w:val="center"/>
        </w:trPr>
        <w:tc>
          <w:tcPr>
            <w:tcW w:w="3281" w:type="dxa"/>
          </w:tcPr>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5.1. valsts pamatbudžets</w:t>
            </w:r>
          </w:p>
        </w:tc>
        <w:tc>
          <w:tcPr>
            <w:tcW w:w="1522" w:type="dxa"/>
            <w:vMerge/>
            <w:vAlign w:val="center"/>
          </w:tcPr>
          <w:p w:rsidR="00BE0264" w:rsidRPr="00DB4A2D" w:rsidRDefault="00BE0264" w:rsidP="000105A1">
            <w:pPr>
              <w:pStyle w:val="naisf"/>
              <w:spacing w:before="0" w:beforeAutospacing="0" w:after="0" w:afterAutospacing="0"/>
              <w:jc w:val="center"/>
              <w:rPr>
                <w:i/>
              </w:rPr>
            </w:pPr>
          </w:p>
        </w:tc>
        <w:tc>
          <w:tcPr>
            <w:tcW w:w="1197"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212"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150"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804"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r>
      <w:tr w:rsidR="00BE0264" w:rsidRPr="00DB4A2D" w:rsidTr="000105A1">
        <w:trPr>
          <w:jc w:val="center"/>
        </w:trPr>
        <w:tc>
          <w:tcPr>
            <w:tcW w:w="3281" w:type="dxa"/>
          </w:tcPr>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5.2. speciālais budžets</w:t>
            </w:r>
          </w:p>
        </w:tc>
        <w:tc>
          <w:tcPr>
            <w:tcW w:w="1522" w:type="dxa"/>
            <w:vMerge/>
            <w:vAlign w:val="center"/>
          </w:tcPr>
          <w:p w:rsidR="00BE0264" w:rsidRPr="00DB4A2D" w:rsidRDefault="00BE0264" w:rsidP="000105A1">
            <w:pPr>
              <w:pStyle w:val="naisf"/>
              <w:spacing w:before="0" w:beforeAutospacing="0" w:after="0" w:afterAutospacing="0"/>
              <w:jc w:val="center"/>
              <w:rPr>
                <w:i/>
              </w:rPr>
            </w:pPr>
          </w:p>
        </w:tc>
        <w:tc>
          <w:tcPr>
            <w:tcW w:w="1197"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212"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150"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804"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r>
      <w:tr w:rsidR="00BE0264" w:rsidRPr="00DB4A2D" w:rsidTr="000105A1">
        <w:trPr>
          <w:jc w:val="center"/>
        </w:trPr>
        <w:tc>
          <w:tcPr>
            <w:tcW w:w="3281" w:type="dxa"/>
          </w:tcPr>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 xml:space="preserve">5.3. pašvaldību budžets </w:t>
            </w:r>
          </w:p>
        </w:tc>
        <w:tc>
          <w:tcPr>
            <w:tcW w:w="1522" w:type="dxa"/>
            <w:vMerge/>
            <w:vAlign w:val="center"/>
          </w:tcPr>
          <w:p w:rsidR="00BE0264" w:rsidRPr="00DB4A2D" w:rsidRDefault="00BE0264" w:rsidP="000105A1">
            <w:pPr>
              <w:pStyle w:val="naisf"/>
              <w:spacing w:before="0" w:beforeAutospacing="0" w:after="0" w:afterAutospacing="0"/>
              <w:jc w:val="center"/>
              <w:rPr>
                <w:i/>
              </w:rPr>
            </w:pPr>
          </w:p>
        </w:tc>
        <w:tc>
          <w:tcPr>
            <w:tcW w:w="1197"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212"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150"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804" w:type="dxa"/>
            <w:vAlign w:val="center"/>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r>
      <w:tr w:rsidR="00BE0264" w:rsidRPr="00DB4A2D" w:rsidTr="000105A1">
        <w:trPr>
          <w:jc w:val="center"/>
        </w:trPr>
        <w:tc>
          <w:tcPr>
            <w:tcW w:w="3281" w:type="dxa"/>
          </w:tcPr>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6. Detalizēts ieņēmumu un izdevumu aprēķins (ja nepieciešams, detalizētu ieņēmumu un izdevumu aprēķinu var pievienot anotācijas pielikumā):</w:t>
            </w:r>
          </w:p>
        </w:tc>
        <w:tc>
          <w:tcPr>
            <w:tcW w:w="1522" w:type="dxa"/>
          </w:tcPr>
          <w:p w:rsidR="00BE0264" w:rsidRPr="00DB4A2D" w:rsidRDefault="00BE0264" w:rsidP="000105A1">
            <w:pPr>
              <w:jc w:val="center"/>
              <w:rPr>
                <w:rFonts w:ascii="Times New Roman" w:hAnsi="Times New Roman"/>
                <w:sz w:val="24"/>
                <w:szCs w:val="24"/>
              </w:rPr>
            </w:pPr>
            <w:r w:rsidRPr="00DB4A2D">
              <w:rPr>
                <w:rFonts w:ascii="Times New Roman" w:hAnsi="Times New Roman"/>
                <w:sz w:val="24"/>
                <w:szCs w:val="24"/>
              </w:rPr>
              <w:t>0</w:t>
            </w:r>
          </w:p>
        </w:tc>
        <w:tc>
          <w:tcPr>
            <w:tcW w:w="1197" w:type="dxa"/>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212" w:type="dxa"/>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150" w:type="dxa"/>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804" w:type="dxa"/>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r>
      <w:tr w:rsidR="00BE0264" w:rsidRPr="00DB4A2D" w:rsidTr="000105A1">
        <w:trPr>
          <w:trHeight w:val="132"/>
          <w:jc w:val="center"/>
        </w:trPr>
        <w:tc>
          <w:tcPr>
            <w:tcW w:w="3281" w:type="dxa"/>
          </w:tcPr>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 xml:space="preserve">6.1. </w:t>
            </w:r>
            <w:r w:rsidRPr="00DB4A2D">
              <w:rPr>
                <w:rFonts w:ascii="Times New Roman" w:hAnsi="Times New Roman"/>
                <w:b/>
                <w:sz w:val="24"/>
                <w:szCs w:val="24"/>
              </w:rPr>
              <w:t>Valsts budžeta iestāžu atbalstāmie  projekti</w:t>
            </w:r>
            <w:r w:rsidRPr="00DB4A2D">
              <w:rPr>
                <w:rFonts w:ascii="Times New Roman" w:hAnsi="Times New Roman"/>
                <w:sz w:val="24"/>
                <w:szCs w:val="24"/>
              </w:rPr>
              <w:t xml:space="preserve"> (tai skaitā): </w:t>
            </w: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 xml:space="preserve">EEZ FI līdzfinansējuma daļa </w:t>
            </w: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LV programmas līdzfinansējums</w:t>
            </w: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Līdzfinansējuma saņēmēja projekta līdzfinansējums</w:t>
            </w:r>
          </w:p>
        </w:tc>
        <w:tc>
          <w:tcPr>
            <w:tcW w:w="1522" w:type="dxa"/>
            <w:vAlign w:val="center"/>
          </w:tcPr>
          <w:p w:rsidR="00BE0264" w:rsidRPr="00DB4A2D" w:rsidRDefault="00BE0264" w:rsidP="000105A1">
            <w:pPr>
              <w:spacing w:after="0" w:line="240" w:lineRule="auto"/>
              <w:rPr>
                <w:rFonts w:ascii="Times New Roman" w:hAnsi="Times New Roman"/>
                <w:b/>
                <w:sz w:val="24"/>
                <w:szCs w:val="24"/>
              </w:rPr>
            </w:pPr>
            <w:r w:rsidRPr="00DB4A2D" w:rsidDel="00317981">
              <w:rPr>
                <w:rFonts w:ascii="Times New Roman" w:hAnsi="Times New Roman"/>
                <w:b/>
                <w:sz w:val="24"/>
                <w:szCs w:val="24"/>
              </w:rPr>
              <w:t xml:space="preserve"> </w:t>
            </w:r>
            <w:r w:rsidRPr="00DB4A2D">
              <w:rPr>
                <w:rFonts w:ascii="Times New Roman" w:hAnsi="Times New Roman"/>
                <w:b/>
                <w:sz w:val="24"/>
                <w:szCs w:val="24"/>
              </w:rPr>
              <w:t>735 €</w:t>
            </w:r>
          </w:p>
          <w:p w:rsidR="00BE0264" w:rsidRPr="00DB4A2D" w:rsidRDefault="00BE0264" w:rsidP="000105A1">
            <w:pPr>
              <w:spacing w:after="0" w:line="240" w:lineRule="auto"/>
              <w:rPr>
                <w:rFonts w:ascii="Times New Roman" w:hAnsi="Times New Roman"/>
                <w:b/>
                <w:sz w:val="24"/>
                <w:szCs w:val="24"/>
              </w:rPr>
            </w:pPr>
            <w:r w:rsidRPr="00DB4A2D">
              <w:rPr>
                <w:rFonts w:ascii="Times New Roman" w:hAnsi="Times New Roman"/>
                <w:b/>
                <w:sz w:val="24"/>
                <w:szCs w:val="24"/>
              </w:rPr>
              <w:t>(517 Ls)</w:t>
            </w:r>
          </w:p>
          <w:p w:rsidR="00BE0264" w:rsidRPr="00DB4A2D" w:rsidRDefault="00BE0264" w:rsidP="000105A1">
            <w:pPr>
              <w:spacing w:after="0" w:line="240" w:lineRule="auto"/>
              <w:rPr>
                <w:rFonts w:ascii="Times New Roman" w:hAnsi="Times New Roman"/>
                <w:b/>
                <w:sz w:val="24"/>
                <w:szCs w:val="24"/>
              </w:rPr>
            </w:pPr>
          </w:p>
          <w:p w:rsidR="00BE0264" w:rsidRPr="00DB4A2D" w:rsidRDefault="00BE0264" w:rsidP="000105A1">
            <w:pPr>
              <w:spacing w:after="0" w:line="240" w:lineRule="auto"/>
              <w:rPr>
                <w:rFonts w:ascii="Times New Roman" w:hAnsi="Times New Roman"/>
                <w:sz w:val="24"/>
                <w:szCs w:val="24"/>
              </w:rPr>
            </w:pPr>
            <w:r w:rsidRPr="00DB4A2D" w:rsidDel="00570CC1">
              <w:rPr>
                <w:rFonts w:ascii="Times New Roman" w:hAnsi="Times New Roman"/>
                <w:sz w:val="24"/>
                <w:szCs w:val="24"/>
              </w:rPr>
              <w:t xml:space="preserve"> </w:t>
            </w:r>
            <w:r w:rsidRPr="00DB4A2D">
              <w:rPr>
                <w:rFonts w:ascii="Times New Roman" w:hAnsi="Times New Roman"/>
                <w:sz w:val="24"/>
                <w:szCs w:val="24"/>
              </w:rPr>
              <w:t>578 €</w:t>
            </w: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(406 Ls)</w:t>
            </w:r>
          </w:p>
          <w:p w:rsidR="00BE0264" w:rsidRPr="00DB4A2D" w:rsidRDefault="00BE0264" w:rsidP="000105A1">
            <w:pPr>
              <w:spacing w:after="0" w:line="240" w:lineRule="auto"/>
              <w:rPr>
                <w:rFonts w:ascii="Times New Roman" w:hAnsi="Times New Roman"/>
                <w:b/>
                <w:sz w:val="24"/>
                <w:szCs w:val="24"/>
              </w:rPr>
            </w:pPr>
          </w:p>
          <w:p w:rsidR="00BE0264" w:rsidRPr="00DB4A2D" w:rsidRDefault="00BE0264" w:rsidP="000105A1">
            <w:pPr>
              <w:spacing w:after="0" w:line="240" w:lineRule="auto"/>
              <w:rPr>
                <w:rFonts w:ascii="Times New Roman" w:hAnsi="Times New Roman"/>
                <w:sz w:val="24"/>
                <w:szCs w:val="24"/>
              </w:rPr>
            </w:pPr>
            <w:r w:rsidRPr="00DB4A2D" w:rsidDel="00570CC1">
              <w:rPr>
                <w:rFonts w:ascii="Times New Roman" w:hAnsi="Times New Roman"/>
                <w:sz w:val="24"/>
                <w:szCs w:val="24"/>
              </w:rPr>
              <w:t xml:space="preserve"> </w:t>
            </w:r>
            <w:r w:rsidRPr="00DB4A2D">
              <w:rPr>
                <w:rFonts w:ascii="Times New Roman" w:hAnsi="Times New Roman"/>
                <w:sz w:val="24"/>
                <w:szCs w:val="24"/>
              </w:rPr>
              <w:t>47 €</w:t>
            </w: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(33 Ls)</w:t>
            </w:r>
          </w:p>
          <w:p w:rsidR="00BE0264" w:rsidRPr="00DB4A2D" w:rsidRDefault="00BE0264" w:rsidP="000105A1">
            <w:pPr>
              <w:rPr>
                <w:rFonts w:ascii="Times New Roman" w:hAnsi="Times New Roman"/>
                <w:sz w:val="24"/>
                <w:szCs w:val="24"/>
              </w:rPr>
            </w:pPr>
          </w:p>
          <w:p w:rsidR="00BE0264" w:rsidRPr="00DB4A2D" w:rsidRDefault="00BE0264" w:rsidP="000105A1">
            <w:pPr>
              <w:rPr>
                <w:rFonts w:ascii="Times New Roman" w:hAnsi="Times New Roman"/>
                <w:sz w:val="24"/>
                <w:szCs w:val="24"/>
              </w:rPr>
            </w:pPr>
            <w:r w:rsidRPr="00DB4A2D">
              <w:rPr>
                <w:rFonts w:ascii="Times New Roman" w:hAnsi="Times New Roman"/>
                <w:sz w:val="24"/>
                <w:szCs w:val="24"/>
              </w:rPr>
              <w:t>110 €</w:t>
            </w:r>
          </w:p>
          <w:p w:rsidR="00BE0264" w:rsidRPr="00DB4A2D" w:rsidRDefault="00BE0264" w:rsidP="000105A1">
            <w:pPr>
              <w:rPr>
                <w:rFonts w:ascii="Times New Roman" w:hAnsi="Times New Roman"/>
                <w:sz w:val="24"/>
                <w:szCs w:val="24"/>
              </w:rPr>
            </w:pPr>
            <w:r w:rsidRPr="00DB4A2D">
              <w:rPr>
                <w:rFonts w:ascii="Times New Roman" w:hAnsi="Times New Roman"/>
                <w:sz w:val="24"/>
                <w:szCs w:val="24"/>
              </w:rPr>
              <w:t>(77 Ls)</w:t>
            </w:r>
          </w:p>
          <w:p w:rsidR="00BE0264" w:rsidRPr="00DB4A2D" w:rsidRDefault="00BE0264" w:rsidP="000105A1">
            <w:pPr>
              <w:rPr>
                <w:rFonts w:ascii="Times New Roman" w:hAnsi="Times New Roman"/>
                <w:sz w:val="24"/>
                <w:szCs w:val="24"/>
              </w:rPr>
            </w:pPr>
          </w:p>
          <w:p w:rsidR="00BE0264" w:rsidRPr="00DB4A2D" w:rsidRDefault="00BE0264" w:rsidP="000105A1">
            <w:pPr>
              <w:rPr>
                <w:rFonts w:ascii="Times New Roman" w:hAnsi="Times New Roman"/>
                <w:sz w:val="24"/>
                <w:szCs w:val="24"/>
              </w:rPr>
            </w:pPr>
          </w:p>
        </w:tc>
        <w:tc>
          <w:tcPr>
            <w:tcW w:w="1197" w:type="dxa"/>
          </w:tcPr>
          <w:p w:rsidR="00BE0264" w:rsidRPr="00DB4A2D" w:rsidRDefault="00BE0264" w:rsidP="000105A1">
            <w:pPr>
              <w:spacing w:after="0" w:line="240" w:lineRule="auto"/>
              <w:jc w:val="center"/>
              <w:rPr>
                <w:rFonts w:ascii="Times New Roman" w:hAnsi="Times New Roman"/>
                <w:b/>
                <w:sz w:val="24"/>
                <w:szCs w:val="24"/>
              </w:rPr>
            </w:pPr>
            <w:r w:rsidRPr="00DB4A2D">
              <w:rPr>
                <w:rFonts w:ascii="Times New Roman" w:hAnsi="Times New Roman"/>
                <w:b/>
                <w:sz w:val="24"/>
                <w:szCs w:val="24"/>
              </w:rPr>
              <w:t>0</w:t>
            </w:r>
          </w:p>
          <w:p w:rsidR="00BE0264" w:rsidRPr="00DB4A2D" w:rsidRDefault="00BE0264" w:rsidP="000105A1">
            <w:pPr>
              <w:spacing w:after="0" w:line="240" w:lineRule="auto"/>
              <w:jc w:val="center"/>
              <w:rPr>
                <w:rFonts w:ascii="Times New Roman" w:hAnsi="Times New Roman"/>
                <w:b/>
                <w:sz w:val="24"/>
                <w:szCs w:val="24"/>
              </w:rPr>
            </w:pPr>
          </w:p>
          <w:p w:rsidR="00BE0264" w:rsidRPr="00DB4A2D" w:rsidRDefault="00BE0264" w:rsidP="000105A1">
            <w:pPr>
              <w:spacing w:after="0" w:line="240" w:lineRule="auto"/>
              <w:jc w:val="center"/>
              <w:rPr>
                <w:rFonts w:ascii="Times New Roman" w:hAnsi="Times New Roman"/>
                <w:b/>
                <w:sz w:val="24"/>
                <w:szCs w:val="24"/>
              </w:rPr>
            </w:pPr>
          </w:p>
          <w:p w:rsidR="00BE0264" w:rsidRPr="00DB4A2D" w:rsidRDefault="00BE0264" w:rsidP="000105A1">
            <w:pPr>
              <w:spacing w:after="0" w:line="240" w:lineRule="auto"/>
              <w:jc w:val="center"/>
              <w:rPr>
                <w:rFonts w:ascii="Times New Roman" w:hAnsi="Times New Roman"/>
                <w:b/>
                <w:sz w:val="24"/>
                <w:szCs w:val="24"/>
              </w:rPr>
            </w:pPr>
          </w:p>
          <w:p w:rsidR="00BE0264" w:rsidRPr="00DB4A2D" w:rsidRDefault="00BE0264" w:rsidP="000105A1">
            <w:pPr>
              <w:spacing w:after="0" w:line="240" w:lineRule="auto"/>
              <w:jc w:val="center"/>
              <w:rPr>
                <w:rFonts w:ascii="Times New Roman" w:hAnsi="Times New Roman"/>
                <w:b/>
                <w:sz w:val="24"/>
                <w:szCs w:val="24"/>
              </w:rPr>
            </w:pPr>
          </w:p>
        </w:tc>
        <w:tc>
          <w:tcPr>
            <w:tcW w:w="1212" w:type="dxa"/>
          </w:tcPr>
          <w:p w:rsidR="00BE0264" w:rsidRPr="00DB4A2D" w:rsidRDefault="00BE0264" w:rsidP="000105A1">
            <w:pPr>
              <w:spacing w:after="0" w:line="240" w:lineRule="auto"/>
              <w:rPr>
                <w:rFonts w:ascii="Times New Roman" w:hAnsi="Times New Roman"/>
                <w:b/>
                <w:sz w:val="24"/>
                <w:szCs w:val="24"/>
              </w:rPr>
            </w:pPr>
            <w:r w:rsidRPr="00DB4A2D">
              <w:rPr>
                <w:rFonts w:ascii="Times New Roman" w:hAnsi="Times New Roman"/>
                <w:b/>
                <w:sz w:val="24"/>
                <w:szCs w:val="24"/>
              </w:rPr>
              <w:t>441 €</w:t>
            </w:r>
          </w:p>
          <w:p w:rsidR="00BE0264" w:rsidRPr="00DB4A2D" w:rsidRDefault="00BE0264" w:rsidP="000105A1">
            <w:pPr>
              <w:spacing w:after="0" w:line="240" w:lineRule="auto"/>
              <w:rPr>
                <w:rFonts w:ascii="Times New Roman" w:hAnsi="Times New Roman"/>
                <w:b/>
                <w:sz w:val="24"/>
                <w:szCs w:val="24"/>
              </w:rPr>
            </w:pPr>
            <w:r w:rsidRPr="00DB4A2D">
              <w:rPr>
                <w:rFonts w:ascii="Times New Roman" w:hAnsi="Times New Roman"/>
                <w:b/>
                <w:sz w:val="24"/>
                <w:szCs w:val="24"/>
              </w:rPr>
              <w:t>(310 Ls)</w:t>
            </w:r>
          </w:p>
          <w:p w:rsidR="00BE0264" w:rsidRPr="00DB4A2D" w:rsidRDefault="00BE0264" w:rsidP="000105A1">
            <w:pPr>
              <w:spacing w:after="0" w:line="240" w:lineRule="auto"/>
              <w:rPr>
                <w:rFonts w:ascii="Times New Roman" w:hAnsi="Times New Roman"/>
                <w:b/>
                <w:sz w:val="24"/>
                <w:szCs w:val="24"/>
              </w:rPr>
            </w:pP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347 €</w:t>
            </w: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(244 Ls)</w:t>
            </w: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28 €</w:t>
            </w: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(20 Ls)</w:t>
            </w: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66 €</w:t>
            </w:r>
          </w:p>
          <w:p w:rsidR="00BE0264" w:rsidRPr="00DB4A2D" w:rsidRDefault="00BE0264" w:rsidP="000105A1">
            <w:pPr>
              <w:spacing w:after="0" w:line="240" w:lineRule="auto"/>
              <w:rPr>
                <w:rFonts w:ascii="Times New Roman" w:hAnsi="Times New Roman"/>
                <w:b/>
                <w:sz w:val="24"/>
                <w:szCs w:val="24"/>
              </w:rPr>
            </w:pPr>
            <w:r w:rsidRPr="00DB4A2D">
              <w:rPr>
                <w:rFonts w:ascii="Times New Roman" w:hAnsi="Times New Roman"/>
                <w:sz w:val="24"/>
                <w:szCs w:val="24"/>
              </w:rPr>
              <w:t>(46 Ls)</w:t>
            </w:r>
          </w:p>
          <w:p w:rsidR="00BE0264" w:rsidRPr="00DB4A2D" w:rsidRDefault="00BE0264" w:rsidP="000105A1">
            <w:pPr>
              <w:spacing w:after="0" w:line="240" w:lineRule="auto"/>
              <w:rPr>
                <w:rFonts w:ascii="Times New Roman" w:hAnsi="Times New Roman"/>
                <w:sz w:val="24"/>
                <w:szCs w:val="24"/>
              </w:rPr>
            </w:pPr>
          </w:p>
        </w:tc>
        <w:tc>
          <w:tcPr>
            <w:tcW w:w="1150" w:type="dxa"/>
          </w:tcPr>
          <w:p w:rsidR="00BE0264" w:rsidRPr="00DB4A2D" w:rsidRDefault="00BE0264" w:rsidP="000105A1">
            <w:pPr>
              <w:spacing w:after="0" w:line="240" w:lineRule="auto"/>
              <w:rPr>
                <w:rFonts w:ascii="Times New Roman" w:hAnsi="Times New Roman"/>
                <w:b/>
                <w:sz w:val="24"/>
                <w:szCs w:val="24"/>
              </w:rPr>
            </w:pPr>
            <w:r w:rsidRPr="00DB4A2D" w:rsidDel="00317981">
              <w:rPr>
                <w:rFonts w:ascii="Times New Roman" w:hAnsi="Times New Roman"/>
                <w:b/>
                <w:sz w:val="24"/>
                <w:szCs w:val="24"/>
              </w:rPr>
              <w:t xml:space="preserve"> </w:t>
            </w:r>
            <w:r w:rsidRPr="00DB4A2D">
              <w:rPr>
                <w:rFonts w:ascii="Times New Roman" w:hAnsi="Times New Roman"/>
                <w:b/>
                <w:sz w:val="24"/>
                <w:szCs w:val="24"/>
              </w:rPr>
              <w:t>294 €</w:t>
            </w:r>
          </w:p>
          <w:p w:rsidR="00BE0264" w:rsidRPr="00DB4A2D" w:rsidRDefault="00BE0264" w:rsidP="000105A1">
            <w:pPr>
              <w:spacing w:after="0" w:line="240" w:lineRule="auto"/>
              <w:rPr>
                <w:rFonts w:ascii="Times New Roman" w:hAnsi="Times New Roman"/>
                <w:b/>
                <w:sz w:val="24"/>
                <w:szCs w:val="24"/>
              </w:rPr>
            </w:pPr>
            <w:r w:rsidRPr="00DB4A2D">
              <w:rPr>
                <w:rFonts w:ascii="Times New Roman" w:hAnsi="Times New Roman"/>
                <w:b/>
                <w:sz w:val="24"/>
                <w:szCs w:val="24"/>
              </w:rPr>
              <w:t>(207 Ls)</w:t>
            </w:r>
          </w:p>
          <w:p w:rsidR="00BE0264" w:rsidRPr="00DB4A2D" w:rsidRDefault="00BE0264" w:rsidP="000105A1">
            <w:pPr>
              <w:spacing w:after="0" w:line="240" w:lineRule="auto"/>
              <w:rPr>
                <w:rFonts w:ascii="Times New Roman" w:hAnsi="Times New Roman"/>
                <w:b/>
                <w:sz w:val="24"/>
                <w:szCs w:val="24"/>
              </w:rPr>
            </w:pPr>
          </w:p>
          <w:p w:rsidR="00BE0264" w:rsidRPr="00DB4A2D" w:rsidRDefault="00BE0264" w:rsidP="000105A1">
            <w:pPr>
              <w:spacing w:after="0" w:line="240" w:lineRule="auto"/>
              <w:rPr>
                <w:rFonts w:ascii="Times New Roman" w:hAnsi="Times New Roman"/>
                <w:sz w:val="24"/>
                <w:szCs w:val="24"/>
              </w:rPr>
            </w:pPr>
            <w:r w:rsidRPr="00DB4A2D" w:rsidDel="00570CC1">
              <w:rPr>
                <w:rFonts w:ascii="Times New Roman" w:hAnsi="Times New Roman"/>
                <w:sz w:val="24"/>
                <w:szCs w:val="24"/>
              </w:rPr>
              <w:t xml:space="preserve"> </w:t>
            </w:r>
            <w:r w:rsidRPr="00DB4A2D">
              <w:rPr>
                <w:rFonts w:ascii="Times New Roman" w:hAnsi="Times New Roman"/>
                <w:sz w:val="24"/>
                <w:szCs w:val="24"/>
              </w:rPr>
              <w:t>231 €</w:t>
            </w: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(162 Ls)</w:t>
            </w:r>
          </w:p>
          <w:p w:rsidR="00BE0264" w:rsidRPr="00DB4A2D" w:rsidRDefault="00BE0264" w:rsidP="000105A1">
            <w:pPr>
              <w:spacing w:after="0" w:line="240" w:lineRule="auto"/>
              <w:rPr>
                <w:rFonts w:ascii="Times New Roman" w:hAnsi="Times New Roman"/>
                <w:b/>
                <w:sz w:val="24"/>
                <w:szCs w:val="24"/>
              </w:rPr>
            </w:pPr>
          </w:p>
          <w:p w:rsidR="00BE0264" w:rsidRPr="00DB4A2D" w:rsidRDefault="00BE0264" w:rsidP="000105A1">
            <w:pPr>
              <w:spacing w:after="0" w:line="240" w:lineRule="auto"/>
              <w:rPr>
                <w:rFonts w:ascii="Times New Roman" w:hAnsi="Times New Roman"/>
                <w:sz w:val="24"/>
                <w:szCs w:val="24"/>
              </w:rPr>
            </w:pPr>
            <w:r w:rsidRPr="00DB4A2D" w:rsidDel="00570CC1">
              <w:rPr>
                <w:rFonts w:ascii="Times New Roman" w:hAnsi="Times New Roman"/>
                <w:sz w:val="24"/>
                <w:szCs w:val="24"/>
              </w:rPr>
              <w:t xml:space="preserve"> </w:t>
            </w:r>
            <w:r w:rsidRPr="00DB4A2D">
              <w:rPr>
                <w:rFonts w:ascii="Times New Roman" w:hAnsi="Times New Roman"/>
                <w:sz w:val="24"/>
                <w:szCs w:val="24"/>
              </w:rPr>
              <w:t>19 €</w:t>
            </w: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(13 Ls)</w:t>
            </w: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44 €</w:t>
            </w: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(31 Ls)</w:t>
            </w:r>
          </w:p>
        </w:tc>
        <w:tc>
          <w:tcPr>
            <w:tcW w:w="1804" w:type="dxa"/>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b/>
                <w:sz w:val="24"/>
                <w:szCs w:val="24"/>
              </w:rPr>
              <w:t>0</w:t>
            </w:r>
          </w:p>
        </w:tc>
      </w:tr>
      <w:tr w:rsidR="00BE0264" w:rsidRPr="00DB4A2D" w:rsidTr="000105A1">
        <w:trPr>
          <w:jc w:val="center"/>
        </w:trPr>
        <w:tc>
          <w:tcPr>
            <w:tcW w:w="3281" w:type="dxa"/>
          </w:tcPr>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 xml:space="preserve">6.2. </w:t>
            </w:r>
            <w:r w:rsidRPr="00DB4A2D">
              <w:rPr>
                <w:rFonts w:ascii="Times New Roman" w:hAnsi="Times New Roman"/>
                <w:b/>
                <w:sz w:val="24"/>
                <w:szCs w:val="24"/>
              </w:rPr>
              <w:t>Pašvaldību atbalstāmie  projekti, tai skaitā</w:t>
            </w:r>
            <w:r w:rsidRPr="00DB4A2D">
              <w:rPr>
                <w:rFonts w:ascii="Times New Roman" w:hAnsi="Times New Roman"/>
                <w:sz w:val="24"/>
                <w:szCs w:val="24"/>
              </w:rPr>
              <w:t>:</w:t>
            </w: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 xml:space="preserve">EEZ FI līdzfinansējuma daļa </w:t>
            </w: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LV programmas līdzfinansējums</w:t>
            </w: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Līdzfinansējuma saņēmēja projekta līdzfinansējums</w:t>
            </w:r>
          </w:p>
          <w:p w:rsidR="00BE0264" w:rsidRPr="00DB4A2D" w:rsidRDefault="00BE0264" w:rsidP="000105A1">
            <w:pPr>
              <w:spacing w:after="0" w:line="240" w:lineRule="auto"/>
              <w:rPr>
                <w:rFonts w:ascii="Times New Roman" w:hAnsi="Times New Roman"/>
                <w:sz w:val="24"/>
                <w:szCs w:val="24"/>
              </w:rPr>
            </w:pPr>
          </w:p>
        </w:tc>
        <w:tc>
          <w:tcPr>
            <w:tcW w:w="1522" w:type="dxa"/>
            <w:vAlign w:val="center"/>
          </w:tcPr>
          <w:p w:rsidR="00BE0264" w:rsidRPr="00DB4A2D" w:rsidRDefault="00BE0264" w:rsidP="000105A1">
            <w:pPr>
              <w:spacing w:after="0" w:line="240" w:lineRule="auto"/>
              <w:rPr>
                <w:rFonts w:ascii="Times New Roman" w:hAnsi="Times New Roman"/>
                <w:b/>
                <w:sz w:val="24"/>
                <w:szCs w:val="24"/>
              </w:rPr>
            </w:pPr>
            <w:r w:rsidRPr="00DB4A2D" w:rsidDel="00317981">
              <w:rPr>
                <w:rFonts w:ascii="Times New Roman" w:hAnsi="Times New Roman"/>
                <w:sz w:val="24"/>
                <w:szCs w:val="24"/>
              </w:rPr>
              <w:t xml:space="preserve"> </w:t>
            </w:r>
            <w:r w:rsidRPr="00DB4A2D">
              <w:rPr>
                <w:rFonts w:ascii="Times New Roman" w:hAnsi="Times New Roman"/>
                <w:b/>
                <w:sz w:val="24"/>
                <w:szCs w:val="24"/>
              </w:rPr>
              <w:t>735 €</w:t>
            </w:r>
          </w:p>
          <w:p w:rsidR="00BE0264" w:rsidRPr="00DB4A2D" w:rsidRDefault="00BE0264" w:rsidP="000105A1">
            <w:pPr>
              <w:spacing w:after="0" w:line="240" w:lineRule="auto"/>
              <w:rPr>
                <w:rFonts w:ascii="Times New Roman" w:hAnsi="Times New Roman"/>
                <w:b/>
                <w:sz w:val="24"/>
                <w:szCs w:val="24"/>
              </w:rPr>
            </w:pPr>
            <w:r w:rsidRPr="00DB4A2D">
              <w:rPr>
                <w:rFonts w:ascii="Times New Roman" w:hAnsi="Times New Roman"/>
                <w:b/>
                <w:sz w:val="24"/>
                <w:szCs w:val="24"/>
              </w:rPr>
              <w:t>(517 Ls)</w:t>
            </w:r>
          </w:p>
          <w:p w:rsidR="00BE0264" w:rsidRPr="00DB4A2D" w:rsidRDefault="00BE0264" w:rsidP="000105A1">
            <w:pPr>
              <w:spacing w:after="0" w:line="240" w:lineRule="auto"/>
              <w:rPr>
                <w:rFonts w:ascii="Times New Roman" w:hAnsi="Times New Roman"/>
                <w:b/>
                <w:sz w:val="24"/>
                <w:szCs w:val="24"/>
              </w:rPr>
            </w:pP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578 €</w:t>
            </w: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(406 Ls)</w:t>
            </w: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47 €</w:t>
            </w: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(33 Ls)</w:t>
            </w: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rPr>
                <w:rFonts w:ascii="Times New Roman" w:hAnsi="Times New Roman"/>
                <w:sz w:val="24"/>
                <w:szCs w:val="24"/>
              </w:rPr>
            </w:pPr>
          </w:p>
          <w:p w:rsidR="00BE0264" w:rsidRPr="00DB4A2D" w:rsidRDefault="00BE0264" w:rsidP="000105A1">
            <w:pPr>
              <w:rPr>
                <w:rFonts w:ascii="Times New Roman" w:hAnsi="Times New Roman"/>
                <w:sz w:val="24"/>
                <w:szCs w:val="24"/>
              </w:rPr>
            </w:pPr>
            <w:r w:rsidRPr="00DB4A2D">
              <w:rPr>
                <w:rFonts w:ascii="Times New Roman" w:hAnsi="Times New Roman"/>
                <w:sz w:val="24"/>
                <w:szCs w:val="24"/>
              </w:rPr>
              <w:t>110 €</w:t>
            </w:r>
          </w:p>
          <w:p w:rsidR="00BE0264" w:rsidRPr="00DB4A2D" w:rsidRDefault="00BE0264" w:rsidP="000105A1">
            <w:pPr>
              <w:rPr>
                <w:rFonts w:ascii="Times New Roman" w:hAnsi="Times New Roman"/>
                <w:sz w:val="24"/>
                <w:szCs w:val="24"/>
              </w:rPr>
            </w:pPr>
            <w:r w:rsidRPr="00DB4A2D">
              <w:rPr>
                <w:rFonts w:ascii="Times New Roman" w:hAnsi="Times New Roman"/>
                <w:sz w:val="24"/>
                <w:szCs w:val="24"/>
              </w:rPr>
              <w:t>(77 Ls)</w:t>
            </w:r>
          </w:p>
          <w:p w:rsidR="00BE0264" w:rsidRPr="00DB4A2D" w:rsidRDefault="00BE0264" w:rsidP="000105A1">
            <w:pPr>
              <w:rPr>
                <w:rFonts w:ascii="Times New Roman" w:hAnsi="Times New Roman"/>
                <w:sz w:val="24"/>
                <w:szCs w:val="24"/>
              </w:rPr>
            </w:pPr>
          </w:p>
        </w:tc>
        <w:tc>
          <w:tcPr>
            <w:tcW w:w="1197" w:type="dxa"/>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212" w:type="dxa"/>
          </w:tcPr>
          <w:p w:rsidR="00BE0264" w:rsidRPr="00DB4A2D" w:rsidRDefault="00BE0264" w:rsidP="000105A1">
            <w:pPr>
              <w:spacing w:after="0" w:line="240" w:lineRule="auto"/>
              <w:rPr>
                <w:rFonts w:ascii="Times New Roman" w:hAnsi="Times New Roman"/>
                <w:b/>
                <w:sz w:val="24"/>
                <w:szCs w:val="24"/>
              </w:rPr>
            </w:pPr>
            <w:r w:rsidRPr="00DB4A2D">
              <w:rPr>
                <w:rFonts w:ascii="Times New Roman" w:hAnsi="Times New Roman"/>
                <w:b/>
                <w:sz w:val="24"/>
                <w:szCs w:val="24"/>
              </w:rPr>
              <w:t>441 €</w:t>
            </w:r>
          </w:p>
          <w:p w:rsidR="00BE0264" w:rsidRPr="00DB4A2D" w:rsidRDefault="00BE0264" w:rsidP="000105A1">
            <w:pPr>
              <w:spacing w:after="0" w:line="240" w:lineRule="auto"/>
              <w:rPr>
                <w:rFonts w:ascii="Times New Roman" w:hAnsi="Times New Roman"/>
                <w:b/>
                <w:sz w:val="24"/>
                <w:szCs w:val="24"/>
              </w:rPr>
            </w:pPr>
            <w:r w:rsidRPr="00DB4A2D">
              <w:rPr>
                <w:rFonts w:ascii="Times New Roman" w:hAnsi="Times New Roman"/>
                <w:b/>
                <w:sz w:val="24"/>
                <w:szCs w:val="24"/>
              </w:rPr>
              <w:t>(310 Ls)</w:t>
            </w:r>
          </w:p>
          <w:p w:rsidR="00BE0264" w:rsidRPr="00DB4A2D" w:rsidRDefault="00BE0264" w:rsidP="000105A1">
            <w:pPr>
              <w:spacing w:after="0" w:line="240" w:lineRule="auto"/>
              <w:rPr>
                <w:rFonts w:ascii="Times New Roman" w:hAnsi="Times New Roman"/>
                <w:b/>
                <w:sz w:val="24"/>
                <w:szCs w:val="24"/>
              </w:rPr>
            </w:pP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r w:rsidRPr="00DB4A2D" w:rsidDel="00251764">
              <w:rPr>
                <w:rFonts w:ascii="Times New Roman" w:hAnsi="Times New Roman"/>
                <w:sz w:val="24"/>
                <w:szCs w:val="24"/>
              </w:rPr>
              <w:t xml:space="preserve"> </w:t>
            </w:r>
            <w:r w:rsidRPr="00DB4A2D">
              <w:rPr>
                <w:rFonts w:ascii="Times New Roman" w:hAnsi="Times New Roman"/>
                <w:sz w:val="24"/>
                <w:szCs w:val="24"/>
              </w:rPr>
              <w:t>347 €</w:t>
            </w: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(244 Ls)</w:t>
            </w: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28 €</w:t>
            </w: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(20 Ls)</w:t>
            </w: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r w:rsidRPr="00DB4A2D" w:rsidDel="00251764">
              <w:rPr>
                <w:rFonts w:ascii="Times New Roman" w:hAnsi="Times New Roman"/>
                <w:sz w:val="24"/>
                <w:szCs w:val="24"/>
              </w:rPr>
              <w:t xml:space="preserve"> </w:t>
            </w:r>
            <w:r w:rsidRPr="00DB4A2D">
              <w:rPr>
                <w:rFonts w:ascii="Times New Roman" w:hAnsi="Times New Roman"/>
                <w:sz w:val="24"/>
                <w:szCs w:val="24"/>
              </w:rPr>
              <w:t>66 €</w:t>
            </w:r>
          </w:p>
          <w:p w:rsidR="00BE0264" w:rsidRPr="00DB4A2D" w:rsidRDefault="00BE0264" w:rsidP="000105A1">
            <w:pPr>
              <w:spacing w:after="0" w:line="240" w:lineRule="auto"/>
              <w:rPr>
                <w:rFonts w:ascii="Times New Roman" w:hAnsi="Times New Roman"/>
                <w:b/>
                <w:sz w:val="24"/>
                <w:szCs w:val="24"/>
              </w:rPr>
            </w:pPr>
            <w:r w:rsidRPr="00DB4A2D">
              <w:rPr>
                <w:rFonts w:ascii="Times New Roman" w:hAnsi="Times New Roman"/>
                <w:sz w:val="24"/>
                <w:szCs w:val="24"/>
              </w:rPr>
              <w:t>(46 Ls)</w:t>
            </w:r>
          </w:p>
          <w:p w:rsidR="00BE0264" w:rsidRPr="00DB4A2D" w:rsidRDefault="00BE0264" w:rsidP="000105A1">
            <w:pPr>
              <w:spacing w:after="0" w:line="240" w:lineRule="auto"/>
              <w:rPr>
                <w:rFonts w:ascii="Times New Roman" w:hAnsi="Times New Roman"/>
                <w:sz w:val="24"/>
                <w:szCs w:val="24"/>
              </w:rPr>
            </w:pPr>
          </w:p>
        </w:tc>
        <w:tc>
          <w:tcPr>
            <w:tcW w:w="1150" w:type="dxa"/>
          </w:tcPr>
          <w:p w:rsidR="00BE0264" w:rsidRPr="00DB4A2D" w:rsidRDefault="00BE0264" w:rsidP="000105A1">
            <w:pPr>
              <w:spacing w:after="0" w:line="240" w:lineRule="auto"/>
              <w:rPr>
                <w:rFonts w:ascii="Times New Roman" w:hAnsi="Times New Roman"/>
                <w:b/>
                <w:sz w:val="24"/>
                <w:szCs w:val="24"/>
              </w:rPr>
            </w:pPr>
            <w:r w:rsidRPr="00DB4A2D">
              <w:rPr>
                <w:rFonts w:ascii="Times New Roman" w:hAnsi="Times New Roman"/>
                <w:b/>
                <w:sz w:val="24"/>
                <w:szCs w:val="24"/>
              </w:rPr>
              <w:t>294 € (207Ls)</w:t>
            </w: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231 €</w:t>
            </w: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(162 Ls)</w:t>
            </w: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19 €</w:t>
            </w: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(13 Ls)</w:t>
            </w: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r w:rsidRPr="00DB4A2D" w:rsidDel="00251764">
              <w:rPr>
                <w:rFonts w:ascii="Times New Roman" w:hAnsi="Times New Roman"/>
                <w:sz w:val="24"/>
                <w:szCs w:val="24"/>
              </w:rPr>
              <w:t xml:space="preserve"> </w:t>
            </w:r>
            <w:r w:rsidRPr="00DB4A2D">
              <w:rPr>
                <w:rFonts w:ascii="Times New Roman" w:hAnsi="Times New Roman"/>
                <w:sz w:val="24"/>
                <w:szCs w:val="24"/>
              </w:rPr>
              <w:t>44 €</w:t>
            </w: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(31 Ls)</w:t>
            </w:r>
          </w:p>
          <w:p w:rsidR="00BE0264" w:rsidRPr="00DB4A2D" w:rsidRDefault="00BE0264" w:rsidP="000105A1">
            <w:pPr>
              <w:spacing w:after="0" w:line="240" w:lineRule="auto"/>
              <w:rPr>
                <w:rFonts w:ascii="Times New Roman" w:hAnsi="Times New Roman"/>
                <w:sz w:val="24"/>
                <w:szCs w:val="24"/>
              </w:rPr>
            </w:pPr>
          </w:p>
        </w:tc>
        <w:tc>
          <w:tcPr>
            <w:tcW w:w="1804" w:type="dxa"/>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b/>
                <w:sz w:val="24"/>
                <w:szCs w:val="24"/>
              </w:rPr>
              <w:t>0</w:t>
            </w:r>
          </w:p>
        </w:tc>
      </w:tr>
      <w:tr w:rsidR="00BE0264" w:rsidRPr="00DB4A2D" w:rsidTr="000105A1">
        <w:trPr>
          <w:trHeight w:val="2303"/>
          <w:jc w:val="center"/>
        </w:trPr>
        <w:tc>
          <w:tcPr>
            <w:tcW w:w="3281" w:type="dxa"/>
          </w:tcPr>
          <w:p w:rsidR="00BE0264" w:rsidRPr="00DB4A2D" w:rsidRDefault="00BE0264" w:rsidP="000105A1">
            <w:pPr>
              <w:spacing w:after="0" w:line="240" w:lineRule="auto"/>
              <w:rPr>
                <w:rFonts w:ascii="Times New Roman" w:hAnsi="Times New Roman"/>
                <w:b/>
                <w:sz w:val="24"/>
                <w:szCs w:val="24"/>
              </w:rPr>
            </w:pPr>
            <w:r w:rsidRPr="00DB4A2D">
              <w:rPr>
                <w:rFonts w:ascii="Times New Roman" w:hAnsi="Times New Roman"/>
                <w:sz w:val="24"/>
                <w:szCs w:val="24"/>
              </w:rPr>
              <w:t xml:space="preserve">6.3. </w:t>
            </w:r>
            <w:r w:rsidRPr="00DB4A2D">
              <w:rPr>
                <w:rFonts w:ascii="Times New Roman" w:hAnsi="Times New Roman"/>
                <w:b/>
                <w:sz w:val="24"/>
                <w:szCs w:val="24"/>
              </w:rPr>
              <w:t>Biedrību un nodibinājumu atbalstāmie projekti, tai skaitā:</w:t>
            </w: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EEZ FI līdzfinansējums</w:t>
            </w: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LV programmas līdzfinansējums</w:t>
            </w: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p>
        </w:tc>
        <w:tc>
          <w:tcPr>
            <w:tcW w:w="1522" w:type="dxa"/>
          </w:tcPr>
          <w:p w:rsidR="00BE0264" w:rsidRPr="00DB4A2D" w:rsidRDefault="00BE0264" w:rsidP="000105A1">
            <w:pPr>
              <w:spacing w:after="0"/>
              <w:jc w:val="center"/>
              <w:rPr>
                <w:rFonts w:ascii="Times New Roman" w:hAnsi="Times New Roman"/>
                <w:b/>
                <w:sz w:val="24"/>
                <w:szCs w:val="24"/>
              </w:rPr>
            </w:pPr>
            <w:r w:rsidRPr="00DB4A2D">
              <w:rPr>
                <w:rFonts w:ascii="Times New Roman" w:hAnsi="Times New Roman"/>
                <w:b/>
                <w:sz w:val="24"/>
                <w:szCs w:val="24"/>
              </w:rPr>
              <w:t>750 €</w:t>
            </w:r>
          </w:p>
          <w:p w:rsidR="00BE0264" w:rsidRPr="00DB4A2D" w:rsidRDefault="00BE0264" w:rsidP="000105A1">
            <w:pPr>
              <w:spacing w:after="0"/>
              <w:jc w:val="center"/>
              <w:rPr>
                <w:rFonts w:ascii="Times New Roman" w:hAnsi="Times New Roman"/>
                <w:sz w:val="24"/>
                <w:szCs w:val="24"/>
              </w:rPr>
            </w:pPr>
            <w:r w:rsidRPr="00DB4A2D">
              <w:rPr>
                <w:rFonts w:ascii="Times New Roman" w:hAnsi="Times New Roman"/>
                <w:sz w:val="24"/>
                <w:szCs w:val="24"/>
              </w:rPr>
              <w:t>(527 Ls)</w:t>
            </w:r>
          </w:p>
          <w:p w:rsidR="00BE0264" w:rsidRPr="00DB4A2D" w:rsidRDefault="00BE0264" w:rsidP="000105A1">
            <w:pPr>
              <w:spacing w:after="0"/>
              <w:jc w:val="center"/>
              <w:rPr>
                <w:rFonts w:ascii="Times New Roman" w:hAnsi="Times New Roman"/>
                <w:sz w:val="24"/>
                <w:szCs w:val="24"/>
              </w:rPr>
            </w:pPr>
          </w:p>
          <w:p w:rsidR="00BE0264" w:rsidRPr="00DB4A2D" w:rsidRDefault="00BE0264" w:rsidP="000105A1">
            <w:pPr>
              <w:spacing w:after="0"/>
              <w:jc w:val="center"/>
              <w:rPr>
                <w:rFonts w:ascii="Times New Roman" w:hAnsi="Times New Roman"/>
                <w:b/>
                <w:sz w:val="24"/>
                <w:szCs w:val="24"/>
              </w:rPr>
            </w:pPr>
            <w:r w:rsidRPr="00DB4A2D">
              <w:rPr>
                <w:rFonts w:ascii="Times New Roman" w:hAnsi="Times New Roman"/>
                <w:sz w:val="24"/>
                <w:szCs w:val="24"/>
              </w:rPr>
              <w:t xml:space="preserve">694 </w:t>
            </w:r>
            <w:r w:rsidRPr="00DB4A2D">
              <w:rPr>
                <w:rFonts w:ascii="Times New Roman" w:hAnsi="Times New Roman"/>
                <w:b/>
                <w:sz w:val="24"/>
                <w:szCs w:val="24"/>
              </w:rPr>
              <w:t>€</w:t>
            </w:r>
          </w:p>
          <w:p w:rsidR="00BE0264" w:rsidRPr="00DB4A2D" w:rsidRDefault="00BE0264" w:rsidP="000105A1">
            <w:pPr>
              <w:spacing w:after="0"/>
              <w:jc w:val="center"/>
              <w:rPr>
                <w:rFonts w:ascii="Times New Roman" w:hAnsi="Times New Roman"/>
                <w:sz w:val="24"/>
                <w:szCs w:val="24"/>
              </w:rPr>
            </w:pPr>
            <w:r w:rsidRPr="00DB4A2D">
              <w:rPr>
                <w:rFonts w:ascii="Times New Roman" w:hAnsi="Times New Roman"/>
                <w:sz w:val="24"/>
                <w:szCs w:val="24"/>
              </w:rPr>
              <w:t>(488 Ls)</w:t>
            </w:r>
          </w:p>
          <w:p w:rsidR="00BE0264" w:rsidRPr="00DB4A2D" w:rsidRDefault="00BE0264" w:rsidP="000105A1">
            <w:pPr>
              <w:spacing w:after="0"/>
              <w:jc w:val="center"/>
              <w:rPr>
                <w:rFonts w:ascii="Times New Roman" w:hAnsi="Times New Roman"/>
                <w:sz w:val="24"/>
                <w:szCs w:val="24"/>
              </w:rPr>
            </w:pPr>
          </w:p>
          <w:p w:rsidR="00BE0264" w:rsidRPr="00DB4A2D" w:rsidRDefault="00BE0264" w:rsidP="000105A1">
            <w:pPr>
              <w:spacing w:after="0"/>
              <w:jc w:val="center"/>
              <w:rPr>
                <w:rFonts w:ascii="Times New Roman" w:hAnsi="Times New Roman"/>
                <w:b/>
                <w:sz w:val="24"/>
                <w:szCs w:val="24"/>
              </w:rPr>
            </w:pPr>
            <w:r w:rsidRPr="00DB4A2D">
              <w:rPr>
                <w:rFonts w:ascii="Times New Roman" w:hAnsi="Times New Roman"/>
                <w:sz w:val="24"/>
                <w:szCs w:val="24"/>
              </w:rPr>
              <w:t xml:space="preserve">56 </w:t>
            </w:r>
            <w:r w:rsidRPr="00DB4A2D">
              <w:rPr>
                <w:rFonts w:ascii="Times New Roman" w:hAnsi="Times New Roman"/>
                <w:b/>
                <w:sz w:val="24"/>
                <w:szCs w:val="24"/>
              </w:rPr>
              <w:t>€</w:t>
            </w:r>
          </w:p>
          <w:p w:rsidR="00BE0264" w:rsidRPr="00DB4A2D" w:rsidRDefault="00BE0264" w:rsidP="000105A1">
            <w:pPr>
              <w:spacing w:after="0"/>
              <w:jc w:val="center"/>
              <w:rPr>
                <w:rFonts w:ascii="Times New Roman" w:hAnsi="Times New Roman"/>
                <w:sz w:val="24"/>
                <w:szCs w:val="24"/>
              </w:rPr>
            </w:pPr>
            <w:r w:rsidRPr="00DB4A2D">
              <w:rPr>
                <w:rFonts w:ascii="Times New Roman" w:hAnsi="Times New Roman"/>
                <w:sz w:val="24"/>
                <w:szCs w:val="24"/>
              </w:rPr>
              <w:t>(39 Ls)</w:t>
            </w:r>
          </w:p>
          <w:p w:rsidR="00BE0264" w:rsidRPr="00DB4A2D" w:rsidRDefault="00BE0264" w:rsidP="000105A1">
            <w:pPr>
              <w:spacing w:after="0"/>
              <w:jc w:val="center"/>
              <w:rPr>
                <w:rFonts w:ascii="Times New Roman" w:hAnsi="Times New Roman"/>
                <w:sz w:val="24"/>
                <w:szCs w:val="24"/>
              </w:rPr>
            </w:pPr>
          </w:p>
        </w:tc>
        <w:tc>
          <w:tcPr>
            <w:tcW w:w="1197" w:type="dxa"/>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212" w:type="dxa"/>
          </w:tcPr>
          <w:p w:rsidR="00BE0264" w:rsidRPr="00DB4A2D" w:rsidRDefault="00BE0264" w:rsidP="000105A1">
            <w:pPr>
              <w:spacing w:after="0" w:line="240" w:lineRule="auto"/>
              <w:rPr>
                <w:rFonts w:ascii="Times New Roman" w:hAnsi="Times New Roman"/>
                <w:b/>
                <w:sz w:val="24"/>
                <w:szCs w:val="24"/>
              </w:rPr>
            </w:pPr>
            <w:r w:rsidRPr="00DB4A2D" w:rsidDel="00094C40">
              <w:rPr>
                <w:rFonts w:ascii="Times New Roman" w:hAnsi="Times New Roman"/>
                <w:sz w:val="24"/>
                <w:szCs w:val="24"/>
              </w:rPr>
              <w:t xml:space="preserve"> </w:t>
            </w:r>
            <w:r w:rsidRPr="00DB4A2D">
              <w:rPr>
                <w:rFonts w:ascii="Times New Roman" w:hAnsi="Times New Roman"/>
                <w:b/>
                <w:sz w:val="24"/>
                <w:szCs w:val="24"/>
              </w:rPr>
              <w:t>450 €</w:t>
            </w: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(316 Ls)</w:t>
            </w: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416 €</w:t>
            </w: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(292 Ls)</w:t>
            </w: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rPr>
                <w:rFonts w:ascii="Times New Roman" w:hAnsi="Times New Roman"/>
                <w:b/>
                <w:sz w:val="24"/>
                <w:szCs w:val="24"/>
              </w:rPr>
            </w:pPr>
            <w:r w:rsidRPr="00DB4A2D">
              <w:rPr>
                <w:rFonts w:ascii="Times New Roman" w:hAnsi="Times New Roman"/>
                <w:sz w:val="24"/>
                <w:szCs w:val="24"/>
              </w:rPr>
              <w:t xml:space="preserve">34 </w:t>
            </w:r>
            <w:r w:rsidRPr="00DB4A2D">
              <w:rPr>
                <w:rFonts w:ascii="Times New Roman" w:hAnsi="Times New Roman"/>
                <w:b/>
                <w:sz w:val="24"/>
                <w:szCs w:val="24"/>
              </w:rPr>
              <w:t>€</w:t>
            </w: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(24 Ls)</w:t>
            </w:r>
          </w:p>
        </w:tc>
        <w:tc>
          <w:tcPr>
            <w:tcW w:w="1150" w:type="dxa"/>
          </w:tcPr>
          <w:p w:rsidR="00BE0264" w:rsidRPr="00DB4A2D" w:rsidRDefault="00BE0264" w:rsidP="000105A1">
            <w:pPr>
              <w:spacing w:after="0" w:line="240" w:lineRule="auto"/>
              <w:rPr>
                <w:rFonts w:ascii="Times New Roman" w:hAnsi="Times New Roman"/>
                <w:b/>
                <w:sz w:val="24"/>
                <w:szCs w:val="24"/>
              </w:rPr>
            </w:pPr>
            <w:r w:rsidRPr="00DB4A2D" w:rsidDel="00094C40">
              <w:rPr>
                <w:rFonts w:ascii="Times New Roman" w:hAnsi="Times New Roman"/>
                <w:sz w:val="24"/>
                <w:szCs w:val="24"/>
              </w:rPr>
              <w:t xml:space="preserve"> </w:t>
            </w:r>
            <w:r w:rsidRPr="00DB4A2D">
              <w:rPr>
                <w:rFonts w:ascii="Times New Roman" w:hAnsi="Times New Roman"/>
                <w:b/>
                <w:sz w:val="24"/>
                <w:szCs w:val="24"/>
              </w:rPr>
              <w:t>300 €</w:t>
            </w: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(211 Ls)</w:t>
            </w: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277 €</w:t>
            </w: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(195 Ls)</w:t>
            </w: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b/>
                <w:sz w:val="24"/>
                <w:szCs w:val="24"/>
              </w:rPr>
            </w:pPr>
            <w:r w:rsidRPr="00DB4A2D">
              <w:rPr>
                <w:rFonts w:ascii="Times New Roman" w:hAnsi="Times New Roman"/>
                <w:sz w:val="24"/>
                <w:szCs w:val="24"/>
              </w:rPr>
              <w:t xml:space="preserve">23 </w:t>
            </w:r>
            <w:r w:rsidRPr="00DB4A2D">
              <w:rPr>
                <w:rFonts w:ascii="Times New Roman" w:hAnsi="Times New Roman"/>
                <w:b/>
                <w:sz w:val="24"/>
                <w:szCs w:val="24"/>
              </w:rPr>
              <w:t>€</w:t>
            </w: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(16 Ls)</w:t>
            </w:r>
          </w:p>
        </w:tc>
        <w:tc>
          <w:tcPr>
            <w:tcW w:w="1804" w:type="dxa"/>
          </w:tcPr>
          <w:p w:rsidR="00BE0264" w:rsidRPr="00DB4A2D" w:rsidRDefault="00BE0264" w:rsidP="000105A1">
            <w:pPr>
              <w:spacing w:after="0" w:line="240" w:lineRule="auto"/>
              <w:jc w:val="center"/>
              <w:rPr>
                <w:rFonts w:ascii="Times New Roman" w:hAnsi="Times New Roman"/>
                <w:b/>
                <w:sz w:val="24"/>
                <w:szCs w:val="24"/>
              </w:rPr>
            </w:pPr>
            <w:r w:rsidRPr="00DB4A2D">
              <w:rPr>
                <w:rFonts w:ascii="Times New Roman" w:hAnsi="Times New Roman"/>
                <w:b/>
                <w:sz w:val="24"/>
                <w:szCs w:val="24"/>
              </w:rPr>
              <w:t>0</w:t>
            </w:r>
          </w:p>
        </w:tc>
      </w:tr>
      <w:tr w:rsidR="00BE0264" w:rsidRPr="00DB4A2D" w:rsidTr="000105A1">
        <w:trPr>
          <w:jc w:val="center"/>
        </w:trPr>
        <w:tc>
          <w:tcPr>
            <w:tcW w:w="3281" w:type="dxa"/>
          </w:tcPr>
          <w:p w:rsidR="00BE0264" w:rsidRPr="00DB4A2D" w:rsidRDefault="00BE0264" w:rsidP="000105A1">
            <w:pPr>
              <w:spacing w:after="0" w:line="240" w:lineRule="auto"/>
              <w:rPr>
                <w:rFonts w:ascii="Times New Roman" w:hAnsi="Times New Roman"/>
                <w:b/>
                <w:sz w:val="24"/>
                <w:szCs w:val="24"/>
              </w:rPr>
            </w:pPr>
            <w:r w:rsidRPr="00DB4A2D">
              <w:rPr>
                <w:rFonts w:ascii="Times New Roman" w:hAnsi="Times New Roman"/>
                <w:sz w:val="24"/>
                <w:szCs w:val="24"/>
              </w:rPr>
              <w:t xml:space="preserve">6.4. </w:t>
            </w:r>
            <w:r w:rsidRPr="00DB4A2D">
              <w:rPr>
                <w:rFonts w:ascii="Times New Roman" w:hAnsi="Times New Roman"/>
                <w:b/>
                <w:sz w:val="24"/>
                <w:szCs w:val="24"/>
              </w:rPr>
              <w:t>Komersantu atbalstāmie projekti, tai skaitā:</w:t>
            </w: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EEZ FI līdzfinansējums</w:t>
            </w: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LV programmas līdzfinansējums</w:t>
            </w:r>
          </w:p>
          <w:p w:rsidR="00BE0264" w:rsidRPr="00DB4A2D" w:rsidRDefault="00BE0264" w:rsidP="000105A1">
            <w:pPr>
              <w:spacing w:after="0" w:line="240" w:lineRule="auto"/>
              <w:rPr>
                <w:rFonts w:ascii="Times New Roman" w:hAnsi="Times New Roman"/>
                <w:sz w:val="24"/>
                <w:szCs w:val="24"/>
              </w:rPr>
            </w:pPr>
          </w:p>
        </w:tc>
        <w:tc>
          <w:tcPr>
            <w:tcW w:w="1522" w:type="dxa"/>
            <w:vAlign w:val="center"/>
          </w:tcPr>
          <w:p w:rsidR="00BE0264" w:rsidRPr="00DB4A2D" w:rsidRDefault="00BE0264" w:rsidP="000105A1">
            <w:pPr>
              <w:spacing w:after="0" w:line="240" w:lineRule="auto"/>
              <w:rPr>
                <w:rFonts w:ascii="Times New Roman" w:hAnsi="Times New Roman"/>
                <w:b/>
                <w:sz w:val="24"/>
                <w:szCs w:val="24"/>
              </w:rPr>
            </w:pPr>
            <w:r w:rsidRPr="00DB4A2D">
              <w:rPr>
                <w:rFonts w:ascii="Times New Roman" w:hAnsi="Times New Roman"/>
                <w:b/>
                <w:sz w:val="24"/>
                <w:szCs w:val="24"/>
              </w:rPr>
              <w:t>500 €</w:t>
            </w: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(352 Ls)</w:t>
            </w: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462 €</w:t>
            </w: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(325 Ls)</w:t>
            </w: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38 €</w:t>
            </w:r>
          </w:p>
          <w:p w:rsidR="00BE0264" w:rsidRPr="00DB4A2D" w:rsidRDefault="00BE0264" w:rsidP="000105A1">
            <w:pPr>
              <w:rPr>
                <w:rFonts w:ascii="Times New Roman" w:hAnsi="Times New Roman"/>
                <w:sz w:val="24"/>
                <w:szCs w:val="24"/>
              </w:rPr>
            </w:pPr>
            <w:r w:rsidRPr="00DB4A2D">
              <w:rPr>
                <w:rFonts w:ascii="Times New Roman" w:hAnsi="Times New Roman"/>
                <w:sz w:val="24"/>
                <w:szCs w:val="24"/>
              </w:rPr>
              <w:t>(27 Ls)</w:t>
            </w:r>
          </w:p>
        </w:tc>
        <w:tc>
          <w:tcPr>
            <w:tcW w:w="1197" w:type="dxa"/>
          </w:tcPr>
          <w:p w:rsidR="00BE0264" w:rsidRPr="00DB4A2D" w:rsidRDefault="00BE0264" w:rsidP="000105A1">
            <w:pPr>
              <w:spacing w:after="0" w:line="240" w:lineRule="auto"/>
              <w:jc w:val="center"/>
              <w:rPr>
                <w:rFonts w:ascii="Times New Roman" w:hAnsi="Times New Roman"/>
                <w:sz w:val="24"/>
                <w:szCs w:val="24"/>
              </w:rPr>
            </w:pPr>
            <w:r w:rsidRPr="00DB4A2D">
              <w:rPr>
                <w:rFonts w:ascii="Times New Roman" w:hAnsi="Times New Roman"/>
                <w:sz w:val="24"/>
                <w:szCs w:val="24"/>
              </w:rPr>
              <w:t>0</w:t>
            </w:r>
          </w:p>
        </w:tc>
        <w:tc>
          <w:tcPr>
            <w:tcW w:w="1212" w:type="dxa"/>
          </w:tcPr>
          <w:p w:rsidR="00BE0264" w:rsidRPr="00DB4A2D" w:rsidRDefault="00BE0264" w:rsidP="000105A1">
            <w:pPr>
              <w:spacing w:after="0" w:line="240" w:lineRule="auto"/>
              <w:rPr>
                <w:rFonts w:ascii="Times New Roman" w:hAnsi="Times New Roman"/>
                <w:b/>
                <w:sz w:val="24"/>
                <w:szCs w:val="24"/>
              </w:rPr>
            </w:pPr>
            <w:r w:rsidRPr="00DB4A2D">
              <w:rPr>
                <w:rFonts w:ascii="Times New Roman" w:hAnsi="Times New Roman"/>
                <w:b/>
                <w:sz w:val="24"/>
                <w:szCs w:val="24"/>
              </w:rPr>
              <w:t>300 €</w:t>
            </w: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(212 Ls)</w:t>
            </w:r>
          </w:p>
          <w:p w:rsidR="00BE0264" w:rsidRPr="00DB4A2D" w:rsidRDefault="00BE0264" w:rsidP="000105A1">
            <w:pPr>
              <w:spacing w:after="0" w:line="240" w:lineRule="auto"/>
              <w:rPr>
                <w:rFonts w:ascii="Times New Roman" w:hAnsi="Times New Roman"/>
                <w:b/>
                <w:sz w:val="24"/>
                <w:szCs w:val="24"/>
              </w:rPr>
            </w:pP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277 €</w:t>
            </w: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(195 Ls)</w:t>
            </w: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23 €</w:t>
            </w: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(16 Ls)</w:t>
            </w:r>
          </w:p>
        </w:tc>
        <w:tc>
          <w:tcPr>
            <w:tcW w:w="1150" w:type="dxa"/>
          </w:tcPr>
          <w:p w:rsidR="00BE0264" w:rsidRPr="00DB4A2D" w:rsidRDefault="00BE0264" w:rsidP="000105A1">
            <w:pPr>
              <w:spacing w:after="0" w:line="240" w:lineRule="auto"/>
              <w:rPr>
                <w:rFonts w:ascii="Times New Roman" w:hAnsi="Times New Roman"/>
                <w:b/>
                <w:sz w:val="24"/>
                <w:szCs w:val="24"/>
              </w:rPr>
            </w:pPr>
            <w:r w:rsidRPr="00DB4A2D">
              <w:rPr>
                <w:rFonts w:ascii="Times New Roman" w:hAnsi="Times New Roman"/>
                <w:b/>
                <w:sz w:val="24"/>
                <w:szCs w:val="24"/>
              </w:rPr>
              <w:t>200 €</w:t>
            </w: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(140 Ls)</w:t>
            </w:r>
          </w:p>
          <w:p w:rsidR="00BE0264" w:rsidRPr="00DB4A2D" w:rsidRDefault="00BE0264" w:rsidP="000105A1">
            <w:pPr>
              <w:spacing w:after="0" w:line="240" w:lineRule="auto"/>
              <w:rPr>
                <w:rFonts w:ascii="Times New Roman" w:hAnsi="Times New Roman"/>
                <w:b/>
                <w:sz w:val="24"/>
                <w:szCs w:val="24"/>
              </w:rPr>
            </w:pP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185 €</w:t>
            </w: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(130 Ls)</w:t>
            </w:r>
          </w:p>
          <w:p w:rsidR="00BE0264" w:rsidRPr="00DB4A2D" w:rsidRDefault="00BE0264" w:rsidP="000105A1">
            <w:pPr>
              <w:spacing w:after="0" w:line="240" w:lineRule="auto"/>
              <w:rPr>
                <w:rFonts w:ascii="Times New Roman" w:hAnsi="Times New Roman"/>
                <w:sz w:val="24"/>
                <w:szCs w:val="24"/>
              </w:rPr>
            </w:pP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15 €</w:t>
            </w:r>
          </w:p>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(10 Ls)</w:t>
            </w:r>
          </w:p>
        </w:tc>
        <w:tc>
          <w:tcPr>
            <w:tcW w:w="1804" w:type="dxa"/>
          </w:tcPr>
          <w:p w:rsidR="00BE0264" w:rsidRPr="00DB4A2D" w:rsidRDefault="00BE0264" w:rsidP="000105A1">
            <w:pPr>
              <w:spacing w:after="0" w:line="240" w:lineRule="auto"/>
              <w:jc w:val="center"/>
              <w:rPr>
                <w:rFonts w:ascii="Times New Roman" w:hAnsi="Times New Roman"/>
                <w:b/>
                <w:sz w:val="24"/>
                <w:szCs w:val="24"/>
              </w:rPr>
            </w:pPr>
            <w:r w:rsidRPr="00DB4A2D">
              <w:rPr>
                <w:rFonts w:ascii="Times New Roman" w:hAnsi="Times New Roman"/>
                <w:b/>
                <w:sz w:val="24"/>
                <w:szCs w:val="24"/>
              </w:rPr>
              <w:t>0</w:t>
            </w:r>
          </w:p>
        </w:tc>
      </w:tr>
      <w:tr w:rsidR="00BE0264" w:rsidRPr="00DB4A2D" w:rsidTr="000105A1">
        <w:trPr>
          <w:jc w:val="center"/>
        </w:trPr>
        <w:tc>
          <w:tcPr>
            <w:tcW w:w="3281" w:type="dxa"/>
          </w:tcPr>
          <w:p w:rsidR="00BE0264" w:rsidRPr="00DB4A2D" w:rsidRDefault="00BE0264" w:rsidP="000105A1">
            <w:pPr>
              <w:spacing w:after="0" w:line="240" w:lineRule="auto"/>
              <w:rPr>
                <w:rFonts w:ascii="Times New Roman" w:hAnsi="Times New Roman"/>
                <w:sz w:val="24"/>
                <w:szCs w:val="24"/>
              </w:rPr>
            </w:pPr>
            <w:r w:rsidRPr="00DB4A2D">
              <w:rPr>
                <w:rFonts w:ascii="Times New Roman" w:hAnsi="Times New Roman"/>
                <w:sz w:val="24"/>
                <w:szCs w:val="24"/>
              </w:rPr>
              <w:t>7. Cita informācija</w:t>
            </w:r>
          </w:p>
        </w:tc>
        <w:tc>
          <w:tcPr>
            <w:tcW w:w="6885" w:type="dxa"/>
            <w:gridSpan w:val="5"/>
            <w:vAlign w:val="center"/>
          </w:tcPr>
          <w:p w:rsidR="00BE0264" w:rsidRPr="00DB4A2D" w:rsidRDefault="00BE0264" w:rsidP="000105A1">
            <w:pPr>
              <w:ind w:right="51"/>
              <w:jc w:val="both"/>
              <w:rPr>
                <w:rFonts w:ascii="Times New Roman" w:hAnsi="Times New Roman"/>
                <w:sz w:val="24"/>
                <w:szCs w:val="24"/>
              </w:rPr>
            </w:pPr>
            <w:r w:rsidRPr="00DB4A2D">
              <w:rPr>
                <w:rFonts w:ascii="Times New Roman" w:hAnsi="Times New Roman"/>
                <w:sz w:val="24"/>
                <w:szCs w:val="24"/>
              </w:rPr>
              <w:t xml:space="preserve">MK noteikumu projekta ietvaros tiek plānots īstenot atklātu konkursu „Ilgtspējīgu ēku, atjaunojamo energoresursu tehnoloģiju un inovatīvu emisiju samazinošu tehnoloģiju attīstība”. Kopumā VARAM valsts budžeta apakšprogrammas 71.06.00 „Eiropas Ekonomikas zonas un Norvēģijas finanšu instrumentu finansēto programmu, projektu un pasākumu īstenošana” programmas „Nacionālā klimata politika” atklātā konkursa īstenošanai 2014. gadam paredzēti 2 500 000 </w:t>
            </w:r>
            <w:r w:rsidRPr="00DB4A2D">
              <w:rPr>
                <w:rFonts w:ascii="Times New Roman" w:hAnsi="Times New Roman"/>
                <w:i/>
                <w:sz w:val="24"/>
                <w:szCs w:val="24"/>
              </w:rPr>
              <w:t>euro</w:t>
            </w:r>
            <w:r w:rsidRPr="00DB4A2D">
              <w:rPr>
                <w:rFonts w:ascii="Times New Roman" w:hAnsi="Times New Roman"/>
                <w:sz w:val="24"/>
                <w:szCs w:val="24"/>
              </w:rPr>
              <w:t xml:space="preserve"> (1 757 010 LVL), 2015. gadam 1 500 000 </w:t>
            </w:r>
            <w:r w:rsidRPr="00DB4A2D">
              <w:rPr>
                <w:rFonts w:ascii="Times New Roman" w:hAnsi="Times New Roman"/>
                <w:i/>
                <w:sz w:val="24"/>
                <w:szCs w:val="24"/>
              </w:rPr>
              <w:t>euro</w:t>
            </w:r>
            <w:r w:rsidRPr="00DB4A2D">
              <w:rPr>
                <w:rFonts w:ascii="Times New Roman" w:hAnsi="Times New Roman"/>
                <w:sz w:val="24"/>
                <w:szCs w:val="24"/>
              </w:rPr>
              <w:t xml:space="preserve"> (1 054 206 LVL), 2016. gadam paredzēti 1 000 000 </w:t>
            </w:r>
            <w:r w:rsidRPr="00DB4A2D">
              <w:rPr>
                <w:rFonts w:ascii="Times New Roman" w:hAnsi="Times New Roman"/>
                <w:i/>
                <w:sz w:val="24"/>
                <w:szCs w:val="24"/>
              </w:rPr>
              <w:t>euro</w:t>
            </w:r>
            <w:r w:rsidRPr="00DB4A2D">
              <w:rPr>
                <w:rFonts w:ascii="Times New Roman" w:hAnsi="Times New Roman"/>
                <w:sz w:val="24"/>
                <w:szCs w:val="24"/>
              </w:rPr>
              <w:t xml:space="preserve"> (702 804 LVL) . (Līdzfinansējuma sadalījums pa gadiem var tikt precizēts). Kopējais atklātā konkursa ietvaros pieejamais līdzfinansējuma apmērs ir 5 000 000 </w:t>
            </w:r>
            <w:r w:rsidRPr="00DB4A2D">
              <w:rPr>
                <w:rFonts w:ascii="Times New Roman" w:hAnsi="Times New Roman"/>
                <w:i/>
                <w:sz w:val="24"/>
                <w:szCs w:val="24"/>
              </w:rPr>
              <w:t>euro</w:t>
            </w:r>
            <w:r w:rsidRPr="00DB4A2D">
              <w:rPr>
                <w:rFonts w:ascii="Times New Roman" w:hAnsi="Times New Roman"/>
                <w:sz w:val="24"/>
                <w:szCs w:val="24"/>
              </w:rPr>
              <w:t xml:space="preserve"> (3 514 020 LVL) . Savukārt prognozējamais kopējais projektu īstenošanai nepieciešamais finansējums, ieskaitot valsts un pašvaldību budžetu, sastāda 5 440 000 </w:t>
            </w:r>
            <w:r w:rsidRPr="00DB4A2D">
              <w:rPr>
                <w:rFonts w:ascii="Times New Roman" w:hAnsi="Times New Roman"/>
                <w:i/>
                <w:sz w:val="24"/>
                <w:szCs w:val="24"/>
              </w:rPr>
              <w:t xml:space="preserve">euro </w:t>
            </w:r>
            <w:r w:rsidRPr="00DB4A2D">
              <w:rPr>
                <w:rFonts w:ascii="Times New Roman" w:hAnsi="Times New Roman"/>
                <w:sz w:val="24"/>
                <w:szCs w:val="24"/>
              </w:rPr>
              <w:t>(3 823 254 LVL).</w:t>
            </w:r>
          </w:p>
          <w:p w:rsidR="00BE0264" w:rsidRPr="00DB4A2D" w:rsidRDefault="00BE0264" w:rsidP="000105A1">
            <w:pPr>
              <w:ind w:right="51"/>
              <w:jc w:val="both"/>
              <w:rPr>
                <w:rFonts w:ascii="Times New Roman" w:hAnsi="Times New Roman"/>
                <w:sz w:val="24"/>
                <w:szCs w:val="24"/>
              </w:rPr>
            </w:pPr>
            <w:r w:rsidRPr="00DB4A2D">
              <w:rPr>
                <w:rFonts w:ascii="Times New Roman" w:hAnsi="Times New Roman"/>
                <w:sz w:val="24"/>
                <w:szCs w:val="24"/>
                <w:lang w:eastAsia="lv-LV"/>
              </w:rPr>
              <w:t xml:space="preserve">Eiropas Ekonomikas zonas finanšu instrumenta līdzfinansējums ir 92,5% apmērā no kopējām programmas īstenošanai paredzētajām izmaksām vai 4 625000 </w:t>
            </w:r>
            <w:r w:rsidRPr="00DB4A2D">
              <w:rPr>
                <w:rFonts w:ascii="Times New Roman" w:hAnsi="Times New Roman"/>
                <w:i/>
                <w:sz w:val="24"/>
                <w:szCs w:val="24"/>
                <w:lang w:eastAsia="lv-LV"/>
              </w:rPr>
              <w:t>euro</w:t>
            </w:r>
            <w:r w:rsidRPr="00DB4A2D">
              <w:rPr>
                <w:rFonts w:ascii="Times New Roman" w:hAnsi="Times New Roman"/>
                <w:sz w:val="24"/>
                <w:szCs w:val="24"/>
                <w:lang w:eastAsia="lv-LV"/>
              </w:rPr>
              <w:t xml:space="preserve"> (3 250 468 LVL), savukārt Latvijas valsts budžeta līdzfinansējums ir 7,5% apmērā vai 375 000 </w:t>
            </w:r>
            <w:r w:rsidRPr="00DB4A2D">
              <w:rPr>
                <w:rFonts w:ascii="Times New Roman" w:hAnsi="Times New Roman"/>
                <w:i/>
                <w:sz w:val="24"/>
                <w:szCs w:val="24"/>
                <w:lang w:eastAsia="lv-LV"/>
              </w:rPr>
              <w:t xml:space="preserve">euro </w:t>
            </w:r>
            <w:r w:rsidRPr="00DB4A2D">
              <w:rPr>
                <w:rFonts w:ascii="Times New Roman" w:hAnsi="Times New Roman"/>
                <w:sz w:val="24"/>
                <w:szCs w:val="24"/>
                <w:lang w:eastAsia="lv-LV"/>
              </w:rPr>
              <w:t>(263 552 LVL).</w:t>
            </w:r>
          </w:p>
          <w:p w:rsidR="00BE0264" w:rsidRPr="00DB4A2D" w:rsidRDefault="00BE0264" w:rsidP="000105A1">
            <w:pPr>
              <w:ind w:right="79"/>
              <w:jc w:val="both"/>
              <w:rPr>
                <w:rFonts w:ascii="Times New Roman" w:hAnsi="Times New Roman"/>
                <w:sz w:val="24"/>
                <w:szCs w:val="24"/>
              </w:rPr>
            </w:pPr>
            <w:r w:rsidRPr="00DB4A2D">
              <w:rPr>
                <w:rFonts w:ascii="Times New Roman" w:hAnsi="Times New Roman"/>
                <w:sz w:val="24"/>
                <w:szCs w:val="24"/>
              </w:rPr>
              <w:t xml:space="preserve">Uz finanšu instrumenta līdzfinansējuma saņemšanu varēs pretendēt Latvijas Republikā reģistrēti komersanti, biedrības un nodibinājumi, tiešās un pastarpinātās pārvaldes iestādes. Tiek pieņemts, ka līdzfinansējuma sadalījums pa projektu iesniedzēju grupām būs sekojošs - 50% - tiešās vai pastarpinātās pārvaldes iestādēm, 30% - biedrībām un nodibinājumiem, 20% - komersantiem. Iepriekš minētais pieņēmums saistīts ar atklāta konkursa ietvaros sasniedzamo mērķi un </w:t>
            </w:r>
            <w:r w:rsidRPr="00DB4A2D">
              <w:rPr>
                <w:rFonts w:ascii="Times New Roman" w:hAnsi="Times New Roman"/>
                <w:color w:val="000000"/>
                <w:sz w:val="24"/>
                <w:szCs w:val="24"/>
              </w:rPr>
              <w:t xml:space="preserve">sasniedzamajiem rādītājiem, kuri ir noteikti programmas līgumā (skat .informāciju anotācijas I. sadaļā). </w:t>
            </w:r>
          </w:p>
          <w:p w:rsidR="00BE0264" w:rsidRPr="00DB4A2D" w:rsidRDefault="00BE0264" w:rsidP="000105A1">
            <w:pPr>
              <w:pStyle w:val="NormalWeb"/>
              <w:jc w:val="both"/>
              <w:rPr>
                <w:sz w:val="26"/>
                <w:szCs w:val="26"/>
              </w:rPr>
            </w:pPr>
            <w:r w:rsidRPr="00DB4A2D">
              <w:t>Tiek pieņemts, ka tiešo un pastarpināto pārvaldes iestāžu atbalstāmo projektu sadalījums pa projektu iesniedzēju grupām būs sekojošs – 50% - valsts budžeta iestādes, 50% - pašvaldības. Kā arī tiek pieņemts, ka 2014. gadā līdzfinansējuma saņēmējam, kas nav valsts budžeta iestāde, būs pieejams avansa maksājums līdz 40% no projektam piešķirtā programmas līdzfinansējuma.</w:t>
            </w:r>
          </w:p>
          <w:p w:rsidR="00BE0264" w:rsidRPr="00DB4A2D" w:rsidRDefault="00BE0264" w:rsidP="000105A1">
            <w:pPr>
              <w:jc w:val="both"/>
              <w:rPr>
                <w:rFonts w:ascii="Times New Roman" w:hAnsi="Times New Roman"/>
                <w:sz w:val="24"/>
                <w:szCs w:val="24"/>
              </w:rPr>
            </w:pPr>
            <w:r w:rsidRPr="00DB4A2D">
              <w:rPr>
                <w:rFonts w:ascii="Times New Roman" w:hAnsi="Times New Roman"/>
                <w:sz w:val="24"/>
                <w:szCs w:val="24"/>
              </w:rPr>
              <w:t xml:space="preserve">Programmas atbalsta intensitāte atklātā konkursa pirmajai un otrajai atklātā konkursa atbalsta jomai biedrībām un nodibinājumiem ir noteikta 90% apmērā no kopējām attiecināmām izmaksām, bet 85% apmērā tiešās un pastarpinātās pārvaldes iestādēm. Komersantiem finanšu instrumenta atbalsta likme pirmajai un otrajai atklātā konkursa atbalsta jomai būs sekojoša – 65% sīkajiem (mikro) un mazajiem komersantiem, 55% vidējiem komersantiem, 45% lielajiem komersantiem, bet trešajai atbalsta jomai – visus projektu iesniedzējus vērtē kā komersantus atbilstoši </w:t>
            </w:r>
            <w:r w:rsidRPr="00DB4A2D">
              <w:rPr>
                <w:rFonts w:ascii="Times New Roman" w:hAnsi="Times New Roman"/>
                <w:color w:val="000000"/>
                <w:sz w:val="24"/>
                <w:szCs w:val="24"/>
              </w:rPr>
              <w:t>Komisijas regulas Nr.</w:t>
            </w:r>
            <w:hyperlink r:id="rId9" w:tgtFrame="_blank" w:tooltip="REGULA" w:history="1">
              <w:r w:rsidRPr="00DB4A2D">
                <w:rPr>
                  <w:rStyle w:val="Hyperlink"/>
                  <w:color w:val="000000"/>
                  <w:sz w:val="24"/>
                  <w:szCs w:val="24"/>
                </w:rPr>
                <w:t>800/2008</w:t>
              </w:r>
            </w:hyperlink>
            <w:r w:rsidRPr="00DB4A2D">
              <w:rPr>
                <w:rFonts w:ascii="Times New Roman" w:hAnsi="Times New Roman"/>
                <w:sz w:val="24"/>
                <w:szCs w:val="24"/>
              </w:rPr>
              <w:t xml:space="preserve"> 1.pielikumam un uz tiem attiecināmas </w:t>
            </w:r>
            <w:r w:rsidRPr="00DB4A2D">
              <w:rPr>
                <w:rFonts w:ascii="Times New Roman" w:hAnsi="Times New Roman"/>
                <w:color w:val="000000"/>
                <w:sz w:val="24"/>
                <w:szCs w:val="24"/>
              </w:rPr>
              <w:t>Komisijas regulas Nr.</w:t>
            </w:r>
            <w:hyperlink r:id="rId10" w:tgtFrame="_blank" w:tooltip="REGULA" w:history="1">
              <w:r w:rsidRPr="00DB4A2D">
                <w:rPr>
                  <w:rStyle w:val="Hyperlink"/>
                  <w:color w:val="000000"/>
                  <w:sz w:val="24"/>
                  <w:szCs w:val="24"/>
                </w:rPr>
                <w:t>800/2008</w:t>
              </w:r>
            </w:hyperlink>
            <w:r w:rsidRPr="00DB4A2D">
              <w:rPr>
                <w:rFonts w:ascii="Times New Roman" w:hAnsi="Times New Roman"/>
                <w:sz w:val="24"/>
                <w:szCs w:val="24"/>
              </w:rPr>
              <w:t xml:space="preserve"> </w:t>
            </w:r>
            <w:r w:rsidRPr="00DB4A2D">
              <w:rPr>
                <w:rFonts w:ascii="Times New Roman" w:hAnsi="Times New Roman"/>
                <w:color w:val="000000"/>
                <w:sz w:val="24"/>
                <w:szCs w:val="24"/>
              </w:rPr>
              <w:t xml:space="preserve">31.panta 3.punkta „c” apakšpunktā un 4.punkta „a” apakšpunktā </w:t>
            </w:r>
            <w:r w:rsidRPr="00DB4A2D">
              <w:rPr>
                <w:rFonts w:ascii="Times New Roman" w:hAnsi="Times New Roman"/>
                <w:sz w:val="24"/>
                <w:szCs w:val="24"/>
              </w:rPr>
              <w:t xml:space="preserve">noteiktās atbalsta intensitātes, kas nepārsniedz </w:t>
            </w:r>
            <w:r w:rsidRPr="00DB4A2D">
              <w:rPr>
                <w:rFonts w:ascii="Times New Roman" w:hAnsi="Times New Roman"/>
                <w:color w:val="000000"/>
                <w:sz w:val="24"/>
                <w:szCs w:val="24"/>
              </w:rPr>
              <w:t>no projekta kopējām attiecināmajām izmaksām</w:t>
            </w:r>
            <w:r w:rsidRPr="00DB4A2D">
              <w:rPr>
                <w:rFonts w:ascii="Times New Roman" w:hAnsi="Times New Roman"/>
                <w:sz w:val="24"/>
                <w:szCs w:val="24"/>
              </w:rPr>
              <w:t>: 45% sīkajiem (mikro) un mazajiem komersantiem, 35% vidējiem komersantiem, 25% lielajiem komersantiem.</w:t>
            </w:r>
          </w:p>
          <w:p w:rsidR="00BE0264" w:rsidRPr="00DB4A2D" w:rsidRDefault="00BE0264" w:rsidP="000105A1">
            <w:pPr>
              <w:jc w:val="both"/>
              <w:rPr>
                <w:rFonts w:ascii="Times New Roman" w:hAnsi="Times New Roman"/>
                <w:sz w:val="24"/>
                <w:szCs w:val="24"/>
              </w:rPr>
            </w:pPr>
            <w:r w:rsidRPr="00DB4A2D">
              <w:rPr>
                <w:rFonts w:ascii="Times New Roman" w:hAnsi="Times New Roman"/>
                <w:sz w:val="24"/>
                <w:szCs w:val="24"/>
              </w:rPr>
              <w:t>Valsts budžeta iestāde pēc projekta iesnieguma apstiprināšanas normatīvajos aktos noteiktajā kārtībā no valsts pamatbudžeta programmas 80.00.00 „Nesadalītais finansējums Eiropas Savienības politiku instrumentu un pārējās ārvalstu finanšu palīdzības līdzfinansēto projektu un pasākumu īstenošanai” var pieprasīt finansējumu projekta īstenošanai, ja tajā ir pieejami līdzekļi.</w:t>
            </w:r>
          </w:p>
          <w:p w:rsidR="00BE0264" w:rsidRPr="00DB4A2D" w:rsidRDefault="00BE0264" w:rsidP="000105A1">
            <w:pPr>
              <w:spacing w:after="0" w:line="240" w:lineRule="auto"/>
              <w:rPr>
                <w:b/>
                <w:i/>
                <w:sz w:val="24"/>
                <w:szCs w:val="24"/>
              </w:rPr>
            </w:pPr>
          </w:p>
        </w:tc>
      </w:tr>
    </w:tbl>
    <w:p w:rsidR="00BE0264" w:rsidRPr="00DB4A2D" w:rsidRDefault="00BE0264" w:rsidP="00BE0264">
      <w:pPr>
        <w:spacing w:after="0" w:line="240" w:lineRule="auto"/>
        <w:rPr>
          <w:rFonts w:ascii="Times New Roman" w:hAnsi="Times New Roman"/>
          <w:sz w:val="24"/>
          <w:szCs w:val="24"/>
        </w:rPr>
      </w:pPr>
    </w:p>
    <w:p w:rsidR="00BE0264" w:rsidRPr="00DB4A2D" w:rsidRDefault="00BE0264" w:rsidP="00BE0264">
      <w:pPr>
        <w:spacing w:after="0" w:line="240" w:lineRule="auto"/>
        <w:rPr>
          <w:rFonts w:ascii="Times New Roman" w:hAnsi="Times New Roman"/>
          <w:sz w:val="24"/>
          <w:szCs w:val="24"/>
        </w:rPr>
      </w:pPr>
    </w:p>
    <w:tbl>
      <w:tblPr>
        <w:tblW w:w="10164" w:type="dxa"/>
        <w:jc w:val="center"/>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2728"/>
        <w:gridCol w:w="6655"/>
      </w:tblGrid>
      <w:tr w:rsidR="00BE0264" w:rsidRPr="00DB4A2D" w:rsidTr="000105A1">
        <w:trPr>
          <w:trHeight w:val="461"/>
          <w:jc w:val="center"/>
        </w:trPr>
        <w:tc>
          <w:tcPr>
            <w:tcW w:w="10164" w:type="dxa"/>
            <w:gridSpan w:val="3"/>
            <w:vAlign w:val="center"/>
          </w:tcPr>
          <w:p w:rsidR="00BE0264" w:rsidRPr="00DB4A2D" w:rsidRDefault="00BE0264" w:rsidP="000105A1">
            <w:pPr>
              <w:pStyle w:val="naisnod"/>
              <w:spacing w:before="0" w:beforeAutospacing="0" w:after="0" w:afterAutospacing="0"/>
              <w:jc w:val="center"/>
              <w:rPr>
                <w:b/>
              </w:rPr>
            </w:pPr>
            <w:r w:rsidRPr="00DB4A2D">
              <w:br w:type="page"/>
            </w:r>
            <w:r w:rsidRPr="00DB4A2D">
              <w:rPr>
                <w:b/>
              </w:rPr>
              <w:t>IV. Tiesību akta projekta ietekme uz spēkā esošo tiesību normu sistēmu</w:t>
            </w:r>
          </w:p>
        </w:tc>
      </w:tr>
      <w:tr w:rsidR="00BE0264" w:rsidRPr="00DB4A2D" w:rsidTr="000105A1">
        <w:trPr>
          <w:jc w:val="center"/>
        </w:trPr>
        <w:tc>
          <w:tcPr>
            <w:tcW w:w="781" w:type="dxa"/>
          </w:tcPr>
          <w:p w:rsidR="00BE0264" w:rsidRPr="00DB4A2D" w:rsidRDefault="00BE0264" w:rsidP="000105A1">
            <w:pPr>
              <w:pStyle w:val="naiskr"/>
              <w:tabs>
                <w:tab w:val="left" w:pos="2628"/>
              </w:tabs>
              <w:spacing w:before="0" w:beforeAutospacing="0" w:after="0" w:afterAutospacing="0"/>
              <w:jc w:val="both"/>
              <w:rPr>
                <w:iCs/>
              </w:rPr>
            </w:pPr>
            <w:r w:rsidRPr="00DB4A2D">
              <w:rPr>
                <w:iCs/>
              </w:rPr>
              <w:t>1.</w:t>
            </w:r>
          </w:p>
        </w:tc>
        <w:tc>
          <w:tcPr>
            <w:tcW w:w="2728" w:type="dxa"/>
          </w:tcPr>
          <w:p w:rsidR="00BE0264" w:rsidRPr="00DB4A2D" w:rsidRDefault="00BE0264" w:rsidP="000105A1">
            <w:pPr>
              <w:pStyle w:val="naiskr"/>
              <w:tabs>
                <w:tab w:val="left" w:pos="2628"/>
              </w:tabs>
              <w:spacing w:before="0" w:beforeAutospacing="0" w:after="0" w:afterAutospacing="0"/>
              <w:jc w:val="both"/>
              <w:rPr>
                <w:iCs/>
              </w:rPr>
            </w:pPr>
            <w:r w:rsidRPr="00DB4A2D">
              <w:t>Nepieciešamie saistītie tiesību aktu projekti</w:t>
            </w:r>
          </w:p>
        </w:tc>
        <w:tc>
          <w:tcPr>
            <w:tcW w:w="6655" w:type="dxa"/>
          </w:tcPr>
          <w:p w:rsidR="00BE0264" w:rsidRPr="00DB4A2D" w:rsidRDefault="00BE0264" w:rsidP="000105A1">
            <w:pPr>
              <w:shd w:val="clear" w:color="auto" w:fill="FFFFFF"/>
              <w:spacing w:after="0" w:line="240" w:lineRule="auto"/>
              <w:jc w:val="both"/>
              <w:rPr>
                <w:rFonts w:ascii="Times New Roman" w:hAnsi="Times New Roman"/>
                <w:sz w:val="24"/>
                <w:szCs w:val="24"/>
              </w:rPr>
            </w:pPr>
            <w:r w:rsidRPr="00DB4A2D">
              <w:rPr>
                <w:rFonts w:ascii="Times New Roman" w:hAnsi="Times New Roman"/>
                <w:sz w:val="24"/>
                <w:szCs w:val="24"/>
              </w:rPr>
              <w:t xml:space="preserve">Nav </w:t>
            </w:r>
          </w:p>
        </w:tc>
      </w:tr>
      <w:tr w:rsidR="00BE0264" w:rsidRPr="00DB4A2D" w:rsidTr="000105A1">
        <w:trPr>
          <w:jc w:val="center"/>
        </w:trPr>
        <w:tc>
          <w:tcPr>
            <w:tcW w:w="781" w:type="dxa"/>
          </w:tcPr>
          <w:p w:rsidR="00BE0264" w:rsidRPr="00DB4A2D" w:rsidRDefault="00BE0264" w:rsidP="000105A1">
            <w:pPr>
              <w:pStyle w:val="naiskr"/>
              <w:tabs>
                <w:tab w:val="left" w:pos="2628"/>
              </w:tabs>
              <w:spacing w:before="0" w:beforeAutospacing="0" w:after="0" w:afterAutospacing="0"/>
              <w:jc w:val="both"/>
              <w:rPr>
                <w:iCs/>
              </w:rPr>
            </w:pPr>
            <w:r w:rsidRPr="00DB4A2D">
              <w:rPr>
                <w:iCs/>
              </w:rPr>
              <w:t>2.</w:t>
            </w:r>
          </w:p>
        </w:tc>
        <w:tc>
          <w:tcPr>
            <w:tcW w:w="2728" w:type="dxa"/>
          </w:tcPr>
          <w:p w:rsidR="00BE0264" w:rsidRPr="00DB4A2D" w:rsidRDefault="00BE0264" w:rsidP="000105A1">
            <w:pPr>
              <w:pStyle w:val="naiskr"/>
              <w:tabs>
                <w:tab w:val="left" w:pos="2628"/>
              </w:tabs>
              <w:spacing w:before="0" w:beforeAutospacing="0" w:after="0" w:afterAutospacing="0"/>
              <w:jc w:val="both"/>
            </w:pPr>
            <w:r w:rsidRPr="00DB4A2D">
              <w:t>Atbildīgā institūcija</w:t>
            </w:r>
          </w:p>
        </w:tc>
        <w:tc>
          <w:tcPr>
            <w:tcW w:w="6655" w:type="dxa"/>
          </w:tcPr>
          <w:p w:rsidR="00BE0264" w:rsidRPr="00DB4A2D" w:rsidRDefault="00BE0264" w:rsidP="000105A1">
            <w:pPr>
              <w:shd w:val="clear" w:color="auto" w:fill="FFFFFF"/>
              <w:spacing w:after="0" w:line="240" w:lineRule="auto"/>
              <w:jc w:val="both"/>
              <w:rPr>
                <w:rFonts w:ascii="Times New Roman" w:hAnsi="Times New Roman"/>
                <w:color w:val="000000"/>
                <w:sz w:val="24"/>
                <w:szCs w:val="24"/>
                <w:lang w:eastAsia="lv-LV"/>
              </w:rPr>
            </w:pPr>
            <w:r w:rsidRPr="00DB4A2D">
              <w:rPr>
                <w:rFonts w:ascii="Times New Roman" w:hAnsi="Times New Roman"/>
                <w:sz w:val="24"/>
                <w:szCs w:val="24"/>
              </w:rPr>
              <w:t>Par MK noteikumu izstrādi, noteikumu grozījumu izstrādi un MK noteikumu atzīšanu par spēku zaudējušiem, atbildīga Vides aizsardzības un reģionālās attīstības ministrija.</w:t>
            </w:r>
          </w:p>
        </w:tc>
      </w:tr>
      <w:tr w:rsidR="00BE0264" w:rsidRPr="00DB4A2D" w:rsidTr="000105A1">
        <w:trPr>
          <w:jc w:val="center"/>
        </w:trPr>
        <w:tc>
          <w:tcPr>
            <w:tcW w:w="781" w:type="dxa"/>
          </w:tcPr>
          <w:p w:rsidR="00BE0264" w:rsidRPr="00DB4A2D" w:rsidRDefault="00BE0264" w:rsidP="000105A1">
            <w:pPr>
              <w:pStyle w:val="naiskr"/>
              <w:tabs>
                <w:tab w:val="left" w:pos="2628"/>
              </w:tabs>
              <w:spacing w:before="0" w:beforeAutospacing="0" w:after="0" w:afterAutospacing="0"/>
              <w:jc w:val="both"/>
              <w:rPr>
                <w:iCs/>
              </w:rPr>
            </w:pPr>
            <w:r w:rsidRPr="00DB4A2D">
              <w:rPr>
                <w:iCs/>
              </w:rPr>
              <w:t>3.</w:t>
            </w:r>
          </w:p>
        </w:tc>
        <w:tc>
          <w:tcPr>
            <w:tcW w:w="2728" w:type="dxa"/>
          </w:tcPr>
          <w:p w:rsidR="00BE0264" w:rsidRPr="00DB4A2D" w:rsidRDefault="00BE0264" w:rsidP="000105A1">
            <w:pPr>
              <w:pStyle w:val="naiskr"/>
              <w:tabs>
                <w:tab w:val="left" w:pos="2628"/>
              </w:tabs>
              <w:spacing w:before="0" w:beforeAutospacing="0" w:after="0" w:afterAutospacing="0"/>
              <w:jc w:val="both"/>
              <w:rPr>
                <w:iCs/>
              </w:rPr>
            </w:pPr>
            <w:r w:rsidRPr="00DB4A2D">
              <w:t>Cita informācija</w:t>
            </w:r>
          </w:p>
        </w:tc>
        <w:tc>
          <w:tcPr>
            <w:tcW w:w="6655" w:type="dxa"/>
          </w:tcPr>
          <w:p w:rsidR="00BE0264" w:rsidRPr="00DB4A2D" w:rsidRDefault="00BE0264" w:rsidP="000105A1">
            <w:pPr>
              <w:pStyle w:val="naiskr"/>
              <w:tabs>
                <w:tab w:val="left" w:pos="2628"/>
              </w:tabs>
              <w:spacing w:before="0" w:beforeAutospacing="0" w:after="0" w:afterAutospacing="0"/>
              <w:jc w:val="both"/>
              <w:rPr>
                <w:iCs/>
              </w:rPr>
            </w:pPr>
            <w:r w:rsidRPr="00DB4A2D">
              <w:t>Nav</w:t>
            </w:r>
          </w:p>
        </w:tc>
      </w:tr>
    </w:tbl>
    <w:p w:rsidR="00BE0264" w:rsidRPr="00DB4A2D" w:rsidRDefault="00BE0264" w:rsidP="00BE0264">
      <w:pPr>
        <w:spacing w:after="0" w:line="240" w:lineRule="auto"/>
        <w:rPr>
          <w:rFonts w:ascii="Times New Roman" w:hAnsi="Times New Roman"/>
          <w:sz w:val="24"/>
          <w:szCs w:val="24"/>
        </w:rPr>
      </w:pPr>
    </w:p>
    <w:tbl>
      <w:tblPr>
        <w:tblW w:w="10265" w:type="dxa"/>
        <w:jc w:val="center"/>
        <w:tblInd w:w="-29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776"/>
        <w:gridCol w:w="1678"/>
        <w:gridCol w:w="301"/>
        <w:gridCol w:w="834"/>
        <w:gridCol w:w="1126"/>
        <w:gridCol w:w="1256"/>
        <w:gridCol w:w="1340"/>
        <w:gridCol w:w="2940"/>
        <w:gridCol w:w="14"/>
      </w:tblGrid>
      <w:tr w:rsidR="00BE0264" w:rsidRPr="00DB4A2D" w:rsidTr="000105A1">
        <w:trPr>
          <w:gridAfter w:val="1"/>
          <w:wAfter w:w="14" w:type="dxa"/>
          <w:jc w:val="center"/>
        </w:trPr>
        <w:tc>
          <w:tcPr>
            <w:tcW w:w="10251" w:type="dxa"/>
            <w:gridSpan w:val="8"/>
            <w:tcBorders>
              <w:top w:val="outset" w:sz="6" w:space="0" w:color="auto"/>
              <w:bottom w:val="outset" w:sz="6" w:space="0" w:color="auto"/>
            </w:tcBorders>
            <w:vAlign w:val="center"/>
          </w:tcPr>
          <w:p w:rsidR="00BE0264" w:rsidRPr="00DB4A2D" w:rsidRDefault="00BE0264" w:rsidP="000105A1">
            <w:pPr>
              <w:spacing w:after="0" w:line="240" w:lineRule="auto"/>
              <w:jc w:val="center"/>
              <w:rPr>
                <w:rFonts w:ascii="Times New Roman" w:hAnsi="Times New Roman"/>
                <w:b/>
                <w:sz w:val="24"/>
                <w:szCs w:val="24"/>
              </w:rPr>
            </w:pPr>
            <w:r w:rsidRPr="00DB4A2D">
              <w:rPr>
                <w:rFonts w:ascii="Times New Roman" w:hAnsi="Times New Roman"/>
                <w:b/>
                <w:sz w:val="24"/>
                <w:szCs w:val="24"/>
              </w:rPr>
              <w:t>V. Tiesību akta projekta atbilstība Latvijas Republikas starptautiskajām saistībām</w:t>
            </w:r>
          </w:p>
        </w:tc>
      </w:tr>
      <w:tr w:rsidR="00BE0264" w:rsidRPr="00DB4A2D" w:rsidTr="000105A1">
        <w:trPr>
          <w:gridAfter w:val="1"/>
          <w:wAfter w:w="14" w:type="dxa"/>
          <w:trHeight w:val="1171"/>
          <w:jc w:val="center"/>
        </w:trPr>
        <w:tc>
          <w:tcPr>
            <w:tcW w:w="776" w:type="dxa"/>
            <w:tcBorders>
              <w:top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1.</w:t>
            </w:r>
          </w:p>
        </w:tc>
        <w:tc>
          <w:tcPr>
            <w:tcW w:w="2813" w:type="dxa"/>
            <w:gridSpan w:val="3"/>
            <w:tcBorders>
              <w:top w:val="outset" w:sz="6" w:space="0" w:color="auto"/>
              <w:left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Saistības pret Eiropas Savienību</w:t>
            </w:r>
          </w:p>
        </w:tc>
        <w:tc>
          <w:tcPr>
            <w:tcW w:w="6662" w:type="dxa"/>
            <w:gridSpan w:val="4"/>
            <w:tcBorders>
              <w:top w:val="outset" w:sz="6" w:space="0" w:color="auto"/>
              <w:left w:val="outset" w:sz="6" w:space="0" w:color="auto"/>
              <w:bottom w:val="outset" w:sz="6" w:space="0" w:color="auto"/>
            </w:tcBorders>
          </w:tcPr>
          <w:p w:rsidR="00BE0264" w:rsidRPr="00DB4A2D" w:rsidRDefault="00BE0264" w:rsidP="000105A1">
            <w:pPr>
              <w:jc w:val="both"/>
              <w:rPr>
                <w:rFonts w:ascii="Times New Roman" w:hAnsi="Times New Roman"/>
                <w:sz w:val="24"/>
                <w:szCs w:val="24"/>
              </w:rPr>
            </w:pPr>
            <w:r w:rsidRPr="00DB4A2D">
              <w:rPr>
                <w:szCs w:val="24"/>
              </w:rPr>
              <w:t xml:space="preserve"> </w:t>
            </w:r>
            <w:r w:rsidRPr="00DB4A2D">
              <w:rPr>
                <w:rFonts w:ascii="Times New Roman" w:hAnsi="Times New Roman"/>
                <w:sz w:val="24"/>
                <w:szCs w:val="24"/>
              </w:rPr>
              <w:t>Tiesību akta projekts nodrošina Eiropas Savienības tiesību akta – Komisijas 2008.gada 6.augusta Regulas Nr.800/2008, kas atzīst noteiktas atbalsta kategorijas par saderīgām ar kopējo tirgu, piemērojot Līguma 87.un 88.pantu (vispārējā grupu atbrīvojumu regula) - prasību ievērošanu</w:t>
            </w:r>
          </w:p>
          <w:p w:rsidR="00BE0264" w:rsidRPr="00DB4A2D" w:rsidRDefault="00BE0264" w:rsidP="000105A1">
            <w:pPr>
              <w:tabs>
                <w:tab w:val="left" w:pos="835"/>
              </w:tabs>
              <w:spacing w:after="0" w:line="240" w:lineRule="auto"/>
              <w:ind w:left="1440"/>
              <w:jc w:val="both"/>
              <w:rPr>
                <w:rFonts w:ascii="Times New Roman" w:hAnsi="Times New Roman"/>
                <w:sz w:val="24"/>
                <w:szCs w:val="24"/>
              </w:rPr>
            </w:pPr>
          </w:p>
        </w:tc>
      </w:tr>
      <w:tr w:rsidR="00BE0264" w:rsidRPr="00DB4A2D" w:rsidTr="000105A1">
        <w:trPr>
          <w:jc w:val="center"/>
        </w:trPr>
        <w:tc>
          <w:tcPr>
            <w:tcW w:w="776" w:type="dxa"/>
            <w:tcBorders>
              <w:top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2.</w:t>
            </w:r>
          </w:p>
        </w:tc>
        <w:tc>
          <w:tcPr>
            <w:tcW w:w="2813" w:type="dxa"/>
            <w:gridSpan w:val="3"/>
            <w:tcBorders>
              <w:top w:val="outset" w:sz="6" w:space="0" w:color="auto"/>
              <w:left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Citas starptautiskās saistības</w:t>
            </w:r>
          </w:p>
        </w:tc>
        <w:tc>
          <w:tcPr>
            <w:tcW w:w="6676" w:type="dxa"/>
            <w:gridSpan w:val="5"/>
            <w:tcBorders>
              <w:top w:val="outset" w:sz="6" w:space="0" w:color="auto"/>
              <w:left w:val="outset" w:sz="6" w:space="0" w:color="auto"/>
              <w:bottom w:val="outset" w:sz="6" w:space="0" w:color="auto"/>
            </w:tcBorders>
          </w:tcPr>
          <w:p w:rsidR="00BE0264" w:rsidRPr="00DB4A2D" w:rsidRDefault="00BE0264" w:rsidP="000105A1">
            <w:pPr>
              <w:spacing w:after="0" w:line="240" w:lineRule="auto"/>
              <w:ind w:left="57"/>
              <w:jc w:val="both"/>
              <w:rPr>
                <w:rFonts w:ascii="Times New Roman" w:hAnsi="Times New Roman"/>
                <w:sz w:val="24"/>
                <w:szCs w:val="24"/>
              </w:rPr>
            </w:pPr>
            <w:r w:rsidRPr="00DB4A2D">
              <w:rPr>
                <w:rFonts w:ascii="Times New Roman" w:hAnsi="Times New Roman"/>
                <w:sz w:val="24"/>
                <w:szCs w:val="24"/>
              </w:rPr>
              <w:t>MK noteikumu projekts izstrādāts, lai nodrošinātu Saprašanās memoranda starp Latvijas Republiku, Īslandes, Lihtenšteinas Firstistēm un Norvēģijas Karalisti B pielikumā norādītās programmas „Nacionālā klimata politika” ietvaros plānotā atklātā konkursa īstenošanu.</w:t>
            </w:r>
          </w:p>
          <w:p w:rsidR="00BE0264" w:rsidRPr="00DB4A2D" w:rsidRDefault="00BE0264" w:rsidP="000105A1">
            <w:pPr>
              <w:spacing w:after="0" w:line="240" w:lineRule="auto"/>
              <w:ind w:left="57"/>
              <w:jc w:val="both"/>
              <w:rPr>
                <w:rFonts w:ascii="Times New Roman" w:hAnsi="Times New Roman"/>
                <w:sz w:val="24"/>
                <w:szCs w:val="24"/>
              </w:rPr>
            </w:pPr>
            <w:r w:rsidRPr="00DB4A2D">
              <w:rPr>
                <w:rFonts w:ascii="Times New Roman" w:hAnsi="Times New Roman"/>
                <w:sz w:val="24"/>
                <w:szCs w:val="24"/>
              </w:rPr>
              <w:t>Kā arī MK noteikumu projekta izstrādi pamato 2013.gada 6. martā noslēgtais programmas „Nacionālā klimata politika” līgums.</w:t>
            </w:r>
          </w:p>
        </w:tc>
      </w:tr>
      <w:tr w:rsidR="00BE0264" w:rsidRPr="00DB4A2D" w:rsidTr="000105A1">
        <w:trPr>
          <w:gridAfter w:val="1"/>
          <w:wAfter w:w="14" w:type="dxa"/>
          <w:jc w:val="center"/>
        </w:trPr>
        <w:tc>
          <w:tcPr>
            <w:tcW w:w="776" w:type="dxa"/>
            <w:tcBorders>
              <w:top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3.</w:t>
            </w:r>
          </w:p>
        </w:tc>
        <w:tc>
          <w:tcPr>
            <w:tcW w:w="2813" w:type="dxa"/>
            <w:gridSpan w:val="3"/>
            <w:tcBorders>
              <w:top w:val="outset" w:sz="6" w:space="0" w:color="auto"/>
              <w:left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Cita informācija</w:t>
            </w:r>
          </w:p>
        </w:tc>
        <w:tc>
          <w:tcPr>
            <w:tcW w:w="6662" w:type="dxa"/>
            <w:gridSpan w:val="4"/>
            <w:tcBorders>
              <w:top w:val="outset" w:sz="6" w:space="0" w:color="auto"/>
              <w:left w:val="outset" w:sz="6" w:space="0" w:color="auto"/>
              <w:bottom w:val="outset" w:sz="6" w:space="0" w:color="auto"/>
            </w:tcBorders>
          </w:tcPr>
          <w:p w:rsidR="00BE0264" w:rsidRPr="00DB4A2D" w:rsidRDefault="00BE0264" w:rsidP="000105A1">
            <w:pPr>
              <w:jc w:val="both"/>
              <w:rPr>
                <w:rFonts w:ascii="Times New Roman" w:hAnsi="Times New Roman"/>
                <w:iCs/>
                <w:sz w:val="24"/>
                <w:szCs w:val="24"/>
              </w:rPr>
            </w:pPr>
            <w:r w:rsidRPr="00DB4A2D">
              <w:rPr>
                <w:rFonts w:ascii="Times New Roman" w:hAnsi="Times New Roman"/>
                <w:sz w:val="24"/>
                <w:szCs w:val="24"/>
              </w:rPr>
              <w:t>MK noteikumu projektā paredzētās valsts atbalsta aktivitātes, kuras ir plānots sniegt saskaņā ar Komisijas Regulu Nr. 800/2008, ir atbilstošas Latvijas plānošanas dokumentos paredzētajām prioritātēm - atbalsts paredzēts Nacionālā attīstības plāna (NAP) 2014.- 2020.gadam rīcības virziena „Energoefektivitāte un enerģijas ražošana” uzdevumam „Atbalsts inovatīvu un energoefektivitātes tehnoloģiju projektiem”.</w:t>
            </w:r>
          </w:p>
          <w:p w:rsidR="00BE0264" w:rsidRPr="00DB4A2D" w:rsidRDefault="00BE0264" w:rsidP="000105A1">
            <w:pPr>
              <w:spacing w:after="0" w:line="240" w:lineRule="auto"/>
              <w:ind w:left="57"/>
              <w:jc w:val="both"/>
              <w:rPr>
                <w:rFonts w:ascii="Times New Roman" w:hAnsi="Times New Roman"/>
                <w:sz w:val="24"/>
                <w:szCs w:val="24"/>
              </w:rPr>
            </w:pPr>
          </w:p>
        </w:tc>
      </w:tr>
      <w:tr w:rsidR="00BE0264" w:rsidRPr="00DB4A2D" w:rsidTr="000105A1">
        <w:trPr>
          <w:gridAfter w:val="1"/>
          <w:wAfter w:w="14" w:type="dxa"/>
          <w:jc w:val="center"/>
        </w:trPr>
        <w:tc>
          <w:tcPr>
            <w:tcW w:w="10251" w:type="dxa"/>
            <w:gridSpan w:val="8"/>
            <w:tcBorders>
              <w:top w:val="outset" w:sz="6" w:space="0" w:color="auto"/>
              <w:bottom w:val="outset" w:sz="6" w:space="0" w:color="auto"/>
            </w:tcBorders>
            <w:vAlign w:val="center"/>
          </w:tcPr>
          <w:p w:rsidR="00BE0264" w:rsidRPr="00DB4A2D" w:rsidRDefault="00BE0264" w:rsidP="000105A1">
            <w:pPr>
              <w:spacing w:after="0" w:line="240" w:lineRule="auto"/>
              <w:ind w:left="57"/>
              <w:jc w:val="center"/>
              <w:rPr>
                <w:rFonts w:ascii="Times New Roman" w:hAnsi="Times New Roman"/>
                <w:b/>
                <w:sz w:val="24"/>
                <w:szCs w:val="24"/>
              </w:rPr>
            </w:pPr>
            <w:r w:rsidRPr="00DB4A2D">
              <w:rPr>
                <w:rFonts w:ascii="Times New Roman" w:hAnsi="Times New Roman"/>
                <w:b/>
                <w:sz w:val="24"/>
                <w:szCs w:val="24"/>
              </w:rPr>
              <w:t>1.tabula</w:t>
            </w:r>
          </w:p>
          <w:p w:rsidR="00BE0264" w:rsidRPr="00DB4A2D" w:rsidRDefault="00BE0264" w:rsidP="000105A1">
            <w:pPr>
              <w:spacing w:after="0" w:line="240" w:lineRule="auto"/>
              <w:ind w:left="57"/>
              <w:jc w:val="center"/>
              <w:rPr>
                <w:rFonts w:ascii="Times New Roman" w:hAnsi="Times New Roman"/>
                <w:sz w:val="24"/>
                <w:szCs w:val="24"/>
              </w:rPr>
            </w:pPr>
            <w:r w:rsidRPr="00DB4A2D">
              <w:rPr>
                <w:rFonts w:ascii="Times New Roman" w:hAnsi="Times New Roman"/>
                <w:b/>
                <w:sz w:val="24"/>
                <w:szCs w:val="24"/>
              </w:rPr>
              <w:t>Tiesību akta projekta atbilstība ES tiesību aktiem</w:t>
            </w:r>
          </w:p>
        </w:tc>
      </w:tr>
      <w:tr w:rsidR="00BE0264" w:rsidRPr="00DB4A2D" w:rsidTr="000105A1">
        <w:trPr>
          <w:gridAfter w:val="1"/>
          <w:wAfter w:w="14" w:type="dxa"/>
          <w:jc w:val="center"/>
        </w:trPr>
        <w:tc>
          <w:tcPr>
            <w:tcW w:w="2454" w:type="dxa"/>
            <w:gridSpan w:val="2"/>
            <w:tcBorders>
              <w:top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Attiecīgā ES tiesību akta datums, numurs un nosaukums</w:t>
            </w:r>
          </w:p>
        </w:tc>
        <w:tc>
          <w:tcPr>
            <w:tcW w:w="7797" w:type="dxa"/>
            <w:gridSpan w:val="6"/>
            <w:tcBorders>
              <w:top w:val="outset" w:sz="6" w:space="0" w:color="auto"/>
              <w:left w:val="outset" w:sz="6" w:space="0" w:color="auto"/>
              <w:bottom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Projekts šo jomu neskar</w:t>
            </w:r>
          </w:p>
        </w:tc>
      </w:tr>
      <w:tr w:rsidR="00BE0264" w:rsidRPr="00DB4A2D" w:rsidTr="000105A1">
        <w:trPr>
          <w:gridAfter w:val="1"/>
          <w:wAfter w:w="14" w:type="dxa"/>
          <w:jc w:val="center"/>
        </w:trPr>
        <w:tc>
          <w:tcPr>
            <w:tcW w:w="2454" w:type="dxa"/>
            <w:gridSpan w:val="2"/>
            <w:tcBorders>
              <w:top w:val="outset" w:sz="6" w:space="0" w:color="auto"/>
              <w:bottom w:val="outset" w:sz="6" w:space="0" w:color="auto"/>
              <w:right w:val="outset" w:sz="6" w:space="0" w:color="auto"/>
            </w:tcBorders>
            <w:vAlign w:val="center"/>
          </w:tcPr>
          <w:p w:rsidR="00BE0264" w:rsidRPr="00DB4A2D" w:rsidRDefault="00BE0264" w:rsidP="000105A1">
            <w:pPr>
              <w:spacing w:after="0" w:line="240" w:lineRule="auto"/>
              <w:ind w:left="57"/>
              <w:jc w:val="center"/>
              <w:rPr>
                <w:rFonts w:ascii="Times New Roman" w:hAnsi="Times New Roman"/>
                <w:sz w:val="24"/>
                <w:szCs w:val="24"/>
              </w:rPr>
            </w:pPr>
            <w:r w:rsidRPr="00DB4A2D">
              <w:rPr>
                <w:rFonts w:ascii="Times New Roman" w:hAnsi="Times New Roman"/>
                <w:sz w:val="24"/>
                <w:szCs w:val="24"/>
              </w:rPr>
              <w:t>A</w:t>
            </w:r>
          </w:p>
        </w:tc>
        <w:tc>
          <w:tcPr>
            <w:tcW w:w="2261" w:type="dxa"/>
            <w:gridSpan w:val="3"/>
            <w:tcBorders>
              <w:top w:val="outset" w:sz="6" w:space="0" w:color="auto"/>
              <w:left w:val="outset" w:sz="6" w:space="0" w:color="auto"/>
              <w:bottom w:val="outset" w:sz="6" w:space="0" w:color="auto"/>
              <w:right w:val="outset" w:sz="6" w:space="0" w:color="auto"/>
            </w:tcBorders>
            <w:vAlign w:val="center"/>
          </w:tcPr>
          <w:p w:rsidR="00BE0264" w:rsidRPr="00DB4A2D" w:rsidRDefault="00BE0264" w:rsidP="000105A1">
            <w:pPr>
              <w:spacing w:after="0" w:line="240" w:lineRule="auto"/>
              <w:ind w:left="57"/>
              <w:jc w:val="center"/>
              <w:rPr>
                <w:rFonts w:ascii="Times New Roman" w:hAnsi="Times New Roman"/>
                <w:sz w:val="24"/>
                <w:szCs w:val="24"/>
              </w:rPr>
            </w:pPr>
            <w:r w:rsidRPr="00DB4A2D">
              <w:rPr>
                <w:rFonts w:ascii="Times New Roman" w:hAnsi="Times New Roman"/>
                <w:sz w:val="24"/>
                <w:szCs w:val="24"/>
              </w:rPr>
              <w:t>B</w:t>
            </w:r>
          </w:p>
        </w:tc>
        <w:tc>
          <w:tcPr>
            <w:tcW w:w="2596" w:type="dxa"/>
            <w:gridSpan w:val="2"/>
            <w:tcBorders>
              <w:top w:val="outset" w:sz="6" w:space="0" w:color="auto"/>
              <w:left w:val="outset" w:sz="6" w:space="0" w:color="auto"/>
              <w:bottom w:val="outset" w:sz="6" w:space="0" w:color="auto"/>
              <w:right w:val="outset" w:sz="6" w:space="0" w:color="auto"/>
            </w:tcBorders>
            <w:vAlign w:val="center"/>
          </w:tcPr>
          <w:p w:rsidR="00BE0264" w:rsidRPr="00DB4A2D" w:rsidRDefault="00BE0264" w:rsidP="000105A1">
            <w:pPr>
              <w:spacing w:after="0" w:line="240" w:lineRule="auto"/>
              <w:ind w:left="57"/>
              <w:jc w:val="center"/>
              <w:rPr>
                <w:rFonts w:ascii="Times New Roman" w:hAnsi="Times New Roman"/>
                <w:sz w:val="24"/>
                <w:szCs w:val="24"/>
              </w:rPr>
            </w:pPr>
            <w:r w:rsidRPr="00DB4A2D">
              <w:rPr>
                <w:rFonts w:ascii="Times New Roman" w:hAnsi="Times New Roman"/>
                <w:sz w:val="24"/>
                <w:szCs w:val="24"/>
              </w:rPr>
              <w:t>C</w:t>
            </w:r>
          </w:p>
        </w:tc>
        <w:tc>
          <w:tcPr>
            <w:tcW w:w="2940" w:type="dxa"/>
            <w:tcBorders>
              <w:top w:val="outset" w:sz="6" w:space="0" w:color="auto"/>
              <w:left w:val="outset" w:sz="6" w:space="0" w:color="auto"/>
              <w:bottom w:val="outset" w:sz="6" w:space="0" w:color="auto"/>
            </w:tcBorders>
            <w:vAlign w:val="center"/>
          </w:tcPr>
          <w:p w:rsidR="00BE0264" w:rsidRPr="00DB4A2D" w:rsidRDefault="00BE0264" w:rsidP="000105A1">
            <w:pPr>
              <w:spacing w:after="0" w:line="240" w:lineRule="auto"/>
              <w:ind w:left="57"/>
              <w:jc w:val="center"/>
              <w:rPr>
                <w:rFonts w:ascii="Times New Roman" w:hAnsi="Times New Roman"/>
                <w:sz w:val="24"/>
                <w:szCs w:val="24"/>
              </w:rPr>
            </w:pPr>
            <w:r w:rsidRPr="00DB4A2D">
              <w:rPr>
                <w:rFonts w:ascii="Times New Roman" w:hAnsi="Times New Roman"/>
                <w:sz w:val="24"/>
                <w:szCs w:val="24"/>
              </w:rPr>
              <w:t>D</w:t>
            </w:r>
          </w:p>
        </w:tc>
      </w:tr>
      <w:tr w:rsidR="00BE0264" w:rsidRPr="00DB4A2D" w:rsidTr="000105A1">
        <w:trPr>
          <w:gridAfter w:val="1"/>
          <w:wAfter w:w="14" w:type="dxa"/>
          <w:jc w:val="center"/>
        </w:trPr>
        <w:tc>
          <w:tcPr>
            <w:tcW w:w="2454" w:type="dxa"/>
            <w:gridSpan w:val="2"/>
            <w:tcBorders>
              <w:top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pacing w:val="-3"/>
                <w:sz w:val="24"/>
                <w:szCs w:val="24"/>
              </w:rPr>
            </w:pPr>
            <w:r w:rsidRPr="00DB4A2D">
              <w:rPr>
                <w:rFonts w:ascii="Times New Roman" w:hAnsi="Times New Roman"/>
                <w:spacing w:val="-3"/>
                <w:sz w:val="24"/>
                <w:szCs w:val="24"/>
              </w:rPr>
              <w:t>Attiecīgā ES tiesību akta panta numurs (uzskaitot katru tiesību akta vienību – pantu, daļu, punktu, apakšpunktu)</w:t>
            </w:r>
          </w:p>
        </w:tc>
        <w:tc>
          <w:tcPr>
            <w:tcW w:w="2261" w:type="dxa"/>
            <w:gridSpan w:val="3"/>
            <w:tcBorders>
              <w:top w:val="outset" w:sz="6" w:space="0" w:color="auto"/>
              <w:left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pacing w:val="-3"/>
                <w:sz w:val="24"/>
                <w:szCs w:val="24"/>
              </w:rPr>
            </w:pPr>
            <w:r w:rsidRPr="00DB4A2D">
              <w:rPr>
                <w:rFonts w:ascii="Times New Roman" w:hAnsi="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596" w:type="dxa"/>
            <w:gridSpan w:val="2"/>
            <w:tcBorders>
              <w:top w:val="outset" w:sz="6" w:space="0" w:color="auto"/>
              <w:left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pacing w:val="-3"/>
                <w:sz w:val="24"/>
                <w:szCs w:val="24"/>
              </w:rPr>
            </w:pPr>
            <w:r w:rsidRPr="00DB4A2D">
              <w:rPr>
                <w:rFonts w:ascii="Times New Roman" w:hAnsi="Times New Roman"/>
                <w:spacing w:val="-3"/>
                <w:sz w:val="24"/>
                <w:szCs w:val="24"/>
              </w:rPr>
              <w:t>Informācija par to, vai šīs tabulas A ailē minētās ES tiesību akta vienības tiek pārņemtas vai ieviestas pilnībā vai daļēji.</w:t>
            </w:r>
          </w:p>
          <w:p w:rsidR="00BE0264" w:rsidRPr="00DB4A2D" w:rsidRDefault="00BE0264" w:rsidP="000105A1">
            <w:pPr>
              <w:spacing w:after="0" w:line="240" w:lineRule="auto"/>
              <w:ind w:left="57"/>
              <w:rPr>
                <w:rFonts w:ascii="Times New Roman" w:hAnsi="Times New Roman"/>
                <w:spacing w:val="-3"/>
                <w:sz w:val="24"/>
                <w:szCs w:val="24"/>
              </w:rPr>
            </w:pPr>
            <w:r w:rsidRPr="00DB4A2D">
              <w:rPr>
                <w:rFonts w:ascii="Times New Roman" w:hAnsi="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rsidR="00BE0264" w:rsidRPr="00DB4A2D" w:rsidRDefault="00BE0264" w:rsidP="000105A1">
            <w:pPr>
              <w:spacing w:after="0" w:line="240" w:lineRule="auto"/>
              <w:ind w:left="57"/>
              <w:rPr>
                <w:rFonts w:ascii="Times New Roman" w:hAnsi="Times New Roman"/>
                <w:spacing w:val="-3"/>
                <w:sz w:val="24"/>
                <w:szCs w:val="24"/>
              </w:rPr>
            </w:pPr>
            <w:r w:rsidRPr="00DB4A2D">
              <w:rPr>
                <w:rFonts w:ascii="Times New Roman" w:hAnsi="Times New Roman"/>
                <w:spacing w:val="-3"/>
                <w:sz w:val="24"/>
                <w:szCs w:val="24"/>
              </w:rPr>
              <w:t>Norāda institūciju, kas ir atbildīga par šo saistību izpildi pilnībā</w:t>
            </w:r>
          </w:p>
        </w:tc>
        <w:tc>
          <w:tcPr>
            <w:tcW w:w="2940" w:type="dxa"/>
            <w:tcBorders>
              <w:top w:val="outset" w:sz="6" w:space="0" w:color="auto"/>
              <w:left w:val="outset" w:sz="6" w:space="0" w:color="auto"/>
              <w:bottom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pacing w:val="-3"/>
                <w:sz w:val="24"/>
                <w:szCs w:val="24"/>
              </w:rPr>
              <w:t xml:space="preserve">Informācija par to, vai šīs </w:t>
            </w:r>
            <w:r w:rsidRPr="00DB4A2D">
              <w:rPr>
                <w:rFonts w:ascii="Times New Roman" w:hAnsi="Times New Roman"/>
                <w:sz w:val="24"/>
                <w:szCs w:val="24"/>
              </w:rPr>
              <w:t>tabulas B ailē minētās projekta vienības paredz stingrākas prasības nekā šīs tabulas A ailē minētās ES tiesību akta vienības.</w:t>
            </w:r>
          </w:p>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Ja projekts satur stingrā</w:t>
            </w:r>
            <w:r w:rsidRPr="00DB4A2D">
              <w:rPr>
                <w:rFonts w:ascii="Times New Roman" w:hAnsi="Times New Roman"/>
                <w:sz w:val="24"/>
                <w:szCs w:val="24"/>
              </w:rPr>
              <w:softHyphen/>
              <w:t>kas prasības nekā attie</w:t>
            </w:r>
            <w:r w:rsidRPr="00DB4A2D">
              <w:rPr>
                <w:rFonts w:ascii="Times New Roman" w:hAnsi="Times New Roman"/>
                <w:sz w:val="24"/>
                <w:szCs w:val="24"/>
              </w:rPr>
              <w:softHyphen/>
              <w:t>cīgais ES tiesību akts, norāda pamatojumu un samērīgumu.</w:t>
            </w:r>
          </w:p>
          <w:p w:rsidR="00BE0264" w:rsidRPr="00DB4A2D" w:rsidRDefault="00BE0264" w:rsidP="000105A1">
            <w:pPr>
              <w:spacing w:after="0" w:line="240" w:lineRule="auto"/>
              <w:ind w:left="57"/>
              <w:rPr>
                <w:rFonts w:ascii="Times New Roman" w:hAnsi="Times New Roman"/>
                <w:spacing w:val="-3"/>
                <w:sz w:val="24"/>
                <w:szCs w:val="24"/>
              </w:rPr>
            </w:pPr>
            <w:r w:rsidRPr="00DB4A2D">
              <w:rPr>
                <w:rFonts w:ascii="Times New Roman" w:hAnsi="Times New Roman"/>
                <w:sz w:val="24"/>
                <w:szCs w:val="24"/>
              </w:rPr>
              <w:t>Norāda iespējamās alternatīvas (t.sk. alternatīvas, kas neparedz tiesiskā regulējuma izstrādi) – kādos gadījumos būtu iespējams izvairīties no stingrāku prasību</w:t>
            </w:r>
            <w:r w:rsidRPr="00DB4A2D">
              <w:rPr>
                <w:rFonts w:ascii="Times New Roman" w:hAnsi="Times New Roman"/>
                <w:spacing w:val="-3"/>
                <w:sz w:val="24"/>
                <w:szCs w:val="24"/>
              </w:rPr>
              <w:t xml:space="preserve"> noteikšanas, nekā paredzēts attiecīgajos ES tiesību aktos</w:t>
            </w:r>
          </w:p>
        </w:tc>
      </w:tr>
      <w:tr w:rsidR="00BE0264" w:rsidRPr="00DB4A2D" w:rsidTr="000105A1">
        <w:trPr>
          <w:gridAfter w:val="1"/>
          <w:wAfter w:w="14" w:type="dxa"/>
          <w:trHeight w:val="1767"/>
          <w:jc w:val="center"/>
        </w:trPr>
        <w:tc>
          <w:tcPr>
            <w:tcW w:w="2454" w:type="dxa"/>
            <w:gridSpan w:val="2"/>
            <w:tcBorders>
              <w:top w:val="outset" w:sz="6" w:space="0" w:color="auto"/>
              <w:bottom w:val="outset" w:sz="6" w:space="0" w:color="auto"/>
              <w:right w:val="outset" w:sz="6" w:space="0" w:color="auto"/>
            </w:tcBorders>
          </w:tcPr>
          <w:p w:rsidR="00BE0264" w:rsidRPr="00DB4A2D" w:rsidRDefault="00BE0264" w:rsidP="000105A1">
            <w:pPr>
              <w:jc w:val="both"/>
              <w:rPr>
                <w:rFonts w:ascii="Times New Roman" w:hAnsi="Times New Roman"/>
                <w:sz w:val="24"/>
                <w:szCs w:val="24"/>
              </w:rPr>
            </w:pPr>
            <w:r w:rsidRPr="00DB4A2D">
              <w:rPr>
                <w:rFonts w:ascii="Times New Roman" w:hAnsi="Times New Roman"/>
                <w:sz w:val="24"/>
                <w:szCs w:val="24"/>
              </w:rPr>
              <w:t>Komisijas Regula Nr. 800/2008</w:t>
            </w:r>
          </w:p>
          <w:p w:rsidR="00BE0264" w:rsidRPr="00DB4A2D" w:rsidRDefault="00BE0264" w:rsidP="000105A1">
            <w:pPr>
              <w:jc w:val="both"/>
              <w:rPr>
                <w:color w:val="000000"/>
                <w:sz w:val="28"/>
                <w:szCs w:val="28"/>
              </w:rPr>
            </w:pPr>
            <w:r w:rsidRPr="00DB4A2D">
              <w:rPr>
                <w:rFonts w:ascii="Times New Roman" w:hAnsi="Times New Roman"/>
                <w:sz w:val="24"/>
                <w:szCs w:val="24"/>
              </w:rPr>
              <w:t xml:space="preserve"> I. nodaļas 1.panta 3.punkts</w:t>
            </w:r>
          </w:p>
          <w:p w:rsidR="00BE0264" w:rsidRPr="00DB4A2D" w:rsidRDefault="00BE0264" w:rsidP="000105A1">
            <w:pPr>
              <w:jc w:val="both"/>
              <w:rPr>
                <w:rFonts w:ascii="Times New Roman" w:hAnsi="Times New Roman"/>
                <w:sz w:val="24"/>
                <w:szCs w:val="24"/>
              </w:rPr>
            </w:pPr>
          </w:p>
        </w:tc>
        <w:tc>
          <w:tcPr>
            <w:tcW w:w="2261" w:type="dxa"/>
            <w:gridSpan w:val="3"/>
            <w:tcBorders>
              <w:top w:val="outset" w:sz="6" w:space="0" w:color="auto"/>
              <w:left w:val="outset" w:sz="6" w:space="0" w:color="auto"/>
              <w:bottom w:val="outset" w:sz="6" w:space="0" w:color="auto"/>
              <w:right w:val="outset" w:sz="6" w:space="0" w:color="auto"/>
            </w:tcBorders>
          </w:tcPr>
          <w:p w:rsidR="00BE0264" w:rsidRPr="00DB4A2D" w:rsidRDefault="00BE0264" w:rsidP="000105A1">
            <w:pPr>
              <w:spacing w:after="0" w:line="240" w:lineRule="auto"/>
              <w:ind w:left="57"/>
              <w:jc w:val="both"/>
              <w:rPr>
                <w:rFonts w:ascii="Times New Roman" w:hAnsi="Times New Roman"/>
                <w:sz w:val="24"/>
                <w:szCs w:val="24"/>
              </w:rPr>
            </w:pPr>
            <w:r w:rsidRPr="00DB4A2D">
              <w:rPr>
                <w:rFonts w:ascii="Times New Roman" w:hAnsi="Times New Roman"/>
                <w:sz w:val="24"/>
                <w:szCs w:val="24"/>
              </w:rPr>
              <w:t>MK noteikumu projekta 17.7.apakšpunkts</w:t>
            </w:r>
          </w:p>
        </w:tc>
        <w:tc>
          <w:tcPr>
            <w:tcW w:w="2596" w:type="dxa"/>
            <w:gridSpan w:val="2"/>
            <w:tcBorders>
              <w:top w:val="outset" w:sz="6" w:space="0" w:color="auto"/>
              <w:left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Ieviesta pilnībā</w:t>
            </w:r>
          </w:p>
        </w:tc>
        <w:tc>
          <w:tcPr>
            <w:tcW w:w="2940" w:type="dxa"/>
            <w:tcBorders>
              <w:top w:val="outset" w:sz="6" w:space="0" w:color="auto"/>
              <w:left w:val="outset" w:sz="6" w:space="0" w:color="auto"/>
              <w:bottom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neparedz stingrākas prasības</w:t>
            </w:r>
          </w:p>
        </w:tc>
      </w:tr>
      <w:tr w:rsidR="00BE0264" w:rsidRPr="00DB4A2D" w:rsidTr="000105A1">
        <w:trPr>
          <w:gridAfter w:val="1"/>
          <w:wAfter w:w="14" w:type="dxa"/>
          <w:jc w:val="center"/>
        </w:trPr>
        <w:tc>
          <w:tcPr>
            <w:tcW w:w="2454" w:type="dxa"/>
            <w:gridSpan w:val="2"/>
            <w:tcBorders>
              <w:top w:val="outset" w:sz="6" w:space="0" w:color="auto"/>
              <w:bottom w:val="outset" w:sz="6" w:space="0" w:color="auto"/>
              <w:right w:val="outset" w:sz="6" w:space="0" w:color="auto"/>
            </w:tcBorders>
          </w:tcPr>
          <w:p w:rsidR="00BE0264" w:rsidRPr="00DB4A2D" w:rsidRDefault="00BE0264" w:rsidP="000105A1">
            <w:pPr>
              <w:jc w:val="both"/>
              <w:rPr>
                <w:rFonts w:ascii="Times New Roman" w:hAnsi="Times New Roman"/>
                <w:sz w:val="24"/>
                <w:szCs w:val="24"/>
              </w:rPr>
            </w:pPr>
            <w:r w:rsidRPr="00DB4A2D">
              <w:rPr>
                <w:rFonts w:ascii="Times New Roman" w:hAnsi="Times New Roman"/>
                <w:sz w:val="24"/>
                <w:szCs w:val="24"/>
              </w:rPr>
              <w:t>Komisijas Regula Nr. 800/2008</w:t>
            </w:r>
          </w:p>
          <w:p w:rsidR="00BE0264" w:rsidRPr="00DB4A2D" w:rsidRDefault="00BE0264" w:rsidP="000105A1">
            <w:pPr>
              <w:jc w:val="both"/>
              <w:rPr>
                <w:color w:val="000000"/>
                <w:sz w:val="28"/>
                <w:szCs w:val="28"/>
              </w:rPr>
            </w:pPr>
            <w:r w:rsidRPr="00DB4A2D">
              <w:rPr>
                <w:rFonts w:ascii="Times New Roman" w:hAnsi="Times New Roman"/>
                <w:sz w:val="24"/>
                <w:szCs w:val="24"/>
              </w:rPr>
              <w:t xml:space="preserve"> I. nodaļas 1.panta 7.punkts</w:t>
            </w:r>
          </w:p>
          <w:p w:rsidR="00BE0264" w:rsidRPr="00DB4A2D" w:rsidRDefault="00BE0264" w:rsidP="000105A1">
            <w:pPr>
              <w:jc w:val="both"/>
              <w:rPr>
                <w:rFonts w:ascii="Times New Roman" w:hAnsi="Times New Roman"/>
                <w:sz w:val="24"/>
                <w:szCs w:val="24"/>
              </w:rPr>
            </w:pPr>
          </w:p>
        </w:tc>
        <w:tc>
          <w:tcPr>
            <w:tcW w:w="2261" w:type="dxa"/>
            <w:gridSpan w:val="3"/>
            <w:tcBorders>
              <w:top w:val="outset" w:sz="6" w:space="0" w:color="auto"/>
              <w:left w:val="outset" w:sz="6" w:space="0" w:color="auto"/>
              <w:bottom w:val="outset" w:sz="6" w:space="0" w:color="auto"/>
              <w:right w:val="outset" w:sz="6" w:space="0" w:color="auto"/>
            </w:tcBorders>
          </w:tcPr>
          <w:p w:rsidR="00BE0264" w:rsidRPr="00DB4A2D" w:rsidRDefault="00BE0264" w:rsidP="000105A1">
            <w:pPr>
              <w:spacing w:after="0" w:line="240" w:lineRule="auto"/>
              <w:ind w:left="57"/>
              <w:jc w:val="both"/>
              <w:rPr>
                <w:rFonts w:ascii="Times New Roman" w:hAnsi="Times New Roman"/>
                <w:sz w:val="24"/>
                <w:szCs w:val="24"/>
              </w:rPr>
            </w:pPr>
            <w:r w:rsidRPr="00DB4A2D">
              <w:rPr>
                <w:rFonts w:ascii="Times New Roman" w:hAnsi="Times New Roman"/>
                <w:sz w:val="24"/>
                <w:szCs w:val="24"/>
              </w:rPr>
              <w:t>MK noteikumu projekta 17.8.1.apakšpunkts</w:t>
            </w:r>
          </w:p>
        </w:tc>
        <w:tc>
          <w:tcPr>
            <w:tcW w:w="2596" w:type="dxa"/>
            <w:gridSpan w:val="2"/>
            <w:tcBorders>
              <w:top w:val="outset" w:sz="6" w:space="0" w:color="auto"/>
              <w:left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Ieviesta pilnībā</w:t>
            </w:r>
          </w:p>
        </w:tc>
        <w:tc>
          <w:tcPr>
            <w:tcW w:w="2940" w:type="dxa"/>
            <w:tcBorders>
              <w:top w:val="outset" w:sz="6" w:space="0" w:color="auto"/>
              <w:left w:val="outset" w:sz="6" w:space="0" w:color="auto"/>
              <w:bottom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neparedz stingrākas prasības</w:t>
            </w:r>
          </w:p>
        </w:tc>
      </w:tr>
      <w:tr w:rsidR="00BE0264" w:rsidRPr="00DB4A2D" w:rsidTr="000105A1">
        <w:trPr>
          <w:gridAfter w:val="1"/>
          <w:wAfter w:w="14" w:type="dxa"/>
          <w:jc w:val="center"/>
        </w:trPr>
        <w:tc>
          <w:tcPr>
            <w:tcW w:w="2454" w:type="dxa"/>
            <w:gridSpan w:val="2"/>
            <w:tcBorders>
              <w:top w:val="outset" w:sz="6" w:space="0" w:color="auto"/>
              <w:bottom w:val="outset" w:sz="6" w:space="0" w:color="auto"/>
              <w:right w:val="outset" w:sz="6" w:space="0" w:color="auto"/>
            </w:tcBorders>
          </w:tcPr>
          <w:p w:rsidR="00BE0264" w:rsidRPr="00DB4A2D" w:rsidRDefault="00BE0264" w:rsidP="000105A1">
            <w:pPr>
              <w:jc w:val="both"/>
              <w:rPr>
                <w:rFonts w:ascii="Times New Roman" w:hAnsi="Times New Roman"/>
                <w:sz w:val="24"/>
                <w:szCs w:val="24"/>
              </w:rPr>
            </w:pPr>
            <w:r w:rsidRPr="00DB4A2D">
              <w:rPr>
                <w:rFonts w:ascii="Times New Roman" w:hAnsi="Times New Roman"/>
                <w:sz w:val="24"/>
                <w:szCs w:val="24"/>
              </w:rPr>
              <w:t>Komisijas Regula Nr. 800/2008</w:t>
            </w:r>
          </w:p>
          <w:p w:rsidR="00BE0264" w:rsidRPr="00DB4A2D" w:rsidRDefault="00BE0264" w:rsidP="000105A1">
            <w:pPr>
              <w:jc w:val="both"/>
              <w:rPr>
                <w:rFonts w:ascii="Times New Roman" w:hAnsi="Times New Roman"/>
                <w:sz w:val="24"/>
                <w:szCs w:val="24"/>
              </w:rPr>
            </w:pPr>
            <w:r w:rsidRPr="00DB4A2D">
              <w:rPr>
                <w:rFonts w:ascii="Times New Roman" w:hAnsi="Times New Roman"/>
                <w:sz w:val="24"/>
                <w:szCs w:val="24"/>
              </w:rPr>
              <w:t xml:space="preserve"> I. nodaļas 2.panta 7., 8.punkts un 1.pielikums</w:t>
            </w:r>
          </w:p>
          <w:p w:rsidR="00BE0264" w:rsidRPr="00DB4A2D" w:rsidRDefault="00BE0264" w:rsidP="000105A1">
            <w:pPr>
              <w:spacing w:after="0" w:line="240" w:lineRule="auto"/>
              <w:ind w:left="57"/>
              <w:rPr>
                <w:rFonts w:ascii="Times New Roman" w:hAnsi="Times New Roman"/>
                <w:spacing w:val="-2"/>
                <w:sz w:val="24"/>
                <w:szCs w:val="24"/>
              </w:rPr>
            </w:pPr>
          </w:p>
        </w:tc>
        <w:tc>
          <w:tcPr>
            <w:tcW w:w="2261" w:type="dxa"/>
            <w:gridSpan w:val="3"/>
            <w:tcBorders>
              <w:top w:val="outset" w:sz="6" w:space="0" w:color="auto"/>
              <w:left w:val="outset" w:sz="6" w:space="0" w:color="auto"/>
              <w:bottom w:val="outset" w:sz="6" w:space="0" w:color="auto"/>
              <w:right w:val="outset" w:sz="6" w:space="0" w:color="auto"/>
            </w:tcBorders>
          </w:tcPr>
          <w:p w:rsidR="00BE0264" w:rsidRPr="00DB4A2D" w:rsidRDefault="00BE0264" w:rsidP="000105A1">
            <w:pPr>
              <w:spacing w:after="0" w:line="240" w:lineRule="auto"/>
              <w:ind w:left="57"/>
              <w:jc w:val="both"/>
              <w:rPr>
                <w:rFonts w:ascii="Times New Roman" w:hAnsi="Times New Roman"/>
                <w:spacing w:val="-2"/>
                <w:sz w:val="24"/>
                <w:szCs w:val="24"/>
              </w:rPr>
            </w:pPr>
            <w:r w:rsidRPr="00DB4A2D">
              <w:rPr>
                <w:rFonts w:ascii="Times New Roman" w:hAnsi="Times New Roman"/>
                <w:sz w:val="24"/>
                <w:szCs w:val="24"/>
              </w:rPr>
              <w:t>MK noteikumu projekta 16.2.apakšpunkts un 19.punkts</w:t>
            </w:r>
          </w:p>
        </w:tc>
        <w:tc>
          <w:tcPr>
            <w:tcW w:w="2596" w:type="dxa"/>
            <w:gridSpan w:val="2"/>
            <w:tcBorders>
              <w:top w:val="outset" w:sz="6" w:space="0" w:color="auto"/>
              <w:left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pacing w:val="-2"/>
                <w:sz w:val="24"/>
                <w:szCs w:val="24"/>
              </w:rPr>
            </w:pPr>
            <w:r w:rsidRPr="00DB4A2D">
              <w:rPr>
                <w:rFonts w:ascii="Times New Roman" w:hAnsi="Times New Roman"/>
                <w:sz w:val="24"/>
                <w:szCs w:val="24"/>
              </w:rPr>
              <w:t>Ieviesta pilnībā</w:t>
            </w:r>
          </w:p>
        </w:tc>
        <w:tc>
          <w:tcPr>
            <w:tcW w:w="2940" w:type="dxa"/>
            <w:tcBorders>
              <w:top w:val="outset" w:sz="6" w:space="0" w:color="auto"/>
              <w:left w:val="outset" w:sz="6" w:space="0" w:color="auto"/>
              <w:bottom w:val="outset" w:sz="6" w:space="0" w:color="auto"/>
            </w:tcBorders>
          </w:tcPr>
          <w:p w:rsidR="00BE0264" w:rsidRPr="00DB4A2D" w:rsidRDefault="00BE0264" w:rsidP="000105A1">
            <w:pPr>
              <w:spacing w:after="0" w:line="240" w:lineRule="auto"/>
              <w:ind w:left="57"/>
              <w:rPr>
                <w:rFonts w:ascii="Times New Roman" w:hAnsi="Times New Roman"/>
                <w:spacing w:val="-2"/>
                <w:sz w:val="24"/>
                <w:szCs w:val="24"/>
              </w:rPr>
            </w:pPr>
            <w:r w:rsidRPr="00DB4A2D">
              <w:rPr>
                <w:rFonts w:ascii="Times New Roman" w:hAnsi="Times New Roman"/>
                <w:sz w:val="24"/>
                <w:szCs w:val="24"/>
              </w:rPr>
              <w:t>neparedz stingrākas prasības</w:t>
            </w:r>
          </w:p>
        </w:tc>
      </w:tr>
      <w:tr w:rsidR="00BE0264" w:rsidRPr="00DB4A2D" w:rsidTr="000105A1">
        <w:trPr>
          <w:gridAfter w:val="1"/>
          <w:wAfter w:w="14" w:type="dxa"/>
          <w:jc w:val="center"/>
        </w:trPr>
        <w:tc>
          <w:tcPr>
            <w:tcW w:w="2454" w:type="dxa"/>
            <w:gridSpan w:val="2"/>
            <w:tcBorders>
              <w:top w:val="outset" w:sz="6" w:space="0" w:color="auto"/>
              <w:bottom w:val="outset" w:sz="6" w:space="0" w:color="auto"/>
              <w:right w:val="outset" w:sz="6" w:space="0" w:color="auto"/>
            </w:tcBorders>
          </w:tcPr>
          <w:p w:rsidR="00BE0264" w:rsidRPr="00DB4A2D" w:rsidRDefault="00BE0264" w:rsidP="000105A1">
            <w:pPr>
              <w:jc w:val="both"/>
              <w:rPr>
                <w:rFonts w:ascii="Times New Roman" w:hAnsi="Times New Roman"/>
                <w:sz w:val="24"/>
                <w:szCs w:val="24"/>
              </w:rPr>
            </w:pPr>
            <w:r w:rsidRPr="00DB4A2D">
              <w:rPr>
                <w:rFonts w:ascii="Times New Roman" w:hAnsi="Times New Roman"/>
                <w:sz w:val="24"/>
                <w:szCs w:val="24"/>
              </w:rPr>
              <w:t xml:space="preserve">Komisijas Regula Nr. 800/2008 </w:t>
            </w:r>
          </w:p>
          <w:p w:rsidR="00BE0264" w:rsidRPr="00DB4A2D" w:rsidRDefault="00BE0264" w:rsidP="000105A1">
            <w:pPr>
              <w:jc w:val="both"/>
              <w:rPr>
                <w:rFonts w:ascii="Times New Roman" w:hAnsi="Times New Roman"/>
                <w:sz w:val="24"/>
                <w:szCs w:val="24"/>
              </w:rPr>
            </w:pPr>
            <w:r w:rsidRPr="00DB4A2D">
              <w:rPr>
                <w:rFonts w:ascii="Times New Roman" w:hAnsi="Times New Roman"/>
                <w:sz w:val="24"/>
                <w:szCs w:val="24"/>
              </w:rPr>
              <w:t xml:space="preserve">I.nodaļas </w:t>
            </w:r>
            <w:r w:rsidRPr="00DB4A2D">
              <w:rPr>
                <w:rFonts w:ascii="Times New Roman" w:hAnsi="Times New Roman"/>
                <w:color w:val="000000"/>
                <w:sz w:val="24"/>
                <w:szCs w:val="24"/>
              </w:rPr>
              <w:t>7.panta 5.punkta "a" apakšpunkts</w:t>
            </w:r>
          </w:p>
          <w:p w:rsidR="00BE0264" w:rsidRPr="00DB4A2D" w:rsidRDefault="00BE0264" w:rsidP="000105A1">
            <w:pPr>
              <w:jc w:val="both"/>
              <w:rPr>
                <w:rFonts w:ascii="Times New Roman" w:hAnsi="Times New Roman"/>
                <w:sz w:val="24"/>
                <w:szCs w:val="24"/>
              </w:rPr>
            </w:pPr>
          </w:p>
        </w:tc>
        <w:tc>
          <w:tcPr>
            <w:tcW w:w="2261" w:type="dxa"/>
            <w:gridSpan w:val="3"/>
            <w:tcBorders>
              <w:top w:val="outset" w:sz="6" w:space="0" w:color="auto"/>
              <w:left w:val="outset" w:sz="6" w:space="0" w:color="auto"/>
              <w:bottom w:val="outset" w:sz="6" w:space="0" w:color="auto"/>
              <w:right w:val="outset" w:sz="6" w:space="0" w:color="auto"/>
            </w:tcBorders>
          </w:tcPr>
          <w:p w:rsidR="00BE0264" w:rsidRPr="00DB4A2D" w:rsidRDefault="00BE0264" w:rsidP="000105A1">
            <w:pPr>
              <w:spacing w:after="0" w:line="240" w:lineRule="auto"/>
              <w:ind w:left="57"/>
              <w:jc w:val="both"/>
              <w:rPr>
                <w:rFonts w:ascii="Times New Roman" w:hAnsi="Times New Roman"/>
                <w:sz w:val="24"/>
                <w:szCs w:val="24"/>
              </w:rPr>
            </w:pPr>
            <w:r w:rsidRPr="00DB4A2D">
              <w:rPr>
                <w:rFonts w:ascii="Times New Roman" w:hAnsi="Times New Roman"/>
                <w:sz w:val="24"/>
                <w:szCs w:val="24"/>
              </w:rPr>
              <w:t>MK noteikumu projekta 30.4.9. apakšpunkts</w:t>
            </w:r>
          </w:p>
        </w:tc>
        <w:tc>
          <w:tcPr>
            <w:tcW w:w="2596" w:type="dxa"/>
            <w:gridSpan w:val="2"/>
            <w:tcBorders>
              <w:top w:val="outset" w:sz="6" w:space="0" w:color="auto"/>
              <w:left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Ieviesta pilnībā</w:t>
            </w:r>
          </w:p>
        </w:tc>
        <w:tc>
          <w:tcPr>
            <w:tcW w:w="2940" w:type="dxa"/>
            <w:tcBorders>
              <w:top w:val="outset" w:sz="6" w:space="0" w:color="auto"/>
              <w:left w:val="outset" w:sz="6" w:space="0" w:color="auto"/>
              <w:bottom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neparedz stingrākas prasības</w:t>
            </w:r>
          </w:p>
        </w:tc>
      </w:tr>
      <w:tr w:rsidR="00BE0264" w:rsidRPr="00DB4A2D" w:rsidTr="000105A1">
        <w:trPr>
          <w:gridAfter w:val="1"/>
          <w:wAfter w:w="14" w:type="dxa"/>
          <w:jc w:val="center"/>
        </w:trPr>
        <w:tc>
          <w:tcPr>
            <w:tcW w:w="2454" w:type="dxa"/>
            <w:gridSpan w:val="2"/>
            <w:tcBorders>
              <w:top w:val="outset" w:sz="6" w:space="0" w:color="auto"/>
              <w:bottom w:val="outset" w:sz="6" w:space="0" w:color="auto"/>
              <w:right w:val="outset" w:sz="6" w:space="0" w:color="auto"/>
            </w:tcBorders>
          </w:tcPr>
          <w:p w:rsidR="00BE0264" w:rsidRPr="00DB4A2D" w:rsidRDefault="00BE0264" w:rsidP="000105A1">
            <w:pPr>
              <w:jc w:val="both"/>
              <w:rPr>
                <w:rFonts w:ascii="Times New Roman" w:hAnsi="Times New Roman"/>
                <w:sz w:val="24"/>
                <w:szCs w:val="24"/>
              </w:rPr>
            </w:pPr>
            <w:r w:rsidRPr="00DB4A2D">
              <w:rPr>
                <w:rFonts w:ascii="Times New Roman" w:hAnsi="Times New Roman"/>
                <w:sz w:val="24"/>
                <w:szCs w:val="24"/>
              </w:rPr>
              <w:t>Komisijas Regula Nr. 800/2008</w:t>
            </w:r>
          </w:p>
          <w:p w:rsidR="00BE0264" w:rsidRPr="00DB4A2D" w:rsidRDefault="00BE0264" w:rsidP="000105A1">
            <w:pPr>
              <w:jc w:val="both"/>
              <w:rPr>
                <w:rFonts w:ascii="Times New Roman" w:hAnsi="Times New Roman"/>
                <w:sz w:val="24"/>
                <w:szCs w:val="24"/>
              </w:rPr>
            </w:pPr>
            <w:r w:rsidRPr="00DB4A2D">
              <w:rPr>
                <w:rFonts w:ascii="Times New Roman" w:hAnsi="Times New Roman"/>
                <w:sz w:val="24"/>
                <w:szCs w:val="24"/>
              </w:rPr>
              <w:t xml:space="preserve"> I.nodaļas 8.panta 2.punkts</w:t>
            </w:r>
          </w:p>
        </w:tc>
        <w:tc>
          <w:tcPr>
            <w:tcW w:w="2261" w:type="dxa"/>
            <w:gridSpan w:val="3"/>
            <w:tcBorders>
              <w:top w:val="outset" w:sz="6" w:space="0" w:color="auto"/>
              <w:left w:val="outset" w:sz="6" w:space="0" w:color="auto"/>
              <w:bottom w:val="outset" w:sz="6" w:space="0" w:color="auto"/>
              <w:right w:val="outset" w:sz="6" w:space="0" w:color="auto"/>
            </w:tcBorders>
          </w:tcPr>
          <w:p w:rsidR="00BE0264" w:rsidRPr="00DB4A2D" w:rsidRDefault="00BE0264" w:rsidP="000105A1">
            <w:pPr>
              <w:spacing w:after="0" w:line="240" w:lineRule="auto"/>
              <w:ind w:left="57"/>
              <w:jc w:val="both"/>
              <w:rPr>
                <w:rFonts w:ascii="Times New Roman" w:hAnsi="Times New Roman"/>
                <w:sz w:val="24"/>
                <w:szCs w:val="24"/>
              </w:rPr>
            </w:pPr>
            <w:r w:rsidRPr="00DB4A2D">
              <w:rPr>
                <w:rFonts w:ascii="Times New Roman" w:hAnsi="Times New Roman"/>
                <w:sz w:val="24"/>
                <w:szCs w:val="24"/>
              </w:rPr>
              <w:t>MK noteikumu projekta 25.1.2.1.apakšpunkts</w:t>
            </w:r>
          </w:p>
        </w:tc>
        <w:tc>
          <w:tcPr>
            <w:tcW w:w="2596" w:type="dxa"/>
            <w:gridSpan w:val="2"/>
            <w:tcBorders>
              <w:top w:val="outset" w:sz="6" w:space="0" w:color="auto"/>
              <w:left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Ieviesta pilnībā</w:t>
            </w:r>
          </w:p>
        </w:tc>
        <w:tc>
          <w:tcPr>
            <w:tcW w:w="2940" w:type="dxa"/>
            <w:tcBorders>
              <w:top w:val="outset" w:sz="6" w:space="0" w:color="auto"/>
              <w:left w:val="outset" w:sz="6" w:space="0" w:color="auto"/>
              <w:bottom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neparedz stingrākas prasības</w:t>
            </w:r>
          </w:p>
        </w:tc>
      </w:tr>
      <w:tr w:rsidR="00BE0264" w:rsidRPr="00DB4A2D" w:rsidTr="000105A1">
        <w:trPr>
          <w:gridAfter w:val="1"/>
          <w:wAfter w:w="14" w:type="dxa"/>
          <w:jc w:val="center"/>
        </w:trPr>
        <w:tc>
          <w:tcPr>
            <w:tcW w:w="2454" w:type="dxa"/>
            <w:gridSpan w:val="2"/>
            <w:tcBorders>
              <w:top w:val="outset" w:sz="6" w:space="0" w:color="auto"/>
              <w:bottom w:val="outset" w:sz="6" w:space="0" w:color="auto"/>
              <w:right w:val="outset" w:sz="6" w:space="0" w:color="auto"/>
            </w:tcBorders>
          </w:tcPr>
          <w:p w:rsidR="00BE0264" w:rsidRPr="00DB4A2D" w:rsidRDefault="00BE0264" w:rsidP="000105A1">
            <w:pPr>
              <w:jc w:val="both"/>
              <w:rPr>
                <w:rFonts w:ascii="Times New Roman" w:hAnsi="Times New Roman"/>
                <w:sz w:val="24"/>
                <w:szCs w:val="24"/>
              </w:rPr>
            </w:pPr>
            <w:r w:rsidRPr="00DB4A2D">
              <w:rPr>
                <w:rFonts w:ascii="Times New Roman" w:hAnsi="Times New Roman"/>
                <w:sz w:val="24"/>
                <w:szCs w:val="24"/>
              </w:rPr>
              <w:t>Komisijas Regula Nr. 800/2008</w:t>
            </w:r>
          </w:p>
          <w:p w:rsidR="00BE0264" w:rsidRPr="00DB4A2D" w:rsidRDefault="00BE0264" w:rsidP="000105A1">
            <w:pPr>
              <w:pStyle w:val="naisf"/>
              <w:tabs>
                <w:tab w:val="left" w:pos="0"/>
                <w:tab w:val="num" w:pos="795"/>
              </w:tabs>
            </w:pPr>
            <w:r w:rsidRPr="00DB4A2D">
              <w:t xml:space="preserve"> I.nodaļas 8.panta 3.punkts</w:t>
            </w:r>
          </w:p>
        </w:tc>
        <w:tc>
          <w:tcPr>
            <w:tcW w:w="2261" w:type="dxa"/>
            <w:gridSpan w:val="3"/>
            <w:tcBorders>
              <w:top w:val="outset" w:sz="6" w:space="0" w:color="auto"/>
              <w:left w:val="outset" w:sz="6" w:space="0" w:color="auto"/>
              <w:bottom w:val="outset" w:sz="6" w:space="0" w:color="auto"/>
              <w:right w:val="outset" w:sz="6" w:space="0" w:color="auto"/>
            </w:tcBorders>
          </w:tcPr>
          <w:p w:rsidR="00BE0264" w:rsidRPr="00DB4A2D" w:rsidRDefault="00BE0264" w:rsidP="000105A1">
            <w:pPr>
              <w:spacing w:after="0" w:line="240" w:lineRule="auto"/>
              <w:ind w:left="57"/>
              <w:jc w:val="both"/>
              <w:rPr>
                <w:rFonts w:ascii="Times New Roman" w:hAnsi="Times New Roman"/>
                <w:sz w:val="24"/>
                <w:szCs w:val="24"/>
              </w:rPr>
            </w:pPr>
            <w:r w:rsidRPr="00DB4A2D">
              <w:rPr>
                <w:rFonts w:ascii="Times New Roman" w:hAnsi="Times New Roman"/>
                <w:sz w:val="24"/>
                <w:szCs w:val="24"/>
              </w:rPr>
              <w:t>MK noteikumu projekta 25.1.2.2.apakšpunkts</w:t>
            </w:r>
          </w:p>
        </w:tc>
        <w:tc>
          <w:tcPr>
            <w:tcW w:w="2596" w:type="dxa"/>
            <w:gridSpan w:val="2"/>
            <w:tcBorders>
              <w:top w:val="outset" w:sz="6" w:space="0" w:color="auto"/>
              <w:left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Ieviesta pilnībā</w:t>
            </w:r>
          </w:p>
        </w:tc>
        <w:tc>
          <w:tcPr>
            <w:tcW w:w="2940" w:type="dxa"/>
            <w:tcBorders>
              <w:top w:val="outset" w:sz="6" w:space="0" w:color="auto"/>
              <w:left w:val="outset" w:sz="6" w:space="0" w:color="auto"/>
              <w:bottom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neparedz stingrākas prasības</w:t>
            </w:r>
          </w:p>
        </w:tc>
      </w:tr>
      <w:tr w:rsidR="00BE0264" w:rsidRPr="00DB4A2D" w:rsidTr="000105A1">
        <w:trPr>
          <w:gridAfter w:val="1"/>
          <w:wAfter w:w="14" w:type="dxa"/>
          <w:jc w:val="center"/>
        </w:trPr>
        <w:tc>
          <w:tcPr>
            <w:tcW w:w="2454" w:type="dxa"/>
            <w:gridSpan w:val="2"/>
            <w:tcBorders>
              <w:top w:val="outset" w:sz="6" w:space="0" w:color="auto"/>
              <w:bottom w:val="outset" w:sz="6" w:space="0" w:color="auto"/>
              <w:right w:val="outset" w:sz="6" w:space="0" w:color="auto"/>
            </w:tcBorders>
          </w:tcPr>
          <w:p w:rsidR="00BE0264" w:rsidRPr="00DB4A2D" w:rsidRDefault="00BE0264" w:rsidP="000105A1">
            <w:pPr>
              <w:pStyle w:val="naisf"/>
              <w:tabs>
                <w:tab w:val="left" w:pos="0"/>
                <w:tab w:val="num" w:pos="795"/>
              </w:tabs>
            </w:pPr>
            <w:r w:rsidRPr="00DB4A2D">
              <w:t>Komisijas Regula Nr. 800/2008</w:t>
            </w:r>
          </w:p>
          <w:p w:rsidR="00BE0264" w:rsidRPr="00DB4A2D" w:rsidRDefault="00BE0264" w:rsidP="000105A1">
            <w:pPr>
              <w:pStyle w:val="naisf"/>
              <w:tabs>
                <w:tab w:val="left" w:pos="0"/>
                <w:tab w:val="num" w:pos="795"/>
              </w:tabs>
            </w:pPr>
            <w:r w:rsidRPr="00DB4A2D">
              <w:rPr>
                <w:color w:val="000000"/>
              </w:rPr>
              <w:t>II. nodaļas 21. un 23.pants</w:t>
            </w:r>
          </w:p>
          <w:p w:rsidR="00BE0264" w:rsidRPr="00DB4A2D" w:rsidRDefault="00BE0264" w:rsidP="000105A1">
            <w:pPr>
              <w:spacing w:after="0" w:line="240" w:lineRule="auto"/>
              <w:ind w:left="57"/>
              <w:rPr>
                <w:rFonts w:ascii="Times New Roman" w:hAnsi="Times New Roman"/>
                <w:sz w:val="24"/>
                <w:szCs w:val="24"/>
              </w:rPr>
            </w:pPr>
          </w:p>
        </w:tc>
        <w:tc>
          <w:tcPr>
            <w:tcW w:w="2261" w:type="dxa"/>
            <w:gridSpan w:val="3"/>
            <w:tcBorders>
              <w:top w:val="outset" w:sz="6" w:space="0" w:color="auto"/>
              <w:left w:val="outset" w:sz="6" w:space="0" w:color="auto"/>
              <w:bottom w:val="outset" w:sz="6" w:space="0" w:color="auto"/>
              <w:right w:val="outset" w:sz="6" w:space="0" w:color="auto"/>
            </w:tcBorders>
          </w:tcPr>
          <w:p w:rsidR="00BE0264" w:rsidRPr="00DB4A2D" w:rsidRDefault="00BE0264" w:rsidP="000105A1">
            <w:pPr>
              <w:spacing w:after="0" w:line="240" w:lineRule="auto"/>
              <w:ind w:left="57"/>
              <w:jc w:val="both"/>
              <w:rPr>
                <w:rFonts w:ascii="Times New Roman" w:hAnsi="Times New Roman"/>
                <w:sz w:val="24"/>
                <w:szCs w:val="24"/>
              </w:rPr>
            </w:pPr>
            <w:r w:rsidRPr="00DB4A2D">
              <w:rPr>
                <w:rFonts w:ascii="Times New Roman" w:hAnsi="Times New Roman"/>
                <w:sz w:val="24"/>
                <w:szCs w:val="24"/>
              </w:rPr>
              <w:t>MK noteikumu projekta 12.1. un 12.2.apakšpunkts</w:t>
            </w:r>
          </w:p>
        </w:tc>
        <w:tc>
          <w:tcPr>
            <w:tcW w:w="2596" w:type="dxa"/>
            <w:gridSpan w:val="2"/>
            <w:tcBorders>
              <w:top w:val="outset" w:sz="6" w:space="0" w:color="auto"/>
              <w:left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Ieviesta pilnībā</w:t>
            </w:r>
          </w:p>
        </w:tc>
        <w:tc>
          <w:tcPr>
            <w:tcW w:w="2940" w:type="dxa"/>
            <w:tcBorders>
              <w:top w:val="outset" w:sz="6" w:space="0" w:color="auto"/>
              <w:left w:val="outset" w:sz="6" w:space="0" w:color="auto"/>
              <w:bottom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neparedz stingrākas prasības</w:t>
            </w:r>
          </w:p>
        </w:tc>
      </w:tr>
      <w:tr w:rsidR="00BE0264" w:rsidRPr="00DB4A2D" w:rsidTr="000105A1">
        <w:trPr>
          <w:gridAfter w:val="1"/>
          <w:wAfter w:w="14" w:type="dxa"/>
          <w:jc w:val="center"/>
        </w:trPr>
        <w:tc>
          <w:tcPr>
            <w:tcW w:w="2454" w:type="dxa"/>
            <w:gridSpan w:val="2"/>
            <w:tcBorders>
              <w:top w:val="outset" w:sz="6" w:space="0" w:color="auto"/>
              <w:bottom w:val="outset" w:sz="6" w:space="0" w:color="auto"/>
              <w:right w:val="outset" w:sz="6" w:space="0" w:color="auto"/>
            </w:tcBorders>
          </w:tcPr>
          <w:p w:rsidR="00BE0264" w:rsidRPr="00DB4A2D" w:rsidRDefault="00BE0264" w:rsidP="000105A1">
            <w:pPr>
              <w:pStyle w:val="naisf"/>
              <w:tabs>
                <w:tab w:val="left" w:pos="0"/>
                <w:tab w:val="num" w:pos="795"/>
              </w:tabs>
            </w:pPr>
            <w:r w:rsidRPr="00DB4A2D">
              <w:t>Komisijas Regula Nr. 800/2008</w:t>
            </w:r>
          </w:p>
          <w:p w:rsidR="00BE0264" w:rsidRPr="00DB4A2D" w:rsidRDefault="00BE0264" w:rsidP="000105A1">
            <w:pPr>
              <w:pStyle w:val="naisf"/>
              <w:tabs>
                <w:tab w:val="left" w:pos="0"/>
                <w:tab w:val="num" w:pos="795"/>
              </w:tabs>
            </w:pPr>
            <w:r w:rsidRPr="00DB4A2D">
              <w:rPr>
                <w:color w:val="000000"/>
              </w:rPr>
              <w:t xml:space="preserve">II. nodaļas 21. panta 3.punkts  </w:t>
            </w:r>
          </w:p>
        </w:tc>
        <w:tc>
          <w:tcPr>
            <w:tcW w:w="2261" w:type="dxa"/>
            <w:gridSpan w:val="3"/>
            <w:tcBorders>
              <w:top w:val="outset" w:sz="6" w:space="0" w:color="auto"/>
              <w:left w:val="outset" w:sz="6" w:space="0" w:color="auto"/>
              <w:bottom w:val="outset" w:sz="6" w:space="0" w:color="auto"/>
              <w:right w:val="outset" w:sz="6" w:space="0" w:color="auto"/>
            </w:tcBorders>
          </w:tcPr>
          <w:p w:rsidR="00BE0264" w:rsidRPr="00DB4A2D" w:rsidRDefault="00BE0264" w:rsidP="000105A1">
            <w:pPr>
              <w:spacing w:after="0" w:line="240" w:lineRule="auto"/>
              <w:ind w:left="57"/>
              <w:jc w:val="both"/>
              <w:rPr>
                <w:rFonts w:ascii="Times New Roman" w:hAnsi="Times New Roman"/>
                <w:sz w:val="24"/>
                <w:szCs w:val="24"/>
              </w:rPr>
            </w:pPr>
            <w:r w:rsidRPr="00DB4A2D">
              <w:rPr>
                <w:rFonts w:ascii="Times New Roman" w:hAnsi="Times New Roman"/>
                <w:sz w:val="24"/>
                <w:szCs w:val="24"/>
              </w:rPr>
              <w:t>MK noteikumu projekta 30.4.1.apakšpunkts, 30.4.6., 43.2.10.</w:t>
            </w:r>
          </w:p>
        </w:tc>
        <w:tc>
          <w:tcPr>
            <w:tcW w:w="2596" w:type="dxa"/>
            <w:gridSpan w:val="2"/>
            <w:tcBorders>
              <w:top w:val="outset" w:sz="6" w:space="0" w:color="auto"/>
              <w:left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Ieviesta pilnībā</w:t>
            </w:r>
          </w:p>
        </w:tc>
        <w:tc>
          <w:tcPr>
            <w:tcW w:w="2940" w:type="dxa"/>
            <w:tcBorders>
              <w:top w:val="outset" w:sz="6" w:space="0" w:color="auto"/>
              <w:left w:val="outset" w:sz="6" w:space="0" w:color="auto"/>
              <w:bottom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neparedz stingrākas prasības</w:t>
            </w:r>
          </w:p>
        </w:tc>
      </w:tr>
      <w:tr w:rsidR="00BE0264" w:rsidRPr="00DB4A2D" w:rsidTr="000105A1">
        <w:trPr>
          <w:gridAfter w:val="1"/>
          <w:wAfter w:w="14" w:type="dxa"/>
          <w:jc w:val="center"/>
        </w:trPr>
        <w:tc>
          <w:tcPr>
            <w:tcW w:w="2454" w:type="dxa"/>
            <w:gridSpan w:val="2"/>
            <w:tcBorders>
              <w:top w:val="outset" w:sz="6" w:space="0" w:color="auto"/>
              <w:bottom w:val="outset" w:sz="6" w:space="0" w:color="auto"/>
              <w:right w:val="outset" w:sz="6" w:space="0" w:color="auto"/>
            </w:tcBorders>
          </w:tcPr>
          <w:p w:rsidR="00BE0264" w:rsidRPr="00DB4A2D" w:rsidRDefault="00BE0264" w:rsidP="000105A1">
            <w:pPr>
              <w:pStyle w:val="naisf"/>
              <w:tabs>
                <w:tab w:val="left" w:pos="0"/>
                <w:tab w:val="num" w:pos="795"/>
              </w:tabs>
            </w:pPr>
            <w:r w:rsidRPr="00DB4A2D">
              <w:t>Komisijas Regula Nr. 800/2008</w:t>
            </w:r>
          </w:p>
          <w:p w:rsidR="00BE0264" w:rsidRPr="00DB4A2D" w:rsidRDefault="00BE0264" w:rsidP="000105A1">
            <w:pPr>
              <w:pStyle w:val="naisf"/>
              <w:tabs>
                <w:tab w:val="left" w:pos="0"/>
                <w:tab w:val="num" w:pos="795"/>
              </w:tabs>
            </w:pPr>
            <w:r w:rsidRPr="00DB4A2D">
              <w:rPr>
                <w:color w:val="000000"/>
              </w:rPr>
              <w:t xml:space="preserve">II. nodaļas 23. panta 3.punkts  </w:t>
            </w:r>
          </w:p>
        </w:tc>
        <w:tc>
          <w:tcPr>
            <w:tcW w:w="2261" w:type="dxa"/>
            <w:gridSpan w:val="3"/>
            <w:tcBorders>
              <w:top w:val="outset" w:sz="6" w:space="0" w:color="auto"/>
              <w:left w:val="outset" w:sz="6" w:space="0" w:color="auto"/>
              <w:bottom w:val="outset" w:sz="6" w:space="0" w:color="auto"/>
              <w:right w:val="outset" w:sz="6" w:space="0" w:color="auto"/>
            </w:tcBorders>
          </w:tcPr>
          <w:p w:rsidR="00BE0264" w:rsidRPr="00DB4A2D" w:rsidRDefault="00BE0264" w:rsidP="00173BEF">
            <w:pPr>
              <w:spacing w:after="0" w:line="240" w:lineRule="auto"/>
              <w:ind w:left="57"/>
              <w:jc w:val="both"/>
              <w:rPr>
                <w:rFonts w:ascii="Times New Roman" w:hAnsi="Times New Roman"/>
                <w:sz w:val="24"/>
                <w:szCs w:val="24"/>
              </w:rPr>
            </w:pPr>
            <w:r w:rsidRPr="00DB4A2D">
              <w:rPr>
                <w:rFonts w:ascii="Times New Roman" w:hAnsi="Times New Roman"/>
                <w:sz w:val="24"/>
                <w:szCs w:val="24"/>
              </w:rPr>
              <w:t xml:space="preserve">MK noteikumu projekta </w:t>
            </w:r>
            <w:r w:rsidRPr="00173BEF">
              <w:rPr>
                <w:rFonts w:ascii="Times New Roman" w:hAnsi="Times New Roman"/>
                <w:b/>
                <w:sz w:val="24"/>
                <w:szCs w:val="24"/>
              </w:rPr>
              <w:t>30.</w:t>
            </w:r>
            <w:r w:rsidR="00173BEF" w:rsidRPr="00173BEF">
              <w:rPr>
                <w:rFonts w:ascii="Times New Roman" w:hAnsi="Times New Roman"/>
                <w:b/>
                <w:sz w:val="24"/>
                <w:szCs w:val="24"/>
              </w:rPr>
              <w:t>4</w:t>
            </w:r>
            <w:r w:rsidRPr="00173BEF">
              <w:rPr>
                <w:rFonts w:ascii="Times New Roman" w:hAnsi="Times New Roman"/>
                <w:b/>
                <w:sz w:val="24"/>
                <w:szCs w:val="24"/>
              </w:rPr>
              <w:t>.2.,</w:t>
            </w:r>
            <w:r w:rsidRPr="00DB4A2D">
              <w:rPr>
                <w:rFonts w:ascii="Times New Roman" w:hAnsi="Times New Roman"/>
                <w:sz w:val="24"/>
                <w:szCs w:val="24"/>
              </w:rPr>
              <w:t xml:space="preserve"> 30.4.6. un 30.4.7.apakšpunktā, 43.2.4., 43.3.4.</w:t>
            </w:r>
          </w:p>
        </w:tc>
        <w:tc>
          <w:tcPr>
            <w:tcW w:w="2596" w:type="dxa"/>
            <w:gridSpan w:val="2"/>
            <w:tcBorders>
              <w:top w:val="outset" w:sz="6" w:space="0" w:color="auto"/>
              <w:left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Ieviesta pilnībā</w:t>
            </w:r>
          </w:p>
        </w:tc>
        <w:tc>
          <w:tcPr>
            <w:tcW w:w="2940" w:type="dxa"/>
            <w:tcBorders>
              <w:top w:val="outset" w:sz="6" w:space="0" w:color="auto"/>
              <w:left w:val="outset" w:sz="6" w:space="0" w:color="auto"/>
              <w:bottom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neparedz stingrākas prasības</w:t>
            </w:r>
          </w:p>
        </w:tc>
      </w:tr>
      <w:tr w:rsidR="00BE0264" w:rsidRPr="00DB4A2D" w:rsidTr="000105A1">
        <w:trPr>
          <w:gridAfter w:val="1"/>
          <w:wAfter w:w="14" w:type="dxa"/>
          <w:jc w:val="center"/>
        </w:trPr>
        <w:tc>
          <w:tcPr>
            <w:tcW w:w="2454" w:type="dxa"/>
            <w:gridSpan w:val="2"/>
            <w:tcBorders>
              <w:top w:val="outset" w:sz="6" w:space="0" w:color="auto"/>
              <w:bottom w:val="outset" w:sz="6" w:space="0" w:color="auto"/>
              <w:right w:val="outset" w:sz="6" w:space="0" w:color="auto"/>
            </w:tcBorders>
          </w:tcPr>
          <w:p w:rsidR="00BE0264" w:rsidRPr="00DB4A2D" w:rsidRDefault="00BE0264" w:rsidP="000105A1">
            <w:pPr>
              <w:pStyle w:val="naisf"/>
              <w:tabs>
                <w:tab w:val="left" w:pos="0"/>
                <w:tab w:val="num" w:pos="795"/>
              </w:tabs>
            </w:pPr>
            <w:r w:rsidRPr="00DB4A2D">
              <w:t>Komisijas Regula Nr. 800/2008</w:t>
            </w:r>
          </w:p>
          <w:p w:rsidR="00BE0264" w:rsidRPr="00DB4A2D" w:rsidRDefault="00BE0264" w:rsidP="000105A1">
            <w:pPr>
              <w:pStyle w:val="naisf"/>
              <w:tabs>
                <w:tab w:val="left" w:pos="0"/>
                <w:tab w:val="num" w:pos="795"/>
              </w:tabs>
            </w:pPr>
            <w:r w:rsidRPr="00DB4A2D">
              <w:t>II nodaļas 31.panta 2.punkta c) apakšpunkts, 3.punkta c)apakšpunkts un 4.punkts</w:t>
            </w:r>
          </w:p>
        </w:tc>
        <w:tc>
          <w:tcPr>
            <w:tcW w:w="2261" w:type="dxa"/>
            <w:gridSpan w:val="3"/>
            <w:tcBorders>
              <w:top w:val="outset" w:sz="6" w:space="0" w:color="auto"/>
              <w:left w:val="outset" w:sz="6" w:space="0" w:color="auto"/>
              <w:bottom w:val="outset" w:sz="6" w:space="0" w:color="auto"/>
              <w:right w:val="outset" w:sz="6" w:space="0" w:color="auto"/>
            </w:tcBorders>
          </w:tcPr>
          <w:p w:rsidR="00BE0264" w:rsidRPr="00DB4A2D" w:rsidRDefault="00BE0264" w:rsidP="000105A1">
            <w:pPr>
              <w:spacing w:after="0" w:line="240" w:lineRule="auto"/>
              <w:ind w:left="57"/>
              <w:jc w:val="both"/>
              <w:rPr>
                <w:rFonts w:ascii="Times New Roman" w:hAnsi="Times New Roman"/>
                <w:sz w:val="24"/>
                <w:szCs w:val="24"/>
              </w:rPr>
            </w:pPr>
            <w:r w:rsidRPr="00DB4A2D">
              <w:rPr>
                <w:rFonts w:ascii="Times New Roman" w:hAnsi="Times New Roman"/>
                <w:sz w:val="24"/>
                <w:szCs w:val="24"/>
              </w:rPr>
              <w:t>MK noteikumu projekta 12.3., 13.2.apakšpunkts, 14.punkts, 30.4.3.apakšpunkts</w:t>
            </w:r>
          </w:p>
        </w:tc>
        <w:tc>
          <w:tcPr>
            <w:tcW w:w="2596" w:type="dxa"/>
            <w:gridSpan w:val="2"/>
            <w:tcBorders>
              <w:top w:val="outset" w:sz="6" w:space="0" w:color="auto"/>
              <w:left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Ieviesta pilnībā</w:t>
            </w:r>
          </w:p>
        </w:tc>
        <w:tc>
          <w:tcPr>
            <w:tcW w:w="2940" w:type="dxa"/>
            <w:tcBorders>
              <w:top w:val="outset" w:sz="6" w:space="0" w:color="auto"/>
              <w:left w:val="outset" w:sz="6" w:space="0" w:color="auto"/>
              <w:bottom w:val="outset" w:sz="6" w:space="0" w:color="auto"/>
            </w:tcBorders>
          </w:tcPr>
          <w:p w:rsidR="00BE0264" w:rsidRPr="00DB4A2D" w:rsidRDefault="00BE0264" w:rsidP="000105A1">
            <w:pPr>
              <w:ind w:left="57"/>
              <w:jc w:val="both"/>
              <w:rPr>
                <w:rFonts w:ascii="Times New Roman" w:hAnsi="Times New Roman"/>
                <w:bCs/>
                <w:sz w:val="24"/>
                <w:szCs w:val="24"/>
              </w:rPr>
            </w:pPr>
            <w:r w:rsidRPr="00DB4A2D">
              <w:rPr>
                <w:rFonts w:ascii="Times New Roman" w:hAnsi="Times New Roman"/>
                <w:bCs/>
                <w:sz w:val="24"/>
                <w:szCs w:val="24"/>
              </w:rPr>
              <w:t>MK noteikumu projekta 14.1.apakšpunkts paredz stingrāku prasību attiecībā uz partneru līdzatbildību sadarbības projekta ietvaros, nosakot, ka neviens no projektā iesaistītajiem komersantiem nesedz vairāk par 60 % no projekta kopējām attiecināmajām izmaksām, neiekļaujot programmas līdzfinansējumu.</w:t>
            </w:r>
            <w:r w:rsidRPr="00DB4A2D">
              <w:rPr>
                <w:rFonts w:ascii="Times New Roman" w:hAnsi="Times New Roman"/>
                <w:bCs/>
                <w:color w:val="1F497D"/>
                <w:sz w:val="24"/>
                <w:szCs w:val="24"/>
              </w:rPr>
              <w:t xml:space="preserve"> </w:t>
            </w:r>
            <w:r w:rsidRPr="00DB4A2D">
              <w:rPr>
                <w:rFonts w:ascii="Times New Roman" w:hAnsi="Times New Roman"/>
                <w:bCs/>
                <w:sz w:val="24"/>
                <w:szCs w:val="24"/>
              </w:rPr>
              <w:t xml:space="preserve">Komisijas Regula Nr. 800/2008 31.panta 4.punkta „b” apakšpunkts nosāka, ka neviens no uzņēmumiem nesedz vairāk kā 70% no sadarbības projekta attiecināmajām izmaksām. Stingrāka prasība nepieciešama, lai nodrošinātu sadarbības partnera lielāku atbildību par projekta rezultātiem. Atbildība būs adekvāta ieguldītajam finansējumam. </w:t>
            </w:r>
          </w:p>
          <w:p w:rsidR="00BE0264" w:rsidRPr="00DB4A2D" w:rsidRDefault="00BE0264" w:rsidP="000105A1">
            <w:pPr>
              <w:rPr>
                <w:rFonts w:ascii="Times New Roman" w:hAnsi="Times New Roman"/>
                <w:b/>
                <w:color w:val="1F497D"/>
                <w:sz w:val="24"/>
                <w:szCs w:val="24"/>
              </w:rPr>
            </w:pPr>
          </w:p>
          <w:p w:rsidR="00BE0264" w:rsidRPr="00DB4A2D" w:rsidRDefault="00BE0264" w:rsidP="000105A1">
            <w:pPr>
              <w:pStyle w:val="naisf"/>
              <w:tabs>
                <w:tab w:val="left" w:pos="0"/>
                <w:tab w:val="num" w:pos="795"/>
              </w:tabs>
              <w:jc w:val="both"/>
            </w:pPr>
          </w:p>
        </w:tc>
      </w:tr>
      <w:tr w:rsidR="00BE0264" w:rsidRPr="00DB4A2D" w:rsidTr="000105A1">
        <w:trPr>
          <w:gridAfter w:val="1"/>
          <w:wAfter w:w="14" w:type="dxa"/>
          <w:jc w:val="center"/>
        </w:trPr>
        <w:tc>
          <w:tcPr>
            <w:tcW w:w="2454" w:type="dxa"/>
            <w:gridSpan w:val="2"/>
            <w:tcBorders>
              <w:top w:val="outset" w:sz="6" w:space="0" w:color="auto"/>
              <w:bottom w:val="outset" w:sz="6" w:space="0" w:color="auto"/>
              <w:right w:val="outset" w:sz="6" w:space="0" w:color="auto"/>
            </w:tcBorders>
          </w:tcPr>
          <w:p w:rsidR="00BE0264" w:rsidRPr="00DB4A2D" w:rsidRDefault="00BE0264" w:rsidP="000105A1">
            <w:pPr>
              <w:pStyle w:val="naisf"/>
              <w:tabs>
                <w:tab w:val="left" w:pos="0"/>
                <w:tab w:val="num" w:pos="795"/>
              </w:tabs>
            </w:pPr>
            <w:r w:rsidRPr="00DB4A2D">
              <w:t>Komisijas Regula Nr. 800/2008</w:t>
            </w:r>
          </w:p>
          <w:p w:rsidR="00BE0264" w:rsidRPr="00DB4A2D" w:rsidRDefault="00BE0264" w:rsidP="000105A1">
            <w:pPr>
              <w:pStyle w:val="naisf"/>
              <w:tabs>
                <w:tab w:val="left" w:pos="0"/>
                <w:tab w:val="num" w:pos="795"/>
              </w:tabs>
              <w:rPr>
                <w:i/>
              </w:rPr>
            </w:pPr>
            <w:r w:rsidRPr="00DB4A2D">
              <w:t>II nodaļas 26.pants</w:t>
            </w:r>
            <w:r w:rsidRPr="00DB4A2D">
              <w:rPr>
                <w:i/>
              </w:rPr>
              <w:t xml:space="preserve"> </w:t>
            </w:r>
          </w:p>
        </w:tc>
        <w:tc>
          <w:tcPr>
            <w:tcW w:w="2261" w:type="dxa"/>
            <w:gridSpan w:val="3"/>
            <w:tcBorders>
              <w:top w:val="outset" w:sz="6" w:space="0" w:color="auto"/>
              <w:left w:val="outset" w:sz="6" w:space="0" w:color="auto"/>
              <w:bottom w:val="outset" w:sz="6" w:space="0" w:color="auto"/>
              <w:right w:val="outset" w:sz="6" w:space="0" w:color="auto"/>
            </w:tcBorders>
          </w:tcPr>
          <w:p w:rsidR="00BE0264" w:rsidRPr="00DB4A2D" w:rsidRDefault="00BE0264" w:rsidP="000105A1">
            <w:pPr>
              <w:spacing w:after="0" w:line="240" w:lineRule="auto"/>
              <w:ind w:left="57"/>
              <w:jc w:val="both"/>
              <w:rPr>
                <w:rFonts w:ascii="Times New Roman" w:hAnsi="Times New Roman"/>
                <w:sz w:val="24"/>
                <w:szCs w:val="24"/>
              </w:rPr>
            </w:pPr>
            <w:r w:rsidRPr="00DB4A2D">
              <w:rPr>
                <w:rFonts w:ascii="Times New Roman" w:hAnsi="Times New Roman"/>
                <w:sz w:val="24"/>
                <w:szCs w:val="24"/>
              </w:rPr>
              <w:t>MK noteikumu projekta 12.4.apakšpunkts</w:t>
            </w:r>
          </w:p>
        </w:tc>
        <w:tc>
          <w:tcPr>
            <w:tcW w:w="2596" w:type="dxa"/>
            <w:gridSpan w:val="2"/>
            <w:tcBorders>
              <w:top w:val="outset" w:sz="6" w:space="0" w:color="auto"/>
              <w:left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Ieviesta pilnībā</w:t>
            </w:r>
          </w:p>
        </w:tc>
        <w:tc>
          <w:tcPr>
            <w:tcW w:w="2940" w:type="dxa"/>
            <w:tcBorders>
              <w:top w:val="outset" w:sz="6" w:space="0" w:color="auto"/>
              <w:left w:val="outset" w:sz="6" w:space="0" w:color="auto"/>
              <w:bottom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neparedz stingrākas prasības</w:t>
            </w:r>
          </w:p>
        </w:tc>
      </w:tr>
      <w:tr w:rsidR="00BE0264" w:rsidRPr="00DB4A2D" w:rsidTr="000105A1">
        <w:trPr>
          <w:gridAfter w:val="1"/>
          <w:wAfter w:w="14" w:type="dxa"/>
          <w:jc w:val="center"/>
        </w:trPr>
        <w:tc>
          <w:tcPr>
            <w:tcW w:w="2454" w:type="dxa"/>
            <w:gridSpan w:val="2"/>
            <w:tcBorders>
              <w:top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pacing w:val="-3"/>
                <w:sz w:val="24"/>
                <w:szCs w:val="24"/>
              </w:rPr>
            </w:pPr>
            <w:r w:rsidRPr="00DB4A2D">
              <w:rPr>
                <w:rFonts w:ascii="Times New Roman" w:hAnsi="Times New Roman"/>
                <w:spacing w:val="-3"/>
                <w:sz w:val="24"/>
                <w:szCs w:val="24"/>
              </w:rPr>
              <w:t>Kā ir izmantota ES tiesību aktā paredzētā rīcības brīvība dalīb</w:t>
            </w:r>
            <w:r w:rsidRPr="00DB4A2D">
              <w:rPr>
                <w:rFonts w:ascii="Times New Roman" w:hAnsi="Times New Roman"/>
                <w:spacing w:val="-3"/>
                <w:sz w:val="24"/>
                <w:szCs w:val="24"/>
              </w:rPr>
              <w:softHyphen/>
              <w:t>valstij pārņemt vai ieviest noteiktas ES tiesību akta normas?</w:t>
            </w:r>
          </w:p>
          <w:p w:rsidR="00BE0264" w:rsidRPr="00DB4A2D" w:rsidRDefault="00BE0264" w:rsidP="000105A1">
            <w:pPr>
              <w:spacing w:after="0" w:line="240" w:lineRule="auto"/>
              <w:ind w:left="57"/>
              <w:rPr>
                <w:rFonts w:ascii="Times New Roman" w:hAnsi="Times New Roman"/>
                <w:spacing w:val="-3"/>
                <w:sz w:val="24"/>
                <w:szCs w:val="24"/>
              </w:rPr>
            </w:pPr>
            <w:r w:rsidRPr="00DB4A2D">
              <w:rPr>
                <w:rFonts w:ascii="Times New Roman" w:hAnsi="Times New Roman"/>
                <w:spacing w:val="-3"/>
                <w:sz w:val="24"/>
                <w:szCs w:val="24"/>
              </w:rPr>
              <w:t>Kādēļ?</w:t>
            </w:r>
          </w:p>
        </w:tc>
        <w:tc>
          <w:tcPr>
            <w:tcW w:w="7797" w:type="dxa"/>
            <w:gridSpan w:val="6"/>
            <w:tcBorders>
              <w:top w:val="outset" w:sz="6" w:space="0" w:color="auto"/>
              <w:left w:val="outset" w:sz="6" w:space="0" w:color="auto"/>
              <w:bottom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Projekts šo jomu  neskar</w:t>
            </w:r>
          </w:p>
        </w:tc>
      </w:tr>
      <w:tr w:rsidR="00BE0264" w:rsidRPr="00DB4A2D" w:rsidTr="000105A1">
        <w:trPr>
          <w:gridAfter w:val="1"/>
          <w:wAfter w:w="14" w:type="dxa"/>
          <w:jc w:val="center"/>
        </w:trPr>
        <w:tc>
          <w:tcPr>
            <w:tcW w:w="2454" w:type="dxa"/>
            <w:gridSpan w:val="2"/>
            <w:tcBorders>
              <w:top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pacing w:val="-3"/>
                <w:sz w:val="24"/>
                <w:szCs w:val="24"/>
              </w:rPr>
            </w:pPr>
            <w:r w:rsidRPr="00DB4A2D">
              <w:rPr>
                <w:rFonts w:ascii="Times New Roman" w:hAnsi="Times New Roman"/>
                <w:spacing w:val="-4"/>
                <w:sz w:val="24"/>
                <w:szCs w:val="24"/>
              </w:rPr>
              <w:t>Saistības sniegt paziņojumu ES insti</w:t>
            </w:r>
            <w:r w:rsidRPr="00DB4A2D">
              <w:rPr>
                <w:rFonts w:ascii="Times New Roman" w:hAnsi="Times New Roman"/>
                <w:spacing w:val="-4"/>
                <w:sz w:val="24"/>
                <w:szCs w:val="24"/>
              </w:rPr>
              <w:softHyphen/>
              <w:t>tūcijām un ES dalīb</w:t>
            </w:r>
            <w:r w:rsidRPr="00DB4A2D">
              <w:rPr>
                <w:rFonts w:ascii="Times New Roman" w:hAnsi="Times New Roman"/>
                <w:spacing w:val="-4"/>
                <w:sz w:val="24"/>
                <w:szCs w:val="24"/>
              </w:rPr>
              <w:softHyphen/>
              <w:t>valstīm atbilstoši normatīvajiem aktiem, kas regulē informā</w:t>
            </w:r>
            <w:r w:rsidRPr="00DB4A2D">
              <w:rPr>
                <w:rFonts w:ascii="Times New Roman" w:hAnsi="Times New Roman"/>
                <w:spacing w:val="-4"/>
                <w:sz w:val="24"/>
                <w:szCs w:val="24"/>
              </w:rPr>
              <w:softHyphen/>
              <w:t>cijas sniegšanu par tehnisko noteikumu, valsts atbalsta piešķir</w:t>
            </w:r>
            <w:r w:rsidRPr="00DB4A2D">
              <w:rPr>
                <w:rFonts w:ascii="Times New Roman" w:hAnsi="Times New Roman"/>
                <w:spacing w:val="-4"/>
                <w:sz w:val="24"/>
                <w:szCs w:val="24"/>
              </w:rPr>
              <w:softHyphen/>
              <w:t>šanas un finanšu noteikumu (attiecībā uz monetāro politiku) projektiem</w:t>
            </w:r>
          </w:p>
        </w:tc>
        <w:tc>
          <w:tcPr>
            <w:tcW w:w="7797" w:type="dxa"/>
            <w:gridSpan w:val="6"/>
            <w:tcBorders>
              <w:top w:val="outset" w:sz="6" w:space="0" w:color="auto"/>
              <w:left w:val="outset" w:sz="6" w:space="0" w:color="auto"/>
              <w:bottom w:val="outset" w:sz="6" w:space="0" w:color="auto"/>
            </w:tcBorders>
          </w:tcPr>
          <w:p w:rsidR="00BE0264" w:rsidRPr="00DB4A2D" w:rsidRDefault="00BE0264" w:rsidP="000105A1">
            <w:pPr>
              <w:pStyle w:val="NormalWeb"/>
              <w:jc w:val="both"/>
            </w:pPr>
            <w:r w:rsidRPr="00DB4A2D">
              <w:t xml:space="preserve"> Saskaņā ar Komisijas regulu Nr.800/2008 Eiropas Komisijai jāziņo par atbalstu, iesniedzot MK noteikumu informācijas kopsavilkumu 20 darba dienu laikā pēc MK noteikumu projekta spēkā stāšanās. </w:t>
            </w:r>
          </w:p>
          <w:p w:rsidR="00BE0264" w:rsidRPr="00DB4A2D" w:rsidRDefault="00BE0264" w:rsidP="000105A1">
            <w:pPr>
              <w:ind w:firstLine="483"/>
              <w:jc w:val="both"/>
              <w:rPr>
                <w:rFonts w:ascii="Times New Roman" w:hAnsi="Times New Roman"/>
                <w:sz w:val="24"/>
                <w:szCs w:val="24"/>
              </w:rPr>
            </w:pPr>
          </w:p>
        </w:tc>
      </w:tr>
      <w:tr w:rsidR="00BE0264" w:rsidRPr="00DB4A2D" w:rsidTr="000105A1">
        <w:trPr>
          <w:gridAfter w:val="1"/>
          <w:wAfter w:w="14" w:type="dxa"/>
          <w:jc w:val="center"/>
        </w:trPr>
        <w:tc>
          <w:tcPr>
            <w:tcW w:w="2454" w:type="dxa"/>
            <w:gridSpan w:val="2"/>
            <w:tcBorders>
              <w:top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Cita informācija</w:t>
            </w:r>
          </w:p>
        </w:tc>
        <w:tc>
          <w:tcPr>
            <w:tcW w:w="7797" w:type="dxa"/>
            <w:gridSpan w:val="6"/>
            <w:tcBorders>
              <w:top w:val="outset" w:sz="6" w:space="0" w:color="auto"/>
              <w:left w:val="outset" w:sz="6" w:space="0" w:color="auto"/>
              <w:bottom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Nav</w:t>
            </w:r>
          </w:p>
        </w:tc>
      </w:tr>
      <w:tr w:rsidR="00BE0264" w:rsidRPr="00DB4A2D" w:rsidTr="000105A1">
        <w:trPr>
          <w:gridAfter w:val="1"/>
          <w:wAfter w:w="14" w:type="dxa"/>
          <w:jc w:val="center"/>
        </w:trPr>
        <w:tc>
          <w:tcPr>
            <w:tcW w:w="10251" w:type="dxa"/>
            <w:gridSpan w:val="8"/>
            <w:tcBorders>
              <w:top w:val="outset" w:sz="6" w:space="0" w:color="auto"/>
              <w:bottom w:val="outset" w:sz="6" w:space="0" w:color="auto"/>
            </w:tcBorders>
            <w:vAlign w:val="center"/>
          </w:tcPr>
          <w:p w:rsidR="00BE0264" w:rsidRPr="00DB4A2D" w:rsidRDefault="00BE0264" w:rsidP="000105A1">
            <w:pPr>
              <w:spacing w:after="0" w:line="240" w:lineRule="auto"/>
              <w:ind w:left="57"/>
              <w:jc w:val="center"/>
              <w:rPr>
                <w:rFonts w:ascii="Times New Roman" w:hAnsi="Times New Roman"/>
                <w:b/>
                <w:sz w:val="24"/>
                <w:szCs w:val="24"/>
              </w:rPr>
            </w:pPr>
            <w:r w:rsidRPr="00DB4A2D">
              <w:rPr>
                <w:rFonts w:ascii="Times New Roman" w:hAnsi="Times New Roman"/>
                <w:b/>
                <w:sz w:val="24"/>
                <w:szCs w:val="24"/>
              </w:rPr>
              <w:t>2.tabula</w:t>
            </w:r>
          </w:p>
          <w:p w:rsidR="00BE0264" w:rsidRPr="00DB4A2D" w:rsidRDefault="00BE0264" w:rsidP="000105A1">
            <w:pPr>
              <w:spacing w:after="0" w:line="240" w:lineRule="auto"/>
              <w:ind w:left="57"/>
              <w:jc w:val="center"/>
              <w:rPr>
                <w:rFonts w:ascii="Times New Roman" w:hAnsi="Times New Roman"/>
                <w:b/>
                <w:sz w:val="24"/>
                <w:szCs w:val="24"/>
              </w:rPr>
            </w:pPr>
            <w:r w:rsidRPr="00DB4A2D">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rsidR="00BE0264" w:rsidRPr="00DB4A2D" w:rsidRDefault="00BE0264" w:rsidP="000105A1">
            <w:pPr>
              <w:spacing w:after="0" w:line="240" w:lineRule="auto"/>
              <w:ind w:left="57"/>
              <w:jc w:val="center"/>
              <w:rPr>
                <w:rFonts w:ascii="Times New Roman" w:hAnsi="Times New Roman"/>
                <w:b/>
                <w:sz w:val="24"/>
                <w:szCs w:val="24"/>
              </w:rPr>
            </w:pPr>
            <w:r w:rsidRPr="00DB4A2D">
              <w:rPr>
                <w:rFonts w:ascii="Times New Roman" w:hAnsi="Times New Roman"/>
                <w:b/>
                <w:sz w:val="24"/>
                <w:szCs w:val="24"/>
              </w:rPr>
              <w:t>Pasākumi šo saistību izpildei</w:t>
            </w:r>
          </w:p>
        </w:tc>
      </w:tr>
      <w:tr w:rsidR="00BE0264" w:rsidRPr="00DB4A2D" w:rsidTr="000105A1">
        <w:trPr>
          <w:gridAfter w:val="1"/>
          <w:wAfter w:w="14" w:type="dxa"/>
          <w:jc w:val="center"/>
        </w:trPr>
        <w:tc>
          <w:tcPr>
            <w:tcW w:w="2755" w:type="dxa"/>
            <w:gridSpan w:val="3"/>
            <w:tcBorders>
              <w:top w:val="outset" w:sz="6" w:space="0" w:color="auto"/>
              <w:bottom w:val="outset" w:sz="6" w:space="0" w:color="auto"/>
              <w:right w:val="outset" w:sz="6" w:space="0" w:color="auto"/>
            </w:tcBorders>
            <w:vAlign w:val="center"/>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7496" w:type="dxa"/>
            <w:gridSpan w:val="5"/>
            <w:tcBorders>
              <w:top w:val="outset" w:sz="6" w:space="0" w:color="auto"/>
              <w:left w:val="outset" w:sz="6" w:space="0" w:color="auto"/>
              <w:bottom w:val="outset" w:sz="6" w:space="0" w:color="auto"/>
            </w:tcBorders>
          </w:tcPr>
          <w:p w:rsidR="00BE0264" w:rsidRPr="00DB4A2D" w:rsidRDefault="00BE0264" w:rsidP="000105A1">
            <w:pPr>
              <w:spacing w:after="0" w:line="240" w:lineRule="auto"/>
              <w:ind w:left="57"/>
              <w:jc w:val="both"/>
              <w:rPr>
                <w:rFonts w:ascii="Times New Roman" w:hAnsi="Times New Roman"/>
                <w:sz w:val="24"/>
                <w:szCs w:val="24"/>
              </w:rPr>
            </w:pPr>
            <w:r w:rsidRPr="00DB4A2D">
              <w:rPr>
                <w:rFonts w:ascii="Times New Roman" w:hAnsi="Times New Roman"/>
                <w:sz w:val="24"/>
                <w:szCs w:val="24"/>
              </w:rPr>
              <w:t>MK noteikumu projekts izstrādāts, lai nodrošinātu Saprašanās memoranda starp Latvijas Republiku, Īslandes, Lihtenšteinas Firstistēm un Norvēģijas Karalisti B pielikumā norādītās programmas „Nacionālā klimata politika” ietvaros plānotā atklātā konkursa īstenošanu.</w:t>
            </w:r>
          </w:p>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Kā arī MK noteikumu projekta izstrādi pamato 2013.gada 6. martā noslēgtais programmas „Nacionālā klimata politika” līgums.</w:t>
            </w:r>
          </w:p>
        </w:tc>
      </w:tr>
      <w:tr w:rsidR="00BE0264" w:rsidRPr="00DB4A2D" w:rsidTr="000105A1">
        <w:trPr>
          <w:gridAfter w:val="1"/>
          <w:wAfter w:w="14" w:type="dxa"/>
          <w:jc w:val="center"/>
        </w:trPr>
        <w:tc>
          <w:tcPr>
            <w:tcW w:w="2755" w:type="dxa"/>
            <w:gridSpan w:val="3"/>
            <w:tcBorders>
              <w:top w:val="outset" w:sz="6" w:space="0" w:color="auto"/>
              <w:bottom w:val="outset" w:sz="6" w:space="0" w:color="auto"/>
              <w:right w:val="outset" w:sz="6" w:space="0" w:color="auto"/>
            </w:tcBorders>
            <w:vAlign w:val="center"/>
          </w:tcPr>
          <w:p w:rsidR="00BE0264" w:rsidRPr="00DB4A2D" w:rsidRDefault="00BE0264" w:rsidP="000105A1">
            <w:pPr>
              <w:spacing w:after="0" w:line="240" w:lineRule="auto"/>
              <w:ind w:left="57"/>
              <w:jc w:val="center"/>
              <w:rPr>
                <w:rFonts w:ascii="Times New Roman" w:hAnsi="Times New Roman"/>
                <w:sz w:val="24"/>
                <w:szCs w:val="24"/>
              </w:rPr>
            </w:pPr>
            <w:r w:rsidRPr="00DB4A2D">
              <w:rPr>
                <w:rFonts w:ascii="Times New Roman" w:hAnsi="Times New Roman"/>
                <w:sz w:val="24"/>
                <w:szCs w:val="24"/>
              </w:rPr>
              <w:t>A</w:t>
            </w:r>
          </w:p>
        </w:tc>
        <w:tc>
          <w:tcPr>
            <w:tcW w:w="3216" w:type="dxa"/>
            <w:gridSpan w:val="3"/>
            <w:tcBorders>
              <w:top w:val="outset" w:sz="6" w:space="0" w:color="auto"/>
              <w:left w:val="outset" w:sz="6" w:space="0" w:color="auto"/>
              <w:bottom w:val="outset" w:sz="6" w:space="0" w:color="auto"/>
              <w:right w:val="outset" w:sz="6" w:space="0" w:color="auto"/>
            </w:tcBorders>
            <w:vAlign w:val="center"/>
          </w:tcPr>
          <w:p w:rsidR="00BE0264" w:rsidRPr="00DB4A2D" w:rsidRDefault="00BE0264" w:rsidP="000105A1">
            <w:pPr>
              <w:spacing w:after="0" w:line="240" w:lineRule="auto"/>
              <w:ind w:left="57"/>
              <w:jc w:val="center"/>
              <w:rPr>
                <w:rFonts w:ascii="Times New Roman" w:hAnsi="Times New Roman"/>
                <w:sz w:val="24"/>
                <w:szCs w:val="24"/>
              </w:rPr>
            </w:pPr>
            <w:r w:rsidRPr="00DB4A2D">
              <w:rPr>
                <w:rFonts w:ascii="Times New Roman" w:hAnsi="Times New Roman"/>
                <w:sz w:val="24"/>
                <w:szCs w:val="24"/>
              </w:rPr>
              <w:t>B</w:t>
            </w:r>
          </w:p>
        </w:tc>
        <w:tc>
          <w:tcPr>
            <w:tcW w:w="4280" w:type="dxa"/>
            <w:gridSpan w:val="2"/>
            <w:tcBorders>
              <w:top w:val="outset" w:sz="6" w:space="0" w:color="auto"/>
              <w:left w:val="outset" w:sz="6" w:space="0" w:color="auto"/>
              <w:bottom w:val="outset" w:sz="6" w:space="0" w:color="auto"/>
            </w:tcBorders>
            <w:vAlign w:val="center"/>
          </w:tcPr>
          <w:p w:rsidR="00BE0264" w:rsidRPr="00DB4A2D" w:rsidRDefault="00BE0264" w:rsidP="000105A1">
            <w:pPr>
              <w:spacing w:after="0" w:line="240" w:lineRule="auto"/>
              <w:ind w:left="57"/>
              <w:jc w:val="center"/>
              <w:rPr>
                <w:rFonts w:ascii="Times New Roman" w:hAnsi="Times New Roman"/>
                <w:sz w:val="24"/>
                <w:szCs w:val="24"/>
              </w:rPr>
            </w:pPr>
            <w:r w:rsidRPr="00DB4A2D">
              <w:rPr>
                <w:rFonts w:ascii="Times New Roman" w:hAnsi="Times New Roman"/>
                <w:sz w:val="24"/>
                <w:szCs w:val="24"/>
              </w:rPr>
              <w:t>C</w:t>
            </w:r>
          </w:p>
        </w:tc>
      </w:tr>
      <w:tr w:rsidR="00BE0264" w:rsidRPr="00DB4A2D" w:rsidTr="000105A1">
        <w:trPr>
          <w:gridAfter w:val="1"/>
          <w:wAfter w:w="14" w:type="dxa"/>
          <w:jc w:val="center"/>
        </w:trPr>
        <w:tc>
          <w:tcPr>
            <w:tcW w:w="2755" w:type="dxa"/>
            <w:gridSpan w:val="3"/>
            <w:tcBorders>
              <w:top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Starptautiskās saistības (pēc būtības), kas izriet no norādītā starptautis</w:t>
            </w:r>
            <w:r w:rsidRPr="00DB4A2D">
              <w:rPr>
                <w:rFonts w:ascii="Times New Roman" w:hAnsi="Times New Roman"/>
                <w:sz w:val="24"/>
                <w:szCs w:val="24"/>
              </w:rPr>
              <w:softHyphen/>
              <w:t>kā dokumenta.</w:t>
            </w:r>
          </w:p>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Konkrēti veicamie pasākumi vai uzdevumi, kas nepieciešami šo starptautisko saistību izpildei</w:t>
            </w:r>
          </w:p>
        </w:tc>
        <w:tc>
          <w:tcPr>
            <w:tcW w:w="3216" w:type="dxa"/>
            <w:gridSpan w:val="3"/>
            <w:tcBorders>
              <w:top w:val="outset" w:sz="6" w:space="0" w:color="auto"/>
              <w:left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280" w:type="dxa"/>
            <w:gridSpan w:val="2"/>
            <w:tcBorders>
              <w:top w:val="outset" w:sz="6" w:space="0" w:color="auto"/>
              <w:left w:val="outset" w:sz="6" w:space="0" w:color="auto"/>
              <w:bottom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Informācija par to, vai starptautiskās saistības, kas minētas šīs tabulas A ailē, tiek izpildītas pilnībā vai daļēji.</w:t>
            </w:r>
          </w:p>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Ja attiecīgās starptautiskās saistības tiek izpildītas daļēji, sniedz skaidrojumu, kā arī precīzi norāda, kad un kādā veidā starptautiskās saistības tiks izpildītas pilnībā.</w:t>
            </w:r>
          </w:p>
          <w:p w:rsidR="00BE0264" w:rsidRPr="00DB4A2D" w:rsidRDefault="00BE0264" w:rsidP="000105A1">
            <w:pPr>
              <w:spacing w:after="0" w:line="240" w:lineRule="auto"/>
              <w:ind w:left="57" w:right="57"/>
              <w:rPr>
                <w:rFonts w:ascii="Times New Roman" w:hAnsi="Times New Roman"/>
                <w:sz w:val="24"/>
                <w:szCs w:val="24"/>
              </w:rPr>
            </w:pPr>
            <w:r w:rsidRPr="00DB4A2D">
              <w:rPr>
                <w:rFonts w:ascii="Times New Roman" w:hAnsi="Times New Roman"/>
                <w:sz w:val="24"/>
                <w:szCs w:val="24"/>
              </w:rPr>
              <w:t>Norāda institūciju, kas ir atbildīga par šo saistību izpildi pilnībā</w:t>
            </w:r>
          </w:p>
        </w:tc>
      </w:tr>
      <w:tr w:rsidR="00BE0264" w:rsidRPr="00DB4A2D" w:rsidTr="000105A1">
        <w:trPr>
          <w:gridAfter w:val="1"/>
          <w:wAfter w:w="14" w:type="dxa"/>
          <w:jc w:val="center"/>
        </w:trPr>
        <w:tc>
          <w:tcPr>
            <w:tcW w:w="2755" w:type="dxa"/>
            <w:gridSpan w:val="3"/>
            <w:tcBorders>
              <w:top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 xml:space="preserve">Izstrādāta no oglekļa mazāk atkarīga ekonomika. </w:t>
            </w:r>
          </w:p>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Programmas „Nacionālā klimata politika” līgumā noteiktās prasības attiecībā uz atklāto konkursu, norādītas šīs anotācijas I sadaļas 2. punktā.</w:t>
            </w:r>
          </w:p>
        </w:tc>
        <w:tc>
          <w:tcPr>
            <w:tcW w:w="3216" w:type="dxa"/>
            <w:gridSpan w:val="3"/>
            <w:tcBorders>
              <w:top w:val="outset" w:sz="6" w:space="0" w:color="auto"/>
              <w:left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Pasākumi, kas norādīti A ailē tiks sasniegti pamatojoties uz MK noteikumu projekta 8. punktā noteiktajām atbalsta jomām un 22, 23. un 24. punktā noteiktajām atbalstāmajām aktivitātēm.</w:t>
            </w:r>
          </w:p>
        </w:tc>
        <w:tc>
          <w:tcPr>
            <w:tcW w:w="4280" w:type="dxa"/>
            <w:gridSpan w:val="2"/>
            <w:tcBorders>
              <w:top w:val="outset" w:sz="6" w:space="0" w:color="auto"/>
              <w:left w:val="outset" w:sz="6" w:space="0" w:color="auto"/>
              <w:bottom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Tiek plānots, ka paredzētās saistības tiks izpildītas pilnībā.</w:t>
            </w:r>
          </w:p>
        </w:tc>
      </w:tr>
      <w:tr w:rsidR="00BE0264" w:rsidRPr="00DB4A2D" w:rsidTr="000105A1">
        <w:trPr>
          <w:gridAfter w:val="1"/>
          <w:wAfter w:w="14" w:type="dxa"/>
          <w:jc w:val="center"/>
        </w:trPr>
        <w:tc>
          <w:tcPr>
            <w:tcW w:w="2755" w:type="dxa"/>
            <w:gridSpan w:val="3"/>
            <w:tcBorders>
              <w:top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Vai starptautiskajā dokumentā paredzētās saistības nav pretrunā ar jau esošajām Latvijas Republikas starptautis</w:t>
            </w:r>
            <w:r w:rsidRPr="00DB4A2D">
              <w:rPr>
                <w:rFonts w:ascii="Times New Roman" w:hAnsi="Times New Roman"/>
                <w:sz w:val="24"/>
                <w:szCs w:val="24"/>
              </w:rPr>
              <w:softHyphen/>
              <w:t>kajām saistībām</w:t>
            </w:r>
          </w:p>
        </w:tc>
        <w:tc>
          <w:tcPr>
            <w:tcW w:w="7496" w:type="dxa"/>
            <w:gridSpan w:val="5"/>
            <w:tcBorders>
              <w:top w:val="outset" w:sz="6" w:space="0" w:color="auto"/>
              <w:left w:val="outset" w:sz="6" w:space="0" w:color="auto"/>
              <w:bottom w:val="outset" w:sz="6" w:space="0" w:color="auto"/>
            </w:tcBorders>
          </w:tcPr>
          <w:p w:rsidR="00BE0264" w:rsidRPr="00DB4A2D" w:rsidRDefault="00BE0264" w:rsidP="000105A1">
            <w:pPr>
              <w:spacing w:after="0" w:line="240" w:lineRule="auto"/>
              <w:ind w:left="57"/>
              <w:jc w:val="both"/>
              <w:rPr>
                <w:rFonts w:ascii="Times New Roman" w:hAnsi="Times New Roman"/>
                <w:sz w:val="24"/>
                <w:szCs w:val="24"/>
              </w:rPr>
            </w:pPr>
            <w:r w:rsidRPr="00DB4A2D">
              <w:rPr>
                <w:rFonts w:ascii="Times New Roman" w:hAnsi="Times New Roman"/>
                <w:sz w:val="24"/>
                <w:szCs w:val="24"/>
              </w:rPr>
              <w:t>Saistības, kas norādītas A ailē nav pretrunā ar jau esošajām Latvijas Republikas starptautiskajām saistībām.</w:t>
            </w:r>
          </w:p>
        </w:tc>
      </w:tr>
      <w:tr w:rsidR="00BE0264" w:rsidRPr="00DB4A2D" w:rsidTr="000105A1">
        <w:trPr>
          <w:gridAfter w:val="1"/>
          <w:wAfter w:w="14" w:type="dxa"/>
          <w:jc w:val="center"/>
        </w:trPr>
        <w:tc>
          <w:tcPr>
            <w:tcW w:w="2755" w:type="dxa"/>
            <w:gridSpan w:val="3"/>
            <w:tcBorders>
              <w:top w:val="outset" w:sz="6" w:space="0" w:color="auto"/>
              <w:bottom w:val="outset" w:sz="6" w:space="0" w:color="auto"/>
              <w:right w:val="outset" w:sz="6" w:space="0" w:color="auto"/>
            </w:tcBorders>
          </w:tcPr>
          <w:p w:rsidR="00BE0264" w:rsidRPr="00DB4A2D" w:rsidRDefault="00BE0264" w:rsidP="000105A1">
            <w:pPr>
              <w:spacing w:after="0" w:line="240" w:lineRule="auto"/>
              <w:ind w:left="57"/>
              <w:rPr>
                <w:rFonts w:ascii="Times New Roman" w:hAnsi="Times New Roman"/>
                <w:sz w:val="24"/>
                <w:szCs w:val="24"/>
              </w:rPr>
            </w:pPr>
            <w:r w:rsidRPr="00DB4A2D">
              <w:rPr>
                <w:rFonts w:ascii="Times New Roman" w:hAnsi="Times New Roman"/>
                <w:sz w:val="24"/>
                <w:szCs w:val="24"/>
              </w:rPr>
              <w:t>Cita informācija</w:t>
            </w:r>
          </w:p>
        </w:tc>
        <w:tc>
          <w:tcPr>
            <w:tcW w:w="7496" w:type="dxa"/>
            <w:gridSpan w:val="5"/>
            <w:tcBorders>
              <w:top w:val="outset" w:sz="6" w:space="0" w:color="auto"/>
              <w:left w:val="outset" w:sz="6" w:space="0" w:color="auto"/>
              <w:bottom w:val="outset" w:sz="6" w:space="0" w:color="auto"/>
            </w:tcBorders>
          </w:tcPr>
          <w:p w:rsidR="00BE0264" w:rsidRPr="00DB4A2D" w:rsidRDefault="00BE0264" w:rsidP="000105A1">
            <w:pPr>
              <w:spacing w:after="0" w:line="240" w:lineRule="auto"/>
              <w:ind w:left="57"/>
              <w:jc w:val="both"/>
              <w:rPr>
                <w:rFonts w:ascii="Times New Roman" w:hAnsi="Times New Roman"/>
                <w:sz w:val="24"/>
                <w:szCs w:val="24"/>
              </w:rPr>
            </w:pPr>
            <w:r w:rsidRPr="00DB4A2D">
              <w:rPr>
                <w:rFonts w:ascii="Times New Roman" w:hAnsi="Times New Roman"/>
                <w:sz w:val="24"/>
                <w:szCs w:val="24"/>
              </w:rPr>
              <w:t>Nav</w:t>
            </w:r>
          </w:p>
        </w:tc>
      </w:tr>
    </w:tbl>
    <w:p w:rsidR="00BE0264" w:rsidRPr="00DB4A2D" w:rsidDel="009D1634" w:rsidRDefault="00BE0264" w:rsidP="00BE0264">
      <w:pPr>
        <w:spacing w:after="0" w:line="240" w:lineRule="auto"/>
        <w:rPr>
          <w:rFonts w:ascii="Times New Roman" w:hAnsi="Times New Roman"/>
          <w:sz w:val="24"/>
          <w:szCs w:val="24"/>
        </w:rPr>
      </w:pPr>
    </w:p>
    <w:tbl>
      <w:tblPr>
        <w:tblW w:w="10194" w:type="dxa"/>
        <w:jc w:val="center"/>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46"/>
        <w:gridCol w:w="2842"/>
        <w:gridCol w:w="6206"/>
      </w:tblGrid>
      <w:tr w:rsidR="00BE0264" w:rsidRPr="00DB4A2D" w:rsidTr="000105A1">
        <w:trPr>
          <w:trHeight w:val="421"/>
          <w:jc w:val="center"/>
        </w:trPr>
        <w:tc>
          <w:tcPr>
            <w:tcW w:w="10194" w:type="dxa"/>
            <w:gridSpan w:val="3"/>
            <w:vAlign w:val="center"/>
          </w:tcPr>
          <w:p w:rsidR="00BE0264" w:rsidRPr="00DB4A2D" w:rsidRDefault="00BE0264" w:rsidP="000105A1">
            <w:pPr>
              <w:pStyle w:val="naisnod"/>
              <w:spacing w:before="0" w:beforeAutospacing="0" w:after="0" w:afterAutospacing="0"/>
              <w:ind w:left="57" w:right="57"/>
              <w:jc w:val="center"/>
            </w:pPr>
            <w:r w:rsidRPr="00DB4A2D">
              <w:rPr>
                <w:b/>
              </w:rPr>
              <w:t>VI. Sabiedrības līdzdalība un komunikācijas aktivitātes</w:t>
            </w:r>
          </w:p>
        </w:tc>
      </w:tr>
      <w:tr w:rsidR="00BE0264" w:rsidRPr="00DB4A2D" w:rsidTr="000105A1">
        <w:trPr>
          <w:trHeight w:val="553"/>
          <w:jc w:val="center"/>
        </w:trPr>
        <w:tc>
          <w:tcPr>
            <w:tcW w:w="1146" w:type="dxa"/>
          </w:tcPr>
          <w:p w:rsidR="00BE0264" w:rsidRPr="00DB4A2D" w:rsidRDefault="00BE0264" w:rsidP="000105A1">
            <w:pPr>
              <w:spacing w:after="0" w:line="240" w:lineRule="auto"/>
              <w:ind w:left="57" w:right="57"/>
              <w:jc w:val="both"/>
              <w:rPr>
                <w:rFonts w:ascii="Times New Roman" w:hAnsi="Times New Roman"/>
                <w:bCs/>
                <w:sz w:val="24"/>
                <w:szCs w:val="24"/>
              </w:rPr>
            </w:pPr>
            <w:r w:rsidRPr="00DB4A2D">
              <w:rPr>
                <w:rFonts w:ascii="Times New Roman" w:hAnsi="Times New Roman"/>
                <w:bCs/>
                <w:sz w:val="24"/>
                <w:szCs w:val="24"/>
              </w:rPr>
              <w:t>1.</w:t>
            </w:r>
          </w:p>
        </w:tc>
        <w:tc>
          <w:tcPr>
            <w:tcW w:w="2842" w:type="dxa"/>
          </w:tcPr>
          <w:p w:rsidR="00BE0264" w:rsidRPr="00DB4A2D" w:rsidRDefault="00BE0264" w:rsidP="000105A1">
            <w:pPr>
              <w:tabs>
                <w:tab w:val="left" w:pos="170"/>
              </w:tabs>
              <w:spacing w:after="0" w:line="240" w:lineRule="auto"/>
              <w:ind w:left="57" w:right="57"/>
              <w:rPr>
                <w:rFonts w:ascii="Times New Roman" w:hAnsi="Times New Roman"/>
                <w:sz w:val="24"/>
                <w:szCs w:val="24"/>
                <w:lang w:eastAsia="lv-LV"/>
              </w:rPr>
            </w:pPr>
            <w:r w:rsidRPr="00DB4A2D">
              <w:rPr>
                <w:rFonts w:ascii="Times New Roman" w:hAnsi="Times New Roman"/>
                <w:sz w:val="24"/>
                <w:szCs w:val="24"/>
                <w:lang w:eastAsia="lv-LV"/>
              </w:rPr>
              <w:t>Plānotās sabiedrības līdzdalības un komunikācijas aktivitātes saistībā ar projektu</w:t>
            </w:r>
          </w:p>
        </w:tc>
        <w:tc>
          <w:tcPr>
            <w:tcW w:w="6206" w:type="dxa"/>
          </w:tcPr>
          <w:p w:rsidR="00BE0264" w:rsidRPr="00DB4A2D" w:rsidRDefault="00BE0264" w:rsidP="000105A1">
            <w:pPr>
              <w:shd w:val="clear" w:color="auto" w:fill="FFFFFF"/>
              <w:spacing w:after="0" w:line="240" w:lineRule="auto"/>
              <w:ind w:left="169"/>
              <w:jc w:val="both"/>
              <w:rPr>
                <w:rFonts w:ascii="Times New Roman" w:hAnsi="Times New Roman"/>
                <w:sz w:val="24"/>
                <w:szCs w:val="24"/>
              </w:rPr>
            </w:pPr>
            <w:bookmarkStart w:id="1" w:name="p61"/>
            <w:bookmarkEnd w:id="1"/>
            <w:r w:rsidRPr="00DB4A2D">
              <w:rPr>
                <w:rFonts w:ascii="Times New Roman" w:hAnsi="Times New Roman"/>
                <w:sz w:val="24"/>
                <w:szCs w:val="24"/>
              </w:rPr>
              <w:t>Sabiedrības informēšanas nodrošināšanai 2013. gada 28. augustā tika rīkota programmas „Nacionālā klimata politika” atklāšanas konference, kurā tika sniegta informācija par programmu un atklāto konkursu. Kā arī 2013. gada 29. augustā tika rīkots programmas „Nacionālā klimata politika” partnerības meklēšanas forums, kura ietvaros bija iespējams iegūt informāciju par atklāto konkursu un iegūt potenciālo projekta partneru kontaktus. Pasākumu kopsavilkums un prezentācijas pieejamas VARAM mājas lapā.</w:t>
            </w:r>
          </w:p>
          <w:p w:rsidR="00BE0264" w:rsidRPr="00DB4A2D" w:rsidRDefault="00BE0264" w:rsidP="000105A1">
            <w:pPr>
              <w:shd w:val="clear" w:color="auto" w:fill="FFFFFF"/>
              <w:spacing w:after="0" w:line="240" w:lineRule="auto"/>
              <w:ind w:left="169"/>
              <w:jc w:val="both"/>
              <w:rPr>
                <w:rFonts w:ascii="Times New Roman" w:hAnsi="Times New Roman"/>
                <w:sz w:val="24"/>
                <w:szCs w:val="24"/>
              </w:rPr>
            </w:pPr>
            <w:r w:rsidRPr="00DB4A2D">
              <w:rPr>
                <w:rFonts w:ascii="Times New Roman" w:hAnsi="Times New Roman"/>
                <w:sz w:val="24"/>
                <w:szCs w:val="24"/>
              </w:rPr>
              <w:t>2014. gada II ceturksnī plānoti informatīvi semināri potenciālajiem projektu iesniedzējiem un citiem interesentiem.</w:t>
            </w:r>
          </w:p>
        </w:tc>
      </w:tr>
      <w:tr w:rsidR="00BE0264" w:rsidRPr="00DB4A2D" w:rsidTr="000105A1">
        <w:trPr>
          <w:trHeight w:val="339"/>
          <w:jc w:val="center"/>
        </w:trPr>
        <w:tc>
          <w:tcPr>
            <w:tcW w:w="1146" w:type="dxa"/>
          </w:tcPr>
          <w:p w:rsidR="00BE0264" w:rsidRPr="00DB4A2D" w:rsidRDefault="00BE0264" w:rsidP="000105A1">
            <w:pPr>
              <w:spacing w:after="0" w:line="240" w:lineRule="auto"/>
              <w:ind w:left="57" w:right="57"/>
              <w:jc w:val="both"/>
              <w:rPr>
                <w:rFonts w:ascii="Times New Roman" w:hAnsi="Times New Roman"/>
                <w:bCs/>
                <w:sz w:val="24"/>
                <w:szCs w:val="24"/>
              </w:rPr>
            </w:pPr>
            <w:r w:rsidRPr="00DB4A2D">
              <w:rPr>
                <w:rFonts w:ascii="Times New Roman" w:hAnsi="Times New Roman"/>
                <w:bCs/>
                <w:sz w:val="24"/>
                <w:szCs w:val="24"/>
              </w:rPr>
              <w:t>2.</w:t>
            </w:r>
          </w:p>
        </w:tc>
        <w:tc>
          <w:tcPr>
            <w:tcW w:w="2842" w:type="dxa"/>
          </w:tcPr>
          <w:p w:rsidR="00BE0264" w:rsidRPr="00DB4A2D" w:rsidRDefault="00BE0264" w:rsidP="000105A1">
            <w:pPr>
              <w:spacing w:after="0" w:line="240" w:lineRule="auto"/>
              <w:ind w:left="57" w:right="57"/>
              <w:rPr>
                <w:rFonts w:ascii="Times New Roman" w:hAnsi="Times New Roman"/>
                <w:sz w:val="24"/>
                <w:szCs w:val="24"/>
                <w:lang w:eastAsia="lv-LV"/>
              </w:rPr>
            </w:pPr>
            <w:r w:rsidRPr="00DB4A2D">
              <w:rPr>
                <w:rFonts w:ascii="Times New Roman" w:hAnsi="Times New Roman"/>
                <w:sz w:val="24"/>
                <w:szCs w:val="24"/>
                <w:lang w:eastAsia="lv-LV"/>
              </w:rPr>
              <w:t>Sabiedrības līdzdalība projekta izstrādē</w:t>
            </w:r>
          </w:p>
        </w:tc>
        <w:tc>
          <w:tcPr>
            <w:tcW w:w="6206" w:type="dxa"/>
          </w:tcPr>
          <w:p w:rsidR="00BE0264" w:rsidRPr="00DB4A2D" w:rsidRDefault="00BE0264" w:rsidP="000105A1">
            <w:pPr>
              <w:shd w:val="clear" w:color="auto" w:fill="FFFFFF"/>
              <w:spacing w:after="0" w:line="240" w:lineRule="auto"/>
              <w:ind w:left="169"/>
              <w:jc w:val="both"/>
              <w:rPr>
                <w:rFonts w:ascii="Times New Roman" w:hAnsi="Times New Roman"/>
                <w:sz w:val="24"/>
                <w:szCs w:val="24"/>
                <w:lang w:eastAsia="lv-LV"/>
              </w:rPr>
            </w:pPr>
            <w:bookmarkStart w:id="2" w:name="p62"/>
            <w:bookmarkEnd w:id="2"/>
            <w:r w:rsidRPr="00DB4A2D">
              <w:rPr>
                <w:rFonts w:ascii="Times New Roman" w:hAnsi="Times New Roman"/>
                <w:sz w:val="24"/>
                <w:szCs w:val="24"/>
              </w:rPr>
              <w:t xml:space="preserve">MK noteikumu projekta izstrādē tika iesaistīta </w:t>
            </w:r>
            <w:r w:rsidRPr="00DB4A2D">
              <w:rPr>
                <w:rFonts w:ascii="Times New Roman" w:hAnsi="Times New Roman"/>
                <w:iCs/>
                <w:sz w:val="24"/>
                <w:szCs w:val="24"/>
              </w:rPr>
              <w:t>Ilgtspējīgas būvniecības padomes un biedrības Passive house Latvija pārstāvji.</w:t>
            </w:r>
          </w:p>
        </w:tc>
      </w:tr>
      <w:tr w:rsidR="00BE0264" w:rsidRPr="00DB4A2D" w:rsidTr="000105A1">
        <w:trPr>
          <w:trHeight w:val="476"/>
          <w:jc w:val="center"/>
        </w:trPr>
        <w:tc>
          <w:tcPr>
            <w:tcW w:w="1146" w:type="dxa"/>
          </w:tcPr>
          <w:p w:rsidR="00BE0264" w:rsidRPr="00DB4A2D" w:rsidRDefault="00BE0264" w:rsidP="000105A1">
            <w:pPr>
              <w:spacing w:after="0" w:line="240" w:lineRule="auto"/>
              <w:ind w:left="57" w:right="57"/>
              <w:jc w:val="both"/>
              <w:rPr>
                <w:rFonts w:ascii="Times New Roman" w:hAnsi="Times New Roman"/>
                <w:bCs/>
                <w:sz w:val="24"/>
                <w:szCs w:val="24"/>
              </w:rPr>
            </w:pPr>
            <w:r w:rsidRPr="00DB4A2D">
              <w:rPr>
                <w:rFonts w:ascii="Times New Roman" w:hAnsi="Times New Roman"/>
                <w:bCs/>
                <w:sz w:val="24"/>
                <w:szCs w:val="24"/>
              </w:rPr>
              <w:t>3.</w:t>
            </w:r>
          </w:p>
        </w:tc>
        <w:tc>
          <w:tcPr>
            <w:tcW w:w="2842" w:type="dxa"/>
          </w:tcPr>
          <w:p w:rsidR="00BE0264" w:rsidRPr="00DB4A2D" w:rsidRDefault="00BE0264" w:rsidP="000105A1">
            <w:pPr>
              <w:spacing w:after="0" w:line="240" w:lineRule="auto"/>
              <w:ind w:left="57" w:right="57"/>
              <w:rPr>
                <w:rFonts w:ascii="Times New Roman" w:hAnsi="Times New Roman"/>
                <w:sz w:val="24"/>
                <w:szCs w:val="24"/>
                <w:lang w:eastAsia="lv-LV"/>
              </w:rPr>
            </w:pPr>
            <w:r w:rsidRPr="00DB4A2D">
              <w:rPr>
                <w:rFonts w:ascii="Times New Roman" w:hAnsi="Times New Roman"/>
                <w:sz w:val="24"/>
                <w:szCs w:val="24"/>
                <w:lang w:eastAsia="lv-LV"/>
              </w:rPr>
              <w:t>Sabiedrības līdzdalības rezultāti</w:t>
            </w:r>
          </w:p>
        </w:tc>
        <w:tc>
          <w:tcPr>
            <w:tcW w:w="6206" w:type="dxa"/>
          </w:tcPr>
          <w:p w:rsidR="00BE0264" w:rsidRPr="00DB4A2D" w:rsidRDefault="00BE0264" w:rsidP="000105A1">
            <w:pPr>
              <w:shd w:val="clear" w:color="auto" w:fill="FFFFFF"/>
              <w:spacing w:after="0" w:line="240" w:lineRule="auto"/>
              <w:ind w:left="169"/>
              <w:jc w:val="both"/>
              <w:rPr>
                <w:rFonts w:ascii="Times New Roman" w:hAnsi="Times New Roman"/>
                <w:sz w:val="24"/>
                <w:szCs w:val="24"/>
                <w:lang w:eastAsia="lv-LV"/>
              </w:rPr>
            </w:pPr>
            <w:r w:rsidRPr="00DB4A2D">
              <w:rPr>
                <w:rFonts w:ascii="Times New Roman" w:hAnsi="Times New Roman"/>
                <w:sz w:val="24"/>
                <w:szCs w:val="24"/>
              </w:rPr>
              <w:t>Būtiskākie anotācijas VI daļas 2. punktā norādīto sabiedrības pārstāvju priekšlikumi bija saistīti ar projekta iesniegumu kvalitātes vērtēšanas kritēriju noteikšanu.</w:t>
            </w:r>
          </w:p>
        </w:tc>
      </w:tr>
      <w:tr w:rsidR="00BE0264" w:rsidRPr="00DB4A2D" w:rsidTr="000105A1">
        <w:trPr>
          <w:trHeight w:val="476"/>
          <w:jc w:val="center"/>
        </w:trPr>
        <w:tc>
          <w:tcPr>
            <w:tcW w:w="1146" w:type="dxa"/>
          </w:tcPr>
          <w:p w:rsidR="00BE0264" w:rsidRPr="00DB4A2D" w:rsidRDefault="00BE0264" w:rsidP="000105A1">
            <w:pPr>
              <w:spacing w:after="0" w:line="240" w:lineRule="auto"/>
              <w:ind w:left="57" w:right="57"/>
              <w:jc w:val="both"/>
              <w:rPr>
                <w:rFonts w:ascii="Times New Roman" w:hAnsi="Times New Roman"/>
                <w:bCs/>
                <w:sz w:val="24"/>
                <w:szCs w:val="24"/>
              </w:rPr>
            </w:pPr>
            <w:r w:rsidRPr="00DB4A2D">
              <w:rPr>
                <w:rFonts w:ascii="Times New Roman" w:hAnsi="Times New Roman"/>
                <w:bCs/>
                <w:sz w:val="24"/>
                <w:szCs w:val="24"/>
              </w:rPr>
              <w:t>4.</w:t>
            </w:r>
          </w:p>
        </w:tc>
        <w:tc>
          <w:tcPr>
            <w:tcW w:w="2842" w:type="dxa"/>
          </w:tcPr>
          <w:p w:rsidR="00BE0264" w:rsidRPr="00DB4A2D" w:rsidRDefault="00BE0264" w:rsidP="000105A1">
            <w:pPr>
              <w:spacing w:after="0" w:line="240" w:lineRule="auto"/>
              <w:ind w:left="57" w:right="57"/>
              <w:rPr>
                <w:rFonts w:ascii="Times New Roman" w:hAnsi="Times New Roman"/>
                <w:sz w:val="24"/>
                <w:szCs w:val="24"/>
                <w:lang w:eastAsia="lv-LV"/>
              </w:rPr>
            </w:pPr>
            <w:r w:rsidRPr="00DB4A2D">
              <w:rPr>
                <w:rFonts w:ascii="Times New Roman" w:hAnsi="Times New Roman"/>
                <w:sz w:val="24"/>
                <w:szCs w:val="24"/>
                <w:lang w:eastAsia="lv-LV"/>
              </w:rPr>
              <w:t>Cita informācija</w:t>
            </w:r>
          </w:p>
        </w:tc>
        <w:tc>
          <w:tcPr>
            <w:tcW w:w="6206" w:type="dxa"/>
          </w:tcPr>
          <w:p w:rsidR="00BE0264" w:rsidRPr="00DB4A2D" w:rsidRDefault="00BE0264" w:rsidP="000105A1">
            <w:pPr>
              <w:spacing w:after="0" w:line="240" w:lineRule="auto"/>
              <w:ind w:left="169" w:right="57"/>
              <w:jc w:val="both"/>
              <w:rPr>
                <w:rFonts w:ascii="Times New Roman" w:hAnsi="Times New Roman"/>
                <w:sz w:val="24"/>
                <w:szCs w:val="24"/>
                <w:lang w:eastAsia="lv-LV"/>
              </w:rPr>
            </w:pPr>
            <w:r w:rsidRPr="00DB4A2D">
              <w:rPr>
                <w:rFonts w:ascii="Times New Roman" w:hAnsi="Times New Roman"/>
                <w:sz w:val="24"/>
                <w:szCs w:val="24"/>
              </w:rPr>
              <w:t>Nav</w:t>
            </w:r>
          </w:p>
        </w:tc>
      </w:tr>
    </w:tbl>
    <w:p w:rsidR="00BE0264" w:rsidRPr="00DB4A2D" w:rsidRDefault="00BE0264" w:rsidP="00BE0264">
      <w:pPr>
        <w:spacing w:after="0" w:line="240" w:lineRule="auto"/>
        <w:rPr>
          <w:rFonts w:ascii="Times New Roman" w:hAnsi="Times New Roman"/>
          <w:sz w:val="24"/>
          <w:szCs w:val="24"/>
        </w:rPr>
      </w:pPr>
    </w:p>
    <w:tbl>
      <w:tblPr>
        <w:tblW w:w="10273"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1043"/>
        <w:gridCol w:w="3615"/>
        <w:gridCol w:w="5615"/>
      </w:tblGrid>
      <w:tr w:rsidR="00BE0264" w:rsidRPr="00DB4A2D" w:rsidTr="000105A1">
        <w:trPr>
          <w:trHeight w:val="381"/>
          <w:jc w:val="center"/>
        </w:trPr>
        <w:tc>
          <w:tcPr>
            <w:tcW w:w="10273" w:type="dxa"/>
            <w:gridSpan w:val="3"/>
            <w:vAlign w:val="center"/>
          </w:tcPr>
          <w:p w:rsidR="00BE0264" w:rsidRPr="00DB4A2D" w:rsidRDefault="00BE0264" w:rsidP="000105A1">
            <w:pPr>
              <w:pStyle w:val="naisnod"/>
              <w:spacing w:before="0" w:beforeAutospacing="0" w:after="0" w:afterAutospacing="0"/>
              <w:ind w:left="57" w:right="57"/>
              <w:jc w:val="center"/>
            </w:pPr>
            <w:r w:rsidRPr="00DB4A2D">
              <w:rPr>
                <w:b/>
              </w:rPr>
              <w:t>VII. Tiesību akta projekta izpildes nodrošināšana un tās ietekme uz institūcijām</w:t>
            </w:r>
          </w:p>
        </w:tc>
      </w:tr>
      <w:tr w:rsidR="00BE0264" w:rsidRPr="00DB4A2D" w:rsidTr="000105A1">
        <w:trPr>
          <w:trHeight w:val="427"/>
          <w:jc w:val="center"/>
        </w:trPr>
        <w:tc>
          <w:tcPr>
            <w:tcW w:w="1043" w:type="dxa"/>
          </w:tcPr>
          <w:p w:rsidR="00BE0264" w:rsidRPr="00DB4A2D" w:rsidRDefault="00BE0264" w:rsidP="000105A1">
            <w:pPr>
              <w:pStyle w:val="naisnod"/>
              <w:spacing w:before="0" w:beforeAutospacing="0" w:after="0" w:afterAutospacing="0"/>
              <w:ind w:left="57" w:right="57"/>
              <w:jc w:val="both"/>
            </w:pPr>
            <w:r w:rsidRPr="00DB4A2D">
              <w:t>1.</w:t>
            </w:r>
          </w:p>
        </w:tc>
        <w:tc>
          <w:tcPr>
            <w:tcW w:w="3615" w:type="dxa"/>
          </w:tcPr>
          <w:p w:rsidR="00BE0264" w:rsidRPr="00DB4A2D" w:rsidRDefault="00BE0264" w:rsidP="000105A1">
            <w:pPr>
              <w:pStyle w:val="naisf"/>
              <w:spacing w:before="0" w:beforeAutospacing="0" w:after="0" w:afterAutospacing="0"/>
              <w:ind w:left="57" w:right="57"/>
            </w:pPr>
            <w:r w:rsidRPr="00DB4A2D">
              <w:t>Projekta izpildē iesaistītās institūcijas</w:t>
            </w:r>
          </w:p>
        </w:tc>
        <w:tc>
          <w:tcPr>
            <w:tcW w:w="5615" w:type="dxa"/>
          </w:tcPr>
          <w:p w:rsidR="00BE0264" w:rsidRPr="00DB4A2D" w:rsidRDefault="00BE0264" w:rsidP="000105A1">
            <w:pPr>
              <w:shd w:val="clear" w:color="auto" w:fill="FFFFFF"/>
              <w:spacing w:after="0" w:line="240" w:lineRule="auto"/>
              <w:jc w:val="both"/>
              <w:rPr>
                <w:rFonts w:ascii="Times New Roman" w:hAnsi="Times New Roman"/>
                <w:sz w:val="24"/>
                <w:szCs w:val="24"/>
                <w:lang w:eastAsia="lv-LV"/>
              </w:rPr>
            </w:pPr>
            <w:bookmarkStart w:id="3" w:name="p66"/>
            <w:bookmarkStart w:id="4" w:name="p67"/>
            <w:bookmarkStart w:id="5" w:name="p68"/>
            <w:bookmarkStart w:id="6" w:name="p69"/>
            <w:bookmarkEnd w:id="3"/>
            <w:bookmarkEnd w:id="4"/>
            <w:bookmarkEnd w:id="5"/>
            <w:bookmarkEnd w:id="6"/>
            <w:r w:rsidRPr="00DB4A2D">
              <w:rPr>
                <w:rFonts w:ascii="Times New Roman" w:hAnsi="Times New Roman"/>
                <w:sz w:val="24"/>
                <w:szCs w:val="24"/>
              </w:rPr>
              <w:t>MK noteikumu projekta izpildi nodrošinās VARAM kā programmas apsaimniekotājs un Valsts reģionālās attīstības aģentūra, kurai deleģētas daļa apsaimniekotāja funkcijas (projektu iesniegumu atklātā konkursa izsludināšana, projektu iesniegumu vērtēšana un atlase, projektu līgumu slēgšana u.c.), kā arī vadošā iestāde (Finanšu ministrija), kas piedalīsies programmas Sadarbības komitejas darbā novērotāja statusā.</w:t>
            </w:r>
          </w:p>
        </w:tc>
      </w:tr>
      <w:tr w:rsidR="00BE0264" w:rsidRPr="00DB4A2D" w:rsidTr="000105A1">
        <w:trPr>
          <w:trHeight w:val="463"/>
          <w:jc w:val="center"/>
        </w:trPr>
        <w:tc>
          <w:tcPr>
            <w:tcW w:w="1043" w:type="dxa"/>
          </w:tcPr>
          <w:p w:rsidR="00BE0264" w:rsidRPr="00DB4A2D" w:rsidRDefault="00BE0264" w:rsidP="000105A1">
            <w:pPr>
              <w:pStyle w:val="naisnod"/>
              <w:spacing w:before="0" w:beforeAutospacing="0" w:after="0" w:afterAutospacing="0"/>
              <w:ind w:left="57" w:right="57"/>
              <w:jc w:val="both"/>
            </w:pPr>
            <w:r w:rsidRPr="00DB4A2D">
              <w:t>2.</w:t>
            </w:r>
          </w:p>
        </w:tc>
        <w:tc>
          <w:tcPr>
            <w:tcW w:w="3615" w:type="dxa"/>
          </w:tcPr>
          <w:p w:rsidR="00BE0264" w:rsidRPr="00DB4A2D" w:rsidRDefault="00BE0264" w:rsidP="000105A1">
            <w:pPr>
              <w:pStyle w:val="naisf"/>
              <w:spacing w:before="0" w:beforeAutospacing="0" w:after="0" w:afterAutospacing="0"/>
              <w:ind w:left="57" w:right="57"/>
            </w:pPr>
            <w:r w:rsidRPr="00DB4A2D">
              <w:t>Projekta izpildes ietekme uz pār</w:t>
            </w:r>
            <w:r w:rsidRPr="00DB4A2D">
              <w:softHyphen/>
              <w:t>valdes funkcijām un institucionālo struktūru.</w:t>
            </w:r>
          </w:p>
          <w:p w:rsidR="00BE0264" w:rsidRPr="00DB4A2D" w:rsidRDefault="00BE0264" w:rsidP="000105A1">
            <w:pPr>
              <w:pStyle w:val="naisf"/>
              <w:spacing w:before="0" w:beforeAutospacing="0" w:after="0" w:afterAutospacing="0"/>
              <w:ind w:left="57" w:right="57"/>
            </w:pPr>
            <w:r w:rsidRPr="00DB4A2D">
              <w:t>Jaunu institūciju izveide, esošu institūciju likvidācija vai reorga</w:t>
            </w:r>
            <w:r w:rsidRPr="00DB4A2D">
              <w:softHyphen/>
              <w:t>nizācija, to ietekme uz institūcijas cilvēkresursiem.</w:t>
            </w:r>
          </w:p>
        </w:tc>
        <w:tc>
          <w:tcPr>
            <w:tcW w:w="5615" w:type="dxa"/>
          </w:tcPr>
          <w:p w:rsidR="00BE0264" w:rsidRPr="00DB4A2D" w:rsidRDefault="00BE0264" w:rsidP="000105A1">
            <w:pPr>
              <w:shd w:val="clear" w:color="auto" w:fill="FFFFFF"/>
              <w:spacing w:after="0" w:line="240" w:lineRule="auto"/>
              <w:jc w:val="both"/>
              <w:rPr>
                <w:rFonts w:ascii="Times New Roman" w:hAnsi="Times New Roman"/>
                <w:sz w:val="24"/>
                <w:szCs w:val="24"/>
              </w:rPr>
            </w:pPr>
          </w:p>
          <w:p w:rsidR="00BE0264" w:rsidRPr="00DB4A2D" w:rsidRDefault="00BE0264" w:rsidP="000105A1">
            <w:pPr>
              <w:shd w:val="clear" w:color="auto" w:fill="FFFFFF"/>
              <w:spacing w:after="0" w:line="240" w:lineRule="auto"/>
              <w:jc w:val="both"/>
              <w:rPr>
                <w:rFonts w:ascii="Times New Roman" w:hAnsi="Times New Roman"/>
                <w:sz w:val="24"/>
                <w:szCs w:val="24"/>
                <w:lang w:eastAsia="lv-LV"/>
              </w:rPr>
            </w:pPr>
            <w:r w:rsidRPr="00DB4A2D">
              <w:rPr>
                <w:rFonts w:ascii="Times New Roman" w:hAnsi="Times New Roman"/>
                <w:sz w:val="24"/>
                <w:szCs w:val="24"/>
              </w:rPr>
              <w:t>Projekts šo jomu neskar</w:t>
            </w:r>
          </w:p>
        </w:tc>
      </w:tr>
      <w:tr w:rsidR="00BE0264" w:rsidRPr="00DB4A2D" w:rsidTr="000105A1">
        <w:trPr>
          <w:trHeight w:val="402"/>
          <w:jc w:val="center"/>
        </w:trPr>
        <w:tc>
          <w:tcPr>
            <w:tcW w:w="1043" w:type="dxa"/>
          </w:tcPr>
          <w:p w:rsidR="00BE0264" w:rsidRPr="00DB4A2D" w:rsidRDefault="00BE0264" w:rsidP="000105A1">
            <w:pPr>
              <w:pStyle w:val="naisnod"/>
              <w:spacing w:before="0" w:beforeAutospacing="0" w:after="0" w:afterAutospacing="0"/>
              <w:ind w:left="57" w:right="57"/>
              <w:jc w:val="both"/>
            </w:pPr>
            <w:r w:rsidRPr="00DB4A2D">
              <w:t>3.</w:t>
            </w:r>
          </w:p>
        </w:tc>
        <w:tc>
          <w:tcPr>
            <w:tcW w:w="3615" w:type="dxa"/>
          </w:tcPr>
          <w:p w:rsidR="00BE0264" w:rsidRPr="00DB4A2D" w:rsidRDefault="00BE0264" w:rsidP="000105A1">
            <w:pPr>
              <w:pStyle w:val="naisf"/>
              <w:spacing w:before="0" w:beforeAutospacing="0" w:after="0" w:afterAutospacing="0"/>
              <w:ind w:left="57" w:right="57"/>
            </w:pPr>
            <w:r w:rsidRPr="00DB4A2D">
              <w:t>Cita informācija</w:t>
            </w:r>
          </w:p>
        </w:tc>
        <w:tc>
          <w:tcPr>
            <w:tcW w:w="5615" w:type="dxa"/>
          </w:tcPr>
          <w:p w:rsidR="00BE0264" w:rsidRPr="00DB4A2D" w:rsidRDefault="00BE0264" w:rsidP="000105A1">
            <w:pPr>
              <w:spacing w:after="0" w:line="240" w:lineRule="auto"/>
              <w:ind w:left="57" w:right="57"/>
              <w:jc w:val="both"/>
              <w:rPr>
                <w:rFonts w:ascii="Times New Roman" w:hAnsi="Times New Roman"/>
                <w:sz w:val="24"/>
                <w:szCs w:val="24"/>
                <w:lang w:eastAsia="lv-LV"/>
              </w:rPr>
            </w:pPr>
            <w:r w:rsidRPr="00DB4A2D">
              <w:rPr>
                <w:rFonts w:ascii="Times New Roman" w:hAnsi="Times New Roman"/>
                <w:sz w:val="24"/>
                <w:szCs w:val="24"/>
              </w:rPr>
              <w:t>Nav</w:t>
            </w:r>
          </w:p>
        </w:tc>
      </w:tr>
    </w:tbl>
    <w:p w:rsidR="00BE0264" w:rsidRPr="00DB4A2D" w:rsidRDefault="00BE0264" w:rsidP="00BE0264">
      <w:pPr>
        <w:pStyle w:val="BodyTextIndent"/>
        <w:tabs>
          <w:tab w:val="num" w:pos="1090"/>
        </w:tabs>
        <w:spacing w:after="0"/>
        <w:ind w:left="0"/>
      </w:pPr>
    </w:p>
    <w:p w:rsidR="00BE0264" w:rsidRPr="00DB4A2D" w:rsidRDefault="00BE0264" w:rsidP="00BE0264">
      <w:pPr>
        <w:pStyle w:val="BodyTextIndent"/>
        <w:tabs>
          <w:tab w:val="num" w:pos="1090"/>
        </w:tabs>
        <w:spacing w:after="0"/>
        <w:ind w:left="0"/>
      </w:pPr>
    </w:p>
    <w:p w:rsidR="00BE0264" w:rsidRPr="00DB4A2D" w:rsidRDefault="00BE0264" w:rsidP="00BE0264">
      <w:pPr>
        <w:pStyle w:val="BodyTextIndent"/>
        <w:tabs>
          <w:tab w:val="num" w:pos="1090"/>
        </w:tabs>
        <w:spacing w:after="0"/>
        <w:ind w:left="0"/>
      </w:pPr>
    </w:p>
    <w:p w:rsidR="00BE0264" w:rsidRPr="00DB4A2D" w:rsidRDefault="00BE0264" w:rsidP="00BE0264">
      <w:pPr>
        <w:pStyle w:val="BodyTextIndent"/>
        <w:tabs>
          <w:tab w:val="num" w:pos="1090"/>
        </w:tabs>
        <w:spacing w:after="0"/>
        <w:ind w:left="0"/>
      </w:pPr>
      <w:r w:rsidRPr="00DB4A2D">
        <w:t xml:space="preserve">Iesniedzējs: </w:t>
      </w:r>
    </w:p>
    <w:p w:rsidR="00BE0264" w:rsidRPr="00DB4A2D" w:rsidRDefault="00BE0264" w:rsidP="00BE0264">
      <w:pPr>
        <w:pStyle w:val="naislab"/>
        <w:spacing w:before="0" w:beforeAutospacing="0" w:after="0" w:afterAutospacing="0"/>
      </w:pPr>
    </w:p>
    <w:p w:rsidR="00BE0264" w:rsidRPr="00DB4A2D" w:rsidRDefault="00BE0264" w:rsidP="00BE0264">
      <w:pPr>
        <w:pStyle w:val="naislab"/>
        <w:spacing w:before="0" w:beforeAutospacing="0" w:after="0" w:afterAutospacing="0"/>
        <w:ind w:left="720" w:hanging="720"/>
      </w:pPr>
      <w:r w:rsidRPr="00DB4A2D">
        <w:t xml:space="preserve">Vides aizsardzības un </w:t>
      </w:r>
    </w:p>
    <w:p w:rsidR="00BE0264" w:rsidRPr="00DB4A2D" w:rsidRDefault="00BE0264" w:rsidP="00BE0264">
      <w:pPr>
        <w:pStyle w:val="naislab"/>
        <w:spacing w:before="0" w:beforeAutospacing="0" w:after="0" w:afterAutospacing="0"/>
        <w:ind w:left="720" w:hanging="720"/>
      </w:pPr>
      <w:r w:rsidRPr="00DB4A2D">
        <w:t xml:space="preserve">reģionālās attīstības ministrs </w:t>
      </w:r>
      <w:r w:rsidRPr="00DB4A2D">
        <w:tab/>
      </w:r>
      <w:r w:rsidRPr="00DB4A2D">
        <w:tab/>
      </w:r>
      <w:r w:rsidRPr="00DB4A2D">
        <w:tab/>
      </w:r>
      <w:r w:rsidRPr="00DB4A2D">
        <w:tab/>
      </w:r>
      <w:r w:rsidRPr="00DB4A2D">
        <w:tab/>
      </w:r>
      <w:r w:rsidRPr="00DB4A2D">
        <w:tab/>
      </w:r>
      <w:r w:rsidRPr="00DB4A2D">
        <w:tab/>
        <w:t>E. Cilinskis</w:t>
      </w:r>
    </w:p>
    <w:p w:rsidR="00BE0264" w:rsidRPr="00DB4A2D" w:rsidRDefault="00BE0264" w:rsidP="00BE0264">
      <w:pPr>
        <w:pStyle w:val="NoSpacing"/>
        <w:jc w:val="both"/>
        <w:rPr>
          <w:rFonts w:ascii="Times New Roman" w:hAnsi="Times New Roman"/>
          <w:sz w:val="24"/>
          <w:szCs w:val="24"/>
        </w:rPr>
      </w:pPr>
    </w:p>
    <w:p w:rsidR="00BE0264" w:rsidRPr="00DB4A2D" w:rsidRDefault="00BE0264" w:rsidP="00BE0264">
      <w:pPr>
        <w:pStyle w:val="NoSpacing"/>
        <w:jc w:val="both"/>
        <w:rPr>
          <w:rFonts w:ascii="Times New Roman" w:hAnsi="Times New Roman"/>
          <w:sz w:val="24"/>
          <w:szCs w:val="24"/>
        </w:rPr>
      </w:pPr>
    </w:p>
    <w:p w:rsidR="00B60CED" w:rsidRDefault="00BE0264" w:rsidP="00BE0264">
      <w:pPr>
        <w:spacing w:after="0"/>
        <w:ind w:right="-335"/>
        <w:rPr>
          <w:rFonts w:ascii="Times New Roman" w:hAnsi="Times New Roman"/>
          <w:sz w:val="24"/>
          <w:szCs w:val="24"/>
        </w:rPr>
      </w:pPr>
      <w:r w:rsidRPr="00DB4A2D">
        <w:rPr>
          <w:rFonts w:ascii="Times New Roman" w:hAnsi="Times New Roman"/>
          <w:sz w:val="24"/>
          <w:szCs w:val="24"/>
        </w:rPr>
        <w:t xml:space="preserve">Vīza: </w:t>
      </w:r>
    </w:p>
    <w:p w:rsidR="00BE0264" w:rsidRPr="00DB4A2D" w:rsidRDefault="00BE0264" w:rsidP="00BE0264">
      <w:pPr>
        <w:spacing w:after="0"/>
        <w:ind w:right="-335"/>
        <w:rPr>
          <w:rFonts w:ascii="Times New Roman" w:hAnsi="Times New Roman"/>
          <w:sz w:val="24"/>
          <w:szCs w:val="24"/>
        </w:rPr>
      </w:pPr>
      <w:r w:rsidRPr="00DB4A2D">
        <w:rPr>
          <w:rFonts w:ascii="Times New Roman" w:hAnsi="Times New Roman"/>
          <w:sz w:val="24"/>
          <w:szCs w:val="24"/>
        </w:rPr>
        <w:t>Valsts sekretār</w:t>
      </w:r>
      <w:r w:rsidR="00B60CED">
        <w:rPr>
          <w:rFonts w:ascii="Times New Roman" w:hAnsi="Times New Roman"/>
          <w:sz w:val="24"/>
          <w:szCs w:val="24"/>
        </w:rPr>
        <w:t>s</w:t>
      </w:r>
      <w:r w:rsidR="00B60CED">
        <w:rPr>
          <w:rFonts w:ascii="Times New Roman" w:hAnsi="Times New Roman"/>
          <w:sz w:val="24"/>
          <w:szCs w:val="24"/>
        </w:rPr>
        <w:tab/>
      </w:r>
      <w:r w:rsidR="00B60CED">
        <w:rPr>
          <w:rFonts w:ascii="Times New Roman" w:hAnsi="Times New Roman"/>
          <w:sz w:val="24"/>
          <w:szCs w:val="24"/>
        </w:rPr>
        <w:tab/>
      </w:r>
      <w:r w:rsidR="00B60CED">
        <w:rPr>
          <w:rFonts w:ascii="Times New Roman" w:hAnsi="Times New Roman"/>
          <w:sz w:val="24"/>
          <w:szCs w:val="24"/>
        </w:rPr>
        <w:tab/>
      </w:r>
      <w:r w:rsidR="00B60CED">
        <w:rPr>
          <w:rFonts w:ascii="Times New Roman" w:hAnsi="Times New Roman"/>
          <w:sz w:val="24"/>
          <w:szCs w:val="24"/>
        </w:rPr>
        <w:tab/>
      </w:r>
      <w:r w:rsidR="00B60CED">
        <w:rPr>
          <w:rFonts w:ascii="Times New Roman" w:hAnsi="Times New Roman"/>
          <w:sz w:val="24"/>
          <w:szCs w:val="24"/>
        </w:rPr>
        <w:tab/>
      </w:r>
      <w:r w:rsidR="00B60CED">
        <w:rPr>
          <w:rFonts w:ascii="Times New Roman" w:hAnsi="Times New Roman"/>
          <w:sz w:val="24"/>
          <w:szCs w:val="24"/>
        </w:rPr>
        <w:tab/>
      </w:r>
      <w:r w:rsidR="00B60CED">
        <w:rPr>
          <w:rFonts w:ascii="Times New Roman" w:hAnsi="Times New Roman"/>
          <w:sz w:val="24"/>
          <w:szCs w:val="24"/>
        </w:rPr>
        <w:tab/>
      </w:r>
      <w:r w:rsidR="00B60CED">
        <w:rPr>
          <w:rFonts w:ascii="Times New Roman" w:hAnsi="Times New Roman"/>
          <w:sz w:val="24"/>
          <w:szCs w:val="24"/>
        </w:rPr>
        <w:tab/>
        <w:t>G.Puķītis</w:t>
      </w:r>
    </w:p>
    <w:p w:rsidR="00B60CED" w:rsidRDefault="00B60CED" w:rsidP="00BE0264">
      <w:pPr>
        <w:spacing w:after="0"/>
        <w:ind w:right="-335"/>
        <w:rPr>
          <w:rFonts w:ascii="Times New Roman" w:hAnsi="Times New Roman"/>
          <w:sz w:val="24"/>
          <w:szCs w:val="24"/>
        </w:rPr>
      </w:pPr>
    </w:p>
    <w:p w:rsidR="00BE0264" w:rsidRPr="00DB4A2D" w:rsidRDefault="00BE0264" w:rsidP="00BE0264">
      <w:pPr>
        <w:spacing w:after="0"/>
        <w:ind w:right="-335"/>
        <w:rPr>
          <w:rFonts w:ascii="Times New Roman" w:hAnsi="Times New Roman"/>
          <w:sz w:val="24"/>
          <w:szCs w:val="24"/>
        </w:rPr>
      </w:pPr>
      <w:r w:rsidRPr="00DB4A2D">
        <w:rPr>
          <w:rFonts w:ascii="Times New Roman" w:hAnsi="Times New Roman"/>
          <w:sz w:val="24"/>
          <w:szCs w:val="24"/>
        </w:rPr>
        <w:tab/>
      </w:r>
      <w:r w:rsidRPr="00DB4A2D">
        <w:rPr>
          <w:rFonts w:ascii="Times New Roman" w:hAnsi="Times New Roman"/>
          <w:sz w:val="24"/>
          <w:szCs w:val="24"/>
        </w:rPr>
        <w:tab/>
      </w:r>
      <w:r w:rsidRPr="00DB4A2D">
        <w:rPr>
          <w:rFonts w:ascii="Times New Roman" w:hAnsi="Times New Roman"/>
          <w:sz w:val="24"/>
          <w:szCs w:val="24"/>
        </w:rPr>
        <w:tab/>
      </w:r>
      <w:r w:rsidRPr="00DB4A2D">
        <w:rPr>
          <w:rFonts w:ascii="Times New Roman" w:hAnsi="Times New Roman"/>
          <w:sz w:val="24"/>
          <w:szCs w:val="24"/>
        </w:rPr>
        <w:tab/>
      </w:r>
      <w:r w:rsidRPr="00DB4A2D">
        <w:rPr>
          <w:rFonts w:ascii="Times New Roman" w:hAnsi="Times New Roman"/>
          <w:sz w:val="24"/>
          <w:szCs w:val="24"/>
        </w:rPr>
        <w:tab/>
      </w:r>
      <w:r w:rsidRPr="00DB4A2D">
        <w:rPr>
          <w:rFonts w:ascii="Times New Roman" w:hAnsi="Times New Roman"/>
          <w:sz w:val="24"/>
          <w:szCs w:val="24"/>
        </w:rPr>
        <w:tab/>
      </w:r>
      <w:r w:rsidRPr="00DB4A2D">
        <w:rPr>
          <w:rFonts w:ascii="Times New Roman" w:hAnsi="Times New Roman"/>
          <w:sz w:val="24"/>
          <w:szCs w:val="24"/>
        </w:rPr>
        <w:tab/>
      </w:r>
      <w:r w:rsidRPr="00DB4A2D">
        <w:rPr>
          <w:rFonts w:ascii="Times New Roman" w:hAnsi="Times New Roman"/>
          <w:sz w:val="24"/>
          <w:szCs w:val="24"/>
        </w:rPr>
        <w:tab/>
      </w:r>
      <w:r w:rsidRPr="00DB4A2D">
        <w:rPr>
          <w:rFonts w:ascii="Times New Roman" w:hAnsi="Times New Roman"/>
          <w:sz w:val="24"/>
          <w:szCs w:val="24"/>
        </w:rPr>
        <w:tab/>
        <w:t xml:space="preserve"> </w:t>
      </w:r>
      <w:r w:rsidRPr="00DB4A2D">
        <w:rPr>
          <w:rFonts w:ascii="Times New Roman" w:hAnsi="Times New Roman"/>
          <w:sz w:val="24"/>
          <w:szCs w:val="24"/>
        </w:rPr>
        <w:tab/>
      </w:r>
    </w:p>
    <w:p w:rsidR="00BE0264" w:rsidRPr="00DB4A2D" w:rsidRDefault="00E41F07" w:rsidP="00BE0264">
      <w:pPr>
        <w:spacing w:after="0"/>
        <w:rPr>
          <w:rFonts w:ascii="Times New Roman" w:hAnsi="Times New Roman"/>
          <w:sz w:val="20"/>
          <w:szCs w:val="20"/>
        </w:rPr>
      </w:pPr>
      <w:r>
        <w:rPr>
          <w:rFonts w:ascii="Times New Roman" w:hAnsi="Times New Roman"/>
          <w:sz w:val="20"/>
          <w:szCs w:val="20"/>
        </w:rPr>
        <w:t>1</w:t>
      </w:r>
      <w:r w:rsidR="00B60CED">
        <w:rPr>
          <w:rFonts w:ascii="Times New Roman" w:hAnsi="Times New Roman"/>
          <w:sz w:val="20"/>
          <w:szCs w:val="20"/>
        </w:rPr>
        <w:t>2</w:t>
      </w:r>
      <w:r w:rsidR="00BE0264" w:rsidRPr="00DB4A2D">
        <w:rPr>
          <w:rFonts w:ascii="Times New Roman" w:hAnsi="Times New Roman"/>
          <w:sz w:val="20"/>
          <w:szCs w:val="20"/>
        </w:rPr>
        <w:t>.0</w:t>
      </w:r>
      <w:r w:rsidR="00C82796">
        <w:rPr>
          <w:rFonts w:ascii="Times New Roman" w:hAnsi="Times New Roman"/>
          <w:sz w:val="20"/>
          <w:szCs w:val="20"/>
        </w:rPr>
        <w:t>3</w:t>
      </w:r>
      <w:r w:rsidR="00BE0264" w:rsidRPr="00DB4A2D">
        <w:rPr>
          <w:rFonts w:ascii="Times New Roman" w:hAnsi="Times New Roman"/>
          <w:sz w:val="20"/>
          <w:szCs w:val="20"/>
        </w:rPr>
        <w:t>.2014. 1</w:t>
      </w:r>
      <w:r w:rsidR="00B60CED">
        <w:rPr>
          <w:rFonts w:ascii="Times New Roman" w:hAnsi="Times New Roman"/>
          <w:sz w:val="20"/>
          <w:szCs w:val="20"/>
        </w:rPr>
        <w:t>0</w:t>
      </w:r>
      <w:r w:rsidR="00BE0264" w:rsidRPr="00DB4A2D">
        <w:rPr>
          <w:rFonts w:ascii="Times New Roman" w:hAnsi="Times New Roman"/>
          <w:sz w:val="20"/>
          <w:szCs w:val="20"/>
        </w:rPr>
        <w:t>:</w:t>
      </w:r>
      <w:r w:rsidR="00B60CED">
        <w:rPr>
          <w:rFonts w:ascii="Times New Roman" w:hAnsi="Times New Roman"/>
          <w:sz w:val="20"/>
          <w:szCs w:val="20"/>
        </w:rPr>
        <w:t>57</w:t>
      </w:r>
    </w:p>
    <w:p w:rsidR="00BE0264" w:rsidRPr="00DB4A2D" w:rsidRDefault="00BE0264" w:rsidP="00BE0264">
      <w:pPr>
        <w:pStyle w:val="naisf"/>
        <w:spacing w:before="0" w:beforeAutospacing="0" w:after="0" w:afterAutospacing="0"/>
        <w:rPr>
          <w:sz w:val="20"/>
          <w:szCs w:val="20"/>
        </w:rPr>
      </w:pPr>
      <w:r w:rsidRPr="00DB4A2D">
        <w:rPr>
          <w:sz w:val="20"/>
          <w:szCs w:val="20"/>
        </w:rPr>
        <w:t>3 6</w:t>
      </w:r>
      <w:r w:rsidR="00B60CED">
        <w:rPr>
          <w:sz w:val="20"/>
          <w:szCs w:val="20"/>
        </w:rPr>
        <w:t>46</w:t>
      </w:r>
    </w:p>
    <w:p w:rsidR="00BE0264" w:rsidRPr="00DB4A2D" w:rsidRDefault="00BE0264" w:rsidP="00BE0264">
      <w:pPr>
        <w:pStyle w:val="naisf"/>
        <w:spacing w:before="0" w:beforeAutospacing="0" w:after="0" w:afterAutospacing="0"/>
        <w:rPr>
          <w:sz w:val="20"/>
          <w:szCs w:val="20"/>
        </w:rPr>
      </w:pPr>
      <w:r w:rsidRPr="00DB4A2D">
        <w:rPr>
          <w:sz w:val="20"/>
          <w:szCs w:val="20"/>
        </w:rPr>
        <w:t>N.Anžāne, 67026408</w:t>
      </w:r>
    </w:p>
    <w:p w:rsidR="00BE0264" w:rsidRPr="00DB4A2D" w:rsidRDefault="004B52F4" w:rsidP="00BE0264">
      <w:pPr>
        <w:pStyle w:val="naisf"/>
        <w:spacing w:before="0" w:beforeAutospacing="0" w:after="0" w:afterAutospacing="0"/>
        <w:rPr>
          <w:sz w:val="20"/>
          <w:szCs w:val="20"/>
        </w:rPr>
      </w:pPr>
      <w:hyperlink r:id="rId11" w:history="1">
        <w:r w:rsidR="00BE0264" w:rsidRPr="00DB4A2D">
          <w:rPr>
            <w:rStyle w:val="Hyperlink"/>
            <w:sz w:val="20"/>
            <w:szCs w:val="20"/>
          </w:rPr>
          <w:t>natalja.anzane@varam.gov.lv</w:t>
        </w:r>
      </w:hyperlink>
      <w:r w:rsidR="00BE0264" w:rsidRPr="00DB4A2D">
        <w:rPr>
          <w:sz w:val="20"/>
          <w:szCs w:val="20"/>
        </w:rPr>
        <w:t xml:space="preserve"> </w:t>
      </w:r>
    </w:p>
    <w:p w:rsidR="004F60B1" w:rsidRDefault="004F60B1"/>
    <w:sectPr w:rsidR="004F60B1" w:rsidSect="000105A1">
      <w:footerReference w:type="default" r:id="rId12"/>
      <w:pgSz w:w="11906" w:h="16838"/>
      <w:pgMar w:top="1440" w:right="110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5A1" w:rsidRDefault="000105A1" w:rsidP="00B52408">
      <w:pPr>
        <w:spacing w:after="0" w:line="240" w:lineRule="auto"/>
      </w:pPr>
      <w:r>
        <w:separator/>
      </w:r>
    </w:p>
  </w:endnote>
  <w:endnote w:type="continuationSeparator" w:id="0">
    <w:p w:rsidR="000105A1" w:rsidRDefault="000105A1" w:rsidP="00B52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5A1" w:rsidRPr="001615B9" w:rsidRDefault="000105A1" w:rsidP="000105A1">
    <w:pPr>
      <w:ind w:left="-709" w:right="-639"/>
      <w:jc w:val="both"/>
      <w:rPr>
        <w:rFonts w:ascii="Times New Roman" w:hAnsi="Times New Roman"/>
        <w:bCs/>
        <w:color w:val="000000"/>
        <w:sz w:val="20"/>
        <w:szCs w:val="20"/>
      </w:rPr>
    </w:pPr>
    <w:r w:rsidRPr="001615B9">
      <w:rPr>
        <w:rFonts w:ascii="Times New Roman" w:hAnsi="Times New Roman"/>
        <w:sz w:val="20"/>
        <w:szCs w:val="20"/>
      </w:rPr>
      <w:t>VARAMAnot_</w:t>
    </w:r>
    <w:r w:rsidR="00E41F07">
      <w:rPr>
        <w:rFonts w:ascii="Times New Roman" w:hAnsi="Times New Roman"/>
        <w:sz w:val="20"/>
        <w:szCs w:val="20"/>
      </w:rPr>
      <w:t>1</w:t>
    </w:r>
    <w:r w:rsidR="00B60CED">
      <w:rPr>
        <w:rFonts w:ascii="Times New Roman" w:hAnsi="Times New Roman"/>
        <w:sz w:val="20"/>
        <w:szCs w:val="20"/>
      </w:rPr>
      <w:t>2</w:t>
    </w:r>
    <w:r>
      <w:rPr>
        <w:rFonts w:ascii="Times New Roman" w:hAnsi="Times New Roman"/>
        <w:sz w:val="20"/>
        <w:szCs w:val="20"/>
      </w:rPr>
      <w:t>0</w:t>
    </w:r>
    <w:r w:rsidR="00211708">
      <w:rPr>
        <w:rFonts w:ascii="Times New Roman" w:hAnsi="Times New Roman"/>
        <w:sz w:val="20"/>
        <w:szCs w:val="20"/>
      </w:rPr>
      <w:t>3</w:t>
    </w:r>
    <w:r w:rsidRPr="001615B9">
      <w:rPr>
        <w:rFonts w:ascii="Times New Roman" w:hAnsi="Times New Roman"/>
        <w:sz w:val="20"/>
        <w:szCs w:val="20"/>
      </w:rPr>
      <w:t>1</w:t>
    </w:r>
    <w:r>
      <w:rPr>
        <w:rFonts w:ascii="Times New Roman" w:hAnsi="Times New Roman"/>
        <w:sz w:val="20"/>
        <w:szCs w:val="20"/>
      </w:rPr>
      <w:t>4</w:t>
    </w:r>
    <w:r w:rsidRPr="001615B9">
      <w:rPr>
        <w:rFonts w:ascii="Times New Roman" w:hAnsi="Times New Roman"/>
        <w:sz w:val="20"/>
        <w:szCs w:val="20"/>
      </w:rPr>
      <w:t xml:space="preserve">_EEZ_AK; Ministru kabineta noteikumu projekta </w:t>
    </w:r>
    <w:r w:rsidRPr="001615B9">
      <w:rPr>
        <w:rFonts w:ascii="Times New Roman" w:hAnsi="Times New Roman"/>
        <w:bCs/>
        <w:sz w:val="20"/>
        <w:szCs w:val="20"/>
      </w:rPr>
      <w:t>„</w:t>
    </w:r>
    <w:r w:rsidRPr="009F1475">
      <w:rPr>
        <w:rFonts w:ascii="Times New Roman" w:hAnsi="Times New Roman"/>
        <w:bCs/>
        <w:color w:val="000000"/>
        <w:sz w:val="20"/>
        <w:szCs w:val="20"/>
      </w:rPr>
      <w:t>Eiropas Ekonomikas zonas finanšu instrumenta 2009.-2014.gada perioda programmas „Nacionālā klimata politika” projektu iesniegumu atklāta konkursa „Ilgtspējīgu ēku, atjaunojamo energoresursu tehnoloģiju un inovatīvu emisiju samazinošu tehnoloģiju attīstība” nolikums</w:t>
    </w:r>
    <w:r>
      <w:rPr>
        <w:rFonts w:ascii="Times New Roman" w:hAnsi="Times New Roman"/>
        <w:bCs/>
        <w:color w:val="000000"/>
        <w:sz w:val="20"/>
        <w:szCs w:val="20"/>
      </w:rPr>
      <w:t>”</w:t>
    </w:r>
    <w:r w:rsidRPr="001615B9">
      <w:rPr>
        <w:rFonts w:ascii="Times New Roman" w:hAnsi="Times New Roman"/>
        <w:bCs/>
        <w:color w:val="000000"/>
        <w:sz w:val="20"/>
        <w:szCs w:val="20"/>
      </w:rPr>
      <w:t xml:space="preserve"> anotācija</w:t>
    </w:r>
  </w:p>
  <w:p w:rsidR="000105A1" w:rsidRDefault="004B52F4">
    <w:pPr>
      <w:pStyle w:val="Footer"/>
      <w:jc w:val="right"/>
    </w:pPr>
    <w:fldSimple w:instr=" PAGE   \* MERGEFORMAT ">
      <w:r w:rsidR="000C2AB2">
        <w:rPr>
          <w:noProof/>
        </w:rPr>
        <w:t>1</w:t>
      </w:r>
    </w:fldSimple>
  </w:p>
  <w:p w:rsidR="000105A1" w:rsidRDefault="000105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5A1" w:rsidRDefault="000105A1" w:rsidP="00B52408">
      <w:pPr>
        <w:spacing w:after="0" w:line="240" w:lineRule="auto"/>
      </w:pPr>
      <w:r>
        <w:separator/>
      </w:r>
    </w:p>
  </w:footnote>
  <w:footnote w:type="continuationSeparator" w:id="0">
    <w:p w:rsidR="000105A1" w:rsidRDefault="000105A1" w:rsidP="00B524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1B5137A2"/>
    <w:multiLevelType w:val="multilevel"/>
    <w:tmpl w:val="1548F0FE"/>
    <w:lvl w:ilvl="0">
      <w:start w:val="1"/>
      <w:numFmt w:val="decimal"/>
      <w:lvlText w:val="%1."/>
      <w:lvlJc w:val="left"/>
      <w:pPr>
        <w:tabs>
          <w:tab w:val="num" w:pos="349"/>
        </w:tabs>
        <w:ind w:left="349"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suff w:val="space"/>
      <w:lvlText w:val="%1.%2."/>
      <w:lvlJc w:val="left"/>
      <w:pPr>
        <w:ind w:left="781"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suff w:val="space"/>
      <w:lvlText w:val="%1.%2.%3."/>
      <w:lvlJc w:val="left"/>
      <w:pPr>
        <w:ind w:left="1213" w:hanging="504"/>
      </w:pPr>
      <w:rPr>
        <w:rFonts w:cs="Times New Roman" w:hint="default"/>
      </w:rPr>
    </w:lvl>
    <w:lvl w:ilvl="3">
      <w:start w:val="1"/>
      <w:numFmt w:val="decimal"/>
      <w:suff w:val="space"/>
      <w:lvlText w:val="%1.%2.%3.%4."/>
      <w:lvlJc w:val="left"/>
      <w:pPr>
        <w:ind w:left="1717" w:hanging="648"/>
      </w:pPr>
      <w:rPr>
        <w:rFonts w:cs="Times New Roman" w:hint="default"/>
      </w:rPr>
    </w:lvl>
    <w:lvl w:ilvl="4">
      <w:start w:val="1"/>
      <w:numFmt w:val="decimal"/>
      <w:suff w:val="space"/>
      <w:lvlText w:val="%1.%2.%3.%4.%5."/>
      <w:lvlJc w:val="left"/>
      <w:pPr>
        <w:ind w:left="2221" w:hanging="792"/>
      </w:pPr>
      <w:rPr>
        <w:rFonts w:cs="Times New Roman" w:hint="default"/>
      </w:rPr>
    </w:lvl>
    <w:lvl w:ilvl="5">
      <w:start w:val="1"/>
      <w:numFmt w:val="decimal"/>
      <w:lvlText w:val="%1.%2.%3.%4.%5.%6."/>
      <w:lvlJc w:val="left"/>
      <w:pPr>
        <w:tabs>
          <w:tab w:val="num" w:pos="3229"/>
        </w:tabs>
        <w:ind w:left="2725" w:hanging="936"/>
      </w:pPr>
      <w:rPr>
        <w:rFonts w:cs="Times New Roman" w:hint="default"/>
      </w:rPr>
    </w:lvl>
    <w:lvl w:ilvl="6">
      <w:start w:val="1"/>
      <w:numFmt w:val="decimal"/>
      <w:lvlText w:val="%1.%2.%3.%4.%5.%6.%7."/>
      <w:lvlJc w:val="left"/>
      <w:pPr>
        <w:tabs>
          <w:tab w:val="num" w:pos="3949"/>
        </w:tabs>
        <w:ind w:left="3229" w:hanging="1080"/>
      </w:pPr>
      <w:rPr>
        <w:rFonts w:cs="Times New Roman" w:hint="default"/>
      </w:rPr>
    </w:lvl>
    <w:lvl w:ilvl="7">
      <w:start w:val="1"/>
      <w:numFmt w:val="decimal"/>
      <w:lvlText w:val="%1.%2.%3.%4.%5.%6.%7.%8."/>
      <w:lvlJc w:val="left"/>
      <w:pPr>
        <w:tabs>
          <w:tab w:val="num" w:pos="4309"/>
        </w:tabs>
        <w:ind w:left="3733" w:hanging="1224"/>
      </w:pPr>
      <w:rPr>
        <w:rFonts w:cs="Times New Roman" w:hint="default"/>
      </w:rPr>
    </w:lvl>
    <w:lvl w:ilvl="8">
      <w:start w:val="1"/>
      <w:numFmt w:val="decimal"/>
      <w:lvlText w:val="%1.%2.%3.%4.%5.%6.%7.%8.%9."/>
      <w:lvlJc w:val="left"/>
      <w:pPr>
        <w:tabs>
          <w:tab w:val="num" w:pos="5029"/>
        </w:tabs>
        <w:ind w:left="4309" w:hanging="1440"/>
      </w:pPr>
      <w:rPr>
        <w:rFonts w:cs="Times New Roman" w:hint="default"/>
      </w:rPr>
    </w:lvl>
  </w:abstractNum>
  <w:abstractNum w:abstractNumId="2">
    <w:nsid w:val="2E9D74C7"/>
    <w:multiLevelType w:val="hybridMultilevel"/>
    <w:tmpl w:val="C96CA74C"/>
    <w:lvl w:ilvl="0" w:tplc="C8642B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02B45"/>
    <w:multiLevelType w:val="hybridMultilevel"/>
    <w:tmpl w:val="76B09A34"/>
    <w:lvl w:ilvl="0" w:tplc="CA8ABDBE">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nsid w:val="32B46B2D"/>
    <w:multiLevelType w:val="hybridMultilevel"/>
    <w:tmpl w:val="E4CAA818"/>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5">
    <w:nsid w:val="331B57A1"/>
    <w:multiLevelType w:val="hybridMultilevel"/>
    <w:tmpl w:val="EF6EFC24"/>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6">
    <w:nsid w:val="537A3198"/>
    <w:multiLevelType w:val="multilevel"/>
    <w:tmpl w:val="871495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2631C5F"/>
    <w:multiLevelType w:val="hybridMultilevel"/>
    <w:tmpl w:val="27DC9078"/>
    <w:lvl w:ilvl="0" w:tplc="0426000F">
      <w:start w:val="1"/>
      <w:numFmt w:val="decimal"/>
      <w:lvlText w:val="%1."/>
      <w:lvlJc w:val="left"/>
      <w:pPr>
        <w:ind w:left="107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502"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79D53923"/>
    <w:multiLevelType w:val="hybridMultilevel"/>
    <w:tmpl w:val="1BEC75A4"/>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9">
    <w:nsid w:val="7D4A4EFD"/>
    <w:multiLevelType w:val="multilevel"/>
    <w:tmpl w:val="3DBE0F36"/>
    <w:lvl w:ilvl="0">
      <w:start w:val="1"/>
      <w:numFmt w:val="decimal"/>
      <w:pStyle w:val="1V"/>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pStyle w:val="5V"/>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
  </w:num>
  <w:num w:numId="2">
    <w:abstractNumId w:val="9"/>
  </w:num>
  <w:num w:numId="3">
    <w:abstractNumId w:val="0"/>
  </w:num>
  <w:num w:numId="4">
    <w:abstractNumId w:val="5"/>
  </w:num>
  <w:num w:numId="5">
    <w:abstractNumId w:val="4"/>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defaultTabStop w:val="720"/>
  <w:characterSpacingControl w:val="doNotCompress"/>
  <w:footnotePr>
    <w:footnote w:id="-1"/>
    <w:footnote w:id="0"/>
  </w:footnotePr>
  <w:endnotePr>
    <w:endnote w:id="-1"/>
    <w:endnote w:id="0"/>
  </w:endnotePr>
  <w:compat/>
  <w:rsids>
    <w:rsidRoot w:val="00BE0264"/>
    <w:rsid w:val="000105A1"/>
    <w:rsid w:val="000C2AB2"/>
    <w:rsid w:val="00173BEF"/>
    <w:rsid w:val="00211708"/>
    <w:rsid w:val="004B52F4"/>
    <w:rsid w:val="004F60B1"/>
    <w:rsid w:val="00894112"/>
    <w:rsid w:val="00B52408"/>
    <w:rsid w:val="00B60CED"/>
    <w:rsid w:val="00BA2FED"/>
    <w:rsid w:val="00BE0264"/>
    <w:rsid w:val="00C82796"/>
    <w:rsid w:val="00D10D76"/>
    <w:rsid w:val="00E41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264"/>
    <w:rPr>
      <w:rFonts w:ascii="Calibri" w:eastAsia="Times New Roman" w:hAnsi="Calibri" w:cs="Times New Roman"/>
      <w:lang w:val="lv-LV"/>
    </w:rPr>
  </w:style>
  <w:style w:type="paragraph" w:styleId="Heading3">
    <w:name w:val="heading 3"/>
    <w:basedOn w:val="Normal"/>
    <w:link w:val="Heading3Char"/>
    <w:uiPriority w:val="99"/>
    <w:qFormat/>
    <w:rsid w:val="00BE0264"/>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E0264"/>
    <w:rPr>
      <w:rFonts w:ascii="Times New Roman" w:eastAsia="Times New Roman" w:hAnsi="Times New Roman" w:cs="Times New Roman"/>
      <w:b/>
      <w:bCs/>
      <w:sz w:val="27"/>
      <w:szCs w:val="27"/>
      <w:lang w:val="lv-LV" w:eastAsia="lv-LV"/>
    </w:rPr>
  </w:style>
  <w:style w:type="paragraph" w:styleId="BalloonText">
    <w:name w:val="Balloon Text"/>
    <w:basedOn w:val="Normal"/>
    <w:link w:val="BalloonTextChar"/>
    <w:uiPriority w:val="99"/>
    <w:semiHidden/>
    <w:rsid w:val="00BE0264"/>
    <w:rPr>
      <w:rFonts w:ascii="Tahoma" w:hAnsi="Tahoma" w:cs="Tahoma"/>
      <w:sz w:val="16"/>
      <w:szCs w:val="16"/>
    </w:rPr>
  </w:style>
  <w:style w:type="character" w:customStyle="1" w:styleId="BalloonTextChar">
    <w:name w:val="Balloon Text Char"/>
    <w:basedOn w:val="DefaultParagraphFont"/>
    <w:link w:val="BalloonText"/>
    <w:uiPriority w:val="99"/>
    <w:semiHidden/>
    <w:rsid w:val="00BE0264"/>
    <w:rPr>
      <w:rFonts w:ascii="Tahoma" w:eastAsia="Times New Roman" w:hAnsi="Tahoma" w:cs="Tahoma"/>
      <w:sz w:val="16"/>
      <w:szCs w:val="16"/>
      <w:lang w:val="lv-LV"/>
    </w:rPr>
  </w:style>
  <w:style w:type="paragraph" w:customStyle="1" w:styleId="5V">
    <w:name w:val="5 V"/>
    <w:uiPriority w:val="99"/>
    <w:rsid w:val="00BE0264"/>
    <w:pPr>
      <w:numPr>
        <w:ilvl w:val="4"/>
        <w:numId w:val="2"/>
      </w:numPr>
      <w:spacing w:after="0" w:line="240" w:lineRule="auto"/>
      <w:jc w:val="both"/>
    </w:pPr>
    <w:rPr>
      <w:rFonts w:ascii="Times New Roman" w:eastAsia="Times New Roman" w:hAnsi="Times New Roman" w:cs="Times New Roman"/>
      <w:sz w:val="28"/>
      <w:szCs w:val="28"/>
      <w:lang w:val="lv-LV" w:eastAsia="lv-LV"/>
    </w:rPr>
  </w:style>
  <w:style w:type="paragraph" w:customStyle="1" w:styleId="1V">
    <w:name w:val="1 V"/>
    <w:basedOn w:val="Normal"/>
    <w:uiPriority w:val="99"/>
    <w:rsid w:val="00BE0264"/>
    <w:pPr>
      <w:numPr>
        <w:numId w:val="2"/>
      </w:numPr>
      <w:jc w:val="both"/>
    </w:pPr>
    <w:rPr>
      <w:sz w:val="28"/>
      <w:szCs w:val="28"/>
    </w:rPr>
  </w:style>
  <w:style w:type="paragraph" w:customStyle="1" w:styleId="naisf">
    <w:name w:val="naisf"/>
    <w:basedOn w:val="Normal"/>
    <w:uiPriority w:val="99"/>
    <w:rsid w:val="00BE0264"/>
    <w:pPr>
      <w:spacing w:before="100" w:beforeAutospacing="1" w:after="100" w:afterAutospacing="1" w:line="240" w:lineRule="auto"/>
    </w:pPr>
    <w:rPr>
      <w:rFonts w:ascii="Times New Roman" w:hAnsi="Times New Roman"/>
      <w:sz w:val="24"/>
      <w:szCs w:val="24"/>
      <w:lang w:eastAsia="lv-LV"/>
    </w:rPr>
  </w:style>
  <w:style w:type="paragraph" w:customStyle="1" w:styleId="naisnod">
    <w:name w:val="naisnod"/>
    <w:basedOn w:val="Normal"/>
    <w:uiPriority w:val="99"/>
    <w:rsid w:val="00BE0264"/>
    <w:pPr>
      <w:spacing w:before="100" w:beforeAutospacing="1" w:after="100" w:afterAutospacing="1" w:line="240" w:lineRule="auto"/>
    </w:pPr>
    <w:rPr>
      <w:rFonts w:ascii="Times New Roman" w:hAnsi="Times New Roman"/>
      <w:sz w:val="24"/>
      <w:szCs w:val="24"/>
      <w:lang w:eastAsia="lv-LV"/>
    </w:rPr>
  </w:style>
  <w:style w:type="paragraph" w:customStyle="1" w:styleId="naiskr">
    <w:name w:val="naiskr"/>
    <w:basedOn w:val="Normal"/>
    <w:uiPriority w:val="99"/>
    <w:rsid w:val="00BE0264"/>
    <w:pPr>
      <w:spacing w:before="100" w:beforeAutospacing="1" w:after="100" w:afterAutospacing="1" w:line="240" w:lineRule="auto"/>
    </w:pPr>
    <w:rPr>
      <w:rFonts w:ascii="Times New Roman" w:hAnsi="Times New Roman"/>
      <w:sz w:val="24"/>
      <w:szCs w:val="24"/>
      <w:lang w:eastAsia="lv-LV"/>
    </w:rPr>
  </w:style>
  <w:style w:type="paragraph" w:customStyle="1" w:styleId="tvhtml1">
    <w:name w:val="tv_html1"/>
    <w:basedOn w:val="Normal"/>
    <w:uiPriority w:val="99"/>
    <w:rsid w:val="00BE0264"/>
    <w:pPr>
      <w:spacing w:before="100" w:beforeAutospacing="1" w:after="0" w:line="360" w:lineRule="auto"/>
    </w:pPr>
    <w:rPr>
      <w:rFonts w:ascii="Verdana" w:hAnsi="Verdana"/>
      <w:sz w:val="18"/>
      <w:szCs w:val="18"/>
      <w:lang w:val="en-US"/>
    </w:rPr>
  </w:style>
  <w:style w:type="paragraph" w:styleId="ListParagraph">
    <w:name w:val="List Paragraph"/>
    <w:basedOn w:val="Normal"/>
    <w:uiPriority w:val="99"/>
    <w:qFormat/>
    <w:rsid w:val="00BE0264"/>
    <w:pPr>
      <w:spacing w:after="0" w:line="240" w:lineRule="auto"/>
      <w:ind w:left="720"/>
      <w:contextualSpacing/>
    </w:pPr>
    <w:rPr>
      <w:rFonts w:ascii="Times New Roman" w:hAnsi="Times New Roman"/>
      <w:sz w:val="24"/>
      <w:szCs w:val="24"/>
      <w:lang w:eastAsia="lv-LV"/>
    </w:rPr>
  </w:style>
  <w:style w:type="character" w:styleId="CommentReference">
    <w:name w:val="annotation reference"/>
    <w:basedOn w:val="DefaultParagraphFont"/>
    <w:uiPriority w:val="99"/>
    <w:semiHidden/>
    <w:rsid w:val="00BE0264"/>
    <w:rPr>
      <w:rFonts w:cs="Times New Roman"/>
      <w:sz w:val="16"/>
      <w:szCs w:val="16"/>
    </w:rPr>
  </w:style>
  <w:style w:type="paragraph" w:styleId="CommentText">
    <w:name w:val="annotation text"/>
    <w:basedOn w:val="Normal"/>
    <w:link w:val="CommentTextChar"/>
    <w:uiPriority w:val="99"/>
    <w:semiHidden/>
    <w:rsid w:val="00BE0264"/>
    <w:rPr>
      <w:sz w:val="20"/>
      <w:szCs w:val="20"/>
    </w:rPr>
  </w:style>
  <w:style w:type="character" w:customStyle="1" w:styleId="CommentTextChar">
    <w:name w:val="Comment Text Char"/>
    <w:basedOn w:val="DefaultParagraphFont"/>
    <w:link w:val="CommentText"/>
    <w:uiPriority w:val="99"/>
    <w:semiHidden/>
    <w:rsid w:val="00BE0264"/>
    <w:rPr>
      <w:rFonts w:ascii="Calibri" w:eastAsia="Times New Roman" w:hAnsi="Calibri" w:cs="Times New Roman"/>
      <w:sz w:val="20"/>
      <w:szCs w:val="20"/>
      <w:lang w:val="lv-LV"/>
    </w:rPr>
  </w:style>
  <w:style w:type="paragraph" w:styleId="CommentSubject">
    <w:name w:val="annotation subject"/>
    <w:basedOn w:val="CommentText"/>
    <w:next w:val="CommentText"/>
    <w:link w:val="CommentSubjectChar"/>
    <w:uiPriority w:val="99"/>
    <w:semiHidden/>
    <w:rsid w:val="00BE0264"/>
    <w:rPr>
      <w:b/>
      <w:bCs/>
    </w:rPr>
  </w:style>
  <w:style w:type="character" w:customStyle="1" w:styleId="CommentSubjectChar">
    <w:name w:val="Comment Subject Char"/>
    <w:basedOn w:val="CommentTextChar"/>
    <w:link w:val="CommentSubject"/>
    <w:uiPriority w:val="99"/>
    <w:semiHidden/>
    <w:rsid w:val="00BE0264"/>
    <w:rPr>
      <w:b/>
      <w:bCs/>
    </w:rPr>
  </w:style>
  <w:style w:type="paragraph" w:styleId="Header">
    <w:name w:val="header"/>
    <w:basedOn w:val="Normal"/>
    <w:link w:val="HeaderChar"/>
    <w:uiPriority w:val="99"/>
    <w:rsid w:val="00BE02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0264"/>
    <w:rPr>
      <w:rFonts w:ascii="Calibri" w:eastAsia="Times New Roman" w:hAnsi="Calibri" w:cs="Times New Roman"/>
      <w:lang w:val="lv-LV"/>
    </w:rPr>
  </w:style>
  <w:style w:type="paragraph" w:styleId="Footer">
    <w:name w:val="footer"/>
    <w:basedOn w:val="Normal"/>
    <w:link w:val="FooterChar"/>
    <w:uiPriority w:val="99"/>
    <w:rsid w:val="00BE02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0264"/>
    <w:rPr>
      <w:rFonts w:ascii="Calibri" w:eastAsia="Times New Roman" w:hAnsi="Calibri" w:cs="Times New Roman"/>
      <w:lang w:val="lv-LV"/>
    </w:rPr>
  </w:style>
  <w:style w:type="character" w:styleId="Hyperlink">
    <w:name w:val="Hyperlink"/>
    <w:basedOn w:val="DefaultParagraphFont"/>
    <w:uiPriority w:val="99"/>
    <w:rsid w:val="00BE0264"/>
    <w:rPr>
      <w:rFonts w:ascii="Times New Roman" w:hAnsi="Times New Roman" w:cs="Times New Roman"/>
      <w:color w:val="0000FF"/>
      <w:u w:val="single"/>
    </w:rPr>
  </w:style>
  <w:style w:type="paragraph" w:styleId="BodyTextIndent">
    <w:name w:val="Body Text Indent"/>
    <w:basedOn w:val="Normal"/>
    <w:link w:val="BodyTextIndentChar"/>
    <w:uiPriority w:val="99"/>
    <w:rsid w:val="00BE0264"/>
    <w:pPr>
      <w:spacing w:after="120" w:line="240" w:lineRule="auto"/>
      <w:ind w:left="283"/>
    </w:pPr>
    <w:rPr>
      <w:rFonts w:ascii="Times New Roman" w:hAnsi="Times New Roman"/>
      <w:sz w:val="24"/>
      <w:szCs w:val="24"/>
      <w:lang w:eastAsia="lv-LV"/>
    </w:rPr>
  </w:style>
  <w:style w:type="character" w:customStyle="1" w:styleId="BodyTextIndentChar">
    <w:name w:val="Body Text Indent Char"/>
    <w:basedOn w:val="DefaultParagraphFont"/>
    <w:link w:val="BodyTextIndent"/>
    <w:uiPriority w:val="99"/>
    <w:rsid w:val="00BE0264"/>
    <w:rPr>
      <w:rFonts w:ascii="Times New Roman" w:eastAsia="Times New Roman" w:hAnsi="Times New Roman" w:cs="Times New Roman"/>
      <w:sz w:val="24"/>
      <w:szCs w:val="24"/>
      <w:lang w:val="lv-LV" w:eastAsia="lv-LV"/>
    </w:rPr>
  </w:style>
  <w:style w:type="paragraph" w:styleId="NoSpacing">
    <w:name w:val="No Spacing"/>
    <w:uiPriority w:val="99"/>
    <w:qFormat/>
    <w:rsid w:val="00BE0264"/>
    <w:pPr>
      <w:spacing w:after="0" w:line="240" w:lineRule="auto"/>
    </w:pPr>
    <w:rPr>
      <w:rFonts w:ascii="Calibri" w:eastAsia="Times New Roman" w:hAnsi="Calibri" w:cs="Times New Roman"/>
      <w:lang w:val="lv-LV"/>
    </w:rPr>
  </w:style>
  <w:style w:type="paragraph" w:customStyle="1" w:styleId="naislab">
    <w:name w:val="naislab"/>
    <w:basedOn w:val="Normal"/>
    <w:rsid w:val="00BE0264"/>
    <w:pPr>
      <w:spacing w:before="100" w:beforeAutospacing="1" w:after="100" w:afterAutospacing="1" w:line="240" w:lineRule="auto"/>
    </w:pPr>
    <w:rPr>
      <w:rFonts w:ascii="Times New Roman" w:hAnsi="Times New Roman"/>
      <w:sz w:val="24"/>
      <w:szCs w:val="24"/>
      <w:lang w:eastAsia="lv-LV"/>
    </w:rPr>
  </w:style>
  <w:style w:type="paragraph" w:styleId="NormalWeb">
    <w:name w:val="Normal (Web)"/>
    <w:basedOn w:val="Normal"/>
    <w:uiPriority w:val="99"/>
    <w:semiHidden/>
    <w:unhideWhenUsed/>
    <w:rsid w:val="00BE0264"/>
    <w:pPr>
      <w:spacing w:after="0" w:line="240" w:lineRule="auto"/>
    </w:pPr>
    <w:rPr>
      <w:rFonts w:ascii="Times New Roman" w:eastAsia="Calibri"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2008R08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nais.lv/naiser/esdoc.cfm?esid=32008R080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alja.anzane@varam.gov.lv" TargetMode="External"/><Relationship Id="rId5" Type="http://schemas.openxmlformats.org/officeDocument/2006/relationships/footnotes" Target="footnotes.xml"/><Relationship Id="rId10" Type="http://schemas.openxmlformats.org/officeDocument/2006/relationships/hyperlink" Target="http://pro.nais.lv/naiser/esdoc.cfm?esid=32008R0800" TargetMode="External"/><Relationship Id="rId4" Type="http://schemas.openxmlformats.org/officeDocument/2006/relationships/webSettings" Target="webSettings.xml"/><Relationship Id="rId9" Type="http://schemas.openxmlformats.org/officeDocument/2006/relationships/hyperlink" Target="http://pro.nais.lv/naiser/esdoc.cfm?esid=32008R08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4271</Words>
  <Characters>24349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28563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nataljaanzane</dc:creator>
  <cp:keywords/>
  <dc:description/>
  <cp:lastModifiedBy>larisat</cp:lastModifiedBy>
  <cp:revision>2</cp:revision>
  <dcterms:created xsi:type="dcterms:W3CDTF">2014-03-14T06:19:00Z</dcterms:created>
  <dcterms:modified xsi:type="dcterms:W3CDTF">2014-03-14T06:19:00Z</dcterms:modified>
</cp:coreProperties>
</file>