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FD" w:rsidRPr="002F4F94" w:rsidRDefault="0076665C" w:rsidP="00155A4D">
      <w:pPr>
        <w:pStyle w:val="BodyText"/>
        <w:rPr>
          <w:bCs/>
          <w:sz w:val="28"/>
          <w:szCs w:val="28"/>
        </w:rPr>
      </w:pPr>
      <w:bookmarkStart w:id="0" w:name="OLE_LINK6"/>
      <w:bookmarkStart w:id="1" w:name="OLE_LINK7"/>
      <w:r>
        <w:rPr>
          <w:bCs/>
          <w:sz w:val="28"/>
          <w:szCs w:val="28"/>
        </w:rPr>
        <w:t>M</w:t>
      </w:r>
      <w:r w:rsidR="004953FD" w:rsidRPr="002F4F94">
        <w:rPr>
          <w:bCs/>
          <w:sz w:val="28"/>
          <w:szCs w:val="28"/>
        </w:rPr>
        <w:t xml:space="preserve">inistru kabineta noteikumu projekta </w:t>
      </w:r>
    </w:p>
    <w:p w:rsidR="004953FD" w:rsidRPr="002F4F94" w:rsidRDefault="004953FD" w:rsidP="004C250D">
      <w:pPr>
        <w:pStyle w:val="Footer"/>
        <w:jc w:val="center"/>
        <w:rPr>
          <w:rFonts w:ascii="Times New Roman" w:hAnsi="Times New Roman"/>
          <w:b/>
          <w:sz w:val="28"/>
          <w:szCs w:val="28"/>
        </w:rPr>
      </w:pPr>
      <w:r w:rsidRPr="002F4F94">
        <w:rPr>
          <w:rFonts w:ascii="Times New Roman" w:hAnsi="Times New Roman"/>
          <w:b/>
          <w:sz w:val="28"/>
          <w:szCs w:val="28"/>
        </w:rPr>
        <w:t>„</w:t>
      </w:r>
      <w:r w:rsidRPr="002F4F94">
        <w:rPr>
          <w:rFonts w:ascii="Times New Roman" w:hAnsi="Times New Roman"/>
          <w:b/>
          <w:bCs/>
          <w:sz w:val="28"/>
          <w:szCs w:val="28"/>
        </w:rPr>
        <w:t xml:space="preserve">Grozījums Ministru kabineta 2005.gada 2.augusta noteikumos Nr.581 </w:t>
      </w:r>
      <w:r w:rsidRPr="002F4F94">
        <w:rPr>
          <w:rFonts w:ascii="Times New Roman" w:hAnsi="Times New Roman"/>
          <w:b/>
          <w:sz w:val="28"/>
          <w:szCs w:val="28"/>
        </w:rPr>
        <w:t>„Medicīnisko ierīču reģistrācijas, atbilstības novērtēšanas, izplatīšanas, ekspluatācijas un tehniskās uzraudzības kārtība””</w:t>
      </w:r>
    </w:p>
    <w:p w:rsidR="004953FD" w:rsidRPr="002F4F94" w:rsidRDefault="004953FD" w:rsidP="00155A4D">
      <w:pPr>
        <w:pStyle w:val="BodyText"/>
        <w:rPr>
          <w:sz w:val="28"/>
          <w:szCs w:val="28"/>
        </w:rPr>
      </w:pPr>
      <w:bookmarkStart w:id="2" w:name="OLE_LINK4"/>
      <w:bookmarkStart w:id="3" w:name="OLE_LINK5"/>
      <w:r w:rsidRPr="002F4F94">
        <w:rPr>
          <w:bCs/>
          <w:sz w:val="28"/>
          <w:szCs w:val="28"/>
        </w:rPr>
        <w:t>sākotnējās ietekmes novērtējuma ziņojums (anotācija)</w:t>
      </w:r>
      <w:bookmarkEnd w:id="0"/>
      <w:bookmarkEnd w:id="1"/>
      <w:bookmarkEnd w:id="2"/>
      <w:bookmarkEnd w:id="3"/>
    </w:p>
    <w:p w:rsidR="004953FD" w:rsidRDefault="004953FD" w:rsidP="00155A4D">
      <w:pPr>
        <w:rPr>
          <w:b/>
          <w:color w:val="C00000"/>
          <w:sz w:val="28"/>
          <w:szCs w:val="28"/>
        </w:rPr>
      </w:pPr>
    </w:p>
    <w:p w:rsidR="00CA6BF6" w:rsidRPr="00155A4D" w:rsidRDefault="00CA6BF6" w:rsidP="00155A4D">
      <w:pPr>
        <w:rPr>
          <w:b/>
          <w:color w:val="C00000"/>
          <w:sz w:val="28"/>
          <w:szCs w:val="28"/>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142"/>
        <w:gridCol w:w="5953"/>
      </w:tblGrid>
      <w:tr w:rsidR="004953FD" w:rsidRPr="00380A54" w:rsidTr="00895DEB">
        <w:tc>
          <w:tcPr>
            <w:tcW w:w="9214" w:type="dxa"/>
            <w:gridSpan w:val="3"/>
          </w:tcPr>
          <w:p w:rsidR="004953FD" w:rsidRPr="00380A54" w:rsidRDefault="004953FD" w:rsidP="00155A4D">
            <w:pPr>
              <w:spacing w:after="120"/>
              <w:jc w:val="center"/>
              <w:rPr>
                <w:b/>
              </w:rPr>
            </w:pPr>
            <w:r w:rsidRPr="00380A54">
              <w:rPr>
                <w:b/>
              </w:rPr>
              <w:t xml:space="preserve">I. Kādēļ normatīvais </w:t>
            </w:r>
            <w:smartTag w:uri="schemas-tilde-lv/tildestengine" w:element="veidnes">
              <w:smartTagPr>
                <w:attr w:name="baseform" w:val="akt|s"/>
                <w:attr w:name="id" w:val="-1"/>
                <w:attr w:name="text" w:val="akts"/>
              </w:smartTagPr>
              <w:r w:rsidRPr="00380A54">
                <w:rPr>
                  <w:b/>
                </w:rPr>
                <w:t>akts</w:t>
              </w:r>
            </w:smartTag>
            <w:r w:rsidRPr="00380A54">
              <w:rPr>
                <w:b/>
              </w:rPr>
              <w:t xml:space="preserve"> ir vajadzīgs</w:t>
            </w:r>
          </w:p>
        </w:tc>
      </w:tr>
      <w:tr w:rsidR="004953FD" w:rsidRPr="00380A54" w:rsidTr="00CA6BF6">
        <w:tc>
          <w:tcPr>
            <w:tcW w:w="3119" w:type="dxa"/>
          </w:tcPr>
          <w:p w:rsidR="004953FD" w:rsidRPr="003E1F49" w:rsidRDefault="004953FD" w:rsidP="00155A4D">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t>1. Pamatojums</w:t>
            </w:r>
          </w:p>
        </w:tc>
        <w:tc>
          <w:tcPr>
            <w:tcW w:w="6095" w:type="dxa"/>
            <w:gridSpan w:val="2"/>
          </w:tcPr>
          <w:p w:rsidR="004953FD" w:rsidRPr="00380A54" w:rsidRDefault="00E71376" w:rsidP="00E71376">
            <w:pPr>
              <w:pStyle w:val="naisnod"/>
              <w:spacing w:before="0" w:after="120"/>
              <w:jc w:val="both"/>
            </w:pPr>
            <w:r w:rsidRPr="00E71376">
              <w:rPr>
                <w:b w:val="0"/>
              </w:rPr>
              <w:t>Ministru kabineta noteikumu „</w:t>
            </w:r>
            <w:r w:rsidRPr="00E71376">
              <w:rPr>
                <w:b w:val="0"/>
                <w:bCs w:val="0"/>
              </w:rPr>
              <w:t xml:space="preserve">Grozījums Ministru kabineta 2005.gada 2.augusta noteikumos Nr.581 </w:t>
            </w:r>
            <w:r w:rsidRPr="00E71376">
              <w:rPr>
                <w:b w:val="0"/>
              </w:rPr>
              <w:t xml:space="preserve">„Medicīnisko ierīču reģistrācijas, atbilstības novērtēšanas, izplatīšanas, ekspluatācijas un tehniskās uzraudzības kārtība”” </w:t>
            </w:r>
            <w:r w:rsidR="00904B30">
              <w:rPr>
                <w:b w:val="0"/>
              </w:rPr>
              <w:t xml:space="preserve">projekts </w:t>
            </w:r>
            <w:r w:rsidRPr="00E71376">
              <w:rPr>
                <w:b w:val="0"/>
              </w:rPr>
              <w:t>(turpmāk –</w:t>
            </w:r>
            <w:r w:rsidR="00904B30">
              <w:rPr>
                <w:b w:val="0"/>
              </w:rPr>
              <w:t xml:space="preserve"> </w:t>
            </w:r>
            <w:r w:rsidRPr="00E71376">
              <w:rPr>
                <w:b w:val="0"/>
              </w:rPr>
              <w:t>projekts)</w:t>
            </w:r>
            <w:r w:rsidR="004953FD" w:rsidRPr="00461AAD">
              <w:rPr>
                <w:b w:val="0"/>
              </w:rPr>
              <w:t xml:space="preserve"> sagatavots, lai</w:t>
            </w:r>
            <w:r w:rsidR="004953FD">
              <w:rPr>
                <w:b w:val="0"/>
              </w:rPr>
              <w:t xml:space="preserve"> precizētu </w:t>
            </w:r>
            <w:r w:rsidR="004953FD" w:rsidRPr="005F3C1C">
              <w:rPr>
                <w:b w:val="0"/>
              </w:rPr>
              <w:t>medicīn</w:t>
            </w:r>
            <w:r w:rsidR="00382412" w:rsidRPr="005F3C1C">
              <w:rPr>
                <w:b w:val="0"/>
              </w:rPr>
              <w:t>isko</w:t>
            </w:r>
            <w:r w:rsidR="004953FD" w:rsidRPr="005F3C1C">
              <w:rPr>
                <w:b w:val="0"/>
              </w:rPr>
              <w:t xml:space="preserve"> ierīču, kuras rada jonizējošo starojumu, </w:t>
            </w:r>
            <w:r w:rsidR="00E14A46" w:rsidRPr="005F3C1C">
              <w:rPr>
                <w:b w:val="0"/>
              </w:rPr>
              <w:t xml:space="preserve">funkciju novērtēšanas un elektrodrošības pārbaužu </w:t>
            </w:r>
            <w:r w:rsidR="004953FD" w:rsidRPr="005F3C1C">
              <w:rPr>
                <w:b w:val="0"/>
              </w:rPr>
              <w:t>nosacījumus.</w:t>
            </w:r>
          </w:p>
        </w:tc>
      </w:tr>
      <w:tr w:rsidR="004953FD" w:rsidRPr="00380A54" w:rsidTr="00CA6BF6">
        <w:tc>
          <w:tcPr>
            <w:tcW w:w="3119" w:type="dxa"/>
          </w:tcPr>
          <w:p w:rsidR="004953FD" w:rsidRPr="003E1F49" w:rsidRDefault="004953FD" w:rsidP="00155A4D">
            <w:pPr>
              <w:pStyle w:val="BodyText"/>
              <w:jc w:val="left"/>
              <w:rPr>
                <w:b w:val="0"/>
                <w:sz w:val="24"/>
                <w:szCs w:val="24"/>
              </w:rPr>
            </w:pPr>
            <w:r w:rsidRPr="003E1F49">
              <w:rPr>
                <w:b w:val="0"/>
                <w:sz w:val="24"/>
                <w:szCs w:val="24"/>
              </w:rPr>
              <w:t>2. Pašreizējā situācija un problēmas</w:t>
            </w:r>
          </w:p>
        </w:tc>
        <w:tc>
          <w:tcPr>
            <w:tcW w:w="6095" w:type="dxa"/>
            <w:gridSpan w:val="2"/>
          </w:tcPr>
          <w:p w:rsidR="004953FD" w:rsidRPr="00D53D15" w:rsidRDefault="004953FD" w:rsidP="00940B49">
            <w:pPr>
              <w:spacing w:after="120"/>
              <w:jc w:val="both"/>
            </w:pPr>
            <w:r w:rsidRPr="004C250D">
              <w:rPr>
                <w:bCs/>
              </w:rPr>
              <w:t xml:space="preserve">Ministru kabineta 2005.gada 2.augusta noteikumi Nr.581 </w:t>
            </w:r>
            <w:r w:rsidRPr="004C250D">
              <w:t>„Medicīnisko ierīču reģistrācijas, atbilstības novērtēšanas, izplatīšanas, ekspluatācijas un tehniskās uzraudzības kārtība””</w:t>
            </w:r>
            <w:r w:rsidRPr="004C250D">
              <w:rPr>
                <w:bCs/>
              </w:rPr>
              <w:t xml:space="preserve"> </w:t>
            </w:r>
            <w:r>
              <w:rPr>
                <w:bCs/>
              </w:rPr>
              <w:t xml:space="preserve">(turpmāk – MK noteikumi Nr.581), </w:t>
            </w:r>
            <w:r w:rsidRPr="00BA573B">
              <w:t>k</w:t>
            </w:r>
            <w:r>
              <w:t>uri</w:t>
            </w:r>
            <w:r w:rsidRPr="00BA573B">
              <w:t xml:space="preserve"> izdoti saskaņā ar </w:t>
            </w:r>
            <w:r>
              <w:t>Ārstniecības likuma 34.panta pirmo daļu un likuma „Par atbilstības novērtēšanu” 7.panta pirmo un otro daļu,</w:t>
            </w:r>
            <w:r>
              <w:rPr>
                <w:bCs/>
              </w:rPr>
              <w:t xml:space="preserve"> </w:t>
            </w:r>
            <w:r w:rsidRPr="004C250D">
              <w:rPr>
                <w:bCs/>
              </w:rPr>
              <w:t xml:space="preserve">nosaka </w:t>
            </w:r>
            <w:r w:rsidRPr="004C250D">
              <w:t xml:space="preserve">kārtību, kādā veic medicīnisko ierīču reģistrāciju, atbilstības novērtēšanu, kā arī to izplatīšanas, ekspluatācijas un tehnisko </w:t>
            </w:r>
            <w:r w:rsidRPr="009852EA">
              <w:t>uzraudzību. Medicīnisko ierīču ražošanas, izplatīšanas, ekspluatācijas un tehnisko uzraudzību veic Veselības inspekcija. MK noteikumi Nr.581 attiecas uz dažāda veida medicīniskajām ierīcēm, tajā skaitā uz medicīniskajām</w:t>
            </w:r>
            <w:r w:rsidRPr="00BA573B">
              <w:t xml:space="preserve"> ierī</w:t>
            </w:r>
            <w:r>
              <w:t>cēm</w:t>
            </w:r>
            <w:r w:rsidRPr="00BA573B">
              <w:t>, kas satur jonizējošā starojuma avotu vai ģenerē jonizējošo starojumu (turpmāk - radioloģiskās ierīces)</w:t>
            </w:r>
            <w:r w:rsidR="00904B30">
              <w:t>. Šīs ierīces ir 1.</w:t>
            </w:r>
            <w:r w:rsidRPr="00D53D15">
              <w:t>grupas medicīniskās ierīces (piemēram</w:t>
            </w:r>
            <w:r>
              <w:t>,</w:t>
            </w:r>
            <w:r w:rsidRPr="00D53D15">
              <w:t xml:space="preserve"> rentgendiagnostikas iekārtas, datortomogrāfijas iekārtas, lineārie paātrinātāji)</w:t>
            </w:r>
            <w:r>
              <w:t>.</w:t>
            </w:r>
            <w:r w:rsidRPr="00D53D15">
              <w:t xml:space="preserve"> MK noteikumi Nr.581 nosaka vienotu kārtību visu </w:t>
            </w:r>
            <w:r>
              <w:t xml:space="preserve">medicīnisko </w:t>
            </w:r>
            <w:r w:rsidRPr="00D53D15">
              <w:t>ierīču tehniskajai uzraudzībai.</w:t>
            </w:r>
          </w:p>
          <w:p w:rsidR="004953FD" w:rsidRDefault="004953FD" w:rsidP="00940B49">
            <w:pPr>
              <w:spacing w:after="120"/>
              <w:jc w:val="both"/>
            </w:pPr>
            <w:r>
              <w:t xml:space="preserve">Savukārt prasības </w:t>
            </w:r>
            <w:r w:rsidRPr="00BA573B">
              <w:t>aizsardzībai pret jonizējošo starojumu medicīniskajā apstarošanā ir noteikt</w:t>
            </w:r>
            <w:r>
              <w:t>as</w:t>
            </w:r>
            <w:r w:rsidRPr="00BA573B">
              <w:t xml:space="preserve"> Ministru kabineta </w:t>
            </w:r>
            <w:smartTag w:uri="schemas-tilde-lv/tildestengine" w:element="date">
              <w:smartTagPr>
                <w:attr w:name="Year" w:val="2002"/>
                <w:attr w:name="Month" w:val="3"/>
                <w:attr w:name="Day" w:val="5"/>
              </w:smartTagPr>
              <w:r w:rsidRPr="00BA573B">
                <w:t>2002.gada 5.marta</w:t>
              </w:r>
            </w:smartTag>
            <w:r w:rsidRPr="00BA573B">
              <w:t xml:space="preserve"> noteikumos Nr.97 „Noteikumi par aizsardzību pret jonizējošo starojumu medicīniskajā apstarošanā” (turpmāk – </w:t>
            </w:r>
            <w:r>
              <w:t xml:space="preserve">MK </w:t>
            </w:r>
            <w:r w:rsidRPr="00BA573B">
              <w:t>noteikumi Nr.97)</w:t>
            </w:r>
            <w:r>
              <w:t>, kuri izdoti saskaņā ar likumu „Par radiācijas drošību un kodoldrošību”</w:t>
            </w:r>
            <w:r w:rsidRPr="00BA573B">
              <w:t xml:space="preserve">. </w:t>
            </w:r>
            <w:r>
              <w:t xml:space="preserve">MK noteikumi Nr.97 attiecas uz ārstniecības iestādēm, kurās veic darbības ar radioloģiskajām ierīcēm, un nosaka konkrētus nosacījumus radioloģiskajām ierīcēm. MK noteikumos Nr.97 ir </w:t>
            </w:r>
            <w:r w:rsidRPr="00932546">
              <w:t xml:space="preserve">pārņemtas Padomes </w:t>
            </w:r>
            <w:smartTag w:uri="schemas-tilde-lv/tildestengine" w:element="date">
              <w:smartTagPr>
                <w:attr w:name="Day" w:val="30"/>
                <w:attr w:name="Month" w:val="6"/>
                <w:attr w:name="Year" w:val="1997"/>
              </w:smartTagPr>
              <w:r w:rsidRPr="00932546">
                <w:t>1997.gada 30.jūnija</w:t>
              </w:r>
            </w:smartTag>
            <w:r w:rsidRPr="00932546">
              <w:t xml:space="preserve"> Direktīvas 97/43/Euratom, ar ko paredz personu veselības </w:t>
            </w:r>
            <w:r w:rsidRPr="00932546">
              <w:lastRenderedPageBreak/>
              <w:t>aizsardzību pret jonizējošā starojuma kaitīgo iedarbību saistībā ar ārstnieciski diagnostisko apstarošanu un atceļ Direktīvu 84/466/Euratom,</w:t>
            </w:r>
            <w:r w:rsidR="00C04548">
              <w:t xml:space="preserve"> (direktīva 97/43/Euratom)</w:t>
            </w:r>
            <w:r w:rsidRPr="00932546">
              <w:t xml:space="preserve"> pras</w:t>
            </w:r>
            <w:r>
              <w:t>ības un saskaņā ar šo direktīvu tiek prasītas radioloģisko ierīču pārbaudes.</w:t>
            </w:r>
          </w:p>
          <w:p w:rsidR="004953FD" w:rsidRDefault="004953FD" w:rsidP="00940B49">
            <w:pPr>
              <w:spacing w:after="120"/>
              <w:jc w:val="both"/>
            </w:pPr>
            <w:r>
              <w:t xml:space="preserve">Valsts vides dienesta Radiācijas drošības centrs (turpmāk – VVD RDC) nodrošina radiācijas drošības uzraudzību un kontroli, izsniedz speciālas atļaujas (licences) un atļaujas darbībām ar jonizējošā starojuma avotiem (tai skaitā radioloģiskām ierīcēm) un veic darbību ar jonizējošā starojuma avotiem inspekcijas, tajā skaitā ārstniecības iestādēs. </w:t>
            </w:r>
          </w:p>
          <w:p w:rsidR="004953FD" w:rsidRDefault="004953FD" w:rsidP="00940B49">
            <w:pPr>
              <w:spacing w:after="120"/>
              <w:jc w:val="both"/>
            </w:pPr>
            <w:r>
              <w:t xml:space="preserve">Ņemot vērā iepriekšminēto, konstatējams, ka </w:t>
            </w:r>
            <w:r w:rsidR="00E14A46">
              <w:t xml:space="preserve">paralēli </w:t>
            </w:r>
            <w:r>
              <w:t xml:space="preserve">divi Ministru kabineta noteikumi nosaka prasības attiecībā uz radioloģiskajām ierīcēm to ekspluatācijas laikā. </w:t>
            </w:r>
          </w:p>
          <w:p w:rsidR="00F2376D" w:rsidRPr="007350BE" w:rsidRDefault="004953FD" w:rsidP="00F2376D">
            <w:pPr>
              <w:spacing w:after="120"/>
              <w:jc w:val="both"/>
              <w:rPr>
                <w:color w:val="FF0000"/>
              </w:rPr>
            </w:pPr>
            <w:r w:rsidRPr="00BA573B">
              <w:t xml:space="preserve">Ievērojot, ka </w:t>
            </w:r>
            <w:r>
              <w:t xml:space="preserve">MK </w:t>
            </w:r>
            <w:r w:rsidRPr="00BA573B">
              <w:t>noteikumi Nr.581 nesatur konkrētus tehnisko parametru atbilstības kritērijus radioloģiskām ierīcēm</w:t>
            </w:r>
            <w:r w:rsidR="00E14A46">
              <w:t xml:space="preserve"> un</w:t>
            </w:r>
            <w:r>
              <w:t xml:space="preserve"> konkrēti</w:t>
            </w:r>
            <w:r w:rsidR="00E14A46">
              <w:t>e</w:t>
            </w:r>
            <w:r w:rsidRPr="00BA573B">
              <w:t xml:space="preserve"> radiācijas drošības </w:t>
            </w:r>
            <w:r w:rsidR="00E14A46">
              <w:t>nosacījumi</w:t>
            </w:r>
            <w:r w:rsidRPr="00BA573B">
              <w:t xml:space="preserve"> medicīnā noteikti </w:t>
            </w:r>
            <w:r>
              <w:t xml:space="preserve">MK </w:t>
            </w:r>
            <w:r w:rsidRPr="00BA573B">
              <w:t xml:space="preserve">noteikumos Nr.97, tad nepieciešams šo </w:t>
            </w:r>
            <w:r w:rsidRPr="003D123F">
              <w:t>ierīču tehnisko parametru novērtēšanas prasības un minimālos tehnisko parametru atbilstības kritērijus šīs uzraudzības laikā noteikt vienos</w:t>
            </w:r>
            <w:r w:rsidRPr="00BA573B">
              <w:t xml:space="preserve"> </w:t>
            </w:r>
            <w:r w:rsidR="00E14A46">
              <w:t>MK</w:t>
            </w:r>
            <w:r w:rsidRPr="00BA573B">
              <w:t xml:space="preserve"> noteikumos</w:t>
            </w:r>
            <w:r w:rsidR="00C04548">
              <w:t>, tas ir, noteikumos</w:t>
            </w:r>
            <w:r w:rsidRPr="00BA573B">
              <w:t xml:space="preserve"> par aizsardzību pret jonizējošo starojumu medicīniskajā </w:t>
            </w:r>
            <w:r w:rsidRPr="00C04548">
              <w:t xml:space="preserve">apstarošanā. Tāpat jāņem vērā, ka </w:t>
            </w:r>
            <w:r w:rsidR="00E14A46" w:rsidRPr="00C04548">
              <w:t>MK noteikumi Nr.97</w:t>
            </w:r>
            <w:r w:rsidRPr="00C04548">
              <w:t xml:space="preserve"> </w:t>
            </w:r>
            <w:r w:rsidR="00C04548" w:rsidRPr="00C04548">
              <w:t>satur</w:t>
            </w:r>
            <w:r w:rsidRPr="00C04548">
              <w:t xml:space="preserve"> Direktīvas 97/43/Euratom, prasības, tai skaitā prasības radioloģiskajām ierīcēm.</w:t>
            </w:r>
            <w:r w:rsidR="00E14A46" w:rsidRPr="007350BE">
              <w:rPr>
                <w:color w:val="FF0000"/>
              </w:rPr>
              <w:t xml:space="preserve"> </w:t>
            </w:r>
          </w:p>
          <w:p w:rsidR="004953FD" w:rsidRPr="00BA573B" w:rsidRDefault="00E14A46" w:rsidP="00F2376D">
            <w:pPr>
              <w:spacing w:after="120"/>
              <w:jc w:val="both"/>
            </w:pPr>
            <w:r>
              <w:t xml:space="preserve">Ievērojot, ka </w:t>
            </w:r>
            <w:r w:rsidR="004953FD">
              <w:t>MK n</w:t>
            </w:r>
            <w:r w:rsidR="004953FD" w:rsidRPr="00BA573B">
              <w:t xml:space="preserve">oteikumi Nr.97 ir izdoti 2002.gadā un </w:t>
            </w:r>
            <w:r w:rsidR="004953FD">
              <w:t xml:space="preserve">konstatēts, ka ir </w:t>
            </w:r>
            <w:r w:rsidR="004953FD" w:rsidRPr="00BA573B">
              <w:t xml:space="preserve">nepieciešams aktualizēt </w:t>
            </w:r>
            <w:r w:rsidR="004953FD">
              <w:t xml:space="preserve">noteikumos lietoto </w:t>
            </w:r>
            <w:r w:rsidR="004953FD" w:rsidRPr="00BA573B">
              <w:t xml:space="preserve">terminoloģiju, nosacījumus medicīniskās apstarošanas veikšanai, kā arī aktualizēt </w:t>
            </w:r>
            <w:r w:rsidR="004953FD">
              <w:t xml:space="preserve">radioloģisko ierīču atbilstības </w:t>
            </w:r>
            <w:r w:rsidR="004953FD" w:rsidRPr="00BA573B">
              <w:t>tehniskos parametrus</w:t>
            </w:r>
            <w:r w:rsidR="004953FD">
              <w:t xml:space="preserve"> un to pārbaužu nosacījumus, ir izstrādāts jauns Ministru kabineta noteikumu projekts „</w:t>
            </w:r>
            <w:r w:rsidR="004953FD" w:rsidRPr="009C30EC">
              <w:t>Noteikumi par aizsardzību pret jonizējošo starojumu medicīniskajā apstarošanā”</w:t>
            </w:r>
            <w:r w:rsidR="004953FD">
              <w:t>, kas aizstās MK noteikumus Nr.97.</w:t>
            </w:r>
          </w:p>
        </w:tc>
      </w:tr>
      <w:tr w:rsidR="004953FD" w:rsidRPr="00380A54" w:rsidTr="00CA6BF6">
        <w:tc>
          <w:tcPr>
            <w:tcW w:w="3119" w:type="dxa"/>
          </w:tcPr>
          <w:p w:rsidR="004953FD" w:rsidRPr="003E1F49" w:rsidRDefault="004953FD" w:rsidP="00493B08">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lastRenderedPageBreak/>
              <w:t>3. Saistītie politikas ietekmes novērtējumi un pētījumi</w:t>
            </w:r>
          </w:p>
        </w:tc>
        <w:tc>
          <w:tcPr>
            <w:tcW w:w="6095" w:type="dxa"/>
            <w:gridSpan w:val="2"/>
          </w:tcPr>
          <w:p w:rsidR="004953FD" w:rsidRDefault="004953FD" w:rsidP="001F6BE6">
            <w:pPr>
              <w:pStyle w:val="naiskr"/>
              <w:spacing w:before="0" w:after="120"/>
              <w:ind w:right="57"/>
              <w:jc w:val="both"/>
            </w:pPr>
            <w:r>
              <w:t>Projekts šo jomu neskar.</w:t>
            </w:r>
          </w:p>
          <w:p w:rsidR="004953FD" w:rsidRPr="00380A54" w:rsidRDefault="004953FD" w:rsidP="00155A4D">
            <w:pPr>
              <w:pStyle w:val="naiskr"/>
              <w:spacing w:before="0" w:after="120"/>
              <w:ind w:left="104" w:right="57"/>
              <w:jc w:val="both"/>
            </w:pPr>
          </w:p>
        </w:tc>
      </w:tr>
      <w:tr w:rsidR="004953FD" w:rsidRPr="00380A54" w:rsidTr="00CA6BF6">
        <w:tc>
          <w:tcPr>
            <w:tcW w:w="3119" w:type="dxa"/>
          </w:tcPr>
          <w:p w:rsidR="004953FD" w:rsidRPr="003E1F49" w:rsidRDefault="004953FD" w:rsidP="001625C2">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t>4. Tiesiskā regulējuma mērķis un būtība</w:t>
            </w:r>
          </w:p>
        </w:tc>
        <w:tc>
          <w:tcPr>
            <w:tcW w:w="6095" w:type="dxa"/>
            <w:gridSpan w:val="2"/>
          </w:tcPr>
          <w:p w:rsidR="005F3C1C" w:rsidRDefault="005F3C1C" w:rsidP="00135102">
            <w:pPr>
              <w:pStyle w:val="BodyText"/>
              <w:spacing w:after="120"/>
              <w:jc w:val="both"/>
              <w:rPr>
                <w:b w:val="0"/>
                <w:sz w:val="24"/>
                <w:szCs w:val="24"/>
              </w:rPr>
            </w:pPr>
            <w:r>
              <w:rPr>
                <w:rStyle w:val="Strong"/>
                <w:bCs/>
                <w:sz w:val="24"/>
                <w:szCs w:val="24"/>
              </w:rPr>
              <w:t>P</w:t>
            </w:r>
            <w:r w:rsidR="004953FD" w:rsidRPr="003E1F49">
              <w:rPr>
                <w:rStyle w:val="Strong"/>
                <w:bCs/>
                <w:sz w:val="24"/>
                <w:szCs w:val="24"/>
              </w:rPr>
              <w:t xml:space="preserve">rojekts izstrādāts, lai risinātu anotācijas I. sadaļas 2.punktā minētās problēmas, un nosaka, ka </w:t>
            </w:r>
            <w:r w:rsidR="004953FD" w:rsidRPr="003E1F49">
              <w:rPr>
                <w:b w:val="0"/>
                <w:sz w:val="24"/>
                <w:szCs w:val="24"/>
              </w:rPr>
              <w:t xml:space="preserve">radioloģisko ierīču elektrodrošības pārbaudes un funkciju atbilstības testēšana un novērtēšana </w:t>
            </w:r>
            <w:r>
              <w:rPr>
                <w:b w:val="0"/>
                <w:sz w:val="24"/>
                <w:szCs w:val="24"/>
              </w:rPr>
              <w:t>(</w:t>
            </w:r>
            <w:r w:rsidRPr="005F3C1C">
              <w:rPr>
                <w:b w:val="0"/>
                <w:sz w:val="24"/>
                <w:szCs w:val="24"/>
              </w:rPr>
              <w:t>tehnisko parametru novērtēšana</w:t>
            </w:r>
            <w:r>
              <w:rPr>
                <w:b w:val="0"/>
                <w:sz w:val="24"/>
                <w:szCs w:val="24"/>
              </w:rPr>
              <w:t>)</w:t>
            </w:r>
            <w:r w:rsidRPr="005F3C1C">
              <w:rPr>
                <w:b w:val="0"/>
                <w:sz w:val="24"/>
                <w:szCs w:val="24"/>
              </w:rPr>
              <w:t xml:space="preserve">  </w:t>
            </w:r>
            <w:r w:rsidR="004953FD" w:rsidRPr="003E1F49">
              <w:rPr>
                <w:b w:val="0"/>
                <w:sz w:val="24"/>
                <w:szCs w:val="24"/>
              </w:rPr>
              <w:t xml:space="preserve">tiek veikta </w:t>
            </w:r>
            <w:r w:rsidR="004953FD" w:rsidRPr="005F3C1C">
              <w:rPr>
                <w:b w:val="0"/>
                <w:sz w:val="24"/>
                <w:szCs w:val="24"/>
              </w:rPr>
              <w:t>saskaņā ar normatīvajiem aktiem par aizsardzību pret jonizējo</w:t>
            </w:r>
            <w:r w:rsidR="00382412" w:rsidRPr="005F3C1C">
              <w:rPr>
                <w:b w:val="0"/>
                <w:sz w:val="24"/>
                <w:szCs w:val="24"/>
              </w:rPr>
              <w:t>šo</w:t>
            </w:r>
            <w:r w:rsidR="004953FD" w:rsidRPr="005F3C1C">
              <w:rPr>
                <w:b w:val="0"/>
                <w:sz w:val="24"/>
                <w:szCs w:val="24"/>
              </w:rPr>
              <w:t xml:space="preserve"> starojumu medicīniskajā apstarošanā. Tas nozīmē, ka radioloģisko ierīču </w:t>
            </w:r>
            <w:r>
              <w:rPr>
                <w:b w:val="0"/>
                <w:sz w:val="24"/>
                <w:szCs w:val="24"/>
              </w:rPr>
              <w:t xml:space="preserve">funkciju atbilstības testēšana un atbilstība </w:t>
            </w:r>
            <w:r w:rsidR="004953FD" w:rsidRPr="005F3C1C">
              <w:rPr>
                <w:b w:val="0"/>
                <w:sz w:val="24"/>
                <w:szCs w:val="24"/>
              </w:rPr>
              <w:t xml:space="preserve">un elektrodrošības pārbaudes (uzsākot to darbību </w:t>
            </w:r>
            <w:r w:rsidR="004953FD" w:rsidRPr="005F3C1C">
              <w:rPr>
                <w:b w:val="0"/>
                <w:sz w:val="24"/>
                <w:szCs w:val="24"/>
              </w:rPr>
              <w:lastRenderedPageBreak/>
              <w:t>un ekspluatācijas laikā) tiks veiktas</w:t>
            </w:r>
            <w:r w:rsidRPr="005F3C1C">
              <w:rPr>
                <w:b w:val="0"/>
                <w:sz w:val="24"/>
                <w:szCs w:val="24"/>
              </w:rPr>
              <w:t>,</w:t>
            </w:r>
            <w:r w:rsidR="004953FD" w:rsidRPr="005F3C1C">
              <w:rPr>
                <w:b w:val="0"/>
                <w:sz w:val="24"/>
                <w:szCs w:val="24"/>
              </w:rPr>
              <w:t xml:space="preserve"> ievērojot jauno </w:t>
            </w:r>
            <w:r>
              <w:rPr>
                <w:b w:val="0"/>
                <w:sz w:val="24"/>
                <w:szCs w:val="24"/>
              </w:rPr>
              <w:t>MK</w:t>
            </w:r>
            <w:r w:rsidR="004953FD" w:rsidRPr="005F3C1C">
              <w:rPr>
                <w:b w:val="0"/>
                <w:sz w:val="24"/>
                <w:szCs w:val="24"/>
              </w:rPr>
              <w:t xml:space="preserve"> noteikumu projektu „Noteikumi par aizsardzību pret jonizējošo starojumu</w:t>
            </w:r>
            <w:r w:rsidR="004953FD" w:rsidRPr="003E1F49">
              <w:rPr>
                <w:b w:val="0"/>
                <w:sz w:val="24"/>
                <w:szCs w:val="24"/>
              </w:rPr>
              <w:t xml:space="preserve"> medicīniskajā apstarošanā”, kurš aizstās MK noteikumus Nr.97. </w:t>
            </w:r>
            <w:r w:rsidR="006330DF" w:rsidRPr="00774C2D">
              <w:rPr>
                <w:b w:val="0"/>
                <w:sz w:val="24"/>
                <w:szCs w:val="24"/>
              </w:rPr>
              <w:t xml:space="preserve">Vienlaicīgi projektā noteikts, ka medicīnisko ierīču, kas satur jonizējošā starojuma avotu vai ģenerē jonizējošo starojumu, (radioloģiskās ierīces) elektrodrošības pārbaudes un funkciju atbilstības testēšanu un novērtēšanu līdz 2015.gada </w:t>
            </w:r>
            <w:r w:rsidR="001858F2">
              <w:rPr>
                <w:b w:val="0"/>
                <w:sz w:val="24"/>
                <w:szCs w:val="24"/>
              </w:rPr>
              <w:t>1.septembrim</w:t>
            </w:r>
            <w:r w:rsidR="006330DF" w:rsidRPr="00774C2D">
              <w:rPr>
                <w:b w:val="0"/>
                <w:sz w:val="24"/>
                <w:szCs w:val="24"/>
              </w:rPr>
              <w:t xml:space="preserve"> veic atbilstoši </w:t>
            </w:r>
            <w:r w:rsidR="00774C2D" w:rsidRPr="00774C2D">
              <w:rPr>
                <w:b w:val="0"/>
                <w:sz w:val="24"/>
                <w:szCs w:val="24"/>
              </w:rPr>
              <w:t xml:space="preserve">tehniskās uzraudzības iestādes </w:t>
            </w:r>
            <w:r w:rsidR="006330DF" w:rsidRPr="00774C2D">
              <w:rPr>
                <w:b w:val="0"/>
                <w:sz w:val="24"/>
                <w:szCs w:val="24"/>
              </w:rPr>
              <w:t>akreditācijai, kura veikta saskaņā ar MK noteikumiem Nr.581.</w:t>
            </w:r>
          </w:p>
          <w:p w:rsidR="004953FD" w:rsidRPr="005F3C1C" w:rsidRDefault="004953FD" w:rsidP="00135102">
            <w:pPr>
              <w:pStyle w:val="BodyText"/>
              <w:spacing w:after="120"/>
              <w:jc w:val="both"/>
              <w:rPr>
                <w:rStyle w:val="Strong"/>
                <w:b/>
                <w:bCs/>
                <w:sz w:val="24"/>
                <w:szCs w:val="24"/>
              </w:rPr>
            </w:pPr>
            <w:r w:rsidRPr="002F4F94">
              <w:rPr>
                <w:b w:val="0"/>
                <w:sz w:val="24"/>
                <w:szCs w:val="24"/>
              </w:rPr>
              <w:t xml:space="preserve">Attiecībā uz radioloģisko ierīču reģistrāciju, </w:t>
            </w:r>
            <w:r w:rsidRPr="005F3C1C">
              <w:rPr>
                <w:b w:val="0"/>
                <w:sz w:val="24"/>
                <w:szCs w:val="24"/>
              </w:rPr>
              <w:t xml:space="preserve">atbilstības novērtēšanu, izplatīšanu un citiem ekspluatācijas jautājumiem </w:t>
            </w:r>
            <w:r w:rsidR="0023367E" w:rsidRPr="005F3C1C">
              <w:rPr>
                <w:b w:val="0"/>
                <w:sz w:val="24"/>
                <w:szCs w:val="24"/>
              </w:rPr>
              <w:t xml:space="preserve">arī turpmāk būs </w:t>
            </w:r>
            <w:r w:rsidRPr="005F3C1C">
              <w:rPr>
                <w:b w:val="0"/>
                <w:sz w:val="24"/>
                <w:szCs w:val="24"/>
              </w:rPr>
              <w:t>jāievēro MK noteikumos Nr.581 noteiktās prasības.</w:t>
            </w:r>
          </w:p>
          <w:p w:rsidR="004953FD" w:rsidRPr="00F41606" w:rsidRDefault="001E6E14" w:rsidP="00774C2D">
            <w:pPr>
              <w:spacing w:after="120"/>
              <w:jc w:val="both"/>
            </w:pPr>
            <w:r w:rsidRPr="005F3C1C">
              <w:t>Valsts sekret</w:t>
            </w:r>
            <w:r w:rsidR="00E71376">
              <w:t xml:space="preserve">āru </w:t>
            </w:r>
            <w:r w:rsidR="00510395">
              <w:t xml:space="preserve">2012.gada 8.novembra </w:t>
            </w:r>
            <w:r w:rsidR="00E71376">
              <w:t>sanāksmē vienlaicīgi ar šo</w:t>
            </w:r>
            <w:r w:rsidRPr="005F3C1C">
              <w:t xml:space="preserve"> projektu </w:t>
            </w:r>
            <w:r w:rsidR="00A70017">
              <w:t>tika</w:t>
            </w:r>
            <w:r w:rsidR="00A70017" w:rsidRPr="005F3C1C">
              <w:t xml:space="preserve"> </w:t>
            </w:r>
            <w:r w:rsidRPr="005F3C1C">
              <w:t xml:space="preserve">izsludināts </w:t>
            </w:r>
            <w:r w:rsidR="005F3C1C" w:rsidRPr="005F3C1C">
              <w:t>MK</w:t>
            </w:r>
            <w:r w:rsidR="004953FD" w:rsidRPr="005F3C1C">
              <w:t xml:space="preserve"> noteikumu projekts „Noteikumi par aizsardzību pret jonizējošo starojumu medicīniskajā apstarošanā”</w:t>
            </w:r>
            <w:r w:rsidR="00510395">
              <w:t xml:space="preserve"> (VSS-1139)</w:t>
            </w:r>
            <w:r w:rsidR="00A70017">
              <w:t xml:space="preserve">, kas ar šo projektu </w:t>
            </w:r>
            <w:r w:rsidR="00774C2D">
              <w:t xml:space="preserve">arī </w:t>
            </w:r>
            <w:r w:rsidR="00A70017">
              <w:t xml:space="preserve">iesniegts </w:t>
            </w:r>
            <w:r w:rsidR="009974DE">
              <w:t>Valsts kancelejā</w:t>
            </w:r>
            <w:r w:rsidR="00A70017">
              <w:t>.</w:t>
            </w:r>
          </w:p>
        </w:tc>
      </w:tr>
      <w:tr w:rsidR="004953FD" w:rsidRPr="00380A54" w:rsidTr="00CA6BF6">
        <w:tc>
          <w:tcPr>
            <w:tcW w:w="3119" w:type="dxa"/>
          </w:tcPr>
          <w:p w:rsidR="004953FD" w:rsidRPr="003E1F49" w:rsidRDefault="004953FD" w:rsidP="001625C2">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lastRenderedPageBreak/>
              <w:t>5. Projekta izstrādē iesaistītās institūcijas</w:t>
            </w:r>
          </w:p>
        </w:tc>
        <w:tc>
          <w:tcPr>
            <w:tcW w:w="6095" w:type="dxa"/>
            <w:gridSpan w:val="2"/>
          </w:tcPr>
          <w:p w:rsidR="004953FD" w:rsidRPr="007350BE" w:rsidRDefault="004953FD" w:rsidP="00F438D1">
            <w:pPr>
              <w:spacing w:after="120"/>
              <w:jc w:val="both"/>
            </w:pPr>
            <w:r w:rsidRPr="007350BE">
              <w:t>Ar vides ministra 2009.gada 5.augusta rīkojumu Nr.252 „Par darba grupas izveidošanu” tika izveidota darba grupa, lai izvērtētu un sagatavotu priekšlikumus radiācijas drošības regulējošo normatīvo aktu grozījumiem ar mērķi pilnveidot radiācijas drošības prasības un samazināt administratīvo slogu uzņēmējdarbībai. Darba grupā tika iekļauti pārstāvji no Vides ministrijas, Veselības ministrijas, Ekonomikas ministrijas, VVD RDC, Valsts sabiedrības ar ierobežotu atbildību „Latvijas Vides, ģeoloģijas un meteoroloģijas centrs”, Latvijas Universitātes, Rīgas Tehniskās universitātes, Latvijas Arodveselības un arodslimību ārstu biedrības, Latvijas Radiologu asociācijas, Latvijas Radiologu asistentu asociācijas un Latvijas Zobārstu asociācijas.</w:t>
            </w:r>
          </w:p>
          <w:p w:rsidR="004953FD" w:rsidRPr="005F3C1C" w:rsidRDefault="004953FD" w:rsidP="00F438D1">
            <w:pPr>
              <w:pStyle w:val="Footer"/>
              <w:tabs>
                <w:tab w:val="clear" w:pos="4153"/>
                <w:tab w:val="clear" w:pos="8306"/>
              </w:tabs>
              <w:spacing w:after="120"/>
              <w:jc w:val="both"/>
              <w:rPr>
                <w:rFonts w:ascii="Times New Roman" w:hAnsi="Times New Roman"/>
                <w:sz w:val="24"/>
                <w:szCs w:val="24"/>
              </w:rPr>
            </w:pPr>
            <w:r w:rsidRPr="007350BE">
              <w:rPr>
                <w:rFonts w:ascii="Times New Roman" w:hAnsi="Times New Roman"/>
                <w:sz w:val="24"/>
                <w:szCs w:val="24"/>
                <w:lang w:eastAsia="en-US"/>
              </w:rPr>
              <w:t>Ievērojot</w:t>
            </w:r>
            <w:r w:rsidRPr="005F3C1C">
              <w:rPr>
                <w:rFonts w:ascii="Times New Roman" w:hAnsi="Times New Roman"/>
                <w:sz w:val="24"/>
                <w:szCs w:val="24"/>
                <w:lang w:eastAsia="en-US"/>
              </w:rPr>
              <w:t xml:space="preserve">, ka darba grupa izveidota 2009.gadā, tad darba grupas sastāvs tika atjaunots ar vides aizsardzības un reģionālās attīstības ministra 2011.gada 21.septembra rīkojumu Nr.414 „Par darba grupas izveidošanu”, vienlaicīgi iekļaujot vairāk sabiedrisko organizāciju pārstāvju. Darba grupas ietvaros </w:t>
            </w:r>
            <w:r w:rsidR="00C96B53" w:rsidRPr="005F3C1C">
              <w:rPr>
                <w:rFonts w:ascii="Times New Roman" w:hAnsi="Times New Roman"/>
                <w:sz w:val="24"/>
                <w:szCs w:val="24"/>
              </w:rPr>
              <w:t>tika atbalstīts, ka nepieciešams veikt izmaiņas MK noteikumos Nr.581</w:t>
            </w:r>
            <w:r w:rsidR="005F3C1C" w:rsidRPr="005F3C1C">
              <w:rPr>
                <w:rFonts w:ascii="Times New Roman" w:hAnsi="Times New Roman"/>
                <w:sz w:val="24"/>
                <w:szCs w:val="24"/>
              </w:rPr>
              <w:t xml:space="preserve"> </w:t>
            </w:r>
            <w:r w:rsidR="005F3C1C" w:rsidRPr="005F3C1C">
              <w:rPr>
                <w:rFonts w:ascii="Times New Roman" w:hAnsi="Times New Roman"/>
                <w:sz w:val="24"/>
                <w:szCs w:val="24"/>
                <w:lang w:eastAsia="en-US"/>
              </w:rPr>
              <w:t>saistībā ar</w:t>
            </w:r>
            <w:r w:rsidR="00C96B53" w:rsidRPr="005F3C1C">
              <w:rPr>
                <w:rFonts w:ascii="Times New Roman" w:hAnsi="Times New Roman"/>
                <w:sz w:val="24"/>
                <w:szCs w:val="24"/>
                <w:lang w:eastAsia="en-US"/>
              </w:rPr>
              <w:t xml:space="preserve"> jaun</w:t>
            </w:r>
            <w:r w:rsidR="005F3C1C" w:rsidRPr="005F3C1C">
              <w:rPr>
                <w:rFonts w:ascii="Times New Roman" w:hAnsi="Times New Roman"/>
                <w:sz w:val="24"/>
                <w:szCs w:val="24"/>
                <w:lang w:eastAsia="en-US"/>
              </w:rPr>
              <w:t>o MK</w:t>
            </w:r>
            <w:r w:rsidRPr="005F3C1C">
              <w:rPr>
                <w:rFonts w:ascii="Times New Roman" w:hAnsi="Times New Roman"/>
                <w:sz w:val="24"/>
                <w:szCs w:val="24"/>
                <w:lang w:eastAsia="en-US"/>
              </w:rPr>
              <w:t xml:space="preserve"> noteikumu </w:t>
            </w:r>
            <w:r w:rsidR="005F3C1C" w:rsidRPr="005F3C1C">
              <w:rPr>
                <w:rFonts w:ascii="Times New Roman" w:hAnsi="Times New Roman"/>
                <w:sz w:val="24"/>
                <w:szCs w:val="24"/>
                <w:lang w:eastAsia="en-US"/>
              </w:rPr>
              <w:t xml:space="preserve">projektu </w:t>
            </w:r>
            <w:r w:rsidRPr="005F3C1C">
              <w:rPr>
                <w:rFonts w:ascii="Times New Roman" w:hAnsi="Times New Roman"/>
                <w:sz w:val="24"/>
                <w:szCs w:val="24"/>
                <w:lang w:eastAsia="en-US"/>
              </w:rPr>
              <w:t>„Noteikumi par aizsardzību pret jonizējošo starojumu med</w:t>
            </w:r>
            <w:r w:rsidR="00C96B53" w:rsidRPr="005F3C1C">
              <w:rPr>
                <w:rFonts w:ascii="Times New Roman" w:hAnsi="Times New Roman"/>
                <w:sz w:val="24"/>
                <w:szCs w:val="24"/>
                <w:lang w:eastAsia="en-US"/>
              </w:rPr>
              <w:t>icīniskajā apstarošanā”</w:t>
            </w:r>
            <w:r w:rsidR="005F3C1C" w:rsidRPr="005F3C1C">
              <w:rPr>
                <w:rFonts w:ascii="Times New Roman" w:hAnsi="Times New Roman"/>
                <w:sz w:val="24"/>
                <w:szCs w:val="24"/>
                <w:lang w:eastAsia="en-US"/>
              </w:rPr>
              <w:t xml:space="preserve">. </w:t>
            </w:r>
            <w:r w:rsidR="006330DF">
              <w:rPr>
                <w:rFonts w:ascii="Times New Roman" w:hAnsi="Times New Roman"/>
                <w:sz w:val="24"/>
                <w:szCs w:val="24"/>
                <w:lang w:eastAsia="en-US"/>
              </w:rPr>
              <w:t>Tika</w:t>
            </w:r>
            <w:r w:rsidR="00A70017">
              <w:rPr>
                <w:rFonts w:ascii="Times New Roman" w:hAnsi="Times New Roman"/>
                <w:sz w:val="24"/>
                <w:szCs w:val="24"/>
                <w:lang w:eastAsia="en-US"/>
              </w:rPr>
              <w:t xml:space="preserve"> sagatavots</w:t>
            </w:r>
            <w:r w:rsidR="006330DF">
              <w:rPr>
                <w:rFonts w:ascii="Times New Roman" w:hAnsi="Times New Roman"/>
                <w:sz w:val="24"/>
                <w:szCs w:val="24"/>
                <w:lang w:eastAsia="en-US"/>
              </w:rPr>
              <w:t xml:space="preserve"> arī likumprojekts</w:t>
            </w:r>
            <w:r w:rsidR="006330DF" w:rsidRPr="006330DF">
              <w:rPr>
                <w:rFonts w:ascii="Times New Roman" w:hAnsi="Times New Roman"/>
                <w:sz w:val="24"/>
                <w:szCs w:val="24"/>
                <w:lang w:eastAsia="en-US"/>
              </w:rPr>
              <w:t xml:space="preserve"> „Grozījumi likumā „Par radiācijas drošību un kodoldrošību””</w:t>
            </w:r>
            <w:r w:rsidR="005F3C1C" w:rsidRPr="005F3C1C">
              <w:rPr>
                <w:rFonts w:ascii="Times New Roman" w:hAnsi="Times New Roman"/>
                <w:sz w:val="24"/>
                <w:szCs w:val="24"/>
                <w:lang w:eastAsia="en-US"/>
              </w:rPr>
              <w:t xml:space="preserve"> </w:t>
            </w:r>
            <w:r w:rsidR="004E31CD">
              <w:rPr>
                <w:rFonts w:ascii="Times New Roman" w:hAnsi="Times New Roman"/>
                <w:sz w:val="24"/>
                <w:szCs w:val="24"/>
                <w:lang w:eastAsia="en-US"/>
              </w:rPr>
              <w:t xml:space="preserve">(grozījumi pieņemti Saeimā 2014.gada 29.maijā) </w:t>
            </w:r>
            <w:r w:rsidRPr="005F3C1C">
              <w:rPr>
                <w:rFonts w:ascii="Times New Roman" w:hAnsi="Times New Roman"/>
                <w:sz w:val="24"/>
                <w:szCs w:val="24"/>
                <w:lang w:eastAsia="en-US"/>
              </w:rPr>
              <w:t xml:space="preserve">atbilstoši </w:t>
            </w:r>
            <w:r w:rsidRPr="005F3C1C">
              <w:rPr>
                <w:rFonts w:ascii="Times New Roman" w:hAnsi="Times New Roman"/>
                <w:sz w:val="24"/>
                <w:szCs w:val="24"/>
              </w:rPr>
              <w:t xml:space="preserve">Ministru kabineta 2011.gada 20.septembra sēdes protokollēmuma „Noteikumu </w:t>
            </w:r>
            <w:r w:rsidRPr="005F3C1C">
              <w:rPr>
                <w:rFonts w:ascii="Times New Roman" w:hAnsi="Times New Roman"/>
                <w:sz w:val="24"/>
                <w:szCs w:val="24"/>
              </w:rPr>
              <w:lastRenderedPageBreak/>
              <w:t>projekts "Darbību ar jonizējošā starojuma avotiem licencēšanas kārtība"” (prot. Nr.53 23.§) 2.punktam.</w:t>
            </w:r>
            <w:r w:rsidR="006330DF">
              <w:rPr>
                <w:rFonts w:ascii="Times New Roman" w:hAnsi="Times New Roman"/>
                <w:sz w:val="24"/>
                <w:szCs w:val="24"/>
              </w:rPr>
              <w:t xml:space="preserve"> </w:t>
            </w:r>
          </w:p>
          <w:p w:rsidR="007350BE" w:rsidRPr="007350BE" w:rsidRDefault="007350BE" w:rsidP="009974DE">
            <w:pPr>
              <w:pStyle w:val="Footer"/>
              <w:tabs>
                <w:tab w:val="clear" w:pos="4153"/>
                <w:tab w:val="clear" w:pos="8306"/>
              </w:tabs>
              <w:spacing w:after="120"/>
              <w:jc w:val="both"/>
              <w:rPr>
                <w:rFonts w:ascii="Times New Roman" w:hAnsi="Times New Roman"/>
                <w:sz w:val="24"/>
                <w:szCs w:val="24"/>
                <w:lang w:eastAsia="en-US"/>
              </w:rPr>
            </w:pPr>
            <w:r w:rsidRPr="005F3C1C">
              <w:rPr>
                <w:rFonts w:ascii="Times New Roman" w:hAnsi="Times New Roman"/>
                <w:sz w:val="24"/>
                <w:szCs w:val="24"/>
              </w:rPr>
              <w:t xml:space="preserve">Darba grupas ietvaros </w:t>
            </w:r>
            <w:r w:rsidR="009974DE">
              <w:rPr>
                <w:rFonts w:ascii="Times New Roman" w:hAnsi="Times New Roman"/>
                <w:sz w:val="24"/>
                <w:szCs w:val="24"/>
              </w:rPr>
              <w:t xml:space="preserve">tika </w:t>
            </w:r>
            <w:r w:rsidRPr="005F3C1C">
              <w:rPr>
                <w:rFonts w:ascii="Times New Roman" w:hAnsi="Times New Roman"/>
                <w:sz w:val="24"/>
                <w:szCs w:val="24"/>
              </w:rPr>
              <w:t xml:space="preserve">sagatavots </w:t>
            </w:r>
            <w:r w:rsidR="009974DE">
              <w:rPr>
                <w:rFonts w:ascii="Times New Roman" w:hAnsi="Times New Roman"/>
                <w:sz w:val="24"/>
                <w:szCs w:val="24"/>
              </w:rPr>
              <w:t xml:space="preserve">arī </w:t>
            </w:r>
            <w:r w:rsidRPr="005F3C1C">
              <w:rPr>
                <w:rFonts w:ascii="Times New Roman" w:hAnsi="Times New Roman"/>
                <w:sz w:val="24"/>
                <w:szCs w:val="24"/>
              </w:rPr>
              <w:t xml:space="preserve">MK noteikumu projekts „Noteikumi par aizsardzību pret jonizējošo starojumu medicīniskajā apstarošanā”, kas aizstās MK noteikumus Nr.97, </w:t>
            </w:r>
            <w:r w:rsidR="0024503A" w:rsidRPr="005F3C1C">
              <w:rPr>
                <w:rFonts w:ascii="Times New Roman" w:hAnsi="Times New Roman"/>
                <w:sz w:val="24"/>
                <w:szCs w:val="24"/>
              </w:rPr>
              <w:t>un ir</w:t>
            </w:r>
            <w:r w:rsidRPr="005F3C1C">
              <w:rPr>
                <w:rFonts w:ascii="Times New Roman" w:hAnsi="Times New Roman"/>
                <w:sz w:val="24"/>
                <w:szCs w:val="24"/>
              </w:rPr>
              <w:t xml:space="preserve"> saistīt</w:t>
            </w:r>
            <w:r w:rsidR="0024503A" w:rsidRPr="005F3C1C">
              <w:rPr>
                <w:rFonts w:ascii="Times New Roman" w:hAnsi="Times New Roman"/>
                <w:sz w:val="24"/>
                <w:szCs w:val="24"/>
              </w:rPr>
              <w:t>s</w:t>
            </w:r>
            <w:r w:rsidRPr="005F3C1C">
              <w:rPr>
                <w:rFonts w:ascii="Times New Roman" w:hAnsi="Times New Roman"/>
                <w:sz w:val="24"/>
                <w:szCs w:val="24"/>
              </w:rPr>
              <w:t xml:space="preserve"> ar noteikumiem Nr.581 un šo noteikumu projektu.</w:t>
            </w:r>
            <w:r w:rsidRPr="007350BE">
              <w:rPr>
                <w:rFonts w:ascii="Times New Roman" w:hAnsi="Times New Roman"/>
                <w:sz w:val="24"/>
                <w:szCs w:val="24"/>
              </w:rPr>
              <w:t xml:space="preserve"> </w:t>
            </w:r>
          </w:p>
        </w:tc>
      </w:tr>
      <w:tr w:rsidR="004953FD" w:rsidRPr="00380A54" w:rsidTr="00CA6BF6">
        <w:tc>
          <w:tcPr>
            <w:tcW w:w="3119" w:type="dxa"/>
          </w:tcPr>
          <w:p w:rsidR="004953FD" w:rsidRPr="003E1F49" w:rsidRDefault="004953FD" w:rsidP="00CE72EC">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lastRenderedPageBreak/>
              <w:t>6. Iemesli, kādēļ netika nodrošināta sabiedrības līdzdalība</w:t>
            </w:r>
          </w:p>
        </w:tc>
        <w:tc>
          <w:tcPr>
            <w:tcW w:w="6095" w:type="dxa"/>
            <w:gridSpan w:val="2"/>
          </w:tcPr>
          <w:p w:rsidR="004953FD" w:rsidRPr="003E1F49" w:rsidRDefault="004953FD" w:rsidP="00F438D1">
            <w:pPr>
              <w:pStyle w:val="Footer"/>
              <w:tabs>
                <w:tab w:val="clear" w:pos="4153"/>
                <w:tab w:val="clear" w:pos="8306"/>
              </w:tabs>
              <w:spacing w:after="120"/>
              <w:jc w:val="both"/>
              <w:rPr>
                <w:rFonts w:ascii="Times New Roman" w:hAnsi="Times New Roman"/>
                <w:sz w:val="24"/>
                <w:szCs w:val="24"/>
                <w:lang w:eastAsia="en-US"/>
              </w:rPr>
            </w:pPr>
            <w:r w:rsidRPr="003E1F49">
              <w:rPr>
                <w:rFonts w:ascii="Times New Roman" w:hAnsi="Times New Roman"/>
                <w:sz w:val="24"/>
                <w:szCs w:val="24"/>
                <w:lang w:eastAsia="en-US"/>
              </w:rPr>
              <w:t>Projekts šo jomu neskar.</w:t>
            </w:r>
          </w:p>
        </w:tc>
      </w:tr>
      <w:tr w:rsidR="004953FD" w:rsidRPr="00380A54" w:rsidTr="00CA6BF6">
        <w:tc>
          <w:tcPr>
            <w:tcW w:w="3119" w:type="dxa"/>
          </w:tcPr>
          <w:p w:rsidR="004953FD" w:rsidRPr="003E1F49" w:rsidRDefault="004953FD" w:rsidP="00CE72EC">
            <w:pPr>
              <w:pStyle w:val="Footer"/>
              <w:tabs>
                <w:tab w:val="clear" w:pos="4153"/>
                <w:tab w:val="clear" w:pos="8306"/>
              </w:tabs>
              <w:rPr>
                <w:rFonts w:ascii="Times New Roman" w:hAnsi="Times New Roman"/>
                <w:sz w:val="24"/>
                <w:szCs w:val="24"/>
                <w:lang w:eastAsia="en-US"/>
              </w:rPr>
            </w:pPr>
            <w:r w:rsidRPr="003E1F49">
              <w:rPr>
                <w:rFonts w:ascii="Times New Roman" w:hAnsi="Times New Roman"/>
                <w:sz w:val="24"/>
                <w:szCs w:val="24"/>
                <w:lang w:eastAsia="en-US"/>
              </w:rPr>
              <w:t>7. Cita informācija</w:t>
            </w:r>
          </w:p>
        </w:tc>
        <w:tc>
          <w:tcPr>
            <w:tcW w:w="6095" w:type="dxa"/>
            <w:gridSpan w:val="2"/>
          </w:tcPr>
          <w:p w:rsidR="004953FD" w:rsidRPr="00380A54" w:rsidRDefault="004953FD" w:rsidP="00F438D1">
            <w:pPr>
              <w:spacing w:after="120"/>
            </w:pPr>
            <w:r>
              <w:t xml:space="preserve"> N</w:t>
            </w:r>
            <w:r w:rsidRPr="00380A54">
              <w:t>av.</w:t>
            </w:r>
          </w:p>
        </w:tc>
      </w:tr>
      <w:tr w:rsidR="004953FD" w:rsidRPr="00380A54" w:rsidTr="00895DEB">
        <w:tc>
          <w:tcPr>
            <w:tcW w:w="9214" w:type="dxa"/>
            <w:gridSpan w:val="3"/>
            <w:tcBorders>
              <w:bottom w:val="nil"/>
            </w:tcBorders>
          </w:tcPr>
          <w:p w:rsidR="004953FD" w:rsidRPr="00380A54" w:rsidRDefault="004953FD" w:rsidP="001625C2">
            <w:pPr>
              <w:spacing w:before="120" w:after="120"/>
              <w:jc w:val="center"/>
              <w:rPr>
                <w:b/>
              </w:rPr>
            </w:pPr>
            <w:r w:rsidRPr="00380A54">
              <w:br w:type="page"/>
            </w:r>
            <w:r w:rsidRPr="00380A54">
              <w:br w:type="page"/>
            </w:r>
            <w:r w:rsidRPr="00380A54">
              <w:rPr>
                <w:b/>
              </w:rPr>
              <w:t xml:space="preserve">II. </w:t>
            </w:r>
            <w:r w:rsidRPr="00380A54">
              <w:rPr>
                <w:b/>
                <w:bCs/>
              </w:rPr>
              <w:t>Tiesību akta projekta ietekme uz sabiedrību</w:t>
            </w:r>
            <w:r>
              <w:rPr>
                <w:b/>
                <w:bCs/>
              </w:rPr>
              <w:t xml:space="preserve"> </w:t>
            </w:r>
          </w:p>
        </w:tc>
      </w:tr>
      <w:tr w:rsidR="004953FD" w:rsidRPr="00380A54" w:rsidTr="00CA6BF6">
        <w:tc>
          <w:tcPr>
            <w:tcW w:w="3261" w:type="dxa"/>
            <w:gridSpan w:val="2"/>
            <w:tcBorders>
              <w:right w:val="single" w:sz="4" w:space="0" w:color="auto"/>
            </w:tcBorders>
          </w:tcPr>
          <w:p w:rsidR="004953FD" w:rsidRPr="00380A54" w:rsidRDefault="004953FD" w:rsidP="00CE72EC">
            <w:pPr>
              <w:ind w:left="284" w:hanging="284"/>
              <w:jc w:val="both"/>
            </w:pPr>
            <w:r w:rsidRPr="00380A54">
              <w:t xml:space="preserve">1. Sabiedrības mērķgrupa </w:t>
            </w:r>
          </w:p>
        </w:tc>
        <w:tc>
          <w:tcPr>
            <w:tcW w:w="5953" w:type="dxa"/>
            <w:tcBorders>
              <w:left w:val="single" w:sz="4" w:space="0" w:color="auto"/>
            </w:tcBorders>
          </w:tcPr>
          <w:p w:rsidR="004953FD" w:rsidRPr="00E14A46" w:rsidRDefault="004953FD" w:rsidP="00E14A46">
            <w:pPr>
              <w:pStyle w:val="Footer"/>
              <w:tabs>
                <w:tab w:val="clear" w:pos="4153"/>
                <w:tab w:val="clear" w:pos="8306"/>
              </w:tabs>
              <w:jc w:val="both"/>
              <w:rPr>
                <w:rFonts w:ascii="Times New Roman" w:hAnsi="Times New Roman"/>
                <w:sz w:val="24"/>
                <w:szCs w:val="24"/>
                <w:lang w:eastAsia="en-US"/>
              </w:rPr>
            </w:pPr>
            <w:r w:rsidRPr="00E14A46">
              <w:rPr>
                <w:rFonts w:ascii="Times New Roman" w:hAnsi="Times New Roman"/>
                <w:sz w:val="24"/>
                <w:szCs w:val="24"/>
                <w:lang w:eastAsia="en-US"/>
              </w:rPr>
              <w:t>Ārstniecības iestādes</w:t>
            </w:r>
            <w:r w:rsidR="00E14A46" w:rsidRPr="00E14A46">
              <w:rPr>
                <w:rFonts w:ascii="Times New Roman" w:hAnsi="Times New Roman"/>
                <w:sz w:val="24"/>
                <w:szCs w:val="24"/>
                <w:lang w:eastAsia="en-US"/>
              </w:rPr>
              <w:t>, kurās veic darbības ar radioloģiskām ierīcēm,</w:t>
            </w:r>
            <w:r w:rsidRPr="00E14A46">
              <w:rPr>
                <w:rFonts w:ascii="Times New Roman" w:hAnsi="Times New Roman"/>
                <w:sz w:val="24"/>
                <w:szCs w:val="24"/>
                <w:lang w:eastAsia="en-US"/>
              </w:rPr>
              <w:t xml:space="preserve"> un komersanti, kuri veic radioloģisko ierīču </w:t>
            </w:r>
            <w:r w:rsidR="00E14A46" w:rsidRPr="00E14A46">
              <w:rPr>
                <w:rFonts w:ascii="Times New Roman" w:hAnsi="Times New Roman"/>
                <w:sz w:val="24"/>
                <w:szCs w:val="24"/>
              </w:rPr>
              <w:t>elektrodrošības pārbaudes un funkciju atbilstības testēšanu un novērtēšanu (</w:t>
            </w:r>
            <w:r w:rsidRPr="00E14A46">
              <w:rPr>
                <w:rFonts w:ascii="Times New Roman" w:hAnsi="Times New Roman"/>
                <w:sz w:val="24"/>
                <w:szCs w:val="24"/>
                <w:lang w:eastAsia="en-US"/>
              </w:rPr>
              <w:t>tehnisko parametru pārbaudes</w:t>
            </w:r>
            <w:r w:rsidR="00E14A46" w:rsidRPr="00E14A46">
              <w:rPr>
                <w:rFonts w:ascii="Times New Roman" w:hAnsi="Times New Roman"/>
                <w:sz w:val="24"/>
                <w:szCs w:val="24"/>
                <w:lang w:eastAsia="en-US"/>
              </w:rPr>
              <w:t>)</w:t>
            </w:r>
            <w:r w:rsidRPr="00E14A46">
              <w:rPr>
                <w:rFonts w:ascii="Times New Roman" w:hAnsi="Times New Roman"/>
                <w:sz w:val="24"/>
                <w:szCs w:val="24"/>
                <w:lang w:eastAsia="en-US"/>
              </w:rPr>
              <w:t>.</w:t>
            </w:r>
          </w:p>
        </w:tc>
      </w:tr>
      <w:tr w:rsidR="004953FD" w:rsidRPr="00380A54" w:rsidTr="00CA6BF6">
        <w:tc>
          <w:tcPr>
            <w:tcW w:w="3261" w:type="dxa"/>
            <w:gridSpan w:val="2"/>
            <w:tcBorders>
              <w:right w:val="single" w:sz="4" w:space="0" w:color="auto"/>
            </w:tcBorders>
          </w:tcPr>
          <w:p w:rsidR="004953FD" w:rsidRPr="00380A54" w:rsidRDefault="004953FD" w:rsidP="00CE72EC">
            <w:pPr>
              <w:jc w:val="both"/>
            </w:pPr>
            <w:r w:rsidRPr="00380A54">
              <w:t>2. Citas sabiedrības grupas (bez mērķgrupas), kuras tiesiskais regulējums arī ietekmē vai varētu ietekmēt</w:t>
            </w:r>
          </w:p>
        </w:tc>
        <w:tc>
          <w:tcPr>
            <w:tcW w:w="5953" w:type="dxa"/>
            <w:tcBorders>
              <w:left w:val="single" w:sz="4" w:space="0" w:color="auto"/>
            </w:tcBorders>
          </w:tcPr>
          <w:p w:rsidR="004953FD" w:rsidRPr="00380A54" w:rsidRDefault="004953FD" w:rsidP="00CE72EC">
            <w:pPr>
              <w:jc w:val="both"/>
            </w:pPr>
            <w:r>
              <w:t>Projekts šo jomu neskar.</w:t>
            </w:r>
          </w:p>
        </w:tc>
      </w:tr>
      <w:tr w:rsidR="004953FD" w:rsidRPr="00380A54" w:rsidTr="00CA6BF6">
        <w:tc>
          <w:tcPr>
            <w:tcW w:w="3261" w:type="dxa"/>
            <w:gridSpan w:val="2"/>
          </w:tcPr>
          <w:p w:rsidR="004953FD" w:rsidRPr="00380A54" w:rsidRDefault="004953FD" w:rsidP="00CE72EC">
            <w:pPr>
              <w:pStyle w:val="naiskr"/>
              <w:spacing w:before="0" w:after="0"/>
              <w:jc w:val="both"/>
            </w:pPr>
            <w:r w:rsidRPr="00380A54">
              <w:t>3. Tiesiskā regulējuma finansiālā ietekme</w:t>
            </w:r>
          </w:p>
        </w:tc>
        <w:tc>
          <w:tcPr>
            <w:tcW w:w="5953" w:type="dxa"/>
          </w:tcPr>
          <w:p w:rsidR="004953FD" w:rsidRPr="00F57A5D" w:rsidRDefault="004953FD" w:rsidP="00CE72EC">
            <w:pPr>
              <w:pStyle w:val="naiskr"/>
              <w:spacing w:before="0" w:after="120"/>
              <w:ind w:right="57"/>
              <w:jc w:val="both"/>
            </w:pPr>
            <w:r>
              <w:t xml:space="preserve">Projekts šo jomu neskar. </w:t>
            </w:r>
          </w:p>
        </w:tc>
      </w:tr>
      <w:tr w:rsidR="004953FD" w:rsidRPr="00380A54" w:rsidTr="00CA6BF6">
        <w:trPr>
          <w:trHeight w:val="174"/>
        </w:trPr>
        <w:tc>
          <w:tcPr>
            <w:tcW w:w="3261" w:type="dxa"/>
            <w:gridSpan w:val="2"/>
          </w:tcPr>
          <w:p w:rsidR="004953FD" w:rsidRPr="003E1F49" w:rsidRDefault="004953FD" w:rsidP="00CE72EC">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t>4. Tiesiskā regulējuma nefinansiālā ietekme</w:t>
            </w:r>
          </w:p>
        </w:tc>
        <w:tc>
          <w:tcPr>
            <w:tcW w:w="5953" w:type="dxa"/>
          </w:tcPr>
          <w:p w:rsidR="00E14A46" w:rsidRPr="00F438D1" w:rsidRDefault="004953FD" w:rsidP="002668B8">
            <w:pPr>
              <w:pStyle w:val="Footer"/>
              <w:tabs>
                <w:tab w:val="clear" w:pos="4153"/>
                <w:tab w:val="clear" w:pos="8306"/>
              </w:tabs>
              <w:jc w:val="both"/>
              <w:rPr>
                <w:rFonts w:ascii="Times New Roman" w:hAnsi="Times New Roman"/>
                <w:sz w:val="24"/>
                <w:szCs w:val="24"/>
                <w:lang w:eastAsia="en-US"/>
              </w:rPr>
            </w:pPr>
            <w:r w:rsidRPr="00F438D1">
              <w:rPr>
                <w:rFonts w:ascii="Times New Roman" w:hAnsi="Times New Roman"/>
                <w:sz w:val="24"/>
                <w:szCs w:val="24"/>
                <w:lang w:eastAsia="en-US"/>
              </w:rPr>
              <w:t>Noteikts, ka radioloģisko ierīču elektrodro</w:t>
            </w:r>
            <w:r>
              <w:rPr>
                <w:sz w:val="24"/>
                <w:szCs w:val="24"/>
                <w:lang w:eastAsia="en-US"/>
              </w:rPr>
              <w:t>š</w:t>
            </w:r>
            <w:r w:rsidRPr="00F438D1">
              <w:rPr>
                <w:rFonts w:ascii="Times New Roman" w:hAnsi="Times New Roman"/>
                <w:sz w:val="24"/>
                <w:szCs w:val="24"/>
                <w:lang w:eastAsia="en-US"/>
              </w:rPr>
              <w:t>ības pārbaudes un funkciju atbilstības testē</w:t>
            </w:r>
            <w:r>
              <w:rPr>
                <w:sz w:val="24"/>
                <w:szCs w:val="24"/>
                <w:lang w:eastAsia="en-US"/>
              </w:rPr>
              <w:t>š</w:t>
            </w:r>
            <w:r w:rsidRPr="00F438D1">
              <w:rPr>
                <w:rFonts w:ascii="Times New Roman" w:hAnsi="Times New Roman"/>
                <w:sz w:val="24"/>
                <w:szCs w:val="24"/>
                <w:lang w:eastAsia="en-US"/>
              </w:rPr>
              <w:t>ana un novērtē</w:t>
            </w:r>
            <w:r>
              <w:rPr>
                <w:sz w:val="24"/>
                <w:szCs w:val="24"/>
                <w:lang w:eastAsia="en-US"/>
              </w:rPr>
              <w:t>š</w:t>
            </w:r>
            <w:r w:rsidRPr="00F438D1">
              <w:rPr>
                <w:rFonts w:ascii="Times New Roman" w:hAnsi="Times New Roman"/>
                <w:sz w:val="24"/>
                <w:szCs w:val="24"/>
                <w:lang w:eastAsia="en-US"/>
              </w:rPr>
              <w:t>ana tiek veikta saskaņā ar normatīvajiem aktiem par aizsardzību pret jonizējo</w:t>
            </w:r>
            <w:r>
              <w:rPr>
                <w:sz w:val="24"/>
                <w:szCs w:val="24"/>
                <w:lang w:eastAsia="en-US"/>
              </w:rPr>
              <w:t>š</w:t>
            </w:r>
            <w:r w:rsidRPr="00F438D1">
              <w:rPr>
                <w:rFonts w:ascii="Times New Roman" w:hAnsi="Times New Roman"/>
                <w:sz w:val="24"/>
                <w:szCs w:val="24"/>
                <w:lang w:eastAsia="en-US"/>
              </w:rPr>
              <w:t>ā starojumu medicīniskajā apstaro</w:t>
            </w:r>
            <w:r>
              <w:rPr>
                <w:sz w:val="24"/>
                <w:szCs w:val="24"/>
                <w:lang w:eastAsia="en-US"/>
              </w:rPr>
              <w:t>š</w:t>
            </w:r>
            <w:r w:rsidRPr="00F438D1">
              <w:rPr>
                <w:rFonts w:ascii="Times New Roman" w:hAnsi="Times New Roman"/>
                <w:sz w:val="24"/>
                <w:szCs w:val="24"/>
                <w:lang w:eastAsia="en-US"/>
              </w:rPr>
              <w:t>anā.</w:t>
            </w:r>
            <w:r w:rsidR="00F2376D">
              <w:rPr>
                <w:rFonts w:ascii="Times New Roman" w:hAnsi="Times New Roman"/>
                <w:sz w:val="24"/>
                <w:szCs w:val="24"/>
                <w:lang w:eastAsia="en-US"/>
              </w:rPr>
              <w:t xml:space="preserve"> Tādejādi ārstniecības iestādēm, kurās tiek veiktas darbības ar radioloģiskajām ierīcēm, būs nepieciešams ievērot ierīču novērtēšanas nosacījumus, kuri būs noteikti normatīvajos</w:t>
            </w:r>
            <w:r w:rsidR="00F2376D" w:rsidRPr="00F438D1">
              <w:rPr>
                <w:rFonts w:ascii="Times New Roman" w:hAnsi="Times New Roman"/>
                <w:sz w:val="24"/>
                <w:szCs w:val="24"/>
                <w:lang w:eastAsia="en-US"/>
              </w:rPr>
              <w:t xml:space="preserve"> akt</w:t>
            </w:r>
            <w:r w:rsidR="00F2376D">
              <w:rPr>
                <w:rFonts w:ascii="Times New Roman" w:hAnsi="Times New Roman"/>
                <w:sz w:val="24"/>
                <w:szCs w:val="24"/>
                <w:lang w:eastAsia="en-US"/>
              </w:rPr>
              <w:t>os</w:t>
            </w:r>
            <w:r w:rsidR="00F2376D" w:rsidRPr="00F438D1">
              <w:rPr>
                <w:rFonts w:ascii="Times New Roman" w:hAnsi="Times New Roman"/>
                <w:sz w:val="24"/>
                <w:szCs w:val="24"/>
                <w:lang w:eastAsia="en-US"/>
              </w:rPr>
              <w:t xml:space="preserve"> par aizsardzību pret jonizējo</w:t>
            </w:r>
            <w:r w:rsidR="00F2376D">
              <w:rPr>
                <w:sz w:val="24"/>
                <w:szCs w:val="24"/>
                <w:lang w:eastAsia="en-US"/>
              </w:rPr>
              <w:t>š</w:t>
            </w:r>
            <w:r w:rsidR="00F2376D" w:rsidRPr="00F438D1">
              <w:rPr>
                <w:rFonts w:ascii="Times New Roman" w:hAnsi="Times New Roman"/>
                <w:sz w:val="24"/>
                <w:szCs w:val="24"/>
                <w:lang w:eastAsia="en-US"/>
              </w:rPr>
              <w:t>ā starojumu medicīniskajā apstaro</w:t>
            </w:r>
            <w:r w:rsidR="00F2376D">
              <w:rPr>
                <w:sz w:val="24"/>
                <w:szCs w:val="24"/>
                <w:lang w:eastAsia="en-US"/>
              </w:rPr>
              <w:t>š</w:t>
            </w:r>
            <w:r w:rsidR="00F2376D" w:rsidRPr="00F438D1">
              <w:rPr>
                <w:rFonts w:ascii="Times New Roman" w:hAnsi="Times New Roman"/>
                <w:sz w:val="24"/>
                <w:szCs w:val="24"/>
                <w:lang w:eastAsia="en-US"/>
              </w:rPr>
              <w:t>anā</w:t>
            </w:r>
            <w:r w:rsidR="00F2376D">
              <w:rPr>
                <w:rFonts w:ascii="Times New Roman" w:hAnsi="Times New Roman"/>
                <w:sz w:val="24"/>
                <w:szCs w:val="24"/>
                <w:lang w:eastAsia="en-US"/>
              </w:rPr>
              <w:t>.</w:t>
            </w:r>
          </w:p>
        </w:tc>
      </w:tr>
      <w:tr w:rsidR="004953FD" w:rsidRPr="00380A54" w:rsidTr="00CA6BF6">
        <w:tc>
          <w:tcPr>
            <w:tcW w:w="3261" w:type="dxa"/>
            <w:gridSpan w:val="2"/>
          </w:tcPr>
          <w:p w:rsidR="004953FD" w:rsidRPr="003E1F49" w:rsidRDefault="004953FD" w:rsidP="00CE72EC">
            <w:pPr>
              <w:pStyle w:val="Footer"/>
              <w:tabs>
                <w:tab w:val="clear" w:pos="4153"/>
                <w:tab w:val="clear" w:pos="8306"/>
              </w:tabs>
              <w:jc w:val="both"/>
              <w:rPr>
                <w:rFonts w:ascii="Times New Roman" w:hAnsi="Times New Roman"/>
                <w:sz w:val="24"/>
                <w:szCs w:val="24"/>
                <w:lang w:eastAsia="en-US"/>
              </w:rPr>
            </w:pPr>
            <w:r w:rsidRPr="003E1F49">
              <w:rPr>
                <w:rFonts w:ascii="Times New Roman" w:hAnsi="Times New Roman"/>
                <w:sz w:val="24"/>
                <w:szCs w:val="24"/>
                <w:lang w:eastAsia="en-US"/>
              </w:rPr>
              <w:t>5. Administratīvās procedūras raksturojums</w:t>
            </w:r>
          </w:p>
        </w:tc>
        <w:tc>
          <w:tcPr>
            <w:tcW w:w="5953" w:type="dxa"/>
          </w:tcPr>
          <w:p w:rsidR="004953FD" w:rsidRDefault="00E14A46" w:rsidP="00E14A46">
            <w:pPr>
              <w:spacing w:after="120"/>
              <w:jc w:val="both"/>
            </w:pPr>
            <w:r>
              <w:t>VVD RDC izsniedz speciālas atļaujas (licences) un atļaujas darbībām ar jonizējošā starojuma avotiem (tai skaitā radioloģiskām ierīcēm) un veic šo darbību ar jonizējošā starojuma avotiem kontroli un uzraudzību, tajā skaitā ārstniecības iestādēs</w:t>
            </w:r>
            <w:r w:rsidR="0024503A">
              <w:t xml:space="preserve"> pārbaudot radioloģisko ierīču funkciju testēšanas un novērtēšanas nosacījumu ievērošanu.</w:t>
            </w:r>
            <w:r>
              <w:t xml:space="preserve"> </w:t>
            </w:r>
          </w:p>
          <w:p w:rsidR="008E3E21" w:rsidRPr="00AE7EFF" w:rsidRDefault="008E3E21" w:rsidP="008E3E21">
            <w:pPr>
              <w:pStyle w:val="Footer"/>
              <w:tabs>
                <w:tab w:val="clear" w:pos="4153"/>
                <w:tab w:val="clear" w:pos="8306"/>
              </w:tabs>
              <w:spacing w:after="120"/>
              <w:ind w:firstLine="34"/>
              <w:jc w:val="both"/>
              <w:rPr>
                <w:rFonts w:ascii="Times New Roman" w:hAnsi="Times New Roman"/>
                <w:sz w:val="24"/>
                <w:szCs w:val="24"/>
              </w:rPr>
            </w:pPr>
            <w:r w:rsidRPr="00AE7EFF">
              <w:rPr>
                <w:rFonts w:ascii="Times New Roman" w:hAnsi="Times New Roman"/>
                <w:sz w:val="24"/>
                <w:szCs w:val="24"/>
              </w:rPr>
              <w:t xml:space="preserve">Zāļu valsts aģentūra nodrošinās prasības radioloģisko medicīnisko ierīču vigilances sistēmas nodrošināšanai, kā arī saņems informāciju no VVD RDC par aizliegumiem lietot radioloģiskās iekārtas medicīnisko ierīču datubāzes nodrošināšanai. </w:t>
            </w:r>
          </w:p>
          <w:p w:rsidR="008E3E21" w:rsidRPr="00AE7EFF" w:rsidRDefault="008E3E21" w:rsidP="008E3E21">
            <w:pPr>
              <w:pStyle w:val="Footer"/>
              <w:tabs>
                <w:tab w:val="clear" w:pos="4153"/>
                <w:tab w:val="clear" w:pos="8306"/>
              </w:tabs>
              <w:spacing w:after="120"/>
              <w:ind w:firstLine="34"/>
              <w:jc w:val="both"/>
              <w:rPr>
                <w:rFonts w:ascii="Times New Roman" w:hAnsi="Times New Roman"/>
                <w:sz w:val="24"/>
                <w:szCs w:val="24"/>
              </w:rPr>
            </w:pPr>
            <w:r w:rsidRPr="00AE7EFF">
              <w:rPr>
                <w:rFonts w:ascii="Times New Roman" w:hAnsi="Times New Roman"/>
                <w:sz w:val="24"/>
                <w:szCs w:val="24"/>
              </w:rPr>
              <w:t xml:space="preserve">Veselības inspekcijai, pārraugot medicīnisko ierīču realizācijas, izplatīšanas, reģistrācijas, ekspluatācijas un </w:t>
            </w:r>
            <w:r w:rsidRPr="00AE7EFF">
              <w:rPr>
                <w:rFonts w:ascii="Times New Roman" w:hAnsi="Times New Roman"/>
                <w:sz w:val="24"/>
                <w:szCs w:val="24"/>
              </w:rPr>
              <w:lastRenderedPageBreak/>
              <w:t xml:space="preserve">tehniskās uzraudzības kārtību būs tiesības pieprasīt operatoram apliecinājumus par radioloģisko ierīču elektrodrošības un funkciju atbilstības testēšanu. </w:t>
            </w:r>
          </w:p>
          <w:p w:rsidR="008E3E21" w:rsidRDefault="008E3E21" w:rsidP="008E3E21">
            <w:pPr>
              <w:pStyle w:val="Footer"/>
              <w:tabs>
                <w:tab w:val="clear" w:pos="4153"/>
                <w:tab w:val="clear" w:pos="8306"/>
              </w:tabs>
              <w:spacing w:after="120"/>
              <w:ind w:firstLine="34"/>
              <w:jc w:val="both"/>
              <w:rPr>
                <w:rFonts w:ascii="Times New Roman" w:hAnsi="Times New Roman"/>
                <w:sz w:val="24"/>
                <w:szCs w:val="24"/>
                <w:lang w:eastAsia="en-US"/>
              </w:rPr>
            </w:pPr>
            <w:r w:rsidRPr="00AE7EFF">
              <w:rPr>
                <w:rFonts w:ascii="Times New Roman" w:hAnsi="Times New Roman"/>
                <w:sz w:val="24"/>
                <w:szCs w:val="24"/>
                <w:lang w:eastAsia="en-US"/>
              </w:rPr>
              <w:t>Slimības profilakses un kontroles centrs</w:t>
            </w:r>
            <w:r>
              <w:rPr>
                <w:rFonts w:ascii="Times New Roman" w:hAnsi="Times New Roman"/>
                <w:sz w:val="24"/>
                <w:szCs w:val="24"/>
                <w:lang w:eastAsia="en-US"/>
              </w:rPr>
              <w:t>, nodrošinot valsts statistikas pārskatā iekļauto informāciju, iegūs informāciju par valstī veiktajām radioloģiskajām manipulācijām</w:t>
            </w:r>
            <w:r w:rsidR="00992707">
              <w:rPr>
                <w:rFonts w:ascii="Times New Roman" w:hAnsi="Times New Roman"/>
                <w:sz w:val="24"/>
                <w:szCs w:val="24"/>
                <w:lang w:eastAsia="en-US"/>
              </w:rPr>
              <w:t>.</w:t>
            </w:r>
          </w:p>
          <w:p w:rsidR="007350BE" w:rsidRPr="005F3C1C" w:rsidRDefault="008E3E21" w:rsidP="005F3C1C">
            <w:pPr>
              <w:pStyle w:val="Footer"/>
              <w:tabs>
                <w:tab w:val="clear" w:pos="4153"/>
                <w:tab w:val="clear" w:pos="8306"/>
              </w:tabs>
              <w:spacing w:after="120"/>
              <w:ind w:firstLine="34"/>
              <w:jc w:val="both"/>
              <w:rPr>
                <w:rFonts w:ascii="Times New Roman" w:hAnsi="Times New Roman"/>
                <w:sz w:val="24"/>
                <w:szCs w:val="24"/>
                <w:lang w:eastAsia="en-US"/>
              </w:rPr>
            </w:pPr>
            <w:r>
              <w:rPr>
                <w:rFonts w:ascii="Times New Roman" w:hAnsi="Times New Roman"/>
                <w:sz w:val="24"/>
                <w:szCs w:val="24"/>
                <w:lang w:eastAsia="en-US"/>
              </w:rPr>
              <w:t xml:space="preserve">Nacionālais veselības dienests saņems informāciju </w:t>
            </w:r>
            <w:r w:rsidRPr="00B1138D">
              <w:rPr>
                <w:rFonts w:ascii="Times New Roman" w:hAnsi="Times New Roman"/>
                <w:sz w:val="24"/>
                <w:szCs w:val="24"/>
                <w:lang w:eastAsia="en-US"/>
              </w:rPr>
              <w:t xml:space="preserve">par operatoriem piešķirtajām un anulētajām speciālajām </w:t>
            </w:r>
            <w:r w:rsidRPr="00382412">
              <w:rPr>
                <w:rFonts w:ascii="Times New Roman" w:hAnsi="Times New Roman"/>
                <w:sz w:val="24"/>
                <w:szCs w:val="24"/>
                <w:lang w:eastAsia="en-US"/>
              </w:rPr>
              <w:t>atļaujām (licencēm)</w:t>
            </w:r>
            <w:r w:rsidRPr="00B1138D">
              <w:rPr>
                <w:rFonts w:ascii="Times New Roman" w:hAnsi="Times New Roman"/>
                <w:sz w:val="24"/>
                <w:szCs w:val="24"/>
                <w:lang w:eastAsia="en-US"/>
              </w:rPr>
              <w:t xml:space="preserve"> darbībām ar jonizējošā starojuma avotiem medicīnā</w:t>
            </w:r>
            <w:r>
              <w:rPr>
                <w:rFonts w:ascii="Times New Roman" w:hAnsi="Times New Roman"/>
                <w:sz w:val="24"/>
                <w:szCs w:val="24"/>
                <w:lang w:eastAsia="en-US"/>
              </w:rPr>
              <w:t xml:space="preserve">, no valsts budžeta līdzekļiem apmaksājamo medicīnas tehnoloģiju datubāzes veidošanai un uzturēšanai. </w:t>
            </w:r>
          </w:p>
        </w:tc>
      </w:tr>
      <w:tr w:rsidR="004953FD" w:rsidRPr="00380A54" w:rsidTr="00CA6BF6">
        <w:tc>
          <w:tcPr>
            <w:tcW w:w="3261" w:type="dxa"/>
            <w:gridSpan w:val="2"/>
          </w:tcPr>
          <w:p w:rsidR="004953FD" w:rsidRPr="00380A54" w:rsidRDefault="004953FD" w:rsidP="00CE72EC">
            <w:pPr>
              <w:pStyle w:val="naiskr"/>
              <w:spacing w:before="0" w:after="0"/>
              <w:jc w:val="both"/>
            </w:pPr>
            <w:r w:rsidRPr="00380A54">
              <w:lastRenderedPageBreak/>
              <w:t>6. Administratīvo izmaksu monetārs novērtējums</w:t>
            </w:r>
          </w:p>
        </w:tc>
        <w:tc>
          <w:tcPr>
            <w:tcW w:w="5953" w:type="dxa"/>
          </w:tcPr>
          <w:p w:rsidR="004953FD" w:rsidRPr="00380A54" w:rsidRDefault="004953FD" w:rsidP="00CE72EC">
            <w:pPr>
              <w:rPr>
                <w:szCs w:val="28"/>
              </w:rPr>
            </w:pPr>
            <w:r>
              <w:t>Projekts šo jomu neskar.</w:t>
            </w:r>
          </w:p>
        </w:tc>
      </w:tr>
      <w:tr w:rsidR="004953FD" w:rsidRPr="00380A54" w:rsidTr="00CA6BF6">
        <w:tc>
          <w:tcPr>
            <w:tcW w:w="3261" w:type="dxa"/>
            <w:gridSpan w:val="2"/>
          </w:tcPr>
          <w:p w:rsidR="004953FD" w:rsidRPr="00380A54" w:rsidRDefault="004953FD" w:rsidP="00CE72EC">
            <w:pPr>
              <w:pStyle w:val="naiskr"/>
              <w:spacing w:before="0" w:after="0"/>
            </w:pPr>
            <w:r w:rsidRPr="00380A54">
              <w:t>7. Cita informācija</w:t>
            </w:r>
          </w:p>
        </w:tc>
        <w:tc>
          <w:tcPr>
            <w:tcW w:w="5953" w:type="dxa"/>
          </w:tcPr>
          <w:p w:rsidR="004953FD" w:rsidRPr="00380A54" w:rsidRDefault="004953FD" w:rsidP="00CE72EC">
            <w:pPr>
              <w:rPr>
                <w:szCs w:val="28"/>
              </w:rPr>
            </w:pPr>
            <w:r w:rsidRPr="00380A54">
              <w:rPr>
                <w:szCs w:val="28"/>
              </w:rPr>
              <w:t xml:space="preserve">Nav </w:t>
            </w:r>
          </w:p>
        </w:tc>
      </w:tr>
    </w:tbl>
    <w:p w:rsidR="004953FD" w:rsidRDefault="004953FD" w:rsidP="00F312B1">
      <w:pPr>
        <w:pStyle w:val="naiskr"/>
        <w:spacing w:before="0" w:after="120"/>
        <w:ind w:left="104" w:right="57"/>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2524"/>
        <w:gridCol w:w="6237"/>
      </w:tblGrid>
      <w:tr w:rsidR="004953FD" w:rsidTr="00CE72EC">
        <w:tc>
          <w:tcPr>
            <w:tcW w:w="9214" w:type="dxa"/>
            <w:gridSpan w:val="3"/>
          </w:tcPr>
          <w:p w:rsidR="004953FD" w:rsidRPr="00BF528C" w:rsidRDefault="004953FD" w:rsidP="001625C2">
            <w:pPr>
              <w:pStyle w:val="naiskr"/>
              <w:spacing w:before="120" w:after="120"/>
              <w:ind w:right="57"/>
              <w:jc w:val="center"/>
            </w:pPr>
            <w:r w:rsidRPr="000B1A26">
              <w:rPr>
                <w:b/>
                <w:bCs/>
              </w:rPr>
              <w:t>IV. Tiesību akta projekta ietekme uz spēkā esošo tiesību normu sistēmu</w:t>
            </w:r>
          </w:p>
        </w:tc>
      </w:tr>
      <w:tr w:rsidR="004953FD" w:rsidTr="00CA6BF6">
        <w:tc>
          <w:tcPr>
            <w:tcW w:w="453" w:type="dxa"/>
          </w:tcPr>
          <w:p w:rsidR="004953FD" w:rsidRDefault="004953FD" w:rsidP="00CE72EC">
            <w:pPr>
              <w:pStyle w:val="naiskr"/>
              <w:spacing w:before="0" w:after="120"/>
              <w:ind w:right="57"/>
              <w:jc w:val="center"/>
            </w:pPr>
            <w:r>
              <w:t>1.</w:t>
            </w:r>
          </w:p>
        </w:tc>
        <w:tc>
          <w:tcPr>
            <w:tcW w:w="2524" w:type="dxa"/>
          </w:tcPr>
          <w:p w:rsidR="004953FD" w:rsidRPr="000B1A26" w:rsidRDefault="004953FD" w:rsidP="00CE72EC">
            <w:pPr>
              <w:spacing w:before="100" w:beforeAutospacing="1" w:after="100" w:afterAutospacing="1"/>
              <w:jc w:val="both"/>
            </w:pPr>
            <w:r w:rsidRPr="000B1A26">
              <w:t>Nepieciešamie saistītie tiesību akt</w:t>
            </w:r>
            <w:r>
              <w:t>u</w:t>
            </w:r>
            <w:r w:rsidRPr="000B1A26">
              <w:t xml:space="preserve"> projekti</w:t>
            </w:r>
          </w:p>
        </w:tc>
        <w:tc>
          <w:tcPr>
            <w:tcW w:w="6237" w:type="dxa"/>
          </w:tcPr>
          <w:p w:rsidR="004953FD" w:rsidRDefault="004953FD" w:rsidP="00240478">
            <w:pPr>
              <w:pStyle w:val="naiskr"/>
              <w:spacing w:before="0" w:after="120"/>
              <w:ind w:right="57"/>
              <w:jc w:val="both"/>
            </w:pPr>
            <w:r>
              <w:t>Saistībā ar projektu i</w:t>
            </w:r>
            <w:r w:rsidRPr="00240478">
              <w:t xml:space="preserve">r izstrādāts jauns </w:t>
            </w:r>
            <w:r w:rsidR="007350BE">
              <w:t>MK</w:t>
            </w:r>
            <w:r w:rsidRPr="00240478">
              <w:t xml:space="preserve"> noteikumu projekts „Noteikumi par aizsardzību pret jonizējošo starojumu medicīniskajā apstarošanā”</w:t>
            </w:r>
            <w:r w:rsidR="009974DE" w:rsidRPr="009974DE">
              <w:t xml:space="preserve"> (</w:t>
            </w:r>
            <w:r w:rsidR="00774C2D">
              <w:t xml:space="preserve">VSS-1139, </w:t>
            </w:r>
            <w:r w:rsidR="009974DE" w:rsidRPr="009974DE">
              <w:t>TA-866)</w:t>
            </w:r>
            <w:r w:rsidRPr="00240478">
              <w:t xml:space="preserve">, </w:t>
            </w:r>
            <w:r>
              <w:t xml:space="preserve">kas aizstās MK noteikumus Nr.97. </w:t>
            </w:r>
            <w:r w:rsidR="007350BE">
              <w:t>MK</w:t>
            </w:r>
            <w:r>
              <w:t xml:space="preserve"> noteikumu projektā</w:t>
            </w:r>
            <w:r w:rsidRPr="00240478">
              <w:t xml:space="preserve"> „Noteikumi par aizsardzību pret jonizējošo starojumu medicīniskajā apstarošanā”</w:t>
            </w:r>
            <w:r>
              <w:t xml:space="preserve"> </w:t>
            </w:r>
            <w:r w:rsidRPr="00240478">
              <w:t xml:space="preserve">tiek noteikti nosacījumi attiecībā uz radioloģiskajām ierīcēm, tai skaitā radioloģisko ierīču tehnisko parametru novērtēšanas un elektrodrošības pārbaužu regularitāte; novērtējamie tehniskie parametri, to minimālie atbilstības kritēriji un mērīšanas nosacījumi. </w:t>
            </w:r>
          </w:p>
          <w:p w:rsidR="004953FD" w:rsidRPr="00BF528C" w:rsidRDefault="004953FD" w:rsidP="00774C2D">
            <w:pPr>
              <w:pStyle w:val="naiskr"/>
              <w:spacing w:before="0" w:after="120"/>
              <w:ind w:right="57"/>
              <w:jc w:val="both"/>
            </w:pPr>
            <w:r w:rsidRPr="00240478">
              <w:t xml:space="preserve">Par </w:t>
            </w:r>
            <w:r w:rsidR="00E71376">
              <w:t>MK</w:t>
            </w:r>
            <w:r w:rsidRPr="00240478">
              <w:t xml:space="preserve"> noteikumu projektu „Noteikumi par aizsardzību pret jonizējošo starojumu medicīniskajā apstarošanā” </w:t>
            </w:r>
            <w:r w:rsidR="009974DE" w:rsidRPr="009974DE">
              <w:t>(TA-866)</w:t>
            </w:r>
            <w:r w:rsidR="009974DE">
              <w:t xml:space="preserve"> </w:t>
            </w:r>
            <w:r w:rsidRPr="00240478">
              <w:t xml:space="preserve">izstrādi un virzīšanu ir atbildīga Vides aizsardzības un reģionālās attīstības ministrija. </w:t>
            </w:r>
            <w:r w:rsidR="00E71376">
              <w:t>MK</w:t>
            </w:r>
            <w:r w:rsidRPr="00240478">
              <w:t xml:space="preserve"> noteikumu projekts „Noteikumi par aizsardzību pret jonizējošo starojumu medicīniskajā apstarošanā”</w:t>
            </w:r>
            <w:r w:rsidR="009974DE">
              <w:t xml:space="preserve"> vienlaicīgi </w:t>
            </w:r>
            <w:r w:rsidR="00A2375B">
              <w:t xml:space="preserve">ar projektu </w:t>
            </w:r>
            <w:r w:rsidR="009974DE">
              <w:t>iesniegts Valsts kancelejā</w:t>
            </w:r>
            <w:r w:rsidRPr="00240478">
              <w:t xml:space="preserve"> un abi noteikumu projekti stāsies spēkā vienlaicīgi.</w:t>
            </w:r>
          </w:p>
        </w:tc>
      </w:tr>
      <w:tr w:rsidR="004953FD" w:rsidTr="00CA6BF6">
        <w:tc>
          <w:tcPr>
            <w:tcW w:w="453" w:type="dxa"/>
          </w:tcPr>
          <w:p w:rsidR="004953FD" w:rsidRDefault="004953FD" w:rsidP="00CE72EC">
            <w:pPr>
              <w:pStyle w:val="naiskr"/>
              <w:spacing w:before="0" w:after="120"/>
              <w:ind w:right="57"/>
              <w:jc w:val="center"/>
            </w:pPr>
            <w:r>
              <w:t>2.</w:t>
            </w:r>
          </w:p>
        </w:tc>
        <w:tc>
          <w:tcPr>
            <w:tcW w:w="2524" w:type="dxa"/>
          </w:tcPr>
          <w:p w:rsidR="004953FD" w:rsidRPr="000B1A26" w:rsidRDefault="004953FD" w:rsidP="00CE72EC">
            <w:pPr>
              <w:spacing w:before="100" w:beforeAutospacing="1" w:after="100" w:afterAutospacing="1"/>
            </w:pPr>
            <w:r w:rsidRPr="000B1A26">
              <w:t>Cita informācija</w:t>
            </w:r>
          </w:p>
        </w:tc>
        <w:tc>
          <w:tcPr>
            <w:tcW w:w="6237" w:type="dxa"/>
          </w:tcPr>
          <w:p w:rsidR="004953FD" w:rsidRPr="00BF528C" w:rsidRDefault="00CA6BF6" w:rsidP="00CA6BF6">
            <w:pPr>
              <w:pStyle w:val="naiskr"/>
              <w:spacing w:before="0" w:after="120"/>
              <w:ind w:right="57"/>
            </w:pPr>
            <w:r>
              <w:t>Nav</w:t>
            </w:r>
          </w:p>
        </w:tc>
      </w:tr>
    </w:tbl>
    <w:p w:rsidR="004953FD" w:rsidRDefault="004953FD" w:rsidP="00F312B1">
      <w:pPr>
        <w:pStyle w:val="naiskr"/>
        <w:spacing w:before="0" w:after="120"/>
        <w:ind w:left="104" w:right="57"/>
        <w:jc w:val="center"/>
      </w:pPr>
    </w:p>
    <w:tbl>
      <w:tblPr>
        <w:tblW w:w="934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90"/>
        <w:gridCol w:w="6552"/>
      </w:tblGrid>
      <w:tr w:rsidR="004953FD" w:rsidRPr="009C4918" w:rsidTr="00932546">
        <w:trPr>
          <w:trHeight w:val="195"/>
          <w:jc w:val="center"/>
        </w:trPr>
        <w:tc>
          <w:tcPr>
            <w:tcW w:w="9342" w:type="dxa"/>
            <w:gridSpan w:val="2"/>
          </w:tcPr>
          <w:p w:rsidR="004953FD" w:rsidRPr="009C4918" w:rsidRDefault="004953FD" w:rsidP="00932546">
            <w:pPr>
              <w:pStyle w:val="naiskr"/>
              <w:spacing w:before="120" w:after="120"/>
              <w:ind w:left="57" w:right="57"/>
              <w:jc w:val="center"/>
            </w:pPr>
            <w:r w:rsidRPr="009C4918">
              <w:rPr>
                <w:b/>
              </w:rPr>
              <w:t>VI. Sabiedrības līdzdalība un šīs līdzdalības rezultāti</w:t>
            </w:r>
          </w:p>
        </w:tc>
      </w:tr>
      <w:tr w:rsidR="004953FD" w:rsidRPr="009C4918" w:rsidTr="00CE72EC">
        <w:trPr>
          <w:trHeight w:val="553"/>
          <w:jc w:val="center"/>
        </w:trPr>
        <w:tc>
          <w:tcPr>
            <w:tcW w:w="2790" w:type="dxa"/>
          </w:tcPr>
          <w:p w:rsidR="004953FD" w:rsidRPr="009C4918" w:rsidRDefault="004953FD" w:rsidP="00CE72EC">
            <w:pPr>
              <w:pStyle w:val="naiskr"/>
              <w:tabs>
                <w:tab w:val="left" w:pos="170"/>
              </w:tabs>
              <w:spacing w:before="0" w:after="0"/>
              <w:ind w:left="57" w:right="57"/>
              <w:jc w:val="both"/>
            </w:pPr>
            <w:r w:rsidRPr="009C4918">
              <w:t>1.</w:t>
            </w:r>
            <w:r>
              <w:t xml:space="preserve"> </w:t>
            </w:r>
            <w:r w:rsidRPr="009C4918">
              <w:t>Sabiedrības informēšana par projekta izstrādes uzsākšanu</w:t>
            </w:r>
          </w:p>
        </w:tc>
        <w:tc>
          <w:tcPr>
            <w:tcW w:w="6552" w:type="dxa"/>
          </w:tcPr>
          <w:p w:rsidR="004953FD" w:rsidRPr="00ED45B9" w:rsidRDefault="00E71376" w:rsidP="00E71376">
            <w:pPr>
              <w:pStyle w:val="naiskr"/>
              <w:spacing w:before="0" w:after="0"/>
              <w:ind w:left="57" w:right="57"/>
              <w:jc w:val="both"/>
              <w:rPr>
                <w:color w:val="FF0000"/>
              </w:rPr>
            </w:pPr>
            <w:r>
              <w:t>P</w:t>
            </w:r>
            <w:r w:rsidR="004953FD" w:rsidRPr="009C4918">
              <w:t xml:space="preserve">rojekts </w:t>
            </w:r>
            <w:r w:rsidR="004953FD" w:rsidRPr="00ED45B9">
              <w:t xml:space="preserve">ievietots VARAM </w:t>
            </w:r>
            <w:r w:rsidR="004953FD">
              <w:t>tīmekļa vietnē</w:t>
            </w:r>
            <w:r w:rsidR="004953FD" w:rsidRPr="00ED45B9">
              <w:t xml:space="preserve"> (</w:t>
            </w:r>
            <w:hyperlink r:id="rId8" w:history="1">
              <w:r w:rsidR="004953FD" w:rsidRPr="00ED45B9">
                <w:rPr>
                  <w:rStyle w:val="Hyperlink"/>
                </w:rPr>
                <w:t>www.varam.gov.lv</w:t>
              </w:r>
            </w:hyperlink>
            <w:r w:rsidR="004953FD">
              <w:t xml:space="preserve">) </w:t>
            </w:r>
            <w:r>
              <w:t>2012.gada 31.oktobrī</w:t>
            </w:r>
            <w:r w:rsidR="004953FD" w:rsidRPr="00ED45B9">
              <w:t>.</w:t>
            </w:r>
            <w:r w:rsidR="004953FD" w:rsidRPr="009C4918">
              <w:t xml:space="preserve"> </w:t>
            </w:r>
          </w:p>
        </w:tc>
      </w:tr>
      <w:tr w:rsidR="004953FD" w:rsidRPr="009C4918" w:rsidTr="00CE72EC">
        <w:trPr>
          <w:trHeight w:val="339"/>
          <w:jc w:val="center"/>
        </w:trPr>
        <w:tc>
          <w:tcPr>
            <w:tcW w:w="2790" w:type="dxa"/>
          </w:tcPr>
          <w:p w:rsidR="004953FD" w:rsidRPr="009C4918" w:rsidRDefault="004953FD" w:rsidP="00CE72EC">
            <w:pPr>
              <w:pStyle w:val="naiskr"/>
              <w:spacing w:before="0" w:after="0"/>
              <w:ind w:left="57" w:right="57"/>
              <w:jc w:val="both"/>
            </w:pPr>
            <w:r w:rsidRPr="009C4918">
              <w:t xml:space="preserve">2. Sabiedrības līdzdalība </w:t>
            </w:r>
            <w:r w:rsidRPr="009C4918">
              <w:lastRenderedPageBreak/>
              <w:t xml:space="preserve">projekta izstrādē </w:t>
            </w:r>
          </w:p>
        </w:tc>
        <w:tc>
          <w:tcPr>
            <w:tcW w:w="6552" w:type="dxa"/>
          </w:tcPr>
          <w:p w:rsidR="004953FD" w:rsidRPr="00BD1CE0" w:rsidRDefault="00BD1CE0" w:rsidP="00E71376">
            <w:pPr>
              <w:pStyle w:val="naiskr"/>
              <w:spacing w:before="0" w:after="0"/>
              <w:ind w:left="57" w:right="57"/>
              <w:jc w:val="both"/>
            </w:pPr>
            <w:r w:rsidRPr="00BD1CE0">
              <w:lastRenderedPageBreak/>
              <w:t>P</w:t>
            </w:r>
            <w:r w:rsidR="004953FD" w:rsidRPr="00BD1CE0">
              <w:t>rojekt</w:t>
            </w:r>
            <w:r w:rsidRPr="00BD1CE0">
              <w:t>s</w:t>
            </w:r>
            <w:r w:rsidR="004953FD" w:rsidRPr="00BD1CE0">
              <w:t xml:space="preserve"> </w:t>
            </w:r>
            <w:r w:rsidRPr="00BD1CE0">
              <w:t xml:space="preserve">saistīts ar </w:t>
            </w:r>
            <w:r w:rsidR="00E71376">
              <w:t>MK</w:t>
            </w:r>
            <w:r w:rsidRPr="00BD1CE0">
              <w:t xml:space="preserve"> noteikumu projektu „Noteikumi par </w:t>
            </w:r>
            <w:r w:rsidRPr="00BD1CE0">
              <w:lastRenderedPageBreak/>
              <w:t xml:space="preserve">aizsardzību pret jonizējošo starojumu medicīniskajā apstarošanā”, kura izstrādē </w:t>
            </w:r>
            <w:r w:rsidR="00E71376">
              <w:t>piedalījās darba grupa</w:t>
            </w:r>
            <w:r w:rsidR="004953FD" w:rsidRPr="00BD1CE0">
              <w:t xml:space="preserve"> (skatīt I. sadaļas 5.punktu</w:t>
            </w:r>
            <w:r w:rsidR="004953FD" w:rsidRPr="00E71376">
              <w:t>).</w:t>
            </w:r>
            <w:r w:rsidR="00C96B53" w:rsidRPr="00E71376">
              <w:t xml:space="preserve"> D</w:t>
            </w:r>
            <w:r w:rsidRPr="00E71376">
              <w:t>arba grupas</w:t>
            </w:r>
            <w:r w:rsidRPr="00BD1CE0">
              <w:t xml:space="preserve"> ietvaros tika atbalstīts, ka nepieciešams veikt izmaiņas MK noteikumos Nr.581.</w:t>
            </w:r>
          </w:p>
        </w:tc>
      </w:tr>
      <w:tr w:rsidR="004953FD" w:rsidRPr="007C0F2C" w:rsidTr="00CE72EC">
        <w:trPr>
          <w:trHeight w:val="129"/>
          <w:jc w:val="center"/>
        </w:trPr>
        <w:tc>
          <w:tcPr>
            <w:tcW w:w="2790" w:type="dxa"/>
          </w:tcPr>
          <w:p w:rsidR="004953FD" w:rsidRPr="009C4918" w:rsidRDefault="004953FD" w:rsidP="00CE72EC">
            <w:pPr>
              <w:pStyle w:val="naiskr"/>
              <w:spacing w:before="0" w:after="0"/>
              <w:ind w:left="57" w:right="57"/>
              <w:jc w:val="both"/>
            </w:pPr>
            <w:r w:rsidRPr="009C4918">
              <w:lastRenderedPageBreak/>
              <w:t>3.</w:t>
            </w:r>
            <w:r>
              <w:t xml:space="preserve"> </w:t>
            </w:r>
            <w:r w:rsidRPr="009C4918">
              <w:t xml:space="preserve">Sabiedrības līdzdalības rezultāti </w:t>
            </w:r>
          </w:p>
        </w:tc>
        <w:tc>
          <w:tcPr>
            <w:tcW w:w="6552" w:type="dxa"/>
          </w:tcPr>
          <w:p w:rsidR="004953FD" w:rsidRPr="00BD1CE0" w:rsidRDefault="004953FD" w:rsidP="00BD1CE0">
            <w:pPr>
              <w:spacing w:after="120"/>
              <w:ind w:left="40"/>
              <w:jc w:val="both"/>
            </w:pPr>
            <w:r w:rsidRPr="00BD1CE0">
              <w:t xml:space="preserve">Darba grupas </w:t>
            </w:r>
            <w:r w:rsidR="00BD1CE0" w:rsidRPr="00BD1CE0">
              <w:t>ietvaros nebija iebildumu, ka tiek izdarīts grozījums MK noteikumos Nr.581</w:t>
            </w:r>
            <w:r w:rsidR="00E71376">
              <w:t>.</w:t>
            </w:r>
          </w:p>
        </w:tc>
      </w:tr>
      <w:tr w:rsidR="004953FD" w:rsidRPr="00B65E88" w:rsidTr="00CE72EC">
        <w:trPr>
          <w:trHeight w:val="397"/>
          <w:jc w:val="center"/>
        </w:trPr>
        <w:tc>
          <w:tcPr>
            <w:tcW w:w="2790" w:type="dxa"/>
          </w:tcPr>
          <w:p w:rsidR="004953FD" w:rsidRPr="00B65E88" w:rsidRDefault="004953FD" w:rsidP="00CE72EC">
            <w:pPr>
              <w:pStyle w:val="naiskr"/>
              <w:spacing w:before="0" w:after="0"/>
              <w:ind w:left="57" w:right="57"/>
              <w:jc w:val="both"/>
            </w:pPr>
            <w:r w:rsidRPr="00B65E88">
              <w:t>4.</w:t>
            </w:r>
            <w:r>
              <w:t xml:space="preserve"> </w:t>
            </w:r>
            <w:r w:rsidRPr="00B65E88">
              <w:t xml:space="preserve">Saeimas </w:t>
            </w:r>
            <w:r w:rsidRPr="00D26133">
              <w:t>un ekspertu līdzdalība</w:t>
            </w:r>
          </w:p>
        </w:tc>
        <w:tc>
          <w:tcPr>
            <w:tcW w:w="6552" w:type="dxa"/>
          </w:tcPr>
          <w:p w:rsidR="00E71376" w:rsidRPr="003E1F49" w:rsidRDefault="004953FD" w:rsidP="00E71376">
            <w:pPr>
              <w:pStyle w:val="Footer"/>
              <w:tabs>
                <w:tab w:val="clear" w:pos="4153"/>
                <w:tab w:val="clear" w:pos="8306"/>
              </w:tabs>
              <w:spacing w:after="120"/>
              <w:ind w:left="40" w:hanging="6"/>
              <w:jc w:val="both"/>
              <w:rPr>
                <w:rFonts w:ascii="Times New Roman" w:hAnsi="Times New Roman"/>
                <w:sz w:val="24"/>
                <w:szCs w:val="24"/>
                <w:lang w:eastAsia="en-US"/>
              </w:rPr>
            </w:pPr>
            <w:r w:rsidRPr="003E1F49">
              <w:rPr>
                <w:rFonts w:ascii="Times New Roman" w:hAnsi="Times New Roman"/>
                <w:sz w:val="24"/>
                <w:szCs w:val="24"/>
                <w:lang w:eastAsia="en-US"/>
              </w:rPr>
              <w:t>Projekts šo jomu neskar</w:t>
            </w:r>
          </w:p>
        </w:tc>
      </w:tr>
      <w:tr w:rsidR="004953FD" w:rsidRPr="00B65E88" w:rsidTr="00CE72EC">
        <w:trPr>
          <w:trHeight w:val="476"/>
          <w:jc w:val="center"/>
        </w:trPr>
        <w:tc>
          <w:tcPr>
            <w:tcW w:w="2790" w:type="dxa"/>
          </w:tcPr>
          <w:p w:rsidR="004953FD" w:rsidRPr="00B65E88" w:rsidRDefault="004953FD" w:rsidP="00E71376">
            <w:pPr>
              <w:pStyle w:val="naiskr"/>
              <w:spacing w:before="0" w:after="0"/>
              <w:ind w:left="57" w:right="57"/>
            </w:pPr>
            <w:r w:rsidRPr="00B65E88">
              <w:t>5.</w:t>
            </w:r>
            <w:r>
              <w:t xml:space="preserve"> </w:t>
            </w:r>
            <w:r w:rsidRPr="00B65E88">
              <w:t>Cita informācija</w:t>
            </w:r>
          </w:p>
        </w:tc>
        <w:tc>
          <w:tcPr>
            <w:tcW w:w="6552" w:type="dxa"/>
          </w:tcPr>
          <w:p w:rsidR="004953FD" w:rsidRPr="00B65E88" w:rsidRDefault="004953FD" w:rsidP="00CE72EC">
            <w:pPr>
              <w:pStyle w:val="naiskr"/>
              <w:spacing w:before="0" w:after="0"/>
              <w:ind w:left="57" w:right="57"/>
              <w:jc w:val="both"/>
            </w:pPr>
            <w:r w:rsidRPr="00B65E88">
              <w:t>Nav</w:t>
            </w:r>
          </w:p>
        </w:tc>
      </w:tr>
    </w:tbl>
    <w:p w:rsidR="004953FD" w:rsidRDefault="004953FD" w:rsidP="00F312B1">
      <w:pPr>
        <w:pStyle w:val="naiskr"/>
        <w:spacing w:before="0" w:after="120"/>
        <w:ind w:left="104" w:right="57"/>
        <w:jc w:val="cente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0"/>
        <w:gridCol w:w="5244"/>
      </w:tblGrid>
      <w:tr w:rsidR="004953FD" w:rsidRPr="00380A54" w:rsidTr="00CE72EC">
        <w:tc>
          <w:tcPr>
            <w:tcW w:w="9214" w:type="dxa"/>
            <w:gridSpan w:val="2"/>
          </w:tcPr>
          <w:p w:rsidR="004953FD" w:rsidRPr="00380A54" w:rsidRDefault="004953FD" w:rsidP="002668B8">
            <w:pPr>
              <w:spacing w:before="120" w:after="120"/>
              <w:jc w:val="center"/>
              <w:rPr>
                <w:b/>
              </w:rPr>
            </w:pPr>
            <w:r w:rsidRPr="00380A54">
              <w:br w:type="page"/>
            </w:r>
            <w:r w:rsidRPr="00380A54">
              <w:rPr>
                <w:b/>
              </w:rPr>
              <w:t xml:space="preserve">VII. </w:t>
            </w:r>
            <w:r w:rsidRPr="00380A54">
              <w:rPr>
                <w:b/>
                <w:bCs/>
              </w:rPr>
              <w:t>Tiesību akta projekta izpildes nodrošināšana un tās ietekme uz institūcijām</w:t>
            </w:r>
          </w:p>
        </w:tc>
      </w:tr>
      <w:tr w:rsidR="004953FD" w:rsidRPr="00380A54" w:rsidTr="00CA6BF6">
        <w:trPr>
          <w:trHeight w:val="276"/>
        </w:trPr>
        <w:tc>
          <w:tcPr>
            <w:tcW w:w="3970" w:type="dxa"/>
          </w:tcPr>
          <w:p w:rsidR="004953FD" w:rsidRPr="00380A54" w:rsidRDefault="004953FD" w:rsidP="00CE72EC">
            <w:pPr>
              <w:spacing w:after="120"/>
              <w:ind w:right="-57"/>
              <w:jc w:val="both"/>
            </w:pPr>
            <w:r w:rsidRPr="00380A54">
              <w:t xml:space="preserve">1. Projekta izpildē iesaistītās institūcijas </w:t>
            </w:r>
          </w:p>
        </w:tc>
        <w:tc>
          <w:tcPr>
            <w:tcW w:w="5244" w:type="dxa"/>
          </w:tcPr>
          <w:p w:rsidR="004953FD" w:rsidRPr="008E3E21" w:rsidRDefault="004953FD" w:rsidP="00CE72EC">
            <w:pPr>
              <w:pStyle w:val="Footer"/>
              <w:tabs>
                <w:tab w:val="clear" w:pos="4153"/>
                <w:tab w:val="clear" w:pos="8306"/>
              </w:tabs>
              <w:spacing w:after="120"/>
              <w:jc w:val="both"/>
              <w:rPr>
                <w:rFonts w:ascii="Times New Roman" w:hAnsi="Times New Roman"/>
                <w:sz w:val="24"/>
                <w:szCs w:val="24"/>
                <w:lang w:eastAsia="en-US"/>
              </w:rPr>
            </w:pPr>
            <w:r w:rsidRPr="00BF4487">
              <w:rPr>
                <w:rFonts w:ascii="Times New Roman" w:hAnsi="Times New Roman"/>
                <w:sz w:val="24"/>
                <w:szCs w:val="24"/>
                <w:lang w:eastAsia="en-US"/>
              </w:rPr>
              <w:t>Valsts vides dienesta Radiācijas drošības centrs.</w:t>
            </w:r>
            <w:r w:rsidR="008E3E21">
              <w:rPr>
                <w:rFonts w:ascii="Times New Roman" w:hAnsi="Times New Roman"/>
                <w:sz w:val="24"/>
                <w:szCs w:val="24"/>
                <w:lang w:eastAsia="en-US"/>
              </w:rPr>
              <w:t xml:space="preserve"> Veselības inspekcija,</w:t>
            </w:r>
            <w:r w:rsidR="008E3E21" w:rsidRPr="00644493">
              <w:rPr>
                <w:rFonts w:ascii="Times New Roman" w:hAnsi="Times New Roman"/>
                <w:sz w:val="24"/>
                <w:szCs w:val="24"/>
                <w:lang w:eastAsia="en-US"/>
              </w:rPr>
              <w:t xml:space="preserve"> Nacionālais veselības dienests un Zāļu valsts aģentūra.</w:t>
            </w:r>
            <w:r w:rsidR="008E3E21">
              <w:rPr>
                <w:rFonts w:ascii="Times New Roman" w:hAnsi="Times New Roman"/>
                <w:sz w:val="24"/>
                <w:szCs w:val="24"/>
                <w:lang w:eastAsia="en-US"/>
              </w:rPr>
              <w:t xml:space="preserve"> </w:t>
            </w:r>
            <w:r w:rsidR="00CA1DDC" w:rsidRPr="00CA1DDC">
              <w:rPr>
                <w:rFonts w:ascii="Times New Roman" w:hAnsi="Times New Roman"/>
                <w:sz w:val="24"/>
                <w:szCs w:val="24"/>
              </w:rPr>
              <w:t>Slimību profilakses un kontroles centrs</w:t>
            </w:r>
            <w:r w:rsidR="00CA1DDC">
              <w:rPr>
                <w:rFonts w:ascii="Times New Roman" w:hAnsi="Times New Roman"/>
                <w:sz w:val="24"/>
                <w:szCs w:val="24"/>
              </w:rPr>
              <w:t xml:space="preserve">. </w:t>
            </w:r>
          </w:p>
        </w:tc>
      </w:tr>
      <w:tr w:rsidR="004953FD" w:rsidRPr="00380A54" w:rsidTr="00CA6BF6">
        <w:trPr>
          <w:trHeight w:val="607"/>
        </w:trPr>
        <w:tc>
          <w:tcPr>
            <w:tcW w:w="3970" w:type="dxa"/>
          </w:tcPr>
          <w:p w:rsidR="004953FD" w:rsidRPr="00380A54" w:rsidRDefault="004953FD" w:rsidP="00CE72EC">
            <w:pPr>
              <w:spacing w:after="120"/>
              <w:ind w:right="-57"/>
              <w:jc w:val="both"/>
              <w:rPr>
                <w:szCs w:val="28"/>
              </w:rPr>
            </w:pPr>
            <w:r w:rsidRPr="00380A54">
              <w:t>2. Projekta izpildes ietekme uz pārvaldes funkcijām</w:t>
            </w:r>
          </w:p>
        </w:tc>
        <w:tc>
          <w:tcPr>
            <w:tcW w:w="5244" w:type="dxa"/>
          </w:tcPr>
          <w:p w:rsidR="00E71376" w:rsidRDefault="004953FD" w:rsidP="00E71376">
            <w:pPr>
              <w:pStyle w:val="Footer"/>
              <w:tabs>
                <w:tab w:val="clear" w:pos="4153"/>
                <w:tab w:val="clear" w:pos="8306"/>
              </w:tabs>
              <w:spacing w:after="120"/>
              <w:jc w:val="both"/>
              <w:rPr>
                <w:rFonts w:ascii="Times New Roman" w:hAnsi="Times New Roman"/>
                <w:sz w:val="24"/>
                <w:szCs w:val="24"/>
                <w:lang w:eastAsia="en-US"/>
              </w:rPr>
            </w:pPr>
            <w:r w:rsidRPr="003E1F49">
              <w:rPr>
                <w:rFonts w:ascii="Times New Roman" w:hAnsi="Times New Roman"/>
                <w:sz w:val="24"/>
                <w:szCs w:val="24"/>
                <w:lang w:eastAsia="en-US"/>
              </w:rPr>
              <w:t>Ar projektu tiek precizēts, ka radioloģisko ierīču funkciju novērtēšana un elektrodrošības pārbaudes notiek saskaņā ar normatīvajiem aktiem</w:t>
            </w:r>
            <w:r w:rsidR="00FD7D62">
              <w:rPr>
                <w:rFonts w:ascii="Times New Roman" w:hAnsi="Times New Roman"/>
                <w:sz w:val="24"/>
                <w:szCs w:val="24"/>
                <w:lang w:eastAsia="en-US"/>
              </w:rPr>
              <w:t xml:space="preserve"> par aizsardzību pret jonizējošo</w:t>
            </w:r>
            <w:r w:rsidRPr="003E1F49">
              <w:rPr>
                <w:rFonts w:ascii="Times New Roman" w:hAnsi="Times New Roman"/>
                <w:sz w:val="24"/>
                <w:szCs w:val="24"/>
                <w:lang w:eastAsia="en-US"/>
              </w:rPr>
              <w:t xml:space="preserve"> starojumu medicīniskajā apstarošanā (tas ir, jauno MK noteikumu projektu „Noteikumi par aizsardzību pret jonizējošo starojumu medicīniskajā apstarošanā</w:t>
            </w:r>
            <w:r w:rsidR="005F3C1C">
              <w:rPr>
                <w:rFonts w:ascii="Times New Roman" w:hAnsi="Times New Roman"/>
                <w:sz w:val="24"/>
                <w:szCs w:val="24"/>
                <w:lang w:eastAsia="en-US"/>
              </w:rPr>
              <w:t>”</w:t>
            </w:r>
            <w:r w:rsidRPr="003E1F49">
              <w:rPr>
                <w:rFonts w:ascii="Times New Roman" w:hAnsi="Times New Roman"/>
                <w:sz w:val="24"/>
                <w:szCs w:val="24"/>
                <w:lang w:eastAsia="en-US"/>
              </w:rPr>
              <w:t>)</w:t>
            </w:r>
            <w:r w:rsidR="004D5E54">
              <w:rPr>
                <w:rFonts w:ascii="Times New Roman" w:hAnsi="Times New Roman"/>
                <w:sz w:val="24"/>
                <w:szCs w:val="24"/>
                <w:lang w:eastAsia="en-US"/>
              </w:rPr>
              <w:t xml:space="preserve">. Šo noteikumu </w:t>
            </w:r>
            <w:r w:rsidRPr="003E1F49">
              <w:rPr>
                <w:rFonts w:ascii="Times New Roman" w:hAnsi="Times New Roman"/>
                <w:sz w:val="24"/>
                <w:szCs w:val="24"/>
                <w:lang w:eastAsia="en-US"/>
              </w:rPr>
              <w:t xml:space="preserve">izpildi kontrolē </w:t>
            </w:r>
            <w:r w:rsidR="00F2376D">
              <w:rPr>
                <w:rFonts w:ascii="Times New Roman" w:hAnsi="Times New Roman"/>
                <w:sz w:val="24"/>
                <w:szCs w:val="24"/>
                <w:lang w:eastAsia="en-US"/>
              </w:rPr>
              <w:t>VVD RDC</w:t>
            </w:r>
            <w:r w:rsidRPr="003E1F49">
              <w:rPr>
                <w:rFonts w:ascii="Times New Roman" w:hAnsi="Times New Roman"/>
                <w:sz w:val="24"/>
                <w:szCs w:val="24"/>
                <w:lang w:eastAsia="en-US"/>
              </w:rPr>
              <w:t>.</w:t>
            </w:r>
            <w:r w:rsidR="00F2376D">
              <w:rPr>
                <w:rFonts w:ascii="Times New Roman" w:hAnsi="Times New Roman"/>
                <w:sz w:val="24"/>
                <w:szCs w:val="24"/>
                <w:lang w:eastAsia="en-US"/>
              </w:rPr>
              <w:t xml:space="preserve"> </w:t>
            </w:r>
          </w:p>
          <w:p w:rsidR="00F2376D" w:rsidRPr="003E1F49" w:rsidRDefault="00F2376D" w:rsidP="00E71376">
            <w:pPr>
              <w:pStyle w:val="Footer"/>
              <w:tabs>
                <w:tab w:val="clear" w:pos="4153"/>
                <w:tab w:val="clear" w:pos="8306"/>
              </w:tabs>
              <w:spacing w:after="120"/>
              <w:jc w:val="both"/>
              <w:rPr>
                <w:rFonts w:ascii="Times New Roman" w:hAnsi="Times New Roman"/>
                <w:sz w:val="24"/>
                <w:szCs w:val="24"/>
                <w:lang w:eastAsia="en-US"/>
              </w:rPr>
            </w:pPr>
            <w:r>
              <w:rPr>
                <w:rFonts w:ascii="Times New Roman" w:hAnsi="Times New Roman"/>
                <w:sz w:val="24"/>
                <w:szCs w:val="24"/>
                <w:lang w:eastAsia="en-US"/>
              </w:rPr>
              <w:t xml:space="preserve">VVD RDC arī līdz šim nodrošināja radioloģisko ierīču kontroli un uzraudzību attiecībā uz radiācijas drošības prasību ievērošanu. </w:t>
            </w:r>
            <w:r w:rsidR="008E3E21">
              <w:rPr>
                <w:rFonts w:ascii="Times New Roman" w:hAnsi="Times New Roman"/>
                <w:sz w:val="24"/>
                <w:szCs w:val="24"/>
                <w:lang w:eastAsia="en-US"/>
              </w:rPr>
              <w:t xml:space="preserve">Kā arī tiek precizētas tiesības Veselības inspekcijai </w:t>
            </w:r>
            <w:r w:rsidR="008E3E21" w:rsidRPr="008E3E21">
              <w:rPr>
                <w:rFonts w:ascii="Times New Roman" w:hAnsi="Times New Roman"/>
                <w:sz w:val="24"/>
                <w:szCs w:val="24"/>
                <w:lang w:eastAsia="en-US"/>
              </w:rPr>
              <w:t xml:space="preserve">pieprasīt operatoram apliecinājumus par radioloģisko ierīču </w:t>
            </w:r>
            <w:r w:rsidR="008E3E21" w:rsidRPr="005F3C1C">
              <w:rPr>
                <w:rFonts w:ascii="Times New Roman" w:hAnsi="Times New Roman"/>
                <w:sz w:val="24"/>
                <w:szCs w:val="24"/>
                <w:lang w:eastAsia="en-US"/>
              </w:rPr>
              <w:t>elektrodrošības un funkciju atbilstības testēšanu nodrošinot medicīn</w:t>
            </w:r>
            <w:r w:rsidR="00382412" w:rsidRPr="005F3C1C">
              <w:rPr>
                <w:rFonts w:ascii="Times New Roman" w:hAnsi="Times New Roman"/>
                <w:sz w:val="24"/>
                <w:szCs w:val="24"/>
                <w:lang w:eastAsia="en-US"/>
              </w:rPr>
              <w:t xml:space="preserve">isko </w:t>
            </w:r>
            <w:r w:rsidR="008E3E21" w:rsidRPr="005F3C1C">
              <w:rPr>
                <w:rFonts w:ascii="Times New Roman" w:hAnsi="Times New Roman"/>
                <w:sz w:val="24"/>
                <w:szCs w:val="24"/>
                <w:lang w:eastAsia="en-US"/>
              </w:rPr>
              <w:t xml:space="preserve">ierīču tehnisko uzraudzību. Citu </w:t>
            </w:r>
            <w:r w:rsidR="00E71376">
              <w:rPr>
                <w:rFonts w:ascii="Times New Roman" w:hAnsi="Times New Roman"/>
                <w:sz w:val="24"/>
                <w:szCs w:val="24"/>
                <w:lang w:eastAsia="en-US"/>
              </w:rPr>
              <w:t>šīs sadaļas 1.</w:t>
            </w:r>
            <w:r w:rsidR="00CA1DDC" w:rsidRPr="005F3C1C">
              <w:rPr>
                <w:rFonts w:ascii="Times New Roman" w:hAnsi="Times New Roman"/>
                <w:sz w:val="24"/>
                <w:szCs w:val="24"/>
                <w:lang w:eastAsia="en-US"/>
              </w:rPr>
              <w:t xml:space="preserve">punktā minēto </w:t>
            </w:r>
            <w:r w:rsidR="008E3E21" w:rsidRPr="005F3C1C">
              <w:rPr>
                <w:rFonts w:ascii="Times New Roman" w:hAnsi="Times New Roman"/>
                <w:sz w:val="24"/>
                <w:szCs w:val="24"/>
                <w:lang w:eastAsia="en-US"/>
              </w:rPr>
              <w:t>iestāžu</w:t>
            </w:r>
            <w:r w:rsidR="008E3E21">
              <w:rPr>
                <w:rFonts w:ascii="Times New Roman" w:hAnsi="Times New Roman"/>
                <w:sz w:val="24"/>
                <w:szCs w:val="24"/>
                <w:lang w:eastAsia="en-US"/>
              </w:rPr>
              <w:t xml:space="preserve"> pārvaldes funkcijas projekta īstenošana neietekmēs. </w:t>
            </w:r>
          </w:p>
        </w:tc>
      </w:tr>
      <w:tr w:rsidR="004953FD" w:rsidRPr="00380A54" w:rsidTr="00CA6BF6">
        <w:trPr>
          <w:trHeight w:val="607"/>
        </w:trPr>
        <w:tc>
          <w:tcPr>
            <w:tcW w:w="3970" w:type="dxa"/>
          </w:tcPr>
          <w:p w:rsidR="004953FD" w:rsidRPr="00380A54" w:rsidRDefault="004953FD" w:rsidP="00CE72EC">
            <w:pPr>
              <w:spacing w:after="120"/>
              <w:jc w:val="both"/>
            </w:pPr>
            <w:r w:rsidRPr="00380A54">
              <w:t>3. Projekta izpildes ietekme uz pārvaldes institucionālo struktūru.</w:t>
            </w:r>
          </w:p>
          <w:p w:rsidR="004953FD" w:rsidRPr="00380A54" w:rsidRDefault="004953FD" w:rsidP="00CE72EC">
            <w:pPr>
              <w:spacing w:after="120"/>
              <w:jc w:val="both"/>
            </w:pPr>
            <w:r w:rsidRPr="00380A54">
              <w:t>Jaunu institūciju izveide</w:t>
            </w:r>
          </w:p>
        </w:tc>
        <w:tc>
          <w:tcPr>
            <w:tcW w:w="5244" w:type="dxa"/>
          </w:tcPr>
          <w:p w:rsidR="004953FD" w:rsidRDefault="004953FD" w:rsidP="00CE72EC">
            <w:pPr>
              <w:pStyle w:val="naisf"/>
              <w:spacing w:before="0" w:after="120"/>
              <w:ind w:firstLine="0"/>
            </w:pPr>
            <w:r>
              <w:t>Projekts šo jomu nesk</w:t>
            </w:r>
            <w:r w:rsidR="00E71376">
              <w:t>ar</w:t>
            </w:r>
          </w:p>
          <w:p w:rsidR="004953FD" w:rsidRPr="00380A54" w:rsidRDefault="004953FD" w:rsidP="00CE72EC">
            <w:pPr>
              <w:pStyle w:val="naisf"/>
              <w:spacing w:before="0" w:after="120"/>
              <w:ind w:firstLine="0"/>
              <w:rPr>
                <w:szCs w:val="28"/>
              </w:rPr>
            </w:pPr>
          </w:p>
        </w:tc>
      </w:tr>
      <w:tr w:rsidR="004953FD" w:rsidRPr="00380A54" w:rsidTr="00CA6BF6">
        <w:trPr>
          <w:trHeight w:val="607"/>
        </w:trPr>
        <w:tc>
          <w:tcPr>
            <w:tcW w:w="3970" w:type="dxa"/>
          </w:tcPr>
          <w:p w:rsidR="004953FD" w:rsidRPr="00380A54" w:rsidRDefault="004953FD" w:rsidP="00CE72EC">
            <w:pPr>
              <w:spacing w:after="120"/>
              <w:jc w:val="both"/>
            </w:pPr>
            <w:r w:rsidRPr="00380A54">
              <w:t>4. Projekta izpildes ietekme uz pārvaldes institucionālo struktūru.</w:t>
            </w:r>
          </w:p>
          <w:p w:rsidR="004953FD" w:rsidRPr="00380A54" w:rsidRDefault="004953FD" w:rsidP="00CE72EC">
            <w:pPr>
              <w:spacing w:after="120"/>
              <w:jc w:val="both"/>
            </w:pPr>
            <w:r w:rsidRPr="00380A54">
              <w:t>Esošu institūciju likvidācija</w:t>
            </w:r>
            <w:r>
              <w:t xml:space="preserve"> </w:t>
            </w:r>
          </w:p>
        </w:tc>
        <w:tc>
          <w:tcPr>
            <w:tcW w:w="5244" w:type="dxa"/>
          </w:tcPr>
          <w:p w:rsidR="004953FD" w:rsidRDefault="00E71376" w:rsidP="00CE72EC">
            <w:pPr>
              <w:pStyle w:val="naisf"/>
              <w:spacing w:before="0" w:after="120"/>
              <w:ind w:firstLine="34"/>
            </w:pPr>
            <w:r>
              <w:t>Projekts šo jomu neskar</w:t>
            </w:r>
          </w:p>
          <w:p w:rsidR="004953FD" w:rsidRPr="00380A54" w:rsidRDefault="004953FD" w:rsidP="00CE72EC">
            <w:pPr>
              <w:pStyle w:val="naisf"/>
              <w:spacing w:before="0" w:after="120"/>
              <w:ind w:firstLine="34"/>
              <w:rPr>
                <w:szCs w:val="28"/>
              </w:rPr>
            </w:pPr>
          </w:p>
        </w:tc>
      </w:tr>
      <w:tr w:rsidR="004953FD" w:rsidRPr="00380A54" w:rsidTr="00CA6BF6">
        <w:trPr>
          <w:trHeight w:val="607"/>
        </w:trPr>
        <w:tc>
          <w:tcPr>
            <w:tcW w:w="3970" w:type="dxa"/>
          </w:tcPr>
          <w:p w:rsidR="004953FD" w:rsidRPr="00380A54" w:rsidRDefault="004953FD" w:rsidP="00CE72EC">
            <w:pPr>
              <w:spacing w:after="120"/>
              <w:jc w:val="both"/>
            </w:pPr>
            <w:r w:rsidRPr="00380A54">
              <w:t>5. Projekta izpildes ietekme uz pārvaldes institucionālo struktūru.</w:t>
            </w:r>
          </w:p>
          <w:p w:rsidR="004953FD" w:rsidRPr="00380A54" w:rsidRDefault="004953FD" w:rsidP="00CE72EC">
            <w:pPr>
              <w:spacing w:after="120"/>
              <w:jc w:val="both"/>
            </w:pPr>
            <w:r w:rsidRPr="00380A54">
              <w:t>Esošu institūciju reorganizācija</w:t>
            </w:r>
            <w:r>
              <w:t xml:space="preserve"> </w:t>
            </w:r>
          </w:p>
        </w:tc>
        <w:tc>
          <w:tcPr>
            <w:tcW w:w="5244" w:type="dxa"/>
          </w:tcPr>
          <w:p w:rsidR="004953FD" w:rsidRDefault="00E71376" w:rsidP="00CE72EC">
            <w:pPr>
              <w:pStyle w:val="naisf"/>
              <w:spacing w:before="0" w:after="120"/>
              <w:ind w:firstLine="34"/>
            </w:pPr>
            <w:r>
              <w:t>Projekts šo jomu neskar</w:t>
            </w:r>
          </w:p>
          <w:p w:rsidR="004953FD" w:rsidRPr="00380A54" w:rsidRDefault="004953FD" w:rsidP="00CE72EC">
            <w:pPr>
              <w:pStyle w:val="naisf"/>
              <w:spacing w:before="0" w:after="120"/>
              <w:ind w:firstLine="34"/>
            </w:pPr>
          </w:p>
        </w:tc>
      </w:tr>
      <w:tr w:rsidR="004953FD" w:rsidRPr="00380A54" w:rsidTr="00CA6BF6">
        <w:tc>
          <w:tcPr>
            <w:tcW w:w="3970" w:type="dxa"/>
          </w:tcPr>
          <w:p w:rsidR="004953FD" w:rsidRPr="00380A54" w:rsidRDefault="004953FD" w:rsidP="002668B8">
            <w:pPr>
              <w:spacing w:after="120"/>
              <w:ind w:left="284" w:hanging="284"/>
              <w:jc w:val="both"/>
              <w:rPr>
                <w:szCs w:val="28"/>
              </w:rPr>
            </w:pPr>
            <w:r w:rsidRPr="00380A54">
              <w:rPr>
                <w:szCs w:val="28"/>
              </w:rPr>
              <w:lastRenderedPageBreak/>
              <w:t>6. Cita informācija</w:t>
            </w:r>
          </w:p>
        </w:tc>
        <w:tc>
          <w:tcPr>
            <w:tcW w:w="5244" w:type="dxa"/>
          </w:tcPr>
          <w:p w:rsidR="004953FD" w:rsidRPr="00380A54" w:rsidRDefault="004953FD" w:rsidP="002668B8">
            <w:pPr>
              <w:spacing w:after="120"/>
              <w:rPr>
                <w:szCs w:val="28"/>
              </w:rPr>
            </w:pPr>
            <w:r w:rsidRPr="00380A54">
              <w:rPr>
                <w:szCs w:val="28"/>
              </w:rPr>
              <w:t xml:space="preserve">Nav </w:t>
            </w:r>
          </w:p>
        </w:tc>
      </w:tr>
    </w:tbl>
    <w:p w:rsidR="004953FD" w:rsidRDefault="004953FD" w:rsidP="00F312B1">
      <w:pPr>
        <w:pStyle w:val="Header"/>
        <w:rPr>
          <w:szCs w:val="28"/>
        </w:rPr>
      </w:pPr>
      <w:r w:rsidRPr="00380A54">
        <w:rPr>
          <w:szCs w:val="28"/>
        </w:rPr>
        <w:t xml:space="preserve">                 </w:t>
      </w:r>
    </w:p>
    <w:p w:rsidR="001858F2" w:rsidRDefault="001858F2" w:rsidP="00F312B1">
      <w:pPr>
        <w:pStyle w:val="naiskr"/>
        <w:spacing w:before="0" w:after="120"/>
        <w:ind w:left="104" w:right="57"/>
        <w:rPr>
          <w:b/>
          <w:bCs/>
          <w:i/>
          <w:sz w:val="28"/>
          <w:szCs w:val="28"/>
        </w:rPr>
      </w:pPr>
    </w:p>
    <w:p w:rsidR="004953FD" w:rsidRPr="00F2376D" w:rsidRDefault="00F2376D" w:rsidP="00F312B1">
      <w:pPr>
        <w:pStyle w:val="naiskr"/>
        <w:spacing w:before="0" w:after="120"/>
        <w:ind w:left="104" w:right="57"/>
        <w:rPr>
          <w:i/>
          <w:sz w:val="28"/>
          <w:szCs w:val="28"/>
        </w:rPr>
      </w:pPr>
      <w:r w:rsidRPr="00F2376D">
        <w:rPr>
          <w:b/>
          <w:bCs/>
          <w:i/>
          <w:sz w:val="28"/>
          <w:szCs w:val="28"/>
        </w:rPr>
        <w:t xml:space="preserve">Anotācijas </w:t>
      </w:r>
      <w:r w:rsidR="004953FD" w:rsidRPr="00F2376D">
        <w:rPr>
          <w:b/>
          <w:bCs/>
          <w:i/>
          <w:sz w:val="28"/>
          <w:szCs w:val="28"/>
        </w:rPr>
        <w:t xml:space="preserve">III. un V. sadaļa - </w:t>
      </w:r>
      <w:r w:rsidR="004953FD" w:rsidRPr="00F2376D">
        <w:rPr>
          <w:i/>
          <w:sz w:val="28"/>
          <w:szCs w:val="28"/>
        </w:rPr>
        <w:t>Projekts šo jomu neskar.</w:t>
      </w:r>
    </w:p>
    <w:p w:rsidR="004953FD" w:rsidRDefault="004953FD" w:rsidP="00F312B1">
      <w:pPr>
        <w:pStyle w:val="Header"/>
        <w:rPr>
          <w:szCs w:val="28"/>
        </w:rPr>
      </w:pPr>
    </w:p>
    <w:p w:rsidR="001858F2" w:rsidRDefault="001858F2" w:rsidP="00B31ECA">
      <w:pPr>
        <w:pStyle w:val="Heading4"/>
        <w:spacing w:before="0" w:after="0"/>
        <w:rPr>
          <w:b w:val="0"/>
        </w:rPr>
      </w:pPr>
    </w:p>
    <w:p w:rsidR="001858F2" w:rsidRDefault="001858F2" w:rsidP="001858F2">
      <w:pPr>
        <w:pStyle w:val="Heading4"/>
        <w:spacing w:before="0" w:after="0"/>
        <w:ind w:firstLine="720"/>
        <w:rPr>
          <w:b w:val="0"/>
        </w:rPr>
      </w:pPr>
      <w:r>
        <w:rPr>
          <w:b w:val="0"/>
        </w:rPr>
        <w:t xml:space="preserve">Vides aizsardzības un reģionālās </w:t>
      </w:r>
    </w:p>
    <w:p w:rsidR="001858F2" w:rsidRDefault="001858F2" w:rsidP="001858F2">
      <w:pPr>
        <w:pStyle w:val="Heading4"/>
        <w:spacing w:before="0" w:after="120"/>
        <w:ind w:firstLine="720"/>
        <w:rPr>
          <w:b w:val="0"/>
        </w:rPr>
      </w:pPr>
      <w:r>
        <w:rPr>
          <w:b w:val="0"/>
        </w:rPr>
        <w:t xml:space="preserve">attīstības ministrs </w:t>
      </w:r>
      <w:r>
        <w:rPr>
          <w:b w:val="0"/>
        </w:rPr>
        <w:tab/>
      </w:r>
      <w:r>
        <w:rPr>
          <w:b w:val="0"/>
        </w:rPr>
        <w:tab/>
      </w:r>
      <w:r>
        <w:rPr>
          <w:b w:val="0"/>
        </w:rPr>
        <w:tab/>
      </w:r>
      <w:r>
        <w:rPr>
          <w:b w:val="0"/>
        </w:rPr>
        <w:tab/>
      </w:r>
      <w:r>
        <w:rPr>
          <w:b w:val="0"/>
        </w:rPr>
        <w:tab/>
      </w:r>
      <w:r>
        <w:rPr>
          <w:b w:val="0"/>
        </w:rPr>
        <w:tab/>
        <w:t>R.Naudiņš</w:t>
      </w:r>
    </w:p>
    <w:p w:rsidR="001858F2" w:rsidRDefault="001858F2" w:rsidP="001858F2">
      <w:pPr>
        <w:rPr>
          <w:sz w:val="28"/>
          <w:szCs w:val="28"/>
        </w:rPr>
      </w:pPr>
    </w:p>
    <w:p w:rsidR="001858F2" w:rsidRDefault="001858F2" w:rsidP="001858F2">
      <w:pPr>
        <w:rPr>
          <w:sz w:val="28"/>
          <w:szCs w:val="28"/>
        </w:rPr>
      </w:pPr>
    </w:p>
    <w:p w:rsidR="001858F2" w:rsidRDefault="001858F2" w:rsidP="001858F2">
      <w:pPr>
        <w:rPr>
          <w:sz w:val="28"/>
          <w:szCs w:val="28"/>
        </w:rPr>
      </w:pPr>
    </w:p>
    <w:p w:rsidR="001858F2" w:rsidRDefault="001858F2" w:rsidP="001858F2">
      <w:pPr>
        <w:spacing w:after="120"/>
        <w:rPr>
          <w:b/>
          <w:sz w:val="28"/>
          <w:szCs w:val="28"/>
        </w:rPr>
      </w:pPr>
      <w:r>
        <w:rPr>
          <w:b/>
          <w:sz w:val="28"/>
          <w:szCs w:val="28"/>
        </w:rPr>
        <w:t>Iesniedzējs:</w:t>
      </w:r>
    </w:p>
    <w:p w:rsidR="001858F2" w:rsidRDefault="001858F2" w:rsidP="001858F2">
      <w:pPr>
        <w:pStyle w:val="Heading4"/>
        <w:spacing w:before="0" w:after="0"/>
        <w:rPr>
          <w:b w:val="0"/>
        </w:rPr>
      </w:pPr>
      <w:r>
        <w:rPr>
          <w:b w:val="0"/>
        </w:rPr>
        <w:t xml:space="preserve">Vides aizsardzības un reģionālās </w:t>
      </w:r>
    </w:p>
    <w:p w:rsidR="001858F2" w:rsidRDefault="001858F2" w:rsidP="001858F2">
      <w:pPr>
        <w:pStyle w:val="Heading4"/>
        <w:spacing w:before="0" w:after="120"/>
        <w:rPr>
          <w:b w:val="0"/>
        </w:rPr>
      </w:pPr>
      <w:r>
        <w:rPr>
          <w:b w:val="0"/>
        </w:rPr>
        <w:t xml:space="preserve">attīstības ministrs </w:t>
      </w:r>
      <w:r>
        <w:rPr>
          <w:b w:val="0"/>
        </w:rPr>
        <w:tab/>
      </w:r>
      <w:r>
        <w:rPr>
          <w:b w:val="0"/>
        </w:rPr>
        <w:tab/>
      </w:r>
      <w:r>
        <w:rPr>
          <w:b w:val="0"/>
        </w:rPr>
        <w:tab/>
      </w:r>
      <w:r>
        <w:rPr>
          <w:b w:val="0"/>
        </w:rPr>
        <w:tab/>
      </w:r>
      <w:r>
        <w:rPr>
          <w:b w:val="0"/>
        </w:rPr>
        <w:tab/>
      </w:r>
      <w:r>
        <w:rPr>
          <w:b w:val="0"/>
        </w:rPr>
        <w:tab/>
      </w:r>
      <w:r>
        <w:rPr>
          <w:b w:val="0"/>
        </w:rPr>
        <w:tab/>
        <w:t>R.Naudiņš</w:t>
      </w:r>
    </w:p>
    <w:p w:rsidR="001858F2" w:rsidRDefault="001858F2" w:rsidP="001858F2">
      <w:pPr>
        <w:rPr>
          <w:sz w:val="28"/>
          <w:szCs w:val="28"/>
        </w:rPr>
      </w:pPr>
    </w:p>
    <w:p w:rsidR="001858F2" w:rsidRDefault="001858F2" w:rsidP="001858F2">
      <w:pPr>
        <w:spacing w:after="120"/>
        <w:rPr>
          <w:b/>
          <w:sz w:val="28"/>
          <w:szCs w:val="28"/>
        </w:rPr>
      </w:pPr>
    </w:p>
    <w:p w:rsidR="001858F2" w:rsidRDefault="001858F2" w:rsidP="001858F2">
      <w:pPr>
        <w:spacing w:after="120"/>
        <w:rPr>
          <w:sz w:val="28"/>
          <w:szCs w:val="28"/>
        </w:rPr>
      </w:pPr>
      <w:r>
        <w:rPr>
          <w:b/>
          <w:sz w:val="28"/>
          <w:szCs w:val="28"/>
        </w:rPr>
        <w:t>Vīza:</w:t>
      </w:r>
      <w:r>
        <w:rPr>
          <w:sz w:val="28"/>
          <w:szCs w:val="28"/>
        </w:rPr>
        <w:t xml:space="preserve">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G.Puķītis</w:t>
      </w:r>
    </w:p>
    <w:p w:rsidR="001858F2" w:rsidRDefault="001858F2" w:rsidP="001858F2">
      <w:pPr>
        <w:spacing w:after="120"/>
      </w:pPr>
    </w:p>
    <w:p w:rsidR="001858F2" w:rsidRDefault="001858F2" w:rsidP="001858F2">
      <w:pPr>
        <w:spacing w:after="120"/>
      </w:pPr>
      <w:bookmarkStart w:id="4" w:name="_GoBack"/>
      <w:bookmarkEnd w:id="4"/>
    </w:p>
    <w:p w:rsidR="001858F2" w:rsidRPr="001858F2" w:rsidRDefault="001858F2" w:rsidP="001858F2">
      <w:r w:rsidRPr="001858F2">
        <w:t>12.06.2014. 1</w:t>
      </w:r>
      <w:r w:rsidR="007A0E2C">
        <w:t>5</w:t>
      </w:r>
      <w:r w:rsidRPr="001858F2">
        <w:t>:</w:t>
      </w:r>
      <w:r w:rsidR="007A0E2C">
        <w:t>05</w:t>
      </w:r>
    </w:p>
    <w:p w:rsidR="001858F2" w:rsidRPr="001858F2" w:rsidRDefault="004E31CD" w:rsidP="001858F2">
      <w:r>
        <w:t>1628</w:t>
      </w:r>
    </w:p>
    <w:p w:rsidR="001858F2" w:rsidRPr="001858F2" w:rsidRDefault="001858F2" w:rsidP="001858F2">
      <w:pPr>
        <w:tabs>
          <w:tab w:val="left" w:pos="7440"/>
        </w:tabs>
      </w:pPr>
      <w:r w:rsidRPr="001858F2">
        <w:t>D.Šatrovska</w:t>
      </w:r>
    </w:p>
    <w:p w:rsidR="001858F2" w:rsidRPr="001858F2" w:rsidRDefault="001858F2" w:rsidP="001858F2">
      <w:pPr>
        <w:tabs>
          <w:tab w:val="left" w:pos="7440"/>
        </w:tabs>
      </w:pPr>
      <w:r w:rsidRPr="001858F2">
        <w:t xml:space="preserve">67026521, </w:t>
      </w:r>
      <w:hyperlink r:id="rId9" w:history="1">
        <w:r w:rsidRPr="001858F2">
          <w:rPr>
            <w:rStyle w:val="Hyperlink"/>
          </w:rPr>
          <w:t>dace.satrovska@varam.gov.lv</w:t>
        </w:r>
      </w:hyperlink>
    </w:p>
    <w:p w:rsidR="001858F2" w:rsidRPr="001858F2" w:rsidRDefault="001858F2" w:rsidP="001858F2"/>
    <w:p w:rsidR="001858F2" w:rsidRPr="001858F2" w:rsidRDefault="001858F2" w:rsidP="001858F2">
      <w:pPr>
        <w:pStyle w:val="Header"/>
        <w:rPr>
          <w:sz w:val="24"/>
          <w:szCs w:val="24"/>
        </w:rPr>
      </w:pPr>
      <w:r w:rsidRPr="001858F2">
        <w:rPr>
          <w:sz w:val="24"/>
          <w:szCs w:val="24"/>
        </w:rPr>
        <w:t>J.Malnace</w:t>
      </w:r>
    </w:p>
    <w:p w:rsidR="001858F2" w:rsidRPr="001858F2" w:rsidRDefault="001858F2" w:rsidP="001858F2">
      <w:pPr>
        <w:pStyle w:val="Header"/>
        <w:rPr>
          <w:sz w:val="24"/>
          <w:szCs w:val="24"/>
        </w:rPr>
      </w:pPr>
      <w:r w:rsidRPr="001858F2">
        <w:rPr>
          <w:sz w:val="24"/>
          <w:szCs w:val="24"/>
        </w:rPr>
        <w:t xml:space="preserve">67026591; </w:t>
      </w:r>
      <w:hyperlink r:id="rId10" w:history="1">
        <w:r w:rsidRPr="001858F2">
          <w:rPr>
            <w:rStyle w:val="Hyperlink"/>
            <w:sz w:val="24"/>
            <w:szCs w:val="24"/>
          </w:rPr>
          <w:t>jolanta.malnace@varam.gov.lv</w:t>
        </w:r>
      </w:hyperlink>
    </w:p>
    <w:p w:rsidR="001858F2" w:rsidRDefault="001858F2" w:rsidP="001858F2">
      <w:pPr>
        <w:spacing w:after="120"/>
      </w:pPr>
    </w:p>
    <w:p w:rsidR="004953FD" w:rsidRPr="00957A9E" w:rsidRDefault="004953FD" w:rsidP="00F312B1">
      <w:pPr>
        <w:pStyle w:val="Header"/>
        <w:spacing w:after="120"/>
        <w:rPr>
          <w:sz w:val="24"/>
          <w:szCs w:val="24"/>
        </w:rPr>
      </w:pPr>
      <w:r w:rsidRPr="00957A9E">
        <w:rPr>
          <w:sz w:val="24"/>
          <w:szCs w:val="24"/>
        </w:rPr>
        <w:t xml:space="preserve">   </w:t>
      </w:r>
    </w:p>
    <w:p w:rsidR="004953FD" w:rsidRPr="00155A4D" w:rsidRDefault="004953FD" w:rsidP="00F312B1">
      <w:pPr>
        <w:pStyle w:val="Header"/>
      </w:pPr>
    </w:p>
    <w:p w:rsidR="004953FD" w:rsidRPr="00155A4D" w:rsidRDefault="004953FD" w:rsidP="00E116C7">
      <w:pPr>
        <w:pStyle w:val="Header"/>
      </w:pPr>
    </w:p>
    <w:sectPr w:rsidR="004953FD" w:rsidRPr="00155A4D" w:rsidSect="003D77D3">
      <w:headerReference w:type="even" r:id="rId11"/>
      <w:headerReference w:type="default"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B0" w:rsidRDefault="00F943B0">
      <w:r>
        <w:separator/>
      </w:r>
    </w:p>
  </w:endnote>
  <w:endnote w:type="continuationSeparator" w:id="0">
    <w:p w:rsidR="00F943B0" w:rsidRDefault="00F9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E" w:rsidRPr="004C250D" w:rsidRDefault="009974DE" w:rsidP="004C250D">
    <w:pPr>
      <w:pStyle w:val="HTMLPreformatted"/>
      <w:jc w:val="both"/>
      <w:rPr>
        <w:rFonts w:ascii="Times New Roman" w:hAnsi="Times New Roman"/>
        <w:bCs/>
        <w:sz w:val="24"/>
        <w:szCs w:val="24"/>
      </w:rPr>
    </w:pPr>
    <w:r w:rsidRPr="004C250D">
      <w:rPr>
        <w:rFonts w:ascii="Times New Roman" w:hAnsi="Times New Roman"/>
        <w:sz w:val="24"/>
        <w:szCs w:val="24"/>
      </w:rPr>
      <w:t>VARAMAnot_</w:t>
    </w:r>
    <w:r w:rsidR="001858F2">
      <w:rPr>
        <w:rFonts w:ascii="Times New Roman" w:hAnsi="Times New Roman"/>
        <w:sz w:val="24"/>
        <w:szCs w:val="24"/>
      </w:rPr>
      <w:t>1206</w:t>
    </w:r>
    <w:r>
      <w:rPr>
        <w:rFonts w:ascii="Times New Roman" w:hAnsi="Times New Roman"/>
        <w:sz w:val="24"/>
        <w:szCs w:val="24"/>
      </w:rPr>
      <w:t>14</w:t>
    </w:r>
    <w:r w:rsidRPr="004C250D">
      <w:rPr>
        <w:rFonts w:ascii="Times New Roman" w:hAnsi="Times New Roman"/>
        <w:sz w:val="24"/>
        <w:szCs w:val="24"/>
      </w:rPr>
      <w:t xml:space="preserve">_med.ierices; </w:t>
    </w:r>
    <w:bookmarkStart w:id="5" w:name="OLE_LINK10"/>
    <w:bookmarkStart w:id="6" w:name="OLE_LINK11"/>
    <w:bookmarkStart w:id="7" w:name="OLE_LINK8"/>
    <w:bookmarkStart w:id="8" w:name="OLE_LINK9"/>
    <w:r w:rsidRPr="004C250D">
      <w:rPr>
        <w:rFonts w:ascii="Times New Roman" w:hAnsi="Times New Roman"/>
        <w:sz w:val="24"/>
        <w:szCs w:val="24"/>
      </w:rPr>
      <w:t xml:space="preserve">Ministru kabineta noteikumu </w:t>
    </w:r>
    <w:bookmarkEnd w:id="5"/>
    <w:bookmarkEnd w:id="6"/>
    <w:r w:rsidRPr="004C250D">
      <w:rPr>
        <w:rFonts w:ascii="Times New Roman" w:hAnsi="Times New Roman"/>
        <w:sz w:val="24"/>
        <w:szCs w:val="24"/>
      </w:rPr>
      <w:t>„</w:t>
    </w:r>
    <w:r w:rsidRPr="004C250D">
      <w:rPr>
        <w:rFonts w:ascii="Times New Roman" w:hAnsi="Times New Roman"/>
        <w:bCs/>
        <w:sz w:val="24"/>
        <w:szCs w:val="24"/>
      </w:rPr>
      <w:t xml:space="preserve">Grozījums Ministru kabineta 2005.gada 2.augusta noteikumos Nr.581 </w:t>
    </w:r>
    <w:r w:rsidRPr="004C250D">
      <w:rPr>
        <w:rFonts w:ascii="Times New Roman" w:hAnsi="Times New Roman"/>
        <w:sz w:val="24"/>
        <w:szCs w:val="24"/>
      </w:rPr>
      <w:t>„Medicīnisko ierīču reģistrācijas, atbilstības novērtēšanas, izplatīšanas, ekspluatācijas un tehniskās uzraudzības kārtība””</w:t>
    </w:r>
    <w:r w:rsidRPr="004C250D">
      <w:rPr>
        <w:rFonts w:ascii="Times New Roman" w:hAnsi="Times New Roman"/>
        <w:bCs/>
        <w:sz w:val="24"/>
        <w:szCs w:val="24"/>
      </w:rPr>
      <w:t xml:space="preserve"> sākotnējās ietekmes novērtējuma </w:t>
    </w:r>
    <w:smartTag w:uri="schemas-tilde-lv/tildestengine" w:element="veidnes">
      <w:smartTagPr>
        <w:attr w:name="text" w:val="ziņojums"/>
        <w:attr w:name="baseform" w:val="ziņojums"/>
        <w:attr w:name="id" w:val="-1"/>
      </w:smartTagPr>
      <w:r w:rsidRPr="004C250D">
        <w:rPr>
          <w:rFonts w:ascii="Times New Roman" w:hAnsi="Times New Roman"/>
          <w:bCs/>
          <w:sz w:val="24"/>
          <w:szCs w:val="24"/>
        </w:rPr>
        <w:t>ziņojums</w:t>
      </w:r>
    </w:smartTag>
    <w:r w:rsidRPr="004C250D">
      <w:rPr>
        <w:rFonts w:ascii="Times New Roman" w:hAnsi="Times New Roman"/>
        <w:bCs/>
        <w:sz w:val="24"/>
        <w:szCs w:val="24"/>
      </w:rPr>
      <w:t xml:space="preserve"> (anotācija)</w:t>
    </w:r>
  </w:p>
  <w:bookmarkEnd w:id="7"/>
  <w:bookmarkEnd w:id="8"/>
  <w:p w:rsidR="009974DE" w:rsidRPr="004C250D" w:rsidRDefault="009974DE" w:rsidP="003D77D3">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B0" w:rsidRDefault="00F943B0">
      <w:r>
        <w:separator/>
      </w:r>
    </w:p>
  </w:footnote>
  <w:footnote w:type="continuationSeparator" w:id="0">
    <w:p w:rsidR="00F943B0" w:rsidRDefault="00F9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E" w:rsidRDefault="00DB26D4" w:rsidP="003D77D3">
    <w:pPr>
      <w:pStyle w:val="Header"/>
      <w:framePr w:wrap="around" w:vAnchor="text" w:hAnchor="margin" w:xAlign="center" w:y="1"/>
      <w:rPr>
        <w:rStyle w:val="PageNumber"/>
      </w:rPr>
    </w:pPr>
    <w:r>
      <w:rPr>
        <w:rStyle w:val="PageNumber"/>
      </w:rPr>
      <w:fldChar w:fldCharType="begin"/>
    </w:r>
    <w:r w:rsidR="009974DE">
      <w:rPr>
        <w:rStyle w:val="PageNumber"/>
      </w:rPr>
      <w:instrText xml:space="preserve">PAGE  </w:instrText>
    </w:r>
    <w:r>
      <w:rPr>
        <w:rStyle w:val="PageNumber"/>
      </w:rPr>
      <w:fldChar w:fldCharType="separate"/>
    </w:r>
    <w:r w:rsidR="009974DE">
      <w:rPr>
        <w:rStyle w:val="PageNumber"/>
        <w:noProof/>
      </w:rPr>
      <w:t>1</w:t>
    </w:r>
    <w:r>
      <w:rPr>
        <w:rStyle w:val="PageNumber"/>
      </w:rPr>
      <w:fldChar w:fldCharType="end"/>
    </w:r>
  </w:p>
  <w:p w:rsidR="009974DE" w:rsidRDefault="00997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E" w:rsidRPr="009C5013" w:rsidRDefault="00DB26D4" w:rsidP="003D77D3">
    <w:pPr>
      <w:pStyle w:val="Header"/>
      <w:framePr w:wrap="around" w:vAnchor="text" w:hAnchor="margin" w:xAlign="center" w:y="1"/>
      <w:rPr>
        <w:rStyle w:val="PageNumber"/>
        <w:sz w:val="24"/>
        <w:szCs w:val="24"/>
      </w:rPr>
    </w:pPr>
    <w:r w:rsidRPr="009C5013">
      <w:rPr>
        <w:rStyle w:val="PageNumber"/>
        <w:sz w:val="24"/>
        <w:szCs w:val="24"/>
      </w:rPr>
      <w:fldChar w:fldCharType="begin"/>
    </w:r>
    <w:r w:rsidR="009974DE" w:rsidRPr="009C5013">
      <w:rPr>
        <w:rStyle w:val="PageNumber"/>
        <w:sz w:val="24"/>
        <w:szCs w:val="24"/>
      </w:rPr>
      <w:instrText xml:space="preserve">PAGE  </w:instrText>
    </w:r>
    <w:r w:rsidRPr="009C5013">
      <w:rPr>
        <w:rStyle w:val="PageNumber"/>
        <w:sz w:val="24"/>
        <w:szCs w:val="24"/>
      </w:rPr>
      <w:fldChar w:fldCharType="separate"/>
    </w:r>
    <w:r w:rsidR="0076665C">
      <w:rPr>
        <w:rStyle w:val="PageNumber"/>
        <w:noProof/>
        <w:sz w:val="24"/>
        <w:szCs w:val="24"/>
      </w:rPr>
      <w:t>1</w:t>
    </w:r>
    <w:r w:rsidRPr="009C5013">
      <w:rPr>
        <w:rStyle w:val="PageNumber"/>
        <w:sz w:val="24"/>
        <w:szCs w:val="24"/>
      </w:rPr>
      <w:fldChar w:fldCharType="end"/>
    </w:r>
  </w:p>
  <w:p w:rsidR="009974DE" w:rsidRDefault="00997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nsid w:val="04891AD5"/>
    <w:multiLevelType w:val="hybridMultilevel"/>
    <w:tmpl w:val="32F8AC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C1520"/>
    <w:multiLevelType w:val="hybridMultilevel"/>
    <w:tmpl w:val="4198D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2106A"/>
    <w:multiLevelType w:val="hybridMultilevel"/>
    <w:tmpl w:val="AF40D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5CE9"/>
    <w:rsid w:val="00004C11"/>
    <w:rsid w:val="00004D96"/>
    <w:rsid w:val="00007477"/>
    <w:rsid w:val="00011F49"/>
    <w:rsid w:val="00016A1B"/>
    <w:rsid w:val="00021492"/>
    <w:rsid w:val="0003325D"/>
    <w:rsid w:val="00041946"/>
    <w:rsid w:val="00061C6C"/>
    <w:rsid w:val="00064611"/>
    <w:rsid w:val="00064717"/>
    <w:rsid w:val="00085C46"/>
    <w:rsid w:val="00093A52"/>
    <w:rsid w:val="000A68ED"/>
    <w:rsid w:val="000A7EB7"/>
    <w:rsid w:val="000B1A26"/>
    <w:rsid w:val="000C329F"/>
    <w:rsid w:val="000D0085"/>
    <w:rsid w:val="000D057F"/>
    <w:rsid w:val="000D3AEE"/>
    <w:rsid w:val="000D3EAF"/>
    <w:rsid w:val="000D5F4D"/>
    <w:rsid w:val="000E63B9"/>
    <w:rsid w:val="000F2E2F"/>
    <w:rsid w:val="000F32B0"/>
    <w:rsid w:val="000F3D91"/>
    <w:rsid w:val="001033E4"/>
    <w:rsid w:val="00135102"/>
    <w:rsid w:val="00155A4D"/>
    <w:rsid w:val="001625C2"/>
    <w:rsid w:val="00180AB5"/>
    <w:rsid w:val="00181FD2"/>
    <w:rsid w:val="001858F2"/>
    <w:rsid w:val="001A5AA7"/>
    <w:rsid w:val="001B0876"/>
    <w:rsid w:val="001C76B6"/>
    <w:rsid w:val="001D35C7"/>
    <w:rsid w:val="001E1750"/>
    <w:rsid w:val="001E6E14"/>
    <w:rsid w:val="001E7DCA"/>
    <w:rsid w:val="001F6BE6"/>
    <w:rsid w:val="0021500A"/>
    <w:rsid w:val="00216B25"/>
    <w:rsid w:val="0023367E"/>
    <w:rsid w:val="00240478"/>
    <w:rsid w:val="00241C3A"/>
    <w:rsid w:val="0024503A"/>
    <w:rsid w:val="002665BC"/>
    <w:rsid w:val="002668B8"/>
    <w:rsid w:val="002716AC"/>
    <w:rsid w:val="00273347"/>
    <w:rsid w:val="00275DD8"/>
    <w:rsid w:val="002762D2"/>
    <w:rsid w:val="002920FC"/>
    <w:rsid w:val="00293E50"/>
    <w:rsid w:val="002B118B"/>
    <w:rsid w:val="002B4143"/>
    <w:rsid w:val="002C0B12"/>
    <w:rsid w:val="002C1B5E"/>
    <w:rsid w:val="002C6EE0"/>
    <w:rsid w:val="002D5C62"/>
    <w:rsid w:val="002E7BFC"/>
    <w:rsid w:val="002F4F94"/>
    <w:rsid w:val="002F5CE9"/>
    <w:rsid w:val="00305019"/>
    <w:rsid w:val="0033569C"/>
    <w:rsid w:val="00335745"/>
    <w:rsid w:val="003640F3"/>
    <w:rsid w:val="003805DC"/>
    <w:rsid w:val="00380A54"/>
    <w:rsid w:val="00382412"/>
    <w:rsid w:val="00394EE0"/>
    <w:rsid w:val="003B4255"/>
    <w:rsid w:val="003C1A75"/>
    <w:rsid w:val="003D123F"/>
    <w:rsid w:val="003D48A5"/>
    <w:rsid w:val="003D77D3"/>
    <w:rsid w:val="003E1F49"/>
    <w:rsid w:val="0041775D"/>
    <w:rsid w:val="00436390"/>
    <w:rsid w:val="00437956"/>
    <w:rsid w:val="00444289"/>
    <w:rsid w:val="00444C8D"/>
    <w:rsid w:val="004468A8"/>
    <w:rsid w:val="00452F9B"/>
    <w:rsid w:val="00461AAD"/>
    <w:rsid w:val="004646F4"/>
    <w:rsid w:val="00471417"/>
    <w:rsid w:val="0048187F"/>
    <w:rsid w:val="004862ED"/>
    <w:rsid w:val="0048767B"/>
    <w:rsid w:val="00493B08"/>
    <w:rsid w:val="004953FD"/>
    <w:rsid w:val="004A5EAD"/>
    <w:rsid w:val="004B0AFB"/>
    <w:rsid w:val="004B3A6F"/>
    <w:rsid w:val="004B560C"/>
    <w:rsid w:val="004C250D"/>
    <w:rsid w:val="004C541C"/>
    <w:rsid w:val="004D5E54"/>
    <w:rsid w:val="004E2B98"/>
    <w:rsid w:val="004E31CD"/>
    <w:rsid w:val="004E5052"/>
    <w:rsid w:val="004E769D"/>
    <w:rsid w:val="004F4BA3"/>
    <w:rsid w:val="0050095C"/>
    <w:rsid w:val="0050143A"/>
    <w:rsid w:val="00503F52"/>
    <w:rsid w:val="00510395"/>
    <w:rsid w:val="00514A7B"/>
    <w:rsid w:val="0054591C"/>
    <w:rsid w:val="00547598"/>
    <w:rsid w:val="005602CD"/>
    <w:rsid w:val="005A0226"/>
    <w:rsid w:val="005A44AA"/>
    <w:rsid w:val="005D2A92"/>
    <w:rsid w:val="005E1A76"/>
    <w:rsid w:val="005F3C1C"/>
    <w:rsid w:val="006060C8"/>
    <w:rsid w:val="006125BE"/>
    <w:rsid w:val="0061450F"/>
    <w:rsid w:val="006318D0"/>
    <w:rsid w:val="006330DF"/>
    <w:rsid w:val="006433DC"/>
    <w:rsid w:val="0064499B"/>
    <w:rsid w:val="0065065E"/>
    <w:rsid w:val="006667E8"/>
    <w:rsid w:val="00671646"/>
    <w:rsid w:val="0068144E"/>
    <w:rsid w:val="0068726C"/>
    <w:rsid w:val="006D0EAC"/>
    <w:rsid w:val="006D4783"/>
    <w:rsid w:val="006E14B3"/>
    <w:rsid w:val="006F6C30"/>
    <w:rsid w:val="00707C56"/>
    <w:rsid w:val="00721F47"/>
    <w:rsid w:val="00722826"/>
    <w:rsid w:val="00726C4E"/>
    <w:rsid w:val="007350BE"/>
    <w:rsid w:val="00741C6A"/>
    <w:rsid w:val="0076469E"/>
    <w:rsid w:val="0076665C"/>
    <w:rsid w:val="00774C2D"/>
    <w:rsid w:val="00781511"/>
    <w:rsid w:val="007841E4"/>
    <w:rsid w:val="007843DE"/>
    <w:rsid w:val="00784E5E"/>
    <w:rsid w:val="0078531F"/>
    <w:rsid w:val="007908B8"/>
    <w:rsid w:val="007937F8"/>
    <w:rsid w:val="007A0E2C"/>
    <w:rsid w:val="007B6A48"/>
    <w:rsid w:val="007C0F2C"/>
    <w:rsid w:val="007D4733"/>
    <w:rsid w:val="007D57CD"/>
    <w:rsid w:val="007F02E3"/>
    <w:rsid w:val="007F0AA6"/>
    <w:rsid w:val="007F2024"/>
    <w:rsid w:val="00801802"/>
    <w:rsid w:val="008258D8"/>
    <w:rsid w:val="00833205"/>
    <w:rsid w:val="008427A9"/>
    <w:rsid w:val="0085178A"/>
    <w:rsid w:val="008678E1"/>
    <w:rsid w:val="00873F7A"/>
    <w:rsid w:val="008932FC"/>
    <w:rsid w:val="008947D2"/>
    <w:rsid w:val="00895DEB"/>
    <w:rsid w:val="008A3031"/>
    <w:rsid w:val="008C45D2"/>
    <w:rsid w:val="008C5202"/>
    <w:rsid w:val="008D7F36"/>
    <w:rsid w:val="008E3E21"/>
    <w:rsid w:val="008F1C86"/>
    <w:rsid w:val="00904B30"/>
    <w:rsid w:val="00906302"/>
    <w:rsid w:val="00913702"/>
    <w:rsid w:val="00913D30"/>
    <w:rsid w:val="00931684"/>
    <w:rsid w:val="00932546"/>
    <w:rsid w:val="00936AFE"/>
    <w:rsid w:val="00940B49"/>
    <w:rsid w:val="00950B80"/>
    <w:rsid w:val="00957A9E"/>
    <w:rsid w:val="009640EB"/>
    <w:rsid w:val="0096490F"/>
    <w:rsid w:val="00967B5D"/>
    <w:rsid w:val="009852EA"/>
    <w:rsid w:val="00987FBF"/>
    <w:rsid w:val="009909A2"/>
    <w:rsid w:val="00992707"/>
    <w:rsid w:val="009974DE"/>
    <w:rsid w:val="009A64EF"/>
    <w:rsid w:val="009B2008"/>
    <w:rsid w:val="009B7192"/>
    <w:rsid w:val="009C0B14"/>
    <w:rsid w:val="009C0CCF"/>
    <w:rsid w:val="009C2B53"/>
    <w:rsid w:val="009C30EC"/>
    <w:rsid w:val="009C4918"/>
    <w:rsid w:val="009C5013"/>
    <w:rsid w:val="009D0395"/>
    <w:rsid w:val="009D5508"/>
    <w:rsid w:val="009E0EFE"/>
    <w:rsid w:val="009E2AF6"/>
    <w:rsid w:val="00A00D1F"/>
    <w:rsid w:val="00A115E9"/>
    <w:rsid w:val="00A2375B"/>
    <w:rsid w:val="00A473EA"/>
    <w:rsid w:val="00A577B0"/>
    <w:rsid w:val="00A629A3"/>
    <w:rsid w:val="00A70017"/>
    <w:rsid w:val="00AA14E4"/>
    <w:rsid w:val="00AA43EF"/>
    <w:rsid w:val="00AD4438"/>
    <w:rsid w:val="00AD443F"/>
    <w:rsid w:val="00AD7949"/>
    <w:rsid w:val="00AF7C35"/>
    <w:rsid w:val="00B0014C"/>
    <w:rsid w:val="00B1360D"/>
    <w:rsid w:val="00B14B0F"/>
    <w:rsid w:val="00B14DF7"/>
    <w:rsid w:val="00B16EB3"/>
    <w:rsid w:val="00B314CA"/>
    <w:rsid w:val="00B31ECA"/>
    <w:rsid w:val="00B556B3"/>
    <w:rsid w:val="00B576E2"/>
    <w:rsid w:val="00B61750"/>
    <w:rsid w:val="00B65E88"/>
    <w:rsid w:val="00B67005"/>
    <w:rsid w:val="00B70453"/>
    <w:rsid w:val="00B725E7"/>
    <w:rsid w:val="00B81169"/>
    <w:rsid w:val="00B861E3"/>
    <w:rsid w:val="00B86AD3"/>
    <w:rsid w:val="00B9156A"/>
    <w:rsid w:val="00BA573B"/>
    <w:rsid w:val="00BA750E"/>
    <w:rsid w:val="00BB349D"/>
    <w:rsid w:val="00BD1CE0"/>
    <w:rsid w:val="00BD4081"/>
    <w:rsid w:val="00BD783F"/>
    <w:rsid w:val="00BF09A0"/>
    <w:rsid w:val="00BF4487"/>
    <w:rsid w:val="00BF44A6"/>
    <w:rsid w:val="00BF528C"/>
    <w:rsid w:val="00C04548"/>
    <w:rsid w:val="00C05C7E"/>
    <w:rsid w:val="00C07DE6"/>
    <w:rsid w:val="00C11272"/>
    <w:rsid w:val="00C128C4"/>
    <w:rsid w:val="00C13450"/>
    <w:rsid w:val="00C34A0E"/>
    <w:rsid w:val="00C47FBE"/>
    <w:rsid w:val="00C908D9"/>
    <w:rsid w:val="00C96B53"/>
    <w:rsid w:val="00CA022C"/>
    <w:rsid w:val="00CA1DDC"/>
    <w:rsid w:val="00CA6BF6"/>
    <w:rsid w:val="00CB603E"/>
    <w:rsid w:val="00CE0AE8"/>
    <w:rsid w:val="00CE72EC"/>
    <w:rsid w:val="00D105F7"/>
    <w:rsid w:val="00D26133"/>
    <w:rsid w:val="00D419E0"/>
    <w:rsid w:val="00D53D15"/>
    <w:rsid w:val="00D65C37"/>
    <w:rsid w:val="00D810E2"/>
    <w:rsid w:val="00D86956"/>
    <w:rsid w:val="00D929FC"/>
    <w:rsid w:val="00D9390D"/>
    <w:rsid w:val="00D94CC7"/>
    <w:rsid w:val="00DB158B"/>
    <w:rsid w:val="00DB26D4"/>
    <w:rsid w:val="00DB3753"/>
    <w:rsid w:val="00DB799D"/>
    <w:rsid w:val="00DC3E97"/>
    <w:rsid w:val="00DD33B7"/>
    <w:rsid w:val="00DE1ECE"/>
    <w:rsid w:val="00DE311B"/>
    <w:rsid w:val="00DE4BA6"/>
    <w:rsid w:val="00DF28D3"/>
    <w:rsid w:val="00DF350B"/>
    <w:rsid w:val="00E048D8"/>
    <w:rsid w:val="00E116C7"/>
    <w:rsid w:val="00E12039"/>
    <w:rsid w:val="00E14A46"/>
    <w:rsid w:val="00E40E11"/>
    <w:rsid w:val="00E568A4"/>
    <w:rsid w:val="00E57116"/>
    <w:rsid w:val="00E64526"/>
    <w:rsid w:val="00E71376"/>
    <w:rsid w:val="00E736F3"/>
    <w:rsid w:val="00E84D06"/>
    <w:rsid w:val="00E92E1B"/>
    <w:rsid w:val="00E97BC7"/>
    <w:rsid w:val="00EB48C7"/>
    <w:rsid w:val="00ED45B9"/>
    <w:rsid w:val="00EE2492"/>
    <w:rsid w:val="00EF3FBF"/>
    <w:rsid w:val="00F058B1"/>
    <w:rsid w:val="00F1335D"/>
    <w:rsid w:val="00F2376D"/>
    <w:rsid w:val="00F312B1"/>
    <w:rsid w:val="00F41606"/>
    <w:rsid w:val="00F438D1"/>
    <w:rsid w:val="00F45531"/>
    <w:rsid w:val="00F57A5D"/>
    <w:rsid w:val="00F74CD4"/>
    <w:rsid w:val="00F943B0"/>
    <w:rsid w:val="00FB2E6F"/>
    <w:rsid w:val="00FD7D62"/>
    <w:rsid w:val="00FF31D6"/>
    <w:rsid w:val="00FF6416"/>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77D3"/>
    <w:rPr>
      <w:rFonts w:ascii="Times New Roman" w:eastAsia="Times New Roman" w:hAnsi="Times New Roman"/>
      <w:sz w:val="24"/>
      <w:szCs w:val="24"/>
    </w:rPr>
  </w:style>
  <w:style w:type="paragraph" w:styleId="Heading4">
    <w:name w:val="heading 4"/>
    <w:basedOn w:val="Normal"/>
    <w:next w:val="Normal"/>
    <w:link w:val="Heading4Char"/>
    <w:uiPriority w:val="99"/>
    <w:qFormat/>
    <w:locked/>
    <w:rsid w:val="00B31E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77D3"/>
    <w:pPr>
      <w:jc w:val="center"/>
    </w:pPr>
    <w:rPr>
      <w:rFonts w:eastAsia="Calibri"/>
      <w:b/>
      <w:sz w:val="32"/>
      <w:szCs w:val="32"/>
    </w:rPr>
  </w:style>
  <w:style w:type="character" w:customStyle="1" w:styleId="BodyTextChar">
    <w:name w:val="Body Text Char"/>
    <w:link w:val="BodyText"/>
    <w:uiPriority w:val="99"/>
    <w:locked/>
    <w:rsid w:val="003D77D3"/>
    <w:rPr>
      <w:rFonts w:ascii="Times New Roman" w:hAnsi="Times New Roman" w:cs="Times New Roman"/>
      <w:b/>
      <w:sz w:val="32"/>
      <w:lang w:val="lv-LV" w:eastAsia="lv-LV"/>
    </w:rPr>
  </w:style>
  <w:style w:type="paragraph" w:styleId="Footer">
    <w:name w:val="footer"/>
    <w:basedOn w:val="Normal"/>
    <w:link w:val="FooterChar"/>
    <w:uiPriority w:val="99"/>
    <w:rsid w:val="003D77D3"/>
    <w:pPr>
      <w:tabs>
        <w:tab w:val="center" w:pos="4153"/>
        <w:tab w:val="right" w:pos="8306"/>
      </w:tabs>
    </w:pPr>
    <w:rPr>
      <w:rFonts w:ascii="RimTimes" w:eastAsia="Calibri" w:hAnsi="RimTimes"/>
      <w:sz w:val="20"/>
      <w:szCs w:val="20"/>
    </w:rPr>
  </w:style>
  <w:style w:type="character" w:customStyle="1" w:styleId="FooterChar">
    <w:name w:val="Footer Char"/>
    <w:link w:val="Footer"/>
    <w:uiPriority w:val="99"/>
    <w:locked/>
    <w:rsid w:val="003D77D3"/>
    <w:rPr>
      <w:rFonts w:ascii="RimTimes" w:hAnsi="RimTimes" w:cs="Times New Roman"/>
      <w:snapToGrid w:val="0"/>
      <w:sz w:val="20"/>
      <w:lang w:val="lv-LV"/>
    </w:rPr>
  </w:style>
  <w:style w:type="paragraph" w:styleId="Header">
    <w:name w:val="header"/>
    <w:basedOn w:val="Normal"/>
    <w:link w:val="HeaderChar"/>
    <w:uiPriority w:val="99"/>
    <w:rsid w:val="003D77D3"/>
    <w:pPr>
      <w:tabs>
        <w:tab w:val="center" w:pos="4153"/>
        <w:tab w:val="right" w:pos="8306"/>
      </w:tabs>
    </w:pPr>
    <w:rPr>
      <w:rFonts w:eastAsia="Calibri"/>
      <w:sz w:val="20"/>
      <w:szCs w:val="20"/>
    </w:rPr>
  </w:style>
  <w:style w:type="character" w:customStyle="1" w:styleId="HeaderChar">
    <w:name w:val="Header Char"/>
    <w:link w:val="Header"/>
    <w:uiPriority w:val="99"/>
    <w:locked/>
    <w:rsid w:val="003D77D3"/>
    <w:rPr>
      <w:rFonts w:ascii="Times New Roman" w:hAnsi="Times New Roman" w:cs="Times New Roman"/>
      <w:sz w:val="20"/>
      <w:lang w:val="lv-LV"/>
    </w:rPr>
  </w:style>
  <w:style w:type="character" w:styleId="Hyperlink">
    <w:name w:val="Hyperlink"/>
    <w:uiPriority w:val="99"/>
    <w:rsid w:val="003D77D3"/>
    <w:rPr>
      <w:rFonts w:ascii="Times New Roman" w:hAnsi="Times New Roman" w:cs="Times New Roman"/>
      <w:color w:val="0000FF"/>
      <w:u w:val="single"/>
      <w:lang w:val="lv-LV"/>
    </w:rPr>
  </w:style>
  <w:style w:type="paragraph" w:customStyle="1" w:styleId="naisf">
    <w:name w:val="naisf"/>
    <w:basedOn w:val="Normal"/>
    <w:uiPriority w:val="99"/>
    <w:rsid w:val="003D77D3"/>
    <w:pPr>
      <w:spacing w:before="75" w:after="75"/>
      <w:ind w:firstLine="375"/>
      <w:jc w:val="both"/>
    </w:pPr>
  </w:style>
  <w:style w:type="paragraph" w:customStyle="1" w:styleId="naiskr">
    <w:name w:val="naiskr"/>
    <w:basedOn w:val="Normal"/>
    <w:uiPriority w:val="99"/>
    <w:rsid w:val="003D77D3"/>
    <w:pPr>
      <w:spacing w:before="75" w:after="75"/>
    </w:pPr>
  </w:style>
  <w:style w:type="paragraph" w:styleId="NormalWeb">
    <w:name w:val="Normal (Web)"/>
    <w:basedOn w:val="Normal"/>
    <w:link w:val="NormalWebChar"/>
    <w:uiPriority w:val="99"/>
    <w:rsid w:val="003D77D3"/>
    <w:pPr>
      <w:spacing w:before="100" w:beforeAutospacing="1" w:after="100" w:afterAutospacing="1"/>
    </w:pPr>
    <w:rPr>
      <w:rFonts w:eastAsia="Calibri"/>
      <w:szCs w:val="20"/>
    </w:rPr>
  </w:style>
  <w:style w:type="character" w:styleId="Strong">
    <w:name w:val="Strong"/>
    <w:uiPriority w:val="99"/>
    <w:qFormat/>
    <w:rsid w:val="003D77D3"/>
    <w:rPr>
      <w:rFonts w:cs="Times New Roman"/>
      <w:b/>
    </w:rPr>
  </w:style>
  <w:style w:type="paragraph" w:customStyle="1" w:styleId="naislab">
    <w:name w:val="naislab"/>
    <w:basedOn w:val="Normal"/>
    <w:uiPriority w:val="99"/>
    <w:rsid w:val="003D77D3"/>
    <w:pPr>
      <w:spacing w:before="75" w:after="75"/>
      <w:jc w:val="right"/>
    </w:pPr>
    <w:rPr>
      <w:rFonts w:eastAsia="Calibri"/>
    </w:rPr>
  </w:style>
  <w:style w:type="character" w:styleId="PageNumber">
    <w:name w:val="page number"/>
    <w:uiPriority w:val="99"/>
    <w:rsid w:val="003D77D3"/>
    <w:rPr>
      <w:rFonts w:cs="Times New Roman"/>
    </w:rPr>
  </w:style>
  <w:style w:type="paragraph" w:customStyle="1" w:styleId="naisnod">
    <w:name w:val="naisnod"/>
    <w:basedOn w:val="Normal"/>
    <w:uiPriority w:val="99"/>
    <w:rsid w:val="003D77D3"/>
    <w:pPr>
      <w:spacing w:before="150" w:after="150"/>
      <w:jc w:val="center"/>
    </w:pPr>
    <w:rPr>
      <w:b/>
      <w:bCs/>
    </w:rPr>
  </w:style>
  <w:style w:type="paragraph" w:styleId="ListParagraph">
    <w:name w:val="List Paragraph"/>
    <w:basedOn w:val="Normal"/>
    <w:uiPriority w:val="99"/>
    <w:qFormat/>
    <w:rsid w:val="00C05C7E"/>
    <w:pPr>
      <w:ind w:left="720"/>
      <w:contextualSpacing/>
    </w:pPr>
  </w:style>
  <w:style w:type="paragraph" w:styleId="BalloonText">
    <w:name w:val="Balloon Text"/>
    <w:basedOn w:val="Normal"/>
    <w:link w:val="BalloonTextChar"/>
    <w:uiPriority w:val="99"/>
    <w:semiHidden/>
    <w:rsid w:val="0076469E"/>
    <w:rPr>
      <w:rFonts w:ascii="Tahoma" w:eastAsia="Calibri" w:hAnsi="Tahoma"/>
      <w:sz w:val="16"/>
      <w:szCs w:val="16"/>
    </w:rPr>
  </w:style>
  <w:style w:type="character" w:customStyle="1" w:styleId="BalloonTextChar">
    <w:name w:val="Balloon Text Char"/>
    <w:link w:val="BalloonText"/>
    <w:uiPriority w:val="99"/>
    <w:semiHidden/>
    <w:locked/>
    <w:rsid w:val="0076469E"/>
    <w:rPr>
      <w:rFonts w:ascii="Tahoma" w:hAnsi="Tahoma" w:cs="Times New Roman"/>
      <w:sz w:val="16"/>
      <w:lang w:val="lv-LV" w:eastAsia="lv-LV"/>
    </w:rPr>
  </w:style>
  <w:style w:type="paragraph" w:styleId="BodyText3">
    <w:name w:val="Body Text 3"/>
    <w:basedOn w:val="Normal"/>
    <w:link w:val="BodyText3Char"/>
    <w:uiPriority w:val="99"/>
    <w:rsid w:val="00155A4D"/>
    <w:pPr>
      <w:spacing w:after="120"/>
    </w:pPr>
    <w:rPr>
      <w:sz w:val="16"/>
      <w:szCs w:val="16"/>
    </w:rPr>
  </w:style>
  <w:style w:type="character" w:customStyle="1" w:styleId="BodyText3Char">
    <w:name w:val="Body Text 3 Char"/>
    <w:link w:val="BodyText3"/>
    <w:uiPriority w:val="99"/>
    <w:locked/>
    <w:rsid w:val="00155A4D"/>
    <w:rPr>
      <w:rFonts w:ascii="Times New Roman" w:hAnsi="Times New Roman" w:cs="Times New Roman"/>
      <w:sz w:val="16"/>
    </w:rPr>
  </w:style>
  <w:style w:type="character" w:customStyle="1" w:styleId="NormalWebChar">
    <w:name w:val="Normal (Web) Char"/>
    <w:link w:val="NormalWeb"/>
    <w:uiPriority w:val="99"/>
    <w:locked/>
    <w:rsid w:val="00155A4D"/>
    <w:rPr>
      <w:rFonts w:ascii="Times New Roman" w:hAnsi="Times New Roman"/>
      <w:sz w:val="24"/>
    </w:rPr>
  </w:style>
  <w:style w:type="paragraph" w:styleId="HTMLPreformatted">
    <w:name w:val="HTML Preformatted"/>
    <w:basedOn w:val="Normal"/>
    <w:link w:val="HTMLPreformattedChar"/>
    <w:uiPriority w:val="99"/>
    <w:rsid w:val="006D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6D4783"/>
    <w:rPr>
      <w:rFonts w:ascii="Courier New" w:hAnsi="Courier New" w:cs="Times New Roman"/>
      <w:sz w:val="20"/>
    </w:rPr>
  </w:style>
  <w:style w:type="paragraph" w:customStyle="1" w:styleId="naisc">
    <w:name w:val="naisc"/>
    <w:basedOn w:val="Normal"/>
    <w:uiPriority w:val="99"/>
    <w:rsid w:val="00B67005"/>
    <w:pPr>
      <w:spacing w:before="75" w:after="75"/>
      <w:jc w:val="center"/>
    </w:pPr>
  </w:style>
  <w:style w:type="paragraph" w:customStyle="1" w:styleId="basetext">
    <w:name w:val="base text"/>
    <w:uiPriority w:val="99"/>
    <w:rsid w:val="00B67005"/>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pPr>
    <w:rPr>
      <w:rFonts w:ascii="Times New Roman" w:eastAsia="Times New Roman" w:hAnsi="Times New Roman"/>
      <w:sz w:val="24"/>
      <w:lang w:val="en-US" w:eastAsia="en-US"/>
    </w:rPr>
  </w:style>
  <w:style w:type="paragraph" w:customStyle="1" w:styleId="tvhtml">
    <w:name w:val="tv_html"/>
    <w:basedOn w:val="Normal"/>
    <w:uiPriority w:val="99"/>
    <w:rsid w:val="000B1A26"/>
    <w:pPr>
      <w:spacing w:before="100" w:beforeAutospacing="1" w:after="100" w:afterAutospacing="1"/>
    </w:pPr>
    <w:rPr>
      <w:rFonts w:ascii="Verdana" w:hAnsi="Verdana"/>
      <w:sz w:val="18"/>
      <w:szCs w:val="18"/>
    </w:rPr>
  </w:style>
  <w:style w:type="table" w:styleId="TableGrid">
    <w:name w:val="Table Grid"/>
    <w:basedOn w:val="TableNormal"/>
    <w:uiPriority w:val="99"/>
    <w:locked/>
    <w:rsid w:val="000B1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40B49"/>
    <w:rPr>
      <w:rFonts w:cs="Times New Roman"/>
      <w:sz w:val="16"/>
    </w:rPr>
  </w:style>
  <w:style w:type="paragraph" w:styleId="CommentText">
    <w:name w:val="annotation text"/>
    <w:basedOn w:val="Normal"/>
    <w:link w:val="CommentTextChar"/>
    <w:uiPriority w:val="99"/>
    <w:semiHidden/>
    <w:rsid w:val="00940B49"/>
    <w:rPr>
      <w:sz w:val="20"/>
      <w:szCs w:val="20"/>
    </w:rPr>
  </w:style>
  <w:style w:type="character" w:customStyle="1" w:styleId="CommentTextChar">
    <w:name w:val="Comment Text Char"/>
    <w:link w:val="CommentText"/>
    <w:uiPriority w:val="99"/>
    <w:semiHidden/>
    <w:locked/>
    <w:rsid w:val="00940B4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40B49"/>
    <w:rPr>
      <w:b/>
      <w:bCs/>
    </w:rPr>
  </w:style>
  <w:style w:type="character" w:customStyle="1" w:styleId="CommentSubjectChar">
    <w:name w:val="Comment Subject Char"/>
    <w:link w:val="CommentSubject"/>
    <w:uiPriority w:val="99"/>
    <w:semiHidden/>
    <w:locked/>
    <w:rsid w:val="00940B49"/>
    <w:rPr>
      <w:rFonts w:ascii="Times New Roman" w:hAnsi="Times New Roman" w:cs="Times New Roman"/>
      <w:b/>
    </w:rPr>
  </w:style>
  <w:style w:type="character" w:customStyle="1" w:styleId="Heading4Char">
    <w:name w:val="Heading 4 Char"/>
    <w:basedOn w:val="DefaultParagraphFont"/>
    <w:link w:val="Heading4"/>
    <w:uiPriority w:val="99"/>
    <w:rsid w:val="00B31ECA"/>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036209">
      <w:bodyDiv w:val="1"/>
      <w:marLeft w:val="0"/>
      <w:marRight w:val="0"/>
      <w:marTop w:val="0"/>
      <w:marBottom w:val="0"/>
      <w:divBdr>
        <w:top w:val="none" w:sz="0" w:space="0" w:color="auto"/>
        <w:left w:val="none" w:sz="0" w:space="0" w:color="auto"/>
        <w:bottom w:val="none" w:sz="0" w:space="0" w:color="auto"/>
        <w:right w:val="none" w:sz="0" w:space="0" w:color="auto"/>
      </w:divBdr>
    </w:div>
    <w:div w:id="1551913815">
      <w:marLeft w:val="45"/>
      <w:marRight w:val="45"/>
      <w:marTop w:val="90"/>
      <w:marBottom w:val="90"/>
      <w:divBdr>
        <w:top w:val="none" w:sz="0" w:space="0" w:color="auto"/>
        <w:left w:val="none" w:sz="0" w:space="0" w:color="auto"/>
        <w:bottom w:val="none" w:sz="0" w:space="0" w:color="auto"/>
        <w:right w:val="none" w:sz="0" w:space="0" w:color="auto"/>
      </w:divBdr>
      <w:divsChild>
        <w:div w:id="1551913819">
          <w:marLeft w:val="0"/>
          <w:marRight w:val="0"/>
          <w:marTop w:val="240"/>
          <w:marBottom w:val="0"/>
          <w:divBdr>
            <w:top w:val="none" w:sz="0" w:space="0" w:color="auto"/>
            <w:left w:val="none" w:sz="0" w:space="0" w:color="auto"/>
            <w:bottom w:val="none" w:sz="0" w:space="0" w:color="auto"/>
            <w:right w:val="none" w:sz="0" w:space="0" w:color="auto"/>
          </w:divBdr>
        </w:div>
      </w:divsChild>
    </w:div>
    <w:div w:id="1551913816">
      <w:marLeft w:val="0"/>
      <w:marRight w:val="0"/>
      <w:marTop w:val="0"/>
      <w:marBottom w:val="0"/>
      <w:divBdr>
        <w:top w:val="none" w:sz="0" w:space="0" w:color="auto"/>
        <w:left w:val="none" w:sz="0" w:space="0" w:color="auto"/>
        <w:bottom w:val="none" w:sz="0" w:space="0" w:color="auto"/>
        <w:right w:val="none" w:sz="0" w:space="0" w:color="auto"/>
      </w:divBdr>
    </w:div>
    <w:div w:id="1551913817">
      <w:marLeft w:val="0"/>
      <w:marRight w:val="0"/>
      <w:marTop w:val="0"/>
      <w:marBottom w:val="0"/>
      <w:divBdr>
        <w:top w:val="none" w:sz="0" w:space="0" w:color="auto"/>
        <w:left w:val="none" w:sz="0" w:space="0" w:color="auto"/>
        <w:bottom w:val="none" w:sz="0" w:space="0" w:color="auto"/>
        <w:right w:val="none" w:sz="0" w:space="0" w:color="auto"/>
      </w:divBdr>
    </w:div>
    <w:div w:id="1551913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anta.malnace@vara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ce.satrovska@varam.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1AAC-5A6F-4B05-AC8E-683E3CD7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2005.gada 2.augusta noteikumos Nr.581 „Medicīnisko ierīču reģistrācijas, atbilstības novērtēšanas, izplatīšanas, ekspluatācijas un tehniskās uzraudzības kārtība”” sākotnējās ietekmes novērtējuma ziņ</vt:lpstr>
    </vt:vector>
  </TitlesOfParts>
  <Company>VARAM</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2005.gada 2.augusta noteikumos Nr.581 „Medicīnisko ierīču reģistrācijas, atbilstības novērtēšanas, izplatīšanas, ekspluatācijas un tehniskās uzraudzības kārtība”” sākotnējās ietekmes novērtējuma ziņojums (anotācija)</dc:title>
  <dc:subject>Ministru kabineta noteikumu anotācija</dc:subject>
  <dc:creator>Dace Šatrovska</dc:creator>
  <cp:keywords/>
  <dc:description>dace.satrovska@varam.gov.lv, 67026521</dc:description>
  <cp:lastModifiedBy>larisat</cp:lastModifiedBy>
  <cp:revision>19</cp:revision>
  <cp:lastPrinted>2012-10-30T11:22:00Z</cp:lastPrinted>
  <dcterms:created xsi:type="dcterms:W3CDTF">2012-10-30T11:29:00Z</dcterms:created>
  <dcterms:modified xsi:type="dcterms:W3CDTF">2014-06-19T08:53:00Z</dcterms:modified>
</cp:coreProperties>
</file>