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4B" w:rsidRPr="00262C09" w:rsidRDefault="005B7C3D" w:rsidP="00C10A4B">
      <w:pPr>
        <w:jc w:val="center"/>
        <w:rPr>
          <w:b/>
          <w:bCs/>
          <w:color w:val="000000"/>
          <w:sz w:val="28"/>
          <w:szCs w:val="28"/>
        </w:rPr>
      </w:pPr>
      <w:r>
        <w:rPr>
          <w:b/>
          <w:bCs/>
          <w:color w:val="000000"/>
          <w:sz w:val="28"/>
          <w:szCs w:val="28"/>
        </w:rPr>
        <w:t>M</w:t>
      </w:r>
      <w:r w:rsidR="00C10A4B" w:rsidRPr="00262C09">
        <w:rPr>
          <w:b/>
          <w:bCs/>
          <w:color w:val="000000"/>
          <w:sz w:val="28"/>
          <w:szCs w:val="28"/>
        </w:rPr>
        <w:t>inistru kabineta noteikumu projekta</w:t>
      </w:r>
      <w:r w:rsidR="00C10A4B" w:rsidRPr="00262C09">
        <w:rPr>
          <w:color w:val="000000"/>
          <w:sz w:val="28"/>
          <w:szCs w:val="28"/>
        </w:rPr>
        <w:t xml:space="preserve"> </w:t>
      </w:r>
      <w:r w:rsidR="00C10A4B" w:rsidRPr="00262C09">
        <w:rPr>
          <w:b/>
          <w:color w:val="000000"/>
          <w:sz w:val="28"/>
          <w:szCs w:val="28"/>
        </w:rPr>
        <w:t>“</w:t>
      </w:r>
      <w:r w:rsidR="00C10A4B" w:rsidRPr="00262C09">
        <w:rPr>
          <w:b/>
          <w:bCs/>
          <w:color w:val="000000"/>
          <w:sz w:val="28"/>
          <w:szCs w:val="28"/>
        </w:rPr>
        <w:t xml:space="preserve">Grozījumi Ministru kabineta 2010. gada 20. jūlija noteikumos Nr.662 “Noteikumi par darbības programmas “Infrastruktūra un pakalpojumi” papildinājuma 3.3.1.6.aktivitāti “Liepājas Karostas ilgtspējīgas attīstības priekšnoteikumu nodrošināšana”” </w:t>
      </w:r>
      <w:r w:rsidR="00C10A4B" w:rsidRPr="00262C09">
        <w:rPr>
          <w:b/>
          <w:color w:val="000000"/>
          <w:sz w:val="28"/>
          <w:szCs w:val="28"/>
        </w:rPr>
        <w:t>sākotnējās ietekmes novērtējuma ziņojums (anotācija)</w:t>
      </w:r>
    </w:p>
    <w:p w:rsidR="00C10A4B" w:rsidRPr="00262C09" w:rsidRDefault="00C10A4B" w:rsidP="00C10A4B">
      <w:pPr>
        <w:pStyle w:val="naisc"/>
        <w:spacing w:before="0" w:after="0"/>
        <w:rPr>
          <w:color w:val="000000"/>
          <w:sz w:val="28"/>
          <w:szCs w:val="28"/>
        </w:rPr>
      </w:pPr>
      <w:bookmarkStart w:id="0" w:name="_GoBack"/>
      <w:bookmarkEnd w:id="0"/>
    </w:p>
    <w:tbl>
      <w:tblPr>
        <w:tblpPr w:leftFromText="180" w:rightFromText="180" w:vertAnchor="text" w:tblpXSpec="right" w:tblpY="1"/>
        <w:tblOverlap w:val="never"/>
        <w:tblW w:w="506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359"/>
        <w:gridCol w:w="2235"/>
        <w:gridCol w:w="35"/>
        <w:gridCol w:w="6703"/>
      </w:tblGrid>
      <w:tr w:rsidR="00C10A4B" w:rsidRPr="00262C09" w:rsidTr="0085566D">
        <w:trPr>
          <w:trHeight w:val="405"/>
          <w:tblCellSpacing w:w="15" w:type="dxa"/>
        </w:trPr>
        <w:tc>
          <w:tcPr>
            <w:tcW w:w="9272" w:type="dxa"/>
            <w:gridSpan w:val="4"/>
            <w:tcBorders>
              <w:top w:val="outset" w:sz="6" w:space="0" w:color="auto"/>
              <w:left w:val="outset" w:sz="6" w:space="0" w:color="auto"/>
              <w:bottom w:val="outset" w:sz="6" w:space="0" w:color="auto"/>
              <w:right w:val="outset" w:sz="6" w:space="0" w:color="auto"/>
            </w:tcBorders>
            <w:vAlign w:val="center"/>
            <w:hideMark/>
          </w:tcPr>
          <w:p w:rsidR="00C10A4B" w:rsidRPr="00262C09" w:rsidRDefault="00C10A4B" w:rsidP="0085566D">
            <w:pPr>
              <w:spacing w:before="100" w:beforeAutospacing="1" w:after="100" w:afterAutospacing="1" w:line="360" w:lineRule="auto"/>
              <w:ind w:firstLine="347"/>
              <w:jc w:val="center"/>
              <w:rPr>
                <w:b/>
                <w:bCs/>
                <w:color w:val="000000"/>
              </w:rPr>
            </w:pPr>
            <w:r w:rsidRPr="00262C09">
              <w:rPr>
                <w:b/>
                <w:bCs/>
                <w:color w:val="000000"/>
              </w:rPr>
              <w:t>I. Tiesību akta projekta izstrādes nepieciešamība</w:t>
            </w:r>
          </w:p>
        </w:tc>
      </w:tr>
      <w:tr w:rsidR="00C10A4B" w:rsidRPr="00262C09" w:rsidTr="0085566D">
        <w:trPr>
          <w:trHeight w:val="405"/>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spacing w:before="100" w:beforeAutospacing="1" w:after="100" w:afterAutospacing="1" w:line="360" w:lineRule="auto"/>
              <w:rPr>
                <w:color w:val="000000"/>
              </w:rPr>
            </w:pPr>
            <w:r w:rsidRPr="00262C09">
              <w:rPr>
                <w:color w:val="000000"/>
              </w:rPr>
              <w:t>1.</w:t>
            </w:r>
          </w:p>
        </w:tc>
        <w:tc>
          <w:tcPr>
            <w:tcW w:w="2206"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rPr>
                <w:color w:val="000000"/>
              </w:rPr>
            </w:pPr>
            <w:r w:rsidRPr="00262C09">
              <w:rPr>
                <w:color w:val="000000"/>
              </w:rPr>
              <w:t>Pamatojums</w:t>
            </w:r>
          </w:p>
        </w:tc>
        <w:tc>
          <w:tcPr>
            <w:tcW w:w="6692" w:type="dxa"/>
            <w:gridSpan w:val="2"/>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jc w:val="both"/>
              <w:rPr>
                <w:color w:val="000000"/>
              </w:rPr>
            </w:pPr>
            <w:r w:rsidRPr="00262C09">
              <w:rPr>
                <w:color w:val="000000"/>
              </w:rPr>
              <w:t>Ministru kabineta noteikumu projektu “G</w:t>
            </w:r>
            <w:r w:rsidRPr="00262C09">
              <w:rPr>
                <w:bCs/>
                <w:color w:val="000000"/>
              </w:rPr>
              <w:t xml:space="preserve">rozījumi Ministru kabineta 2010. gada 20. jūlija noteikumos Nr.662 “Noteikumi par darbības programmas “Infrastruktūra un pakalpojumi” papildinājuma 3.3.1.6.aktivitāti “Liepājas Karostas ilgtspējīgas attīstības priekšnoteikumu nodrošināšana””” </w:t>
            </w:r>
            <w:r w:rsidRPr="00262C09">
              <w:rPr>
                <w:color w:val="000000"/>
              </w:rPr>
              <w:t>(turpmāk – noteikumu projekts) Vides aizsardzības un reģionālās attīstības ministrija (turpmāk – VARAM) izstrādājusi saskaņā ar Eiropas Savienības struktūrfondu un Kohēzijas fonda vadības likuma 18. panta 10. punktu.</w:t>
            </w:r>
          </w:p>
        </w:tc>
      </w:tr>
      <w:tr w:rsidR="00C10A4B" w:rsidRPr="00262C09" w:rsidTr="0085566D">
        <w:trPr>
          <w:trHeight w:val="465"/>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spacing w:before="100" w:beforeAutospacing="1" w:after="100" w:afterAutospacing="1" w:line="360" w:lineRule="auto"/>
              <w:rPr>
                <w:color w:val="000000"/>
              </w:rPr>
            </w:pPr>
            <w:r w:rsidRPr="00262C09">
              <w:rPr>
                <w:color w:val="000000"/>
              </w:rPr>
              <w:t>2.</w:t>
            </w:r>
          </w:p>
        </w:tc>
        <w:tc>
          <w:tcPr>
            <w:tcW w:w="2206"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rPr>
                <w:color w:val="000000"/>
              </w:rPr>
            </w:pPr>
            <w:r w:rsidRPr="00262C09">
              <w:rPr>
                <w:color w:val="000000"/>
              </w:rPr>
              <w:t>Pašreizējā situācija un problēmas, kuru risināšanai tiesību akta projekts izstrādāts, tiesiskā regulējuma mērķis un būtība</w:t>
            </w:r>
          </w:p>
        </w:tc>
        <w:tc>
          <w:tcPr>
            <w:tcW w:w="6692" w:type="dxa"/>
            <w:gridSpan w:val="2"/>
            <w:tcBorders>
              <w:top w:val="outset" w:sz="6" w:space="0" w:color="auto"/>
              <w:left w:val="outset" w:sz="6" w:space="0" w:color="auto"/>
              <w:bottom w:val="outset" w:sz="6" w:space="0" w:color="auto"/>
              <w:right w:val="outset" w:sz="6" w:space="0" w:color="auto"/>
            </w:tcBorders>
          </w:tcPr>
          <w:p w:rsidR="00C10A4B" w:rsidRPr="00262C09" w:rsidRDefault="00C10A4B" w:rsidP="0085566D">
            <w:pPr>
              <w:spacing w:after="120"/>
              <w:jc w:val="both"/>
              <w:rPr>
                <w:color w:val="000000"/>
              </w:rPr>
            </w:pPr>
            <w:r w:rsidRPr="00262C09">
              <w:rPr>
                <w:color w:val="000000"/>
              </w:rPr>
              <w:t xml:space="preserve">2012. gada 16. jūlijā starp Liepājas speciālās ekonomiskās zonas pārvaldi (turpmāk – LSEZ) un VARAM tika noslēgts līgums par projekta Nr.3DP/3.3.1.6.0/12/IPIA/VARAM/001 “Vēsturiski piesārņotas vietas Liepājas ostas Karostas kanāla attīrīšana” īstenošanu. Projektā bija paredzēts veikt Karostas kanāla gultnes attīrīšanu (sanāciju), izņemot no gultnes nogulumus, deponējot tos iepriekš izveidotajā vietā Karostas kanāla austrumu galā. Tā rezultātā tiktu veikta šīs vietas sanācija, kas nozīmētu, ka piesārņotā vieta būtu attīrīta līdz tādai pakāpei, ka turpmāk cilvēku veselība un vide vairs netiktu apdraudēta un attiecīgo teritoriju bez ierobežojumiem būtu iespējams izmantot saimnieciskajai darbībai. Piesārņoto un potenciāli piesārņoto vietu reģistrā Karostas kanālā kā piesārņojuma veids ir norādīta militārās zonas ietekme, kur kanālā savulaik novadīti ūdeņi, kas piesārņoti ar smagajiem metāliem un naftas produktiem. Nogulumi kanālā ir šīs vietas ekoloģisko draudu iemesls. Ķīmiskais piesārņojums kā primārais piesārņojuma veids ir radījis visnelabvēlīgāko ietekmi uz vidi, un tas ietver piesārņojumu ar smagajiem metāliem (dzīvsudrabs, arsēns, cinks, varš, kadmijs, selēns u.c.) un naftas produktiem, kā rezultātā Karostas kanālā izveidojušās “mirušās” zonas, kurās nav konstatējama daudzšūnu organismu klātbūtne. Baltijas jūras kopējā visaptverošā vides rīcības programmā (HELCOM. </w:t>
            </w:r>
            <w:proofErr w:type="spellStart"/>
            <w:r w:rsidRPr="00262C09">
              <w:rPr>
                <w:i/>
                <w:color w:val="000000"/>
              </w:rPr>
              <w:t>The</w:t>
            </w:r>
            <w:proofErr w:type="spellEnd"/>
            <w:r w:rsidRPr="00262C09">
              <w:rPr>
                <w:i/>
                <w:color w:val="000000"/>
              </w:rPr>
              <w:t xml:space="preserve"> </w:t>
            </w:r>
            <w:proofErr w:type="spellStart"/>
            <w:r w:rsidRPr="00262C09">
              <w:rPr>
                <w:i/>
                <w:color w:val="000000"/>
              </w:rPr>
              <w:t>Baltic</w:t>
            </w:r>
            <w:proofErr w:type="spellEnd"/>
            <w:r w:rsidRPr="00262C09">
              <w:rPr>
                <w:i/>
                <w:color w:val="000000"/>
              </w:rPr>
              <w:t xml:space="preserve"> </w:t>
            </w:r>
            <w:proofErr w:type="spellStart"/>
            <w:r w:rsidRPr="00262C09">
              <w:rPr>
                <w:i/>
                <w:color w:val="000000"/>
              </w:rPr>
              <w:t>Sea</w:t>
            </w:r>
            <w:proofErr w:type="spellEnd"/>
            <w:r w:rsidRPr="00262C09">
              <w:rPr>
                <w:i/>
                <w:color w:val="000000"/>
              </w:rPr>
              <w:t xml:space="preserve"> </w:t>
            </w:r>
            <w:proofErr w:type="spellStart"/>
            <w:r w:rsidRPr="00262C09">
              <w:rPr>
                <w:i/>
                <w:color w:val="000000"/>
              </w:rPr>
              <w:t>Joint</w:t>
            </w:r>
            <w:proofErr w:type="spellEnd"/>
            <w:r w:rsidRPr="00262C09">
              <w:rPr>
                <w:i/>
                <w:color w:val="000000"/>
              </w:rPr>
              <w:t xml:space="preserve"> </w:t>
            </w:r>
            <w:proofErr w:type="spellStart"/>
            <w:r w:rsidRPr="00262C09">
              <w:rPr>
                <w:i/>
                <w:color w:val="000000"/>
              </w:rPr>
              <w:t>Comprehensive</w:t>
            </w:r>
            <w:proofErr w:type="spellEnd"/>
            <w:r w:rsidRPr="00262C09">
              <w:rPr>
                <w:i/>
                <w:color w:val="000000"/>
              </w:rPr>
              <w:t xml:space="preserve"> </w:t>
            </w:r>
            <w:proofErr w:type="spellStart"/>
            <w:r w:rsidRPr="00262C09">
              <w:rPr>
                <w:i/>
                <w:color w:val="000000"/>
              </w:rPr>
              <w:t>Environmental</w:t>
            </w:r>
            <w:proofErr w:type="spellEnd"/>
            <w:r w:rsidRPr="00262C09">
              <w:rPr>
                <w:i/>
                <w:color w:val="000000"/>
              </w:rPr>
              <w:t xml:space="preserve"> </w:t>
            </w:r>
            <w:proofErr w:type="spellStart"/>
            <w:r w:rsidRPr="00262C09">
              <w:rPr>
                <w:i/>
                <w:color w:val="000000"/>
              </w:rPr>
              <w:t>Action</w:t>
            </w:r>
            <w:proofErr w:type="spellEnd"/>
            <w:r w:rsidRPr="00262C09">
              <w:rPr>
                <w:i/>
                <w:color w:val="000000"/>
              </w:rPr>
              <w:t xml:space="preserve"> </w:t>
            </w:r>
            <w:proofErr w:type="spellStart"/>
            <w:r w:rsidRPr="00262C09">
              <w:rPr>
                <w:i/>
                <w:color w:val="000000"/>
              </w:rPr>
              <w:t>Programme</w:t>
            </w:r>
            <w:proofErr w:type="spellEnd"/>
            <w:r w:rsidRPr="00262C09">
              <w:rPr>
                <w:color w:val="000000"/>
              </w:rPr>
              <w:t xml:space="preserve">. </w:t>
            </w:r>
            <w:proofErr w:type="spellStart"/>
            <w:r w:rsidRPr="00262C09">
              <w:rPr>
                <w:i/>
                <w:color w:val="000000"/>
              </w:rPr>
              <w:t>Balt</w:t>
            </w:r>
            <w:proofErr w:type="spellEnd"/>
            <w:r w:rsidRPr="00262C09">
              <w:rPr>
                <w:i/>
                <w:color w:val="000000"/>
              </w:rPr>
              <w:t xml:space="preserve"> </w:t>
            </w:r>
            <w:proofErr w:type="spellStart"/>
            <w:r w:rsidRPr="00262C09">
              <w:rPr>
                <w:i/>
                <w:color w:val="000000"/>
              </w:rPr>
              <w:t>Sea</w:t>
            </w:r>
            <w:proofErr w:type="spellEnd"/>
            <w:r w:rsidRPr="00262C09">
              <w:rPr>
                <w:i/>
                <w:color w:val="000000"/>
              </w:rPr>
              <w:t xml:space="preserve"> </w:t>
            </w:r>
            <w:proofErr w:type="spellStart"/>
            <w:r w:rsidRPr="00262C09">
              <w:rPr>
                <w:i/>
                <w:color w:val="000000"/>
              </w:rPr>
              <w:t>Environ</w:t>
            </w:r>
            <w:proofErr w:type="spellEnd"/>
            <w:r w:rsidRPr="00262C09">
              <w:rPr>
                <w:color w:val="000000"/>
              </w:rPr>
              <w:t xml:space="preserve">. </w:t>
            </w:r>
            <w:proofErr w:type="spellStart"/>
            <w:r w:rsidRPr="00262C09">
              <w:rPr>
                <w:i/>
                <w:color w:val="000000"/>
              </w:rPr>
              <w:t>Proc</w:t>
            </w:r>
            <w:proofErr w:type="spellEnd"/>
            <w:r w:rsidRPr="00262C09">
              <w:rPr>
                <w:color w:val="000000"/>
              </w:rPr>
              <w:t xml:space="preserve">. </w:t>
            </w:r>
            <w:r w:rsidRPr="00262C09">
              <w:rPr>
                <w:i/>
                <w:color w:val="000000"/>
              </w:rPr>
              <w:t>No 48.</w:t>
            </w:r>
            <w:r w:rsidRPr="00262C09">
              <w:rPr>
                <w:color w:val="000000"/>
              </w:rPr>
              <w:t xml:space="preserve"> Helsinki, 1993) Liepājas pilsēta un osta (arī Liepājas Karostas kanāls kā ļoti piesārņots objekts) tika iekļauts kā karstais punkts (</w:t>
            </w:r>
            <w:proofErr w:type="spellStart"/>
            <w:r w:rsidRPr="00262C09">
              <w:rPr>
                <w:i/>
                <w:color w:val="000000"/>
              </w:rPr>
              <w:t>hot</w:t>
            </w:r>
            <w:proofErr w:type="spellEnd"/>
            <w:r w:rsidRPr="00262C09">
              <w:rPr>
                <w:i/>
                <w:color w:val="000000"/>
              </w:rPr>
              <w:t xml:space="preserve"> </w:t>
            </w:r>
            <w:proofErr w:type="spellStart"/>
            <w:r w:rsidRPr="00262C09">
              <w:rPr>
                <w:i/>
                <w:color w:val="000000"/>
              </w:rPr>
              <w:t>spot</w:t>
            </w:r>
            <w:proofErr w:type="spellEnd"/>
            <w:r w:rsidRPr="00262C09">
              <w:rPr>
                <w:color w:val="000000"/>
              </w:rPr>
              <w:t xml:space="preserve">), kur piesārņojošās vielas galvenokārt ir naftas produkti un smagie metāli. </w:t>
            </w:r>
          </w:p>
          <w:p w:rsidR="00C10A4B" w:rsidRPr="00262C09" w:rsidRDefault="008535BE" w:rsidP="0085566D">
            <w:pPr>
              <w:spacing w:after="120"/>
              <w:jc w:val="both"/>
              <w:rPr>
                <w:color w:val="000000"/>
              </w:rPr>
            </w:pPr>
            <w:r>
              <w:rPr>
                <w:color w:val="000000"/>
              </w:rPr>
              <w:t>Iepriekš minētā p</w:t>
            </w:r>
            <w:r w:rsidR="00C10A4B" w:rsidRPr="00262C09">
              <w:rPr>
                <w:color w:val="000000"/>
              </w:rPr>
              <w:t>rojekta būvdarbu tāmē darbi tika iedalīti divās grupās – saistītie būvdarbi (sagatavošanās darbi) un Karostas piesārņojuma attīrīšanas darbi (grunts nogulumu izsmelšana).</w:t>
            </w:r>
          </w:p>
          <w:p w:rsidR="00C10A4B" w:rsidRPr="00262C09" w:rsidRDefault="00C10A4B" w:rsidP="0085566D">
            <w:pPr>
              <w:spacing w:after="120"/>
              <w:jc w:val="both"/>
              <w:rPr>
                <w:color w:val="000000"/>
              </w:rPr>
            </w:pPr>
            <w:r w:rsidRPr="00262C09">
              <w:rPr>
                <w:color w:val="000000"/>
              </w:rPr>
              <w:t xml:space="preserve">Uzsākot projektu, sanācijas darbu veicējs veica kanāla zemūdens </w:t>
            </w:r>
            <w:r w:rsidRPr="00262C09">
              <w:rPr>
                <w:color w:val="000000"/>
              </w:rPr>
              <w:lastRenderedPageBreak/>
              <w:t xml:space="preserve">izpēti un konstatēja, ka Karostas kanāla akvatorijā nogrimušo priekšmetu skaits ir daudz lielāks nekā sākotnēji pieejamā dokumentācijā norādītais. Šīs izmaiņas pamatojamas ar izpētē izmantoto mērierīču precizitāti un </w:t>
            </w:r>
            <w:proofErr w:type="spellStart"/>
            <w:r w:rsidRPr="00262C09">
              <w:rPr>
                <w:color w:val="000000"/>
              </w:rPr>
              <w:t>datormodelēšanas</w:t>
            </w:r>
            <w:proofErr w:type="spellEnd"/>
            <w:r w:rsidRPr="00262C09">
              <w:rPr>
                <w:color w:val="000000"/>
              </w:rPr>
              <w:t xml:space="preserve"> rezultātiem. Līdz ar to tika secināts, ka ar projektam piešķirto finansējumu un ar līdz šim plānotā tehnoloģiskā risinājuma izvēli  nav iespējams veikt gan atlūzu un citu ieslēgumu izcelšanu, gan arī piesārņoto nogulumu izsmelšanu, </w:t>
            </w:r>
            <w:r>
              <w:rPr>
                <w:color w:val="000000"/>
              </w:rPr>
              <w:t>kas nepieciešams, lai nodrošinātu projekta mērķa</w:t>
            </w:r>
            <w:r w:rsidRPr="00262C09">
              <w:rPr>
                <w:color w:val="000000"/>
              </w:rPr>
              <w:t xml:space="preserve"> – veikt vēsturiski piesārņotās vietas </w:t>
            </w:r>
            <w:r w:rsidR="002713C9">
              <w:rPr>
                <w:color w:val="000000"/>
              </w:rPr>
              <w:t xml:space="preserve">pilnīgu </w:t>
            </w:r>
            <w:r w:rsidRPr="00262C09">
              <w:rPr>
                <w:color w:val="000000"/>
              </w:rPr>
              <w:t>sanāciju</w:t>
            </w:r>
            <w:r>
              <w:rPr>
                <w:color w:val="000000"/>
              </w:rPr>
              <w:t xml:space="preserve"> - sasniegšanu</w:t>
            </w:r>
            <w:r w:rsidRPr="00262C09">
              <w:rPr>
                <w:color w:val="000000"/>
              </w:rPr>
              <w:t>.</w:t>
            </w:r>
          </w:p>
          <w:p w:rsidR="00C10A4B" w:rsidRPr="00262C09" w:rsidRDefault="00C10A4B" w:rsidP="0085566D">
            <w:pPr>
              <w:spacing w:after="120"/>
              <w:jc w:val="both"/>
              <w:rPr>
                <w:color w:val="000000"/>
              </w:rPr>
            </w:pPr>
            <w:r w:rsidRPr="00262C09">
              <w:rPr>
                <w:color w:val="000000"/>
              </w:rPr>
              <w:t xml:space="preserve">Sākotnējā projekta dokumentācijā vēsturiskais tehnogēnais piesārņojums netika uzrādīts kā nozīmīga projekta sastāvdaļa, tomēr līdzšinējā projekta realizācija ir parādījusi, ka bez tehnogēnā piesārņojuma izcelšanas nav iespējams sekmīgi veikt piesārņoto nogulumu (dūņu) izcelšanu un deponēšanu aiz rievsienas. </w:t>
            </w:r>
          </w:p>
          <w:p w:rsidR="00C10A4B" w:rsidRPr="00262C09" w:rsidRDefault="00C10A4B" w:rsidP="0085566D">
            <w:pPr>
              <w:spacing w:after="120"/>
              <w:jc w:val="both"/>
              <w:rPr>
                <w:color w:val="000000"/>
              </w:rPr>
            </w:pPr>
            <w:r w:rsidRPr="00262C09">
              <w:rPr>
                <w:color w:val="000000"/>
              </w:rPr>
              <w:t xml:space="preserve">2014. gada 7. marta LSEZ valdes sēdē tika pieņemts lēmums lauzt līgumu ar sanācijas darbu veicēju par projekta realizāciju, jo nepieciešams izsludināt jaunu iepirkumu, paredzot tikai atlūzu un citu ieslēgumu izcelšanu no grunts, tādējādi nodrošinot, ka Karostas kanāls tiek sagatavots turpmākajiem sanācijas darbiem. Kā papildu izmaksu apstāklis jāņem vērā arī izcelto ieslēgumu attīrīšana no naftas produktu piesārņojuma, kas nosēdies uz </w:t>
            </w:r>
            <w:r w:rsidR="005421D6">
              <w:rPr>
                <w:color w:val="000000"/>
              </w:rPr>
              <w:t>grunts</w:t>
            </w:r>
            <w:r w:rsidR="00077C0A">
              <w:rPr>
                <w:color w:val="000000"/>
              </w:rPr>
              <w:t>.</w:t>
            </w:r>
            <w:r w:rsidR="0031738E">
              <w:rPr>
                <w:color w:val="000000"/>
              </w:rPr>
              <w:t xml:space="preserve"> Savukārt, kā izmaksas samazinošs faktors būs ieņēmumi no pārstrādei realizētajām otrreizējām izejvielām.</w:t>
            </w:r>
            <w:r w:rsidR="00DC1B77">
              <w:rPr>
                <w:color w:val="000000"/>
              </w:rPr>
              <w:t xml:space="preserve"> </w:t>
            </w:r>
          </w:p>
          <w:p w:rsidR="00C10A4B" w:rsidRPr="00E7390B" w:rsidRDefault="00C10A4B" w:rsidP="0085566D">
            <w:pPr>
              <w:spacing w:after="120"/>
              <w:jc w:val="both"/>
              <w:rPr>
                <w:b/>
                <w:color w:val="000000"/>
              </w:rPr>
            </w:pPr>
            <w:r w:rsidRPr="009B5130">
              <w:rPr>
                <w:color w:val="000000"/>
              </w:rPr>
              <w:t>Koalīcijas partneru darba grupas par Eiropas Savienības struktūrfondu un Kohēzijas fonda jautājumiem 2014. gada 19. marta sēdē tika panākta vienošanās par projekta pārtraukšanu, lemjot par piešķirtā finansējuma pārdali citu projektu īstenošanai.</w:t>
            </w:r>
            <w:r w:rsidRPr="00262C09">
              <w:rPr>
                <w:color w:val="000000"/>
              </w:rPr>
              <w:t xml:space="preserve"> Kā viens no risinājumiem tika norādīts veikt darbus Karostas kanālā, pirms tam izvērtējot to nozīmību vides piesārņojuma samazināšanas veicināšanā.</w:t>
            </w:r>
            <w:r w:rsidR="00E7390B">
              <w:rPr>
                <w:color w:val="000000"/>
              </w:rPr>
              <w:t xml:space="preserve"> </w:t>
            </w:r>
          </w:p>
          <w:p w:rsidR="00C10A4B" w:rsidRPr="00D04DFA" w:rsidRDefault="00C10A4B" w:rsidP="0085566D">
            <w:pPr>
              <w:spacing w:after="120"/>
              <w:jc w:val="both"/>
              <w:rPr>
                <w:color w:val="000000"/>
              </w:rPr>
            </w:pPr>
            <w:r w:rsidRPr="00262C09">
              <w:rPr>
                <w:color w:val="000000"/>
              </w:rPr>
              <w:t>VARAM sadarbībā ar LSEZ, identificējot prioritāri nozīmīgākos darbus, ir izvērtējusi iespējamos projekta īstenošanas scenārijus vēl 200</w:t>
            </w:r>
            <w:r w:rsidR="00171C20">
              <w:rPr>
                <w:color w:val="000000"/>
              </w:rPr>
              <w:t>7.-2013. gada plānošanas perioda ietvaros</w:t>
            </w:r>
            <w:r w:rsidRPr="00262C09">
              <w:rPr>
                <w:color w:val="000000"/>
              </w:rPr>
              <w:t xml:space="preserve"> un secina, ka nozīmīgu ieguvumu turpmākajā Karostas kanāla ilgtspējīgas attīstības veicināšanā sniegs kanāla grunts attīrīšana no tehnogēnā piesārņojuma, nodrošinot iespējas turpmāko sanācijas darbu </w:t>
            </w:r>
            <w:r w:rsidRPr="00D04DFA">
              <w:rPr>
                <w:color w:val="000000"/>
              </w:rPr>
              <w:t xml:space="preserve">veikšanai, </w:t>
            </w:r>
            <w:r w:rsidR="009B5130" w:rsidRPr="00D04DFA">
              <w:rPr>
                <w:color w:val="000000"/>
              </w:rPr>
              <w:t>un sanācijas pilotprojekta īstenošanu,</w:t>
            </w:r>
            <w:r w:rsidR="009B5130">
              <w:rPr>
                <w:color w:val="000000"/>
              </w:rPr>
              <w:t xml:space="preserve"> </w:t>
            </w:r>
            <w:r w:rsidRPr="00262C09">
              <w:rPr>
                <w:color w:val="000000"/>
              </w:rPr>
              <w:t xml:space="preserve">uzlabojot apkārtējās vides stāvokli un, nākotnē plānojot veikt </w:t>
            </w:r>
            <w:r w:rsidR="00171C20">
              <w:rPr>
                <w:color w:val="000000"/>
              </w:rPr>
              <w:t xml:space="preserve">visa kanāla </w:t>
            </w:r>
            <w:r w:rsidR="00DC1B77">
              <w:rPr>
                <w:color w:val="000000"/>
              </w:rPr>
              <w:t xml:space="preserve">pilna apmēra </w:t>
            </w:r>
            <w:r w:rsidRPr="00262C09">
              <w:rPr>
                <w:color w:val="000000"/>
              </w:rPr>
              <w:t xml:space="preserve">sanācijas darbus, iepriekš novēršot iekārtu bojājuma risku, kā arī izvēloties atbilstošu tehnoloģisko risinājumu. </w:t>
            </w:r>
            <w:r>
              <w:rPr>
                <w:color w:val="000000"/>
              </w:rPr>
              <w:t>Minēto darbu veikšanai nepieciešamās kopējās i</w:t>
            </w:r>
            <w:r w:rsidRPr="00262C09">
              <w:rPr>
                <w:color w:val="000000"/>
              </w:rPr>
              <w:t xml:space="preserve">zmaksas </w:t>
            </w:r>
            <w:r>
              <w:rPr>
                <w:color w:val="000000"/>
              </w:rPr>
              <w:t>noteiktas 9 546 394</w:t>
            </w:r>
            <w:r w:rsidRPr="00262C09">
              <w:rPr>
                <w:color w:val="000000"/>
              </w:rPr>
              <w:t xml:space="preserve"> </w:t>
            </w:r>
            <w:r w:rsidRPr="0041743B">
              <w:rPr>
                <w:i/>
                <w:color w:val="000000"/>
              </w:rPr>
              <w:t>euro</w:t>
            </w:r>
            <w:r w:rsidRPr="00262C09">
              <w:rPr>
                <w:color w:val="000000"/>
              </w:rPr>
              <w:t xml:space="preserve"> apmērā</w:t>
            </w:r>
            <w:r w:rsidR="00C5183C">
              <w:rPr>
                <w:color w:val="000000"/>
              </w:rPr>
              <w:t xml:space="preserve">. </w:t>
            </w:r>
            <w:r w:rsidR="00E7390B" w:rsidRPr="00D04DFA">
              <w:rPr>
                <w:color w:val="000000"/>
              </w:rPr>
              <w:t xml:space="preserve">Lai varētu īstenot jauno projektu, MK 2014. gada 17. jūnija sēdē lemts, ka </w:t>
            </w:r>
            <w:r w:rsidR="00C5183C" w:rsidRPr="00D04DFA">
              <w:rPr>
                <w:color w:val="000000"/>
              </w:rPr>
              <w:t xml:space="preserve">Kohēzijas fonda </w:t>
            </w:r>
            <w:r w:rsidR="00E7390B" w:rsidRPr="00D04DFA">
              <w:rPr>
                <w:color w:val="000000"/>
              </w:rPr>
              <w:t>finansējuma atlikums, kas radies, pārtraucot projekta Nr.3DP/3.3.1.6.0/12/IPIA/VARAM/001 “Vēsturiski piesārņotas vietas Liepājas ostas Karostas kanāla attīrīšana”</w:t>
            </w:r>
            <w:r w:rsidR="00211A40" w:rsidRPr="00D04DFA">
              <w:rPr>
                <w:color w:val="000000"/>
              </w:rPr>
              <w:t xml:space="preserve"> īstenošanu</w:t>
            </w:r>
            <w:r w:rsidR="00E7390B" w:rsidRPr="00D04DFA">
              <w:rPr>
                <w:color w:val="000000"/>
              </w:rPr>
              <w:t xml:space="preserve">, var tikt izmantots citu projektu finansēšanai. Līdz ar grozījumiem darbības programmas “Infrastruktūra un </w:t>
            </w:r>
            <w:r w:rsidR="00E7390B" w:rsidRPr="00D04DFA">
              <w:rPr>
                <w:color w:val="000000"/>
              </w:rPr>
              <w:lastRenderedPageBreak/>
              <w:t xml:space="preserve">pakalpojumi” papildinājumā apstiprināta jaunā 3.3.1.6.aktivitātes </w:t>
            </w:r>
            <w:r w:rsidR="00E7390B" w:rsidRPr="00D04DFA">
              <w:rPr>
                <w:bCs/>
                <w:color w:val="000000"/>
              </w:rPr>
              <w:t>“Liepājas Karostas ilgtspējīgas attīstības priekšnoteikumu nodrošināšana””” projekta iecere, kuras finansēšanai izmantojama daļa no līdzekļiem, kas radusies, pārtraucot iepriekš minēto Karostas kanāla attīrīšanas projektu.</w:t>
            </w:r>
            <w:r w:rsidR="00C5183C" w:rsidRPr="00D04DFA">
              <w:rPr>
                <w:bCs/>
                <w:color w:val="000000"/>
              </w:rPr>
              <w:t xml:space="preserve"> </w:t>
            </w:r>
            <w:r w:rsidR="00C5183C" w:rsidRPr="00D04DFA">
              <w:rPr>
                <w:color w:val="000000"/>
              </w:rPr>
              <w:t xml:space="preserve">No Kohēzijas fonda līdzekļiem jaunajam projektam novirzīti 8 114 435 </w:t>
            </w:r>
            <w:r w:rsidR="00C5183C" w:rsidRPr="00D04DFA">
              <w:rPr>
                <w:i/>
                <w:color w:val="000000"/>
              </w:rPr>
              <w:t>euro</w:t>
            </w:r>
            <w:r w:rsidR="00C5183C" w:rsidRPr="00D04DFA">
              <w:rPr>
                <w:color w:val="000000"/>
              </w:rPr>
              <w:t>.</w:t>
            </w:r>
          </w:p>
          <w:p w:rsidR="00C10A4B" w:rsidRPr="00D04DFA" w:rsidRDefault="00C10A4B" w:rsidP="0085566D">
            <w:pPr>
              <w:spacing w:after="120"/>
              <w:jc w:val="both"/>
              <w:rPr>
                <w:color w:val="000000"/>
              </w:rPr>
            </w:pPr>
            <w:r w:rsidRPr="00262C09">
              <w:rPr>
                <w:color w:val="000000"/>
              </w:rPr>
              <w:t xml:space="preserve">Jaunajā projektā paredzēts veikt lielizmēra un mazizmēra </w:t>
            </w:r>
            <w:r w:rsidR="005A3966">
              <w:rPr>
                <w:color w:val="000000"/>
              </w:rPr>
              <w:t xml:space="preserve">fizisko priekšmetu </w:t>
            </w:r>
            <w:r w:rsidR="007A71F3">
              <w:rPr>
                <w:color w:val="000000"/>
              </w:rPr>
              <w:t>izcelšanu un</w:t>
            </w:r>
            <w:r w:rsidRPr="00262C09">
              <w:rPr>
                <w:color w:val="000000"/>
              </w:rPr>
              <w:t xml:space="preserve"> izcelto atkritumu attīrīšanu, nodrošinot to atkārtotu izmantošanu (ja iespējams), tādējādi radot priekšnosacījumus sanācijas darbu – piesārņoto grunts nogulumu izcelšana – veikšanai. </w:t>
            </w:r>
            <w:r w:rsidR="007A71F3">
              <w:rPr>
                <w:color w:val="000000"/>
              </w:rPr>
              <w:t xml:space="preserve"> Papildu objektu izcelšanai, tiks īstenots arī sanācijas pilotprojekts - </w:t>
            </w:r>
            <w:r w:rsidR="007A71F3" w:rsidRPr="00262C09">
              <w:rPr>
                <w:color w:val="000000"/>
              </w:rPr>
              <w:t xml:space="preserve">tiks </w:t>
            </w:r>
            <w:r w:rsidR="007A71F3">
              <w:rPr>
                <w:color w:val="000000"/>
              </w:rPr>
              <w:t>savākti arī</w:t>
            </w:r>
            <w:r w:rsidR="007A71F3" w:rsidRPr="00262C09">
              <w:rPr>
                <w:color w:val="000000"/>
              </w:rPr>
              <w:t xml:space="preserve"> ~ 50 000 m</w:t>
            </w:r>
            <w:r w:rsidR="007A71F3" w:rsidRPr="00262C09">
              <w:rPr>
                <w:color w:val="000000"/>
                <w:vertAlign w:val="superscript"/>
              </w:rPr>
              <w:t>3</w:t>
            </w:r>
            <w:r w:rsidR="007A71F3" w:rsidRPr="00262C09">
              <w:rPr>
                <w:color w:val="000000"/>
              </w:rPr>
              <w:t xml:space="preserve"> piesārņoto no</w:t>
            </w:r>
            <w:r w:rsidR="007A71F3">
              <w:rPr>
                <w:color w:val="000000"/>
              </w:rPr>
              <w:t>gulumu, noglabājot tos aiz rievsienas</w:t>
            </w:r>
            <w:r w:rsidR="007A71F3" w:rsidRPr="00262C09">
              <w:rPr>
                <w:color w:val="000000"/>
              </w:rPr>
              <w:t>.</w:t>
            </w:r>
            <w:r w:rsidR="007A71F3">
              <w:rPr>
                <w:color w:val="000000"/>
              </w:rPr>
              <w:t xml:space="preserve"> </w:t>
            </w:r>
            <w:r w:rsidRPr="00262C09">
              <w:rPr>
                <w:color w:val="000000"/>
              </w:rPr>
              <w:t>Īstenojot visas projektā paredzētās darbības, no tehnogēnā piesārņojuma būs attīrīts Karostas kanāls 78 ha platībā, nodrošinot, ka teritorijā jebkurā brīdī var tikt uzsākti sanācijas darbi. Tādējādi jau šajā projekta fāzē tiks panākts vides stāvokļa uzlabojums, samazinot piesārņojuma tālākas izplatīšanās iespējamību. Darbus plānots veikt, ierobežojot saduļķotā ūdens virzību Baltijas jūras virzienā.</w:t>
            </w:r>
            <w:r w:rsidR="007A71F3">
              <w:rPr>
                <w:color w:val="000000"/>
              </w:rPr>
              <w:t xml:space="preserve"> </w:t>
            </w:r>
            <w:r w:rsidR="007A71F3" w:rsidRPr="00D04DFA">
              <w:rPr>
                <w:color w:val="000000"/>
              </w:rPr>
              <w:t>Tā kā tiks īstenots iepriekš minētais pilotprojekts, kā papildu izmaksu pozīcija plānojama monitoringa tīkla ierīkošana, kas nepieciešama, lai gan īstermiņā, gan ilgtermiņā novērotu iespējamās vides stāvokļa izmaiņas gruntsūdens sastāvā, kad pilotprojekta laikā izceltie piesārņotie nogulumi tiks novietoti aiz rievsienas.</w:t>
            </w:r>
          </w:p>
          <w:p w:rsidR="00E86A2E" w:rsidRDefault="00C10A4B" w:rsidP="0085566D">
            <w:pPr>
              <w:spacing w:after="120"/>
              <w:jc w:val="both"/>
            </w:pPr>
            <w:r w:rsidRPr="00262C09">
              <w:rPr>
                <w:color w:val="000000"/>
              </w:rPr>
              <w:t xml:space="preserve">Šobrīd spēkā esošajos MK 2010. gada 20. jūlija noteikumos Nr.662 “Noteikumi par darbības programmas “Infrastruktūra un pakalpojumi” papildinājuma 3.3.1.6.aktivitāti “Liepājas Karostas ilgtspējīgas attīstības priekšnoteikumu nodrošināšana”” (turpmāk MK noteikumi Nr.662) ir noteikts šāds aktivitātes mērķis – piekrastes teritorijas ilgtspējīga apsaimniekošana, nodrošinot vēsturiski piesārņotā Karostas kanāla sanāciju saskaņā ar Baltijas jūras rīcības plānu. Arī atbalstāmās darbības </w:t>
            </w:r>
            <w:r>
              <w:rPr>
                <w:color w:val="000000"/>
              </w:rPr>
              <w:t xml:space="preserve">ir </w:t>
            </w:r>
            <w:r w:rsidRPr="00262C09">
              <w:rPr>
                <w:color w:val="000000"/>
              </w:rPr>
              <w:t>vērstas uz sanācijas darbu veikšanu – aktivitātes ietvaros tiek atbalstīti</w:t>
            </w:r>
            <w:r w:rsidR="00E86A2E">
              <w:rPr>
                <w:color w:val="000000"/>
              </w:rPr>
              <w:t xml:space="preserve"> </w:t>
            </w:r>
            <w:r w:rsidRPr="00262C09">
              <w:rPr>
                <w:color w:val="000000"/>
              </w:rPr>
              <w:t>sanācijas pasākumi ostas akvatorijā, ja piesārņojums ar smagajiem metāliem un naftas produktiem pārsniedz vides kvalitātes normatīvu robežlielumus.</w:t>
            </w:r>
            <w:r>
              <w:rPr>
                <w:color w:val="000000"/>
              </w:rPr>
              <w:t xml:space="preserve"> Ņemot vērā iepriekš minēto, </w:t>
            </w:r>
            <w:r w:rsidRPr="00262C09">
              <w:rPr>
                <w:color w:val="000000"/>
              </w:rPr>
              <w:t>nepieciešam</w:t>
            </w:r>
            <w:r>
              <w:rPr>
                <w:color w:val="000000"/>
              </w:rPr>
              <w:t>s</w:t>
            </w:r>
            <w:r w:rsidRPr="00262C09">
              <w:rPr>
                <w:color w:val="000000"/>
              </w:rPr>
              <w:t xml:space="preserve"> precizēt MK noteikumus Nr.662, lai kā mērķi noteiktu</w:t>
            </w:r>
            <w:r w:rsidR="00AF3184">
              <w:rPr>
                <w:sz w:val="28"/>
                <w:szCs w:val="28"/>
              </w:rPr>
              <w:t xml:space="preserve"> </w:t>
            </w:r>
            <w:r w:rsidR="00AF3184" w:rsidRPr="00AF3184">
              <w:rPr>
                <w:color w:val="000000"/>
              </w:rPr>
              <w:t>pi</w:t>
            </w:r>
            <w:r w:rsidR="00AF3184">
              <w:rPr>
                <w:color w:val="000000"/>
              </w:rPr>
              <w:t>ekrastes teritorijas ilgtspējīgu</w:t>
            </w:r>
            <w:r w:rsidR="00AF3184" w:rsidRPr="00AF3184">
              <w:rPr>
                <w:color w:val="000000"/>
              </w:rPr>
              <w:t xml:space="preserve"> apsaimniekošana, nodrošinot vēsturiski piesārņotā Karostas </w:t>
            </w:r>
            <w:r w:rsidR="00AF3184" w:rsidRPr="00D04DFA">
              <w:rPr>
                <w:color w:val="000000"/>
              </w:rPr>
              <w:t xml:space="preserve">kanāla sagatavošanu sanācijas darbu veikšanai. Kā atbalstāmās darbības norādāmās </w:t>
            </w:r>
            <w:r w:rsidR="00AF3184" w:rsidRPr="00D04DFA">
              <w:t>sanācijas darbu daļēja</w:t>
            </w:r>
            <w:r w:rsidR="00AF3184">
              <w:t xml:space="preserve"> veikšana</w:t>
            </w:r>
            <w:r w:rsidR="00E86A2E">
              <w:t xml:space="preserve"> ostas akvatorijā, </w:t>
            </w:r>
            <w:r w:rsidR="00E86A2E" w:rsidRPr="00DE1174">
              <w:t xml:space="preserve">likvidējot vēsturisko piesārņojumu, kas šo noteikumu izpratnē nozīmē priekšmetu savākšanu un izcelšanu un atbilstošu apsaimniekošanu un daļēju piesārņoto nogulumu izcelšanu </w:t>
            </w:r>
            <w:r w:rsidR="00E86A2E">
              <w:t>un atbilstošu apsaimniekošanu.</w:t>
            </w:r>
            <w:r w:rsidR="009558AE">
              <w:t xml:space="preserve"> Ņemot vērā, ka jaunā projekta ietvaros plānots veikt arī daļēju sanācijas procesu</w:t>
            </w:r>
            <w:r w:rsidR="00056F94">
              <w:t xml:space="preserve"> (pilotprojekta ietvaros)</w:t>
            </w:r>
            <w:r w:rsidR="009558AE">
              <w:t>, nepieciešams veikt izmaiņas attiecībā uz atseviš</w:t>
            </w:r>
            <w:r w:rsidR="00301FD2">
              <w:t>ķā</w:t>
            </w:r>
            <w:r w:rsidR="009558AE">
              <w:t>m attiecināmo izmaksu pozīcijām, piem</w:t>
            </w:r>
            <w:r w:rsidR="008260F8">
              <w:t>ēram</w:t>
            </w:r>
            <w:r w:rsidR="009558AE">
              <w:t xml:space="preserve">, redakcionāli precizējot noteikumu punktu par </w:t>
            </w:r>
            <w:proofErr w:type="spellStart"/>
            <w:r w:rsidR="009558AE">
              <w:t>pēcsanācijas</w:t>
            </w:r>
            <w:proofErr w:type="spellEnd"/>
            <w:r w:rsidR="009558AE">
              <w:t xml:space="preserve"> monitoringa </w:t>
            </w:r>
            <w:r w:rsidR="009558AE">
              <w:lastRenderedPageBreak/>
              <w:t>aprīkojumu.</w:t>
            </w:r>
          </w:p>
          <w:p w:rsidR="004C3539" w:rsidRPr="00D04DFA" w:rsidRDefault="008C4459" w:rsidP="003A635A">
            <w:pPr>
              <w:spacing w:after="120"/>
              <w:jc w:val="both"/>
              <w:rPr>
                <w:color w:val="000000"/>
              </w:rPr>
            </w:pPr>
            <w:r w:rsidRPr="00D04DFA">
              <w:rPr>
                <w:color w:val="000000"/>
              </w:rPr>
              <w:t xml:space="preserve">Šobrīd MK noteikumos Nr.662 paredzēta tikai viena projektu iesniegumu atlases kārta, kuras ietvaros vienošanās par projekta īstenošanu ir izbeigta. </w:t>
            </w:r>
            <w:r w:rsidR="004C3539" w:rsidRPr="00D04DFA">
              <w:rPr>
                <w:color w:val="000000"/>
              </w:rPr>
              <w:t xml:space="preserve">Piemērojot šobrīd spēkā esošo MK noteikumu Nr.662 redakciju, jaunā projekta iecere nevarētu tikt apstiprināta, jo tās apstiprināšanai ir jāpiemēro citi projektu iesniegumu vērtēšanas kritēriji. Tādējādi, lai nodalītu iepriekš īstenoto projektu no jaunās projekta ieceres, administratīvo nolūku dēļ noteikumu projekts paredz aktivitāti īstenot divās projektu iesniegumu atlases kārtās. </w:t>
            </w:r>
          </w:p>
          <w:p w:rsidR="00B70BBF" w:rsidRDefault="00B70BBF" w:rsidP="0085566D">
            <w:pPr>
              <w:spacing w:after="120"/>
              <w:jc w:val="both"/>
              <w:rPr>
                <w:color w:val="000000"/>
              </w:rPr>
            </w:pPr>
            <w:r>
              <w:rPr>
                <w:color w:val="000000"/>
              </w:rPr>
              <w:t>Papildus jāņem vērā, ka saskaņā ar panākto vienošanos priekšdarbi Karostas sanācijas veikšanai, ko plānots īstenot saskaņā ar VARAM sagatavotajiem grozījumiem</w:t>
            </w:r>
            <w:r w:rsidRPr="00262C09">
              <w:rPr>
                <w:color w:val="000000"/>
              </w:rPr>
              <w:t xml:space="preserve"> </w:t>
            </w:r>
            <w:r>
              <w:rPr>
                <w:color w:val="000000"/>
              </w:rPr>
              <w:t>MK noteikumos</w:t>
            </w:r>
            <w:r w:rsidRPr="00262C09">
              <w:rPr>
                <w:color w:val="000000"/>
              </w:rPr>
              <w:t xml:space="preserve"> Nr.662</w:t>
            </w:r>
            <w:r>
              <w:rPr>
                <w:color w:val="000000"/>
              </w:rPr>
              <w:t xml:space="preserve">, būs tikai </w:t>
            </w:r>
            <w:r w:rsidRPr="00B70BBF">
              <w:rPr>
                <w:color w:val="000000"/>
              </w:rPr>
              <w:t xml:space="preserve">viens no </w:t>
            </w:r>
            <w:r>
              <w:rPr>
                <w:color w:val="000000"/>
              </w:rPr>
              <w:t xml:space="preserve">kopējā Karostas </w:t>
            </w:r>
            <w:r w:rsidRPr="00B70BBF">
              <w:rPr>
                <w:color w:val="000000"/>
              </w:rPr>
              <w:t>sanācijas projekta posmiem</w:t>
            </w:r>
            <w:r>
              <w:rPr>
                <w:color w:val="000000"/>
              </w:rPr>
              <w:t>, un projekta iesniedzējam būs</w:t>
            </w:r>
            <w:r w:rsidRPr="00B70BBF">
              <w:rPr>
                <w:color w:val="000000"/>
              </w:rPr>
              <w:t xml:space="preserve"> </w:t>
            </w:r>
            <w:r>
              <w:rPr>
                <w:color w:val="000000"/>
              </w:rPr>
              <w:t>jānodrošina</w:t>
            </w:r>
            <w:r w:rsidRPr="00B70BBF">
              <w:rPr>
                <w:color w:val="000000"/>
              </w:rPr>
              <w:t xml:space="preserve"> vēsturiski pie</w:t>
            </w:r>
            <w:r>
              <w:rPr>
                <w:color w:val="000000"/>
              </w:rPr>
              <w:t xml:space="preserve">sārņotā Karostas kanāla </w:t>
            </w:r>
            <w:r w:rsidR="004531CC">
              <w:rPr>
                <w:color w:val="000000"/>
              </w:rPr>
              <w:t xml:space="preserve">pilnīga </w:t>
            </w:r>
            <w:r>
              <w:rPr>
                <w:color w:val="000000"/>
              </w:rPr>
              <w:t>sanācija</w:t>
            </w:r>
            <w:r w:rsidRPr="00B70BBF">
              <w:rPr>
                <w:color w:val="000000"/>
              </w:rPr>
              <w:t xml:space="preserve"> ne vēlāk kā līdz 2028. gadam.</w:t>
            </w:r>
            <w:r w:rsidR="00AF3184">
              <w:rPr>
                <w:color w:val="000000"/>
              </w:rPr>
              <w:t xml:space="preserve"> Nākotnē īstenojamā pilnīgā sanācijas projekta finansēšanu veiks LSEZ no saviem līdzekļiem, iespēju robežās piesaistot citus finansējuma avotus, piemēram, no dažādiem ārvalstu finanšu palīdzības līdzekļiem.</w:t>
            </w:r>
          </w:p>
          <w:p w:rsidR="00C10A4B" w:rsidRPr="00262C09" w:rsidRDefault="00C10A4B" w:rsidP="0085566D">
            <w:pPr>
              <w:spacing w:after="120"/>
              <w:jc w:val="both"/>
              <w:rPr>
                <w:color w:val="000000"/>
              </w:rPr>
            </w:pPr>
            <w:r w:rsidRPr="00262C09">
              <w:rPr>
                <w:color w:val="000000"/>
              </w:rPr>
              <w:t xml:space="preserve">MK noteikumos Nr.662 kā projekta īstenošanas gala termiņš noteikts 2015. gada 1. oktobris. Lai mērķtiecīgi un efektīvi izmantotu pieejamo Kohēzijas fonda finansējumu, ņemot vērā plānotā projekta ieviešanas gaitu un administratīvo procedūru laika ietvaru, kā arī lai mazinātu n+3 risku, MK noteikumu projekts paredz pagarināt projektu ieviešanas termiņu līdz 2015. gada 31. decembrim (noteikumu projekta </w:t>
            </w:r>
            <w:r w:rsidR="00C31BB3">
              <w:rPr>
                <w:color w:val="000000"/>
              </w:rPr>
              <w:t>12</w:t>
            </w:r>
            <w:r w:rsidRPr="00262C09">
              <w:rPr>
                <w:color w:val="000000"/>
              </w:rPr>
              <w:t>.punkts). Izsakot MK noteikumu Nr.662 31.1.apakšpunktu jaunā redakcijā, par izmaksu attiecināmības sākuma periodu tiek noteikts 2010. gada 4. augusts (MK noteikumu Nr.662 spēkā stāšanās datums), kas projekta iesniedzējam dotu iespēju jau šobrīd (pirms otrajā projektu iesniegumu atlases kārtā iesniegtā projekta apstiprināšanas) uzsākt darbību īstenošanu (projekta noraidīšanas gadījumā izmaksas sedz projekta iesniedzējs).</w:t>
            </w:r>
          </w:p>
          <w:p w:rsidR="00C10A4B" w:rsidRPr="00262C09" w:rsidRDefault="00C10A4B" w:rsidP="0085566D">
            <w:pPr>
              <w:spacing w:after="120"/>
              <w:jc w:val="both"/>
              <w:rPr>
                <w:color w:val="000000"/>
              </w:rPr>
            </w:pPr>
            <w:r w:rsidRPr="00262C09">
              <w:rPr>
                <w:color w:val="000000"/>
              </w:rPr>
              <w:t>Eiropas Savienības fondu Uzraudzības komitejā 2014. gada 22. maijā ir pieņemts lēmums Nr. L-2014/6, ar kuru apstiprināti VARAM izstrādātie grozījumi 3.3.1.6.aktivitātes “Liepājas Karostas ilgtspējīgas attīstības priekšnoteikumu nodrošināšana” projektu iesniegumu v</w:t>
            </w:r>
            <w:r>
              <w:rPr>
                <w:color w:val="000000"/>
              </w:rPr>
              <w:t>ērtēšanas kritērijos. Grozījumi kritērijos izstrādāti</w:t>
            </w:r>
            <w:r w:rsidRPr="00262C09">
              <w:rPr>
                <w:color w:val="000000"/>
              </w:rPr>
              <w:t xml:space="preserve">, jo esošā kritēriju redakcija paredzēta sanācijas projekta īstenošanai, nevis tāda projekta vērtēšanai, kas paredz veikt sagatavošanos sanācijas darbu veikšanai. Papildu redakcionāliem grozījumiem iekļauts kritērijs par projekta iesniedzēja apliecinājumu īstenot sanācijas projektu (plānotā projekta sekojošā fāze) līdz 2028. gadam, kas saskan ar maksimāli iespējamo Jūras stratēģijas pamatdirektīvas pasākumu programmā iekļauto projektu īstenošanas termiņu (Latvijas pasākumu programma jāizstrādā līdz 2015. gadam, kurā jānorāda konkrēti pasākumi, kas tiks veikti, lai panāktu </w:t>
            </w:r>
            <w:r w:rsidRPr="00262C09">
              <w:rPr>
                <w:color w:val="000000"/>
              </w:rPr>
              <w:lastRenderedPageBreak/>
              <w:t>labu jūras vides stāvokli. Indikatīvi Karostas sanācijas projekts varētu tikt iekļauts šajā pasākumu programmā, ja vien netiks rasts finansējums sanācijas darbu veikšanai vēl 2014. gadā).</w:t>
            </w:r>
          </w:p>
          <w:p w:rsidR="00C10A4B" w:rsidRPr="00BF57B6" w:rsidRDefault="00C10A4B" w:rsidP="0085566D">
            <w:pPr>
              <w:pStyle w:val="EE-paragrCharChar"/>
              <w:numPr>
                <w:ilvl w:val="0"/>
                <w:numId w:val="0"/>
              </w:numPr>
              <w:rPr>
                <w:rFonts w:ascii="Times New Roman" w:hAnsi="Times New Roman" w:cs="Times New Roman"/>
                <w:color w:val="000000"/>
                <w:lang w:eastAsia="lv-LV"/>
              </w:rPr>
            </w:pPr>
            <w:r w:rsidRPr="00BF57B6">
              <w:rPr>
                <w:rFonts w:ascii="Times New Roman" w:hAnsi="Times New Roman" w:cs="Times New Roman"/>
                <w:color w:val="000000"/>
                <w:lang w:eastAsia="lv-LV"/>
              </w:rPr>
              <w:t>Noteikumu projekts paredz:</w:t>
            </w:r>
          </w:p>
          <w:p w:rsidR="00C10A4B" w:rsidRPr="00BF57B6" w:rsidRDefault="00C10A4B" w:rsidP="0085566D">
            <w:pPr>
              <w:pStyle w:val="EE-paragrCharChar"/>
              <w:rPr>
                <w:rFonts w:ascii="Times New Roman" w:hAnsi="Times New Roman" w:cs="Times New Roman"/>
                <w:color w:val="000000"/>
                <w:lang w:eastAsia="lv-LV"/>
              </w:rPr>
            </w:pPr>
            <w:r w:rsidRPr="00BF57B6">
              <w:rPr>
                <w:rFonts w:ascii="Times New Roman" w:hAnsi="Times New Roman" w:cs="Times New Roman"/>
                <w:color w:val="000000"/>
                <w:lang w:eastAsia="lv-LV"/>
              </w:rPr>
              <w:t xml:space="preserve">precizēt 3.3.1.6.aktivitātes “Liepājas Karostas ilgtspējīgas attīstības priekšnoteikumu nodrošināšana” mērķi un </w:t>
            </w:r>
            <w:r w:rsidR="00C31BB3">
              <w:rPr>
                <w:rFonts w:ascii="Times New Roman" w:hAnsi="Times New Roman" w:cs="Times New Roman"/>
                <w:b/>
                <w:color w:val="000000"/>
                <w:lang w:eastAsia="lv-LV"/>
              </w:rPr>
              <w:t xml:space="preserve">aktivitātes īstenošanas vispārīgos nosacījumus </w:t>
            </w:r>
            <w:r w:rsidRPr="00BF57B6">
              <w:rPr>
                <w:rFonts w:ascii="Times New Roman" w:hAnsi="Times New Roman" w:cs="Times New Roman"/>
                <w:color w:val="000000"/>
                <w:lang w:eastAsia="lv-LV"/>
              </w:rPr>
              <w:t>(noteikumu projekta 1. un 2.punkts);</w:t>
            </w:r>
          </w:p>
          <w:p w:rsidR="00C10A4B" w:rsidRPr="00BF57B6" w:rsidRDefault="00C10A4B" w:rsidP="0085566D">
            <w:pPr>
              <w:pStyle w:val="EE-paragrCharChar"/>
              <w:rPr>
                <w:rFonts w:ascii="Times New Roman" w:hAnsi="Times New Roman" w:cs="Times New Roman"/>
                <w:color w:val="000000"/>
                <w:lang w:eastAsia="lv-LV"/>
              </w:rPr>
            </w:pPr>
            <w:r w:rsidRPr="00BF57B6">
              <w:rPr>
                <w:rFonts w:ascii="Times New Roman" w:hAnsi="Times New Roman" w:cs="Times New Roman"/>
                <w:color w:val="000000"/>
                <w:lang w:eastAsia="lv-LV"/>
              </w:rPr>
              <w:t>precizēt atbalstāmās darbības un attiecināmo izmaksu pozīcijas (noteikumu projekta 3.–6.punkts), svītrojot tieši ar sanācijas projekta īstenošanu saistītas izmaksas un iekļaujot tādas attiecināmās izmaksas, kas galvenokārt ir vērstas uz priekšdarbiem sanācijas veikšanai ostas akvatorijā;</w:t>
            </w:r>
          </w:p>
          <w:p w:rsidR="00C10A4B" w:rsidRPr="00BF57B6" w:rsidRDefault="00C10A4B" w:rsidP="0085566D">
            <w:pPr>
              <w:pStyle w:val="EE-paragrCharChar"/>
              <w:rPr>
                <w:rFonts w:ascii="Times New Roman" w:hAnsi="Times New Roman" w:cs="Times New Roman"/>
                <w:color w:val="000000"/>
                <w:lang w:eastAsia="lv-LV"/>
              </w:rPr>
            </w:pPr>
            <w:r w:rsidRPr="00BF57B6">
              <w:rPr>
                <w:rFonts w:ascii="Times New Roman" w:hAnsi="Times New Roman" w:cs="Times New Roman"/>
                <w:color w:val="000000"/>
                <w:lang w:eastAsia="lv-LV"/>
              </w:rPr>
              <w:t>izsludināt otro projektu iesniegumu atlas</w:t>
            </w:r>
            <w:r w:rsidR="00C31BB3">
              <w:rPr>
                <w:rFonts w:ascii="Times New Roman" w:hAnsi="Times New Roman" w:cs="Times New Roman"/>
                <w:color w:val="000000"/>
                <w:lang w:eastAsia="lv-LV"/>
              </w:rPr>
              <w:t>es kārtu (noteikumu projekta 7. un 8</w:t>
            </w:r>
            <w:r w:rsidRPr="00BF57B6">
              <w:rPr>
                <w:rFonts w:ascii="Times New Roman" w:hAnsi="Times New Roman" w:cs="Times New Roman"/>
                <w:color w:val="000000"/>
                <w:lang w:eastAsia="lv-LV"/>
              </w:rPr>
              <w:t>.punkts);</w:t>
            </w:r>
          </w:p>
          <w:p w:rsidR="00C10A4B" w:rsidRPr="00BF57B6" w:rsidRDefault="00C10A4B" w:rsidP="0085566D">
            <w:pPr>
              <w:pStyle w:val="EE-paragrCharChar"/>
              <w:rPr>
                <w:rFonts w:ascii="Times New Roman" w:hAnsi="Times New Roman" w:cs="Times New Roman"/>
                <w:color w:val="000000"/>
                <w:lang w:eastAsia="lv-LV"/>
              </w:rPr>
            </w:pPr>
            <w:r w:rsidRPr="00BF57B6">
              <w:rPr>
                <w:rFonts w:ascii="Times New Roman" w:hAnsi="Times New Roman" w:cs="Times New Roman"/>
                <w:color w:val="000000"/>
                <w:lang w:eastAsia="lv-LV"/>
              </w:rPr>
              <w:t xml:space="preserve">precizēt projektu iesniegumu veidlapu, jo esošā veidlapas redakcija piemērota sanācijas projekta iesnieguma sagatavošanai (noteikumu projekta </w:t>
            </w:r>
            <w:r w:rsidR="00C31BB3">
              <w:rPr>
                <w:rFonts w:ascii="Times New Roman" w:hAnsi="Times New Roman" w:cs="Times New Roman"/>
                <w:color w:val="000000"/>
                <w:lang w:eastAsia="lv-LV"/>
              </w:rPr>
              <w:t>14</w:t>
            </w:r>
            <w:r w:rsidRPr="00BF57B6">
              <w:rPr>
                <w:rFonts w:ascii="Times New Roman" w:hAnsi="Times New Roman" w:cs="Times New Roman"/>
                <w:color w:val="000000"/>
                <w:lang w:eastAsia="lv-LV"/>
              </w:rPr>
              <w:t>.-</w:t>
            </w:r>
            <w:r w:rsidR="00C31BB3">
              <w:rPr>
                <w:rFonts w:ascii="Times New Roman" w:hAnsi="Times New Roman" w:cs="Times New Roman"/>
                <w:color w:val="000000"/>
                <w:lang w:eastAsia="lv-LV"/>
              </w:rPr>
              <w:t>19</w:t>
            </w:r>
            <w:r w:rsidRPr="00BF57B6">
              <w:rPr>
                <w:rFonts w:ascii="Times New Roman" w:hAnsi="Times New Roman" w:cs="Times New Roman"/>
                <w:color w:val="000000"/>
                <w:lang w:eastAsia="lv-LV"/>
              </w:rPr>
              <w:t>.punkts);</w:t>
            </w:r>
          </w:p>
          <w:p w:rsidR="00C10A4B" w:rsidRPr="00BF57B6" w:rsidRDefault="00C10A4B" w:rsidP="0085566D">
            <w:pPr>
              <w:pStyle w:val="EE-paragrCharChar"/>
              <w:rPr>
                <w:rFonts w:ascii="Times New Roman" w:hAnsi="Times New Roman" w:cs="Times New Roman"/>
                <w:color w:val="000000"/>
                <w:lang w:eastAsia="lv-LV"/>
              </w:rPr>
            </w:pPr>
            <w:r w:rsidRPr="00BF57B6">
              <w:rPr>
                <w:rFonts w:ascii="Times New Roman" w:hAnsi="Times New Roman" w:cs="Times New Roman"/>
                <w:color w:val="000000"/>
                <w:lang w:eastAsia="lv-LV"/>
              </w:rPr>
              <w:t xml:space="preserve">jaunā redakcijā izteikt MK noteikumu Nr.662 3.pielikumu “Kohēzijas fonda projektu iesniegumu vērtēšanas veidlapa”, kurā ietverti projektu iesniegumu vērtēšanas kritēriji, kā arī veikt atbilstošus precizējumus projektu iesniegumu vērtēšanas kārtībā (noteikumu projekta </w:t>
            </w:r>
            <w:r w:rsidR="00C31BB3">
              <w:rPr>
                <w:rFonts w:ascii="Times New Roman" w:hAnsi="Times New Roman" w:cs="Times New Roman"/>
                <w:color w:val="000000"/>
                <w:lang w:eastAsia="lv-LV"/>
              </w:rPr>
              <w:t>9</w:t>
            </w:r>
            <w:r w:rsidRPr="00BF57B6">
              <w:rPr>
                <w:rFonts w:ascii="Times New Roman" w:hAnsi="Times New Roman" w:cs="Times New Roman"/>
                <w:color w:val="000000"/>
                <w:lang w:eastAsia="lv-LV"/>
              </w:rPr>
              <w:t>.-</w:t>
            </w:r>
            <w:r w:rsidR="00C31BB3">
              <w:rPr>
                <w:rFonts w:ascii="Times New Roman" w:hAnsi="Times New Roman" w:cs="Times New Roman"/>
                <w:color w:val="000000"/>
                <w:lang w:eastAsia="lv-LV"/>
              </w:rPr>
              <w:t>11</w:t>
            </w:r>
            <w:r w:rsidRPr="00BF57B6">
              <w:rPr>
                <w:rFonts w:ascii="Times New Roman" w:hAnsi="Times New Roman" w:cs="Times New Roman"/>
                <w:color w:val="000000"/>
                <w:lang w:eastAsia="lv-LV"/>
              </w:rPr>
              <w:t xml:space="preserve">., </w:t>
            </w:r>
            <w:r w:rsidR="00C31BB3">
              <w:rPr>
                <w:rFonts w:ascii="Times New Roman" w:hAnsi="Times New Roman" w:cs="Times New Roman"/>
                <w:color w:val="000000"/>
                <w:lang w:eastAsia="lv-LV"/>
              </w:rPr>
              <w:t>20</w:t>
            </w:r>
            <w:r w:rsidRPr="00BF57B6">
              <w:rPr>
                <w:rFonts w:ascii="Times New Roman" w:hAnsi="Times New Roman" w:cs="Times New Roman"/>
                <w:color w:val="000000"/>
                <w:lang w:eastAsia="lv-LV"/>
              </w:rPr>
              <w:t>.punkts);</w:t>
            </w:r>
          </w:p>
          <w:p w:rsidR="00C10A4B" w:rsidRPr="0058292D" w:rsidRDefault="00C10A4B" w:rsidP="00C31BB3">
            <w:pPr>
              <w:pStyle w:val="EE-paragrCharChar"/>
              <w:rPr>
                <w:color w:val="000000"/>
                <w:lang w:eastAsia="lv-LV"/>
              </w:rPr>
            </w:pPr>
            <w:r w:rsidRPr="00BF57B6">
              <w:rPr>
                <w:rFonts w:ascii="Times New Roman" w:hAnsi="Times New Roman" w:cs="Times New Roman"/>
                <w:color w:val="000000"/>
                <w:lang w:eastAsia="lv-LV"/>
              </w:rPr>
              <w:t xml:space="preserve">svītrot MK noteikumu Nr.662 4.pielikumu “Uzraudzība pēc projekta īstenošanas”, nosacījumus par projekta uzraudzību ietverot MK noteikumu Nr.662 36.punktā (noteikumu projekta </w:t>
            </w:r>
            <w:r w:rsidR="00C31BB3">
              <w:rPr>
                <w:rFonts w:ascii="Times New Roman" w:hAnsi="Times New Roman" w:cs="Times New Roman"/>
                <w:color w:val="000000"/>
                <w:lang w:eastAsia="lv-LV"/>
              </w:rPr>
              <w:t>13</w:t>
            </w:r>
            <w:r w:rsidRPr="00BF57B6">
              <w:rPr>
                <w:rFonts w:ascii="Times New Roman" w:hAnsi="Times New Roman" w:cs="Times New Roman"/>
                <w:color w:val="000000"/>
                <w:lang w:eastAsia="lv-LV"/>
              </w:rPr>
              <w:t xml:space="preserve">. un </w:t>
            </w:r>
            <w:r w:rsidR="00C31BB3">
              <w:rPr>
                <w:rFonts w:ascii="Times New Roman" w:hAnsi="Times New Roman" w:cs="Times New Roman"/>
                <w:color w:val="000000"/>
                <w:lang w:eastAsia="lv-LV"/>
              </w:rPr>
              <w:t>21</w:t>
            </w:r>
            <w:r w:rsidRPr="00BF57B6">
              <w:rPr>
                <w:rFonts w:ascii="Times New Roman" w:hAnsi="Times New Roman" w:cs="Times New Roman"/>
                <w:color w:val="000000"/>
                <w:lang w:eastAsia="lv-LV"/>
              </w:rPr>
              <w:t>.punkts).</w:t>
            </w:r>
          </w:p>
        </w:tc>
      </w:tr>
      <w:tr w:rsidR="00C10A4B" w:rsidRPr="00262C09" w:rsidTr="0085566D">
        <w:trPr>
          <w:trHeight w:val="465"/>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spacing w:before="100" w:beforeAutospacing="1" w:after="100" w:afterAutospacing="1" w:line="360" w:lineRule="auto"/>
              <w:rPr>
                <w:color w:val="000000"/>
              </w:rPr>
            </w:pPr>
            <w:r w:rsidRPr="00262C09">
              <w:rPr>
                <w:color w:val="000000"/>
              </w:rPr>
              <w:lastRenderedPageBreak/>
              <w:t>3.</w:t>
            </w:r>
          </w:p>
        </w:tc>
        <w:tc>
          <w:tcPr>
            <w:tcW w:w="2206"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rPr>
                <w:color w:val="000000"/>
              </w:rPr>
            </w:pPr>
            <w:r w:rsidRPr="00262C09">
              <w:rPr>
                <w:color w:val="000000"/>
              </w:rPr>
              <w:t>Projekta izstrādē iesaistītās institūcijas</w:t>
            </w:r>
          </w:p>
        </w:tc>
        <w:tc>
          <w:tcPr>
            <w:tcW w:w="6692" w:type="dxa"/>
            <w:gridSpan w:val="2"/>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rPr>
                <w:color w:val="000000"/>
              </w:rPr>
            </w:pPr>
            <w:r w:rsidRPr="00262C09">
              <w:rPr>
                <w:color w:val="000000"/>
              </w:rPr>
              <w:t>Projekts šo jomu neskar.</w:t>
            </w:r>
          </w:p>
        </w:tc>
      </w:tr>
      <w:tr w:rsidR="00C10A4B" w:rsidRPr="00262C09" w:rsidTr="0085566D">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spacing w:before="100" w:beforeAutospacing="1" w:after="100" w:afterAutospacing="1" w:line="360" w:lineRule="auto"/>
              <w:rPr>
                <w:color w:val="000000"/>
              </w:rPr>
            </w:pPr>
            <w:r w:rsidRPr="00262C09">
              <w:rPr>
                <w:color w:val="000000"/>
              </w:rPr>
              <w:t>4.</w:t>
            </w:r>
          </w:p>
        </w:tc>
        <w:tc>
          <w:tcPr>
            <w:tcW w:w="2206"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rPr>
                <w:color w:val="000000"/>
              </w:rPr>
            </w:pPr>
            <w:r w:rsidRPr="00262C09">
              <w:rPr>
                <w:color w:val="000000"/>
              </w:rPr>
              <w:t>Cita informācija</w:t>
            </w:r>
          </w:p>
        </w:tc>
        <w:tc>
          <w:tcPr>
            <w:tcW w:w="6692" w:type="dxa"/>
            <w:gridSpan w:val="2"/>
            <w:tcBorders>
              <w:top w:val="outset" w:sz="6" w:space="0" w:color="auto"/>
              <w:left w:val="outset" w:sz="6" w:space="0" w:color="auto"/>
              <w:bottom w:val="outset" w:sz="6" w:space="0" w:color="auto"/>
              <w:right w:val="outset" w:sz="6" w:space="0" w:color="auto"/>
            </w:tcBorders>
            <w:hideMark/>
          </w:tcPr>
          <w:p w:rsidR="004531CC" w:rsidRPr="004531CC" w:rsidRDefault="00C10A4B" w:rsidP="0085566D">
            <w:pPr>
              <w:spacing w:after="120"/>
              <w:jc w:val="both"/>
            </w:pPr>
            <w:r w:rsidRPr="004531CC">
              <w:t xml:space="preserve">Noteikumu projekts </w:t>
            </w:r>
            <w:r w:rsidR="00612245" w:rsidRPr="004531CC">
              <w:t>saistīts ar MK 2014. gada 20. jūnija rīkojumu</w:t>
            </w:r>
            <w:r w:rsidR="00BE4F51" w:rsidRPr="004531CC">
              <w:t xml:space="preserve"> Nr.317 (prot.Nr.33 76.§) “Grozījumi darbības programmas “Infrastruktūra un pakalpojumi” papildinājumā”.</w:t>
            </w:r>
            <w:r w:rsidR="004531CC" w:rsidRPr="004531CC">
              <w:t xml:space="preserve"> </w:t>
            </w:r>
          </w:p>
          <w:p w:rsidR="004531CC" w:rsidRPr="004531CC" w:rsidRDefault="004531CC" w:rsidP="0085566D">
            <w:pPr>
              <w:spacing w:after="120"/>
              <w:jc w:val="both"/>
              <w:rPr>
                <w:color w:val="000000"/>
              </w:rPr>
            </w:pPr>
            <w:r>
              <w:t xml:space="preserve">2014. gada </w:t>
            </w:r>
            <w:r w:rsidRPr="00290DC6">
              <w:t>20. jūnijā</w:t>
            </w:r>
            <w:r>
              <w:t xml:space="preserve"> starp VARAM un LSEZ ir parakstīta vienošanās „Par 2012. gada 15. jūlija Vienošanās par projekta „</w:t>
            </w:r>
            <w:r w:rsidRPr="009C655D">
              <w:t>Vēsturiski piesārņotas vietas Liepājas ostas Karostas kanāla attīrīšana</w:t>
            </w:r>
            <w:r>
              <w:t>” īstenošanu</w:t>
            </w:r>
            <w:r w:rsidRPr="009C655D">
              <w:t xml:space="preserve"> Nr.3DP/3.3.1.6.0/12/IPIA/VARAM/023/001</w:t>
            </w:r>
            <w:r>
              <w:t>”</w:t>
            </w:r>
            <w:r w:rsidRPr="004531CC">
              <w:t xml:space="preserve"> </w:t>
            </w:r>
            <w:r>
              <w:t>darbības izbeigšanu</w:t>
            </w:r>
            <w:r w:rsidRPr="009C655D">
              <w:t>”</w:t>
            </w:r>
            <w:r>
              <w:t>.</w:t>
            </w:r>
          </w:p>
        </w:tc>
      </w:tr>
      <w:tr w:rsidR="00C10A4B" w:rsidRPr="00262C09" w:rsidTr="0085566D">
        <w:trPr>
          <w:trHeight w:val="555"/>
          <w:tblCellSpacing w:w="15" w:type="dxa"/>
        </w:trPr>
        <w:tc>
          <w:tcPr>
            <w:tcW w:w="9272" w:type="dxa"/>
            <w:gridSpan w:val="4"/>
            <w:tcBorders>
              <w:top w:val="outset" w:sz="6" w:space="0" w:color="auto"/>
              <w:left w:val="outset" w:sz="6" w:space="0" w:color="auto"/>
              <w:bottom w:val="outset" w:sz="6" w:space="0" w:color="auto"/>
              <w:right w:val="outset" w:sz="6" w:space="0" w:color="auto"/>
            </w:tcBorders>
            <w:vAlign w:val="center"/>
            <w:hideMark/>
          </w:tcPr>
          <w:p w:rsidR="00C10A4B" w:rsidRPr="00262C09" w:rsidRDefault="00C10A4B" w:rsidP="0085566D">
            <w:pPr>
              <w:spacing w:before="100" w:beforeAutospacing="1" w:after="100" w:afterAutospacing="1" w:line="360" w:lineRule="auto"/>
              <w:ind w:firstLine="347"/>
              <w:jc w:val="center"/>
              <w:rPr>
                <w:b/>
                <w:bCs/>
                <w:color w:val="000000"/>
              </w:rPr>
            </w:pPr>
            <w:r w:rsidRPr="00262C09">
              <w:rPr>
                <w:color w:val="000000"/>
              </w:rPr>
              <w:t> </w:t>
            </w:r>
            <w:r w:rsidRPr="00262C09">
              <w:rPr>
                <w:b/>
                <w:bCs/>
                <w:color w:val="000000"/>
              </w:rPr>
              <w:t>II. Tiesību akta projekta ietekme uz sabiedrību, tautsaimniecības attīstību un administratīvo slogu</w:t>
            </w:r>
          </w:p>
        </w:tc>
      </w:tr>
      <w:tr w:rsidR="00C10A4B" w:rsidRPr="00262C09" w:rsidTr="0085566D">
        <w:trPr>
          <w:trHeight w:val="465"/>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rPr>
                <w:color w:val="000000"/>
              </w:rPr>
            </w:pPr>
            <w:r w:rsidRPr="00262C09">
              <w:rPr>
                <w:color w:val="000000"/>
              </w:rPr>
              <w:t>1.</w:t>
            </w:r>
          </w:p>
        </w:tc>
        <w:tc>
          <w:tcPr>
            <w:tcW w:w="2238" w:type="dxa"/>
            <w:gridSpan w:val="2"/>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rPr>
                <w:color w:val="000000"/>
              </w:rPr>
            </w:pPr>
            <w:r w:rsidRPr="00262C09">
              <w:rPr>
                <w:color w:val="000000"/>
              </w:rPr>
              <w:t xml:space="preserve">Sabiedrības mērķgrupas, kuras </w:t>
            </w:r>
            <w:r w:rsidRPr="00262C09">
              <w:rPr>
                <w:color w:val="000000"/>
              </w:rPr>
              <w:lastRenderedPageBreak/>
              <w:t>tiesiskais regulējums ietekmē vai varētu ietekmēt</w:t>
            </w:r>
          </w:p>
        </w:tc>
        <w:tc>
          <w:tcPr>
            <w:tcW w:w="6660"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jc w:val="both"/>
              <w:rPr>
                <w:color w:val="000000"/>
              </w:rPr>
            </w:pPr>
            <w:r w:rsidRPr="00262C09">
              <w:rPr>
                <w:color w:val="000000"/>
              </w:rPr>
              <w:lastRenderedPageBreak/>
              <w:t xml:space="preserve">3.3.1.6.aktivitātes “Liepājas Karostas ilgtspējīgas attīstības priekšnoteikumu nodrošināšana” otrās projektu iesniegumu atlases </w:t>
            </w:r>
            <w:r w:rsidRPr="00262C09">
              <w:rPr>
                <w:color w:val="000000"/>
              </w:rPr>
              <w:lastRenderedPageBreak/>
              <w:t>kārtas iesniedzējs – speciālās ekonomiskās zonās pārvalde.</w:t>
            </w:r>
          </w:p>
        </w:tc>
      </w:tr>
      <w:tr w:rsidR="00C10A4B" w:rsidRPr="00262C09" w:rsidTr="0085566D">
        <w:trPr>
          <w:trHeight w:val="510"/>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rPr>
                <w:color w:val="000000"/>
              </w:rPr>
            </w:pPr>
            <w:r w:rsidRPr="00262C09">
              <w:rPr>
                <w:color w:val="000000"/>
              </w:rPr>
              <w:lastRenderedPageBreak/>
              <w:t>2.</w:t>
            </w:r>
          </w:p>
        </w:tc>
        <w:tc>
          <w:tcPr>
            <w:tcW w:w="2238" w:type="dxa"/>
            <w:gridSpan w:val="2"/>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rPr>
                <w:color w:val="000000"/>
              </w:rPr>
            </w:pPr>
            <w:r w:rsidRPr="00262C09">
              <w:rPr>
                <w:color w:val="000000"/>
              </w:rPr>
              <w:t>Tiesiskā regulējuma ietekme uz tautsaimniecību un administratīvo slogu</w:t>
            </w:r>
          </w:p>
        </w:tc>
        <w:tc>
          <w:tcPr>
            <w:tcW w:w="6660"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rPr>
                <w:color w:val="000000"/>
              </w:rPr>
            </w:pPr>
            <w:r w:rsidRPr="00262C09">
              <w:rPr>
                <w:color w:val="000000"/>
              </w:rPr>
              <w:t>Sabiedrības grupām un institūcijām projekta tiesiskais regulējums nemaina tiesības un pienākumus.</w:t>
            </w:r>
          </w:p>
        </w:tc>
      </w:tr>
      <w:tr w:rsidR="00C10A4B" w:rsidRPr="00262C09" w:rsidTr="0085566D">
        <w:trPr>
          <w:trHeight w:val="510"/>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rPr>
                <w:color w:val="000000"/>
              </w:rPr>
            </w:pPr>
            <w:r w:rsidRPr="00262C09">
              <w:rPr>
                <w:color w:val="000000"/>
              </w:rPr>
              <w:t>3.</w:t>
            </w:r>
          </w:p>
        </w:tc>
        <w:tc>
          <w:tcPr>
            <w:tcW w:w="2238" w:type="dxa"/>
            <w:gridSpan w:val="2"/>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rPr>
                <w:color w:val="000000"/>
              </w:rPr>
            </w:pPr>
            <w:r w:rsidRPr="00262C09">
              <w:rPr>
                <w:color w:val="000000"/>
              </w:rPr>
              <w:t>Administratīvo izmaksu monetārs novērtējums</w:t>
            </w:r>
          </w:p>
        </w:tc>
        <w:tc>
          <w:tcPr>
            <w:tcW w:w="6660" w:type="dxa"/>
            <w:tcBorders>
              <w:top w:val="outset" w:sz="6" w:space="0" w:color="auto"/>
              <w:left w:val="outset" w:sz="6" w:space="0" w:color="auto"/>
              <w:bottom w:val="outset" w:sz="6" w:space="0" w:color="auto"/>
              <w:right w:val="outset" w:sz="6" w:space="0" w:color="auto"/>
            </w:tcBorders>
          </w:tcPr>
          <w:p w:rsidR="00C10A4B" w:rsidRPr="00262C09" w:rsidRDefault="00C10A4B" w:rsidP="0085566D">
            <w:pPr>
              <w:rPr>
                <w:color w:val="000000"/>
                <w:highlight w:val="yellow"/>
              </w:rPr>
            </w:pPr>
            <w:r w:rsidRPr="00262C09">
              <w:rPr>
                <w:color w:val="000000"/>
              </w:rPr>
              <w:t>Projekts šo jomu neskar</w:t>
            </w:r>
          </w:p>
        </w:tc>
      </w:tr>
      <w:tr w:rsidR="00C10A4B" w:rsidRPr="00262C09" w:rsidTr="0085566D">
        <w:trPr>
          <w:trHeight w:val="345"/>
          <w:tblCellSpacing w:w="15" w:type="dxa"/>
        </w:trPr>
        <w:tc>
          <w:tcPr>
            <w:tcW w:w="314" w:type="dxa"/>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rPr>
                <w:color w:val="000000"/>
              </w:rPr>
            </w:pPr>
            <w:r w:rsidRPr="00262C09">
              <w:rPr>
                <w:color w:val="000000"/>
              </w:rPr>
              <w:t>4.</w:t>
            </w:r>
          </w:p>
        </w:tc>
        <w:tc>
          <w:tcPr>
            <w:tcW w:w="2238" w:type="dxa"/>
            <w:gridSpan w:val="2"/>
            <w:tcBorders>
              <w:top w:val="outset" w:sz="6" w:space="0" w:color="auto"/>
              <w:left w:val="outset" w:sz="6" w:space="0" w:color="auto"/>
              <w:bottom w:val="outset" w:sz="6" w:space="0" w:color="auto"/>
              <w:right w:val="outset" w:sz="6" w:space="0" w:color="auto"/>
            </w:tcBorders>
            <w:hideMark/>
          </w:tcPr>
          <w:p w:rsidR="00C10A4B" w:rsidRPr="00262C09" w:rsidRDefault="00C10A4B" w:rsidP="0085566D">
            <w:pPr>
              <w:rPr>
                <w:color w:val="000000"/>
              </w:rPr>
            </w:pPr>
            <w:r w:rsidRPr="00262C09">
              <w:rPr>
                <w:color w:val="000000"/>
              </w:rPr>
              <w:t>Cita informācija</w:t>
            </w:r>
          </w:p>
        </w:tc>
        <w:tc>
          <w:tcPr>
            <w:tcW w:w="6660" w:type="dxa"/>
            <w:tcBorders>
              <w:top w:val="outset" w:sz="6" w:space="0" w:color="auto"/>
              <w:left w:val="outset" w:sz="6" w:space="0" w:color="auto"/>
              <w:bottom w:val="outset" w:sz="6" w:space="0" w:color="auto"/>
              <w:right w:val="outset" w:sz="6" w:space="0" w:color="auto"/>
            </w:tcBorders>
          </w:tcPr>
          <w:p w:rsidR="00C10A4B" w:rsidRPr="00262C09" w:rsidRDefault="00C10A4B" w:rsidP="0085566D">
            <w:pPr>
              <w:spacing w:before="100" w:beforeAutospacing="1" w:after="100" w:afterAutospacing="1" w:line="360" w:lineRule="auto"/>
              <w:rPr>
                <w:color w:val="000000"/>
              </w:rPr>
            </w:pPr>
            <w:r w:rsidRPr="00262C09">
              <w:rPr>
                <w:color w:val="000000"/>
              </w:rPr>
              <w:t>Nav</w:t>
            </w:r>
          </w:p>
        </w:tc>
      </w:tr>
    </w:tbl>
    <w:p w:rsidR="00C10A4B" w:rsidRDefault="0085566D" w:rsidP="00C10A4B">
      <w:pPr>
        <w:spacing w:before="120" w:after="120"/>
        <w:jc w:val="both"/>
        <w:rPr>
          <w:color w:val="000000"/>
        </w:rPr>
      </w:pPr>
      <w:r>
        <w:rPr>
          <w:color w:val="000000"/>
        </w:rPr>
        <w:br w:type="textWrapping" w:clear="all"/>
      </w:r>
      <w:r w:rsidR="00C10A4B" w:rsidRPr="00262C09">
        <w:rPr>
          <w:color w:val="000000"/>
        </w:rPr>
        <w:t>Anotācijas III. sadaļa – projekts šo jomu neskar.</w:t>
      </w:r>
    </w:p>
    <w:p w:rsidR="004531CC" w:rsidRPr="00D24D8E" w:rsidRDefault="004531CC" w:rsidP="00C10A4B">
      <w:pPr>
        <w:spacing w:before="120" w:after="120"/>
        <w:jc w:val="both"/>
        <w:rPr>
          <w:color w:val="000000"/>
          <w:sz w:val="16"/>
          <w:szCs w:val="16"/>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2127"/>
        <w:gridCol w:w="6594"/>
      </w:tblGrid>
      <w:tr w:rsidR="00C10A4B" w:rsidRPr="00262C09" w:rsidTr="00181A76">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10A4B" w:rsidRPr="00262C09" w:rsidRDefault="00C10A4B" w:rsidP="00181A76">
            <w:pPr>
              <w:spacing w:before="100" w:beforeAutospacing="1" w:after="100" w:afterAutospacing="1" w:line="360" w:lineRule="auto"/>
              <w:ind w:firstLine="347"/>
              <w:jc w:val="center"/>
              <w:rPr>
                <w:b/>
                <w:bCs/>
                <w:color w:val="000000"/>
                <w:sz w:val="23"/>
                <w:szCs w:val="23"/>
              </w:rPr>
            </w:pPr>
            <w:r w:rsidRPr="00262C09">
              <w:rPr>
                <w:b/>
                <w:bCs/>
                <w:color w:val="000000"/>
                <w:sz w:val="23"/>
                <w:szCs w:val="23"/>
              </w:rPr>
              <w:t>IV. Tiesību akta projekta ietekme uz spēkā esošo tiesību normu sistēmu</w:t>
            </w:r>
          </w:p>
        </w:tc>
      </w:tr>
      <w:tr w:rsidR="00C10A4B" w:rsidRPr="00262C09" w:rsidTr="00181A76">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10A4B" w:rsidRPr="00262C09" w:rsidRDefault="00C10A4B" w:rsidP="00181A76">
            <w:pPr>
              <w:rPr>
                <w:color w:val="000000"/>
                <w:sz w:val="23"/>
                <w:szCs w:val="23"/>
              </w:rPr>
            </w:pPr>
            <w:r w:rsidRPr="00262C09">
              <w:rPr>
                <w:color w:val="000000"/>
                <w:sz w:val="23"/>
                <w:szCs w:val="23"/>
              </w:rPr>
              <w:t>1.</w:t>
            </w:r>
          </w:p>
        </w:tc>
        <w:tc>
          <w:tcPr>
            <w:tcW w:w="1137" w:type="pct"/>
            <w:tcBorders>
              <w:top w:val="outset" w:sz="6" w:space="0" w:color="auto"/>
              <w:left w:val="outset" w:sz="6" w:space="0" w:color="auto"/>
              <w:bottom w:val="outset" w:sz="6" w:space="0" w:color="auto"/>
              <w:right w:val="outset" w:sz="6" w:space="0" w:color="auto"/>
            </w:tcBorders>
            <w:hideMark/>
          </w:tcPr>
          <w:p w:rsidR="00C10A4B" w:rsidRPr="00262C09" w:rsidRDefault="00C10A4B" w:rsidP="00181A76">
            <w:pPr>
              <w:rPr>
                <w:color w:val="000000"/>
                <w:sz w:val="23"/>
                <w:szCs w:val="23"/>
              </w:rPr>
            </w:pPr>
            <w:r w:rsidRPr="00262C09">
              <w:rPr>
                <w:color w:val="000000"/>
                <w:sz w:val="23"/>
                <w:szCs w:val="23"/>
              </w:rPr>
              <w:t>Nepieciešamie saistītie tiesību aktu projekti</w:t>
            </w:r>
          </w:p>
        </w:tc>
        <w:tc>
          <w:tcPr>
            <w:tcW w:w="3551" w:type="pct"/>
            <w:tcBorders>
              <w:top w:val="outset" w:sz="6" w:space="0" w:color="auto"/>
              <w:left w:val="outset" w:sz="6" w:space="0" w:color="auto"/>
              <w:bottom w:val="outset" w:sz="6" w:space="0" w:color="auto"/>
              <w:right w:val="outset" w:sz="6" w:space="0" w:color="auto"/>
            </w:tcBorders>
            <w:hideMark/>
          </w:tcPr>
          <w:p w:rsidR="00C10A4B" w:rsidRPr="00262C09" w:rsidRDefault="002F3195" w:rsidP="00181A76">
            <w:pPr>
              <w:spacing w:after="120"/>
              <w:jc w:val="both"/>
              <w:rPr>
                <w:color w:val="000000"/>
              </w:rPr>
            </w:pPr>
            <w:r w:rsidRPr="00262C09">
              <w:rPr>
                <w:color w:val="000000"/>
              </w:rPr>
              <w:t xml:space="preserve">Noteikumu projekts </w:t>
            </w:r>
            <w:r>
              <w:rPr>
                <w:color w:val="000000"/>
              </w:rPr>
              <w:t>saistīts ar MK 2014. gada 20. jūnija rīkojumu Nr.317 (prot.Nr.33 76.§) “Grozījumi darbības programmas “Infrastruktūra un pakalpojumi” papildinājumā”.</w:t>
            </w:r>
          </w:p>
        </w:tc>
      </w:tr>
      <w:tr w:rsidR="00C10A4B" w:rsidRPr="00262C09" w:rsidTr="00181A76">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10A4B" w:rsidRPr="00262C09" w:rsidRDefault="00C10A4B" w:rsidP="00181A76">
            <w:pPr>
              <w:rPr>
                <w:color w:val="000000"/>
                <w:sz w:val="23"/>
                <w:szCs w:val="23"/>
              </w:rPr>
            </w:pPr>
            <w:r w:rsidRPr="00262C09">
              <w:rPr>
                <w:color w:val="000000"/>
                <w:sz w:val="23"/>
                <w:szCs w:val="23"/>
              </w:rPr>
              <w:t>2.</w:t>
            </w:r>
          </w:p>
        </w:tc>
        <w:tc>
          <w:tcPr>
            <w:tcW w:w="1137" w:type="pct"/>
            <w:tcBorders>
              <w:top w:val="outset" w:sz="6" w:space="0" w:color="auto"/>
              <w:left w:val="outset" w:sz="6" w:space="0" w:color="auto"/>
              <w:bottom w:val="outset" w:sz="6" w:space="0" w:color="auto"/>
              <w:right w:val="outset" w:sz="6" w:space="0" w:color="auto"/>
            </w:tcBorders>
            <w:hideMark/>
          </w:tcPr>
          <w:p w:rsidR="00C10A4B" w:rsidRPr="00262C09" w:rsidRDefault="00C10A4B" w:rsidP="00181A76">
            <w:pPr>
              <w:rPr>
                <w:color w:val="000000"/>
                <w:sz w:val="23"/>
                <w:szCs w:val="23"/>
              </w:rPr>
            </w:pPr>
            <w:r w:rsidRPr="00262C09">
              <w:rPr>
                <w:color w:val="000000"/>
                <w:sz w:val="23"/>
                <w:szCs w:val="23"/>
              </w:rPr>
              <w:t>Atbildīgā institūcija</w:t>
            </w:r>
          </w:p>
        </w:tc>
        <w:tc>
          <w:tcPr>
            <w:tcW w:w="3551" w:type="pct"/>
            <w:tcBorders>
              <w:top w:val="outset" w:sz="6" w:space="0" w:color="auto"/>
              <w:left w:val="outset" w:sz="6" w:space="0" w:color="auto"/>
              <w:bottom w:val="outset" w:sz="6" w:space="0" w:color="auto"/>
              <w:right w:val="outset" w:sz="6" w:space="0" w:color="auto"/>
            </w:tcBorders>
            <w:hideMark/>
          </w:tcPr>
          <w:p w:rsidR="00C10A4B" w:rsidRPr="00262C09" w:rsidRDefault="00C10A4B" w:rsidP="00181A76">
            <w:pPr>
              <w:rPr>
                <w:color w:val="000000"/>
                <w:sz w:val="23"/>
                <w:szCs w:val="23"/>
              </w:rPr>
            </w:pPr>
            <w:r w:rsidRPr="00262C09">
              <w:rPr>
                <w:color w:val="000000"/>
              </w:rPr>
              <w:t>Vides aizsardzības un reģionālās attīstības ministrija</w:t>
            </w:r>
          </w:p>
        </w:tc>
      </w:tr>
      <w:tr w:rsidR="00C10A4B" w:rsidRPr="00262C09" w:rsidTr="00181A76">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C10A4B" w:rsidRPr="00262C09" w:rsidRDefault="00C10A4B" w:rsidP="00181A76">
            <w:pPr>
              <w:rPr>
                <w:color w:val="000000"/>
                <w:sz w:val="23"/>
                <w:szCs w:val="23"/>
              </w:rPr>
            </w:pPr>
            <w:r w:rsidRPr="00262C09">
              <w:rPr>
                <w:color w:val="000000"/>
                <w:sz w:val="23"/>
                <w:szCs w:val="23"/>
              </w:rPr>
              <w:t>3.</w:t>
            </w:r>
          </w:p>
        </w:tc>
        <w:tc>
          <w:tcPr>
            <w:tcW w:w="1137" w:type="pct"/>
            <w:tcBorders>
              <w:top w:val="outset" w:sz="6" w:space="0" w:color="auto"/>
              <w:left w:val="outset" w:sz="6" w:space="0" w:color="auto"/>
              <w:bottom w:val="outset" w:sz="6" w:space="0" w:color="auto"/>
              <w:right w:val="outset" w:sz="6" w:space="0" w:color="auto"/>
            </w:tcBorders>
            <w:hideMark/>
          </w:tcPr>
          <w:p w:rsidR="00C10A4B" w:rsidRPr="00262C09" w:rsidRDefault="00C10A4B" w:rsidP="00181A76">
            <w:pPr>
              <w:rPr>
                <w:color w:val="000000"/>
                <w:sz w:val="23"/>
                <w:szCs w:val="23"/>
              </w:rPr>
            </w:pPr>
            <w:r w:rsidRPr="00262C09">
              <w:rPr>
                <w:color w:val="000000"/>
                <w:sz w:val="23"/>
                <w:szCs w:val="23"/>
              </w:rPr>
              <w:t>Cita informācija</w:t>
            </w:r>
          </w:p>
        </w:tc>
        <w:tc>
          <w:tcPr>
            <w:tcW w:w="3551" w:type="pct"/>
            <w:tcBorders>
              <w:top w:val="outset" w:sz="6" w:space="0" w:color="auto"/>
              <w:left w:val="outset" w:sz="6" w:space="0" w:color="auto"/>
              <w:bottom w:val="outset" w:sz="6" w:space="0" w:color="auto"/>
              <w:right w:val="outset" w:sz="6" w:space="0" w:color="auto"/>
            </w:tcBorders>
            <w:hideMark/>
          </w:tcPr>
          <w:p w:rsidR="00C10A4B" w:rsidRPr="00262C09" w:rsidRDefault="00C10A4B" w:rsidP="00181A76">
            <w:pPr>
              <w:spacing w:before="100" w:beforeAutospacing="1" w:after="100" w:afterAutospacing="1" w:line="360" w:lineRule="auto"/>
              <w:rPr>
                <w:color w:val="000000"/>
                <w:sz w:val="23"/>
                <w:szCs w:val="23"/>
              </w:rPr>
            </w:pPr>
            <w:r w:rsidRPr="00262C09">
              <w:rPr>
                <w:color w:val="000000"/>
                <w:sz w:val="23"/>
                <w:szCs w:val="23"/>
              </w:rPr>
              <w:t>Nav</w:t>
            </w:r>
          </w:p>
        </w:tc>
      </w:tr>
    </w:tbl>
    <w:p w:rsidR="00C10A4B" w:rsidRPr="00262C09" w:rsidRDefault="00C10A4B" w:rsidP="00C10A4B">
      <w:pPr>
        <w:spacing w:before="120" w:after="120"/>
        <w:rPr>
          <w:color w:val="000000"/>
        </w:rPr>
      </w:pPr>
      <w:r w:rsidRPr="00262C09">
        <w:rPr>
          <w:color w:val="000000"/>
        </w:rPr>
        <w:t>   Anotācijas V. - VII. sadaļa – projekts šīs jomas neskar.</w:t>
      </w:r>
    </w:p>
    <w:p w:rsidR="00C10A4B" w:rsidRDefault="00C10A4B" w:rsidP="00C10A4B">
      <w:pPr>
        <w:tabs>
          <w:tab w:val="left" w:pos="6804"/>
        </w:tabs>
        <w:ind w:firstLine="720"/>
        <w:rPr>
          <w:b/>
          <w:color w:val="000000"/>
          <w:sz w:val="26"/>
          <w:szCs w:val="26"/>
        </w:rPr>
      </w:pPr>
    </w:p>
    <w:p w:rsidR="00C10A4B" w:rsidRPr="00262C09" w:rsidRDefault="00C10A4B" w:rsidP="00C10A4B">
      <w:pPr>
        <w:tabs>
          <w:tab w:val="left" w:pos="6804"/>
        </w:tabs>
        <w:rPr>
          <w:color w:val="000000"/>
          <w:sz w:val="26"/>
          <w:szCs w:val="26"/>
        </w:rPr>
      </w:pPr>
      <w:r w:rsidRPr="00262C09">
        <w:rPr>
          <w:color w:val="000000"/>
          <w:sz w:val="26"/>
          <w:szCs w:val="26"/>
        </w:rPr>
        <w:t>Iesniedzējs:</w:t>
      </w:r>
    </w:p>
    <w:p w:rsidR="00C10A4B" w:rsidRPr="00262C09" w:rsidRDefault="00C10A4B" w:rsidP="00C10A4B">
      <w:pPr>
        <w:tabs>
          <w:tab w:val="left" w:pos="6804"/>
        </w:tabs>
        <w:rPr>
          <w:color w:val="000000"/>
          <w:sz w:val="26"/>
          <w:szCs w:val="26"/>
        </w:rPr>
      </w:pPr>
      <w:r w:rsidRPr="00262C09">
        <w:rPr>
          <w:color w:val="000000"/>
          <w:sz w:val="26"/>
          <w:szCs w:val="26"/>
        </w:rPr>
        <w:t xml:space="preserve">vides aizsardzības un </w:t>
      </w:r>
    </w:p>
    <w:p w:rsidR="00C10A4B" w:rsidRPr="00262C09" w:rsidRDefault="00C10A4B" w:rsidP="00C10A4B">
      <w:pPr>
        <w:tabs>
          <w:tab w:val="left" w:pos="6804"/>
        </w:tabs>
        <w:rPr>
          <w:color w:val="000000"/>
          <w:sz w:val="26"/>
          <w:szCs w:val="26"/>
        </w:rPr>
      </w:pPr>
      <w:r w:rsidRPr="00262C09">
        <w:rPr>
          <w:color w:val="000000"/>
          <w:sz w:val="26"/>
          <w:szCs w:val="26"/>
        </w:rPr>
        <w:t>reģionālās attīstības ministrs</w:t>
      </w:r>
      <w:r w:rsidRPr="00262C09">
        <w:rPr>
          <w:color w:val="000000"/>
          <w:sz w:val="26"/>
          <w:szCs w:val="26"/>
        </w:rPr>
        <w:tab/>
        <w:t xml:space="preserve">                R. </w:t>
      </w:r>
      <w:proofErr w:type="spellStart"/>
      <w:r w:rsidRPr="00262C09">
        <w:rPr>
          <w:color w:val="000000"/>
          <w:sz w:val="26"/>
          <w:szCs w:val="26"/>
        </w:rPr>
        <w:t>Naudiņš</w:t>
      </w:r>
      <w:proofErr w:type="spellEnd"/>
      <w:r w:rsidRPr="00262C09">
        <w:rPr>
          <w:color w:val="000000"/>
          <w:sz w:val="26"/>
          <w:szCs w:val="26"/>
        </w:rPr>
        <w:t xml:space="preserve"> </w:t>
      </w:r>
    </w:p>
    <w:p w:rsidR="00C10A4B" w:rsidRDefault="00C10A4B" w:rsidP="00C10A4B">
      <w:pPr>
        <w:tabs>
          <w:tab w:val="left" w:pos="6804"/>
        </w:tabs>
        <w:rPr>
          <w:color w:val="000000"/>
          <w:sz w:val="26"/>
          <w:szCs w:val="26"/>
        </w:rPr>
      </w:pPr>
    </w:p>
    <w:p w:rsidR="00C10A4B" w:rsidRPr="00262C09" w:rsidRDefault="00C10A4B" w:rsidP="00C10A4B">
      <w:pPr>
        <w:tabs>
          <w:tab w:val="left" w:pos="6804"/>
        </w:tabs>
        <w:rPr>
          <w:color w:val="000000"/>
          <w:sz w:val="26"/>
          <w:szCs w:val="26"/>
        </w:rPr>
      </w:pPr>
    </w:p>
    <w:p w:rsidR="00C10A4B" w:rsidRPr="00262C09" w:rsidRDefault="00C10A4B" w:rsidP="00C10A4B">
      <w:pPr>
        <w:tabs>
          <w:tab w:val="left" w:pos="6804"/>
        </w:tabs>
        <w:rPr>
          <w:color w:val="000000"/>
          <w:sz w:val="26"/>
          <w:szCs w:val="26"/>
        </w:rPr>
      </w:pPr>
      <w:r w:rsidRPr="00262C09">
        <w:rPr>
          <w:color w:val="000000"/>
          <w:sz w:val="26"/>
          <w:szCs w:val="26"/>
        </w:rPr>
        <w:t xml:space="preserve">Vīza: </w:t>
      </w:r>
    </w:p>
    <w:p w:rsidR="00C10A4B" w:rsidRPr="00262C09" w:rsidRDefault="00C10A4B" w:rsidP="00C10A4B">
      <w:pPr>
        <w:tabs>
          <w:tab w:val="left" w:pos="6804"/>
        </w:tabs>
        <w:rPr>
          <w:color w:val="000000"/>
          <w:sz w:val="26"/>
          <w:szCs w:val="26"/>
        </w:rPr>
      </w:pPr>
      <w:r w:rsidRPr="00262C09">
        <w:rPr>
          <w:color w:val="000000"/>
          <w:sz w:val="26"/>
          <w:szCs w:val="26"/>
        </w:rPr>
        <w:t>valsts sekretārs</w:t>
      </w:r>
      <w:r w:rsidRPr="00262C09">
        <w:rPr>
          <w:color w:val="000000"/>
          <w:sz w:val="26"/>
          <w:szCs w:val="26"/>
        </w:rPr>
        <w:tab/>
        <w:t xml:space="preserve">                  G. Puķītis</w:t>
      </w:r>
    </w:p>
    <w:p w:rsidR="00C10A4B" w:rsidRPr="00262C09" w:rsidRDefault="00C10A4B" w:rsidP="00C10A4B">
      <w:pPr>
        <w:pStyle w:val="PlainText"/>
        <w:jc w:val="both"/>
        <w:rPr>
          <w:rFonts w:ascii="Times New Roman" w:hAnsi="Times New Roman" w:cs="Times New Roman"/>
          <w:color w:val="000000"/>
          <w:sz w:val="28"/>
          <w:szCs w:val="28"/>
        </w:rPr>
      </w:pPr>
    </w:p>
    <w:p w:rsidR="00C10A4B" w:rsidRPr="00262C09" w:rsidRDefault="00C10A4B" w:rsidP="00C10A4B">
      <w:pPr>
        <w:tabs>
          <w:tab w:val="right" w:pos="9354"/>
        </w:tabs>
        <w:rPr>
          <w:color w:val="000000"/>
          <w:sz w:val="20"/>
          <w:szCs w:val="20"/>
        </w:rPr>
      </w:pPr>
    </w:p>
    <w:p w:rsidR="00C10A4B" w:rsidRPr="00262C09" w:rsidRDefault="00D04DFA" w:rsidP="00C10A4B">
      <w:pPr>
        <w:ind w:right="64"/>
        <w:jc w:val="both"/>
        <w:rPr>
          <w:color w:val="000000"/>
          <w:sz w:val="20"/>
          <w:szCs w:val="20"/>
        </w:rPr>
      </w:pPr>
      <w:r>
        <w:rPr>
          <w:color w:val="000000"/>
          <w:sz w:val="20"/>
          <w:szCs w:val="20"/>
        </w:rPr>
        <w:t>12</w:t>
      </w:r>
      <w:r w:rsidR="00C10A4B" w:rsidRPr="00262C09">
        <w:rPr>
          <w:color w:val="000000"/>
          <w:sz w:val="20"/>
          <w:szCs w:val="20"/>
        </w:rPr>
        <w:t>.0</w:t>
      </w:r>
      <w:r w:rsidR="008177EE">
        <w:rPr>
          <w:color w:val="000000"/>
          <w:sz w:val="20"/>
          <w:szCs w:val="20"/>
        </w:rPr>
        <w:t>8</w:t>
      </w:r>
      <w:r w:rsidR="00C10A4B" w:rsidRPr="00262C09">
        <w:rPr>
          <w:color w:val="000000"/>
          <w:sz w:val="20"/>
          <w:szCs w:val="20"/>
        </w:rPr>
        <w:t xml:space="preserve">.2014 </w:t>
      </w:r>
      <w:r w:rsidR="00EF61B3">
        <w:rPr>
          <w:color w:val="000000"/>
          <w:sz w:val="20"/>
          <w:szCs w:val="20"/>
        </w:rPr>
        <w:t>10</w:t>
      </w:r>
      <w:r w:rsidR="00C10A4B" w:rsidRPr="00262C09">
        <w:rPr>
          <w:color w:val="000000"/>
          <w:sz w:val="20"/>
          <w:szCs w:val="20"/>
        </w:rPr>
        <w:t>:</w:t>
      </w:r>
      <w:r w:rsidR="00EF61B3">
        <w:rPr>
          <w:color w:val="000000"/>
          <w:sz w:val="20"/>
          <w:szCs w:val="20"/>
        </w:rPr>
        <w:t>15</w:t>
      </w:r>
    </w:p>
    <w:p w:rsidR="00C10A4B" w:rsidRPr="00262C09" w:rsidRDefault="008177EE" w:rsidP="00C10A4B">
      <w:pPr>
        <w:tabs>
          <w:tab w:val="right" w:pos="9354"/>
        </w:tabs>
        <w:rPr>
          <w:color w:val="000000"/>
          <w:sz w:val="20"/>
        </w:rPr>
      </w:pPr>
      <w:r>
        <w:rPr>
          <w:color w:val="000000"/>
          <w:sz w:val="20"/>
        </w:rPr>
        <w:t>1813</w:t>
      </w:r>
    </w:p>
    <w:p w:rsidR="00C10A4B" w:rsidRPr="00262C09" w:rsidRDefault="00C10A4B" w:rsidP="00C10A4B">
      <w:pPr>
        <w:tabs>
          <w:tab w:val="right" w:pos="9354"/>
        </w:tabs>
        <w:rPr>
          <w:color w:val="000000"/>
          <w:sz w:val="20"/>
        </w:rPr>
      </w:pPr>
      <w:r w:rsidRPr="00262C09">
        <w:rPr>
          <w:color w:val="000000"/>
          <w:sz w:val="20"/>
        </w:rPr>
        <w:t>VARAM Investīciju politikas departamenta</w:t>
      </w:r>
    </w:p>
    <w:p w:rsidR="00C10A4B" w:rsidRPr="00262C09" w:rsidRDefault="00C10A4B" w:rsidP="00C10A4B">
      <w:pPr>
        <w:tabs>
          <w:tab w:val="right" w:pos="9354"/>
        </w:tabs>
        <w:rPr>
          <w:color w:val="000000"/>
          <w:sz w:val="20"/>
        </w:rPr>
      </w:pPr>
      <w:r w:rsidRPr="00262C09">
        <w:rPr>
          <w:color w:val="000000"/>
          <w:sz w:val="20"/>
        </w:rPr>
        <w:t>Programmu vadības nodaļas vecākā eksperte</w:t>
      </w:r>
    </w:p>
    <w:p w:rsidR="00C10A4B" w:rsidRPr="00262C09" w:rsidRDefault="00C10A4B" w:rsidP="00C10A4B">
      <w:pPr>
        <w:jc w:val="both"/>
        <w:rPr>
          <w:color w:val="000000"/>
          <w:sz w:val="20"/>
          <w:szCs w:val="20"/>
        </w:rPr>
      </w:pPr>
      <w:r w:rsidRPr="00262C09">
        <w:rPr>
          <w:color w:val="000000"/>
          <w:sz w:val="20"/>
          <w:szCs w:val="20"/>
        </w:rPr>
        <w:t>Austra Auziņa</w:t>
      </w:r>
    </w:p>
    <w:p w:rsidR="00221B77" w:rsidRPr="00D24D8E" w:rsidRDefault="00C10A4B" w:rsidP="00D24D8E">
      <w:pPr>
        <w:jc w:val="both"/>
        <w:rPr>
          <w:color w:val="000000"/>
          <w:sz w:val="28"/>
          <w:szCs w:val="28"/>
        </w:rPr>
      </w:pPr>
      <w:r w:rsidRPr="00262C09">
        <w:rPr>
          <w:color w:val="000000"/>
          <w:sz w:val="20"/>
          <w:szCs w:val="20"/>
        </w:rPr>
        <w:t>66016701, austra.auzina@varam.gov.lv</w:t>
      </w:r>
      <w:r w:rsidRPr="00262C09">
        <w:rPr>
          <w:color w:val="000000"/>
          <w:sz w:val="28"/>
          <w:szCs w:val="28"/>
        </w:rPr>
        <w:t xml:space="preserve"> </w:t>
      </w:r>
    </w:p>
    <w:sectPr w:rsidR="00221B77" w:rsidRPr="00D24D8E" w:rsidSect="002E752F">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B04" w:rsidRDefault="00323B04">
      <w:r>
        <w:separator/>
      </w:r>
    </w:p>
  </w:endnote>
  <w:endnote w:type="continuationSeparator" w:id="0">
    <w:p w:rsidR="00323B04" w:rsidRDefault="00323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05" w:rsidRPr="00B863F1" w:rsidRDefault="00D04DFA" w:rsidP="00776CBE">
    <w:pPr>
      <w:pStyle w:val="Footer"/>
      <w:jc w:val="both"/>
    </w:pPr>
    <w:r>
      <w:rPr>
        <w:color w:val="000000"/>
        <w:sz w:val="20"/>
        <w:szCs w:val="20"/>
      </w:rPr>
      <w:t>VARAMAnot_12</w:t>
    </w:r>
    <w:r w:rsidR="008177EE">
      <w:rPr>
        <w:color w:val="000000"/>
        <w:sz w:val="20"/>
        <w:szCs w:val="20"/>
      </w:rPr>
      <w:t>08</w:t>
    </w:r>
    <w:r w:rsidR="00C10A4B" w:rsidRPr="0018534F">
      <w:rPr>
        <w:color w:val="000000"/>
        <w:sz w:val="20"/>
        <w:szCs w:val="20"/>
      </w:rPr>
      <w:t>14_groz662; Ministru kab</w:t>
    </w:r>
    <w:r w:rsidR="00C10A4B">
      <w:rPr>
        <w:color w:val="000000"/>
        <w:sz w:val="20"/>
        <w:szCs w:val="20"/>
      </w:rPr>
      <w:t>ineta noteikumu projekta “</w:t>
    </w:r>
    <w:r w:rsidR="00C10A4B" w:rsidRPr="0018534F">
      <w:rPr>
        <w:bCs/>
        <w:color w:val="000000"/>
        <w:sz w:val="20"/>
        <w:szCs w:val="20"/>
      </w:rPr>
      <w:t>Grozījumi Ministru kabineta 2010. gada 20. jūlija noteikumos Nr.662</w:t>
    </w:r>
    <w:r w:rsidR="00C10A4B">
      <w:rPr>
        <w:bCs/>
        <w:color w:val="000000"/>
        <w:sz w:val="20"/>
        <w:szCs w:val="20"/>
      </w:rPr>
      <w:t xml:space="preserve"> “</w:t>
    </w:r>
    <w:r w:rsidR="00C10A4B" w:rsidRPr="0018534F">
      <w:rPr>
        <w:bCs/>
        <w:color w:val="000000"/>
        <w:sz w:val="20"/>
        <w:szCs w:val="20"/>
      </w:rPr>
      <w:t>Not</w:t>
    </w:r>
    <w:r w:rsidR="00C10A4B">
      <w:rPr>
        <w:bCs/>
        <w:color w:val="000000"/>
        <w:sz w:val="20"/>
        <w:szCs w:val="20"/>
      </w:rPr>
      <w:t>eikumi par darbības programmas “</w:t>
    </w:r>
    <w:r w:rsidR="00C10A4B" w:rsidRPr="0018534F">
      <w:rPr>
        <w:bCs/>
        <w:color w:val="000000"/>
        <w:sz w:val="20"/>
        <w:szCs w:val="20"/>
      </w:rPr>
      <w:t xml:space="preserve">Infrastruktūra un pakalpojumi” papildinājuma 3.3.1.6. </w:t>
    </w:r>
    <w:r w:rsidR="00C10A4B">
      <w:rPr>
        <w:bCs/>
        <w:color w:val="000000"/>
        <w:sz w:val="20"/>
        <w:szCs w:val="20"/>
      </w:rPr>
      <w:t>aktivitāti “</w:t>
    </w:r>
    <w:r w:rsidR="00C10A4B" w:rsidRPr="0018534F">
      <w:rPr>
        <w:bCs/>
        <w:color w:val="000000"/>
        <w:sz w:val="20"/>
        <w:szCs w:val="20"/>
      </w:rPr>
      <w:t xml:space="preserve">Liepājas Karostas ilgtspējīgas attīstības priekšnoteikumu nodrošināšana””” </w:t>
    </w:r>
    <w:r w:rsidR="00C10A4B" w:rsidRPr="0018534F">
      <w:rPr>
        <w:color w:val="000000"/>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05" w:rsidRPr="0018534F" w:rsidRDefault="00D04DFA" w:rsidP="00776CBE">
    <w:pPr>
      <w:jc w:val="both"/>
      <w:rPr>
        <w:color w:val="000000"/>
        <w:sz w:val="20"/>
        <w:szCs w:val="20"/>
      </w:rPr>
    </w:pPr>
    <w:r>
      <w:rPr>
        <w:color w:val="000000"/>
        <w:sz w:val="20"/>
        <w:szCs w:val="20"/>
      </w:rPr>
      <w:t>VARAMAnot_12</w:t>
    </w:r>
    <w:r w:rsidR="008177EE">
      <w:rPr>
        <w:color w:val="000000"/>
        <w:sz w:val="20"/>
        <w:szCs w:val="20"/>
      </w:rPr>
      <w:t>08</w:t>
    </w:r>
    <w:r w:rsidR="00C10A4B" w:rsidRPr="0018534F">
      <w:rPr>
        <w:color w:val="000000"/>
        <w:sz w:val="20"/>
        <w:szCs w:val="20"/>
      </w:rPr>
      <w:t>14_groz662; Ministru kab</w:t>
    </w:r>
    <w:r w:rsidR="00C10A4B">
      <w:rPr>
        <w:color w:val="000000"/>
        <w:sz w:val="20"/>
        <w:szCs w:val="20"/>
      </w:rPr>
      <w:t>ineta noteikumu projekta “</w:t>
    </w:r>
    <w:r w:rsidR="00C10A4B" w:rsidRPr="0018534F">
      <w:rPr>
        <w:bCs/>
        <w:color w:val="000000"/>
        <w:sz w:val="20"/>
        <w:szCs w:val="20"/>
      </w:rPr>
      <w:t>Grozījumi Ministru kabineta 2010. gada 20. jūlija noteikumos Nr.662</w:t>
    </w:r>
    <w:r w:rsidR="00C10A4B">
      <w:rPr>
        <w:bCs/>
        <w:color w:val="000000"/>
        <w:sz w:val="20"/>
        <w:szCs w:val="20"/>
      </w:rPr>
      <w:t xml:space="preserve"> “</w:t>
    </w:r>
    <w:r w:rsidR="00C10A4B" w:rsidRPr="0018534F">
      <w:rPr>
        <w:bCs/>
        <w:color w:val="000000"/>
        <w:sz w:val="20"/>
        <w:szCs w:val="20"/>
      </w:rPr>
      <w:t>Not</w:t>
    </w:r>
    <w:r w:rsidR="00C10A4B">
      <w:rPr>
        <w:bCs/>
        <w:color w:val="000000"/>
        <w:sz w:val="20"/>
        <w:szCs w:val="20"/>
      </w:rPr>
      <w:t>eikumi par darbības programmas “</w:t>
    </w:r>
    <w:r w:rsidR="00C10A4B" w:rsidRPr="0018534F">
      <w:rPr>
        <w:bCs/>
        <w:color w:val="000000"/>
        <w:sz w:val="20"/>
        <w:szCs w:val="20"/>
      </w:rPr>
      <w:t xml:space="preserve">Infrastruktūra un pakalpojumi” papildinājuma 3.3.1.6. </w:t>
    </w:r>
    <w:r w:rsidR="00C10A4B">
      <w:rPr>
        <w:bCs/>
        <w:color w:val="000000"/>
        <w:sz w:val="20"/>
        <w:szCs w:val="20"/>
      </w:rPr>
      <w:t>aktivitāti “</w:t>
    </w:r>
    <w:r w:rsidR="00C10A4B" w:rsidRPr="0018534F">
      <w:rPr>
        <w:bCs/>
        <w:color w:val="000000"/>
        <w:sz w:val="20"/>
        <w:szCs w:val="20"/>
      </w:rPr>
      <w:t xml:space="preserve">Liepājas Karostas ilgtspējīgas attīstības priekšnoteikumu nodrošināšana””” </w:t>
    </w:r>
    <w:r w:rsidR="00C10A4B" w:rsidRPr="0018534F">
      <w:rPr>
        <w:color w:val="000000"/>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B04" w:rsidRDefault="00323B04">
      <w:r>
        <w:separator/>
      </w:r>
    </w:p>
  </w:footnote>
  <w:footnote w:type="continuationSeparator" w:id="0">
    <w:p w:rsidR="00323B04" w:rsidRDefault="00323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05" w:rsidRDefault="00001E9B" w:rsidP="002935F0">
    <w:pPr>
      <w:pStyle w:val="Header"/>
      <w:framePr w:wrap="around" w:vAnchor="text" w:hAnchor="margin" w:xAlign="center" w:y="1"/>
      <w:rPr>
        <w:rStyle w:val="PageNumber"/>
      </w:rPr>
    </w:pPr>
    <w:r>
      <w:rPr>
        <w:rStyle w:val="PageNumber"/>
      </w:rPr>
      <w:fldChar w:fldCharType="begin"/>
    </w:r>
    <w:r w:rsidR="00C10A4B">
      <w:rPr>
        <w:rStyle w:val="PageNumber"/>
      </w:rPr>
      <w:instrText xml:space="preserve">PAGE  </w:instrText>
    </w:r>
    <w:r>
      <w:rPr>
        <w:rStyle w:val="PageNumber"/>
      </w:rPr>
      <w:fldChar w:fldCharType="end"/>
    </w:r>
  </w:p>
  <w:p w:rsidR="00AC3105" w:rsidRDefault="00323B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05" w:rsidRDefault="00001E9B" w:rsidP="002935F0">
    <w:pPr>
      <w:pStyle w:val="Header"/>
      <w:framePr w:wrap="around" w:vAnchor="text" w:hAnchor="margin" w:xAlign="center" w:y="1"/>
      <w:rPr>
        <w:rStyle w:val="PageNumber"/>
      </w:rPr>
    </w:pPr>
    <w:r>
      <w:rPr>
        <w:rStyle w:val="PageNumber"/>
      </w:rPr>
      <w:fldChar w:fldCharType="begin"/>
    </w:r>
    <w:r w:rsidR="00C10A4B">
      <w:rPr>
        <w:rStyle w:val="PageNumber"/>
      </w:rPr>
      <w:instrText xml:space="preserve">PAGE  </w:instrText>
    </w:r>
    <w:r>
      <w:rPr>
        <w:rStyle w:val="PageNumber"/>
      </w:rPr>
      <w:fldChar w:fldCharType="separate"/>
    </w:r>
    <w:r w:rsidR="005B7C3D">
      <w:rPr>
        <w:rStyle w:val="PageNumber"/>
        <w:noProof/>
      </w:rPr>
      <w:t>6</w:t>
    </w:r>
    <w:r>
      <w:rPr>
        <w:rStyle w:val="PageNumber"/>
      </w:rPr>
      <w:fldChar w:fldCharType="end"/>
    </w:r>
  </w:p>
  <w:p w:rsidR="00AC3105" w:rsidRDefault="00323B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32A85"/>
    <w:multiLevelType w:val="hybridMultilevel"/>
    <w:tmpl w:val="5B4284B4"/>
    <w:lvl w:ilvl="0" w:tplc="5692978C">
      <w:start w:val="1"/>
      <w:numFmt w:val="bullet"/>
      <w:pStyle w:val="EE-paragrCharChar"/>
      <w:lvlText w:val=""/>
      <w:lvlJc w:val="left"/>
      <w:pPr>
        <w:ind w:left="726" w:hanging="360"/>
      </w:pPr>
      <w:rPr>
        <w:rFonts w:ascii="Symbol" w:hAnsi="Symbol" w:hint="default"/>
      </w:rPr>
    </w:lvl>
    <w:lvl w:ilvl="1" w:tplc="04260003" w:tentative="1">
      <w:start w:val="1"/>
      <w:numFmt w:val="bullet"/>
      <w:lvlText w:val="o"/>
      <w:lvlJc w:val="left"/>
      <w:pPr>
        <w:ind w:left="1446" w:hanging="360"/>
      </w:pPr>
      <w:rPr>
        <w:rFonts w:ascii="Courier New" w:hAnsi="Courier New" w:cs="Courier New" w:hint="default"/>
      </w:rPr>
    </w:lvl>
    <w:lvl w:ilvl="2" w:tplc="04260005" w:tentative="1">
      <w:start w:val="1"/>
      <w:numFmt w:val="bullet"/>
      <w:lvlText w:val=""/>
      <w:lvlJc w:val="left"/>
      <w:pPr>
        <w:ind w:left="2166" w:hanging="360"/>
      </w:pPr>
      <w:rPr>
        <w:rFonts w:ascii="Wingdings" w:hAnsi="Wingdings" w:hint="default"/>
      </w:rPr>
    </w:lvl>
    <w:lvl w:ilvl="3" w:tplc="04260001" w:tentative="1">
      <w:start w:val="1"/>
      <w:numFmt w:val="bullet"/>
      <w:lvlText w:val=""/>
      <w:lvlJc w:val="left"/>
      <w:pPr>
        <w:ind w:left="2886" w:hanging="360"/>
      </w:pPr>
      <w:rPr>
        <w:rFonts w:ascii="Symbol" w:hAnsi="Symbol" w:hint="default"/>
      </w:rPr>
    </w:lvl>
    <w:lvl w:ilvl="4" w:tplc="04260003" w:tentative="1">
      <w:start w:val="1"/>
      <w:numFmt w:val="bullet"/>
      <w:lvlText w:val="o"/>
      <w:lvlJc w:val="left"/>
      <w:pPr>
        <w:ind w:left="3606" w:hanging="360"/>
      </w:pPr>
      <w:rPr>
        <w:rFonts w:ascii="Courier New" w:hAnsi="Courier New" w:cs="Courier New" w:hint="default"/>
      </w:rPr>
    </w:lvl>
    <w:lvl w:ilvl="5" w:tplc="04260005" w:tentative="1">
      <w:start w:val="1"/>
      <w:numFmt w:val="bullet"/>
      <w:lvlText w:val=""/>
      <w:lvlJc w:val="left"/>
      <w:pPr>
        <w:ind w:left="4326" w:hanging="360"/>
      </w:pPr>
      <w:rPr>
        <w:rFonts w:ascii="Wingdings" w:hAnsi="Wingdings" w:hint="default"/>
      </w:rPr>
    </w:lvl>
    <w:lvl w:ilvl="6" w:tplc="04260001" w:tentative="1">
      <w:start w:val="1"/>
      <w:numFmt w:val="bullet"/>
      <w:lvlText w:val=""/>
      <w:lvlJc w:val="left"/>
      <w:pPr>
        <w:ind w:left="5046" w:hanging="360"/>
      </w:pPr>
      <w:rPr>
        <w:rFonts w:ascii="Symbol" w:hAnsi="Symbol" w:hint="default"/>
      </w:rPr>
    </w:lvl>
    <w:lvl w:ilvl="7" w:tplc="04260003" w:tentative="1">
      <w:start w:val="1"/>
      <w:numFmt w:val="bullet"/>
      <w:lvlText w:val="o"/>
      <w:lvlJc w:val="left"/>
      <w:pPr>
        <w:ind w:left="5766" w:hanging="360"/>
      </w:pPr>
      <w:rPr>
        <w:rFonts w:ascii="Courier New" w:hAnsi="Courier New" w:cs="Courier New" w:hint="default"/>
      </w:rPr>
    </w:lvl>
    <w:lvl w:ilvl="8" w:tplc="04260005" w:tentative="1">
      <w:start w:val="1"/>
      <w:numFmt w:val="bullet"/>
      <w:lvlText w:val=""/>
      <w:lvlJc w:val="left"/>
      <w:pPr>
        <w:ind w:left="648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0A4B"/>
    <w:rsid w:val="00001E9B"/>
    <w:rsid w:val="00056F94"/>
    <w:rsid w:val="00077C0A"/>
    <w:rsid w:val="00171C20"/>
    <w:rsid w:val="001C721F"/>
    <w:rsid w:val="00203FD3"/>
    <w:rsid w:val="00211A40"/>
    <w:rsid w:val="00221B77"/>
    <w:rsid w:val="00250FE1"/>
    <w:rsid w:val="002713C9"/>
    <w:rsid w:val="002F3195"/>
    <w:rsid w:val="00301FD2"/>
    <w:rsid w:val="0031738E"/>
    <w:rsid w:val="00323B04"/>
    <w:rsid w:val="003A635A"/>
    <w:rsid w:val="004235B3"/>
    <w:rsid w:val="004531CC"/>
    <w:rsid w:val="0048451A"/>
    <w:rsid w:val="004C3539"/>
    <w:rsid w:val="004E18DE"/>
    <w:rsid w:val="00510CCA"/>
    <w:rsid w:val="005421D6"/>
    <w:rsid w:val="005A3966"/>
    <w:rsid w:val="005B7C3D"/>
    <w:rsid w:val="005D41D2"/>
    <w:rsid w:val="00612245"/>
    <w:rsid w:val="00620DB4"/>
    <w:rsid w:val="00777855"/>
    <w:rsid w:val="007A71F3"/>
    <w:rsid w:val="008177EE"/>
    <w:rsid w:val="008260F8"/>
    <w:rsid w:val="00851DE7"/>
    <w:rsid w:val="008535BE"/>
    <w:rsid w:val="0085566D"/>
    <w:rsid w:val="008C4459"/>
    <w:rsid w:val="009314FC"/>
    <w:rsid w:val="009558AE"/>
    <w:rsid w:val="009B5130"/>
    <w:rsid w:val="00AA53C1"/>
    <w:rsid w:val="00AF3184"/>
    <w:rsid w:val="00B06A54"/>
    <w:rsid w:val="00B70BBF"/>
    <w:rsid w:val="00B839AE"/>
    <w:rsid w:val="00BE4F51"/>
    <w:rsid w:val="00BF57B6"/>
    <w:rsid w:val="00C10A4B"/>
    <w:rsid w:val="00C31BB3"/>
    <w:rsid w:val="00C5183C"/>
    <w:rsid w:val="00D04DFA"/>
    <w:rsid w:val="00D24D8E"/>
    <w:rsid w:val="00DC1B77"/>
    <w:rsid w:val="00E7390B"/>
    <w:rsid w:val="00E86A2E"/>
    <w:rsid w:val="00EA66DA"/>
    <w:rsid w:val="00EF61B3"/>
    <w:rsid w:val="00FA075F"/>
    <w:rsid w:val="00FE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10A4B"/>
    <w:pPr>
      <w:spacing w:before="75" w:after="75"/>
      <w:jc w:val="center"/>
    </w:pPr>
  </w:style>
  <w:style w:type="paragraph" w:styleId="Header">
    <w:name w:val="header"/>
    <w:basedOn w:val="Normal"/>
    <w:link w:val="HeaderChar"/>
    <w:rsid w:val="00C10A4B"/>
    <w:pPr>
      <w:tabs>
        <w:tab w:val="center" w:pos="4153"/>
        <w:tab w:val="right" w:pos="8306"/>
      </w:tabs>
    </w:pPr>
  </w:style>
  <w:style w:type="character" w:customStyle="1" w:styleId="HeaderChar">
    <w:name w:val="Header Char"/>
    <w:basedOn w:val="DefaultParagraphFont"/>
    <w:link w:val="Header"/>
    <w:rsid w:val="00C10A4B"/>
    <w:rPr>
      <w:rFonts w:ascii="Times New Roman" w:eastAsia="Times New Roman" w:hAnsi="Times New Roman" w:cs="Times New Roman"/>
      <w:sz w:val="24"/>
      <w:szCs w:val="24"/>
      <w:lang w:eastAsia="lv-LV"/>
    </w:rPr>
  </w:style>
  <w:style w:type="character" w:styleId="PageNumber">
    <w:name w:val="page number"/>
    <w:basedOn w:val="DefaultParagraphFont"/>
    <w:rsid w:val="00C10A4B"/>
  </w:style>
  <w:style w:type="paragraph" w:styleId="Footer">
    <w:name w:val="footer"/>
    <w:basedOn w:val="Normal"/>
    <w:link w:val="FooterChar"/>
    <w:rsid w:val="00C10A4B"/>
    <w:pPr>
      <w:tabs>
        <w:tab w:val="center" w:pos="4153"/>
        <w:tab w:val="right" w:pos="8306"/>
      </w:tabs>
    </w:pPr>
  </w:style>
  <w:style w:type="character" w:customStyle="1" w:styleId="FooterChar">
    <w:name w:val="Footer Char"/>
    <w:basedOn w:val="DefaultParagraphFont"/>
    <w:link w:val="Footer"/>
    <w:rsid w:val="00C10A4B"/>
    <w:rPr>
      <w:rFonts w:ascii="Times New Roman" w:eastAsia="Times New Roman" w:hAnsi="Times New Roman" w:cs="Times New Roman"/>
      <w:sz w:val="24"/>
      <w:szCs w:val="24"/>
      <w:lang w:eastAsia="lv-LV"/>
    </w:rPr>
  </w:style>
  <w:style w:type="paragraph" w:styleId="PlainText">
    <w:name w:val="Plain Text"/>
    <w:basedOn w:val="Normal"/>
    <w:link w:val="PlainTextChar"/>
    <w:rsid w:val="00C10A4B"/>
    <w:rPr>
      <w:rFonts w:ascii="Courier New" w:hAnsi="Courier New" w:cs="Courier New"/>
      <w:sz w:val="20"/>
      <w:szCs w:val="20"/>
    </w:rPr>
  </w:style>
  <w:style w:type="character" w:customStyle="1" w:styleId="PlainTextChar">
    <w:name w:val="Plain Text Char"/>
    <w:basedOn w:val="DefaultParagraphFont"/>
    <w:link w:val="PlainText"/>
    <w:rsid w:val="00C10A4B"/>
    <w:rPr>
      <w:rFonts w:ascii="Courier New" w:eastAsia="Times New Roman" w:hAnsi="Courier New" w:cs="Courier New"/>
      <w:sz w:val="20"/>
      <w:szCs w:val="20"/>
      <w:lang w:eastAsia="lv-LV"/>
    </w:rPr>
  </w:style>
  <w:style w:type="character" w:customStyle="1" w:styleId="EE-paragrCharCharChar1">
    <w:name w:val="EE-paragr Char Char Char1"/>
    <w:link w:val="EE-paragrCharChar"/>
    <w:locked/>
    <w:rsid w:val="00C10A4B"/>
    <w:rPr>
      <w:bCs/>
      <w:sz w:val="24"/>
      <w:szCs w:val="24"/>
    </w:rPr>
  </w:style>
  <w:style w:type="paragraph" w:customStyle="1" w:styleId="EE-paragrCharChar">
    <w:name w:val="EE-paragr Char Char"/>
    <w:basedOn w:val="Normal"/>
    <w:link w:val="EE-paragrCharCharChar1"/>
    <w:autoRedefine/>
    <w:rsid w:val="00C10A4B"/>
    <w:pPr>
      <w:numPr>
        <w:numId w:val="1"/>
      </w:numPr>
      <w:tabs>
        <w:tab w:val="left" w:pos="149"/>
      </w:tabs>
      <w:spacing w:after="120"/>
      <w:jc w:val="both"/>
    </w:pPr>
    <w:rPr>
      <w:rFonts w:asciiTheme="minorHAnsi" w:eastAsiaTheme="minorHAnsi" w:hAnsiTheme="minorHAnsi" w:cstheme="minorBidi"/>
      <w:bCs/>
      <w:lang w:eastAsia="en-US"/>
    </w:rPr>
  </w:style>
  <w:style w:type="paragraph" w:styleId="ListParagraph">
    <w:name w:val="List Paragraph"/>
    <w:basedOn w:val="Normal"/>
    <w:uiPriority w:val="34"/>
    <w:qFormat/>
    <w:rsid w:val="00AF3184"/>
    <w:pPr>
      <w:ind w:left="720"/>
    </w:pPr>
    <w:rPr>
      <w:rFonts w:ascii="Calibri" w:eastAsiaTheme="minorHAnsi" w:hAnsi="Calibri"/>
      <w:sz w:val="22"/>
      <w:szCs w:val="22"/>
    </w:rPr>
  </w:style>
  <w:style w:type="character" w:styleId="Strong">
    <w:name w:val="Strong"/>
    <w:basedOn w:val="DefaultParagraphFont"/>
    <w:uiPriority w:val="22"/>
    <w:qFormat/>
    <w:rsid w:val="00AF3184"/>
    <w:rPr>
      <w:b/>
      <w:bCs/>
    </w:rPr>
  </w:style>
  <w:style w:type="character" w:customStyle="1" w:styleId="apple-converted-space">
    <w:name w:val="apple-converted-space"/>
    <w:basedOn w:val="DefaultParagraphFont"/>
    <w:rsid w:val="00BE4F51"/>
  </w:style>
</w:styles>
</file>

<file path=word/webSettings.xml><?xml version="1.0" encoding="utf-8"?>
<w:webSettings xmlns:r="http://schemas.openxmlformats.org/officeDocument/2006/relationships" xmlns:w="http://schemas.openxmlformats.org/wordprocessingml/2006/main">
  <w:divs>
    <w:div w:id="1679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6</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Auzina</dc:creator>
  <cp:keywords/>
  <dc:description/>
  <cp:lastModifiedBy>larisat</cp:lastModifiedBy>
  <cp:revision>38</cp:revision>
  <dcterms:created xsi:type="dcterms:W3CDTF">2014-06-20T10:12:00Z</dcterms:created>
  <dcterms:modified xsi:type="dcterms:W3CDTF">2014-08-14T11:11:00Z</dcterms:modified>
</cp:coreProperties>
</file>