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4B" w:rsidRPr="00262C09" w:rsidRDefault="00C10A4B" w:rsidP="00C10A4B">
      <w:pPr>
        <w:jc w:val="center"/>
        <w:rPr>
          <w:b/>
          <w:bCs/>
          <w:color w:val="000000"/>
          <w:sz w:val="28"/>
          <w:szCs w:val="28"/>
        </w:rPr>
      </w:pPr>
      <w:r w:rsidRPr="00262C09">
        <w:rPr>
          <w:b/>
          <w:bCs/>
          <w:color w:val="000000"/>
          <w:sz w:val="28"/>
          <w:szCs w:val="28"/>
        </w:rPr>
        <w:t>Ministru kabineta noteikumu projekta</w:t>
      </w:r>
      <w:r w:rsidRPr="00262C09">
        <w:rPr>
          <w:color w:val="000000"/>
          <w:sz w:val="28"/>
          <w:szCs w:val="28"/>
        </w:rPr>
        <w:t xml:space="preserve"> </w:t>
      </w:r>
      <w:r w:rsidR="0094121C">
        <w:rPr>
          <w:b/>
          <w:color w:val="000000"/>
          <w:sz w:val="28"/>
          <w:szCs w:val="28"/>
        </w:rPr>
        <w:t>„Grozījums Ministru kabineta 2008. gada 30. septembra noteikumos Nr.817 „Noteikumi par darbības programmas „Infrastruktūra un pakalpojumi” papildinājuma 3.4.1.4.aktivitāti „Vēsturiski piesārņoto vietu sanācija”””</w:t>
      </w:r>
      <w:r w:rsidRPr="00262C09">
        <w:rPr>
          <w:b/>
          <w:bCs/>
          <w:color w:val="000000"/>
          <w:sz w:val="28"/>
          <w:szCs w:val="28"/>
        </w:rPr>
        <w:t xml:space="preserve"> </w:t>
      </w:r>
      <w:r w:rsidRPr="00262C09">
        <w:rPr>
          <w:b/>
          <w:color w:val="000000"/>
          <w:sz w:val="28"/>
          <w:szCs w:val="28"/>
        </w:rPr>
        <w:t>sākotnējās ietekmes novērtējuma ziņojums (anotācija)</w:t>
      </w:r>
    </w:p>
    <w:p w:rsidR="00C10A4B" w:rsidRPr="00262C09" w:rsidRDefault="00C10A4B" w:rsidP="00C10A4B">
      <w:pPr>
        <w:pStyle w:val="naisc"/>
        <w:spacing w:before="0" w:after="0"/>
        <w:rPr>
          <w:color w:val="000000"/>
          <w:sz w:val="28"/>
          <w:szCs w:val="28"/>
        </w:rPr>
      </w:pPr>
    </w:p>
    <w:tbl>
      <w:tblPr>
        <w:tblpPr w:leftFromText="180" w:rightFromText="180" w:vertAnchor="text" w:tblpXSpec="right" w:tblpY="1"/>
        <w:tblOverlap w:val="never"/>
        <w:tblW w:w="506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25"/>
        <w:gridCol w:w="2165"/>
        <w:gridCol w:w="6742"/>
      </w:tblGrid>
      <w:tr w:rsidR="00C10A4B" w:rsidRPr="00262C09" w:rsidTr="00D9773C">
        <w:trPr>
          <w:trHeight w:val="405"/>
          <w:tblCellSpacing w:w="15" w:type="dxa"/>
        </w:trPr>
        <w:tc>
          <w:tcPr>
            <w:tcW w:w="9104" w:type="dxa"/>
            <w:gridSpan w:val="3"/>
            <w:tcBorders>
              <w:top w:val="outset" w:sz="6" w:space="0" w:color="auto"/>
              <w:left w:val="outset" w:sz="6" w:space="0" w:color="auto"/>
              <w:bottom w:val="outset" w:sz="6" w:space="0" w:color="auto"/>
              <w:right w:val="outset" w:sz="6" w:space="0" w:color="auto"/>
            </w:tcBorders>
            <w:vAlign w:val="center"/>
            <w:hideMark/>
          </w:tcPr>
          <w:p w:rsidR="00C10A4B" w:rsidRPr="00262C09" w:rsidRDefault="00C10A4B" w:rsidP="0085566D">
            <w:pPr>
              <w:spacing w:before="100" w:beforeAutospacing="1" w:after="100" w:afterAutospacing="1" w:line="360" w:lineRule="auto"/>
              <w:ind w:firstLine="347"/>
              <w:jc w:val="center"/>
              <w:rPr>
                <w:b/>
                <w:bCs/>
                <w:color w:val="000000"/>
              </w:rPr>
            </w:pPr>
            <w:r w:rsidRPr="00262C09">
              <w:rPr>
                <w:b/>
                <w:bCs/>
                <w:color w:val="000000"/>
              </w:rPr>
              <w:t>I. Tiesību akta projekta izstrādes nepieciešamība</w:t>
            </w:r>
          </w:p>
        </w:tc>
      </w:tr>
      <w:tr w:rsidR="00C10A4B" w:rsidRPr="00262C09" w:rsidTr="00D9773C">
        <w:trPr>
          <w:trHeight w:val="405"/>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spacing w:before="100" w:beforeAutospacing="1" w:after="100" w:afterAutospacing="1" w:line="360" w:lineRule="auto"/>
              <w:rPr>
                <w:color w:val="000000"/>
              </w:rPr>
            </w:pPr>
            <w:r w:rsidRPr="00262C09">
              <w:rPr>
                <w:color w:val="000000"/>
              </w:rPr>
              <w:t>1.</w:t>
            </w:r>
          </w:p>
        </w:tc>
        <w:tc>
          <w:tcPr>
            <w:tcW w:w="2096"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Pamatojums</w:t>
            </w:r>
          </w:p>
        </w:tc>
        <w:tc>
          <w:tcPr>
            <w:tcW w:w="6575" w:type="dxa"/>
            <w:tcBorders>
              <w:top w:val="outset" w:sz="6" w:space="0" w:color="auto"/>
              <w:left w:val="outset" w:sz="6" w:space="0" w:color="auto"/>
              <w:bottom w:val="outset" w:sz="6" w:space="0" w:color="auto"/>
              <w:right w:val="outset" w:sz="6" w:space="0" w:color="auto"/>
            </w:tcBorders>
            <w:hideMark/>
          </w:tcPr>
          <w:p w:rsidR="00C10A4B" w:rsidRPr="00262C09" w:rsidRDefault="00C10A4B" w:rsidP="0094121C">
            <w:pPr>
              <w:jc w:val="both"/>
              <w:rPr>
                <w:color w:val="000000"/>
              </w:rPr>
            </w:pPr>
            <w:r w:rsidRPr="00262C09">
              <w:rPr>
                <w:color w:val="000000"/>
              </w:rPr>
              <w:t xml:space="preserve">Ministru kabineta </w:t>
            </w:r>
            <w:r w:rsidR="007936A4">
              <w:rPr>
                <w:color w:val="000000"/>
              </w:rPr>
              <w:t xml:space="preserve">(turpmāk – MK) </w:t>
            </w:r>
            <w:r w:rsidRPr="00262C09">
              <w:rPr>
                <w:color w:val="000000"/>
              </w:rPr>
              <w:t>noteikumu projektu</w:t>
            </w:r>
            <w:r w:rsidR="0094121C">
              <w:rPr>
                <w:color w:val="000000"/>
              </w:rPr>
              <w:t xml:space="preserve"> </w:t>
            </w:r>
            <w:r w:rsidR="0094121C" w:rsidRPr="0094121C">
              <w:rPr>
                <w:color w:val="000000"/>
              </w:rPr>
              <w:t>„Grozījums Ministru kabineta 2008. gada 30. septembra noteikumos Nr.817 „Noteikumi par darbības programmas „Infrastruktūra un pakalpojumi” papildinājuma 3.4.1.4.aktivitāti „Vēsturiski piesārņoto vietu sanācija”””</w:t>
            </w:r>
            <w:r w:rsidRPr="00262C09">
              <w:rPr>
                <w:color w:val="000000"/>
              </w:rPr>
              <w:t xml:space="preserve"> (turpmāk – noteikumu projekts) Vides aizsardzības un reģionālās attīstības ministrija (turpmāk – VARAM) izstrādājusi saskaņā ar Eiropas Savienības struktūrfondu un Kohēzijas fonda vadības likuma 18. panta 10. punktu.</w:t>
            </w:r>
          </w:p>
        </w:tc>
      </w:tr>
      <w:tr w:rsidR="00C10A4B" w:rsidRPr="00262C09" w:rsidTr="00D9773C">
        <w:trPr>
          <w:trHeight w:val="465"/>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spacing w:before="100" w:beforeAutospacing="1" w:after="100" w:afterAutospacing="1" w:line="360" w:lineRule="auto"/>
              <w:rPr>
                <w:color w:val="000000"/>
              </w:rPr>
            </w:pPr>
            <w:r w:rsidRPr="00262C09">
              <w:rPr>
                <w:color w:val="000000"/>
              </w:rPr>
              <w:t>2.</w:t>
            </w:r>
          </w:p>
        </w:tc>
        <w:tc>
          <w:tcPr>
            <w:tcW w:w="2096"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Pašreizējā situācija un problēmas, kuru risināšanai tiesību akta projekts izstrādāts, tiesiskā regulējuma mērķis un būtība</w:t>
            </w:r>
          </w:p>
        </w:tc>
        <w:tc>
          <w:tcPr>
            <w:tcW w:w="6575" w:type="dxa"/>
            <w:tcBorders>
              <w:top w:val="outset" w:sz="6" w:space="0" w:color="auto"/>
              <w:left w:val="outset" w:sz="6" w:space="0" w:color="auto"/>
              <w:bottom w:val="outset" w:sz="6" w:space="0" w:color="auto"/>
              <w:right w:val="outset" w:sz="6" w:space="0" w:color="auto"/>
            </w:tcBorders>
          </w:tcPr>
          <w:p w:rsidR="00D76686" w:rsidRDefault="007936A4" w:rsidP="00D76686">
            <w:pPr>
              <w:pStyle w:val="EE-paragrCharChar"/>
              <w:framePr w:hSpace="0" w:wrap="auto" w:vAnchor="margin" w:xAlign="left" w:yAlign="inline"/>
              <w:suppressOverlap w:val="0"/>
            </w:pPr>
            <w:r w:rsidRPr="007936A4">
              <w:t>Līdz ar grozījumiem MK 2008. gada 30. septembra noteikumos Nr.817 „Noteikumi par darbības programmas „Infrastruktūra un pakalpojumi” papildinājuma 3.4.1.4.aktivitāti „Vēsturiski piesārņoto vietu sanācija””</w:t>
            </w:r>
            <w:r>
              <w:t xml:space="preserve"> (turpmāk – MK noteikumi Nr.817)</w:t>
            </w:r>
            <w:r w:rsidRPr="007936A4">
              <w:t xml:space="preserve">, kas MK apstiprināti 2013. gada 15. </w:t>
            </w:r>
            <w:r>
              <w:t xml:space="preserve">oktobrī, 3.4.1.4.aktivitātē „Vēsturiski piesārņoto vietu sanācija” (turpmāk – 3.4.1.4.aktivitāte) tika piešķirts virssaistību finansējums 12 925 504 </w:t>
            </w:r>
            <w:r w:rsidRPr="007936A4">
              <w:rPr>
                <w:i/>
              </w:rPr>
              <w:t>euro</w:t>
            </w:r>
            <w:r>
              <w:t xml:space="preserve"> apmērā. Virssaistību finansējums, ņemot vērā 3.4.1.4.aktivitātes finansējuma avotus – Eiropas Reģionālās attīstības fonds (turpmāk – ERAF) un valsts budžets, tika piešķirts, palielinot</w:t>
            </w:r>
            <w:r w:rsidR="00D76686">
              <w:t xml:space="preserve"> ERAF līdzfinansējuma daļu</w:t>
            </w:r>
            <w:r>
              <w:t xml:space="preserve"> par 8 950 911 </w:t>
            </w:r>
            <w:r w:rsidRPr="007936A4">
              <w:rPr>
                <w:i/>
              </w:rPr>
              <w:t>euro</w:t>
            </w:r>
            <w:r>
              <w:t xml:space="preserve"> un par 3 974 593 </w:t>
            </w:r>
            <w:r w:rsidRPr="007936A4">
              <w:rPr>
                <w:i/>
              </w:rPr>
              <w:t>euro</w:t>
            </w:r>
            <w:r>
              <w:t xml:space="preserve"> valsts budžeta līdzfinansējuma daļu. Sadalot virssaistību finansējumu, tika ņemts vērā 3.4.1.4.aktivitātes finansējuma avotu procentuālais sadalījums. Šādi grozījumi MK noteikumos Nr.817 bija nepieciešami, jo </w:t>
            </w:r>
            <w:r w:rsidR="00D76686">
              <w:t>3.4.1.4.aktivitātes projektam Nr.3DP/3.4.1.4.0/09/IPIA/VIDM/002 „Vēsturiski piesārņoto vietu „Inčukalna sērskābie gudrona dīķi” sanācijas darbi” bija nepieciešams papildu finansējums (skatīt MK 2013. gada 15. oktobra noteikumu Nr.1132</w:t>
            </w:r>
            <w:r w:rsidR="00A92697">
              <w:t xml:space="preserve"> </w:t>
            </w:r>
            <w:r w:rsidR="00A92697" w:rsidRPr="00A92697">
              <w:rPr>
                <w:bCs w:val="0"/>
                <w:color w:val="000000" w:themeColor="text1"/>
              </w:rPr>
              <w:t>„</w:t>
            </w:r>
            <w:r w:rsidR="00A92697" w:rsidRPr="00A92697">
              <w:rPr>
                <w:color w:val="000000" w:themeColor="text1"/>
              </w:rPr>
              <w:t>Grozījumi Ministru kabineta 2008.</w:t>
            </w:r>
            <w:r w:rsidR="00A92697" w:rsidRPr="00A92697">
              <w:rPr>
                <w:bCs w:val="0"/>
                <w:color w:val="000000" w:themeColor="text1"/>
              </w:rPr>
              <w:t xml:space="preserve"> </w:t>
            </w:r>
            <w:r w:rsidR="00A92697" w:rsidRPr="00A92697">
              <w:rPr>
                <w:color w:val="000000" w:themeColor="text1"/>
              </w:rPr>
              <w:t xml:space="preserve">gada </w:t>
            </w:r>
            <w:r w:rsidR="00A92697" w:rsidRPr="00A92697">
              <w:rPr>
                <w:bCs w:val="0"/>
                <w:color w:val="000000" w:themeColor="text1"/>
              </w:rPr>
              <w:t>30. septembra noteikumos Nr.817 „</w:t>
            </w:r>
            <w:r w:rsidR="00A92697" w:rsidRPr="00A92697">
              <w:rPr>
                <w:color w:val="000000" w:themeColor="text1"/>
              </w:rPr>
              <w:t>Not</w:t>
            </w:r>
            <w:r w:rsidR="00A92697" w:rsidRPr="00A92697">
              <w:rPr>
                <w:bCs w:val="0"/>
                <w:color w:val="000000" w:themeColor="text1"/>
              </w:rPr>
              <w:t>eikumi par darbības programmas „Infrastruktūra un pakalpojumi”</w:t>
            </w:r>
            <w:r w:rsidR="00A92697" w:rsidRPr="00A92697">
              <w:rPr>
                <w:color w:val="000000" w:themeColor="text1"/>
              </w:rPr>
              <w:t xml:space="preserve"> pa</w:t>
            </w:r>
            <w:r w:rsidR="00A92697" w:rsidRPr="00A92697">
              <w:rPr>
                <w:bCs w:val="0"/>
                <w:color w:val="000000" w:themeColor="text1"/>
              </w:rPr>
              <w:t>pildinājuma 3.4.1.4.aktivitāti „</w:t>
            </w:r>
            <w:r w:rsidR="00A92697" w:rsidRPr="00A92697">
              <w:rPr>
                <w:color w:val="000000" w:themeColor="text1"/>
              </w:rPr>
              <w:t>Vēsturiski piesārņoto vietu sanā</w:t>
            </w:r>
            <w:r w:rsidR="00A92697" w:rsidRPr="00A92697">
              <w:rPr>
                <w:bCs w:val="0"/>
                <w:color w:val="000000" w:themeColor="text1"/>
              </w:rPr>
              <w:t>cija”””</w:t>
            </w:r>
            <w:r w:rsidR="00D76686">
              <w:t xml:space="preserve"> sākotnējās ietekmes novērtējuma ziņojumu (anotāciju)).</w:t>
            </w:r>
          </w:p>
          <w:p w:rsidR="00D76686" w:rsidRDefault="00DD6C4F" w:rsidP="0090354A">
            <w:pPr>
              <w:pStyle w:val="EE-paragrCharChar"/>
              <w:framePr w:hSpace="0" w:wrap="auto" w:vAnchor="margin" w:xAlign="left" w:yAlign="inline"/>
              <w:suppressOverlap w:val="0"/>
            </w:pPr>
            <w:r>
              <w:t xml:space="preserve">Lai arī papildu finansējums 3.4.1.4.aktivitātē tika piešķirts jau 2013. gadā, grozījumus projektā varēja veikt pēc Eiropas Komisijas un Eiropas Investīciju bankas tehniskā atbalsta instrumenta JASPERS gala ziņojuma par grozījumiem projekta iesnieguma dokumentos saņemšanas un Iepirkumu uzraudzības biroja atļaujas saskaņot sarunu procedūras, lai varētu veikt grozījumus sanācijas darbu un uzraudzības darbu noslēgtajos līgumos. </w:t>
            </w:r>
            <w:r w:rsidR="003F16B6">
              <w:t xml:space="preserve">2014. gada 21. maijā tika veikti </w:t>
            </w:r>
            <w:r w:rsidR="00B32C51">
              <w:t xml:space="preserve">grozījumi </w:t>
            </w:r>
            <w:r w:rsidR="003F16B6">
              <w:t>vienošanās</w:t>
            </w:r>
            <w:r w:rsidR="00B32C51">
              <w:t xml:space="preserve"> starp Valsts vides dienestu un VARAM</w:t>
            </w:r>
            <w:r w:rsidR="003F16B6">
              <w:t xml:space="preserve"> par projekta „Vēsturiski piesārņoto vietu „Inčukalna sērskābie </w:t>
            </w:r>
            <w:r w:rsidR="003F16B6">
              <w:lastRenderedPageBreak/>
              <w:t>gudrona dīķi” sanācijas darbi”</w:t>
            </w:r>
            <w:r w:rsidR="00B32C51">
              <w:t xml:space="preserve"> īstenošanu</w:t>
            </w:r>
            <w:r w:rsidR="003F16B6">
              <w:t>.</w:t>
            </w:r>
            <w:r w:rsidR="00FB376E">
              <w:t xml:space="preserve"> Līdz ar grozījumiem tika pagarināta projekta īstenošana līdz 2015. gada 31. decembrim, kā arī precizēts projekta finansēšanas plāns, kā rezultātā radies virssaistību finansējuma atlikums, jo kopējās </w:t>
            </w:r>
            <w:r w:rsidR="00964D84">
              <w:t>3.4.1.4.aktivitātes</w:t>
            </w:r>
            <w:r w:rsidR="00FB376E">
              <w:t xml:space="preserve"> izmaksas samazinātas par 2 485 888 </w:t>
            </w:r>
            <w:proofErr w:type="spellStart"/>
            <w:r w:rsidR="00FB376E" w:rsidRPr="00FB376E">
              <w:rPr>
                <w:i/>
              </w:rPr>
              <w:t>euro</w:t>
            </w:r>
            <w:proofErr w:type="spellEnd"/>
            <w:r w:rsidR="00FB376E">
              <w:t xml:space="preserve"> (summējot gan ERAF, gan valsts budžeta līdzfinansējuma daļu). </w:t>
            </w:r>
            <w:r w:rsidR="0090354A">
              <w:t>Šādas izmaiņas finansēšanas plānā radušās, precizējot plānoto darbu izpildes laika grafiku, piemērojamās tehnoloģijas, kā arī rūpīgi plānojot darbu apjomus. 3.4.1.4.aktivitātē nav plānota jaunu projektu uzsākšana, kuru finansēšanai varētu tikt izmantots virssaistību finansējuma atlikums.</w:t>
            </w:r>
          </w:p>
          <w:p w:rsidR="00305290" w:rsidRDefault="0090354A" w:rsidP="0090354A">
            <w:pPr>
              <w:pStyle w:val="EE-paragrCharChar"/>
              <w:framePr w:hSpace="0" w:wrap="auto" w:vAnchor="margin" w:xAlign="left" w:yAlign="inline"/>
              <w:suppressOverlap w:val="0"/>
            </w:pPr>
            <w:r>
              <w:t>Saskaņā ar 2014.</w:t>
            </w:r>
            <w:r w:rsidR="00305290">
              <w:t xml:space="preserve"> </w:t>
            </w:r>
            <w:r>
              <w:t>gada 7.</w:t>
            </w:r>
            <w:r w:rsidR="00305290">
              <w:t xml:space="preserve"> </w:t>
            </w:r>
            <w:r>
              <w:t>februāra Kultūras ministrijas informatīvo ziņojumu „Par Ventspils Mūzikas vidusskolas turpmākās darbības nodrošināšanu” Ventspils Mūzikas vidusskolas (turpmāk – VMV) noteiktās funkcijas nodrošina trīs ēku komplekss, kas ir savstarpēji funkcionāli saistīti nekustamie īpašumi Ventspilī, no kuriem ēka</w:t>
            </w:r>
            <w:r w:rsidR="00305290">
              <w:t>s</w:t>
            </w:r>
            <w:r>
              <w:t xml:space="preserve"> Kuģinieku ielā 2 un Pils ielā 38 saskaņā ar veikto tehnisko apsekošanas rezultātu datiem atzītas par neatbilstošām būvnormatīvu prasībām. Vienlaikus VMV kā Ziemeļkurzemes metodiskais centrs apvieno 12 mūzikas skolas un ir lielākā valsts kultūr</w:t>
            </w:r>
            <w:r w:rsidR="00305290">
              <w:t xml:space="preserve">izglītības iestāde ārpus Rīgas. Informatīvā ziņojuma ietvaros skatītas vairākas VMV attīstības iespējas </w:t>
            </w:r>
            <w:r w:rsidR="00305290" w:rsidRPr="007177FD">
              <w:t xml:space="preserve">gan no izvietojuma, gan no paredzamā plānojuma, kā arī tālākās izmantošanas viedokļa, kā rezultātā racionālākais ir scenārijs, kas paredz nākotnē veidot skolu un koncertzāli kā vienotu kompleksu. </w:t>
            </w:r>
            <w:r w:rsidR="007177FD" w:rsidRPr="007177FD">
              <w:t>Šim</w:t>
            </w:r>
            <w:r w:rsidR="00305290" w:rsidRPr="007177FD">
              <w:t xml:space="preserve"> variant</w:t>
            </w:r>
            <w:r w:rsidR="007177FD" w:rsidRPr="007177FD">
              <w:t>am</w:t>
            </w:r>
            <w:r w:rsidR="00305290" w:rsidRPr="007177FD">
              <w:t xml:space="preserve"> ir</w:t>
            </w:r>
            <w:r w:rsidR="007177FD" w:rsidRPr="007177FD">
              <w:t xml:space="preserve"> visaugstākā</w:t>
            </w:r>
            <w:r w:rsidR="00305290" w:rsidRPr="007177FD">
              <w:t xml:space="preserve"> ekonomisk</w:t>
            </w:r>
            <w:r w:rsidR="007177FD" w:rsidRPr="007177FD">
              <w:t>ā</w:t>
            </w:r>
            <w:r w:rsidR="00305290" w:rsidRPr="007177FD">
              <w:t xml:space="preserve"> atdev</w:t>
            </w:r>
            <w:r w:rsidR="007177FD" w:rsidRPr="007177FD">
              <w:t>e</w:t>
            </w:r>
            <w:r w:rsidR="00305290" w:rsidRPr="007177FD">
              <w:t xml:space="preserve"> ilgtermiņā.</w:t>
            </w:r>
          </w:p>
          <w:p w:rsidR="00A446F6" w:rsidRDefault="00192A72" w:rsidP="00A92697">
            <w:pPr>
              <w:jc w:val="both"/>
            </w:pPr>
            <w:r>
              <w:t>VMV p</w:t>
            </w:r>
            <w:r w:rsidR="00A446F6">
              <w:t xml:space="preserve">rojekta kopējās izmaksas 3 557 536 </w:t>
            </w:r>
            <w:r w:rsidR="00A446F6">
              <w:rPr>
                <w:i/>
              </w:rPr>
              <w:t>euro</w:t>
            </w:r>
            <w:r w:rsidR="00A446F6">
              <w:t xml:space="preserve"> (t.sk. ERAF līdzfinansējums 3 023 906 EUR apmērā (85%)) ietver šādas galvenās izdevumu pozīcijas:</w:t>
            </w:r>
          </w:p>
          <w:p w:rsidR="00A446F6" w:rsidRPr="00A446F6" w:rsidRDefault="00A446F6" w:rsidP="00A446F6">
            <w:pPr>
              <w:pStyle w:val="EE-paragrCharChar"/>
              <w:framePr w:hSpace="0" w:wrap="auto" w:vAnchor="margin" w:xAlign="left" w:yAlign="inline"/>
              <w:numPr>
                <w:ilvl w:val="0"/>
                <w:numId w:val="11"/>
              </w:numPr>
              <w:suppressOverlap w:val="0"/>
            </w:pPr>
            <w:r w:rsidRPr="00A446F6">
              <w:t>Būvprojekta izstrāde divās stadijās – skiču projekta stadijā un tehniskā projekta stadijā. Skiču projekts ietver galvenās funkcijas: mūzikas vidusskolu ar mācību un nodarbību telpām, bibliotēku un skolas administrāciju, divas zāles ar 140 un 600-800 vietu ietilpību, koncertzāles administrācijas telpas, mākslinieku ģērbtuves. Kompleksa kopējā platība – 6620 m²;</w:t>
            </w:r>
          </w:p>
          <w:p w:rsidR="00A446F6" w:rsidRPr="00A446F6" w:rsidRDefault="00A446F6" w:rsidP="00A446F6">
            <w:pPr>
              <w:pStyle w:val="EE-paragrCharChar"/>
              <w:framePr w:hSpace="0" w:wrap="auto" w:vAnchor="margin" w:xAlign="left" w:yAlign="inline"/>
              <w:numPr>
                <w:ilvl w:val="0"/>
                <w:numId w:val="11"/>
              </w:numPr>
              <w:suppressOverlap w:val="0"/>
            </w:pPr>
            <w:r w:rsidRPr="00A446F6">
              <w:t>Mācību, bibliotēkas telpu pārprojektēšana un dienesta viesnīcas telpu projektēšana, ņemot vērā faktiski esošo un plānoto audzēkņu skaita pieaugumu, saskaņā ar higiēnas prasībām par minimālo platību viena izglītojamā vietai.</w:t>
            </w:r>
          </w:p>
          <w:p w:rsidR="00305290" w:rsidRPr="002E1EF5" w:rsidRDefault="00305290" w:rsidP="007177FD">
            <w:pPr>
              <w:pStyle w:val="EE-paragrCharChar"/>
              <w:framePr w:hSpace="0" w:wrap="auto" w:vAnchor="margin" w:xAlign="left" w:yAlign="inline"/>
              <w:suppressOverlap w:val="0"/>
            </w:pPr>
            <w:r>
              <w:t xml:space="preserve">Lai nodrošinātu Ventspils pilsētas pašvaldībai nepieciešamo papildu finansējuma apjomu </w:t>
            </w:r>
            <w:r w:rsidR="007177FD">
              <w:t>VMV</w:t>
            </w:r>
            <w:r>
              <w:t xml:space="preserve"> turpmākās darbības nodrošināšanai, tiek izmantoti finansējuma </w:t>
            </w:r>
            <w:r w:rsidRPr="002E1EF5">
              <w:t>atlikumi, kas ir izveidojušies šādu darbības programmas „Infrastruktūra un pakalpojumi”</w:t>
            </w:r>
            <w:r w:rsidR="007177FD" w:rsidRPr="002E1EF5">
              <w:t xml:space="preserve"> papildinājuma</w:t>
            </w:r>
            <w:r w:rsidRPr="002E1EF5">
              <w:t xml:space="preserve"> aktivitāšu ietvaros:</w:t>
            </w:r>
          </w:p>
          <w:p w:rsidR="007177FD" w:rsidRPr="002E1EF5" w:rsidRDefault="007177FD" w:rsidP="007177FD">
            <w:pPr>
              <w:pStyle w:val="EE-paragrCharChar"/>
              <w:framePr w:hSpace="0" w:wrap="auto" w:vAnchor="margin" w:xAlign="left" w:yAlign="inline"/>
              <w:numPr>
                <w:ilvl w:val="0"/>
                <w:numId w:val="11"/>
              </w:numPr>
              <w:suppressOverlap w:val="0"/>
            </w:pPr>
            <w:r w:rsidRPr="002E1EF5">
              <w:t xml:space="preserve">3.4.1.4.aktivitāte - </w:t>
            </w:r>
            <w:r w:rsidR="004502A7" w:rsidRPr="002E1EF5">
              <w:t>1 830 478</w:t>
            </w:r>
            <w:r w:rsidRPr="002E1EF5">
              <w:t xml:space="preserve"> </w:t>
            </w:r>
            <w:r w:rsidRPr="002E1EF5">
              <w:rPr>
                <w:i/>
              </w:rPr>
              <w:t>euro</w:t>
            </w:r>
            <w:r w:rsidR="004502A7" w:rsidRPr="002E1EF5">
              <w:rPr>
                <w:i/>
              </w:rPr>
              <w:t xml:space="preserve"> </w:t>
            </w:r>
            <w:r w:rsidR="001F6C3E" w:rsidRPr="002E1EF5">
              <w:rPr>
                <w:i/>
                <w:color w:val="000000"/>
              </w:rPr>
              <w:t>apmērā</w:t>
            </w:r>
            <w:r w:rsidRPr="002E1EF5">
              <w:t>;</w:t>
            </w:r>
          </w:p>
          <w:p w:rsidR="002E1EF5" w:rsidRPr="002E1EF5" w:rsidRDefault="00305290" w:rsidP="002E1EF5">
            <w:pPr>
              <w:pStyle w:val="EE-paragrCharChar"/>
              <w:framePr w:hSpace="0" w:wrap="auto" w:vAnchor="margin" w:xAlign="left" w:yAlign="inline"/>
              <w:numPr>
                <w:ilvl w:val="0"/>
                <w:numId w:val="11"/>
              </w:numPr>
              <w:suppressOverlap w:val="0"/>
            </w:pPr>
            <w:r w:rsidRPr="002E1EF5">
              <w:t>3.6.1.1.aktivitāte</w:t>
            </w:r>
            <w:r w:rsidR="007177FD" w:rsidRPr="002E1EF5">
              <w:t xml:space="preserve"> „Nacionālas un reģionālas nozīmes </w:t>
            </w:r>
            <w:r w:rsidR="007177FD" w:rsidRPr="002E1EF5">
              <w:lastRenderedPageBreak/>
              <w:t>attīstības centru izaugsmes veicināšana līdzsvarotai valsts attīstībai”</w:t>
            </w:r>
            <w:r w:rsidR="00192A72" w:rsidRPr="002E1EF5">
              <w:t xml:space="preserve"> (turpmāk – 3.6.1.1.aktivitāte) </w:t>
            </w:r>
            <w:r w:rsidRPr="002E1EF5">
              <w:t xml:space="preserve">– </w:t>
            </w:r>
            <w:r w:rsidR="002E1EF5" w:rsidRPr="002E1EF5">
              <w:rPr>
                <w:color w:val="000000"/>
              </w:rPr>
              <w:t xml:space="preserve">neizmantotais ERAF un virssaistību finansējums </w:t>
            </w:r>
            <w:r w:rsidR="002E1EF5" w:rsidRPr="002E1EF5">
              <w:rPr>
                <w:bCs w:val="0"/>
              </w:rPr>
              <w:t xml:space="preserve">170 567 </w:t>
            </w:r>
            <w:r w:rsidR="002E1EF5" w:rsidRPr="002E1EF5">
              <w:rPr>
                <w:i/>
                <w:color w:val="000000"/>
              </w:rPr>
              <w:t>euro</w:t>
            </w:r>
            <w:r w:rsidR="002E1EF5" w:rsidRPr="002E1EF5">
              <w:rPr>
                <w:color w:val="000000"/>
              </w:rPr>
              <w:t xml:space="preserve"> apmērā un neatbilstoši veiktie izdevumi 1 022 861 </w:t>
            </w:r>
            <w:r w:rsidR="002E1EF5" w:rsidRPr="002E1EF5">
              <w:rPr>
                <w:i/>
                <w:color w:val="000000"/>
              </w:rPr>
              <w:t>euro apmērā</w:t>
            </w:r>
            <w:r w:rsidR="002E1EF5" w:rsidRPr="002E1EF5">
              <w:t>;</w:t>
            </w:r>
          </w:p>
          <w:p w:rsidR="0055275A" w:rsidRDefault="0055275A" w:rsidP="007177FD">
            <w:pPr>
              <w:pStyle w:val="EE-paragrCharChar"/>
              <w:framePr w:hSpace="0" w:wrap="auto" w:vAnchor="margin" w:xAlign="left" w:yAlign="inline"/>
              <w:suppressOverlap w:val="0"/>
            </w:pPr>
            <w:r w:rsidRPr="002E1EF5">
              <w:t>Projekta, kuru Ventspils pilsētas pašvaldība plāno īstenot 3.6.1.1.aktivitātes ietvaros, īstenošana dos būtisku ieguldījumu Ventspils pilsētas un līdz ar to arī L</w:t>
            </w:r>
            <w:r w:rsidR="00192A72" w:rsidRPr="002E1EF5">
              <w:t>atvijas reģionālajā</w:t>
            </w:r>
            <w:r w:rsidR="00192A72">
              <w:t xml:space="preserve"> attīstībā. VMV p</w:t>
            </w:r>
            <w:r>
              <w:t>rojekts paredz būvprojekta izstrādi jaunas VMV ēkas nodrošināšanai, perspektīvā ēkā apvienojot gan VMV, gan koncertzāles funkcijas, tādējādi nodrošinot maksimālu telpu noslodzi visa gada garumā.</w:t>
            </w:r>
          </w:p>
          <w:p w:rsidR="0090354A" w:rsidRDefault="00A446F6" w:rsidP="00AF5136">
            <w:pPr>
              <w:pStyle w:val="EE-paragrCharChar"/>
              <w:framePr w:hSpace="0" w:wrap="auto" w:vAnchor="margin" w:xAlign="left" w:yAlign="inline"/>
              <w:suppressOverlap w:val="0"/>
            </w:pPr>
            <w:r>
              <w:t>Noteikumu projekts izstrādāts, lai samazinātu 3.4.1.4.aktivitātē pieejamo virssaistību apjomu</w:t>
            </w:r>
            <w:r w:rsidR="00192A72">
              <w:t xml:space="preserve"> </w:t>
            </w:r>
            <w:r w:rsidR="00192A72" w:rsidRPr="002E1EF5">
              <w:t xml:space="preserve">par </w:t>
            </w:r>
            <w:r w:rsidR="004502A7" w:rsidRPr="002E1EF5">
              <w:rPr>
                <w:b/>
              </w:rPr>
              <w:t>1 830 478</w:t>
            </w:r>
            <w:r w:rsidR="00192A72" w:rsidRPr="002E1EF5">
              <w:t xml:space="preserve"> </w:t>
            </w:r>
            <w:proofErr w:type="spellStart"/>
            <w:r w:rsidR="00192A72" w:rsidRPr="002E1EF5">
              <w:rPr>
                <w:i/>
              </w:rPr>
              <w:t>euro</w:t>
            </w:r>
            <w:proofErr w:type="spellEnd"/>
            <w:r w:rsidRPr="002E1EF5">
              <w:t>,</w:t>
            </w:r>
            <w:r>
              <w:t xml:space="preserve"> </w:t>
            </w:r>
            <w:r w:rsidR="00192A72">
              <w:t xml:space="preserve">kas nepieciešams Ventspils pilsētas pašvaldības VMV projekta īstenošanai 3.6.1.1.aktivitātes ietvaros, tādējādi </w:t>
            </w:r>
            <w:r w:rsidR="0055275A">
              <w:t>efektīvi un mērķtiecīgi izmantojot finansējuma atlikumu reģionālās attīstības veicināšanā.</w:t>
            </w:r>
          </w:p>
          <w:p w:rsidR="00A74965" w:rsidRPr="007936A4" w:rsidRDefault="005D00A0" w:rsidP="005630C1">
            <w:pPr>
              <w:pStyle w:val="EE-paragrCharChar"/>
              <w:framePr w:hSpace="0" w:wrap="auto" w:vAnchor="margin" w:xAlign="left" w:yAlign="inline"/>
              <w:suppressOverlap w:val="0"/>
            </w:pPr>
            <w:r w:rsidRPr="005D00A0">
              <w:t xml:space="preserve">Papildus noteikumu projektam tiek pievienots MK </w:t>
            </w:r>
            <w:proofErr w:type="spellStart"/>
            <w:r w:rsidRPr="005D00A0">
              <w:t>prot</w:t>
            </w:r>
            <w:r w:rsidR="00035EFD">
              <w:t>okollēmuma</w:t>
            </w:r>
            <w:proofErr w:type="spellEnd"/>
            <w:r w:rsidR="00035EFD">
              <w:t xml:space="preserve"> projekts, kas paredz</w:t>
            </w:r>
            <w:r w:rsidR="00A74965">
              <w:t xml:space="preserve"> </w:t>
            </w:r>
            <w:r w:rsidR="005630C1">
              <w:t xml:space="preserve"> </w:t>
            </w:r>
            <w:r w:rsidR="005630C1" w:rsidRPr="005630C1">
              <w:t xml:space="preserve">novirzīt darbības programmas „Infrastruktūra un pakalpojumi” papildinājuma 3.4.1.4.aktivitātes „Vēsturiski piesārņoto vietu sanācija” ietvaros neizlietoto </w:t>
            </w:r>
            <w:proofErr w:type="spellStart"/>
            <w:r w:rsidR="005630C1" w:rsidRPr="005630C1">
              <w:t>virssaistību</w:t>
            </w:r>
            <w:proofErr w:type="spellEnd"/>
            <w:r w:rsidR="005630C1" w:rsidRPr="005630C1">
              <w:t xml:space="preserve"> finansējumu 1 830 478 EUR apmērā </w:t>
            </w:r>
            <w:r w:rsidR="005630C1">
              <w:t>VMV</w:t>
            </w:r>
            <w:r w:rsidR="005630C1" w:rsidRPr="005630C1">
              <w:t xml:space="preserve"> projekta pirmās kārtas īstenošanai darbības programmas „Infrastruktūra un pakalpojumi” papildinājuma 3.6.1.1.aktivitātes „Nacionālas un reģionālas nozīmes attīstības centru izaugsmes veicināšana līdzsvarotai valsts attīstībai” ietvaros, neattiecinot Ministru kabineta 2014.gada 11.marta </w:t>
            </w:r>
            <w:proofErr w:type="spellStart"/>
            <w:r w:rsidR="005630C1" w:rsidRPr="005630C1">
              <w:t>protokollēmuma</w:t>
            </w:r>
            <w:proofErr w:type="spellEnd"/>
            <w:r w:rsidR="005630C1" w:rsidRPr="005630C1">
              <w:t xml:space="preserve"> Nr.16 38.§ 3.punktā noteikto par ierobežojumiem rīcībai ar neizlietoto Eiropas Savienības fondu finansējumu</w:t>
            </w:r>
            <w:r w:rsidR="005630C1">
              <w:t xml:space="preserve">, lai nodrošinātu </w:t>
            </w:r>
            <w:r w:rsidR="005630C1" w:rsidRPr="005630C1">
              <w:t xml:space="preserve">Ministru kabineta 2014.gada 11.februāra </w:t>
            </w:r>
            <w:proofErr w:type="spellStart"/>
            <w:r w:rsidR="005630C1" w:rsidRPr="005630C1">
              <w:t>protokollēmuma</w:t>
            </w:r>
            <w:proofErr w:type="spellEnd"/>
            <w:r w:rsidR="005630C1" w:rsidRPr="005630C1">
              <w:t xml:space="preserve"> Nr.8 29.§ par informatīvo ziņojumu „Par Ventspils Mūzikas vidusskolas turpmākās darbības nodrošināšanu” un 30.§ par rīkojuma projektu „Par finansējuma piešķiršanu Ventspils Mūzikas vidusskolai pārcelšanās izdevumu segšanai” noteikto</w:t>
            </w:r>
            <w:bookmarkStart w:id="0" w:name="_GoBack"/>
            <w:bookmarkEnd w:id="0"/>
          </w:p>
        </w:tc>
      </w:tr>
      <w:tr w:rsidR="00C10A4B" w:rsidRPr="00262C09" w:rsidTr="00D9773C">
        <w:trPr>
          <w:trHeight w:val="465"/>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spacing w:before="100" w:beforeAutospacing="1" w:after="100" w:afterAutospacing="1" w:line="360" w:lineRule="auto"/>
              <w:rPr>
                <w:color w:val="000000"/>
              </w:rPr>
            </w:pPr>
            <w:r w:rsidRPr="00262C09">
              <w:rPr>
                <w:color w:val="000000"/>
              </w:rPr>
              <w:lastRenderedPageBreak/>
              <w:t>3.</w:t>
            </w:r>
          </w:p>
        </w:tc>
        <w:tc>
          <w:tcPr>
            <w:tcW w:w="2096"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Projekta izstrādē iesaistītās institūcijas</w:t>
            </w:r>
          </w:p>
        </w:tc>
        <w:tc>
          <w:tcPr>
            <w:tcW w:w="6575"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Projekts šo jomu neskar.</w:t>
            </w:r>
          </w:p>
        </w:tc>
      </w:tr>
      <w:tr w:rsidR="00D9773C" w:rsidRPr="00262C09" w:rsidTr="00D9773C">
        <w:trPr>
          <w:trHeight w:val="714"/>
          <w:tblCellSpacing w:w="15" w:type="dxa"/>
        </w:trPr>
        <w:tc>
          <w:tcPr>
            <w:tcW w:w="373" w:type="dxa"/>
            <w:tcBorders>
              <w:top w:val="outset" w:sz="6" w:space="0" w:color="auto"/>
              <w:left w:val="outset" w:sz="6" w:space="0" w:color="auto"/>
              <w:right w:val="outset" w:sz="6" w:space="0" w:color="auto"/>
            </w:tcBorders>
            <w:hideMark/>
          </w:tcPr>
          <w:p w:rsidR="00D9773C" w:rsidRPr="00262C09" w:rsidRDefault="00D9773C" w:rsidP="0085566D">
            <w:pPr>
              <w:spacing w:before="100" w:beforeAutospacing="1" w:after="100" w:afterAutospacing="1" w:line="360" w:lineRule="auto"/>
              <w:rPr>
                <w:color w:val="000000"/>
              </w:rPr>
            </w:pPr>
            <w:r w:rsidRPr="00262C09">
              <w:rPr>
                <w:color w:val="000000"/>
              </w:rPr>
              <w:t>4.</w:t>
            </w:r>
          </w:p>
        </w:tc>
        <w:tc>
          <w:tcPr>
            <w:tcW w:w="2096" w:type="dxa"/>
            <w:tcBorders>
              <w:top w:val="outset" w:sz="6" w:space="0" w:color="auto"/>
              <w:left w:val="outset" w:sz="6" w:space="0" w:color="auto"/>
              <w:right w:val="outset" w:sz="6" w:space="0" w:color="auto"/>
            </w:tcBorders>
            <w:hideMark/>
          </w:tcPr>
          <w:p w:rsidR="00D9773C" w:rsidRPr="00262C09" w:rsidRDefault="00D9773C" w:rsidP="0085566D">
            <w:pPr>
              <w:rPr>
                <w:color w:val="000000"/>
              </w:rPr>
            </w:pPr>
            <w:r w:rsidRPr="00262C09">
              <w:rPr>
                <w:color w:val="000000"/>
              </w:rPr>
              <w:t>Cita informācija</w:t>
            </w:r>
          </w:p>
        </w:tc>
        <w:tc>
          <w:tcPr>
            <w:tcW w:w="6575" w:type="dxa"/>
            <w:tcBorders>
              <w:top w:val="outset" w:sz="6" w:space="0" w:color="auto"/>
              <w:left w:val="outset" w:sz="6" w:space="0" w:color="auto"/>
              <w:right w:val="outset" w:sz="6" w:space="0" w:color="auto"/>
            </w:tcBorders>
            <w:hideMark/>
          </w:tcPr>
          <w:p w:rsidR="00D9773C" w:rsidRPr="00F72C35" w:rsidRDefault="00D3747E" w:rsidP="00F72C35">
            <w:pPr>
              <w:spacing w:after="120"/>
              <w:jc w:val="both"/>
              <w:rPr>
                <w:color w:val="000000"/>
              </w:rPr>
            </w:pPr>
            <w:r w:rsidRPr="00262C09">
              <w:rPr>
                <w:color w:val="000000"/>
              </w:rPr>
              <w:t xml:space="preserve">Noteikumu projekts </w:t>
            </w:r>
            <w:r w:rsidR="00F72C35">
              <w:rPr>
                <w:color w:val="000000"/>
              </w:rPr>
              <w:t>saistīts ar</w:t>
            </w:r>
            <w:r>
              <w:rPr>
                <w:color w:val="000000"/>
              </w:rPr>
              <w:t xml:space="preserve"> MK noteikumu projekt</w:t>
            </w:r>
            <w:r w:rsidR="00F72C35">
              <w:rPr>
                <w:color w:val="000000"/>
              </w:rPr>
              <w:t xml:space="preserve">u </w:t>
            </w:r>
            <w:r w:rsidRPr="00F72C35">
              <w:rPr>
                <w:color w:val="000000"/>
              </w:rPr>
              <w:t xml:space="preserve">„Grozījumi </w:t>
            </w:r>
            <w:r w:rsidRPr="00F72C35">
              <w:t xml:space="preserve">Ministru kabineta 2010. gada 26. </w:t>
            </w:r>
            <w:r w:rsidR="00EA2930" w:rsidRPr="00F72C35">
              <w:t>janvāra noteikumos Nr.91 „</w:t>
            </w:r>
            <w:r w:rsidRPr="00F72C35">
              <w:t>Not</w:t>
            </w:r>
            <w:r w:rsidR="00EA2930" w:rsidRPr="00F72C35">
              <w:t>eikumi par darbības programmas „Infrastruktūra un pakalpojumi”</w:t>
            </w:r>
            <w:r w:rsidRPr="00F72C35">
              <w:t xml:space="preserve"> pa</w:t>
            </w:r>
            <w:r w:rsidR="00EA2930" w:rsidRPr="00F72C35">
              <w:t>pildinājuma 3.6.1.1.aktivitāti „</w:t>
            </w:r>
            <w:r w:rsidRPr="00F72C35">
              <w:t xml:space="preserve">Nacionālas un reģionālas nozīmes attīstības centru izaugsmes veicināšana </w:t>
            </w:r>
            <w:r w:rsidR="00EA2930" w:rsidRPr="00F72C35">
              <w:t>līdzsvarotai valsts attīstībai””</w:t>
            </w:r>
            <w:r w:rsidR="00F72C35">
              <w:t>.</w:t>
            </w:r>
          </w:p>
        </w:tc>
      </w:tr>
    </w:tbl>
    <w:p w:rsidR="00C10A4B" w:rsidRDefault="00C10A4B" w:rsidP="00C10A4B">
      <w:pPr>
        <w:spacing w:before="120" w:after="120"/>
        <w:jc w:val="both"/>
        <w:rPr>
          <w:color w:val="000000"/>
        </w:rPr>
      </w:pPr>
      <w:r w:rsidRPr="00262C09">
        <w:rPr>
          <w:color w:val="000000"/>
        </w:rPr>
        <w:t xml:space="preserve">Anotācijas </w:t>
      </w:r>
      <w:r w:rsidR="00D9773C">
        <w:rPr>
          <w:color w:val="000000"/>
        </w:rPr>
        <w:t xml:space="preserve">II., </w:t>
      </w:r>
      <w:r w:rsidRPr="00262C09">
        <w:rPr>
          <w:color w:val="000000"/>
        </w:rPr>
        <w:t>III. sadaļa – projekts šo jomu neskar.</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127"/>
        <w:gridCol w:w="6594"/>
      </w:tblGrid>
      <w:tr w:rsidR="00C10A4B" w:rsidRPr="00262C09" w:rsidTr="00232247">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0A4B" w:rsidRPr="00262C09" w:rsidRDefault="00C10A4B" w:rsidP="00232247">
            <w:pPr>
              <w:spacing w:before="100" w:beforeAutospacing="1" w:after="100" w:afterAutospacing="1" w:line="360" w:lineRule="auto"/>
              <w:ind w:firstLine="347"/>
              <w:jc w:val="center"/>
              <w:rPr>
                <w:b/>
                <w:bCs/>
                <w:color w:val="000000"/>
                <w:sz w:val="23"/>
                <w:szCs w:val="23"/>
              </w:rPr>
            </w:pPr>
            <w:r w:rsidRPr="00262C09">
              <w:rPr>
                <w:b/>
                <w:bCs/>
                <w:color w:val="000000"/>
                <w:sz w:val="23"/>
                <w:szCs w:val="23"/>
              </w:rPr>
              <w:t>IV. Tiesību akta projekta ietekme uz spēkā esošo tiesību normu sistēmu</w:t>
            </w:r>
          </w:p>
        </w:tc>
      </w:tr>
      <w:tr w:rsidR="00C10A4B" w:rsidRPr="00262C09" w:rsidTr="00232247">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10A4B" w:rsidRPr="00262C09" w:rsidRDefault="00C10A4B" w:rsidP="00232247">
            <w:pPr>
              <w:rPr>
                <w:color w:val="000000"/>
                <w:sz w:val="23"/>
                <w:szCs w:val="23"/>
              </w:rPr>
            </w:pPr>
            <w:r w:rsidRPr="00262C09">
              <w:rPr>
                <w:color w:val="000000"/>
                <w:sz w:val="23"/>
                <w:szCs w:val="23"/>
              </w:rPr>
              <w:t>1.</w:t>
            </w:r>
          </w:p>
        </w:tc>
        <w:tc>
          <w:tcPr>
            <w:tcW w:w="1137" w:type="pct"/>
            <w:tcBorders>
              <w:top w:val="outset" w:sz="6" w:space="0" w:color="auto"/>
              <w:left w:val="outset" w:sz="6" w:space="0" w:color="auto"/>
              <w:bottom w:val="outset" w:sz="6" w:space="0" w:color="auto"/>
              <w:right w:val="outset" w:sz="6" w:space="0" w:color="auto"/>
            </w:tcBorders>
            <w:hideMark/>
          </w:tcPr>
          <w:p w:rsidR="00C10A4B" w:rsidRPr="00262C09" w:rsidRDefault="00C10A4B" w:rsidP="00232247">
            <w:pPr>
              <w:rPr>
                <w:color w:val="000000"/>
                <w:sz w:val="23"/>
                <w:szCs w:val="23"/>
              </w:rPr>
            </w:pPr>
            <w:r w:rsidRPr="00262C09">
              <w:rPr>
                <w:color w:val="000000"/>
                <w:sz w:val="23"/>
                <w:szCs w:val="23"/>
              </w:rPr>
              <w:t xml:space="preserve">Nepieciešamie </w:t>
            </w:r>
            <w:r w:rsidRPr="00262C09">
              <w:rPr>
                <w:color w:val="000000"/>
                <w:sz w:val="23"/>
                <w:szCs w:val="23"/>
              </w:rPr>
              <w:lastRenderedPageBreak/>
              <w:t>saistītie tiesību aktu projekti</w:t>
            </w:r>
          </w:p>
        </w:tc>
        <w:tc>
          <w:tcPr>
            <w:tcW w:w="3551" w:type="pct"/>
            <w:tcBorders>
              <w:top w:val="outset" w:sz="6" w:space="0" w:color="auto"/>
              <w:left w:val="outset" w:sz="6" w:space="0" w:color="auto"/>
              <w:bottom w:val="outset" w:sz="6" w:space="0" w:color="auto"/>
              <w:right w:val="outset" w:sz="6" w:space="0" w:color="auto"/>
            </w:tcBorders>
            <w:hideMark/>
          </w:tcPr>
          <w:p w:rsidR="00CB2C33" w:rsidRPr="00DF6896" w:rsidRDefault="002F3195" w:rsidP="00DF6896">
            <w:pPr>
              <w:spacing w:after="120"/>
              <w:jc w:val="both"/>
              <w:rPr>
                <w:color w:val="000000"/>
              </w:rPr>
            </w:pPr>
            <w:r w:rsidRPr="00262C09">
              <w:rPr>
                <w:color w:val="000000"/>
              </w:rPr>
              <w:lastRenderedPageBreak/>
              <w:t xml:space="preserve">Noteikumu projekts </w:t>
            </w:r>
            <w:r>
              <w:rPr>
                <w:color w:val="000000"/>
              </w:rPr>
              <w:t xml:space="preserve">saistīts ar </w:t>
            </w:r>
            <w:r w:rsidR="00CB2C33">
              <w:rPr>
                <w:color w:val="000000"/>
              </w:rPr>
              <w:t xml:space="preserve">MK </w:t>
            </w:r>
            <w:r w:rsidR="00DF6896">
              <w:rPr>
                <w:color w:val="000000"/>
              </w:rPr>
              <w:t xml:space="preserve">noteikumu projektu </w:t>
            </w:r>
            <w:r w:rsidR="00CB2C33" w:rsidRPr="0010749E">
              <w:rPr>
                <w:color w:val="000000"/>
              </w:rPr>
              <w:t xml:space="preserve">„Grozījumi </w:t>
            </w:r>
            <w:r w:rsidR="00CB2C33" w:rsidRPr="0010749E">
              <w:lastRenderedPageBreak/>
              <w:t>Ministru kabineta 2010.</w:t>
            </w:r>
            <w:r w:rsidR="0010749E">
              <w:t xml:space="preserve"> </w:t>
            </w:r>
            <w:r w:rsidR="00CB2C33" w:rsidRPr="0010749E">
              <w:t>gada 26.</w:t>
            </w:r>
            <w:r w:rsidR="0010749E">
              <w:t xml:space="preserve"> </w:t>
            </w:r>
            <w:r w:rsidR="00EA2930">
              <w:t>janvāra noteikumos Nr.91 „</w:t>
            </w:r>
            <w:r w:rsidR="00CB2C33" w:rsidRPr="0010749E">
              <w:t>Not</w:t>
            </w:r>
            <w:r w:rsidR="00EA2930">
              <w:t>eikumi par darbības programmas „Infrastruktūra un pakalpojumi”</w:t>
            </w:r>
            <w:r w:rsidR="00CB2C33" w:rsidRPr="0010749E">
              <w:t xml:space="preserve"> pa</w:t>
            </w:r>
            <w:r w:rsidR="00EA2930">
              <w:t>pildinājuma 3.6.1.1.aktivitāti „</w:t>
            </w:r>
            <w:r w:rsidR="00CB2C33" w:rsidRPr="0010749E">
              <w:t>Nacionālas un reģionālas nozīmes attīstības centru izaugsmes veicināšana</w:t>
            </w:r>
            <w:r w:rsidR="00EA2930">
              <w:t xml:space="preserve"> līdzsvarotai valsts attīstībai””</w:t>
            </w:r>
            <w:r w:rsidR="00DF6896">
              <w:t>.</w:t>
            </w:r>
          </w:p>
        </w:tc>
      </w:tr>
      <w:tr w:rsidR="00C10A4B" w:rsidRPr="00262C09" w:rsidTr="00232247">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10A4B" w:rsidRPr="00262C09" w:rsidRDefault="00C10A4B" w:rsidP="00232247">
            <w:pPr>
              <w:rPr>
                <w:color w:val="000000"/>
                <w:sz w:val="23"/>
                <w:szCs w:val="23"/>
              </w:rPr>
            </w:pPr>
            <w:r w:rsidRPr="00262C09">
              <w:rPr>
                <w:color w:val="000000"/>
                <w:sz w:val="23"/>
                <w:szCs w:val="23"/>
              </w:rPr>
              <w:lastRenderedPageBreak/>
              <w:t>2.</w:t>
            </w:r>
          </w:p>
        </w:tc>
        <w:tc>
          <w:tcPr>
            <w:tcW w:w="1137" w:type="pct"/>
            <w:tcBorders>
              <w:top w:val="outset" w:sz="6" w:space="0" w:color="auto"/>
              <w:left w:val="outset" w:sz="6" w:space="0" w:color="auto"/>
              <w:bottom w:val="outset" w:sz="6" w:space="0" w:color="auto"/>
              <w:right w:val="outset" w:sz="6" w:space="0" w:color="auto"/>
            </w:tcBorders>
            <w:hideMark/>
          </w:tcPr>
          <w:p w:rsidR="00C10A4B" w:rsidRPr="00262C09" w:rsidRDefault="00C10A4B" w:rsidP="00232247">
            <w:pPr>
              <w:rPr>
                <w:color w:val="000000"/>
                <w:sz w:val="23"/>
                <w:szCs w:val="23"/>
              </w:rPr>
            </w:pPr>
            <w:r w:rsidRPr="00262C09">
              <w:rPr>
                <w:color w:val="000000"/>
                <w:sz w:val="23"/>
                <w:szCs w:val="23"/>
              </w:rPr>
              <w:t>Atbildīgā institūcija</w:t>
            </w:r>
          </w:p>
        </w:tc>
        <w:tc>
          <w:tcPr>
            <w:tcW w:w="3551" w:type="pct"/>
            <w:tcBorders>
              <w:top w:val="outset" w:sz="6" w:space="0" w:color="auto"/>
              <w:left w:val="outset" w:sz="6" w:space="0" w:color="auto"/>
              <w:bottom w:val="outset" w:sz="6" w:space="0" w:color="auto"/>
              <w:right w:val="outset" w:sz="6" w:space="0" w:color="auto"/>
            </w:tcBorders>
            <w:hideMark/>
          </w:tcPr>
          <w:p w:rsidR="00C10A4B" w:rsidRPr="00262C09" w:rsidRDefault="00C10A4B" w:rsidP="00232247">
            <w:pPr>
              <w:rPr>
                <w:color w:val="000000"/>
                <w:sz w:val="23"/>
                <w:szCs w:val="23"/>
              </w:rPr>
            </w:pPr>
            <w:r w:rsidRPr="00262C09">
              <w:rPr>
                <w:color w:val="000000"/>
              </w:rPr>
              <w:t>Vides aizsardzības un reģionālās attīstības ministrija</w:t>
            </w:r>
          </w:p>
        </w:tc>
      </w:tr>
      <w:tr w:rsidR="00C10A4B" w:rsidRPr="00262C09" w:rsidTr="00232247">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10A4B" w:rsidRPr="00262C09" w:rsidRDefault="00C10A4B" w:rsidP="00232247">
            <w:pPr>
              <w:rPr>
                <w:color w:val="000000"/>
                <w:sz w:val="23"/>
                <w:szCs w:val="23"/>
              </w:rPr>
            </w:pPr>
            <w:r w:rsidRPr="00262C09">
              <w:rPr>
                <w:color w:val="000000"/>
                <w:sz w:val="23"/>
                <w:szCs w:val="23"/>
              </w:rPr>
              <w:t>3.</w:t>
            </w:r>
          </w:p>
        </w:tc>
        <w:tc>
          <w:tcPr>
            <w:tcW w:w="1137" w:type="pct"/>
            <w:tcBorders>
              <w:top w:val="outset" w:sz="6" w:space="0" w:color="auto"/>
              <w:left w:val="outset" w:sz="6" w:space="0" w:color="auto"/>
              <w:bottom w:val="outset" w:sz="6" w:space="0" w:color="auto"/>
              <w:right w:val="outset" w:sz="6" w:space="0" w:color="auto"/>
            </w:tcBorders>
            <w:hideMark/>
          </w:tcPr>
          <w:p w:rsidR="00C10A4B" w:rsidRPr="00262C09" w:rsidRDefault="00C10A4B" w:rsidP="00232247">
            <w:pPr>
              <w:rPr>
                <w:color w:val="000000"/>
                <w:sz w:val="23"/>
                <w:szCs w:val="23"/>
              </w:rPr>
            </w:pPr>
            <w:r w:rsidRPr="00262C09">
              <w:rPr>
                <w:color w:val="000000"/>
                <w:sz w:val="23"/>
                <w:szCs w:val="23"/>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C10A4B" w:rsidRPr="00262C09" w:rsidRDefault="00C10A4B" w:rsidP="00232247">
            <w:pPr>
              <w:spacing w:before="100" w:beforeAutospacing="1" w:after="100" w:afterAutospacing="1" w:line="360" w:lineRule="auto"/>
              <w:rPr>
                <w:color w:val="000000"/>
                <w:sz w:val="23"/>
                <w:szCs w:val="23"/>
              </w:rPr>
            </w:pPr>
            <w:r w:rsidRPr="00262C09">
              <w:rPr>
                <w:color w:val="000000"/>
                <w:sz w:val="23"/>
                <w:szCs w:val="23"/>
              </w:rPr>
              <w:t>Nav</w:t>
            </w:r>
          </w:p>
        </w:tc>
      </w:tr>
    </w:tbl>
    <w:p w:rsidR="00D9773C" w:rsidRDefault="00C10A4B" w:rsidP="00C10A4B">
      <w:pPr>
        <w:spacing w:before="120" w:after="120"/>
        <w:rPr>
          <w:color w:val="000000"/>
        </w:rPr>
      </w:pPr>
      <w:r w:rsidRPr="00262C09">
        <w:rPr>
          <w:color w:val="000000"/>
        </w:rPr>
        <w:t>   </w:t>
      </w:r>
    </w:p>
    <w:p w:rsidR="00C10A4B" w:rsidRPr="00262C09" w:rsidRDefault="00C10A4B" w:rsidP="00C10A4B">
      <w:pPr>
        <w:spacing w:before="120" w:after="120"/>
        <w:rPr>
          <w:color w:val="000000"/>
        </w:rPr>
      </w:pPr>
      <w:r w:rsidRPr="00262C09">
        <w:rPr>
          <w:color w:val="000000"/>
        </w:rPr>
        <w:t>Anotācijas V. - VII. sadaļa – projekts šīs jomas neskar.</w:t>
      </w:r>
    </w:p>
    <w:p w:rsidR="00C10A4B" w:rsidRDefault="00C10A4B" w:rsidP="00C10A4B">
      <w:pPr>
        <w:tabs>
          <w:tab w:val="left" w:pos="6804"/>
        </w:tabs>
        <w:ind w:firstLine="720"/>
        <w:rPr>
          <w:b/>
          <w:color w:val="000000"/>
          <w:sz w:val="26"/>
          <w:szCs w:val="26"/>
        </w:rPr>
      </w:pPr>
    </w:p>
    <w:p w:rsidR="008C4B68" w:rsidRDefault="008C4B68" w:rsidP="00C10A4B">
      <w:pPr>
        <w:tabs>
          <w:tab w:val="left" w:pos="6804"/>
        </w:tabs>
        <w:ind w:firstLine="720"/>
        <w:rPr>
          <w:b/>
          <w:color w:val="000000"/>
          <w:sz w:val="26"/>
          <w:szCs w:val="26"/>
        </w:rPr>
      </w:pPr>
    </w:p>
    <w:p w:rsidR="00C10A4B" w:rsidRPr="00262C09" w:rsidRDefault="00C10A4B" w:rsidP="00C10A4B">
      <w:pPr>
        <w:tabs>
          <w:tab w:val="left" w:pos="6804"/>
        </w:tabs>
        <w:rPr>
          <w:color w:val="000000"/>
          <w:sz w:val="26"/>
          <w:szCs w:val="26"/>
        </w:rPr>
      </w:pPr>
      <w:r w:rsidRPr="00262C09">
        <w:rPr>
          <w:color w:val="000000"/>
          <w:sz w:val="26"/>
          <w:szCs w:val="26"/>
        </w:rPr>
        <w:t>Iesniedzējs:</w:t>
      </w:r>
    </w:p>
    <w:p w:rsidR="00C10A4B" w:rsidRPr="00262C09" w:rsidRDefault="00C10A4B" w:rsidP="00C10A4B">
      <w:pPr>
        <w:tabs>
          <w:tab w:val="left" w:pos="6804"/>
        </w:tabs>
        <w:rPr>
          <w:color w:val="000000"/>
          <w:sz w:val="26"/>
          <w:szCs w:val="26"/>
        </w:rPr>
      </w:pPr>
      <w:r w:rsidRPr="00262C09">
        <w:rPr>
          <w:color w:val="000000"/>
          <w:sz w:val="26"/>
          <w:szCs w:val="26"/>
        </w:rPr>
        <w:t xml:space="preserve">vides aizsardzības un </w:t>
      </w:r>
    </w:p>
    <w:p w:rsidR="00C10A4B" w:rsidRPr="00262C09" w:rsidRDefault="00C10A4B" w:rsidP="00C10A4B">
      <w:pPr>
        <w:tabs>
          <w:tab w:val="left" w:pos="6804"/>
        </w:tabs>
        <w:rPr>
          <w:color w:val="000000"/>
          <w:sz w:val="26"/>
          <w:szCs w:val="26"/>
        </w:rPr>
      </w:pPr>
      <w:r w:rsidRPr="00262C09">
        <w:rPr>
          <w:color w:val="000000"/>
          <w:sz w:val="26"/>
          <w:szCs w:val="26"/>
        </w:rPr>
        <w:t>reģionālās attīstības ministrs</w:t>
      </w:r>
      <w:r w:rsidRPr="00262C09">
        <w:rPr>
          <w:color w:val="000000"/>
          <w:sz w:val="26"/>
          <w:szCs w:val="26"/>
        </w:rPr>
        <w:tab/>
        <w:t xml:space="preserve">                R. Naudiņš </w:t>
      </w:r>
    </w:p>
    <w:p w:rsidR="00C10A4B" w:rsidRDefault="00C10A4B" w:rsidP="00C10A4B">
      <w:pPr>
        <w:tabs>
          <w:tab w:val="left" w:pos="6804"/>
        </w:tabs>
        <w:rPr>
          <w:color w:val="000000"/>
          <w:sz w:val="26"/>
          <w:szCs w:val="26"/>
        </w:rPr>
      </w:pPr>
    </w:p>
    <w:p w:rsidR="00C10A4B" w:rsidRPr="00262C09" w:rsidRDefault="00C10A4B" w:rsidP="00C10A4B">
      <w:pPr>
        <w:tabs>
          <w:tab w:val="left" w:pos="6804"/>
        </w:tabs>
        <w:rPr>
          <w:color w:val="000000"/>
          <w:sz w:val="26"/>
          <w:szCs w:val="26"/>
        </w:rPr>
      </w:pPr>
    </w:p>
    <w:p w:rsidR="00C10A4B" w:rsidRPr="00262C09" w:rsidRDefault="00C10A4B" w:rsidP="00C10A4B">
      <w:pPr>
        <w:tabs>
          <w:tab w:val="left" w:pos="6804"/>
        </w:tabs>
        <w:rPr>
          <w:color w:val="000000"/>
          <w:sz w:val="26"/>
          <w:szCs w:val="26"/>
        </w:rPr>
      </w:pPr>
      <w:r w:rsidRPr="00262C09">
        <w:rPr>
          <w:color w:val="000000"/>
          <w:sz w:val="26"/>
          <w:szCs w:val="26"/>
        </w:rPr>
        <w:t xml:space="preserve">Vīza: </w:t>
      </w:r>
    </w:p>
    <w:p w:rsidR="00C10A4B" w:rsidRPr="00262C09" w:rsidRDefault="00C10A4B" w:rsidP="00C10A4B">
      <w:pPr>
        <w:tabs>
          <w:tab w:val="left" w:pos="6804"/>
        </w:tabs>
        <w:rPr>
          <w:color w:val="000000"/>
          <w:sz w:val="26"/>
          <w:szCs w:val="26"/>
        </w:rPr>
      </w:pPr>
      <w:r w:rsidRPr="00262C09">
        <w:rPr>
          <w:color w:val="000000"/>
          <w:sz w:val="26"/>
          <w:szCs w:val="26"/>
        </w:rPr>
        <w:t>valsts sekretārs</w:t>
      </w:r>
      <w:r w:rsidRPr="00262C09">
        <w:rPr>
          <w:color w:val="000000"/>
          <w:sz w:val="26"/>
          <w:szCs w:val="26"/>
        </w:rPr>
        <w:tab/>
        <w:t xml:space="preserve">                  G. Puķītis</w:t>
      </w:r>
    </w:p>
    <w:p w:rsidR="00C10A4B" w:rsidRPr="00262C09" w:rsidRDefault="00C10A4B" w:rsidP="00C10A4B">
      <w:pPr>
        <w:pStyle w:val="PlainText"/>
        <w:jc w:val="both"/>
        <w:rPr>
          <w:rFonts w:ascii="Times New Roman" w:hAnsi="Times New Roman" w:cs="Times New Roman"/>
          <w:color w:val="000000"/>
          <w:sz w:val="28"/>
          <w:szCs w:val="28"/>
        </w:rPr>
      </w:pPr>
    </w:p>
    <w:p w:rsidR="00C10A4B" w:rsidRPr="00262C09" w:rsidRDefault="00C10A4B" w:rsidP="00C10A4B">
      <w:pPr>
        <w:tabs>
          <w:tab w:val="right" w:pos="9354"/>
        </w:tabs>
        <w:rPr>
          <w:color w:val="000000"/>
          <w:sz w:val="20"/>
          <w:szCs w:val="20"/>
        </w:rPr>
      </w:pPr>
    </w:p>
    <w:p w:rsidR="00C10A4B" w:rsidRPr="002E1EF5" w:rsidRDefault="007A34CD" w:rsidP="00C10A4B">
      <w:pPr>
        <w:ind w:right="64"/>
        <w:jc w:val="both"/>
        <w:rPr>
          <w:color w:val="000000"/>
          <w:sz w:val="20"/>
          <w:szCs w:val="20"/>
        </w:rPr>
      </w:pPr>
      <w:r w:rsidRPr="002E1EF5">
        <w:rPr>
          <w:color w:val="000000"/>
          <w:sz w:val="20"/>
          <w:szCs w:val="20"/>
        </w:rPr>
        <w:t>24.09</w:t>
      </w:r>
      <w:r w:rsidR="00C10A4B" w:rsidRPr="002E1EF5">
        <w:rPr>
          <w:color w:val="000000"/>
          <w:sz w:val="20"/>
          <w:szCs w:val="20"/>
        </w:rPr>
        <w:t xml:space="preserve">.2014 </w:t>
      </w:r>
      <w:r w:rsidR="002E1EF5">
        <w:rPr>
          <w:color w:val="000000"/>
          <w:sz w:val="20"/>
          <w:szCs w:val="20"/>
        </w:rPr>
        <w:t>17</w:t>
      </w:r>
      <w:r w:rsidRPr="002E1EF5">
        <w:rPr>
          <w:color w:val="000000"/>
          <w:sz w:val="20"/>
          <w:szCs w:val="20"/>
        </w:rPr>
        <w:t>:00</w:t>
      </w:r>
    </w:p>
    <w:p w:rsidR="00C10A4B" w:rsidRPr="00262C09" w:rsidRDefault="00FA52B6" w:rsidP="00C10A4B">
      <w:pPr>
        <w:tabs>
          <w:tab w:val="right" w:pos="9354"/>
        </w:tabs>
        <w:rPr>
          <w:color w:val="000000"/>
          <w:sz w:val="20"/>
        </w:rPr>
      </w:pPr>
      <w:r>
        <w:rPr>
          <w:color w:val="000000"/>
          <w:sz w:val="20"/>
        </w:rPr>
        <w:t>1 056</w:t>
      </w:r>
    </w:p>
    <w:p w:rsidR="007A34CD" w:rsidRPr="00262C09" w:rsidRDefault="007A34CD" w:rsidP="007A34CD">
      <w:pPr>
        <w:jc w:val="both"/>
        <w:rPr>
          <w:color w:val="000000"/>
          <w:sz w:val="20"/>
          <w:szCs w:val="20"/>
        </w:rPr>
      </w:pPr>
      <w:r>
        <w:rPr>
          <w:color w:val="000000"/>
          <w:sz w:val="20"/>
          <w:szCs w:val="20"/>
        </w:rPr>
        <w:t>Kaspars Raubiškis</w:t>
      </w:r>
    </w:p>
    <w:p w:rsidR="00C10A4B" w:rsidRPr="00262C09" w:rsidRDefault="00C10A4B" w:rsidP="00C10A4B">
      <w:pPr>
        <w:tabs>
          <w:tab w:val="right" w:pos="9354"/>
        </w:tabs>
        <w:rPr>
          <w:color w:val="000000"/>
          <w:sz w:val="20"/>
        </w:rPr>
      </w:pPr>
      <w:r w:rsidRPr="00262C09">
        <w:rPr>
          <w:color w:val="000000"/>
          <w:sz w:val="20"/>
        </w:rPr>
        <w:t>VARAM Investīciju politikas departamenta</w:t>
      </w:r>
    </w:p>
    <w:p w:rsidR="00C10A4B" w:rsidRPr="00262C09" w:rsidRDefault="007A34CD" w:rsidP="00C10A4B">
      <w:pPr>
        <w:tabs>
          <w:tab w:val="right" w:pos="9354"/>
        </w:tabs>
        <w:rPr>
          <w:color w:val="000000"/>
          <w:sz w:val="20"/>
        </w:rPr>
      </w:pPr>
      <w:r>
        <w:rPr>
          <w:color w:val="000000"/>
          <w:sz w:val="20"/>
        </w:rPr>
        <w:t>Programmu vadības nodaļas vecākais eksperts</w:t>
      </w:r>
    </w:p>
    <w:p w:rsidR="00221B77" w:rsidRPr="00D24D8E" w:rsidRDefault="00C10A4B" w:rsidP="00D24D8E">
      <w:pPr>
        <w:jc w:val="both"/>
        <w:rPr>
          <w:color w:val="000000"/>
          <w:sz w:val="28"/>
          <w:szCs w:val="28"/>
        </w:rPr>
      </w:pPr>
      <w:r w:rsidRPr="00262C09">
        <w:rPr>
          <w:color w:val="000000"/>
          <w:sz w:val="20"/>
          <w:szCs w:val="20"/>
        </w:rPr>
        <w:t xml:space="preserve">66016701, </w:t>
      </w:r>
      <w:r w:rsidR="007A34CD">
        <w:rPr>
          <w:color w:val="000000"/>
          <w:sz w:val="20"/>
          <w:szCs w:val="20"/>
        </w:rPr>
        <w:t>kaspars.raubiskis</w:t>
      </w:r>
      <w:r w:rsidRPr="00262C09">
        <w:rPr>
          <w:color w:val="000000"/>
          <w:sz w:val="20"/>
          <w:szCs w:val="20"/>
        </w:rPr>
        <w:t>@varam.gov.lv</w:t>
      </w:r>
      <w:r w:rsidRPr="00262C09">
        <w:rPr>
          <w:color w:val="000000"/>
          <w:sz w:val="28"/>
          <w:szCs w:val="28"/>
        </w:rPr>
        <w:t xml:space="preserve"> </w:t>
      </w:r>
    </w:p>
    <w:sectPr w:rsidR="00221B77" w:rsidRPr="00D24D8E" w:rsidSect="00232247">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47" w:rsidRDefault="00232247">
      <w:r>
        <w:separator/>
      </w:r>
    </w:p>
  </w:endnote>
  <w:endnote w:type="continuationSeparator" w:id="0">
    <w:p w:rsidR="00232247" w:rsidRDefault="00232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47" w:rsidRPr="0018534F" w:rsidRDefault="00232247" w:rsidP="00D9773C">
    <w:pPr>
      <w:jc w:val="both"/>
      <w:rPr>
        <w:color w:val="000000"/>
        <w:sz w:val="20"/>
        <w:szCs w:val="20"/>
      </w:rPr>
    </w:pPr>
    <w:r>
      <w:rPr>
        <w:color w:val="000000"/>
        <w:sz w:val="20"/>
        <w:szCs w:val="20"/>
      </w:rPr>
      <w:t>VARAMAnot_</w:t>
    </w:r>
    <w:r w:rsidRPr="002E1EF5">
      <w:rPr>
        <w:color w:val="000000"/>
        <w:sz w:val="20"/>
        <w:szCs w:val="20"/>
      </w:rPr>
      <w:t>240914_</w:t>
    </w:r>
    <w:r>
      <w:rPr>
        <w:color w:val="000000"/>
        <w:sz w:val="20"/>
        <w:szCs w:val="20"/>
      </w:rPr>
      <w:t>groz817</w:t>
    </w:r>
    <w:r w:rsidRPr="0018534F">
      <w:rPr>
        <w:color w:val="000000"/>
        <w:sz w:val="20"/>
        <w:szCs w:val="20"/>
      </w:rPr>
      <w:t>; Ministru kab</w:t>
    </w:r>
    <w:r>
      <w:rPr>
        <w:color w:val="000000"/>
        <w:sz w:val="20"/>
        <w:szCs w:val="20"/>
      </w:rPr>
      <w:t xml:space="preserve">ineta noteikumu projekta </w:t>
    </w:r>
    <w:r w:rsidRPr="00D9773C">
      <w:rPr>
        <w:color w:val="000000"/>
        <w:sz w:val="20"/>
        <w:szCs w:val="20"/>
      </w:rPr>
      <w:t>„Grozījums Ministru kabineta 2008. gada 30. septembra noteikumos Nr.817 „Noteikumi par darbības programmas „Infrastruktūra un pakalpojumi” papildinājuma 3.4.1.4.aktivitāti „Vēsturiski piesārņoto vietu sanācija”””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47" w:rsidRPr="0018534F" w:rsidRDefault="00232247" w:rsidP="00232247">
    <w:pPr>
      <w:jc w:val="both"/>
      <w:rPr>
        <w:color w:val="000000"/>
        <w:sz w:val="20"/>
        <w:szCs w:val="20"/>
      </w:rPr>
    </w:pPr>
    <w:r>
      <w:rPr>
        <w:color w:val="000000"/>
        <w:sz w:val="20"/>
        <w:szCs w:val="20"/>
      </w:rPr>
      <w:t>VARAMAnot_</w:t>
    </w:r>
    <w:r w:rsidRPr="002E1EF5">
      <w:rPr>
        <w:color w:val="000000"/>
        <w:sz w:val="20"/>
        <w:szCs w:val="20"/>
      </w:rPr>
      <w:t>240914_groz817; Ministru kabineta noteikumu projekta „Grozījums Ministru kabineta 2008. gada 30. septembra noteikumos</w:t>
    </w:r>
    <w:r w:rsidRPr="00D9773C">
      <w:rPr>
        <w:color w:val="000000"/>
        <w:sz w:val="20"/>
        <w:szCs w:val="20"/>
      </w:rPr>
      <w:t xml:space="preserve"> Nr.817 „Noteikumi par darbības programmas „Infrastruktūra un pakalpojumi” papildinājuma 3.4.1.4.aktivitāti „Vēsturiski piesārņoto vietu sanācija”””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47" w:rsidRDefault="00232247">
      <w:r>
        <w:separator/>
      </w:r>
    </w:p>
  </w:footnote>
  <w:footnote w:type="continuationSeparator" w:id="0">
    <w:p w:rsidR="00232247" w:rsidRDefault="00232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47" w:rsidRDefault="00CF00C3" w:rsidP="00232247">
    <w:pPr>
      <w:pStyle w:val="Header"/>
      <w:framePr w:wrap="around" w:vAnchor="text" w:hAnchor="margin" w:xAlign="center" w:y="1"/>
      <w:rPr>
        <w:rStyle w:val="PageNumber"/>
      </w:rPr>
    </w:pPr>
    <w:r>
      <w:rPr>
        <w:rStyle w:val="PageNumber"/>
      </w:rPr>
      <w:fldChar w:fldCharType="begin"/>
    </w:r>
    <w:r w:rsidR="00232247">
      <w:rPr>
        <w:rStyle w:val="PageNumber"/>
      </w:rPr>
      <w:instrText xml:space="preserve">PAGE  </w:instrText>
    </w:r>
    <w:r>
      <w:rPr>
        <w:rStyle w:val="PageNumber"/>
      </w:rPr>
      <w:fldChar w:fldCharType="end"/>
    </w:r>
  </w:p>
  <w:p w:rsidR="00232247" w:rsidRDefault="002322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47" w:rsidRDefault="00CF00C3" w:rsidP="00232247">
    <w:pPr>
      <w:pStyle w:val="Header"/>
      <w:framePr w:wrap="around" w:vAnchor="text" w:hAnchor="margin" w:xAlign="center" w:y="1"/>
      <w:rPr>
        <w:rStyle w:val="PageNumber"/>
      </w:rPr>
    </w:pPr>
    <w:r>
      <w:rPr>
        <w:rStyle w:val="PageNumber"/>
      </w:rPr>
      <w:fldChar w:fldCharType="begin"/>
    </w:r>
    <w:r w:rsidR="00232247">
      <w:rPr>
        <w:rStyle w:val="PageNumber"/>
      </w:rPr>
      <w:instrText xml:space="preserve">PAGE  </w:instrText>
    </w:r>
    <w:r>
      <w:rPr>
        <w:rStyle w:val="PageNumber"/>
      </w:rPr>
      <w:fldChar w:fldCharType="separate"/>
    </w:r>
    <w:r w:rsidR="00964D84">
      <w:rPr>
        <w:rStyle w:val="PageNumber"/>
        <w:noProof/>
      </w:rPr>
      <w:t>4</w:t>
    </w:r>
    <w:r>
      <w:rPr>
        <w:rStyle w:val="PageNumber"/>
      </w:rPr>
      <w:fldChar w:fldCharType="end"/>
    </w:r>
  </w:p>
  <w:p w:rsidR="00232247" w:rsidRDefault="002322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760"/>
    <w:multiLevelType w:val="hybridMultilevel"/>
    <w:tmpl w:val="B6C2CC5A"/>
    <w:lvl w:ilvl="0" w:tplc="3A44D15A">
      <w:start w:val="1"/>
      <w:numFmt w:val="decimal"/>
      <w:lvlText w:val="%1)"/>
      <w:lvlJc w:val="left"/>
      <w:pPr>
        <w:ind w:left="487" w:hanging="360"/>
      </w:pPr>
      <w:rPr>
        <w:rFonts w:ascii="Times New Roman" w:eastAsia="Times New Roman" w:hAnsi="Times New Roman" w:cs="Times New Roman"/>
      </w:rPr>
    </w:lvl>
    <w:lvl w:ilvl="1" w:tplc="04260019">
      <w:start w:val="1"/>
      <w:numFmt w:val="lowerLetter"/>
      <w:lvlText w:val="%2."/>
      <w:lvlJc w:val="left"/>
      <w:pPr>
        <w:ind w:left="1207" w:hanging="360"/>
      </w:pPr>
    </w:lvl>
    <w:lvl w:ilvl="2" w:tplc="0426001B">
      <w:start w:val="1"/>
      <w:numFmt w:val="lowerRoman"/>
      <w:lvlText w:val="%3."/>
      <w:lvlJc w:val="right"/>
      <w:pPr>
        <w:ind w:left="1927" w:hanging="180"/>
      </w:pPr>
    </w:lvl>
    <w:lvl w:ilvl="3" w:tplc="0426000F">
      <w:start w:val="1"/>
      <w:numFmt w:val="decimal"/>
      <w:lvlText w:val="%4."/>
      <w:lvlJc w:val="left"/>
      <w:pPr>
        <w:ind w:left="2647" w:hanging="360"/>
      </w:pPr>
    </w:lvl>
    <w:lvl w:ilvl="4" w:tplc="04260019">
      <w:start w:val="1"/>
      <w:numFmt w:val="lowerLetter"/>
      <w:lvlText w:val="%5."/>
      <w:lvlJc w:val="left"/>
      <w:pPr>
        <w:ind w:left="3367" w:hanging="360"/>
      </w:pPr>
    </w:lvl>
    <w:lvl w:ilvl="5" w:tplc="0426001B">
      <w:start w:val="1"/>
      <w:numFmt w:val="lowerRoman"/>
      <w:lvlText w:val="%6."/>
      <w:lvlJc w:val="right"/>
      <w:pPr>
        <w:ind w:left="4087" w:hanging="180"/>
      </w:pPr>
    </w:lvl>
    <w:lvl w:ilvl="6" w:tplc="0426000F">
      <w:start w:val="1"/>
      <w:numFmt w:val="decimal"/>
      <w:lvlText w:val="%7."/>
      <w:lvlJc w:val="left"/>
      <w:pPr>
        <w:ind w:left="4807" w:hanging="360"/>
      </w:pPr>
    </w:lvl>
    <w:lvl w:ilvl="7" w:tplc="04260019">
      <w:start w:val="1"/>
      <w:numFmt w:val="lowerLetter"/>
      <w:lvlText w:val="%8."/>
      <w:lvlJc w:val="left"/>
      <w:pPr>
        <w:ind w:left="5527" w:hanging="360"/>
      </w:pPr>
    </w:lvl>
    <w:lvl w:ilvl="8" w:tplc="0426001B">
      <w:start w:val="1"/>
      <w:numFmt w:val="lowerRoman"/>
      <w:lvlText w:val="%9."/>
      <w:lvlJc w:val="right"/>
      <w:pPr>
        <w:ind w:left="6247" w:hanging="180"/>
      </w:pPr>
    </w:lvl>
  </w:abstractNum>
  <w:abstractNum w:abstractNumId="1">
    <w:nsid w:val="10802D1B"/>
    <w:multiLevelType w:val="hybridMultilevel"/>
    <w:tmpl w:val="2B44300C"/>
    <w:lvl w:ilvl="0" w:tplc="04260011">
      <w:start w:val="1"/>
      <w:numFmt w:val="decimal"/>
      <w:lvlText w:val="%1)"/>
      <w:lvlJc w:val="left"/>
      <w:pPr>
        <w:ind w:left="847" w:hanging="360"/>
      </w:pPr>
    </w:lvl>
    <w:lvl w:ilvl="1" w:tplc="04260019">
      <w:start w:val="1"/>
      <w:numFmt w:val="lowerLetter"/>
      <w:lvlText w:val="%2."/>
      <w:lvlJc w:val="left"/>
      <w:pPr>
        <w:ind w:left="1567" w:hanging="360"/>
      </w:pPr>
    </w:lvl>
    <w:lvl w:ilvl="2" w:tplc="0426001B">
      <w:start w:val="1"/>
      <w:numFmt w:val="lowerRoman"/>
      <w:lvlText w:val="%3."/>
      <w:lvlJc w:val="right"/>
      <w:pPr>
        <w:ind w:left="2287" w:hanging="180"/>
      </w:pPr>
    </w:lvl>
    <w:lvl w:ilvl="3" w:tplc="0426000F">
      <w:start w:val="1"/>
      <w:numFmt w:val="decimal"/>
      <w:lvlText w:val="%4."/>
      <w:lvlJc w:val="left"/>
      <w:pPr>
        <w:ind w:left="3007" w:hanging="360"/>
      </w:pPr>
    </w:lvl>
    <w:lvl w:ilvl="4" w:tplc="04260019">
      <w:start w:val="1"/>
      <w:numFmt w:val="lowerLetter"/>
      <w:lvlText w:val="%5."/>
      <w:lvlJc w:val="left"/>
      <w:pPr>
        <w:ind w:left="3727" w:hanging="360"/>
      </w:pPr>
    </w:lvl>
    <w:lvl w:ilvl="5" w:tplc="0426001B">
      <w:start w:val="1"/>
      <w:numFmt w:val="lowerRoman"/>
      <w:lvlText w:val="%6."/>
      <w:lvlJc w:val="right"/>
      <w:pPr>
        <w:ind w:left="4447" w:hanging="180"/>
      </w:pPr>
    </w:lvl>
    <w:lvl w:ilvl="6" w:tplc="0426000F">
      <w:start w:val="1"/>
      <w:numFmt w:val="decimal"/>
      <w:lvlText w:val="%7."/>
      <w:lvlJc w:val="left"/>
      <w:pPr>
        <w:ind w:left="5167" w:hanging="360"/>
      </w:pPr>
    </w:lvl>
    <w:lvl w:ilvl="7" w:tplc="04260019">
      <w:start w:val="1"/>
      <w:numFmt w:val="lowerLetter"/>
      <w:lvlText w:val="%8."/>
      <w:lvlJc w:val="left"/>
      <w:pPr>
        <w:ind w:left="5887" w:hanging="360"/>
      </w:pPr>
    </w:lvl>
    <w:lvl w:ilvl="8" w:tplc="0426001B">
      <w:start w:val="1"/>
      <w:numFmt w:val="lowerRoman"/>
      <w:lvlText w:val="%9."/>
      <w:lvlJc w:val="right"/>
      <w:pPr>
        <w:ind w:left="6607" w:hanging="180"/>
      </w:pPr>
    </w:lvl>
  </w:abstractNum>
  <w:abstractNum w:abstractNumId="2">
    <w:nsid w:val="27232A85"/>
    <w:multiLevelType w:val="hybridMultilevel"/>
    <w:tmpl w:val="5B4284B4"/>
    <w:lvl w:ilvl="0" w:tplc="5692978C">
      <w:start w:val="1"/>
      <w:numFmt w:val="bullet"/>
      <w:lvlText w:val=""/>
      <w:lvlJc w:val="left"/>
      <w:pPr>
        <w:ind w:left="726" w:hanging="360"/>
      </w:pPr>
      <w:rPr>
        <w:rFonts w:ascii="Symbol" w:hAnsi="Symbol" w:hint="default"/>
      </w:rPr>
    </w:lvl>
    <w:lvl w:ilvl="1" w:tplc="04260003" w:tentative="1">
      <w:start w:val="1"/>
      <w:numFmt w:val="bullet"/>
      <w:lvlText w:val="o"/>
      <w:lvlJc w:val="left"/>
      <w:pPr>
        <w:ind w:left="1446" w:hanging="360"/>
      </w:pPr>
      <w:rPr>
        <w:rFonts w:ascii="Courier New" w:hAnsi="Courier New" w:cs="Courier New" w:hint="default"/>
      </w:rPr>
    </w:lvl>
    <w:lvl w:ilvl="2" w:tplc="04260005" w:tentative="1">
      <w:start w:val="1"/>
      <w:numFmt w:val="bullet"/>
      <w:lvlText w:val=""/>
      <w:lvlJc w:val="left"/>
      <w:pPr>
        <w:ind w:left="2166" w:hanging="360"/>
      </w:pPr>
      <w:rPr>
        <w:rFonts w:ascii="Wingdings" w:hAnsi="Wingdings" w:hint="default"/>
      </w:rPr>
    </w:lvl>
    <w:lvl w:ilvl="3" w:tplc="04260001" w:tentative="1">
      <w:start w:val="1"/>
      <w:numFmt w:val="bullet"/>
      <w:lvlText w:val=""/>
      <w:lvlJc w:val="left"/>
      <w:pPr>
        <w:ind w:left="2886" w:hanging="360"/>
      </w:pPr>
      <w:rPr>
        <w:rFonts w:ascii="Symbol" w:hAnsi="Symbol" w:hint="default"/>
      </w:rPr>
    </w:lvl>
    <w:lvl w:ilvl="4" w:tplc="04260003" w:tentative="1">
      <w:start w:val="1"/>
      <w:numFmt w:val="bullet"/>
      <w:lvlText w:val="o"/>
      <w:lvlJc w:val="left"/>
      <w:pPr>
        <w:ind w:left="3606" w:hanging="360"/>
      </w:pPr>
      <w:rPr>
        <w:rFonts w:ascii="Courier New" w:hAnsi="Courier New" w:cs="Courier New" w:hint="default"/>
      </w:rPr>
    </w:lvl>
    <w:lvl w:ilvl="5" w:tplc="04260005" w:tentative="1">
      <w:start w:val="1"/>
      <w:numFmt w:val="bullet"/>
      <w:lvlText w:val=""/>
      <w:lvlJc w:val="left"/>
      <w:pPr>
        <w:ind w:left="4326" w:hanging="360"/>
      </w:pPr>
      <w:rPr>
        <w:rFonts w:ascii="Wingdings" w:hAnsi="Wingdings" w:hint="default"/>
      </w:rPr>
    </w:lvl>
    <w:lvl w:ilvl="6" w:tplc="04260001" w:tentative="1">
      <w:start w:val="1"/>
      <w:numFmt w:val="bullet"/>
      <w:lvlText w:val=""/>
      <w:lvlJc w:val="left"/>
      <w:pPr>
        <w:ind w:left="5046" w:hanging="360"/>
      </w:pPr>
      <w:rPr>
        <w:rFonts w:ascii="Symbol" w:hAnsi="Symbol" w:hint="default"/>
      </w:rPr>
    </w:lvl>
    <w:lvl w:ilvl="7" w:tplc="04260003" w:tentative="1">
      <w:start w:val="1"/>
      <w:numFmt w:val="bullet"/>
      <w:lvlText w:val="o"/>
      <w:lvlJc w:val="left"/>
      <w:pPr>
        <w:ind w:left="5766" w:hanging="360"/>
      </w:pPr>
      <w:rPr>
        <w:rFonts w:ascii="Courier New" w:hAnsi="Courier New" w:cs="Courier New" w:hint="default"/>
      </w:rPr>
    </w:lvl>
    <w:lvl w:ilvl="8" w:tplc="04260005" w:tentative="1">
      <w:start w:val="1"/>
      <w:numFmt w:val="bullet"/>
      <w:lvlText w:val=""/>
      <w:lvlJc w:val="left"/>
      <w:pPr>
        <w:ind w:left="6486" w:hanging="360"/>
      </w:pPr>
      <w:rPr>
        <w:rFonts w:ascii="Wingdings" w:hAnsi="Wingdings" w:hint="default"/>
      </w:rPr>
    </w:lvl>
  </w:abstractNum>
  <w:abstractNum w:abstractNumId="3">
    <w:nsid w:val="297B0A29"/>
    <w:multiLevelType w:val="hybridMultilevel"/>
    <w:tmpl w:val="E5D48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87A505B"/>
    <w:multiLevelType w:val="hybridMultilevel"/>
    <w:tmpl w:val="0F36F87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426B4036"/>
    <w:multiLevelType w:val="hybridMultilevel"/>
    <w:tmpl w:val="F19E04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4E281564"/>
    <w:multiLevelType w:val="hybridMultilevel"/>
    <w:tmpl w:val="8BB2B6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52426D19"/>
    <w:multiLevelType w:val="hybridMultilevel"/>
    <w:tmpl w:val="D9787C90"/>
    <w:lvl w:ilvl="0" w:tplc="D70C67C8">
      <w:start w:val="1"/>
      <w:numFmt w:val="decimal"/>
      <w:lvlText w:val="%1)"/>
      <w:lvlJc w:val="left"/>
      <w:pPr>
        <w:ind w:left="487" w:hanging="360"/>
      </w:pPr>
    </w:lvl>
    <w:lvl w:ilvl="1" w:tplc="04260019">
      <w:start w:val="1"/>
      <w:numFmt w:val="lowerLetter"/>
      <w:lvlText w:val="%2."/>
      <w:lvlJc w:val="left"/>
      <w:pPr>
        <w:ind w:left="1207" w:hanging="360"/>
      </w:pPr>
    </w:lvl>
    <w:lvl w:ilvl="2" w:tplc="0426001B">
      <w:start w:val="1"/>
      <w:numFmt w:val="lowerRoman"/>
      <w:lvlText w:val="%3."/>
      <w:lvlJc w:val="right"/>
      <w:pPr>
        <w:ind w:left="1927" w:hanging="180"/>
      </w:pPr>
    </w:lvl>
    <w:lvl w:ilvl="3" w:tplc="0426000F">
      <w:start w:val="1"/>
      <w:numFmt w:val="decimal"/>
      <w:lvlText w:val="%4."/>
      <w:lvlJc w:val="left"/>
      <w:pPr>
        <w:ind w:left="2647" w:hanging="360"/>
      </w:pPr>
    </w:lvl>
    <w:lvl w:ilvl="4" w:tplc="04260019">
      <w:start w:val="1"/>
      <w:numFmt w:val="lowerLetter"/>
      <w:lvlText w:val="%5."/>
      <w:lvlJc w:val="left"/>
      <w:pPr>
        <w:ind w:left="3367" w:hanging="360"/>
      </w:pPr>
    </w:lvl>
    <w:lvl w:ilvl="5" w:tplc="0426001B">
      <w:start w:val="1"/>
      <w:numFmt w:val="lowerRoman"/>
      <w:lvlText w:val="%6."/>
      <w:lvlJc w:val="right"/>
      <w:pPr>
        <w:ind w:left="4087" w:hanging="180"/>
      </w:pPr>
    </w:lvl>
    <w:lvl w:ilvl="6" w:tplc="0426000F">
      <w:start w:val="1"/>
      <w:numFmt w:val="decimal"/>
      <w:lvlText w:val="%7."/>
      <w:lvlJc w:val="left"/>
      <w:pPr>
        <w:ind w:left="4807" w:hanging="360"/>
      </w:pPr>
    </w:lvl>
    <w:lvl w:ilvl="7" w:tplc="04260019">
      <w:start w:val="1"/>
      <w:numFmt w:val="lowerLetter"/>
      <w:lvlText w:val="%8."/>
      <w:lvlJc w:val="left"/>
      <w:pPr>
        <w:ind w:left="5527" w:hanging="360"/>
      </w:pPr>
    </w:lvl>
    <w:lvl w:ilvl="8" w:tplc="0426001B">
      <w:start w:val="1"/>
      <w:numFmt w:val="lowerRoman"/>
      <w:lvlText w:val="%9."/>
      <w:lvlJc w:val="right"/>
      <w:pPr>
        <w:ind w:left="6247" w:hanging="180"/>
      </w:pPr>
    </w:lvl>
  </w:abstractNum>
  <w:abstractNum w:abstractNumId="8">
    <w:nsid w:val="7E485656"/>
    <w:multiLevelType w:val="hybridMultilevel"/>
    <w:tmpl w:val="12BAD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e Bērziņa CPIPN">
    <w15:presenceInfo w15:providerId="None" w15:userId="Liene Bērziņa CPIPN"/>
  </w15:person>
  <w15:person w15:author="Jana Radvila">
    <w15:presenceInfo w15:providerId="None" w15:userId="Jana Radvi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0A4B"/>
    <w:rsid w:val="00035EFD"/>
    <w:rsid w:val="00056F94"/>
    <w:rsid w:val="00077C0A"/>
    <w:rsid w:val="00082620"/>
    <w:rsid w:val="000F3E1A"/>
    <w:rsid w:val="0010749E"/>
    <w:rsid w:val="00167C3D"/>
    <w:rsid w:val="00171C20"/>
    <w:rsid w:val="00192A72"/>
    <w:rsid w:val="001C721F"/>
    <w:rsid w:val="001F6C3E"/>
    <w:rsid w:val="00203FD3"/>
    <w:rsid w:val="00211A40"/>
    <w:rsid w:val="00221B77"/>
    <w:rsid w:val="00232247"/>
    <w:rsid w:val="00250FE1"/>
    <w:rsid w:val="00254105"/>
    <w:rsid w:val="002713C9"/>
    <w:rsid w:val="002E1EF5"/>
    <w:rsid w:val="002F3195"/>
    <w:rsid w:val="00301FD2"/>
    <w:rsid w:val="00305290"/>
    <w:rsid w:val="0031738E"/>
    <w:rsid w:val="0035186E"/>
    <w:rsid w:val="003A635A"/>
    <w:rsid w:val="003A64F4"/>
    <w:rsid w:val="003F16B6"/>
    <w:rsid w:val="004235B3"/>
    <w:rsid w:val="00424672"/>
    <w:rsid w:val="004502A7"/>
    <w:rsid w:val="004531CC"/>
    <w:rsid w:val="0048451A"/>
    <w:rsid w:val="004C3539"/>
    <w:rsid w:val="004E18DE"/>
    <w:rsid w:val="00510CCA"/>
    <w:rsid w:val="005421D6"/>
    <w:rsid w:val="0055275A"/>
    <w:rsid w:val="005630C1"/>
    <w:rsid w:val="005A3966"/>
    <w:rsid w:val="005D00A0"/>
    <w:rsid w:val="005D41D2"/>
    <w:rsid w:val="0060277E"/>
    <w:rsid w:val="00612245"/>
    <w:rsid w:val="00620DB4"/>
    <w:rsid w:val="007177FD"/>
    <w:rsid w:val="00753167"/>
    <w:rsid w:val="00777855"/>
    <w:rsid w:val="007936A4"/>
    <w:rsid w:val="007A34CD"/>
    <w:rsid w:val="007A71F3"/>
    <w:rsid w:val="007B751F"/>
    <w:rsid w:val="008177EE"/>
    <w:rsid w:val="008260F8"/>
    <w:rsid w:val="008342CB"/>
    <w:rsid w:val="00851DE7"/>
    <w:rsid w:val="008535BE"/>
    <w:rsid w:val="0085566D"/>
    <w:rsid w:val="008C4459"/>
    <w:rsid w:val="008C4B68"/>
    <w:rsid w:val="0090354A"/>
    <w:rsid w:val="009314FC"/>
    <w:rsid w:val="0094121C"/>
    <w:rsid w:val="009558AE"/>
    <w:rsid w:val="00964D84"/>
    <w:rsid w:val="009B5130"/>
    <w:rsid w:val="00A446F6"/>
    <w:rsid w:val="00A74965"/>
    <w:rsid w:val="00A92697"/>
    <w:rsid w:val="00AA53C1"/>
    <w:rsid w:val="00AF3184"/>
    <w:rsid w:val="00AF5136"/>
    <w:rsid w:val="00B06A54"/>
    <w:rsid w:val="00B32C51"/>
    <w:rsid w:val="00B70BBF"/>
    <w:rsid w:val="00B73D7D"/>
    <w:rsid w:val="00B839AE"/>
    <w:rsid w:val="00BE4F51"/>
    <w:rsid w:val="00BF57B6"/>
    <w:rsid w:val="00C10A4B"/>
    <w:rsid w:val="00C31BB3"/>
    <w:rsid w:val="00C42F3E"/>
    <w:rsid w:val="00C5183C"/>
    <w:rsid w:val="00CB2C33"/>
    <w:rsid w:val="00CF00C3"/>
    <w:rsid w:val="00D00A31"/>
    <w:rsid w:val="00D04DFA"/>
    <w:rsid w:val="00D24D8E"/>
    <w:rsid w:val="00D3747E"/>
    <w:rsid w:val="00D76686"/>
    <w:rsid w:val="00D9773C"/>
    <w:rsid w:val="00DC1B77"/>
    <w:rsid w:val="00DD6C4F"/>
    <w:rsid w:val="00DF6896"/>
    <w:rsid w:val="00E7390B"/>
    <w:rsid w:val="00E86A2E"/>
    <w:rsid w:val="00EA2930"/>
    <w:rsid w:val="00EA66DA"/>
    <w:rsid w:val="00EF61B3"/>
    <w:rsid w:val="00F64ABA"/>
    <w:rsid w:val="00F72C35"/>
    <w:rsid w:val="00F93129"/>
    <w:rsid w:val="00FA075F"/>
    <w:rsid w:val="00FA52B6"/>
    <w:rsid w:val="00FB376E"/>
    <w:rsid w:val="00FC50E8"/>
    <w:rsid w:val="00FE2F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4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A9269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10A4B"/>
    <w:pPr>
      <w:spacing w:before="75" w:after="75"/>
      <w:jc w:val="center"/>
    </w:pPr>
  </w:style>
  <w:style w:type="paragraph" w:styleId="Header">
    <w:name w:val="header"/>
    <w:basedOn w:val="Normal"/>
    <w:link w:val="HeaderChar"/>
    <w:rsid w:val="00C10A4B"/>
    <w:pPr>
      <w:tabs>
        <w:tab w:val="center" w:pos="4153"/>
        <w:tab w:val="right" w:pos="8306"/>
      </w:tabs>
    </w:pPr>
  </w:style>
  <w:style w:type="character" w:customStyle="1" w:styleId="HeaderChar">
    <w:name w:val="Header Char"/>
    <w:basedOn w:val="DefaultParagraphFont"/>
    <w:link w:val="Header"/>
    <w:rsid w:val="00C10A4B"/>
    <w:rPr>
      <w:rFonts w:ascii="Times New Roman" w:eastAsia="Times New Roman" w:hAnsi="Times New Roman" w:cs="Times New Roman"/>
      <w:sz w:val="24"/>
      <w:szCs w:val="24"/>
      <w:lang w:eastAsia="lv-LV"/>
    </w:rPr>
  </w:style>
  <w:style w:type="character" w:styleId="PageNumber">
    <w:name w:val="page number"/>
    <w:basedOn w:val="DefaultParagraphFont"/>
    <w:rsid w:val="00C10A4B"/>
  </w:style>
  <w:style w:type="paragraph" w:styleId="Footer">
    <w:name w:val="footer"/>
    <w:basedOn w:val="Normal"/>
    <w:link w:val="FooterChar"/>
    <w:rsid w:val="00C10A4B"/>
    <w:pPr>
      <w:tabs>
        <w:tab w:val="center" w:pos="4153"/>
        <w:tab w:val="right" w:pos="8306"/>
      </w:tabs>
    </w:pPr>
  </w:style>
  <w:style w:type="character" w:customStyle="1" w:styleId="FooterChar">
    <w:name w:val="Footer Char"/>
    <w:basedOn w:val="DefaultParagraphFont"/>
    <w:link w:val="Footer"/>
    <w:rsid w:val="00C10A4B"/>
    <w:rPr>
      <w:rFonts w:ascii="Times New Roman" w:eastAsia="Times New Roman" w:hAnsi="Times New Roman" w:cs="Times New Roman"/>
      <w:sz w:val="24"/>
      <w:szCs w:val="24"/>
      <w:lang w:eastAsia="lv-LV"/>
    </w:rPr>
  </w:style>
  <w:style w:type="paragraph" w:styleId="PlainText">
    <w:name w:val="Plain Text"/>
    <w:basedOn w:val="Normal"/>
    <w:link w:val="PlainTextChar"/>
    <w:rsid w:val="00C10A4B"/>
    <w:rPr>
      <w:rFonts w:ascii="Courier New" w:hAnsi="Courier New" w:cs="Courier New"/>
      <w:sz w:val="20"/>
      <w:szCs w:val="20"/>
    </w:rPr>
  </w:style>
  <w:style w:type="character" w:customStyle="1" w:styleId="PlainTextChar">
    <w:name w:val="Plain Text Char"/>
    <w:basedOn w:val="DefaultParagraphFont"/>
    <w:link w:val="PlainText"/>
    <w:rsid w:val="00C10A4B"/>
    <w:rPr>
      <w:rFonts w:ascii="Courier New" w:eastAsia="Times New Roman" w:hAnsi="Courier New" w:cs="Courier New"/>
      <w:sz w:val="20"/>
      <w:szCs w:val="20"/>
      <w:lang w:eastAsia="lv-LV"/>
    </w:rPr>
  </w:style>
  <w:style w:type="character" w:customStyle="1" w:styleId="EE-paragrCharCharChar1">
    <w:name w:val="EE-paragr Char Char Char1"/>
    <w:link w:val="EE-paragrCharChar"/>
    <w:locked/>
    <w:rsid w:val="007936A4"/>
    <w:rPr>
      <w:rFonts w:ascii="Times New Roman" w:hAnsi="Times New Roman" w:cs="Times New Roman"/>
      <w:bCs/>
      <w:sz w:val="24"/>
      <w:szCs w:val="24"/>
      <w:lang w:eastAsia="lv-LV"/>
    </w:rPr>
  </w:style>
  <w:style w:type="paragraph" w:customStyle="1" w:styleId="EE-paragrCharChar">
    <w:name w:val="EE-paragr Char Char"/>
    <w:basedOn w:val="Normal"/>
    <w:link w:val="EE-paragrCharCharChar1"/>
    <w:autoRedefine/>
    <w:rsid w:val="007936A4"/>
    <w:pPr>
      <w:framePr w:hSpace="180" w:wrap="around" w:vAnchor="text" w:hAnchor="text" w:xAlign="right" w:y="1"/>
      <w:tabs>
        <w:tab w:val="left" w:pos="149"/>
      </w:tabs>
      <w:spacing w:after="120"/>
      <w:suppressOverlap/>
      <w:jc w:val="both"/>
    </w:pPr>
    <w:rPr>
      <w:rFonts w:eastAsiaTheme="minorHAnsi"/>
      <w:bCs/>
    </w:rPr>
  </w:style>
  <w:style w:type="paragraph" w:styleId="ListParagraph">
    <w:name w:val="List Paragraph"/>
    <w:basedOn w:val="Normal"/>
    <w:uiPriority w:val="34"/>
    <w:qFormat/>
    <w:rsid w:val="00AF3184"/>
    <w:pPr>
      <w:ind w:left="720"/>
    </w:pPr>
    <w:rPr>
      <w:rFonts w:ascii="Calibri" w:eastAsiaTheme="minorHAnsi" w:hAnsi="Calibri"/>
      <w:sz w:val="22"/>
      <w:szCs w:val="22"/>
    </w:rPr>
  </w:style>
  <w:style w:type="character" w:styleId="Strong">
    <w:name w:val="Strong"/>
    <w:basedOn w:val="DefaultParagraphFont"/>
    <w:uiPriority w:val="22"/>
    <w:qFormat/>
    <w:rsid w:val="00AF3184"/>
    <w:rPr>
      <w:b/>
      <w:bCs/>
    </w:rPr>
  </w:style>
  <w:style w:type="character" w:customStyle="1" w:styleId="apple-converted-space">
    <w:name w:val="apple-converted-space"/>
    <w:basedOn w:val="DefaultParagraphFont"/>
    <w:rsid w:val="00BE4F51"/>
  </w:style>
  <w:style w:type="character" w:styleId="Hyperlink">
    <w:name w:val="Hyperlink"/>
    <w:basedOn w:val="DefaultParagraphFont"/>
    <w:uiPriority w:val="99"/>
    <w:semiHidden/>
    <w:unhideWhenUsed/>
    <w:rsid w:val="007936A4"/>
    <w:rPr>
      <w:color w:val="0000FF"/>
      <w:u w:val="single"/>
    </w:rPr>
  </w:style>
  <w:style w:type="character" w:customStyle="1" w:styleId="t3">
    <w:name w:val="t3"/>
    <w:basedOn w:val="DefaultParagraphFont"/>
    <w:rsid w:val="007936A4"/>
  </w:style>
  <w:style w:type="character" w:customStyle="1" w:styleId="fwn">
    <w:name w:val="fwn"/>
    <w:basedOn w:val="DefaultParagraphFont"/>
    <w:rsid w:val="007936A4"/>
  </w:style>
  <w:style w:type="character" w:customStyle="1" w:styleId="Heading3Char">
    <w:name w:val="Heading 3 Char"/>
    <w:basedOn w:val="DefaultParagraphFont"/>
    <w:link w:val="Heading3"/>
    <w:uiPriority w:val="9"/>
    <w:rsid w:val="00A92697"/>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4502A7"/>
    <w:rPr>
      <w:rFonts w:ascii="Tahoma" w:hAnsi="Tahoma" w:cs="Tahoma"/>
      <w:sz w:val="16"/>
      <w:szCs w:val="16"/>
    </w:rPr>
  </w:style>
  <w:style w:type="character" w:customStyle="1" w:styleId="BalloonTextChar">
    <w:name w:val="Balloon Text Char"/>
    <w:basedOn w:val="DefaultParagraphFont"/>
    <w:link w:val="BalloonText"/>
    <w:uiPriority w:val="99"/>
    <w:semiHidden/>
    <w:rsid w:val="004502A7"/>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67989337">
      <w:bodyDiv w:val="1"/>
      <w:marLeft w:val="0"/>
      <w:marRight w:val="0"/>
      <w:marTop w:val="0"/>
      <w:marBottom w:val="0"/>
      <w:divBdr>
        <w:top w:val="none" w:sz="0" w:space="0" w:color="auto"/>
        <w:left w:val="none" w:sz="0" w:space="0" w:color="auto"/>
        <w:bottom w:val="none" w:sz="0" w:space="0" w:color="auto"/>
        <w:right w:val="none" w:sz="0" w:space="0" w:color="auto"/>
      </w:divBdr>
    </w:div>
    <w:div w:id="399013718">
      <w:bodyDiv w:val="1"/>
      <w:marLeft w:val="0"/>
      <w:marRight w:val="0"/>
      <w:marTop w:val="0"/>
      <w:marBottom w:val="0"/>
      <w:divBdr>
        <w:top w:val="none" w:sz="0" w:space="0" w:color="auto"/>
        <w:left w:val="none" w:sz="0" w:space="0" w:color="auto"/>
        <w:bottom w:val="none" w:sz="0" w:space="0" w:color="auto"/>
        <w:right w:val="none" w:sz="0" w:space="0" w:color="auto"/>
      </w:divBdr>
    </w:div>
    <w:div w:id="772215194">
      <w:bodyDiv w:val="1"/>
      <w:marLeft w:val="0"/>
      <w:marRight w:val="0"/>
      <w:marTop w:val="0"/>
      <w:marBottom w:val="0"/>
      <w:divBdr>
        <w:top w:val="none" w:sz="0" w:space="0" w:color="auto"/>
        <w:left w:val="none" w:sz="0" w:space="0" w:color="auto"/>
        <w:bottom w:val="none" w:sz="0" w:space="0" w:color="auto"/>
        <w:right w:val="none" w:sz="0" w:space="0" w:color="auto"/>
      </w:divBdr>
    </w:div>
    <w:div w:id="800734437">
      <w:bodyDiv w:val="1"/>
      <w:marLeft w:val="0"/>
      <w:marRight w:val="0"/>
      <w:marTop w:val="0"/>
      <w:marBottom w:val="0"/>
      <w:divBdr>
        <w:top w:val="none" w:sz="0" w:space="0" w:color="auto"/>
        <w:left w:val="none" w:sz="0" w:space="0" w:color="auto"/>
        <w:bottom w:val="none" w:sz="0" w:space="0" w:color="auto"/>
        <w:right w:val="none" w:sz="0" w:space="0" w:color="auto"/>
      </w:divBdr>
    </w:div>
    <w:div w:id="829756846">
      <w:bodyDiv w:val="1"/>
      <w:marLeft w:val="0"/>
      <w:marRight w:val="0"/>
      <w:marTop w:val="0"/>
      <w:marBottom w:val="0"/>
      <w:divBdr>
        <w:top w:val="none" w:sz="0" w:space="0" w:color="auto"/>
        <w:left w:val="none" w:sz="0" w:space="0" w:color="auto"/>
        <w:bottom w:val="none" w:sz="0" w:space="0" w:color="auto"/>
        <w:right w:val="none" w:sz="0" w:space="0" w:color="auto"/>
      </w:divBdr>
    </w:div>
    <w:div w:id="1038819578">
      <w:bodyDiv w:val="1"/>
      <w:marLeft w:val="0"/>
      <w:marRight w:val="0"/>
      <w:marTop w:val="0"/>
      <w:marBottom w:val="0"/>
      <w:divBdr>
        <w:top w:val="none" w:sz="0" w:space="0" w:color="auto"/>
        <w:left w:val="none" w:sz="0" w:space="0" w:color="auto"/>
        <w:bottom w:val="none" w:sz="0" w:space="0" w:color="auto"/>
        <w:right w:val="none" w:sz="0" w:space="0" w:color="auto"/>
      </w:divBdr>
      <w:divsChild>
        <w:div w:id="1648389658">
          <w:marLeft w:val="0"/>
          <w:marRight w:val="0"/>
          <w:marTop w:val="0"/>
          <w:marBottom w:val="0"/>
          <w:divBdr>
            <w:top w:val="none" w:sz="0" w:space="0" w:color="auto"/>
            <w:left w:val="none" w:sz="0" w:space="0" w:color="auto"/>
            <w:bottom w:val="none" w:sz="0" w:space="0" w:color="auto"/>
            <w:right w:val="none" w:sz="0" w:space="0" w:color="auto"/>
          </w:divBdr>
          <w:divsChild>
            <w:div w:id="653531534">
              <w:marLeft w:val="0"/>
              <w:marRight w:val="0"/>
              <w:marTop w:val="0"/>
              <w:marBottom w:val="0"/>
              <w:divBdr>
                <w:top w:val="none" w:sz="0" w:space="0" w:color="auto"/>
                <w:left w:val="none" w:sz="0" w:space="0" w:color="auto"/>
                <w:bottom w:val="none" w:sz="0" w:space="0" w:color="auto"/>
                <w:right w:val="none" w:sz="0" w:space="0" w:color="auto"/>
              </w:divBdr>
            </w:div>
          </w:divsChild>
        </w:div>
        <w:div w:id="349911205">
          <w:marLeft w:val="195"/>
          <w:marRight w:val="0"/>
          <w:marTop w:val="0"/>
          <w:marBottom w:val="0"/>
          <w:divBdr>
            <w:top w:val="none" w:sz="0" w:space="0" w:color="auto"/>
            <w:left w:val="none" w:sz="0" w:space="0" w:color="auto"/>
            <w:bottom w:val="none" w:sz="0" w:space="0" w:color="auto"/>
            <w:right w:val="none" w:sz="0" w:space="0" w:color="auto"/>
          </w:divBdr>
        </w:div>
      </w:divsChild>
    </w:div>
    <w:div w:id="21300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5731</Words>
  <Characters>3268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Auzina</dc:creator>
  <cp:keywords/>
  <dc:description/>
  <cp:lastModifiedBy>evijab</cp:lastModifiedBy>
  <cp:revision>8</cp:revision>
  <cp:lastPrinted>2014-09-25T13:06:00Z</cp:lastPrinted>
  <dcterms:created xsi:type="dcterms:W3CDTF">2014-09-25T08:13:00Z</dcterms:created>
  <dcterms:modified xsi:type="dcterms:W3CDTF">2014-09-25T13:06:00Z</dcterms:modified>
</cp:coreProperties>
</file>