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2CD" w:rsidRPr="0034370D" w:rsidRDefault="006A32CD" w:rsidP="004F3B23">
      <w:pPr>
        <w:spacing w:after="0"/>
        <w:ind w:firstLine="720"/>
        <w:jc w:val="center"/>
        <w:rPr>
          <w:rFonts w:ascii="Times New Roman" w:hAnsi="Times New Roman" w:cs="Times New Roman"/>
          <w:b/>
          <w:color w:val="000000" w:themeColor="text1"/>
          <w:sz w:val="28"/>
          <w:szCs w:val="28"/>
        </w:rPr>
      </w:pPr>
      <w:bookmarkStart w:id="0" w:name="OLE_LINK1"/>
      <w:bookmarkStart w:id="1" w:name="OLE_LINK2"/>
      <w:r w:rsidRPr="0034370D">
        <w:rPr>
          <w:rFonts w:ascii="Times New Roman" w:hAnsi="Times New Roman" w:cs="Times New Roman"/>
          <w:color w:val="000000" w:themeColor="text1"/>
          <w:sz w:val="28"/>
          <w:szCs w:val="28"/>
        </w:rPr>
        <w:t>Ministru kabineta noteikumu projekta</w:t>
      </w:r>
      <w:r w:rsidRPr="0034370D">
        <w:rPr>
          <w:rFonts w:ascii="Times New Roman" w:hAnsi="Times New Roman" w:cs="Times New Roman"/>
          <w:b/>
          <w:color w:val="000000" w:themeColor="text1"/>
          <w:sz w:val="28"/>
          <w:szCs w:val="28"/>
        </w:rPr>
        <w:t xml:space="preserve"> „</w:t>
      </w:r>
      <w:bookmarkStart w:id="2" w:name="_GoBack"/>
      <w:r w:rsidR="00620FA6" w:rsidRPr="00620FA6">
        <w:rPr>
          <w:rFonts w:ascii="Times New Roman" w:hAnsi="Times New Roman" w:cs="Times New Roman"/>
          <w:b/>
          <w:color w:val="000000" w:themeColor="text1"/>
          <w:sz w:val="28"/>
          <w:szCs w:val="28"/>
        </w:rPr>
        <w:t>Grozījumi Ministru kabineta 2013.gada 3.septembra noteikumos Nr.752 „Valsts sabiedrības ar ierobežotu atbildību „Latvijas Vides, ģeoloģijas un meteoroloģijas centrs” maksas pakalpojumu cenrādis”</w:t>
      </w:r>
      <w:bookmarkEnd w:id="2"/>
      <w:r w:rsidRPr="0034370D">
        <w:rPr>
          <w:rFonts w:ascii="Times New Roman" w:hAnsi="Times New Roman" w:cs="Times New Roman"/>
          <w:b/>
          <w:color w:val="000000" w:themeColor="text1"/>
          <w:sz w:val="28"/>
          <w:szCs w:val="28"/>
        </w:rPr>
        <w:t xml:space="preserve">” </w:t>
      </w:r>
      <w:r w:rsidRPr="0034370D">
        <w:rPr>
          <w:rFonts w:ascii="Times New Roman" w:hAnsi="Times New Roman" w:cs="Times New Roman"/>
          <w:color w:val="000000" w:themeColor="text1"/>
          <w:sz w:val="28"/>
          <w:szCs w:val="28"/>
        </w:rPr>
        <w:t xml:space="preserve">sākotnējās ietekmes novērtējuma ziņojums </w:t>
      </w:r>
      <w:r w:rsidRPr="0034370D">
        <w:rPr>
          <w:rFonts w:ascii="Times New Roman" w:hAnsi="Times New Roman" w:cs="Times New Roman"/>
          <w:b/>
          <w:color w:val="000000" w:themeColor="text1"/>
          <w:sz w:val="28"/>
          <w:szCs w:val="28"/>
        </w:rPr>
        <w:t>(anotācija)</w:t>
      </w:r>
    </w:p>
    <w:bookmarkEnd w:id="0"/>
    <w:bookmarkEnd w:id="1"/>
    <w:p w:rsidR="006A32CD" w:rsidRPr="006A32CD" w:rsidRDefault="006A32CD" w:rsidP="004D7C36">
      <w:pPr>
        <w:spacing w:after="0"/>
        <w:ind w:firstLine="300"/>
        <w:jc w:val="center"/>
        <w:rPr>
          <w:rFonts w:ascii="Times New Roman" w:eastAsia="Times New Roman" w:hAnsi="Times New Roman" w:cs="Times New Roman"/>
          <w:i/>
          <w:iCs/>
          <w:color w:val="000000" w:themeColor="text1"/>
          <w:sz w:val="20"/>
          <w:szCs w:val="20"/>
          <w:lang w:eastAsia="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7"/>
        <w:gridCol w:w="2085"/>
        <w:gridCol w:w="6804"/>
      </w:tblGrid>
      <w:tr w:rsidR="0034370D" w:rsidRPr="006A32CD" w:rsidTr="00935F0F">
        <w:trPr>
          <w:trHeight w:val="255"/>
          <w:jc w:val="center"/>
        </w:trPr>
        <w:tc>
          <w:tcPr>
            <w:tcW w:w="0" w:type="auto"/>
            <w:gridSpan w:val="3"/>
            <w:vAlign w:val="center"/>
            <w:hideMark/>
          </w:tcPr>
          <w:p w:rsidR="006A32CD" w:rsidRPr="006A32CD" w:rsidRDefault="006A32CD" w:rsidP="00E57372">
            <w:pPr>
              <w:spacing w:after="0"/>
              <w:jc w:val="center"/>
              <w:rPr>
                <w:rFonts w:ascii="Times New Roman" w:eastAsia="Times New Roman" w:hAnsi="Times New Roman" w:cs="Times New Roman"/>
                <w:b/>
                <w:bCs/>
                <w:color w:val="000000" w:themeColor="text1"/>
                <w:sz w:val="24"/>
                <w:szCs w:val="24"/>
                <w:lang w:eastAsia="lv-LV"/>
              </w:rPr>
            </w:pPr>
            <w:r w:rsidRPr="006A32CD">
              <w:rPr>
                <w:rFonts w:ascii="Times New Roman" w:eastAsia="Times New Roman" w:hAnsi="Times New Roman" w:cs="Times New Roman"/>
                <w:b/>
                <w:bCs/>
                <w:color w:val="000000" w:themeColor="text1"/>
                <w:sz w:val="24"/>
                <w:szCs w:val="24"/>
                <w:lang w:eastAsia="lv-LV"/>
              </w:rPr>
              <w:t>I. Tiesību akta projekta izstrādes nepieciešamība</w:t>
            </w:r>
          </w:p>
        </w:tc>
      </w:tr>
      <w:tr w:rsidR="0034370D" w:rsidRPr="0034370D" w:rsidTr="00482F95">
        <w:trPr>
          <w:trHeight w:val="405"/>
          <w:jc w:val="center"/>
        </w:trPr>
        <w:tc>
          <w:tcPr>
            <w:tcW w:w="250" w:type="pct"/>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1.</w:t>
            </w:r>
          </w:p>
        </w:tc>
        <w:tc>
          <w:tcPr>
            <w:tcW w:w="1114" w:type="pct"/>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Pamatojums</w:t>
            </w:r>
          </w:p>
        </w:tc>
        <w:tc>
          <w:tcPr>
            <w:tcW w:w="3636" w:type="pct"/>
            <w:hideMark/>
          </w:tcPr>
          <w:p w:rsidR="00060163" w:rsidRPr="003859B6" w:rsidRDefault="00C82F50" w:rsidP="00E71286">
            <w:pPr>
              <w:spacing w:after="40"/>
              <w:ind w:firstLine="227"/>
              <w:rPr>
                <w:rFonts w:ascii="Times New Roman" w:hAnsi="Times New Roman" w:cs="Times New Roman"/>
                <w:color w:val="000000" w:themeColor="text1"/>
              </w:rPr>
            </w:pPr>
            <w:r w:rsidRPr="003859B6">
              <w:rPr>
                <w:rFonts w:ascii="Times New Roman" w:hAnsi="Times New Roman" w:cs="Times New Roman"/>
                <w:color w:val="000000" w:themeColor="text1"/>
              </w:rPr>
              <w:t>Eiropas Komisijas 2013.gada 2.maija regulas Nr.389/2013, ar ko izveido Savienības reģistru saskaņā ar Eiropas Parlamenta un Padomes Direktīvu 2003/87/EK un Eiropas Parlamenta un Padomes Lēmumu Nr.280/2004/EK un Lēmumu Nr. 406/2009/EK un atceļ Komisijas Regulu (ES) Nr. 920/2010 un Regulu (ES) Nr. 1193/2011 (turpmāk – Komisijas regula Nr. 389/2013) 8.pants – katra dalībvalsts ieceļ valsts administratoru.</w:t>
            </w:r>
          </w:p>
          <w:p w:rsidR="00E31C26" w:rsidRPr="003859B6" w:rsidRDefault="00C82F50">
            <w:pPr>
              <w:spacing w:after="40"/>
              <w:ind w:firstLine="227"/>
              <w:rPr>
                <w:rFonts w:ascii="Times New Roman" w:hAnsi="Times New Roman" w:cs="Times New Roman"/>
                <w:color w:val="000000" w:themeColor="text1"/>
              </w:rPr>
            </w:pPr>
            <w:r w:rsidRPr="003859B6">
              <w:rPr>
                <w:rFonts w:ascii="Times New Roman" w:hAnsi="Times New Roman" w:cs="Times New Roman"/>
                <w:color w:val="000000" w:themeColor="text1"/>
              </w:rPr>
              <w:t>Likuma „Par piesārņojumu” 32.</w:t>
            </w:r>
            <w:r w:rsidRPr="003859B6">
              <w:rPr>
                <w:rFonts w:ascii="Times New Roman" w:hAnsi="Times New Roman" w:cs="Times New Roman"/>
                <w:color w:val="000000" w:themeColor="text1"/>
                <w:vertAlign w:val="superscript"/>
              </w:rPr>
              <w:t>4</w:t>
            </w:r>
            <w:r w:rsidRPr="003859B6">
              <w:rPr>
                <w:rFonts w:ascii="Times New Roman" w:hAnsi="Times New Roman" w:cs="Times New Roman"/>
                <w:color w:val="000000" w:themeColor="text1"/>
              </w:rPr>
              <w:t xml:space="preserve"> panta trešā daļa </w:t>
            </w:r>
            <w:r w:rsidR="00495C34">
              <w:rPr>
                <w:rFonts w:ascii="Times New Roman" w:hAnsi="Times New Roman" w:cs="Times New Roman"/>
                <w:color w:val="000000" w:themeColor="text1"/>
              </w:rPr>
              <w:t>– emisijas reģistra valsts administrators ir valsts sabiedrība ar ierobežotu atbildību „Latvijas Vides, ģeoloģijas un meteoroloģijas centrs”, kuram tādējādi tiek deleģēts pildīt emisijas reģistra valsts administratora funkciju.</w:t>
            </w:r>
            <w:r w:rsidR="00613285">
              <w:rPr>
                <w:rFonts w:ascii="Times New Roman" w:hAnsi="Times New Roman" w:cs="Times New Roman"/>
                <w:color w:val="000000" w:themeColor="text1"/>
              </w:rPr>
              <w:t xml:space="preserve"> Saskaņā ar Komisijas regulu Nr.389/2013 valsts administratoram ir jānodrošina un jāuzrauga visas darbības, kuras tiek veiktas emisijas reģistrā, tai skaitā, visa veida kontu atvēršana, konta pilnvaroto pārstāvju apstiprināšana</w:t>
            </w:r>
            <w:r w:rsidR="00D216F7">
              <w:rPr>
                <w:rFonts w:ascii="Times New Roman" w:hAnsi="Times New Roman" w:cs="Times New Roman"/>
                <w:color w:val="000000" w:themeColor="text1"/>
              </w:rPr>
              <w:t>, noraidīšana, atcelšana, pārstāvju informācijas atjaunināšana un pārstāvju veikto darbību uzraudzība</w:t>
            </w:r>
            <w:r w:rsidR="00613285">
              <w:rPr>
                <w:rFonts w:ascii="Times New Roman" w:hAnsi="Times New Roman" w:cs="Times New Roman"/>
                <w:color w:val="000000" w:themeColor="text1"/>
              </w:rPr>
              <w:t>, visa veida pārskaitījumu veikšana un nodrošināšana</w:t>
            </w:r>
            <w:r w:rsidR="00D216F7">
              <w:rPr>
                <w:rFonts w:ascii="Times New Roman" w:hAnsi="Times New Roman" w:cs="Times New Roman"/>
                <w:color w:val="000000" w:themeColor="text1"/>
              </w:rPr>
              <w:t>, darbību ar emisijas kvotām, aviācijas emisijas kvotām un Kioto protokola vienībām uzraudzība, tai skaitā sadarbība ar valsts tiesībaizsardzības</w:t>
            </w:r>
            <w:r w:rsidR="00F05E39">
              <w:rPr>
                <w:rFonts w:ascii="Times New Roman" w:hAnsi="Times New Roman" w:cs="Times New Roman"/>
                <w:color w:val="000000" w:themeColor="text1"/>
              </w:rPr>
              <w:t xml:space="preserve"> iestādēm, </w:t>
            </w:r>
            <w:r w:rsidR="00F05E39" w:rsidRPr="00F05E39">
              <w:rPr>
                <w:rFonts w:ascii="Times New Roman" w:hAnsi="Times New Roman" w:cs="Times New Roman"/>
                <w:color w:val="000000" w:themeColor="text1"/>
              </w:rPr>
              <w:t>nodokļu iestād</w:t>
            </w:r>
            <w:r w:rsidR="00F05E39">
              <w:rPr>
                <w:rFonts w:ascii="Times New Roman" w:hAnsi="Times New Roman" w:cs="Times New Roman"/>
                <w:color w:val="000000" w:themeColor="text1"/>
              </w:rPr>
              <w:t>ēm</w:t>
            </w:r>
            <w:r w:rsidR="00F05E39" w:rsidRPr="00F05E39">
              <w:rPr>
                <w:rFonts w:ascii="Times New Roman" w:hAnsi="Times New Roman" w:cs="Times New Roman"/>
                <w:color w:val="000000" w:themeColor="text1"/>
              </w:rPr>
              <w:t xml:space="preserve"> un kontroles iestād</w:t>
            </w:r>
            <w:r w:rsidR="00F05E39">
              <w:rPr>
                <w:rFonts w:ascii="Times New Roman" w:hAnsi="Times New Roman" w:cs="Times New Roman"/>
                <w:color w:val="000000" w:themeColor="text1"/>
              </w:rPr>
              <w:t>ēm</w:t>
            </w:r>
            <w:r w:rsidR="00F05E39" w:rsidRPr="00F05E39">
              <w:rPr>
                <w:rFonts w:ascii="Times New Roman" w:hAnsi="Times New Roman" w:cs="Times New Roman"/>
                <w:color w:val="000000" w:themeColor="text1"/>
              </w:rPr>
              <w:t>, kurām ir tādas tiesības</w:t>
            </w:r>
            <w:r w:rsidR="00F05E39">
              <w:rPr>
                <w:rFonts w:ascii="Times New Roman" w:hAnsi="Times New Roman" w:cs="Times New Roman"/>
                <w:color w:val="000000" w:themeColor="text1"/>
              </w:rPr>
              <w:t>, tādējādi nodrošinot, ka darbības emisijas reģistrā netiek veiktas noziedzīga nodarījuma veikšanai</w:t>
            </w:r>
            <w:r w:rsidR="00F05E39" w:rsidRPr="00F05E39">
              <w:rPr>
                <w:rFonts w:ascii="Times New Roman" w:hAnsi="Times New Roman" w:cs="Times New Roman"/>
                <w:color w:val="000000" w:themeColor="text1"/>
              </w:rPr>
              <w:t>,</w:t>
            </w:r>
          </w:p>
          <w:p w:rsidR="00E31C26" w:rsidRPr="003859B6" w:rsidRDefault="00495C34">
            <w:pPr>
              <w:pStyle w:val="naiskr"/>
              <w:spacing w:before="0" w:after="40"/>
              <w:ind w:firstLine="227"/>
              <w:jc w:val="both"/>
              <w:rPr>
                <w:color w:val="000000" w:themeColor="text1"/>
                <w:sz w:val="22"/>
                <w:szCs w:val="22"/>
              </w:rPr>
            </w:pPr>
            <w:r>
              <w:rPr>
                <w:color w:val="000000" w:themeColor="text1"/>
                <w:sz w:val="22"/>
                <w:szCs w:val="22"/>
              </w:rPr>
              <w:t xml:space="preserve">Komisijas regulas Nr. 389/2013 111.pants – emisijas reģistra valsts administrators var noteikt saprātīgu pakalpojuma maksu. </w:t>
            </w:r>
          </w:p>
          <w:p w:rsidR="003859B6" w:rsidRPr="003859B6" w:rsidRDefault="00AC73FF">
            <w:pPr>
              <w:pStyle w:val="naiskr"/>
              <w:spacing w:before="0" w:after="40"/>
              <w:ind w:firstLine="227"/>
              <w:jc w:val="both"/>
              <w:rPr>
                <w:color w:val="000000" w:themeColor="text1"/>
                <w:sz w:val="22"/>
                <w:szCs w:val="22"/>
              </w:rPr>
            </w:pPr>
            <w:r w:rsidRPr="00AC73FF">
              <w:rPr>
                <w:iCs/>
                <w:color w:val="000000" w:themeColor="text1"/>
                <w:sz w:val="22"/>
                <w:szCs w:val="22"/>
              </w:rPr>
              <w:t>Ar noteikumu projektu tiek grozīti</w:t>
            </w:r>
            <w:r w:rsidRPr="00AC73FF">
              <w:rPr>
                <w:color w:val="000000" w:themeColor="text1"/>
                <w:sz w:val="22"/>
                <w:szCs w:val="22"/>
              </w:rPr>
              <w:t xml:space="preserve"> Ministru kabineta 2013.gada 3.septembra noteikumi Nr.752 „Valsts sabiedrības ar ierobežotu atbildību „Latvijas Vides, ģeoloģijas un meteoroloģijas centrs” maksas pakalpojumu cenrādis” (turpmāk – noteikumi Nr.752).</w:t>
            </w:r>
          </w:p>
          <w:p w:rsidR="00A43A1F" w:rsidRDefault="00495C34">
            <w:pPr>
              <w:pStyle w:val="naiskr"/>
              <w:spacing w:before="0" w:after="40"/>
              <w:ind w:firstLine="227"/>
              <w:jc w:val="both"/>
              <w:rPr>
                <w:sz w:val="22"/>
                <w:szCs w:val="22"/>
              </w:rPr>
            </w:pPr>
            <w:r>
              <w:rPr>
                <w:color w:val="000000" w:themeColor="text1"/>
                <w:sz w:val="22"/>
                <w:szCs w:val="22"/>
              </w:rPr>
              <w:t xml:space="preserve">Ministru kabineta noteikumu projekts „Grozījumi Ministru kabineta 2013.gada 3.septembra noteikumos Nr.752 „Valsts sabiedrības ar ierobežotu atbildību „Latvijas Vides, ģeoloģijas un meteoroloģijas centrs” maksas pakalpojumu cenrādis”” (turpmāk – noteikumu projekts) sagatavots saskaņā ar </w:t>
            </w:r>
            <w:r>
              <w:rPr>
                <w:iCs/>
                <w:color w:val="000000" w:themeColor="text1"/>
                <w:sz w:val="22"/>
                <w:szCs w:val="22"/>
              </w:rPr>
              <w:t>likuma „Par piesārņojumu” 32.</w:t>
            </w:r>
            <w:r>
              <w:rPr>
                <w:iCs/>
                <w:color w:val="000000" w:themeColor="text1"/>
                <w:sz w:val="22"/>
                <w:szCs w:val="22"/>
                <w:vertAlign w:val="superscript"/>
              </w:rPr>
              <w:t>3</w:t>
            </w:r>
            <w:r>
              <w:rPr>
                <w:iCs/>
                <w:color w:val="000000" w:themeColor="text1"/>
                <w:sz w:val="22"/>
                <w:szCs w:val="22"/>
              </w:rPr>
              <w:t xml:space="preserve"> panta devītās daļas otro punktu – </w:t>
            </w:r>
            <w:r>
              <w:rPr>
                <w:color w:val="000000" w:themeColor="text1"/>
                <w:sz w:val="22"/>
                <w:szCs w:val="22"/>
              </w:rPr>
              <w:t>Ministru kabinets apstiprina valsts administratora maksas pakalpojumu cenrādi</w:t>
            </w:r>
            <w:r>
              <w:rPr>
                <w:iCs/>
                <w:color w:val="000000" w:themeColor="text1"/>
                <w:sz w:val="22"/>
                <w:szCs w:val="22"/>
              </w:rPr>
              <w:t>.</w:t>
            </w:r>
          </w:p>
        </w:tc>
      </w:tr>
      <w:tr w:rsidR="0034370D" w:rsidRPr="0034370D" w:rsidTr="00482F95">
        <w:trPr>
          <w:trHeight w:val="465"/>
          <w:jc w:val="center"/>
        </w:trPr>
        <w:tc>
          <w:tcPr>
            <w:tcW w:w="250" w:type="pct"/>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2.</w:t>
            </w:r>
          </w:p>
        </w:tc>
        <w:tc>
          <w:tcPr>
            <w:tcW w:w="1114" w:type="pct"/>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Pašreizējā situācija un problēmas, kuru risināšanai tiesību akta projekts izstrādāts, tiesiskā regulējuma mērķis un būtība</w:t>
            </w:r>
          </w:p>
        </w:tc>
        <w:tc>
          <w:tcPr>
            <w:tcW w:w="3636" w:type="pct"/>
            <w:hideMark/>
          </w:tcPr>
          <w:p w:rsidR="00E31C26" w:rsidRPr="004F3B23" w:rsidRDefault="00C82F50">
            <w:pPr>
              <w:pStyle w:val="naiskr"/>
              <w:spacing w:before="0" w:after="40"/>
              <w:ind w:firstLine="227"/>
              <w:jc w:val="both"/>
              <w:rPr>
                <w:color w:val="000000" w:themeColor="text1"/>
                <w:sz w:val="22"/>
                <w:szCs w:val="22"/>
                <w:u w:val="single"/>
              </w:rPr>
            </w:pPr>
            <w:r w:rsidRPr="004F3B23">
              <w:rPr>
                <w:color w:val="000000" w:themeColor="text1"/>
                <w:sz w:val="22"/>
                <w:szCs w:val="22"/>
                <w:u w:val="single"/>
              </w:rPr>
              <w:t xml:space="preserve">Pašreizējā situācija un problēmas </w:t>
            </w:r>
          </w:p>
          <w:p w:rsidR="00E31C26" w:rsidRDefault="00060163">
            <w:pPr>
              <w:pStyle w:val="naiskr"/>
              <w:spacing w:before="0" w:after="40"/>
              <w:ind w:firstLine="227"/>
              <w:jc w:val="both"/>
              <w:rPr>
                <w:color w:val="000000" w:themeColor="text1"/>
                <w:sz w:val="22"/>
                <w:szCs w:val="22"/>
              </w:rPr>
            </w:pPr>
            <w:r>
              <w:rPr>
                <w:color w:val="000000" w:themeColor="text1"/>
                <w:sz w:val="22"/>
                <w:szCs w:val="22"/>
              </w:rPr>
              <w:t>Emisijas reģistra valsts administrators, kas no 2005.gada 1.janvāra ir valsts SIA „Latvijas Vides, ģeoloģijas un meteoroloģijas centrs”</w:t>
            </w:r>
            <w:r w:rsidR="00B72256">
              <w:rPr>
                <w:color w:val="000000" w:themeColor="text1"/>
                <w:sz w:val="22"/>
                <w:szCs w:val="22"/>
              </w:rPr>
              <w:t>,</w:t>
            </w:r>
            <w:r>
              <w:rPr>
                <w:color w:val="000000" w:themeColor="text1"/>
                <w:sz w:val="22"/>
                <w:szCs w:val="22"/>
              </w:rPr>
              <w:t xml:space="preserve"> piemēroja</w:t>
            </w:r>
            <w:r w:rsidR="00B72256">
              <w:rPr>
                <w:color w:val="000000" w:themeColor="text1"/>
                <w:sz w:val="22"/>
                <w:szCs w:val="22"/>
              </w:rPr>
              <w:t xml:space="preserve"> maksu par darbībām emisijas reģistrā (konta atvēršana, apkalpošana, visa veida pārskaitījumu un darījumu nodrošināšanas reģistrā), bet šo maksu valsts administrators piemēroja vienpersoniski. Tāpēc nebija kontroles pār emisijas reģistra valsts administratora pakalpojuma maksas noteikšanu un tā aprēķinā izmantotajiem lielumiem.</w:t>
            </w:r>
          </w:p>
          <w:p w:rsidR="00AD43BF" w:rsidRPr="00AD43BF" w:rsidRDefault="00AC73FF" w:rsidP="00106528">
            <w:pPr>
              <w:pStyle w:val="naiskr"/>
              <w:spacing w:before="0" w:after="40"/>
              <w:ind w:firstLine="227"/>
              <w:jc w:val="both"/>
              <w:rPr>
                <w:color w:val="000000" w:themeColor="text1"/>
                <w:sz w:val="22"/>
                <w:szCs w:val="22"/>
                <w:u w:val="single"/>
              </w:rPr>
            </w:pPr>
            <w:r w:rsidRPr="00AC73FF">
              <w:rPr>
                <w:color w:val="000000" w:themeColor="text1"/>
                <w:sz w:val="22"/>
                <w:szCs w:val="22"/>
                <w:u w:val="single"/>
              </w:rPr>
              <w:t>Pastāvošais tiesiskais regulējums, tā būtība un nepilnības</w:t>
            </w:r>
          </w:p>
          <w:p w:rsidR="0000357E" w:rsidRDefault="00766075">
            <w:pPr>
              <w:pStyle w:val="naiskr"/>
              <w:spacing w:before="0" w:after="40"/>
              <w:ind w:firstLine="227"/>
              <w:jc w:val="both"/>
              <w:rPr>
                <w:color w:val="000000" w:themeColor="text1"/>
                <w:sz w:val="22"/>
                <w:szCs w:val="22"/>
              </w:rPr>
            </w:pPr>
            <w:r>
              <w:rPr>
                <w:color w:val="000000" w:themeColor="text1"/>
                <w:sz w:val="22"/>
                <w:szCs w:val="22"/>
              </w:rPr>
              <w:t xml:space="preserve">Šobrīd valsts SIA „Latvijas Vides, ģeoloģijas un meteoroloģijas centrs” maksas pakalpojumu cenrādis ir noteikts noteikumos Nr.752, kurā nav </w:t>
            </w:r>
            <w:r>
              <w:rPr>
                <w:color w:val="000000" w:themeColor="text1"/>
                <w:sz w:val="22"/>
                <w:szCs w:val="22"/>
              </w:rPr>
              <w:lastRenderedPageBreak/>
              <w:t>iekļauts valsts administratora maksas pakalpojumu cenrādis, kas attiektos uz emisijas reģistru.</w:t>
            </w:r>
          </w:p>
          <w:p w:rsidR="00766075" w:rsidRDefault="00766075" w:rsidP="00766075">
            <w:pPr>
              <w:pStyle w:val="naiskr"/>
              <w:spacing w:before="0" w:after="40"/>
              <w:ind w:firstLine="227"/>
              <w:jc w:val="both"/>
              <w:rPr>
                <w:color w:val="000000" w:themeColor="text1"/>
                <w:sz w:val="22"/>
                <w:szCs w:val="22"/>
              </w:rPr>
            </w:pPr>
            <w:r>
              <w:rPr>
                <w:color w:val="000000" w:themeColor="text1"/>
                <w:sz w:val="22"/>
                <w:szCs w:val="22"/>
              </w:rPr>
              <w:t>Likumā „Par piesārņojumu” ir iestrādāts deleģējums, ka turpmāk Ministru kabinets apstiprina</w:t>
            </w:r>
            <w:r w:rsidRPr="00106528">
              <w:rPr>
                <w:color w:val="000000" w:themeColor="text1"/>
                <w:sz w:val="22"/>
                <w:szCs w:val="22"/>
              </w:rPr>
              <w:t xml:space="preserve"> valsts administratora maksas pakalpojumu cenrādi</w:t>
            </w:r>
            <w:r>
              <w:rPr>
                <w:color w:val="000000" w:themeColor="text1"/>
                <w:sz w:val="22"/>
                <w:szCs w:val="22"/>
              </w:rPr>
              <w:t>, ņemot vērā iepriekšējo pieredzi ar emisijas reģistra valsts administratora pakalpojuma maksas noteikšanu, kā arī ievērojot regulas Nr.389/2013 nosacījumus,</w:t>
            </w:r>
          </w:p>
          <w:p w:rsidR="00766075" w:rsidRDefault="00766075" w:rsidP="00766075">
            <w:pPr>
              <w:pStyle w:val="naiskr"/>
              <w:spacing w:before="0" w:after="40"/>
              <w:ind w:firstLine="227"/>
              <w:jc w:val="both"/>
              <w:rPr>
                <w:color w:val="000000" w:themeColor="text1"/>
                <w:sz w:val="22"/>
                <w:szCs w:val="22"/>
              </w:rPr>
            </w:pPr>
            <w:r>
              <w:rPr>
                <w:color w:val="000000" w:themeColor="text1"/>
                <w:sz w:val="22"/>
                <w:szCs w:val="22"/>
              </w:rPr>
              <w:t xml:space="preserve">Lai nodrošinātu pārskatāmu un vienlīdzīgu attieksmi pret visiem emisijas reģistra izmantotājiem Ministru kabineta 2014.gada 20.maija noteikumu Nr.250 „Noteikumi par darbībām emisijas reģistrā” (turpmāk – Noteikumi Nr.250) 75.punktā ir noteikts, ka emisijas reģistra valsts administrators divu mēnešu laikā pēc Noteikumu Nr.250 spēkā stāšanās dienas iesniedz saskaņošanai Vides aizsardzības un reģionālās attīstības ministrijā </w:t>
            </w:r>
            <w:r w:rsidRPr="00106528">
              <w:rPr>
                <w:color w:val="000000" w:themeColor="text1"/>
                <w:sz w:val="22"/>
                <w:szCs w:val="22"/>
              </w:rPr>
              <w:t>cenrādi, maksas noteikšanas aprēķinu un to pamatojošus dokumentus</w:t>
            </w:r>
            <w:r>
              <w:rPr>
                <w:color w:val="000000" w:themeColor="text1"/>
                <w:sz w:val="22"/>
                <w:szCs w:val="22"/>
              </w:rPr>
              <w:t>.</w:t>
            </w:r>
          </w:p>
          <w:p w:rsidR="00E31C26" w:rsidRPr="004F3B23" w:rsidRDefault="00C82F50">
            <w:pPr>
              <w:pStyle w:val="naiskr"/>
              <w:spacing w:before="0" w:after="40"/>
              <w:ind w:firstLine="227"/>
              <w:jc w:val="both"/>
              <w:rPr>
                <w:color w:val="000000" w:themeColor="text1"/>
                <w:sz w:val="22"/>
                <w:szCs w:val="22"/>
                <w:u w:val="single"/>
              </w:rPr>
            </w:pPr>
            <w:r w:rsidRPr="004F3B23">
              <w:rPr>
                <w:color w:val="000000" w:themeColor="text1"/>
                <w:sz w:val="22"/>
                <w:szCs w:val="22"/>
                <w:u w:val="single"/>
              </w:rPr>
              <w:t>Noteikumu projekts izstrādāts ar mērķi:</w:t>
            </w:r>
          </w:p>
          <w:p w:rsidR="00E31C26" w:rsidRDefault="00C975E5" w:rsidP="004F3B23">
            <w:pPr>
              <w:pStyle w:val="naiskr"/>
              <w:numPr>
                <w:ilvl w:val="0"/>
                <w:numId w:val="29"/>
              </w:numPr>
              <w:spacing w:before="0" w:after="40"/>
              <w:ind w:left="0" w:firstLine="227"/>
              <w:jc w:val="both"/>
              <w:rPr>
                <w:color w:val="000000" w:themeColor="text1"/>
                <w:sz w:val="22"/>
                <w:szCs w:val="22"/>
              </w:rPr>
            </w:pPr>
            <w:r>
              <w:rPr>
                <w:color w:val="000000" w:themeColor="text1"/>
                <w:sz w:val="22"/>
                <w:szCs w:val="22"/>
              </w:rPr>
              <w:t>izstrādāt un apstiprināt pārskatāmi noteiktu emisijas reģistra pakalpojuma maksu</w:t>
            </w:r>
            <w:r w:rsidR="00C82F50">
              <w:rPr>
                <w:color w:val="000000" w:themeColor="text1"/>
                <w:sz w:val="22"/>
                <w:szCs w:val="22"/>
              </w:rPr>
              <w:t>;</w:t>
            </w:r>
          </w:p>
          <w:p w:rsidR="00E31C26" w:rsidRDefault="00C975E5" w:rsidP="004F3B23">
            <w:pPr>
              <w:pStyle w:val="naiskr"/>
              <w:numPr>
                <w:ilvl w:val="0"/>
                <w:numId w:val="29"/>
              </w:numPr>
              <w:spacing w:before="0" w:after="40"/>
              <w:ind w:left="0" w:firstLine="227"/>
              <w:jc w:val="both"/>
              <w:rPr>
                <w:color w:val="000000" w:themeColor="text1"/>
                <w:sz w:val="22"/>
                <w:szCs w:val="22"/>
              </w:rPr>
            </w:pPr>
            <w:r>
              <w:rPr>
                <w:color w:val="000000" w:themeColor="text1"/>
                <w:sz w:val="22"/>
                <w:szCs w:val="22"/>
              </w:rPr>
              <w:t>nodrošin</w:t>
            </w:r>
            <w:r w:rsidR="00B72256">
              <w:rPr>
                <w:color w:val="000000" w:themeColor="text1"/>
                <w:sz w:val="22"/>
                <w:szCs w:val="22"/>
              </w:rPr>
              <w:t>āt</w:t>
            </w:r>
            <w:r>
              <w:rPr>
                <w:color w:val="000000" w:themeColor="text1"/>
                <w:sz w:val="22"/>
                <w:szCs w:val="22"/>
              </w:rPr>
              <w:t>, ka valsts administratoram ir iespēja saņemt maksu par saviem obligāti veicamajiem darbiem, kuri sakarā ar paaugstinātām drošības, pārbaudes un uzraudzības funkcijām ir ievērojami pieauguši</w:t>
            </w:r>
            <w:r w:rsidR="00B72256">
              <w:rPr>
                <w:color w:val="000000" w:themeColor="text1"/>
                <w:sz w:val="22"/>
                <w:szCs w:val="22"/>
              </w:rPr>
              <w:t>;</w:t>
            </w:r>
          </w:p>
          <w:p w:rsidR="00E31C26" w:rsidRDefault="00B72256" w:rsidP="004F3B23">
            <w:pPr>
              <w:pStyle w:val="naiskr"/>
              <w:numPr>
                <w:ilvl w:val="0"/>
                <w:numId w:val="29"/>
              </w:numPr>
              <w:spacing w:before="0" w:after="40"/>
              <w:ind w:left="0" w:firstLine="227"/>
              <w:jc w:val="both"/>
              <w:rPr>
                <w:color w:val="000000" w:themeColor="text1"/>
                <w:sz w:val="22"/>
                <w:szCs w:val="22"/>
              </w:rPr>
            </w:pPr>
            <w:r>
              <w:rPr>
                <w:color w:val="000000" w:themeColor="text1"/>
                <w:sz w:val="22"/>
                <w:szCs w:val="22"/>
              </w:rPr>
              <w:t xml:space="preserve">noteikt saprātīgu un veicamajiem darbiem atbilstošu maksu par emisijas reģistra izmantošanu un tajā veicamajām darbībām </w:t>
            </w:r>
            <w:r w:rsidR="00C975E5">
              <w:rPr>
                <w:color w:val="000000" w:themeColor="text1"/>
                <w:sz w:val="22"/>
                <w:szCs w:val="22"/>
              </w:rPr>
              <w:t>Eiropas Savienības emisijas kvotu tirdzniecības sistēmas obligātajiem – operatoriem, gaisa kuģu operatoriem un verificētājiem, kā arī brīvprātīgajiem dalībniekiem</w:t>
            </w:r>
            <w:r>
              <w:rPr>
                <w:color w:val="000000" w:themeColor="text1"/>
                <w:sz w:val="22"/>
                <w:szCs w:val="22"/>
              </w:rPr>
              <w:t>.</w:t>
            </w:r>
          </w:p>
        </w:tc>
      </w:tr>
      <w:tr w:rsidR="0034370D" w:rsidRPr="0034370D" w:rsidTr="00482F95">
        <w:trPr>
          <w:trHeight w:val="465"/>
          <w:jc w:val="center"/>
        </w:trPr>
        <w:tc>
          <w:tcPr>
            <w:tcW w:w="250" w:type="pct"/>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lastRenderedPageBreak/>
              <w:t>3.</w:t>
            </w:r>
          </w:p>
        </w:tc>
        <w:tc>
          <w:tcPr>
            <w:tcW w:w="1114" w:type="pct"/>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Projekta izstrādē iesaistītās institūcijas</w:t>
            </w:r>
          </w:p>
        </w:tc>
        <w:tc>
          <w:tcPr>
            <w:tcW w:w="3636" w:type="pct"/>
            <w:hideMark/>
          </w:tcPr>
          <w:p w:rsidR="00E31C26" w:rsidRPr="004F3B23" w:rsidRDefault="00C82F50" w:rsidP="004F3B23">
            <w:pPr>
              <w:pStyle w:val="naiskr"/>
              <w:spacing w:before="0" w:after="60"/>
              <w:jc w:val="both"/>
              <w:rPr>
                <w:iCs/>
                <w:color w:val="000000" w:themeColor="text1"/>
                <w:sz w:val="22"/>
                <w:szCs w:val="22"/>
                <w:u w:val="single"/>
              </w:rPr>
            </w:pPr>
            <w:r w:rsidRPr="004F3B23">
              <w:rPr>
                <w:iCs/>
                <w:color w:val="000000" w:themeColor="text1"/>
                <w:sz w:val="22"/>
                <w:szCs w:val="22"/>
                <w:u w:val="single"/>
              </w:rPr>
              <w:t>Noteikumu projekta izstrādē tika iesaistītas šādas institūcijas:</w:t>
            </w:r>
          </w:p>
          <w:p w:rsidR="00E31C26" w:rsidRDefault="00E57372" w:rsidP="004F3B23">
            <w:pPr>
              <w:pStyle w:val="naiskr"/>
              <w:numPr>
                <w:ilvl w:val="0"/>
                <w:numId w:val="30"/>
              </w:numPr>
              <w:spacing w:before="0" w:after="60"/>
              <w:ind w:left="397" w:hanging="340"/>
              <w:jc w:val="both"/>
              <w:rPr>
                <w:iCs/>
                <w:color w:val="000000" w:themeColor="text1"/>
                <w:sz w:val="22"/>
                <w:szCs w:val="22"/>
              </w:rPr>
            </w:pPr>
            <w:r w:rsidRPr="0034370D">
              <w:rPr>
                <w:iCs/>
                <w:color w:val="000000" w:themeColor="text1"/>
                <w:sz w:val="22"/>
                <w:szCs w:val="22"/>
              </w:rPr>
              <w:t>Vides aizsardzības un reģionālās attīstības ministrija</w:t>
            </w:r>
            <w:r w:rsidR="00AD43BF">
              <w:rPr>
                <w:iCs/>
                <w:color w:val="000000" w:themeColor="text1"/>
                <w:sz w:val="22"/>
                <w:szCs w:val="22"/>
              </w:rPr>
              <w:t>, kas sagatavoja noteikumu projektu</w:t>
            </w:r>
            <w:r w:rsidRPr="0034370D">
              <w:rPr>
                <w:iCs/>
                <w:color w:val="000000" w:themeColor="text1"/>
                <w:sz w:val="22"/>
                <w:szCs w:val="22"/>
              </w:rPr>
              <w:t>,</w:t>
            </w:r>
          </w:p>
          <w:p w:rsidR="00E31C26" w:rsidRDefault="00C975E5" w:rsidP="004F3B23">
            <w:pPr>
              <w:pStyle w:val="naiskr"/>
              <w:numPr>
                <w:ilvl w:val="0"/>
                <w:numId w:val="30"/>
              </w:numPr>
              <w:spacing w:before="0" w:after="60"/>
              <w:ind w:left="397" w:hanging="340"/>
              <w:jc w:val="both"/>
              <w:rPr>
                <w:iCs/>
                <w:color w:val="000000" w:themeColor="text1"/>
                <w:sz w:val="22"/>
                <w:szCs w:val="22"/>
              </w:rPr>
            </w:pPr>
            <w:r>
              <w:rPr>
                <w:iCs/>
                <w:color w:val="000000" w:themeColor="text1"/>
                <w:sz w:val="22"/>
                <w:szCs w:val="22"/>
              </w:rPr>
              <w:t>Valsts SIA „Latvijas Vides, ģeoloģijas un meteoroloģijas centrs”</w:t>
            </w:r>
            <w:r w:rsidR="00AD43BF">
              <w:rPr>
                <w:iCs/>
                <w:color w:val="000000" w:themeColor="text1"/>
                <w:sz w:val="22"/>
                <w:szCs w:val="22"/>
              </w:rPr>
              <w:t>, kas iesniedza cenrādi – noteikumu projekta anotācijas pielikums, maksas noteikšanas aprēķinu un to pamatojošos dokumentus.</w:t>
            </w:r>
          </w:p>
          <w:p w:rsidR="0000357E" w:rsidRDefault="00BA24F0">
            <w:pPr>
              <w:pStyle w:val="naiskr"/>
              <w:spacing w:before="0" w:after="60"/>
              <w:ind w:left="57"/>
              <w:jc w:val="both"/>
              <w:rPr>
                <w:iCs/>
                <w:color w:val="000000" w:themeColor="text1"/>
                <w:sz w:val="22"/>
                <w:szCs w:val="22"/>
              </w:rPr>
            </w:pPr>
            <w:r>
              <w:rPr>
                <w:iCs/>
                <w:color w:val="000000" w:themeColor="text1"/>
                <w:sz w:val="22"/>
                <w:szCs w:val="22"/>
              </w:rPr>
              <w:t xml:space="preserve">Vides aizsardzības un reģionālās attīstības ministrijas un valsts SIA „Latvijas Vides, ģeoloģijas un meteoroloģijas centrs” </w:t>
            </w:r>
            <w:r w:rsidR="00106528">
              <w:rPr>
                <w:iCs/>
                <w:color w:val="000000" w:themeColor="text1"/>
                <w:sz w:val="22"/>
                <w:szCs w:val="22"/>
              </w:rPr>
              <w:t>sadarbība cenrāža sagatavošanā un izvērtēšanā ir noteikta Noteikumos Nr.250</w:t>
            </w:r>
            <w:r>
              <w:rPr>
                <w:iCs/>
                <w:color w:val="000000" w:themeColor="text1"/>
                <w:sz w:val="22"/>
                <w:szCs w:val="22"/>
              </w:rPr>
              <w:t>.</w:t>
            </w:r>
          </w:p>
          <w:p w:rsidR="0000357E" w:rsidRDefault="00AD43BF">
            <w:pPr>
              <w:pStyle w:val="naiskr"/>
              <w:spacing w:before="0" w:after="60"/>
              <w:ind w:left="57"/>
              <w:jc w:val="both"/>
              <w:rPr>
                <w:iCs/>
                <w:color w:val="000000" w:themeColor="text1"/>
                <w:sz w:val="22"/>
                <w:szCs w:val="22"/>
              </w:rPr>
            </w:pPr>
            <w:r>
              <w:rPr>
                <w:iCs/>
                <w:color w:val="000000" w:themeColor="text1"/>
                <w:sz w:val="22"/>
                <w:szCs w:val="22"/>
              </w:rPr>
              <w:t>Noteikumu projekta izstrādē netika organizēta darba grupa.</w:t>
            </w:r>
          </w:p>
        </w:tc>
      </w:tr>
      <w:tr w:rsidR="0034370D" w:rsidRPr="0034370D" w:rsidTr="00482F95">
        <w:trPr>
          <w:jc w:val="center"/>
        </w:trPr>
        <w:tc>
          <w:tcPr>
            <w:tcW w:w="250" w:type="pct"/>
            <w:hideMark/>
          </w:tcPr>
          <w:p w:rsidR="006A32CD" w:rsidRPr="006A32CD" w:rsidRDefault="006A32CD" w:rsidP="00E57372">
            <w:pPr>
              <w:spacing w:after="0"/>
              <w:jc w:val="center"/>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4.</w:t>
            </w:r>
          </w:p>
        </w:tc>
        <w:tc>
          <w:tcPr>
            <w:tcW w:w="1114" w:type="pct"/>
            <w:hideMark/>
          </w:tcPr>
          <w:p w:rsidR="006A32CD" w:rsidRPr="006A32CD" w:rsidRDefault="006A32CD" w:rsidP="00E57372">
            <w:pPr>
              <w:spacing w:after="0"/>
              <w:jc w:val="left"/>
              <w:rPr>
                <w:rFonts w:ascii="Times New Roman" w:eastAsia="Times New Roman" w:hAnsi="Times New Roman" w:cs="Times New Roman"/>
                <w:color w:val="000000" w:themeColor="text1"/>
                <w:lang w:eastAsia="lv-LV"/>
              </w:rPr>
            </w:pPr>
            <w:r w:rsidRPr="006A32CD">
              <w:rPr>
                <w:rFonts w:ascii="Times New Roman" w:eastAsia="Times New Roman" w:hAnsi="Times New Roman" w:cs="Times New Roman"/>
                <w:color w:val="000000" w:themeColor="text1"/>
                <w:lang w:eastAsia="lv-LV"/>
              </w:rPr>
              <w:t>Cita informācija</w:t>
            </w:r>
          </w:p>
        </w:tc>
        <w:tc>
          <w:tcPr>
            <w:tcW w:w="3636" w:type="pct"/>
            <w:hideMark/>
          </w:tcPr>
          <w:p w:rsidR="006A32CD" w:rsidRPr="006A32CD" w:rsidRDefault="00E57372" w:rsidP="004D7C36">
            <w:pPr>
              <w:spacing w:after="60"/>
              <w:ind w:firstLine="232"/>
              <w:jc w:val="left"/>
              <w:rPr>
                <w:rFonts w:ascii="Times New Roman" w:eastAsia="Times New Roman" w:hAnsi="Times New Roman" w:cs="Times New Roman"/>
                <w:color w:val="000000" w:themeColor="text1"/>
                <w:lang w:eastAsia="lv-LV"/>
              </w:rPr>
            </w:pPr>
            <w:r w:rsidRPr="0034370D">
              <w:rPr>
                <w:rFonts w:ascii="Times New Roman" w:eastAsia="Times New Roman" w:hAnsi="Times New Roman" w:cs="Times New Roman"/>
                <w:color w:val="000000" w:themeColor="text1"/>
                <w:lang w:eastAsia="lv-LV"/>
              </w:rPr>
              <w:t>Nav</w:t>
            </w:r>
          </w:p>
        </w:tc>
      </w:tr>
    </w:tbl>
    <w:p w:rsidR="006A32CD" w:rsidRPr="00935F0F" w:rsidRDefault="006A32CD" w:rsidP="0034370D">
      <w:pPr>
        <w:spacing w:after="0"/>
        <w:ind w:firstLine="301"/>
        <w:jc w:val="left"/>
        <w:rPr>
          <w:rFonts w:ascii="Times New Roman" w:eastAsia="Times New Roman" w:hAnsi="Times New Roman" w:cs="Times New Roman"/>
          <w:color w:val="000000" w:themeColor="text1"/>
          <w:sz w:val="28"/>
          <w:szCs w:val="28"/>
          <w:lang w:eastAsia="lv-LV"/>
        </w:rPr>
      </w:pPr>
      <w:r w:rsidRPr="00935F0F">
        <w:rPr>
          <w:rFonts w:ascii="Times New Roman" w:eastAsia="Times New Roman" w:hAnsi="Times New Roman" w:cs="Times New Roman"/>
          <w:color w:val="000000" w:themeColor="text1"/>
          <w:sz w:val="28"/>
          <w:szCs w:val="28"/>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68"/>
        <w:gridCol w:w="2509"/>
        <w:gridCol w:w="6379"/>
      </w:tblGrid>
      <w:tr w:rsidR="0034370D" w:rsidRPr="001D6769" w:rsidTr="00935F0F">
        <w:trPr>
          <w:trHeight w:val="555"/>
          <w:jc w:val="center"/>
        </w:trPr>
        <w:tc>
          <w:tcPr>
            <w:tcW w:w="0" w:type="auto"/>
            <w:gridSpan w:val="3"/>
            <w:vAlign w:val="center"/>
            <w:hideMark/>
          </w:tcPr>
          <w:p w:rsidR="006A32CD" w:rsidRPr="001D6769" w:rsidRDefault="006A32CD" w:rsidP="0034370D">
            <w:pPr>
              <w:spacing w:after="0"/>
              <w:jc w:val="center"/>
              <w:rPr>
                <w:rFonts w:ascii="Times New Roman" w:eastAsia="Times New Roman" w:hAnsi="Times New Roman" w:cs="Times New Roman"/>
                <w:b/>
                <w:bCs/>
                <w:color w:val="000000" w:themeColor="text1"/>
                <w:sz w:val="24"/>
                <w:szCs w:val="24"/>
                <w:lang w:eastAsia="lv-LV"/>
              </w:rPr>
            </w:pPr>
            <w:r w:rsidRPr="001D6769">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34370D" w:rsidRPr="001D6769" w:rsidTr="00AA73AA">
        <w:trPr>
          <w:trHeight w:val="465"/>
          <w:jc w:val="center"/>
        </w:trPr>
        <w:tc>
          <w:tcPr>
            <w:tcW w:w="250" w:type="pct"/>
            <w:hideMark/>
          </w:tcPr>
          <w:p w:rsidR="00E57372" w:rsidRPr="001D6769" w:rsidRDefault="00E57372" w:rsidP="0034370D">
            <w:pPr>
              <w:spacing w:after="0"/>
              <w:jc w:val="left"/>
              <w:rPr>
                <w:rFonts w:ascii="Times New Roman" w:eastAsia="Times New Roman" w:hAnsi="Times New Roman" w:cs="Times New Roman"/>
                <w:color w:val="000000" w:themeColor="text1"/>
                <w:lang w:eastAsia="lv-LV"/>
              </w:rPr>
            </w:pPr>
            <w:r w:rsidRPr="001D6769">
              <w:rPr>
                <w:rFonts w:ascii="Times New Roman" w:eastAsia="Times New Roman" w:hAnsi="Times New Roman" w:cs="Times New Roman"/>
                <w:color w:val="000000" w:themeColor="text1"/>
                <w:lang w:eastAsia="lv-LV"/>
              </w:rPr>
              <w:t>1.</w:t>
            </w:r>
          </w:p>
        </w:tc>
        <w:tc>
          <w:tcPr>
            <w:tcW w:w="1341" w:type="pct"/>
            <w:hideMark/>
          </w:tcPr>
          <w:p w:rsidR="00E57372" w:rsidRPr="001D6769" w:rsidRDefault="00E57372" w:rsidP="0034370D">
            <w:pPr>
              <w:spacing w:after="0"/>
              <w:jc w:val="left"/>
              <w:rPr>
                <w:rFonts w:ascii="Times New Roman" w:eastAsia="Times New Roman" w:hAnsi="Times New Roman" w:cs="Times New Roman"/>
                <w:color w:val="000000" w:themeColor="text1"/>
                <w:lang w:eastAsia="lv-LV"/>
              </w:rPr>
            </w:pPr>
            <w:r w:rsidRPr="001D6769">
              <w:rPr>
                <w:rFonts w:ascii="Times New Roman" w:eastAsia="Times New Roman" w:hAnsi="Times New Roman" w:cs="Times New Roman"/>
                <w:color w:val="000000" w:themeColor="text1"/>
                <w:lang w:eastAsia="lv-LV"/>
              </w:rPr>
              <w:t>Sabiedrības mērķgrupas, kuras tiesiskais regulējums ietekmē vai varētu ietekmēt</w:t>
            </w:r>
          </w:p>
        </w:tc>
        <w:tc>
          <w:tcPr>
            <w:tcW w:w="3409" w:type="pct"/>
            <w:hideMark/>
          </w:tcPr>
          <w:p w:rsidR="00E31C26" w:rsidRPr="004F3B23" w:rsidRDefault="00C82F50" w:rsidP="004F3B23">
            <w:pPr>
              <w:pStyle w:val="naiskr"/>
              <w:spacing w:before="0" w:after="40"/>
              <w:jc w:val="both"/>
              <w:rPr>
                <w:bCs/>
                <w:color w:val="000000" w:themeColor="text1"/>
                <w:sz w:val="22"/>
                <w:szCs w:val="22"/>
                <w:u w:val="single"/>
                <w:shd w:val="clear" w:color="auto" w:fill="FFFFFF"/>
              </w:rPr>
            </w:pPr>
            <w:r w:rsidRPr="004F3B23">
              <w:rPr>
                <w:bCs/>
                <w:color w:val="000000" w:themeColor="text1"/>
                <w:sz w:val="22"/>
                <w:szCs w:val="22"/>
                <w:u w:val="single"/>
                <w:shd w:val="clear" w:color="auto" w:fill="FFFFFF"/>
              </w:rPr>
              <w:t>Noteikumu projekta tiesiskais regulējums ietekmē vai var ietekmēt:</w:t>
            </w:r>
          </w:p>
          <w:p w:rsidR="00E31C26" w:rsidRDefault="00E57372" w:rsidP="004F3B23">
            <w:pPr>
              <w:pStyle w:val="naiskr"/>
              <w:numPr>
                <w:ilvl w:val="0"/>
                <w:numId w:val="26"/>
              </w:numPr>
              <w:spacing w:before="0" w:after="40"/>
              <w:ind w:left="340" w:hanging="340"/>
              <w:jc w:val="both"/>
              <w:rPr>
                <w:rStyle w:val="apple-style-span"/>
                <w:b/>
                <w:bCs/>
                <w:color w:val="000000" w:themeColor="text1"/>
                <w:sz w:val="22"/>
                <w:szCs w:val="22"/>
                <w:shd w:val="clear" w:color="auto" w:fill="FFFFFF"/>
              </w:rPr>
            </w:pPr>
            <w:r w:rsidRPr="001D6769">
              <w:rPr>
                <w:iCs/>
                <w:color w:val="000000" w:themeColor="text1"/>
                <w:sz w:val="22"/>
                <w:szCs w:val="22"/>
              </w:rPr>
              <w:t>Latvijas emisijas kvotu tirdzniecības sistēmas operator</w:t>
            </w:r>
            <w:r w:rsidR="001424BB">
              <w:rPr>
                <w:iCs/>
                <w:color w:val="000000" w:themeColor="text1"/>
                <w:sz w:val="22"/>
                <w:szCs w:val="22"/>
              </w:rPr>
              <w:t>us</w:t>
            </w:r>
            <w:r w:rsidRPr="001D6769">
              <w:rPr>
                <w:iCs/>
                <w:color w:val="000000" w:themeColor="text1"/>
                <w:sz w:val="22"/>
                <w:szCs w:val="22"/>
              </w:rPr>
              <w:t>, kuri veic kādu no likuma „Par piesārņojumu” 2.pielikumā minētajām darbībām un kuriem ir izsniegtas siltumnīcefekta gāzu emisijas atļaujas</w:t>
            </w:r>
            <w:r w:rsidRPr="001D6769">
              <w:rPr>
                <w:rStyle w:val="apple-style-span"/>
                <w:color w:val="000000" w:themeColor="text1"/>
                <w:sz w:val="22"/>
                <w:szCs w:val="22"/>
                <w:shd w:val="clear" w:color="auto" w:fill="FFFFFF"/>
              </w:rPr>
              <w:t>;</w:t>
            </w:r>
          </w:p>
          <w:p w:rsidR="00E31C26" w:rsidRDefault="00C975E5" w:rsidP="004F3B23">
            <w:pPr>
              <w:pStyle w:val="naiskr"/>
              <w:numPr>
                <w:ilvl w:val="0"/>
                <w:numId w:val="26"/>
              </w:numPr>
              <w:spacing w:before="0" w:after="40"/>
              <w:ind w:left="340" w:hanging="340"/>
              <w:jc w:val="both"/>
              <w:rPr>
                <w:rStyle w:val="apple-style-span"/>
                <w:b/>
                <w:bCs/>
                <w:color w:val="000000" w:themeColor="text1"/>
                <w:sz w:val="22"/>
                <w:szCs w:val="22"/>
                <w:shd w:val="clear" w:color="auto" w:fill="FFFFFF"/>
              </w:rPr>
            </w:pPr>
            <w:r w:rsidRPr="001D6769">
              <w:rPr>
                <w:rStyle w:val="apple-style-span"/>
                <w:color w:val="000000" w:themeColor="text1"/>
                <w:sz w:val="22"/>
                <w:szCs w:val="22"/>
                <w:shd w:val="clear" w:color="auto" w:fill="FFFFFF"/>
              </w:rPr>
              <w:t>Latvijas administrācijā esoš</w:t>
            </w:r>
            <w:r w:rsidR="001424BB">
              <w:rPr>
                <w:rStyle w:val="apple-style-span"/>
                <w:color w:val="000000" w:themeColor="text1"/>
                <w:sz w:val="22"/>
                <w:szCs w:val="22"/>
                <w:shd w:val="clear" w:color="auto" w:fill="FFFFFF"/>
              </w:rPr>
              <w:t>os</w:t>
            </w:r>
            <w:r w:rsidRPr="001D6769">
              <w:rPr>
                <w:rStyle w:val="apple-style-span"/>
                <w:color w:val="000000" w:themeColor="text1"/>
                <w:sz w:val="22"/>
                <w:szCs w:val="22"/>
                <w:shd w:val="clear" w:color="auto" w:fill="FFFFFF"/>
              </w:rPr>
              <w:t xml:space="preserve"> gaisa kuģu operator</w:t>
            </w:r>
            <w:r w:rsidR="001424BB">
              <w:rPr>
                <w:rStyle w:val="apple-style-span"/>
                <w:color w:val="000000" w:themeColor="text1"/>
                <w:sz w:val="22"/>
                <w:szCs w:val="22"/>
                <w:shd w:val="clear" w:color="auto" w:fill="FFFFFF"/>
              </w:rPr>
              <w:t>us</w:t>
            </w:r>
            <w:r w:rsidRPr="001D6769">
              <w:rPr>
                <w:rStyle w:val="apple-style-span"/>
                <w:color w:val="000000" w:themeColor="text1"/>
                <w:sz w:val="22"/>
                <w:szCs w:val="22"/>
                <w:shd w:val="clear" w:color="auto" w:fill="FFFFFF"/>
              </w:rPr>
              <w:t>, kuri veic kādu no likuma „Par piesārņojumu” 1.</w:t>
            </w:r>
            <w:r w:rsidRPr="001D6769">
              <w:rPr>
                <w:rStyle w:val="apple-style-span"/>
                <w:color w:val="000000" w:themeColor="text1"/>
                <w:sz w:val="22"/>
                <w:szCs w:val="22"/>
                <w:shd w:val="clear" w:color="auto" w:fill="FFFFFF"/>
                <w:vertAlign w:val="superscript"/>
              </w:rPr>
              <w:t>1</w:t>
            </w:r>
            <w:r w:rsidRPr="001D6769">
              <w:rPr>
                <w:rStyle w:val="apple-style-span"/>
                <w:color w:val="000000" w:themeColor="text1"/>
                <w:sz w:val="22"/>
                <w:szCs w:val="22"/>
                <w:shd w:val="clear" w:color="auto" w:fill="FFFFFF"/>
              </w:rPr>
              <w:t xml:space="preserve"> pielikumā minēto darbību;</w:t>
            </w:r>
          </w:p>
          <w:p w:rsidR="00E31C26" w:rsidRDefault="001424BB" w:rsidP="004F3B23">
            <w:pPr>
              <w:pStyle w:val="naiskr"/>
              <w:numPr>
                <w:ilvl w:val="0"/>
                <w:numId w:val="26"/>
              </w:numPr>
              <w:spacing w:before="0" w:after="40"/>
              <w:ind w:left="340" w:hanging="340"/>
              <w:jc w:val="both"/>
              <w:rPr>
                <w:color w:val="000000" w:themeColor="text1"/>
                <w:sz w:val="22"/>
                <w:szCs w:val="22"/>
              </w:rPr>
            </w:pPr>
            <w:r w:rsidRPr="001D6769">
              <w:rPr>
                <w:rStyle w:val="apple-style-span"/>
                <w:color w:val="000000" w:themeColor="text1"/>
                <w:sz w:val="22"/>
                <w:szCs w:val="22"/>
                <w:shd w:val="clear" w:color="auto" w:fill="FFFFFF"/>
              </w:rPr>
              <w:t>Latvijā akreditēt</w:t>
            </w:r>
            <w:r>
              <w:rPr>
                <w:rStyle w:val="apple-style-span"/>
                <w:color w:val="000000" w:themeColor="text1"/>
                <w:sz w:val="22"/>
                <w:szCs w:val="22"/>
                <w:shd w:val="clear" w:color="auto" w:fill="FFFFFF"/>
              </w:rPr>
              <w:t>us verificētājus vai kādā no Eiropas Savienības dalībvalstīm akredit</w:t>
            </w:r>
            <w:r w:rsidR="00E61CD7">
              <w:rPr>
                <w:rStyle w:val="apple-style-span"/>
                <w:color w:val="000000" w:themeColor="text1"/>
                <w:sz w:val="22"/>
                <w:szCs w:val="22"/>
                <w:shd w:val="clear" w:color="auto" w:fill="FFFFFF"/>
              </w:rPr>
              <w:t>ētas atbilstības novērtēšanas institūcijas vai sertificētus verificētājus</w:t>
            </w:r>
            <w:r w:rsidR="0094491A" w:rsidRPr="001D6769">
              <w:rPr>
                <w:color w:val="000000" w:themeColor="text1"/>
                <w:sz w:val="22"/>
                <w:szCs w:val="22"/>
              </w:rPr>
              <w:t>;</w:t>
            </w:r>
          </w:p>
          <w:p w:rsidR="00E31C26" w:rsidRDefault="0094491A" w:rsidP="004F3B23">
            <w:pPr>
              <w:pStyle w:val="naiskr"/>
              <w:numPr>
                <w:ilvl w:val="0"/>
                <w:numId w:val="26"/>
              </w:numPr>
              <w:spacing w:before="0" w:after="40"/>
              <w:ind w:left="340" w:hanging="340"/>
              <w:jc w:val="both"/>
              <w:rPr>
                <w:color w:val="000000" w:themeColor="text1"/>
                <w:sz w:val="22"/>
                <w:szCs w:val="22"/>
              </w:rPr>
            </w:pPr>
            <w:r w:rsidRPr="001D6769">
              <w:rPr>
                <w:color w:val="000000" w:themeColor="text1"/>
                <w:sz w:val="22"/>
                <w:szCs w:val="22"/>
              </w:rPr>
              <w:t xml:space="preserve">Eiropas Savienības Emisijas kvotu tirdzniecības sistēmas </w:t>
            </w:r>
            <w:r w:rsidRPr="001D6769">
              <w:rPr>
                <w:color w:val="000000" w:themeColor="text1"/>
                <w:sz w:val="22"/>
                <w:szCs w:val="22"/>
              </w:rPr>
              <w:lastRenderedPageBreak/>
              <w:t>brīvprātīg</w:t>
            </w:r>
            <w:r w:rsidR="00E61CD7">
              <w:rPr>
                <w:color w:val="000000" w:themeColor="text1"/>
                <w:sz w:val="22"/>
                <w:szCs w:val="22"/>
              </w:rPr>
              <w:t>os</w:t>
            </w:r>
            <w:r w:rsidRPr="001D6769">
              <w:rPr>
                <w:color w:val="000000" w:themeColor="text1"/>
                <w:sz w:val="22"/>
                <w:szCs w:val="22"/>
              </w:rPr>
              <w:t xml:space="preserve"> dalībniek</w:t>
            </w:r>
            <w:r w:rsidR="00E61CD7">
              <w:rPr>
                <w:color w:val="000000" w:themeColor="text1"/>
                <w:sz w:val="22"/>
                <w:szCs w:val="22"/>
              </w:rPr>
              <w:t>us</w:t>
            </w:r>
            <w:r w:rsidRPr="001D6769">
              <w:rPr>
                <w:color w:val="000000" w:themeColor="text1"/>
                <w:sz w:val="22"/>
                <w:szCs w:val="22"/>
              </w:rPr>
              <w:t xml:space="preserve"> – izsoles konta turētāj</w:t>
            </w:r>
            <w:r w:rsidR="00E61CD7">
              <w:rPr>
                <w:color w:val="000000" w:themeColor="text1"/>
                <w:sz w:val="22"/>
                <w:szCs w:val="22"/>
              </w:rPr>
              <w:t>us</w:t>
            </w:r>
            <w:r w:rsidRPr="001D6769">
              <w:rPr>
                <w:color w:val="000000" w:themeColor="text1"/>
                <w:sz w:val="22"/>
                <w:szCs w:val="22"/>
              </w:rPr>
              <w:t>, personas konta turētāj</w:t>
            </w:r>
            <w:r w:rsidR="00E61CD7">
              <w:rPr>
                <w:color w:val="000000" w:themeColor="text1"/>
                <w:sz w:val="22"/>
                <w:szCs w:val="22"/>
              </w:rPr>
              <w:t>us</w:t>
            </w:r>
            <w:r w:rsidRPr="001D6769">
              <w:rPr>
                <w:color w:val="000000" w:themeColor="text1"/>
                <w:sz w:val="22"/>
                <w:szCs w:val="22"/>
              </w:rPr>
              <w:t>, ārējās tirdzniecības platformas konta turētāj</w:t>
            </w:r>
            <w:r w:rsidR="00E61CD7">
              <w:rPr>
                <w:color w:val="000000" w:themeColor="text1"/>
                <w:sz w:val="22"/>
                <w:szCs w:val="22"/>
              </w:rPr>
              <w:t>us;</w:t>
            </w:r>
          </w:p>
          <w:p w:rsidR="00E31C26" w:rsidRDefault="00E61CD7" w:rsidP="004F3B23">
            <w:pPr>
              <w:pStyle w:val="naiskr"/>
              <w:numPr>
                <w:ilvl w:val="0"/>
                <w:numId w:val="26"/>
              </w:numPr>
              <w:spacing w:before="0" w:after="40"/>
              <w:ind w:left="340" w:hanging="340"/>
              <w:jc w:val="both"/>
              <w:rPr>
                <w:color w:val="000000" w:themeColor="text1"/>
                <w:sz w:val="22"/>
                <w:szCs w:val="22"/>
              </w:rPr>
            </w:pPr>
            <w:r>
              <w:rPr>
                <w:color w:val="000000" w:themeColor="text1"/>
                <w:sz w:val="22"/>
                <w:szCs w:val="22"/>
              </w:rPr>
              <w:t>Valsts SIA „Latvijas Vides, ģeoloģijas un meteoroloģijas centrs”;</w:t>
            </w:r>
          </w:p>
          <w:p w:rsidR="00E31C26" w:rsidRDefault="00E61CD7" w:rsidP="004F3B23">
            <w:pPr>
              <w:pStyle w:val="naiskr"/>
              <w:numPr>
                <w:ilvl w:val="0"/>
                <w:numId w:val="26"/>
              </w:numPr>
              <w:spacing w:before="0" w:after="40"/>
              <w:ind w:left="340" w:hanging="340"/>
              <w:jc w:val="both"/>
              <w:rPr>
                <w:color w:val="000000" w:themeColor="text1"/>
                <w:sz w:val="22"/>
                <w:szCs w:val="22"/>
              </w:rPr>
            </w:pPr>
            <w:r>
              <w:rPr>
                <w:color w:val="000000" w:themeColor="text1"/>
                <w:sz w:val="22"/>
                <w:szCs w:val="22"/>
              </w:rPr>
              <w:t>Vides aizsardzības un reģionālās attīstības ministriju – valsts konta turētāju</w:t>
            </w:r>
            <w:r w:rsidR="0094491A" w:rsidRPr="001D6769">
              <w:rPr>
                <w:color w:val="000000" w:themeColor="text1"/>
                <w:sz w:val="22"/>
                <w:szCs w:val="22"/>
              </w:rPr>
              <w:t>.</w:t>
            </w:r>
          </w:p>
        </w:tc>
      </w:tr>
      <w:tr w:rsidR="0034370D" w:rsidRPr="001D6769" w:rsidTr="00AA73AA">
        <w:trPr>
          <w:trHeight w:val="510"/>
          <w:jc w:val="center"/>
        </w:trPr>
        <w:tc>
          <w:tcPr>
            <w:tcW w:w="250" w:type="pct"/>
            <w:hideMark/>
          </w:tcPr>
          <w:p w:rsidR="006A32CD" w:rsidRPr="001D6769" w:rsidRDefault="006A32CD" w:rsidP="0034370D">
            <w:pPr>
              <w:spacing w:after="0"/>
              <w:jc w:val="left"/>
              <w:rPr>
                <w:rFonts w:ascii="Times New Roman" w:eastAsia="Times New Roman" w:hAnsi="Times New Roman" w:cs="Times New Roman"/>
                <w:color w:val="000000" w:themeColor="text1"/>
                <w:lang w:eastAsia="lv-LV"/>
              </w:rPr>
            </w:pPr>
            <w:r w:rsidRPr="001D6769">
              <w:rPr>
                <w:rFonts w:ascii="Times New Roman" w:eastAsia="Times New Roman" w:hAnsi="Times New Roman" w:cs="Times New Roman"/>
                <w:color w:val="000000" w:themeColor="text1"/>
                <w:lang w:eastAsia="lv-LV"/>
              </w:rPr>
              <w:lastRenderedPageBreak/>
              <w:t>2.</w:t>
            </w:r>
          </w:p>
        </w:tc>
        <w:tc>
          <w:tcPr>
            <w:tcW w:w="1341" w:type="pct"/>
            <w:hideMark/>
          </w:tcPr>
          <w:p w:rsidR="006A32CD" w:rsidRPr="001D6769" w:rsidRDefault="006A32CD" w:rsidP="0034370D">
            <w:pPr>
              <w:spacing w:after="0"/>
              <w:jc w:val="left"/>
              <w:rPr>
                <w:rFonts w:ascii="Times New Roman" w:eastAsia="Times New Roman" w:hAnsi="Times New Roman" w:cs="Times New Roman"/>
                <w:color w:val="000000" w:themeColor="text1"/>
                <w:lang w:eastAsia="lv-LV"/>
              </w:rPr>
            </w:pPr>
            <w:r w:rsidRPr="001D6769">
              <w:rPr>
                <w:rFonts w:ascii="Times New Roman" w:eastAsia="Times New Roman" w:hAnsi="Times New Roman" w:cs="Times New Roman"/>
                <w:color w:val="000000" w:themeColor="text1"/>
                <w:lang w:eastAsia="lv-LV"/>
              </w:rPr>
              <w:t>Tiesiskā regulējuma ietekme uz tautsaimniecību un administratīvo slogu</w:t>
            </w:r>
          </w:p>
        </w:tc>
        <w:tc>
          <w:tcPr>
            <w:tcW w:w="3409" w:type="pct"/>
            <w:hideMark/>
          </w:tcPr>
          <w:p w:rsidR="00E61CD7" w:rsidRPr="00E01818" w:rsidRDefault="00C82F50" w:rsidP="00E01818">
            <w:pPr>
              <w:spacing w:after="40"/>
              <w:rPr>
                <w:rFonts w:ascii="Times New Roman" w:hAnsi="Times New Roman" w:cs="Times New Roman"/>
                <w:color w:val="000000" w:themeColor="text1"/>
                <w:u w:val="single"/>
              </w:rPr>
            </w:pPr>
            <w:r w:rsidRPr="00E01818">
              <w:rPr>
                <w:rFonts w:ascii="Times New Roman" w:hAnsi="Times New Roman" w:cs="Times New Roman"/>
                <w:color w:val="000000" w:themeColor="text1"/>
                <w:u w:val="single"/>
              </w:rPr>
              <w:t>Noteikumu projekta tiesiskā regulējuma paredzamā ietekme uz administratīvo slogu:</w:t>
            </w:r>
          </w:p>
          <w:p w:rsidR="006A32CD" w:rsidRPr="00E01818" w:rsidRDefault="00C82F50"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Sabiedrības grupām un institūcijām noteikumu projekta tiesiskais regulējums nemaina tiesības un pienākumus, kā arī veicamās darbības; nenosaka papildu administratīvo slogu institūcijām un anotācijas II sadaļas 1.punktā minētajiem sabiedrības mērķgrupas pārstāvjiem.</w:t>
            </w:r>
          </w:p>
          <w:p w:rsidR="008D0FA1" w:rsidRPr="00E01818" w:rsidRDefault="008D0FA1" w:rsidP="00E01818">
            <w:pPr>
              <w:spacing w:after="40"/>
              <w:rPr>
                <w:rFonts w:ascii="Times New Roman" w:hAnsi="Times New Roman" w:cs="Times New Roman"/>
                <w:color w:val="000000" w:themeColor="text1"/>
                <w:u w:val="single"/>
              </w:rPr>
            </w:pPr>
            <w:r w:rsidRPr="00E01818">
              <w:rPr>
                <w:rFonts w:ascii="Times New Roman" w:hAnsi="Times New Roman" w:cs="Times New Roman"/>
                <w:color w:val="000000" w:themeColor="text1"/>
                <w:u w:val="single"/>
              </w:rPr>
              <w:t>Noteikumu projekta tiesiskā regulējuma ietekme uz uzņēmējdarbības vidi;</w:t>
            </w:r>
          </w:p>
          <w:p w:rsidR="00665626" w:rsidRPr="00E01818" w:rsidRDefault="00C82F50"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xml:space="preserve">Jau šobrīd valsts SIA „Latvijas Vides, ģeoloģijas un meteoroloģijas centrs”, kas pilda emisijas reģistra valsts administratora pienākumus no 2005.gada 1.janvāra, ir noteicis pakalpojuma maksu par darbībām emisijas reģistrā – kontu atvēršanu, ikgadējo iemaksu par emisijas kvotu pārskaitījumu nodrošināšanu (pieejams: </w:t>
            </w:r>
            <w:hyperlink r:id="rId8" w:history="1">
              <w:r w:rsidRPr="00E01818">
                <w:rPr>
                  <w:rStyle w:val="Hyperlink"/>
                  <w:rFonts w:ascii="Times New Roman" w:hAnsi="Times New Roman" w:cs="Times New Roman"/>
                </w:rPr>
                <w:t>http://www.meteo.lv/pakalpojumi/citi-pakalpojumi/siltumnicefekta-gazu-emisijas-vienibu-registrs/?nid=325&amp;cid=956</w:t>
              </w:r>
            </w:hyperlink>
            <w:r w:rsidRPr="00E01818">
              <w:rPr>
                <w:rFonts w:ascii="Times New Roman" w:hAnsi="Times New Roman" w:cs="Times New Roman"/>
                <w:color w:val="000000" w:themeColor="text1"/>
              </w:rPr>
              <w:t>).</w:t>
            </w:r>
          </w:p>
          <w:p w:rsidR="000E05CA" w:rsidRPr="00E01818" w:rsidRDefault="00C82F50"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Noteikumu projekts nosaka, ka emisijas reģistra pakalpojumu maksa netiek piemērota tiem operatoriem un gaisa kuģu operatoriem, kuri emisijas reģistru izmanto tikai obligāto Eiropas Savienības emisijas kvotu tirdzniecības sistēmas darbību veikšanai – verificētā emisijas apjoma ievadīšanai un emisijas kvotu vai aviācijas emisijas kvotu nodošanas procedūras veikšanai. Kā līdz šim emisijas reģistra pakalpojumu maksa ar noteikumu projektu tiek piemērota Eiropas Savienības emisijas kvotu tirdzniecības sistēmas brīvprātīgajiem dalībniekiem – izsoles konta turētājiem, personas konta turētājiem</w:t>
            </w:r>
            <w:r w:rsidR="00855B55" w:rsidRPr="00E01818">
              <w:rPr>
                <w:rFonts w:ascii="Times New Roman" w:hAnsi="Times New Roman" w:cs="Times New Roman"/>
                <w:color w:val="000000" w:themeColor="text1"/>
              </w:rPr>
              <w:t xml:space="preserve">, </w:t>
            </w:r>
            <w:r w:rsidRPr="00E01818">
              <w:rPr>
                <w:rFonts w:ascii="Times New Roman" w:hAnsi="Times New Roman" w:cs="Times New Roman"/>
                <w:color w:val="000000" w:themeColor="text1"/>
              </w:rPr>
              <w:t>ārējās platformas konta turētājiem, kuri emisijas reģistru izmanto pirkšanas / pārdošanas darījumu veikšanai.</w:t>
            </w:r>
          </w:p>
          <w:p w:rsidR="000E05CA" w:rsidRPr="00E01818" w:rsidRDefault="00C82F50" w:rsidP="00E01818">
            <w:pPr>
              <w:spacing w:after="40"/>
              <w:rPr>
                <w:rFonts w:ascii="Times New Roman" w:hAnsi="Times New Roman" w:cs="Times New Roman"/>
                <w:color w:val="000000"/>
              </w:rPr>
            </w:pPr>
            <w:r w:rsidRPr="00E01818">
              <w:rPr>
                <w:rFonts w:ascii="Times New Roman" w:hAnsi="Times New Roman" w:cs="Times New Roman"/>
                <w:color w:val="000000" w:themeColor="text1"/>
              </w:rPr>
              <w:t xml:space="preserve">Ir noteikta maksa par konta pilnvarotā pārstāvja apstiprināšanu visiem brīvprātīgajiem dalībniekiem, kā arī operatoram vai gaisa kuģu operatoram, ja kā operatora vai gaisa kuģu operatora konta pilnvarotais pārstāvis tiek norādīts tāds pārstāvis, kurš </w:t>
            </w:r>
            <w:r w:rsidRPr="00E01818">
              <w:rPr>
                <w:rFonts w:ascii="Times New Roman" w:hAnsi="Times New Roman" w:cs="Times New Roman"/>
                <w:color w:val="000000" w:themeColor="text1"/>
                <w:u w:val="single"/>
              </w:rPr>
              <w:t>nav</w:t>
            </w:r>
            <w:r w:rsidRPr="00E01818">
              <w:rPr>
                <w:rFonts w:ascii="Times New Roman" w:hAnsi="Times New Roman" w:cs="Times New Roman"/>
                <w:color w:val="000000" w:themeColor="text1"/>
              </w:rPr>
              <w:t xml:space="preserve"> </w:t>
            </w:r>
            <w:r w:rsidRPr="00E01818">
              <w:rPr>
                <w:rFonts w:ascii="Times New Roman" w:hAnsi="Times New Roman" w:cs="Times New Roman"/>
                <w:color w:val="000000"/>
              </w:rPr>
              <w:t>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ir reģistrēts Iedzīvotāju reģistrā.</w:t>
            </w:r>
          </w:p>
          <w:p w:rsidR="000E05CA" w:rsidRPr="00E01818" w:rsidRDefault="00C82F50" w:rsidP="00E01818">
            <w:pPr>
              <w:spacing w:after="40"/>
              <w:rPr>
                <w:rFonts w:ascii="Times New Roman" w:hAnsi="Times New Roman" w:cs="Times New Roman"/>
                <w:color w:val="000000" w:themeColor="text1"/>
              </w:rPr>
            </w:pPr>
            <w:r w:rsidRPr="00E01818">
              <w:rPr>
                <w:rFonts w:ascii="Times New Roman" w:hAnsi="Times New Roman" w:cs="Times New Roman"/>
                <w:color w:val="000000"/>
              </w:rPr>
              <w:t>Šī maksa tiek noteikta, jo valsts administratoram ir jāveic būtiskas iesniegto dokumentu pārbaudes un atbilstības novērtēšanas, kam ir nepieciešams arī pieprasīt izziņas no Latvijas reģistriem</w:t>
            </w:r>
            <w:r w:rsidR="00B563C3" w:rsidRPr="00E01818">
              <w:rPr>
                <w:rFonts w:ascii="Times New Roman" w:hAnsi="Times New Roman" w:cs="Times New Roman"/>
                <w:color w:val="000000"/>
              </w:rPr>
              <w:t xml:space="preserve"> vai datubāzēm</w:t>
            </w:r>
            <w:r w:rsidRPr="00E01818">
              <w:rPr>
                <w:rFonts w:ascii="Times New Roman" w:hAnsi="Times New Roman" w:cs="Times New Roman"/>
                <w:color w:val="000000"/>
              </w:rPr>
              <w:t xml:space="preserve"> – Iedzīvotāju reģistra, Iekšlietu ministrijas Informācijas centra. Savukārt, ja konta pilnvarotā persona </w:t>
            </w:r>
            <w:r w:rsidRPr="00E01818">
              <w:rPr>
                <w:rFonts w:ascii="Times New Roman" w:hAnsi="Times New Roman" w:cs="Times New Roman"/>
                <w:color w:val="000000"/>
                <w:u w:val="single"/>
              </w:rPr>
              <w:t>nav</w:t>
            </w:r>
            <w:r w:rsidRPr="00E01818">
              <w:rPr>
                <w:rFonts w:ascii="Times New Roman" w:hAnsi="Times New Roman" w:cs="Times New Roman"/>
                <w:color w:val="000000"/>
              </w:rPr>
              <w:t xml:space="preserve"> reģistrēta Iedzīvotāju reģistrā, tad šīs personas dokumentu pārbaudes, atbilstības un labticības izvērtēšanas procedūras ir sarežģītākas un ilgstošākas.</w:t>
            </w:r>
          </w:p>
          <w:p w:rsidR="00E71286" w:rsidRPr="00E01818" w:rsidRDefault="00E71286" w:rsidP="00E01818">
            <w:pPr>
              <w:spacing w:after="40"/>
              <w:rPr>
                <w:rFonts w:ascii="Times New Roman" w:hAnsi="Times New Roman" w:cs="Times New Roman"/>
                <w:color w:val="000000" w:themeColor="text1"/>
                <w:u w:val="single"/>
              </w:rPr>
            </w:pPr>
            <w:r w:rsidRPr="00E01818">
              <w:rPr>
                <w:rFonts w:ascii="Times New Roman" w:hAnsi="Times New Roman" w:cs="Times New Roman"/>
                <w:color w:val="000000" w:themeColor="text1"/>
                <w:u w:val="single"/>
              </w:rPr>
              <w:t>Noteikumu projekta tiesiskā regulējuma diferenciācija:</w:t>
            </w:r>
          </w:p>
          <w:p w:rsidR="00643958" w:rsidRPr="00E01818" w:rsidRDefault="001872D0"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xml:space="preserve">Saskaņā ar Komisijas regulu Nr.389/2013 un Latvijas tiesību aktiem emisijas reģistrā konta atvēršanas un konta pilnvaroto personu apstiprināšanas iesniegumu var atvērt ikviens interesents, neskatoties uz to, kuras valsts pilsonis ir fiziskā persona vai kurā valstī juridiskā </w:t>
            </w:r>
            <w:r w:rsidRPr="00E01818">
              <w:rPr>
                <w:rFonts w:ascii="Times New Roman" w:hAnsi="Times New Roman" w:cs="Times New Roman"/>
                <w:color w:val="000000" w:themeColor="text1"/>
              </w:rPr>
              <w:lastRenderedPageBreak/>
              <w:t xml:space="preserve">persona ir reģistrēta. </w:t>
            </w:r>
          </w:p>
          <w:p w:rsidR="000E05CA" w:rsidRPr="00E01818" w:rsidRDefault="00643958"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S</w:t>
            </w:r>
            <w:r w:rsidR="001872D0" w:rsidRPr="00E01818">
              <w:rPr>
                <w:rFonts w:ascii="Times New Roman" w:hAnsi="Times New Roman" w:cs="Times New Roman"/>
                <w:color w:val="000000" w:themeColor="text1"/>
              </w:rPr>
              <w:t>askaņā ar Komisijas regulas Nr.389/2013</w:t>
            </w:r>
            <w:r w:rsidRPr="00E01818">
              <w:rPr>
                <w:rFonts w:ascii="Times New Roman" w:hAnsi="Times New Roman" w:cs="Times New Roman"/>
                <w:color w:val="000000" w:themeColor="text1"/>
              </w:rPr>
              <w:t xml:space="preserve"> 22.panta 1.punktu valsts administrators pārbauda, vai konta atvēršanai iesniegtā informācija un dokumenti ir pilnīgi aktuāli, precīzi un patiesie, bet saskaņā ar 24.panta 4.punktu, valsts administrators pārbauda vai pilnvarotā pārstāvja vai papildu pilnvarotā pārstāvja iecelšanai iesniegtā informācija un dokumenti ir pilnīgi, aktuāli, precīzi un patiesi.</w:t>
            </w:r>
          </w:p>
          <w:p w:rsidR="00DB1104" w:rsidRPr="00E01818" w:rsidRDefault="004726B9" w:rsidP="00E01818">
            <w:pPr>
              <w:spacing w:after="40"/>
              <w:rPr>
                <w:rFonts w:ascii="Times New Roman" w:hAnsi="Times New Roman" w:cs="Times New Roman"/>
                <w:i/>
                <w:color w:val="000000" w:themeColor="text1"/>
                <w:u w:val="single"/>
              </w:rPr>
            </w:pPr>
            <w:r w:rsidRPr="00E01818">
              <w:rPr>
                <w:rFonts w:ascii="Times New Roman" w:hAnsi="Times New Roman" w:cs="Times New Roman"/>
                <w:i/>
                <w:color w:val="000000" w:themeColor="text1"/>
                <w:u w:val="single"/>
              </w:rPr>
              <w:t>Valsts konta operatora konta, gaisa kuģu operatora konta un verificētāja konta atvēršana</w:t>
            </w:r>
          </w:p>
          <w:p w:rsidR="00643958" w:rsidRPr="00E01818" w:rsidRDefault="00643958"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Emisijas reģistra pakalpojuma maksa netiek noteikta par valsts konta atvēršanu, operatora un gaisa kuģu operatora konta atvēršanu vai Latvijā akreditēta verificētāja konta atvēršanu, jo šo konta turētāju informācijas patiesumu un precizitāti nodrošina operatoram izsniegtā siltumnīcefekta gāzu emisijas atļauja, gaisa kuģu operatora apstiprinātais monitoringa plāns, verificētājam izsniegtā akreditācijas apliecība Vides aizsardzības un reģionālās attīstības ministrijas iesniegtais valsts konta atvēršanas rīkojums. Šīs informācijas pārbaudes patiesumam ir nepieciešams salīdzinoši neliels laika periods. Operatori, Latvijas administrācijā esošie gaisa kuģu operatori un Latvijā akreditēti verificētāji ir Emisijas kvotu tirdzniecības sistēmas obligātie dalībnieki, kuriem nav izvēles brīvības piedalīties vai nepiedalīties Emisijas kvotu tirdzniecības sistēmā.</w:t>
            </w:r>
          </w:p>
          <w:p w:rsidR="00DB1104" w:rsidRPr="00E01818" w:rsidRDefault="00AC73FF" w:rsidP="00E01818">
            <w:pPr>
              <w:spacing w:after="40"/>
              <w:rPr>
                <w:rFonts w:ascii="Times New Roman" w:hAnsi="Times New Roman" w:cs="Times New Roman"/>
                <w:i/>
                <w:color w:val="000000" w:themeColor="text1"/>
                <w:u w:val="single"/>
              </w:rPr>
            </w:pPr>
            <w:r w:rsidRPr="00E01818">
              <w:rPr>
                <w:rFonts w:ascii="Times New Roman" w:hAnsi="Times New Roman" w:cs="Times New Roman"/>
                <w:i/>
                <w:color w:val="000000" w:themeColor="text1"/>
              </w:rPr>
              <w:t>Izsoles piegādes konta, personas konta un ārējās tirdzniecības platformas konta atvēršan</w:t>
            </w:r>
            <w:r w:rsidR="00424F34" w:rsidRPr="00E01818">
              <w:rPr>
                <w:rFonts w:ascii="Times New Roman" w:hAnsi="Times New Roman" w:cs="Times New Roman"/>
                <w:i/>
                <w:color w:val="000000" w:themeColor="text1"/>
                <w:u w:val="single"/>
              </w:rPr>
              <w:t>a</w:t>
            </w:r>
          </w:p>
          <w:p w:rsidR="00643958" w:rsidRPr="00E01818" w:rsidRDefault="00643958"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xml:space="preserve">Konta atvēršanas pakalpojuma maksa tiek noteikta attiecībā uz izsoles piegādes konta, personas konta </w:t>
            </w:r>
            <w:r w:rsidR="00DB1104" w:rsidRPr="00E01818">
              <w:rPr>
                <w:rFonts w:ascii="Times New Roman" w:hAnsi="Times New Roman" w:cs="Times New Roman"/>
                <w:color w:val="000000" w:themeColor="text1"/>
              </w:rPr>
              <w:t xml:space="preserve">un </w:t>
            </w:r>
            <w:r w:rsidR="00FA2BD1" w:rsidRPr="00E01818">
              <w:rPr>
                <w:rFonts w:ascii="Times New Roman" w:hAnsi="Times New Roman" w:cs="Times New Roman"/>
                <w:color w:val="000000" w:themeColor="text1"/>
              </w:rPr>
              <w:t>ārējās tirdzniecības platformas konta atvēršanu. Regulas Nr.389/2013 IV pielikumā ir noteikts saraksts ar informāciju un dokumentiem, kurus konta turētājs iesniedz valsts administratoram konta atvēršanai un kurus valsts administratoram ir jāpārbauda – vai informācija un dokumenti ir pilnīgi, aktuāli, precīzi un patiesi:</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pierādījums, ka personai, kas pieprasa atvērt kontu, Eiropas Ekonomikas zonas dalībvalstī ir atvērts bankas konts.</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pierādījumi, kas apliecina tās fiziskās personas identitāti, kas pieprasa atvērt kontu, kuri var būt arī kopija no kāda no tālāk minētajiem dokumentiem:</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a) personas apliecība, ko izdevusi Eiropas Ekonomikas zonas vai Ekonomiskās sadarbības un attīstības organizācijas dalībvalsts;</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b) pase.</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pierādījumi, kas apliecina fiziskās personas, kura ir konta turētāja, pastāvīgo dzīvesvietu, kuri var būt arī kopija no kāda no turpmāk minētajiem dokumentiem:</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a) saskaņā ar 3. punktu iesniegts identitātes dokuments, ja tajā ir norādīta pastāvīgās dzīvesvietas adrese;</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b) jebkurš cits valdības izsniegts personas dokuments, kurā ir norādīta pastāvīgās dzīvesvietas adrese;</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c) ja valsts, kurā persona pastāvīgi dzīvo, neizsniedz personas dokumentus, kuros ir norādīta pastāvīgās dzīvesvietas adrese, — vietējo iestāžu apliecinājums, kas apstiprina izvirzītās personas pastāvīgo dzīvesvietu;</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d) jebkurš cits dokuments, kas konta administratora dalībvalstī plaši pieņemts kā izvirzītās personas pastāvīgās dzīvesvietas apliecinājums.</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lastRenderedPageBreak/>
              <w:t>- ja kontu pieprasa atvērt juridiska persona, — šādi turpmāk minētie dokumenti:</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a) juridiskās personas dibināšanas dokumentu kopija vai tāda dokumenta kopija, kas apliecina juridiskās personas reģistrāciju;</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b) bankas konta rekvizīti;</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c) dokuments, kas apliecina, ka persona ir reģistrēta PVN maksātāja;</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d) informācija par juridiskās personas faktisko īpašnieku, kā definēts Direktīvā 2005/60/EK, tostarp par personas īpašumtiesību veidu vai kontroli;</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e) direktoru saraksts;</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f) gada pārskata vai jaunākā revidētā finanšu pārskata kopija vai, ja revidēti finanšu pārskati nav pieejami, finanšu pārskata kopija ar ieņēmumu dienesta vai finanšu direktora zīmogu.</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pierādījumi, kas apstiprina juridiskās personas, kura ir konta turētāja, reģistrācijas adresi, ja tā nav skaidra no saskaņā ar 5. punktu iesniegtā dokumenta.</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informācija par fiziskās personas, kura pieprasījusi konta atvēršanu, vai, ja pieprasītājs ir juridiska persona, tās direktoru, sodāmību.</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Jebkura dokumenta kopijas, kas iesniegtas kā pierādījums saskaņā ar šo pielikumu, autentiskums jāapliecina notāram vai citai valsts administratora norādītai līdzīgai personai. Tādu dokumentu kopijām, kas izdotas ārpus dalībvalsts, kura pieprasījusi kopiju, jābūt legalizētām. Apliecinājuma vai legalizācijas datumam jābūt ne vairāk kā trīs mēnešus pirms pieteikuma datuma.</w:t>
            </w:r>
          </w:p>
          <w:p w:rsidR="00FA2BD1" w:rsidRPr="00E01818" w:rsidRDefault="00FA2BD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Ņemot vērā informācijas un dokumentu apjomu, kuru valsts administratoram ir jāpārbauda pirms konta atvēršanas, kā arī ņemot vērā to, ka šīs informācijas un dokumentu pārbaude ir daudz sarežģītāka, laikietilpīgāka un prasa lielāku</w:t>
            </w:r>
            <w:r w:rsidR="00855B55">
              <w:rPr>
                <w:rFonts w:ascii="Times New Roman" w:hAnsi="Times New Roman" w:cs="Times New Roman"/>
                <w:color w:val="000000" w:themeColor="text1"/>
              </w:rPr>
              <w:t>s</w:t>
            </w:r>
            <w:r w:rsidRPr="00E01818">
              <w:rPr>
                <w:rFonts w:ascii="Times New Roman" w:hAnsi="Times New Roman" w:cs="Times New Roman"/>
                <w:color w:val="000000" w:themeColor="text1"/>
              </w:rPr>
              <w:t xml:space="preserve"> administratīvos un finansiālos resursus, ja konta turētājs nav Komercreģistrā reģistrēta juridiska persona vai Iedzīvotāju reģistrā reģistrēta fiziska persona, ir noteikts, ka izsoles piegādes konta, personas konta un ārējās tirdzniecības platformas konta atvēršanai tiek piemērota maksa</w:t>
            </w:r>
            <w:r w:rsidR="00424F34" w:rsidRPr="00E01818">
              <w:rPr>
                <w:rFonts w:ascii="Times New Roman" w:hAnsi="Times New Roman" w:cs="Times New Roman"/>
                <w:color w:val="000000" w:themeColor="text1"/>
              </w:rPr>
              <w:t xml:space="preserve"> un šī maksa atšķiras Latvijā reģistrētām juridiskām vai fiziskām personām un fiziskām vai juridiskām personām, kuras nav reģistrētas Latvijā.</w:t>
            </w:r>
          </w:p>
          <w:p w:rsidR="00DB1104" w:rsidRPr="00E01818" w:rsidRDefault="00C82F50" w:rsidP="00E01818">
            <w:pPr>
              <w:spacing w:after="40"/>
              <w:rPr>
                <w:rFonts w:ascii="Times New Roman" w:hAnsi="Times New Roman" w:cs="Times New Roman"/>
                <w:i/>
                <w:color w:val="000000" w:themeColor="text1"/>
                <w:u w:val="single"/>
              </w:rPr>
            </w:pPr>
            <w:r w:rsidRPr="00E01818">
              <w:rPr>
                <w:rFonts w:ascii="Times New Roman" w:hAnsi="Times New Roman" w:cs="Times New Roman"/>
                <w:i/>
                <w:color w:val="000000" w:themeColor="text1"/>
                <w:u w:val="single"/>
              </w:rPr>
              <w:t>Konta pilnvaroto pārstāvju apstiprināšana</w:t>
            </w:r>
          </w:p>
          <w:p w:rsidR="00E31C26" w:rsidRPr="00E01818" w:rsidRDefault="00DB1104"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xml:space="preserve">Maksa netiek noteikta operatora un gaisa kuģu operatora konta pilnvarotā pārstāvja </w:t>
            </w:r>
            <w:r w:rsidR="00C82F50" w:rsidRPr="00E01818">
              <w:rPr>
                <w:rFonts w:ascii="Times New Roman" w:hAnsi="Times New Roman" w:cs="Times New Roman"/>
                <w:color w:val="000000" w:themeColor="text1"/>
              </w:rPr>
              <w:t xml:space="preserve">apstiprināšanai, ja </w:t>
            </w:r>
            <w:r w:rsidR="00C82F50" w:rsidRPr="00E01818">
              <w:rPr>
                <w:rFonts w:ascii="Times New Roman" w:hAnsi="Times New Roman" w:cs="Times New Roman"/>
                <w:color w:val="000000"/>
              </w:rPr>
              <w:t>konta pilnvarotais pārstāvis ir Latvijas pilsonis, nepilsonis vai persona, kas Latvijā saņēmusi uzturēšanās atļauju, pastāvīgās uzturēšanās apliecību vai normatīvajos aktos par kārtību, kādā Savienības pilsoņi un viņu ģimenes locekļi ieceļo un uzturas Latvijas Republikā, noteikto Savienības pilsoņa reģistrācijas apliecību un attiecīgi ir reģistrēts Iedzīvotāju reģistrā</w:t>
            </w:r>
            <w:r w:rsidRPr="00E01818">
              <w:rPr>
                <w:rFonts w:ascii="Times New Roman" w:hAnsi="Times New Roman" w:cs="Times New Roman"/>
                <w:color w:val="000000"/>
              </w:rPr>
              <w:t xml:space="preserve">. Operatora un gaisa kuģa operatora konta turētājs apliecina konta pilnvarotā pārstāvja informācijas un dokumentu </w:t>
            </w:r>
            <w:r w:rsidRPr="00E01818">
              <w:rPr>
                <w:rFonts w:ascii="Times New Roman" w:hAnsi="Times New Roman" w:cs="Times New Roman"/>
                <w:color w:val="000000" w:themeColor="text1"/>
              </w:rPr>
              <w:t>pilnīgumu, precizitāti un patiesumu. Savukārt šīs informācijas pārbaudei ir nepieciešams salīdzinoši neliels laika periods, piemēram, tikai, lai sazinātos ar operatoru vai gaisa kuģa operatoru.</w:t>
            </w:r>
          </w:p>
          <w:p w:rsidR="00DB1104" w:rsidRPr="00E01818" w:rsidRDefault="00DB1104" w:rsidP="00E01818">
            <w:pPr>
              <w:spacing w:after="40"/>
              <w:rPr>
                <w:rFonts w:ascii="Times New Roman" w:hAnsi="Times New Roman" w:cs="Times New Roman"/>
                <w:color w:val="000000"/>
              </w:rPr>
            </w:pPr>
            <w:r w:rsidRPr="00E01818">
              <w:rPr>
                <w:rFonts w:ascii="Times New Roman" w:hAnsi="Times New Roman" w:cs="Times New Roman"/>
                <w:color w:val="000000" w:themeColor="text1"/>
              </w:rPr>
              <w:t xml:space="preserve">Ir noteikta maksa par konta pilnvarotā pārstāvja apstiprināšanu operatoram vai gaisa kuģu operatoram, ja šis pilnvarotais pārstāvis </w:t>
            </w:r>
            <w:r w:rsidRPr="00E01818">
              <w:rPr>
                <w:rFonts w:ascii="Times New Roman" w:hAnsi="Times New Roman" w:cs="Times New Roman"/>
                <w:color w:val="000000" w:themeColor="text1"/>
                <w:u w:val="single"/>
              </w:rPr>
              <w:t>nav</w:t>
            </w:r>
            <w:r w:rsidRPr="00E01818">
              <w:rPr>
                <w:rFonts w:ascii="Times New Roman" w:hAnsi="Times New Roman" w:cs="Times New Roman"/>
                <w:color w:val="000000" w:themeColor="text1"/>
              </w:rPr>
              <w:t xml:space="preserve"> </w:t>
            </w:r>
            <w:r w:rsidRPr="00E01818">
              <w:rPr>
                <w:rFonts w:ascii="Times New Roman" w:hAnsi="Times New Roman" w:cs="Times New Roman"/>
                <w:color w:val="000000"/>
              </w:rPr>
              <w:t xml:space="preserve">Latvijas pilsonis, nepilsonis vai persona, kas Latvijā saņēmusi uzturēšanās atļauju, pastāvīgās uzturēšanās apliecību vai normatīvajos aktos par kārtību, kādā Savienības pilsoņi un viņu ģimenes locekļi </w:t>
            </w:r>
            <w:r w:rsidRPr="00E01818">
              <w:rPr>
                <w:rFonts w:ascii="Times New Roman" w:hAnsi="Times New Roman" w:cs="Times New Roman"/>
                <w:color w:val="000000"/>
              </w:rPr>
              <w:lastRenderedPageBreak/>
              <w:t>ieceļo un uzturas Latvijas Republikā, noteikto Savienības pilsoņa reģistrācijas apliecību un attiecīgi ir reģistrēts Iedzīvotāju reģistrā. Maksa ir noteikta konta pilnvarotā pārstāvja apstiprināšanai visiem Emisijas kvotu tirdzniecības sistēmas brīvprātīgajiem dalībniekiem.</w:t>
            </w:r>
          </w:p>
          <w:p w:rsidR="00DB1104" w:rsidRPr="00E01818" w:rsidRDefault="00DB1104" w:rsidP="00E01818">
            <w:pPr>
              <w:spacing w:after="40"/>
              <w:rPr>
                <w:rFonts w:ascii="Times New Roman" w:hAnsi="Times New Roman" w:cs="Times New Roman"/>
                <w:color w:val="000000"/>
              </w:rPr>
            </w:pPr>
            <w:r w:rsidRPr="00E01818">
              <w:rPr>
                <w:rFonts w:ascii="Times New Roman" w:hAnsi="Times New Roman" w:cs="Times New Roman"/>
                <w:color w:val="000000"/>
              </w:rPr>
              <w:t>Komisijas regulas Nr.389/2013</w:t>
            </w:r>
            <w:r w:rsidR="00F1498A" w:rsidRPr="00E01818">
              <w:rPr>
                <w:rFonts w:ascii="Times New Roman" w:hAnsi="Times New Roman" w:cs="Times New Roman"/>
                <w:color w:val="000000"/>
              </w:rPr>
              <w:t xml:space="preserve"> VIII pielikumā ir noteikts informācijas un dokumentu saraksts, kuru ir jāsniedz valsts administratoram attiecībā uz konta pilnvarotajiem pārstāvjiem:</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konta turētāja parakstīts apliecinājums, kurā norādīts, ka konta turētājs vēlas iecelt konkrētu personu kā pilnvaroto pārstāvi vai papildu pilnvaroto pārstāvi, un apstiprināts, ka pilnvarotajam pārstāvim ir tiesības iniciēt darījumus konta turētāja vārdā vai ka papildu pilnvarotajam pārstāvim ir tiesības apstiprināt darījumus konta turētāja vārdā, un norādīti šo tiesību ierobežojumi.</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pierādījumi, kas apliecina izvirzītās personas identitāti, kuri var būt arī kopija no kāda no turpmāk minētajiem dokumentiem:</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a) personas apliecība, ko izdevusi Eiropas Ekonomikas zonas vai Ekonomiskās sadarbības un attīstības organizācijas dalībvalsts;</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b) pase.</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pierādījumi, kas apliecina izvirzītās personas pastāvīgo dzīvesvietu, kuri var būt arī kopija no kāda no turpmāk minētajiem dokumentiem:</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a) saskaņā ar 3. punktu iesniegts identitātes dokuments, ja tajā ir norādīta pastāvīgās dzīvesvietas adrese;</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b) jebkurš cits valdības izsniegts personas dokuments, kurā ir norādīta pastāvīgās dzīvesvietas adrese;</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c) ja valsts, kurā persona pastāvīgi dzīvo, neizsniedz personas dokumentus, kuros ir norādīta pastāvīgās dzīvesvietas adrese — vietējo iestāžu apliecinājums, kas apstiprina izvirzītās personas pastāvīgo dzīvesvietu;</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d) jebkurš cits dokuments, kas konta administratora dalībvalstī plaši pieņemts kā izvirzītās personas pastāvīgās dzīvesvietas apliecinājums.</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dokumenti par ieceltās personas sodāmību.</w:t>
            </w:r>
          </w:p>
          <w:p w:rsidR="00F1498A"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jebkura dokumenta kopijas, kas iesniegtas kā pierādījums saskaņā ar šo pielikumu, autentiskums jāapliecina notāram vai citai valsts administratora norādītai līdzīgai personai. Tādu dokumentu kopijām, kas izdotas ārpus dalībvalsts, kura pieprasījusi kopiju, jābūt legalizētām. Apliecinājuma vai legalizācijas datumam jābūt ne vairāk kā trīs mēnešus pirms pieteikuma datuma.</w:t>
            </w:r>
          </w:p>
          <w:p w:rsidR="00E31C26" w:rsidRPr="00E01818" w:rsidRDefault="00F1498A"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Ņemot vērā informācijas un dokumentu apjomu, kuru valsts administratoram ir jāpārbauda pirms konta pilnvarotā pārstāvja apstiprināšanas, kā arī ņemot vērā to, ka šīs informācijas un dokumentu pārbaude ir daudz sarežģītāka, laikietilpīgāka un prasa lielāku</w:t>
            </w:r>
            <w:r w:rsidR="00855B55">
              <w:rPr>
                <w:rFonts w:ascii="Times New Roman" w:hAnsi="Times New Roman" w:cs="Times New Roman"/>
                <w:color w:val="000000" w:themeColor="text1"/>
              </w:rPr>
              <w:t>s</w:t>
            </w:r>
            <w:r w:rsidRPr="00E01818">
              <w:rPr>
                <w:rFonts w:ascii="Times New Roman" w:hAnsi="Times New Roman" w:cs="Times New Roman"/>
                <w:color w:val="000000" w:themeColor="text1"/>
              </w:rPr>
              <w:t xml:space="preserve"> administratīvos un finansiālos resursus, ja konta pilnvarotais pārstāvis nav Iedzīvotāju reģistrā reģistrēta fiziska persona, ir noteikts, ka konta pilnvarotā pārstāvja apstiprināšanai tiek piemērota maksas un šī maksa atšķiras Latvijā reģistrētām fiziskām personām un fiziskām personām, kuras nav reģistrētas Latvijā. Lai pārbaudītu Latvijā reģistrētas fiziskās personas, </w:t>
            </w:r>
            <w:r w:rsidR="002044F6" w:rsidRPr="00E01818">
              <w:rPr>
                <w:rFonts w:ascii="Times New Roman" w:hAnsi="Times New Roman" w:cs="Times New Roman"/>
                <w:color w:val="000000" w:themeColor="text1"/>
              </w:rPr>
              <w:t>ir nepieciešams iegūt datus no Iedzīvotāju reģistra, Iekšlietu ministrijas Informācijas centra</w:t>
            </w:r>
            <w:r w:rsidR="00506393" w:rsidRPr="00E01818">
              <w:rPr>
                <w:rFonts w:ascii="Times New Roman" w:hAnsi="Times New Roman" w:cs="Times New Roman"/>
                <w:color w:val="000000" w:themeColor="text1"/>
              </w:rPr>
              <w:t>, Finanšu un kapitāla tirgus komisijas</w:t>
            </w:r>
            <w:r w:rsidR="002044F6" w:rsidRPr="00E01818">
              <w:rPr>
                <w:rFonts w:ascii="Times New Roman" w:hAnsi="Times New Roman" w:cs="Times New Roman"/>
                <w:color w:val="000000" w:themeColor="text1"/>
              </w:rPr>
              <w:t xml:space="preserve">, </w:t>
            </w:r>
            <w:r w:rsidR="00855B55" w:rsidRPr="00E01818">
              <w:rPr>
                <w:rFonts w:ascii="Times New Roman" w:hAnsi="Times New Roman" w:cs="Times New Roman"/>
                <w:color w:val="000000" w:themeColor="text1"/>
              </w:rPr>
              <w:t>savukārt</w:t>
            </w:r>
            <w:r w:rsidR="002044F6" w:rsidRPr="00E01818">
              <w:rPr>
                <w:rFonts w:ascii="Times New Roman" w:hAnsi="Times New Roman" w:cs="Times New Roman"/>
                <w:color w:val="000000" w:themeColor="text1"/>
              </w:rPr>
              <w:t xml:space="preserve"> lai pārbaudītu tādas fiziskās personas, kuras nav reģistrētas Latvijā, ir nepieciešams sazināties, piemēram, ar attiecīgās valsts vēstniecību vai pārstāvniecību, attiecīgās valsts tiesībaizsardzības iestādēm, vai</w:t>
            </w:r>
            <w:r w:rsidR="00506393" w:rsidRPr="00E01818">
              <w:rPr>
                <w:rFonts w:ascii="Times New Roman" w:hAnsi="Times New Roman" w:cs="Times New Roman"/>
                <w:color w:val="000000" w:themeColor="text1"/>
              </w:rPr>
              <w:t>, ja iespējams, Europol</w:t>
            </w:r>
            <w:r w:rsidR="002044F6" w:rsidRPr="00E01818">
              <w:rPr>
                <w:rFonts w:ascii="Times New Roman" w:hAnsi="Times New Roman" w:cs="Times New Roman"/>
                <w:color w:val="000000" w:themeColor="text1"/>
              </w:rPr>
              <w:t xml:space="preserve">, iegūt </w:t>
            </w:r>
            <w:r w:rsidR="002044F6" w:rsidRPr="00E01818">
              <w:rPr>
                <w:rFonts w:ascii="Times New Roman" w:hAnsi="Times New Roman" w:cs="Times New Roman"/>
                <w:color w:val="000000" w:themeColor="text1"/>
              </w:rPr>
              <w:lastRenderedPageBreak/>
              <w:t>informāciju no pārējo ES dalībvalstu emisiju reģistra valsts administratoriem</w:t>
            </w:r>
            <w:r w:rsidR="00506393" w:rsidRPr="00E01818">
              <w:rPr>
                <w:rFonts w:ascii="Times New Roman" w:hAnsi="Times New Roman" w:cs="Times New Roman"/>
                <w:color w:val="000000" w:themeColor="text1"/>
              </w:rPr>
              <w:t>.</w:t>
            </w:r>
          </w:p>
          <w:p w:rsidR="004726B9" w:rsidRPr="00E01818" w:rsidRDefault="00AC73FF" w:rsidP="00E01818">
            <w:pPr>
              <w:spacing w:after="40"/>
              <w:jc w:val="left"/>
              <w:rPr>
                <w:rFonts w:ascii="Times New Roman" w:hAnsi="Times New Roman" w:cs="Times New Roman"/>
                <w:i/>
                <w:color w:val="000000" w:themeColor="text1"/>
                <w:u w:val="single"/>
              </w:rPr>
            </w:pPr>
            <w:r w:rsidRPr="00E01818">
              <w:rPr>
                <w:rFonts w:ascii="Times New Roman" w:hAnsi="Times New Roman" w:cs="Times New Roman"/>
                <w:i/>
                <w:color w:val="000000" w:themeColor="text1"/>
                <w:u w:val="single"/>
              </w:rPr>
              <w:t>Operatora vai gaisa kuģa operatora konta apkalpošana</w:t>
            </w:r>
          </w:p>
          <w:p w:rsidR="004726B9" w:rsidRPr="00E01818" w:rsidRDefault="004726B9"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 xml:space="preserve">Operatoram vai gaisa kuģu operatoram tiek piemērota konta apkalpošanas </w:t>
            </w:r>
            <w:r w:rsidRPr="00E01818">
              <w:rPr>
                <w:rFonts w:ascii="Times New Roman" w:hAnsi="Times New Roman" w:cs="Times New Roman"/>
                <w:color w:val="000000" w:themeColor="text1"/>
                <w:u w:val="single"/>
              </w:rPr>
              <w:t>gada maksa</w:t>
            </w:r>
            <w:r w:rsidRPr="00E01818">
              <w:rPr>
                <w:rFonts w:ascii="Times New Roman" w:hAnsi="Times New Roman" w:cs="Times New Roman"/>
                <w:color w:val="000000" w:themeColor="text1"/>
              </w:rPr>
              <w:t>, ja operators vai gaisa kuģu operators vēlas veikt tādus darījumus, kuri nav Eiropas Savienības emisijas kvotu tirdzniecības sistēmas obligātie darījumi – verificēto emisijas datu ievade un emisijas kvotu nodošana, tas ir, konta apkalpošanas gada maksa tiek piemērota, ja operators vai gaisa kuģu operators vēlas veikt emisijas kvotu, aviācijas emisijas kvotu vai Kioto protokola vienību pirkšanas vai pārdošanas pārskaitījumus, tādējādi gūstos finanšu līdzekļu ieņēmumus,</w:t>
            </w:r>
          </w:p>
          <w:p w:rsidR="00192C85" w:rsidRPr="00E01818" w:rsidRDefault="00AC73FF" w:rsidP="00E01818">
            <w:pPr>
              <w:spacing w:after="40"/>
              <w:jc w:val="left"/>
              <w:rPr>
                <w:rFonts w:ascii="Times New Roman" w:hAnsi="Times New Roman" w:cs="Times New Roman"/>
                <w:color w:val="000000" w:themeColor="text1"/>
              </w:rPr>
            </w:pPr>
            <w:r w:rsidRPr="00E01818">
              <w:rPr>
                <w:rFonts w:ascii="Times New Roman" w:hAnsi="Times New Roman" w:cs="Times New Roman"/>
                <w:color w:val="000000" w:themeColor="text1"/>
              </w:rPr>
              <w:t xml:space="preserve">Konta apkalpošanas maksa ir noteikta kā ikgadējā maksa, jo emisijas reģistra valsts administratoram gadījumā, ja konts tiek izmantots darījumiem, ir nepieciešams veikt būtisku apjomu papildu darbību, tai skaitā konta pārskaitījumu pārbaudi, pārskaitāmo emisijas kvotu, aviācijas emisijas kvotu vai Kioto protokola vienību statusu – vai pārskaitāmās emisijas kvotas vai Kioto protokola vienības ir pārskaitījumam atbilstošas (nav noteikta šo kvotu vai vienību bloķēšana, tās nav iesaistītas noziedzīgā nodarījuma veikšanā), aizdomu gadījumā ir jāsazinās ar pārskaitījuma ierosinātāju, </w:t>
            </w:r>
            <w:r w:rsidR="00855B55" w:rsidRPr="00E01818">
              <w:rPr>
                <w:rFonts w:ascii="Times New Roman" w:hAnsi="Times New Roman" w:cs="Times New Roman"/>
                <w:color w:val="000000" w:themeColor="text1"/>
              </w:rPr>
              <w:t>iespējams,</w:t>
            </w:r>
            <w:r w:rsidRPr="00E01818">
              <w:rPr>
                <w:rFonts w:ascii="Times New Roman" w:hAnsi="Times New Roman" w:cs="Times New Roman"/>
                <w:color w:val="000000" w:themeColor="text1"/>
              </w:rPr>
              <w:t xml:space="preserve"> ir jāveic pārskaitījuma atcelšana vai jāsazinās ar emisijas reģistra centrālo administratoru pārskaitījuma atcelšanai, ir jāsazinās ar citas ES dalībvalsts emisijas reģistra valsts administratoru emisijas kvotu vai Kioto protokola vienību atgūšanai.</w:t>
            </w:r>
          </w:p>
          <w:p w:rsidR="00E31C26" w:rsidRPr="00E01818" w:rsidRDefault="00C82F50" w:rsidP="00E01818">
            <w:pPr>
              <w:spacing w:after="40"/>
              <w:rPr>
                <w:rFonts w:ascii="Times New Roman" w:hAnsi="Times New Roman" w:cs="Times New Roman"/>
                <w:i/>
                <w:color w:val="000000" w:themeColor="text1"/>
                <w:u w:val="single"/>
              </w:rPr>
            </w:pPr>
            <w:r w:rsidRPr="00E01818">
              <w:rPr>
                <w:rFonts w:ascii="Times New Roman" w:hAnsi="Times New Roman" w:cs="Times New Roman"/>
                <w:i/>
                <w:color w:val="000000" w:themeColor="text1"/>
                <w:u w:val="single"/>
              </w:rPr>
              <w:t>Izsoles piegādes konta, personas konta vai ārējās tirdzniecības platformas konta uzturēšana</w:t>
            </w:r>
            <w:r w:rsidR="004726B9" w:rsidRPr="00E01818">
              <w:rPr>
                <w:rFonts w:ascii="Times New Roman" w:hAnsi="Times New Roman" w:cs="Times New Roman"/>
                <w:i/>
                <w:color w:val="000000" w:themeColor="text1"/>
                <w:u w:val="single"/>
              </w:rPr>
              <w:t>s</w:t>
            </w:r>
            <w:r w:rsidRPr="00E01818">
              <w:rPr>
                <w:rFonts w:ascii="Times New Roman" w:hAnsi="Times New Roman" w:cs="Times New Roman"/>
                <w:i/>
                <w:color w:val="000000" w:themeColor="text1"/>
                <w:u w:val="single"/>
              </w:rPr>
              <w:t xml:space="preserve"> un apkalpošana</w:t>
            </w:r>
            <w:r w:rsidR="004726B9" w:rsidRPr="00E01818">
              <w:rPr>
                <w:rFonts w:ascii="Times New Roman" w:hAnsi="Times New Roman" w:cs="Times New Roman"/>
                <w:i/>
                <w:color w:val="000000" w:themeColor="text1"/>
                <w:u w:val="single"/>
              </w:rPr>
              <w:t>s gada maksa</w:t>
            </w:r>
            <w:r w:rsidRPr="00E01818">
              <w:rPr>
                <w:rFonts w:ascii="Times New Roman" w:hAnsi="Times New Roman" w:cs="Times New Roman"/>
                <w:i/>
                <w:color w:val="000000" w:themeColor="text1"/>
                <w:u w:val="single"/>
              </w:rPr>
              <w:t>:</w:t>
            </w:r>
          </w:p>
          <w:p w:rsidR="00506393" w:rsidRPr="00E01818" w:rsidRDefault="008D0FA1"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Gada m</w:t>
            </w:r>
            <w:r w:rsidR="00506393" w:rsidRPr="00E01818">
              <w:rPr>
                <w:rFonts w:ascii="Times New Roman" w:hAnsi="Times New Roman" w:cs="Times New Roman"/>
                <w:color w:val="000000" w:themeColor="text1"/>
              </w:rPr>
              <w:t>aksa konta uzturēšanai un apkalpošanai tiek piemērota, ja emisijas reģistrs tiek izmantots emisijas kvotu, aviācijas emisijas kvotu vai Kioto protokola vienību pārskaitījumiem. Saskaņā ar Komisijas regulu Nr.389/2013 emisijas reģistra valsts administratoram ir nepārtraukti jāuzrauga emisijas reģistrā veiktie pārskaitījumi, jānodrošina pārskaitījumu likumīb</w:t>
            </w:r>
            <w:r w:rsidR="00855B55">
              <w:rPr>
                <w:rFonts w:ascii="Times New Roman" w:hAnsi="Times New Roman" w:cs="Times New Roman"/>
                <w:color w:val="000000" w:themeColor="text1"/>
              </w:rPr>
              <w:t>a</w:t>
            </w:r>
            <w:r w:rsidR="00506393" w:rsidRPr="00E01818">
              <w:rPr>
                <w:rFonts w:ascii="Times New Roman" w:hAnsi="Times New Roman" w:cs="Times New Roman"/>
                <w:color w:val="000000" w:themeColor="text1"/>
              </w:rPr>
              <w:t>, t.i., jāseko, lai netiek pārskaitītas tādas vienības, kuru pārskaitīšana ir aizliegta vai ir jābloķē, valsts administrators arī darboja</w:t>
            </w:r>
            <w:r w:rsidR="00075007" w:rsidRPr="00E01818">
              <w:rPr>
                <w:rFonts w:ascii="Times New Roman" w:hAnsi="Times New Roman" w:cs="Times New Roman"/>
                <w:color w:val="000000" w:themeColor="text1"/>
              </w:rPr>
              <w:t>s</w:t>
            </w:r>
            <w:r w:rsidR="00506393" w:rsidRPr="00E01818">
              <w:rPr>
                <w:rFonts w:ascii="Times New Roman" w:hAnsi="Times New Roman" w:cs="Times New Roman"/>
                <w:color w:val="000000" w:themeColor="text1"/>
              </w:rPr>
              <w:t xml:space="preserve"> kā palīdzības dienests tiem konta turētājiem, kuri veic darījumus emisijas reģistrā</w:t>
            </w:r>
            <w:r w:rsidR="00927C4D" w:rsidRPr="00E01818">
              <w:rPr>
                <w:rFonts w:ascii="Times New Roman" w:hAnsi="Times New Roman" w:cs="Times New Roman"/>
                <w:color w:val="000000" w:themeColor="text1"/>
              </w:rPr>
              <w:t>, valsts administrators risina tehniskās problēmas, sniedz konsultācijas un konta turētāju vārdā sazinās ar centrālo administratoru vai citu dalībvalstu emisijas reģistra valsts administratoriem problēmu gadījumā. Diferencētā maksa Iedzīvotāju reģistrā reģistrētai fiziskai personai Komercreģistrā reģistrētai juridiskai personai un tādai fiziskai vai juridiskai personai, kura nav reģistrēta Iedzīvotāju reģistrā vai Komercreģistrā tiek noteikta, jo valsts administratoram ir jātērē lielāki administratīvie un finansiālie resursi saziņai, problēmu risināšanai vai paskaidrojumu prasīšanai attiecībā uz citā valstī reģistrētām fiziskām personām vai juridiskām personām.</w:t>
            </w:r>
          </w:p>
          <w:p w:rsidR="00506393" w:rsidRPr="00E01818" w:rsidRDefault="00506393" w:rsidP="00E01818">
            <w:pPr>
              <w:spacing w:after="40"/>
              <w:rPr>
                <w:rFonts w:ascii="Times New Roman" w:hAnsi="Times New Roman" w:cs="Times New Roman"/>
                <w:color w:val="000000" w:themeColor="text1"/>
              </w:rPr>
            </w:pPr>
          </w:p>
          <w:p w:rsidR="0008176E" w:rsidRPr="00E01818" w:rsidRDefault="00C82F50" w:rsidP="00E01818">
            <w:pPr>
              <w:spacing w:after="40"/>
              <w:rPr>
                <w:rFonts w:ascii="Times New Roman" w:hAnsi="Times New Roman" w:cs="Times New Roman"/>
                <w:color w:val="000000" w:themeColor="text1"/>
              </w:rPr>
            </w:pPr>
            <w:r w:rsidRPr="00E01818">
              <w:rPr>
                <w:rFonts w:ascii="Times New Roman" w:hAnsi="Times New Roman" w:cs="Times New Roman"/>
                <w:color w:val="000000" w:themeColor="text1"/>
              </w:rPr>
              <w:t>Detalizēts izmaksu sadalījums norādīts anotācijas pielikumā.</w:t>
            </w:r>
          </w:p>
          <w:p w:rsidR="008D0FA1" w:rsidRPr="00E01818" w:rsidRDefault="008D0FA1" w:rsidP="00E01818">
            <w:pPr>
              <w:spacing w:after="40"/>
              <w:rPr>
                <w:rFonts w:ascii="Times New Roman" w:hAnsi="Times New Roman" w:cs="Times New Roman"/>
                <w:color w:val="000000" w:themeColor="text1"/>
              </w:rPr>
            </w:pPr>
          </w:p>
          <w:p w:rsidR="00A43A1F" w:rsidRPr="00E01818" w:rsidRDefault="008D0FA1" w:rsidP="00E01818">
            <w:pPr>
              <w:spacing w:after="40"/>
              <w:rPr>
                <w:rFonts w:ascii="Times New Roman" w:eastAsia="Times New Roman" w:hAnsi="Times New Roman" w:cs="Times New Roman"/>
                <w:color w:val="000000" w:themeColor="text1"/>
                <w:sz w:val="24"/>
                <w:szCs w:val="24"/>
                <w:lang w:eastAsia="lv-LV"/>
              </w:rPr>
            </w:pPr>
            <w:r w:rsidRPr="00E01818">
              <w:rPr>
                <w:rFonts w:ascii="Times New Roman" w:hAnsi="Times New Roman" w:cs="Times New Roman"/>
                <w:color w:val="000000" w:themeColor="text1"/>
              </w:rPr>
              <w:t xml:space="preserve">Noteikumu projektam nav ietekme uz </w:t>
            </w:r>
            <w:r w:rsidRPr="00E01818">
              <w:rPr>
                <w:rFonts w:ascii="Times New Roman" w:hAnsi="Times New Roman" w:cs="Times New Roman"/>
                <w:color w:val="000000" w:themeColor="text1"/>
                <w:u w:val="single"/>
              </w:rPr>
              <w:t>Nacionālā attīstības plāna rādītājiem, mikro vai makro līmenī.</w:t>
            </w:r>
          </w:p>
        </w:tc>
      </w:tr>
      <w:tr w:rsidR="0034370D" w:rsidRPr="001D6769" w:rsidTr="00AA73AA">
        <w:trPr>
          <w:trHeight w:val="510"/>
          <w:jc w:val="center"/>
        </w:trPr>
        <w:tc>
          <w:tcPr>
            <w:tcW w:w="250" w:type="pct"/>
            <w:hideMark/>
          </w:tcPr>
          <w:p w:rsidR="00E57372" w:rsidRPr="001D6769" w:rsidRDefault="007D0181" w:rsidP="0034370D">
            <w:pPr>
              <w:spacing w:after="0"/>
              <w:jc w:val="left"/>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themeColor="text1"/>
                <w:lang w:eastAsia="lv-LV"/>
              </w:rPr>
              <w:lastRenderedPageBreak/>
              <w:t xml:space="preserve"> </w:t>
            </w:r>
          </w:p>
        </w:tc>
        <w:tc>
          <w:tcPr>
            <w:tcW w:w="1341" w:type="pct"/>
            <w:hideMark/>
          </w:tcPr>
          <w:p w:rsidR="00E57372" w:rsidRPr="001D6769" w:rsidRDefault="00E57372" w:rsidP="0034370D">
            <w:pPr>
              <w:spacing w:after="0"/>
              <w:jc w:val="left"/>
              <w:rPr>
                <w:rFonts w:ascii="Times New Roman" w:eastAsia="Times New Roman" w:hAnsi="Times New Roman" w:cs="Times New Roman"/>
                <w:color w:val="000000" w:themeColor="text1"/>
                <w:lang w:eastAsia="lv-LV"/>
              </w:rPr>
            </w:pPr>
            <w:r w:rsidRPr="001D6769">
              <w:rPr>
                <w:rFonts w:ascii="Times New Roman" w:eastAsia="Times New Roman" w:hAnsi="Times New Roman" w:cs="Times New Roman"/>
                <w:color w:val="000000" w:themeColor="text1"/>
                <w:lang w:eastAsia="lv-LV"/>
              </w:rPr>
              <w:t>Administratīvo izmaksu monetārs novērtējums</w:t>
            </w:r>
          </w:p>
        </w:tc>
        <w:tc>
          <w:tcPr>
            <w:tcW w:w="3409" w:type="pct"/>
            <w:hideMark/>
          </w:tcPr>
          <w:p w:rsidR="00E57372" w:rsidRPr="001D6769" w:rsidRDefault="00E57372" w:rsidP="004D7C36">
            <w:pPr>
              <w:spacing w:after="60"/>
              <w:ind w:firstLine="113"/>
              <w:rPr>
                <w:rFonts w:ascii="Times New Roman" w:hAnsi="Times New Roman" w:cs="Times New Roman"/>
                <w:color w:val="000000" w:themeColor="text1"/>
              </w:rPr>
            </w:pPr>
            <w:r w:rsidRPr="001D6769">
              <w:rPr>
                <w:rFonts w:ascii="Times New Roman" w:hAnsi="Times New Roman" w:cs="Times New Roman"/>
                <w:color w:val="000000" w:themeColor="text1"/>
              </w:rPr>
              <w:t>Projekts šo jomu neskar.</w:t>
            </w:r>
          </w:p>
        </w:tc>
      </w:tr>
      <w:tr w:rsidR="0034370D" w:rsidRPr="001D6769" w:rsidTr="00AA73AA">
        <w:trPr>
          <w:trHeight w:val="345"/>
          <w:jc w:val="center"/>
        </w:trPr>
        <w:tc>
          <w:tcPr>
            <w:tcW w:w="250" w:type="pct"/>
            <w:hideMark/>
          </w:tcPr>
          <w:p w:rsidR="00E57372" w:rsidRPr="001D6769" w:rsidRDefault="00E57372" w:rsidP="0034370D">
            <w:pPr>
              <w:spacing w:after="0"/>
              <w:jc w:val="left"/>
              <w:rPr>
                <w:rFonts w:ascii="Times New Roman" w:eastAsia="Times New Roman" w:hAnsi="Times New Roman" w:cs="Times New Roman"/>
                <w:color w:val="000000" w:themeColor="text1"/>
                <w:lang w:eastAsia="lv-LV"/>
              </w:rPr>
            </w:pPr>
            <w:r w:rsidRPr="001D6769">
              <w:rPr>
                <w:rFonts w:ascii="Times New Roman" w:eastAsia="Times New Roman" w:hAnsi="Times New Roman" w:cs="Times New Roman"/>
                <w:color w:val="000000" w:themeColor="text1"/>
                <w:lang w:eastAsia="lv-LV"/>
              </w:rPr>
              <w:t>4.</w:t>
            </w:r>
          </w:p>
        </w:tc>
        <w:tc>
          <w:tcPr>
            <w:tcW w:w="1341" w:type="pct"/>
            <w:hideMark/>
          </w:tcPr>
          <w:p w:rsidR="00E57372" w:rsidRPr="001D6769" w:rsidRDefault="00E57372" w:rsidP="0034370D">
            <w:pPr>
              <w:spacing w:after="0"/>
              <w:jc w:val="left"/>
              <w:rPr>
                <w:rFonts w:ascii="Times New Roman" w:eastAsia="Times New Roman" w:hAnsi="Times New Roman" w:cs="Times New Roman"/>
                <w:color w:val="000000" w:themeColor="text1"/>
                <w:lang w:eastAsia="lv-LV"/>
              </w:rPr>
            </w:pPr>
            <w:r w:rsidRPr="001D6769">
              <w:rPr>
                <w:rFonts w:ascii="Times New Roman" w:eastAsia="Times New Roman" w:hAnsi="Times New Roman" w:cs="Times New Roman"/>
                <w:color w:val="000000" w:themeColor="text1"/>
                <w:lang w:eastAsia="lv-LV"/>
              </w:rPr>
              <w:t>Cita informācija</w:t>
            </w:r>
          </w:p>
        </w:tc>
        <w:tc>
          <w:tcPr>
            <w:tcW w:w="3409" w:type="pct"/>
            <w:hideMark/>
          </w:tcPr>
          <w:p w:rsidR="00E57372" w:rsidRPr="001D6769" w:rsidRDefault="00E57372" w:rsidP="004D7C36">
            <w:pPr>
              <w:pStyle w:val="BodyTextIndent2"/>
              <w:spacing w:after="60" w:line="240" w:lineRule="auto"/>
              <w:ind w:left="0" w:firstLine="113"/>
              <w:jc w:val="both"/>
              <w:rPr>
                <w:color w:val="000000" w:themeColor="text1"/>
                <w:sz w:val="22"/>
                <w:szCs w:val="22"/>
              </w:rPr>
            </w:pPr>
            <w:r w:rsidRPr="001D6769">
              <w:rPr>
                <w:color w:val="000000" w:themeColor="text1"/>
                <w:sz w:val="22"/>
                <w:szCs w:val="22"/>
              </w:rPr>
              <w:t>Nav</w:t>
            </w:r>
          </w:p>
        </w:tc>
      </w:tr>
    </w:tbl>
    <w:p w:rsidR="001D6769" w:rsidRDefault="001D6769" w:rsidP="001D6769">
      <w:pPr>
        <w:spacing w:after="0"/>
        <w:rPr>
          <w:rFonts w:ascii="Times New Roman" w:hAnsi="Times New Roman" w:cs="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296"/>
        <w:gridCol w:w="1359"/>
        <w:gridCol w:w="1263"/>
        <w:gridCol w:w="1312"/>
        <w:gridCol w:w="1347"/>
      </w:tblGrid>
      <w:tr w:rsidR="004F3B23" w:rsidRPr="004F3B23" w:rsidTr="00E71286">
        <w:trPr>
          <w:trHeight w:val="391"/>
          <w:jc w:val="center"/>
        </w:trPr>
        <w:tc>
          <w:tcPr>
            <w:tcW w:w="9639" w:type="dxa"/>
            <w:gridSpan w:val="6"/>
            <w:vAlign w:val="center"/>
            <w:hideMark/>
          </w:tcPr>
          <w:p w:rsidR="00E31C26" w:rsidRPr="004F3B23" w:rsidRDefault="00C82F50">
            <w:pPr>
              <w:pStyle w:val="naisnod"/>
              <w:spacing w:before="0" w:after="0"/>
              <w:rPr>
                <w:i/>
                <w:sz w:val="22"/>
                <w:szCs w:val="22"/>
              </w:rPr>
            </w:pPr>
            <w:r w:rsidRPr="004F3B23">
              <w:rPr>
                <w:b w:val="0"/>
                <w:bCs w:val="0"/>
                <w:sz w:val="22"/>
                <w:szCs w:val="22"/>
              </w:rPr>
              <w:br w:type="page"/>
            </w:r>
            <w:r w:rsidRPr="004F3B23">
              <w:rPr>
                <w:sz w:val="22"/>
                <w:szCs w:val="22"/>
              </w:rPr>
              <w:t>III. Tiesību akta projekta ietekme uz valsts budžetu un pašvaldību budžetiem</w:t>
            </w:r>
          </w:p>
        </w:tc>
      </w:tr>
      <w:tr w:rsidR="004F3B23" w:rsidRPr="004F3B23" w:rsidTr="00E71286">
        <w:trPr>
          <w:jc w:val="center"/>
        </w:trPr>
        <w:tc>
          <w:tcPr>
            <w:tcW w:w="2979" w:type="dxa"/>
            <w:vMerge w:val="restart"/>
            <w:vAlign w:val="center"/>
            <w:hideMark/>
          </w:tcPr>
          <w:p w:rsidR="00E31C26" w:rsidRPr="004F3B23" w:rsidRDefault="00C82F50">
            <w:pPr>
              <w:pStyle w:val="naisf"/>
              <w:spacing w:before="0" w:after="0"/>
              <w:ind w:firstLine="0"/>
              <w:jc w:val="center"/>
              <w:rPr>
                <w:b/>
                <w:sz w:val="20"/>
                <w:szCs w:val="20"/>
              </w:rPr>
            </w:pPr>
            <w:r w:rsidRPr="004F3B23">
              <w:rPr>
                <w:b/>
                <w:sz w:val="20"/>
                <w:szCs w:val="20"/>
              </w:rPr>
              <w:t>Rādītāji</w:t>
            </w:r>
          </w:p>
        </w:tc>
        <w:tc>
          <w:tcPr>
            <w:tcW w:w="2692" w:type="dxa"/>
            <w:gridSpan w:val="2"/>
            <w:vMerge w:val="restart"/>
            <w:vAlign w:val="center"/>
            <w:hideMark/>
          </w:tcPr>
          <w:p w:rsidR="00E31C26" w:rsidRPr="004F3B23" w:rsidRDefault="00C82F50">
            <w:pPr>
              <w:pStyle w:val="naisf"/>
              <w:spacing w:before="0" w:after="0"/>
              <w:ind w:firstLine="0"/>
              <w:jc w:val="center"/>
              <w:rPr>
                <w:b/>
                <w:sz w:val="20"/>
                <w:szCs w:val="20"/>
              </w:rPr>
            </w:pPr>
            <w:r w:rsidRPr="004F3B23">
              <w:rPr>
                <w:b/>
                <w:sz w:val="20"/>
                <w:szCs w:val="20"/>
              </w:rPr>
              <w:t>n-tais gads</w:t>
            </w:r>
          </w:p>
        </w:tc>
        <w:tc>
          <w:tcPr>
            <w:tcW w:w="3968" w:type="dxa"/>
            <w:gridSpan w:val="3"/>
            <w:vAlign w:val="center"/>
            <w:hideMark/>
          </w:tcPr>
          <w:p w:rsidR="00E31C26" w:rsidRPr="004F3B23" w:rsidRDefault="00C82F50">
            <w:pPr>
              <w:pStyle w:val="naisf"/>
              <w:spacing w:before="0" w:after="0"/>
              <w:ind w:firstLine="0"/>
              <w:jc w:val="center"/>
              <w:rPr>
                <w:b/>
                <w:i/>
                <w:sz w:val="20"/>
                <w:szCs w:val="20"/>
              </w:rPr>
            </w:pPr>
            <w:r w:rsidRPr="004F3B23">
              <w:rPr>
                <w:sz w:val="20"/>
                <w:szCs w:val="20"/>
              </w:rPr>
              <w:t>Turpmākie trīs gadi (tūkst. latu)</w:t>
            </w:r>
          </w:p>
        </w:tc>
      </w:tr>
      <w:tr w:rsidR="004F3B23" w:rsidRPr="004F3B23" w:rsidTr="00E71286">
        <w:trPr>
          <w:jc w:val="center"/>
        </w:trPr>
        <w:tc>
          <w:tcPr>
            <w:tcW w:w="0" w:type="auto"/>
            <w:vMerge/>
            <w:vAlign w:val="center"/>
            <w:hideMark/>
          </w:tcPr>
          <w:p w:rsidR="00E31C26" w:rsidRPr="004F3B23" w:rsidRDefault="00E31C26" w:rsidP="004F3B23">
            <w:pPr>
              <w:spacing w:after="0"/>
              <w:rPr>
                <w:rFonts w:ascii="Times New Roman" w:hAnsi="Times New Roman" w:cs="Times New Roman"/>
                <w:b/>
                <w:sz w:val="20"/>
                <w:szCs w:val="20"/>
              </w:rPr>
            </w:pPr>
          </w:p>
        </w:tc>
        <w:tc>
          <w:tcPr>
            <w:tcW w:w="2692" w:type="dxa"/>
            <w:gridSpan w:val="2"/>
            <w:vMerge/>
            <w:vAlign w:val="center"/>
            <w:hideMark/>
          </w:tcPr>
          <w:p w:rsidR="00E31C26" w:rsidRPr="004F3B23" w:rsidRDefault="00E31C26" w:rsidP="004F3B23">
            <w:pPr>
              <w:spacing w:after="0"/>
              <w:rPr>
                <w:rFonts w:ascii="Times New Roman" w:hAnsi="Times New Roman" w:cs="Times New Roman"/>
                <w:b/>
                <w:sz w:val="20"/>
                <w:szCs w:val="20"/>
              </w:rPr>
            </w:pPr>
          </w:p>
        </w:tc>
        <w:tc>
          <w:tcPr>
            <w:tcW w:w="1271" w:type="dxa"/>
            <w:vAlign w:val="center"/>
            <w:hideMark/>
          </w:tcPr>
          <w:p w:rsidR="00E31C26" w:rsidRPr="004F3B23" w:rsidRDefault="00C82F50">
            <w:pPr>
              <w:pStyle w:val="naisf"/>
              <w:spacing w:before="0" w:after="0"/>
              <w:ind w:firstLine="0"/>
              <w:jc w:val="center"/>
              <w:rPr>
                <w:b/>
                <w:i/>
                <w:sz w:val="20"/>
                <w:szCs w:val="20"/>
              </w:rPr>
            </w:pPr>
            <w:r w:rsidRPr="004F3B23">
              <w:rPr>
                <w:b/>
                <w:bCs/>
                <w:sz w:val="20"/>
                <w:szCs w:val="20"/>
              </w:rPr>
              <w:t>n+1</w:t>
            </w:r>
          </w:p>
        </w:tc>
        <w:tc>
          <w:tcPr>
            <w:tcW w:w="1328" w:type="dxa"/>
            <w:vAlign w:val="center"/>
            <w:hideMark/>
          </w:tcPr>
          <w:p w:rsidR="00E31C26" w:rsidRPr="004F3B23" w:rsidRDefault="00C82F50">
            <w:pPr>
              <w:pStyle w:val="naisf"/>
              <w:spacing w:before="0" w:after="0"/>
              <w:ind w:firstLine="0"/>
              <w:jc w:val="center"/>
              <w:rPr>
                <w:b/>
                <w:i/>
                <w:sz w:val="20"/>
                <w:szCs w:val="20"/>
              </w:rPr>
            </w:pPr>
            <w:r w:rsidRPr="004F3B23">
              <w:rPr>
                <w:b/>
                <w:bCs/>
                <w:sz w:val="20"/>
                <w:szCs w:val="20"/>
              </w:rPr>
              <w:t>n+2</w:t>
            </w:r>
          </w:p>
        </w:tc>
        <w:tc>
          <w:tcPr>
            <w:tcW w:w="1369" w:type="dxa"/>
            <w:vAlign w:val="center"/>
            <w:hideMark/>
          </w:tcPr>
          <w:p w:rsidR="00E31C26" w:rsidRPr="004F3B23" w:rsidRDefault="00C82F50">
            <w:pPr>
              <w:pStyle w:val="naisf"/>
              <w:spacing w:before="0" w:after="0"/>
              <w:ind w:firstLine="0"/>
              <w:jc w:val="center"/>
              <w:rPr>
                <w:b/>
                <w:i/>
                <w:sz w:val="20"/>
                <w:szCs w:val="20"/>
              </w:rPr>
            </w:pPr>
            <w:r w:rsidRPr="004F3B23">
              <w:rPr>
                <w:b/>
                <w:bCs/>
                <w:sz w:val="20"/>
                <w:szCs w:val="20"/>
              </w:rPr>
              <w:t>n+3</w:t>
            </w:r>
          </w:p>
        </w:tc>
      </w:tr>
      <w:tr w:rsidR="004F3B23" w:rsidRPr="004F3B23" w:rsidTr="00E71286">
        <w:trPr>
          <w:jc w:val="center"/>
        </w:trPr>
        <w:tc>
          <w:tcPr>
            <w:tcW w:w="0" w:type="auto"/>
            <w:vMerge/>
            <w:vAlign w:val="center"/>
            <w:hideMark/>
          </w:tcPr>
          <w:p w:rsidR="00E31C26" w:rsidRPr="004F3B23" w:rsidRDefault="00E31C26" w:rsidP="004F3B23">
            <w:pPr>
              <w:spacing w:after="0"/>
              <w:rPr>
                <w:rFonts w:ascii="Times New Roman" w:hAnsi="Times New Roman" w:cs="Times New Roman"/>
                <w:b/>
                <w:sz w:val="20"/>
                <w:szCs w:val="20"/>
              </w:rPr>
            </w:pPr>
          </w:p>
        </w:tc>
        <w:tc>
          <w:tcPr>
            <w:tcW w:w="1309" w:type="dxa"/>
            <w:vAlign w:val="center"/>
            <w:hideMark/>
          </w:tcPr>
          <w:p w:rsidR="00E31C26" w:rsidRPr="004F3B23" w:rsidRDefault="00C82F50">
            <w:pPr>
              <w:pStyle w:val="naisf"/>
              <w:spacing w:before="0" w:after="0"/>
              <w:ind w:firstLine="0"/>
              <w:jc w:val="center"/>
              <w:rPr>
                <w:b/>
                <w:i/>
                <w:sz w:val="20"/>
                <w:szCs w:val="20"/>
              </w:rPr>
            </w:pPr>
            <w:r w:rsidRPr="004F3B23">
              <w:rPr>
                <w:sz w:val="20"/>
                <w:szCs w:val="20"/>
              </w:rPr>
              <w:t>Saskaņā ar valsts budžetu kārtējam gadam</w:t>
            </w:r>
          </w:p>
        </w:tc>
        <w:tc>
          <w:tcPr>
            <w:tcW w:w="1383" w:type="dxa"/>
            <w:vAlign w:val="center"/>
            <w:hideMark/>
          </w:tcPr>
          <w:p w:rsidR="00E31C26" w:rsidRPr="004F3B23" w:rsidRDefault="00C82F50">
            <w:pPr>
              <w:pStyle w:val="naisf"/>
              <w:spacing w:before="0" w:after="0"/>
              <w:ind w:firstLine="0"/>
              <w:jc w:val="center"/>
              <w:rPr>
                <w:b/>
                <w:i/>
                <w:sz w:val="20"/>
                <w:szCs w:val="20"/>
              </w:rPr>
            </w:pPr>
            <w:r w:rsidRPr="004F3B23">
              <w:rPr>
                <w:sz w:val="20"/>
                <w:szCs w:val="20"/>
              </w:rPr>
              <w:t>Izmaiņas kārtējā gadā, salīdzinot ar budžetu kārtējam gadam</w:t>
            </w:r>
          </w:p>
        </w:tc>
        <w:tc>
          <w:tcPr>
            <w:tcW w:w="1271" w:type="dxa"/>
            <w:vAlign w:val="center"/>
            <w:hideMark/>
          </w:tcPr>
          <w:p w:rsidR="00E31C26" w:rsidRPr="004F3B23" w:rsidRDefault="00C82F50">
            <w:pPr>
              <w:pStyle w:val="naisf"/>
              <w:spacing w:before="0" w:after="0"/>
              <w:ind w:firstLine="0"/>
              <w:jc w:val="center"/>
              <w:rPr>
                <w:b/>
                <w:i/>
                <w:sz w:val="20"/>
                <w:szCs w:val="20"/>
              </w:rPr>
            </w:pPr>
            <w:r w:rsidRPr="004F3B23">
              <w:rPr>
                <w:sz w:val="20"/>
                <w:szCs w:val="20"/>
              </w:rPr>
              <w:t>Izmaiņas, salīdzinot ar kārtējo (n) gadu</w:t>
            </w:r>
          </w:p>
        </w:tc>
        <w:tc>
          <w:tcPr>
            <w:tcW w:w="1328" w:type="dxa"/>
            <w:vAlign w:val="center"/>
            <w:hideMark/>
          </w:tcPr>
          <w:p w:rsidR="00E31C26" w:rsidRPr="004F3B23" w:rsidRDefault="00C82F50">
            <w:pPr>
              <w:pStyle w:val="naisf"/>
              <w:spacing w:before="0" w:after="0"/>
              <w:ind w:firstLine="0"/>
              <w:jc w:val="center"/>
              <w:rPr>
                <w:b/>
                <w:i/>
                <w:sz w:val="20"/>
                <w:szCs w:val="20"/>
              </w:rPr>
            </w:pPr>
            <w:r w:rsidRPr="004F3B23">
              <w:rPr>
                <w:sz w:val="20"/>
                <w:szCs w:val="20"/>
              </w:rPr>
              <w:t>Izmaiņas, salīdzinot ar kārtējo (n) gadu</w:t>
            </w:r>
          </w:p>
        </w:tc>
        <w:tc>
          <w:tcPr>
            <w:tcW w:w="1369" w:type="dxa"/>
            <w:vAlign w:val="center"/>
            <w:hideMark/>
          </w:tcPr>
          <w:p w:rsidR="00E31C26" w:rsidRPr="004F3B23" w:rsidRDefault="00C82F50">
            <w:pPr>
              <w:pStyle w:val="naisf"/>
              <w:spacing w:before="0" w:after="0"/>
              <w:ind w:firstLine="0"/>
              <w:jc w:val="center"/>
              <w:rPr>
                <w:b/>
                <w:i/>
                <w:sz w:val="20"/>
                <w:szCs w:val="20"/>
              </w:rPr>
            </w:pPr>
            <w:r w:rsidRPr="004F3B23">
              <w:rPr>
                <w:sz w:val="20"/>
                <w:szCs w:val="20"/>
              </w:rPr>
              <w:t>Izmaiņas, salīdzinot ar kārtējo (n) gadu</w:t>
            </w:r>
          </w:p>
        </w:tc>
      </w:tr>
      <w:tr w:rsidR="004F3B23" w:rsidRPr="004F3B23" w:rsidTr="00E71286">
        <w:trPr>
          <w:jc w:val="center"/>
        </w:trPr>
        <w:tc>
          <w:tcPr>
            <w:tcW w:w="2979" w:type="dxa"/>
            <w:vAlign w:val="center"/>
            <w:hideMark/>
          </w:tcPr>
          <w:p w:rsidR="00E31C26" w:rsidRPr="004F3B23" w:rsidRDefault="00C82F50">
            <w:pPr>
              <w:pStyle w:val="naisf"/>
              <w:spacing w:before="0" w:after="0"/>
              <w:ind w:firstLine="0"/>
              <w:jc w:val="center"/>
              <w:rPr>
                <w:bCs/>
                <w:sz w:val="20"/>
                <w:szCs w:val="20"/>
              </w:rPr>
            </w:pPr>
            <w:r w:rsidRPr="004F3B23">
              <w:rPr>
                <w:bCs/>
                <w:sz w:val="20"/>
                <w:szCs w:val="20"/>
              </w:rPr>
              <w:t>1</w:t>
            </w:r>
          </w:p>
        </w:tc>
        <w:tc>
          <w:tcPr>
            <w:tcW w:w="1309" w:type="dxa"/>
            <w:vAlign w:val="center"/>
            <w:hideMark/>
          </w:tcPr>
          <w:p w:rsidR="00E31C26" w:rsidRPr="004F3B23" w:rsidRDefault="00C82F50">
            <w:pPr>
              <w:pStyle w:val="naisf"/>
              <w:spacing w:before="0" w:after="0"/>
              <w:ind w:firstLine="0"/>
              <w:jc w:val="center"/>
              <w:rPr>
                <w:bCs/>
                <w:sz w:val="20"/>
                <w:szCs w:val="20"/>
              </w:rPr>
            </w:pPr>
            <w:r w:rsidRPr="004F3B23">
              <w:rPr>
                <w:bCs/>
                <w:sz w:val="20"/>
                <w:szCs w:val="20"/>
              </w:rPr>
              <w:t>2</w:t>
            </w:r>
          </w:p>
        </w:tc>
        <w:tc>
          <w:tcPr>
            <w:tcW w:w="1383" w:type="dxa"/>
            <w:vAlign w:val="center"/>
            <w:hideMark/>
          </w:tcPr>
          <w:p w:rsidR="00E31C26" w:rsidRPr="004F3B23" w:rsidRDefault="00C82F50">
            <w:pPr>
              <w:pStyle w:val="naisf"/>
              <w:spacing w:before="0" w:after="0"/>
              <w:ind w:firstLine="0"/>
              <w:jc w:val="center"/>
              <w:rPr>
                <w:bCs/>
                <w:sz w:val="20"/>
                <w:szCs w:val="20"/>
              </w:rPr>
            </w:pPr>
            <w:r w:rsidRPr="004F3B23">
              <w:rPr>
                <w:bCs/>
                <w:sz w:val="20"/>
                <w:szCs w:val="20"/>
              </w:rPr>
              <w:t>3</w:t>
            </w:r>
          </w:p>
        </w:tc>
        <w:tc>
          <w:tcPr>
            <w:tcW w:w="1271" w:type="dxa"/>
            <w:vAlign w:val="center"/>
            <w:hideMark/>
          </w:tcPr>
          <w:p w:rsidR="00E31C26" w:rsidRPr="004F3B23" w:rsidRDefault="00C82F50">
            <w:pPr>
              <w:pStyle w:val="naisf"/>
              <w:spacing w:before="0" w:after="0"/>
              <w:ind w:firstLine="0"/>
              <w:jc w:val="center"/>
              <w:rPr>
                <w:bCs/>
                <w:sz w:val="20"/>
                <w:szCs w:val="20"/>
              </w:rPr>
            </w:pPr>
            <w:r w:rsidRPr="004F3B23">
              <w:rPr>
                <w:bCs/>
                <w:sz w:val="20"/>
                <w:szCs w:val="20"/>
              </w:rPr>
              <w:t>4</w:t>
            </w:r>
          </w:p>
        </w:tc>
        <w:tc>
          <w:tcPr>
            <w:tcW w:w="1328" w:type="dxa"/>
            <w:vAlign w:val="center"/>
            <w:hideMark/>
          </w:tcPr>
          <w:p w:rsidR="00E31C26" w:rsidRPr="004F3B23" w:rsidRDefault="00C82F50">
            <w:pPr>
              <w:pStyle w:val="naisf"/>
              <w:spacing w:before="0" w:after="0"/>
              <w:ind w:firstLine="0"/>
              <w:jc w:val="center"/>
              <w:rPr>
                <w:bCs/>
                <w:sz w:val="20"/>
                <w:szCs w:val="20"/>
              </w:rPr>
            </w:pPr>
            <w:r w:rsidRPr="004F3B23">
              <w:rPr>
                <w:bCs/>
                <w:sz w:val="20"/>
                <w:szCs w:val="20"/>
              </w:rPr>
              <w:t>5</w:t>
            </w:r>
          </w:p>
        </w:tc>
        <w:tc>
          <w:tcPr>
            <w:tcW w:w="1369" w:type="dxa"/>
            <w:vAlign w:val="center"/>
            <w:hideMark/>
          </w:tcPr>
          <w:p w:rsidR="00E31C26" w:rsidRPr="004F3B23" w:rsidRDefault="00C82F50">
            <w:pPr>
              <w:pStyle w:val="naisf"/>
              <w:spacing w:before="0" w:after="0"/>
              <w:ind w:firstLine="0"/>
              <w:jc w:val="center"/>
              <w:rPr>
                <w:bCs/>
                <w:sz w:val="20"/>
                <w:szCs w:val="20"/>
              </w:rPr>
            </w:pPr>
            <w:r w:rsidRPr="004F3B23">
              <w:rPr>
                <w:bCs/>
                <w:sz w:val="20"/>
                <w:szCs w:val="20"/>
              </w:rPr>
              <w:t>6</w:t>
            </w:r>
          </w:p>
        </w:tc>
      </w:tr>
      <w:tr w:rsidR="004F3B23" w:rsidRPr="004F3B23" w:rsidTr="00E71286">
        <w:trPr>
          <w:jc w:val="center"/>
        </w:trPr>
        <w:tc>
          <w:tcPr>
            <w:tcW w:w="9639" w:type="dxa"/>
            <w:gridSpan w:val="6"/>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1. Budžeta ieņēmumi:</w:t>
            </w:r>
          </w:p>
        </w:tc>
      </w:tr>
      <w:tr w:rsidR="004F3B23" w:rsidRPr="004F3B23" w:rsidTr="00E71286">
        <w:trPr>
          <w:jc w:val="center"/>
        </w:trPr>
        <w:tc>
          <w:tcPr>
            <w:tcW w:w="2979" w:type="dxa"/>
            <w:vAlign w:val="center"/>
            <w:hideMark/>
          </w:tcPr>
          <w:p w:rsidR="00E31C26" w:rsidRPr="004F3B23" w:rsidRDefault="00C82F50">
            <w:pPr>
              <w:pStyle w:val="naisf"/>
              <w:spacing w:before="0" w:after="0"/>
              <w:ind w:firstLine="0"/>
              <w:rPr>
                <w:i/>
                <w:sz w:val="22"/>
                <w:szCs w:val="22"/>
              </w:rPr>
            </w:pPr>
            <w:r w:rsidRPr="004F3B23">
              <w:rPr>
                <w:sz w:val="22"/>
                <w:szCs w:val="22"/>
              </w:rPr>
              <w:t>1.1. valsts pamatbudžets, tai skaitā ieņēmumi no maksas pakalpojumiem un citi pašu ieņēmumi</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271"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28"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69"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r>
      <w:tr w:rsidR="004F3B23" w:rsidRPr="004F3B23" w:rsidTr="00E71286">
        <w:trPr>
          <w:jc w:val="center"/>
        </w:trPr>
        <w:tc>
          <w:tcPr>
            <w:tcW w:w="2979" w:type="dxa"/>
            <w:vAlign w:val="center"/>
            <w:hideMark/>
          </w:tcPr>
          <w:p w:rsidR="00E31C26" w:rsidRPr="004F3B23" w:rsidRDefault="00C82F50">
            <w:pPr>
              <w:pStyle w:val="naisf"/>
              <w:spacing w:before="0" w:after="0"/>
              <w:ind w:firstLine="0"/>
              <w:rPr>
                <w:i/>
                <w:sz w:val="22"/>
                <w:szCs w:val="22"/>
              </w:rPr>
            </w:pPr>
            <w:r w:rsidRPr="004F3B23">
              <w:rPr>
                <w:sz w:val="22"/>
                <w:szCs w:val="22"/>
              </w:rPr>
              <w:t>1.2. valsts speciālais budžets</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271"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28"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69"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r>
      <w:tr w:rsidR="004F3B23" w:rsidRPr="004F3B23" w:rsidTr="00E71286">
        <w:trPr>
          <w:jc w:val="center"/>
        </w:trPr>
        <w:tc>
          <w:tcPr>
            <w:tcW w:w="2979" w:type="dxa"/>
            <w:vAlign w:val="center"/>
            <w:hideMark/>
          </w:tcPr>
          <w:p w:rsidR="00E31C26" w:rsidRPr="004F3B23" w:rsidRDefault="00C82F50" w:rsidP="004F3B23">
            <w:pPr>
              <w:pStyle w:val="naisf"/>
              <w:spacing w:before="0" w:after="0"/>
              <w:ind w:firstLine="0"/>
              <w:rPr>
                <w:i/>
                <w:sz w:val="22"/>
                <w:szCs w:val="22"/>
              </w:rPr>
            </w:pPr>
            <w:r w:rsidRPr="004F3B23">
              <w:rPr>
                <w:sz w:val="22"/>
                <w:szCs w:val="22"/>
              </w:rPr>
              <w:t>1.3. pašvaldību budžets</w:t>
            </w:r>
          </w:p>
        </w:tc>
        <w:tc>
          <w:tcPr>
            <w:tcW w:w="1309" w:type="dxa"/>
            <w:vAlign w:val="center"/>
          </w:tcPr>
          <w:p w:rsidR="00E31C26" w:rsidRPr="004F3B23" w:rsidRDefault="00C82F50" w:rsidP="004F3B23">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271"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28"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69"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r>
      <w:tr w:rsidR="004F3B23" w:rsidRPr="004F3B23" w:rsidTr="00E71286">
        <w:trPr>
          <w:jc w:val="center"/>
        </w:trPr>
        <w:tc>
          <w:tcPr>
            <w:tcW w:w="9639" w:type="dxa"/>
            <w:gridSpan w:val="6"/>
            <w:vAlign w:val="center"/>
            <w:hideMark/>
          </w:tcPr>
          <w:p w:rsidR="00E31C26" w:rsidRPr="004F3B23" w:rsidRDefault="00C82F50">
            <w:pPr>
              <w:pStyle w:val="naisf"/>
              <w:spacing w:before="0" w:after="0"/>
              <w:ind w:firstLine="0"/>
              <w:rPr>
                <w:b/>
                <w:i/>
                <w:sz w:val="22"/>
                <w:szCs w:val="22"/>
              </w:rPr>
            </w:pPr>
            <w:r w:rsidRPr="004F3B23">
              <w:rPr>
                <w:sz w:val="22"/>
                <w:szCs w:val="22"/>
              </w:rPr>
              <w:t>2. Budžeta izdevumi:</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2.1. valsts pamatbudžets</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28"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69"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2.2. valsts speciālais budžets</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28"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69"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 xml:space="preserve">2.3. pašvaldību budžets </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28"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69"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r>
      <w:tr w:rsidR="004F3B23" w:rsidRPr="004F3B23" w:rsidTr="00E71286">
        <w:trPr>
          <w:jc w:val="center"/>
        </w:trPr>
        <w:tc>
          <w:tcPr>
            <w:tcW w:w="9639" w:type="dxa"/>
            <w:gridSpan w:val="6"/>
            <w:vAlign w:val="center"/>
            <w:hideMark/>
          </w:tcPr>
          <w:p w:rsidR="00E31C26" w:rsidRPr="004F3B23" w:rsidRDefault="00C82F50">
            <w:pPr>
              <w:pStyle w:val="naisf"/>
              <w:spacing w:before="0" w:after="0"/>
              <w:ind w:firstLine="0"/>
              <w:rPr>
                <w:b/>
                <w:i/>
                <w:sz w:val="22"/>
                <w:szCs w:val="22"/>
              </w:rPr>
            </w:pPr>
            <w:r w:rsidRPr="004F3B23">
              <w:rPr>
                <w:sz w:val="22"/>
                <w:szCs w:val="22"/>
              </w:rPr>
              <w:t>3. Finansiālā ietekme:</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3.1. valsts pamatbudžets</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3.2. speciālais budžets</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 xml:space="preserve">3.3. pašvaldību budžets </w:t>
            </w:r>
          </w:p>
        </w:tc>
        <w:tc>
          <w:tcPr>
            <w:tcW w:w="130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r>
      <w:tr w:rsidR="004F3B23" w:rsidRPr="004F3B23" w:rsidTr="00E71286">
        <w:trPr>
          <w:jc w:val="center"/>
        </w:trPr>
        <w:tc>
          <w:tcPr>
            <w:tcW w:w="2979" w:type="dxa"/>
            <w:vMerge w:val="restart"/>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4. Finanšu līdzekļi papildu izde</w:t>
            </w:r>
            <w:r w:rsidRPr="004F3B23">
              <w:rPr>
                <w:rFonts w:ascii="Times New Roman" w:hAnsi="Times New Roman" w:cs="Times New Roman"/>
              </w:rPr>
              <w:softHyphen/>
              <w:t>vumu finansēšanai (kompensējošu izdevumu samazinājumu norāda ar "+" zīmi)</w:t>
            </w:r>
          </w:p>
        </w:tc>
        <w:tc>
          <w:tcPr>
            <w:tcW w:w="1309" w:type="dxa"/>
            <w:vMerge w:val="restart"/>
            <w:vAlign w:val="center"/>
            <w:hideMark/>
          </w:tcPr>
          <w:p w:rsidR="00E31C26" w:rsidRPr="004F3B23" w:rsidRDefault="00C82F50">
            <w:pPr>
              <w:pStyle w:val="naisf"/>
              <w:spacing w:before="0" w:after="0"/>
              <w:ind w:firstLine="0"/>
              <w:jc w:val="center"/>
              <w:rPr>
                <w:i/>
                <w:sz w:val="22"/>
                <w:szCs w:val="22"/>
              </w:rPr>
            </w:pPr>
            <w:r w:rsidRPr="004F3B23">
              <w:rPr>
                <w:sz w:val="22"/>
                <w:szCs w:val="22"/>
              </w:rPr>
              <w:t>X</w:t>
            </w:r>
          </w:p>
        </w:tc>
        <w:tc>
          <w:tcPr>
            <w:tcW w:w="1383"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271"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28"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c>
          <w:tcPr>
            <w:tcW w:w="1369" w:type="dxa"/>
            <w:vAlign w:val="center"/>
          </w:tcPr>
          <w:p w:rsidR="00E31C26" w:rsidRPr="004F3B23" w:rsidRDefault="00C82F50" w:rsidP="004F3B23">
            <w:pPr>
              <w:spacing w:after="0"/>
              <w:jc w:val="center"/>
              <w:rPr>
                <w:rFonts w:ascii="Times New Roman" w:hAnsi="Times New Roman" w:cs="Times New Roman"/>
              </w:rPr>
            </w:pPr>
            <w:r w:rsidRPr="004F3B23">
              <w:rPr>
                <w:rFonts w:ascii="Times New Roman" w:hAnsi="Times New Roman" w:cs="Times New Roman"/>
              </w:rPr>
              <w:t>Nav attiecināms</w:t>
            </w:r>
          </w:p>
        </w:tc>
      </w:tr>
      <w:tr w:rsidR="004F3B23" w:rsidRPr="004F3B23" w:rsidTr="00E71286">
        <w:trPr>
          <w:jc w:val="center"/>
        </w:trPr>
        <w:tc>
          <w:tcPr>
            <w:tcW w:w="0" w:type="auto"/>
            <w:vMerge/>
            <w:vAlign w:val="center"/>
            <w:hideMark/>
          </w:tcPr>
          <w:p w:rsidR="00E31C26" w:rsidRPr="004F3B23" w:rsidRDefault="00E31C26" w:rsidP="004F3B23">
            <w:pPr>
              <w:spacing w:after="0"/>
              <w:rPr>
                <w:rFonts w:ascii="Times New Roman" w:hAnsi="Times New Roman" w:cs="Times New Roman"/>
              </w:rPr>
            </w:pPr>
          </w:p>
        </w:tc>
        <w:tc>
          <w:tcPr>
            <w:tcW w:w="0" w:type="auto"/>
            <w:vMerge/>
            <w:vAlign w:val="center"/>
            <w:hideMark/>
          </w:tcPr>
          <w:p w:rsidR="00E31C26" w:rsidRPr="004F3B23" w:rsidRDefault="00E31C26" w:rsidP="004F3B23">
            <w:pPr>
              <w:spacing w:after="0"/>
              <w:jc w:val="center"/>
              <w:rPr>
                <w:rFonts w:ascii="Times New Roman" w:hAnsi="Times New Roman" w:cs="Times New Roman"/>
                <w:i/>
              </w:rPr>
            </w:pP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r>
      <w:tr w:rsidR="004F3B23" w:rsidRPr="004F3B23" w:rsidTr="00E71286">
        <w:trPr>
          <w:jc w:val="center"/>
        </w:trPr>
        <w:tc>
          <w:tcPr>
            <w:tcW w:w="0" w:type="auto"/>
            <w:vMerge/>
            <w:vAlign w:val="center"/>
            <w:hideMark/>
          </w:tcPr>
          <w:p w:rsidR="00E31C26" w:rsidRPr="004F3B23" w:rsidRDefault="00E31C26" w:rsidP="004F3B23">
            <w:pPr>
              <w:spacing w:after="0"/>
              <w:rPr>
                <w:rFonts w:ascii="Times New Roman" w:hAnsi="Times New Roman" w:cs="Times New Roman"/>
              </w:rPr>
            </w:pPr>
          </w:p>
        </w:tc>
        <w:tc>
          <w:tcPr>
            <w:tcW w:w="0" w:type="auto"/>
            <w:vMerge/>
            <w:vAlign w:val="center"/>
            <w:hideMark/>
          </w:tcPr>
          <w:p w:rsidR="00E31C26" w:rsidRPr="004F3B23" w:rsidRDefault="00E31C26" w:rsidP="004F3B23">
            <w:pPr>
              <w:spacing w:after="0"/>
              <w:jc w:val="center"/>
              <w:rPr>
                <w:rFonts w:ascii="Times New Roman" w:hAnsi="Times New Roman" w:cs="Times New Roman"/>
                <w:i/>
              </w:rPr>
            </w:pP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5. Precizēta finansiālā ietekme:</w:t>
            </w:r>
          </w:p>
        </w:tc>
        <w:tc>
          <w:tcPr>
            <w:tcW w:w="1309" w:type="dxa"/>
            <w:vMerge w:val="restart"/>
            <w:vAlign w:val="center"/>
            <w:hideMark/>
          </w:tcPr>
          <w:p w:rsidR="00E31C26" w:rsidRPr="004F3B23" w:rsidRDefault="00C82F50">
            <w:pPr>
              <w:pStyle w:val="naisf"/>
              <w:spacing w:before="0" w:after="0"/>
              <w:ind w:firstLine="0"/>
              <w:jc w:val="center"/>
              <w:rPr>
                <w:i/>
                <w:sz w:val="22"/>
                <w:szCs w:val="22"/>
              </w:rPr>
            </w:pPr>
            <w:r w:rsidRPr="004F3B23">
              <w:rPr>
                <w:sz w:val="22"/>
                <w:szCs w:val="22"/>
              </w:rPr>
              <w:t>X</w:t>
            </w:r>
          </w:p>
        </w:tc>
        <w:tc>
          <w:tcPr>
            <w:tcW w:w="1383" w:type="dxa"/>
            <w:vAlign w:val="center"/>
          </w:tcPr>
          <w:p w:rsidR="00E31C26" w:rsidRPr="004F3B23" w:rsidRDefault="00E31C26">
            <w:pPr>
              <w:pStyle w:val="naisf"/>
              <w:spacing w:before="0" w:after="0"/>
              <w:ind w:firstLine="0"/>
              <w:jc w:val="center"/>
              <w:rPr>
                <w:b/>
                <w:i/>
                <w:sz w:val="22"/>
                <w:szCs w:val="22"/>
              </w:rPr>
            </w:pPr>
          </w:p>
        </w:tc>
        <w:tc>
          <w:tcPr>
            <w:tcW w:w="1271" w:type="dxa"/>
            <w:vAlign w:val="center"/>
          </w:tcPr>
          <w:p w:rsidR="00E31C26" w:rsidRPr="004F3B23" w:rsidRDefault="00E31C26">
            <w:pPr>
              <w:pStyle w:val="naisf"/>
              <w:spacing w:before="0" w:after="0"/>
              <w:ind w:firstLine="0"/>
              <w:jc w:val="center"/>
              <w:rPr>
                <w:b/>
                <w:i/>
                <w:sz w:val="22"/>
                <w:szCs w:val="22"/>
              </w:rPr>
            </w:pPr>
          </w:p>
        </w:tc>
        <w:tc>
          <w:tcPr>
            <w:tcW w:w="1328" w:type="dxa"/>
            <w:vAlign w:val="center"/>
          </w:tcPr>
          <w:p w:rsidR="00E31C26" w:rsidRPr="004F3B23" w:rsidRDefault="00E31C26">
            <w:pPr>
              <w:pStyle w:val="naisf"/>
              <w:spacing w:before="0" w:after="0"/>
              <w:ind w:firstLine="0"/>
              <w:jc w:val="center"/>
              <w:rPr>
                <w:b/>
                <w:i/>
                <w:sz w:val="22"/>
                <w:szCs w:val="22"/>
              </w:rPr>
            </w:pPr>
          </w:p>
        </w:tc>
        <w:tc>
          <w:tcPr>
            <w:tcW w:w="1369" w:type="dxa"/>
            <w:vAlign w:val="center"/>
          </w:tcPr>
          <w:p w:rsidR="00E31C26" w:rsidRPr="004F3B23" w:rsidRDefault="00E31C26">
            <w:pPr>
              <w:pStyle w:val="naisf"/>
              <w:spacing w:before="0" w:after="0"/>
              <w:ind w:firstLine="0"/>
              <w:jc w:val="center"/>
              <w:rPr>
                <w:b/>
                <w:i/>
                <w:sz w:val="22"/>
                <w:szCs w:val="22"/>
              </w:rPr>
            </w:pP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5.1. valsts pamatbudžets</w:t>
            </w:r>
          </w:p>
        </w:tc>
        <w:tc>
          <w:tcPr>
            <w:tcW w:w="0" w:type="auto"/>
            <w:vMerge/>
            <w:vAlign w:val="center"/>
            <w:hideMark/>
          </w:tcPr>
          <w:p w:rsidR="00E31C26" w:rsidRPr="004F3B23" w:rsidRDefault="00E31C26" w:rsidP="004F3B23">
            <w:pPr>
              <w:spacing w:after="0"/>
              <w:jc w:val="center"/>
              <w:rPr>
                <w:rFonts w:ascii="Times New Roman" w:hAnsi="Times New Roman" w:cs="Times New Roman"/>
                <w:i/>
              </w:rPr>
            </w:pP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5.2. speciālais budžets</w:t>
            </w:r>
          </w:p>
        </w:tc>
        <w:tc>
          <w:tcPr>
            <w:tcW w:w="0" w:type="auto"/>
            <w:vMerge/>
            <w:vAlign w:val="center"/>
            <w:hideMark/>
          </w:tcPr>
          <w:p w:rsidR="00E31C26" w:rsidRPr="004F3B23" w:rsidRDefault="00E31C26" w:rsidP="004F3B23">
            <w:pPr>
              <w:spacing w:after="0"/>
              <w:jc w:val="center"/>
              <w:rPr>
                <w:rFonts w:ascii="Times New Roman" w:hAnsi="Times New Roman" w:cs="Times New Roman"/>
                <w:i/>
              </w:rPr>
            </w:pPr>
          </w:p>
        </w:tc>
        <w:tc>
          <w:tcPr>
            <w:tcW w:w="1383"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jc w:val="center"/>
              <w:rPr>
                <w:b/>
                <w:i/>
                <w:sz w:val="22"/>
                <w:szCs w:val="22"/>
              </w:rPr>
            </w:pPr>
            <w:r w:rsidRPr="004F3B23">
              <w:rPr>
                <w:sz w:val="22"/>
                <w:szCs w:val="22"/>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 xml:space="preserve">5.3. pašvaldību budžets </w:t>
            </w:r>
          </w:p>
        </w:tc>
        <w:tc>
          <w:tcPr>
            <w:tcW w:w="0" w:type="auto"/>
            <w:vMerge/>
            <w:vAlign w:val="center"/>
            <w:hideMark/>
          </w:tcPr>
          <w:p w:rsidR="00E31C26" w:rsidRPr="004F3B23" w:rsidRDefault="00E31C26" w:rsidP="004F3B23">
            <w:pPr>
              <w:spacing w:after="0"/>
              <w:rPr>
                <w:rFonts w:ascii="Times New Roman" w:hAnsi="Times New Roman" w:cs="Times New Roman"/>
                <w:i/>
              </w:rPr>
            </w:pPr>
          </w:p>
        </w:tc>
        <w:tc>
          <w:tcPr>
            <w:tcW w:w="1383" w:type="dxa"/>
            <w:vAlign w:val="center"/>
          </w:tcPr>
          <w:p w:rsidR="00E31C26" w:rsidRPr="004F3B23" w:rsidRDefault="00C82F50">
            <w:pPr>
              <w:pStyle w:val="naisf"/>
              <w:spacing w:before="0" w:after="0"/>
              <w:ind w:firstLine="0"/>
              <w:rPr>
                <w:b/>
                <w:i/>
                <w:sz w:val="22"/>
                <w:szCs w:val="22"/>
              </w:rPr>
            </w:pPr>
            <w:r w:rsidRPr="004F3B23">
              <w:rPr>
                <w:sz w:val="22"/>
                <w:szCs w:val="22"/>
              </w:rPr>
              <w:t>Nav attiecināms</w:t>
            </w:r>
          </w:p>
        </w:tc>
        <w:tc>
          <w:tcPr>
            <w:tcW w:w="1271" w:type="dxa"/>
            <w:vAlign w:val="center"/>
          </w:tcPr>
          <w:p w:rsidR="00E31C26" w:rsidRPr="004F3B23" w:rsidRDefault="00C82F50">
            <w:pPr>
              <w:pStyle w:val="naisf"/>
              <w:spacing w:before="0" w:after="0"/>
              <w:ind w:firstLine="0"/>
              <w:rPr>
                <w:b/>
                <w:i/>
                <w:sz w:val="22"/>
                <w:szCs w:val="22"/>
              </w:rPr>
            </w:pPr>
            <w:r w:rsidRPr="004F3B23">
              <w:rPr>
                <w:sz w:val="22"/>
                <w:szCs w:val="22"/>
              </w:rPr>
              <w:t>Nav attiecināms</w:t>
            </w:r>
          </w:p>
        </w:tc>
        <w:tc>
          <w:tcPr>
            <w:tcW w:w="1328" w:type="dxa"/>
            <w:vAlign w:val="center"/>
          </w:tcPr>
          <w:p w:rsidR="00E31C26" w:rsidRPr="004F3B23" w:rsidRDefault="00C82F50">
            <w:pPr>
              <w:pStyle w:val="naisf"/>
              <w:spacing w:before="0" w:after="0"/>
              <w:ind w:firstLine="0"/>
              <w:rPr>
                <w:b/>
                <w:i/>
                <w:sz w:val="22"/>
                <w:szCs w:val="22"/>
              </w:rPr>
            </w:pPr>
            <w:r w:rsidRPr="004F3B23">
              <w:rPr>
                <w:sz w:val="22"/>
                <w:szCs w:val="22"/>
              </w:rPr>
              <w:t>Nav attiecināms</w:t>
            </w:r>
          </w:p>
        </w:tc>
        <w:tc>
          <w:tcPr>
            <w:tcW w:w="1369" w:type="dxa"/>
            <w:vAlign w:val="center"/>
          </w:tcPr>
          <w:p w:rsidR="00E31C26" w:rsidRPr="004F3B23" w:rsidRDefault="00C82F50">
            <w:pPr>
              <w:pStyle w:val="naisf"/>
              <w:spacing w:before="0" w:after="0"/>
              <w:ind w:firstLine="0"/>
              <w:rPr>
                <w:b/>
                <w:i/>
                <w:sz w:val="22"/>
                <w:szCs w:val="22"/>
              </w:rPr>
            </w:pPr>
            <w:r w:rsidRPr="004F3B23">
              <w:rPr>
                <w:sz w:val="22"/>
                <w:szCs w:val="22"/>
              </w:rPr>
              <w:t>Nav attiecināms</w:t>
            </w: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6. Detalizēts ieņēmumu un izdevu</w:t>
            </w:r>
            <w:r w:rsidRPr="004F3B23">
              <w:rPr>
                <w:rFonts w:ascii="Times New Roman" w:hAnsi="Times New Roman" w:cs="Times New Roman"/>
              </w:rPr>
              <w:softHyphen/>
              <w:t xml:space="preserve">mu aprēķins (ja </w:t>
            </w:r>
            <w:r w:rsidRPr="004F3B23">
              <w:rPr>
                <w:rFonts w:ascii="Times New Roman" w:hAnsi="Times New Roman" w:cs="Times New Roman"/>
              </w:rPr>
              <w:lastRenderedPageBreak/>
              <w:t>nepieciešams, detalizētu ieņēmumu un izdevumu aprēķinu var pievienot anotācijas pielikumā):</w:t>
            </w:r>
          </w:p>
        </w:tc>
        <w:tc>
          <w:tcPr>
            <w:tcW w:w="6660" w:type="dxa"/>
            <w:gridSpan w:val="5"/>
            <w:vMerge w:val="restart"/>
            <w:vAlign w:val="center"/>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lastRenderedPageBreak/>
              <w:t>Projekts šo jomu neskar.</w:t>
            </w:r>
          </w:p>
          <w:p w:rsidR="00E31C26" w:rsidRPr="004F3B23" w:rsidRDefault="00E31C26">
            <w:pPr>
              <w:pStyle w:val="naisf"/>
              <w:spacing w:before="0" w:after="0"/>
              <w:ind w:firstLine="0"/>
              <w:rPr>
                <w:b/>
                <w:i/>
                <w:sz w:val="22"/>
                <w:szCs w:val="22"/>
              </w:rPr>
            </w:pP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lastRenderedPageBreak/>
              <w:t>6.1. detalizēts ieņēmumu aprēķins</w:t>
            </w:r>
          </w:p>
        </w:tc>
        <w:tc>
          <w:tcPr>
            <w:tcW w:w="0" w:type="auto"/>
            <w:gridSpan w:val="5"/>
            <w:vMerge/>
            <w:vAlign w:val="center"/>
            <w:hideMark/>
          </w:tcPr>
          <w:p w:rsidR="00E31C26" w:rsidRPr="004F3B23" w:rsidRDefault="00E31C26" w:rsidP="004F3B23">
            <w:pPr>
              <w:spacing w:after="0"/>
              <w:rPr>
                <w:rFonts w:ascii="Times New Roman" w:hAnsi="Times New Roman" w:cs="Times New Roman"/>
                <w:b/>
                <w:i/>
              </w:rPr>
            </w:pP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6.2. detalizēts izdevumu aprēķins</w:t>
            </w:r>
          </w:p>
        </w:tc>
        <w:tc>
          <w:tcPr>
            <w:tcW w:w="0" w:type="auto"/>
            <w:gridSpan w:val="5"/>
            <w:vMerge/>
            <w:vAlign w:val="center"/>
            <w:hideMark/>
          </w:tcPr>
          <w:p w:rsidR="00E31C26" w:rsidRPr="004F3B23" w:rsidRDefault="00E31C26" w:rsidP="004F3B23">
            <w:pPr>
              <w:spacing w:after="0"/>
              <w:rPr>
                <w:rFonts w:ascii="Times New Roman" w:hAnsi="Times New Roman" w:cs="Times New Roman"/>
                <w:b/>
                <w:i/>
              </w:rPr>
            </w:pPr>
          </w:p>
        </w:tc>
      </w:tr>
      <w:tr w:rsidR="004F3B23" w:rsidRPr="004F3B23" w:rsidTr="00E71286">
        <w:trPr>
          <w:jc w:val="center"/>
        </w:trPr>
        <w:tc>
          <w:tcPr>
            <w:tcW w:w="2979" w:type="dxa"/>
            <w:vAlign w:val="center"/>
            <w:hideMark/>
          </w:tcPr>
          <w:p w:rsidR="00E31C26" w:rsidRPr="004F3B23" w:rsidRDefault="00C82F50" w:rsidP="004F3B23">
            <w:pPr>
              <w:spacing w:after="0"/>
              <w:rPr>
                <w:rFonts w:ascii="Times New Roman" w:hAnsi="Times New Roman" w:cs="Times New Roman"/>
              </w:rPr>
            </w:pPr>
            <w:r w:rsidRPr="004F3B23">
              <w:rPr>
                <w:rFonts w:ascii="Times New Roman" w:hAnsi="Times New Roman" w:cs="Times New Roman"/>
              </w:rPr>
              <w:t>7. Cita informācija</w:t>
            </w:r>
          </w:p>
        </w:tc>
        <w:tc>
          <w:tcPr>
            <w:tcW w:w="6660" w:type="dxa"/>
            <w:gridSpan w:val="5"/>
            <w:vAlign w:val="center"/>
            <w:hideMark/>
          </w:tcPr>
          <w:p w:rsidR="00E31C26" w:rsidRPr="004F3B23" w:rsidRDefault="00C82F50" w:rsidP="004F3B23">
            <w:pPr>
              <w:pStyle w:val="naisf"/>
              <w:tabs>
                <w:tab w:val="left" w:pos="4644"/>
              </w:tabs>
              <w:spacing w:before="0" w:after="0"/>
              <w:ind w:firstLine="0"/>
              <w:rPr>
                <w:i/>
                <w:sz w:val="22"/>
                <w:szCs w:val="22"/>
              </w:rPr>
            </w:pPr>
            <w:r w:rsidRPr="004F3B23">
              <w:rPr>
                <w:i/>
                <w:sz w:val="22"/>
                <w:szCs w:val="22"/>
              </w:rPr>
              <w:t>Noteikumu projekts nerada ietekmi uz valsts budžetu.</w:t>
            </w:r>
          </w:p>
          <w:p w:rsidR="00E31C26" w:rsidRPr="004F3B23" w:rsidRDefault="00C82F50" w:rsidP="004F3B23">
            <w:pPr>
              <w:pStyle w:val="naisf"/>
              <w:tabs>
                <w:tab w:val="left" w:pos="4644"/>
              </w:tabs>
              <w:spacing w:before="0" w:after="0"/>
              <w:ind w:firstLine="0"/>
              <w:rPr>
                <w:i/>
                <w:sz w:val="22"/>
                <w:szCs w:val="22"/>
              </w:rPr>
            </w:pPr>
            <w:r w:rsidRPr="004F3B23">
              <w:rPr>
                <w:i/>
                <w:sz w:val="22"/>
                <w:szCs w:val="22"/>
              </w:rPr>
              <w:t>Jau šobrīd valsts administrators piemēro pakalpojuma maksu par darbību emisijas reģistrā nodrošināšanu (ir noteikts cenrādis), tomēr ar noteikumu projektu, pakalpojuma maksas apstiprināšana notiks caurspīdīgi un pārskatāmi.</w:t>
            </w:r>
          </w:p>
          <w:p w:rsidR="00E31C26" w:rsidRPr="004F3B23" w:rsidRDefault="00C82F50" w:rsidP="004F3B23">
            <w:pPr>
              <w:pStyle w:val="naisf"/>
              <w:tabs>
                <w:tab w:val="left" w:pos="4644"/>
              </w:tabs>
              <w:spacing w:before="0" w:after="0"/>
              <w:ind w:firstLine="0"/>
              <w:rPr>
                <w:b/>
                <w:i/>
                <w:sz w:val="22"/>
                <w:szCs w:val="22"/>
              </w:rPr>
            </w:pPr>
            <w:r w:rsidRPr="004F3B23">
              <w:rPr>
                <w:i/>
                <w:sz w:val="22"/>
                <w:szCs w:val="22"/>
              </w:rPr>
              <w:t>Detalizēts izmaksu sadalījums norādīts anotācijas pielikumā.</w:t>
            </w:r>
          </w:p>
        </w:tc>
      </w:tr>
    </w:tbl>
    <w:p w:rsidR="007D0181" w:rsidRPr="007D0181" w:rsidRDefault="007D0181" w:rsidP="007D0181">
      <w:pPr>
        <w:spacing w:after="0"/>
        <w:jc w:val="left"/>
        <w:rPr>
          <w:rFonts w:ascii="Times New Roman" w:eastAsia="Times New Roman" w:hAnsi="Times New Roman" w:cs="Times New Roman"/>
          <w:sz w:val="24"/>
          <w:szCs w:val="24"/>
          <w:lang w:eastAsia="lv-LV"/>
        </w:rPr>
      </w:pPr>
    </w:p>
    <w:tbl>
      <w:tblPr>
        <w:tblW w:w="9356"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8"/>
        <w:gridCol w:w="2713"/>
        <w:gridCol w:w="6175"/>
      </w:tblGrid>
      <w:tr w:rsidR="004F3B23" w:rsidRPr="004F3B23" w:rsidTr="00E71286">
        <w:trPr>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31C26" w:rsidRPr="004F3B23" w:rsidRDefault="00C82F50" w:rsidP="004F3B23">
            <w:pPr>
              <w:spacing w:before="100" w:beforeAutospacing="1" w:after="40" w:afterAutospacing="1" w:line="278" w:lineRule="atLeast"/>
              <w:jc w:val="center"/>
              <w:rPr>
                <w:rFonts w:ascii="Times New Roman" w:eastAsia="Times New Roman" w:hAnsi="Times New Roman" w:cs="Times New Roman"/>
                <w:b/>
                <w:bCs/>
                <w:lang w:eastAsia="lv-LV"/>
              </w:rPr>
            </w:pPr>
            <w:r w:rsidRPr="004F3B23">
              <w:rPr>
                <w:rFonts w:ascii="Times New Roman" w:eastAsia="Times New Roman" w:hAnsi="Times New Roman" w:cs="Times New Roman"/>
                <w:b/>
                <w:bCs/>
                <w:lang w:eastAsia="lv-LV"/>
              </w:rPr>
              <w:t>V. Tiesību akta projekta atbilstība Latvijas Republikas starptautiskajām saistībām</w:t>
            </w:r>
          </w:p>
        </w:tc>
      </w:tr>
      <w:tr w:rsidR="004F3B23" w:rsidRPr="004F3B23" w:rsidTr="00E71286">
        <w:trPr>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D0181" w:rsidRPr="004F3B23" w:rsidRDefault="00C82F50" w:rsidP="007D0181">
            <w:pPr>
              <w:spacing w:after="0"/>
              <w:jc w:val="left"/>
              <w:rPr>
                <w:rFonts w:ascii="Times New Roman" w:eastAsia="Times New Roman" w:hAnsi="Times New Roman" w:cs="Times New Roman"/>
                <w:lang w:eastAsia="lv-LV"/>
              </w:rPr>
            </w:pPr>
            <w:r w:rsidRPr="004F3B23">
              <w:rPr>
                <w:rFonts w:ascii="Times New Roman" w:eastAsia="Times New Roman" w:hAnsi="Times New Roman" w:cs="Times New Roman"/>
                <w:lang w:eastAsia="lv-LV"/>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31C26" w:rsidRPr="004F3B23" w:rsidRDefault="00C82F50" w:rsidP="004F3B23">
            <w:pPr>
              <w:spacing w:after="40"/>
              <w:jc w:val="left"/>
              <w:rPr>
                <w:rFonts w:ascii="Times New Roman" w:eastAsia="Times New Roman" w:hAnsi="Times New Roman" w:cs="Times New Roman"/>
                <w:lang w:eastAsia="lv-LV"/>
              </w:rPr>
            </w:pPr>
            <w:r w:rsidRPr="004F3B23">
              <w:rPr>
                <w:rFonts w:ascii="Times New Roman" w:eastAsia="Times New Roman" w:hAnsi="Times New Roman" w:cs="Times New Roman"/>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31C26" w:rsidRPr="004F3B23" w:rsidRDefault="00C82F50" w:rsidP="004F3B23">
            <w:pPr>
              <w:spacing w:after="40"/>
              <w:ind w:left="57"/>
              <w:rPr>
                <w:rFonts w:ascii="Times New Roman" w:eastAsia="Times New Roman" w:hAnsi="Times New Roman" w:cs="Times New Roman"/>
                <w:lang w:eastAsia="lv-LV"/>
              </w:rPr>
            </w:pPr>
            <w:r w:rsidRPr="004F3B23">
              <w:rPr>
                <w:rFonts w:ascii="Times New Roman" w:hAnsi="Times New Roman" w:cs="Times New Roman"/>
              </w:rPr>
              <w:t>Eiropas Komisijas 2013. gada 2. maija regula Nr. 389/2013, ar ko izveido Savienības reģistru saskaņā ar Eiropas Parlamenta un Padomes Direktīvu 2003/87/EK un Eiropas Parlamenta un Padomes Lēmumu Nr. 280/2004/EK un Lēmumu Nr. 406/2009/EK un atceļ Komisijas Regulu (ES) Nr. 920/2010 un Regulu (ES) Nr. 1193/2011</w:t>
            </w:r>
            <w:r w:rsidR="004F20B9" w:rsidRPr="004F3B23">
              <w:rPr>
                <w:rFonts w:ascii="Times New Roman" w:hAnsi="Times New Roman" w:cs="Times New Roman"/>
              </w:rPr>
              <w:t>.</w:t>
            </w:r>
          </w:p>
        </w:tc>
      </w:tr>
      <w:tr w:rsidR="004F3B23" w:rsidRPr="004F3B23" w:rsidTr="00E71286">
        <w:trPr>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D0181" w:rsidRPr="004F3B23" w:rsidRDefault="00C82F50" w:rsidP="007D0181">
            <w:pPr>
              <w:spacing w:after="0"/>
              <w:jc w:val="left"/>
              <w:rPr>
                <w:rFonts w:ascii="Times New Roman" w:eastAsia="Times New Roman" w:hAnsi="Times New Roman" w:cs="Times New Roman"/>
                <w:lang w:eastAsia="lv-LV"/>
              </w:rPr>
            </w:pPr>
            <w:r w:rsidRPr="004F3B23">
              <w:rPr>
                <w:rFonts w:ascii="Times New Roman" w:eastAsia="Times New Roman" w:hAnsi="Times New Roman" w:cs="Times New Roman"/>
                <w:lang w:eastAsia="lv-LV"/>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7D0181" w:rsidRPr="004F3B23" w:rsidRDefault="00C82F50" w:rsidP="007D0181">
            <w:pPr>
              <w:spacing w:after="0"/>
              <w:jc w:val="left"/>
              <w:rPr>
                <w:rFonts w:ascii="Times New Roman" w:eastAsia="Times New Roman" w:hAnsi="Times New Roman" w:cs="Times New Roman"/>
                <w:lang w:eastAsia="lv-LV"/>
              </w:rPr>
            </w:pPr>
            <w:r w:rsidRPr="004F3B23">
              <w:rPr>
                <w:rFonts w:ascii="Times New Roman" w:eastAsia="Times New Roman" w:hAnsi="Times New Roman" w:cs="Times New Roman"/>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7D0181" w:rsidRPr="004F3B23" w:rsidRDefault="00C82F50" w:rsidP="007D0181">
            <w:pPr>
              <w:spacing w:after="0"/>
              <w:jc w:val="left"/>
              <w:rPr>
                <w:rFonts w:ascii="Times New Roman" w:eastAsia="Times New Roman" w:hAnsi="Times New Roman" w:cs="Times New Roman"/>
                <w:lang w:eastAsia="lv-LV"/>
              </w:rPr>
            </w:pPr>
            <w:r w:rsidRPr="004F3B23">
              <w:rPr>
                <w:rFonts w:ascii="Times New Roman" w:hAnsi="Times New Roman" w:cs="Times New Roman"/>
              </w:rPr>
              <w:t>Projekts šo jomu neskar.</w:t>
            </w:r>
          </w:p>
        </w:tc>
      </w:tr>
      <w:tr w:rsidR="004F3B23" w:rsidRPr="004F3B23" w:rsidTr="00E71286">
        <w:trPr>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D0181" w:rsidRPr="004F3B23" w:rsidRDefault="007D0181" w:rsidP="007D0181">
            <w:pPr>
              <w:spacing w:after="0"/>
              <w:jc w:val="left"/>
              <w:rPr>
                <w:rFonts w:ascii="Times New Roman" w:eastAsia="Times New Roman" w:hAnsi="Times New Roman" w:cs="Times New Roman"/>
                <w:lang w:eastAsia="lv-LV"/>
              </w:rPr>
            </w:pPr>
            <w:r w:rsidRPr="004F3B23">
              <w:rPr>
                <w:rFonts w:ascii="Times New Roman" w:eastAsia="Times New Roman" w:hAnsi="Times New Roman" w:cs="Times New Roman"/>
                <w:lang w:eastAsia="lv-LV"/>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7D0181" w:rsidRPr="004F3B23" w:rsidRDefault="007D0181" w:rsidP="007D0181">
            <w:pPr>
              <w:spacing w:after="0"/>
              <w:jc w:val="left"/>
              <w:rPr>
                <w:rFonts w:ascii="Times New Roman" w:eastAsia="Times New Roman" w:hAnsi="Times New Roman" w:cs="Times New Roman"/>
                <w:lang w:eastAsia="lv-LV"/>
              </w:rPr>
            </w:pPr>
            <w:r w:rsidRPr="004F3B23">
              <w:rPr>
                <w:rFonts w:ascii="Times New Roman" w:eastAsia="Times New Roman" w:hAnsi="Times New Roman" w:cs="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7D0181" w:rsidRPr="004F3B23" w:rsidRDefault="007D0181" w:rsidP="007D0181">
            <w:pPr>
              <w:spacing w:before="100" w:beforeAutospacing="1" w:after="100" w:afterAutospacing="1" w:line="278" w:lineRule="atLeast"/>
              <w:jc w:val="left"/>
              <w:rPr>
                <w:rFonts w:ascii="Times New Roman" w:eastAsia="Times New Roman" w:hAnsi="Times New Roman" w:cs="Times New Roman"/>
                <w:lang w:eastAsia="lv-LV"/>
              </w:rPr>
            </w:pPr>
            <w:r w:rsidRPr="004F3B23">
              <w:rPr>
                <w:rFonts w:ascii="Times New Roman" w:eastAsia="Times New Roman" w:hAnsi="Times New Roman" w:cs="Times New Roman"/>
                <w:lang w:eastAsia="lv-LV"/>
              </w:rPr>
              <w:t>Nav</w:t>
            </w:r>
          </w:p>
        </w:tc>
      </w:tr>
    </w:tbl>
    <w:p w:rsidR="00E31C26" w:rsidRDefault="00E31C26" w:rsidP="004F3B23">
      <w:pPr>
        <w:shd w:val="clear" w:color="auto" w:fill="FFFFFF"/>
        <w:spacing w:after="0"/>
        <w:jc w:val="left"/>
        <w:rPr>
          <w:rFonts w:ascii="Arial" w:hAnsi="Arial" w:cs="Arial"/>
          <w:color w:val="414142"/>
          <w:sz w:val="27"/>
          <w:szCs w:val="27"/>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2264"/>
        <w:gridCol w:w="1944"/>
        <w:gridCol w:w="2620"/>
        <w:gridCol w:w="2528"/>
      </w:tblGrid>
      <w:tr w:rsidR="004F3B23" w:rsidRPr="004F3B23" w:rsidTr="00482F9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40" w:afterAutospacing="0"/>
              <w:jc w:val="center"/>
              <w:rPr>
                <w:b/>
                <w:bCs/>
                <w:sz w:val="22"/>
                <w:szCs w:val="22"/>
              </w:rPr>
            </w:pPr>
            <w:r w:rsidRPr="004F3B23">
              <w:rPr>
                <w:b/>
                <w:bCs/>
                <w:sz w:val="22"/>
                <w:szCs w:val="22"/>
              </w:rPr>
              <w:t>1.tabula</w:t>
            </w:r>
            <w:r w:rsidRPr="004F3B23">
              <w:rPr>
                <w:b/>
                <w:bCs/>
                <w:sz w:val="22"/>
                <w:szCs w:val="22"/>
              </w:rPr>
              <w:br/>
              <w:t>Tiesību akta projekta atbilstība ES tiesību aktiem</w:t>
            </w:r>
          </w:p>
        </w:tc>
      </w:tr>
      <w:tr w:rsidR="004F3B23" w:rsidRPr="004F3B23" w:rsidTr="00482F95">
        <w:trPr>
          <w:jc w:val="center"/>
        </w:trPr>
        <w:tc>
          <w:tcPr>
            <w:tcW w:w="121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sz w:val="20"/>
                <w:szCs w:val="20"/>
              </w:rPr>
            </w:pPr>
            <w:r w:rsidRPr="004F3B23">
              <w:rPr>
                <w:rFonts w:ascii="Times New Roman" w:hAnsi="Times New Roman" w:cs="Times New Roman"/>
                <w:sz w:val="20"/>
                <w:szCs w:val="20"/>
              </w:rPr>
              <w:t>Attiecīgā ES tiesību akta datums, numurs un nosaukums</w:t>
            </w:r>
          </w:p>
        </w:tc>
        <w:tc>
          <w:tcPr>
            <w:tcW w:w="3790" w:type="pct"/>
            <w:gridSpan w:val="3"/>
            <w:tcBorders>
              <w:top w:val="outset" w:sz="6" w:space="0" w:color="414142"/>
              <w:left w:val="outset" w:sz="6" w:space="0" w:color="414142"/>
              <w:bottom w:val="outset" w:sz="6" w:space="0" w:color="414142"/>
              <w:right w:val="outset" w:sz="6" w:space="0" w:color="414142"/>
            </w:tcBorders>
            <w:hideMark/>
          </w:tcPr>
          <w:p w:rsidR="00E31C26" w:rsidRPr="004F3B23" w:rsidRDefault="00FE2FBE" w:rsidP="004F3B23">
            <w:pPr>
              <w:spacing w:after="40"/>
              <w:rPr>
                <w:rFonts w:ascii="Times New Roman" w:hAnsi="Times New Roman" w:cs="Times New Roman"/>
                <w:sz w:val="20"/>
                <w:szCs w:val="20"/>
              </w:rPr>
            </w:pPr>
            <w:r w:rsidRPr="004F3B23">
              <w:rPr>
                <w:rFonts w:ascii="Times New Roman" w:hAnsi="Times New Roman" w:cs="Times New Roman"/>
              </w:rPr>
              <w:t>Eiropas Komisijas 2013. gada 2. maija regula Nr. 389/2013, ar ko izveido Savienības reģistru saskaņā ar Eiropas Parlamenta un Padomes Direktīvu 2003/87/EK un Eiropas Parlamenta un Padomes Lēmumu Nr. 280/2004/EK un Lēmumu Nr. 406/2009/EK un atceļ Komisijas Regulu (ES) Nr. 920/2010 un Regulu (ES) Nr. 1193/2011</w:t>
            </w:r>
          </w:p>
        </w:tc>
      </w:tr>
      <w:tr w:rsidR="004F3B23" w:rsidRPr="004F3B23" w:rsidTr="00482F95">
        <w:trPr>
          <w:jc w:val="center"/>
        </w:trPr>
        <w:tc>
          <w:tcPr>
            <w:tcW w:w="1210" w:type="pct"/>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40" w:afterAutospacing="0"/>
              <w:jc w:val="center"/>
              <w:rPr>
                <w:sz w:val="20"/>
                <w:szCs w:val="20"/>
              </w:rPr>
            </w:pPr>
            <w:r w:rsidRPr="004F3B23">
              <w:rPr>
                <w:sz w:val="20"/>
                <w:szCs w:val="20"/>
              </w:rPr>
              <w:t>A</w:t>
            </w:r>
          </w:p>
        </w:tc>
        <w:tc>
          <w:tcPr>
            <w:tcW w:w="1039" w:type="pct"/>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40" w:afterAutospacing="0"/>
              <w:jc w:val="center"/>
              <w:rPr>
                <w:sz w:val="20"/>
                <w:szCs w:val="20"/>
              </w:rPr>
            </w:pPr>
            <w:r w:rsidRPr="004F3B23">
              <w:rPr>
                <w:sz w:val="20"/>
                <w:szCs w:val="20"/>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40" w:afterAutospacing="0"/>
              <w:jc w:val="center"/>
              <w:rPr>
                <w:sz w:val="20"/>
                <w:szCs w:val="20"/>
              </w:rPr>
            </w:pPr>
            <w:r w:rsidRPr="004F3B23">
              <w:rPr>
                <w:sz w:val="20"/>
                <w:szCs w:val="20"/>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40" w:afterAutospacing="0"/>
              <w:jc w:val="center"/>
              <w:rPr>
                <w:sz w:val="20"/>
                <w:szCs w:val="20"/>
              </w:rPr>
            </w:pPr>
            <w:r w:rsidRPr="004F3B23">
              <w:rPr>
                <w:sz w:val="20"/>
                <w:szCs w:val="20"/>
              </w:rPr>
              <w:t>D</w:t>
            </w:r>
          </w:p>
        </w:tc>
      </w:tr>
      <w:tr w:rsidR="004F3B23" w:rsidRPr="004F3B23" w:rsidTr="00482F95">
        <w:trPr>
          <w:jc w:val="center"/>
        </w:trPr>
        <w:tc>
          <w:tcPr>
            <w:tcW w:w="121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sz w:val="20"/>
                <w:szCs w:val="20"/>
              </w:rPr>
            </w:pPr>
            <w:r w:rsidRPr="004F3B23">
              <w:rPr>
                <w:rFonts w:ascii="Times New Roman" w:hAnsi="Times New Roman" w:cs="Times New Roman"/>
                <w:sz w:val="20"/>
                <w:szCs w:val="20"/>
              </w:rPr>
              <w:t>Attiecīgā ES tiesību akta panta numurs (uzskaitot katru tiesību akta vienību – pantu, daļu, punktu, apakšpunktu)</w:t>
            </w:r>
          </w:p>
        </w:tc>
        <w:tc>
          <w:tcPr>
            <w:tcW w:w="1039"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sz w:val="20"/>
                <w:szCs w:val="20"/>
              </w:rPr>
            </w:pPr>
            <w:r w:rsidRPr="004F3B23">
              <w:rPr>
                <w:rFonts w:ascii="Times New Roman" w:hAnsi="Times New Roman" w:cs="Times New Roman"/>
                <w:sz w:val="20"/>
                <w:szCs w:val="20"/>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sz w:val="20"/>
                <w:szCs w:val="20"/>
              </w:rPr>
            </w:pPr>
            <w:r w:rsidRPr="004F3B23">
              <w:rPr>
                <w:rFonts w:ascii="Times New Roman" w:hAnsi="Times New Roman" w:cs="Times New Roman"/>
                <w:sz w:val="20"/>
                <w:szCs w:val="20"/>
              </w:rPr>
              <w:t>Informācija par to, vai šīs tabulas A ailē minētās ES tiesību akta vienības tiek pārņemtas vai ieviestas pilnībā vai daļēji.</w:t>
            </w:r>
          </w:p>
          <w:p w:rsidR="00E31C26" w:rsidRPr="004F3B23" w:rsidRDefault="00C82F50" w:rsidP="004F3B23">
            <w:pPr>
              <w:pStyle w:val="tvhtml"/>
              <w:spacing w:before="0" w:beforeAutospacing="0" w:after="40" w:afterAutospacing="0"/>
              <w:rPr>
                <w:sz w:val="20"/>
                <w:szCs w:val="20"/>
              </w:rPr>
            </w:pPr>
            <w:r w:rsidRPr="004F3B23">
              <w:rPr>
                <w:sz w:val="20"/>
                <w:szCs w:val="20"/>
              </w:rPr>
              <w:t>Ja attiecīgā ES tiesību akta vienība tiek pārņemta vai ieviesta daļēji, sniedz attiecīgu skaidrojumu, kā arī precīzi norāda, kad un kādā veidā ES tiesību akta vienība tiks pārņemta vai ieviesta pilnībā.</w:t>
            </w:r>
          </w:p>
          <w:p w:rsidR="00E31C26" w:rsidRPr="004F3B23" w:rsidRDefault="00C82F50" w:rsidP="004F3B23">
            <w:pPr>
              <w:pStyle w:val="tvhtml"/>
              <w:spacing w:before="0" w:beforeAutospacing="0" w:after="40" w:afterAutospacing="0"/>
              <w:rPr>
                <w:sz w:val="20"/>
                <w:szCs w:val="20"/>
              </w:rPr>
            </w:pPr>
            <w:r w:rsidRPr="004F3B23">
              <w:rPr>
                <w:sz w:val="20"/>
                <w:szCs w:val="20"/>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sz w:val="20"/>
                <w:szCs w:val="20"/>
              </w:rPr>
            </w:pPr>
            <w:r w:rsidRPr="004F3B23">
              <w:rPr>
                <w:rFonts w:ascii="Times New Roman" w:hAnsi="Times New Roman" w:cs="Times New Roman"/>
                <w:sz w:val="20"/>
                <w:szCs w:val="20"/>
              </w:rPr>
              <w:t>Informācija par to, vai šīs tabulas B ailē minētās projekta vienības paredz stingrākas prasības nekā šīs tabulas A ailē minētās ES tiesību akta vienības.</w:t>
            </w:r>
          </w:p>
          <w:p w:rsidR="00E31C26" w:rsidRPr="004F3B23" w:rsidRDefault="00C82F50" w:rsidP="004F3B23">
            <w:pPr>
              <w:pStyle w:val="tvhtml"/>
              <w:spacing w:before="0" w:beforeAutospacing="0" w:after="40" w:afterAutospacing="0"/>
              <w:rPr>
                <w:sz w:val="20"/>
                <w:szCs w:val="20"/>
              </w:rPr>
            </w:pPr>
            <w:r w:rsidRPr="004F3B23">
              <w:rPr>
                <w:sz w:val="20"/>
                <w:szCs w:val="20"/>
              </w:rPr>
              <w:t>Ja projekts satur stingrākas prasības nekā attiecīgais ES tiesību akts, norāda pamatojumu un samērīgumu.</w:t>
            </w:r>
          </w:p>
          <w:p w:rsidR="00E31C26" w:rsidRPr="004F3B23" w:rsidRDefault="00C82F50" w:rsidP="004F3B23">
            <w:pPr>
              <w:pStyle w:val="tvhtml"/>
              <w:spacing w:before="0" w:beforeAutospacing="0" w:after="40" w:afterAutospacing="0"/>
              <w:rPr>
                <w:sz w:val="20"/>
                <w:szCs w:val="20"/>
              </w:rPr>
            </w:pPr>
            <w:r w:rsidRPr="004F3B23">
              <w:rPr>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4F3B23" w:rsidRPr="004F3B23" w:rsidTr="00482F95">
        <w:trPr>
          <w:jc w:val="center"/>
        </w:trPr>
        <w:tc>
          <w:tcPr>
            <w:tcW w:w="1210" w:type="pct"/>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spacing w:after="40"/>
              <w:rPr>
                <w:rFonts w:ascii="Times New Roman" w:hAnsi="Times New Roman" w:cs="Times New Roman"/>
              </w:rPr>
            </w:pPr>
            <w:r w:rsidRPr="004F3B23">
              <w:rPr>
                <w:rFonts w:ascii="Times New Roman" w:hAnsi="Times New Roman" w:cs="Times New Roman"/>
              </w:rPr>
              <w:lastRenderedPageBreak/>
              <w:t>111.panta 2.punkts</w:t>
            </w:r>
          </w:p>
        </w:tc>
        <w:tc>
          <w:tcPr>
            <w:tcW w:w="1039" w:type="pct"/>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spacing w:after="40"/>
              <w:rPr>
                <w:rFonts w:ascii="Times New Roman" w:hAnsi="Times New Roman" w:cs="Times New Roman"/>
              </w:rPr>
            </w:pPr>
            <w:r w:rsidRPr="004F3B23">
              <w:rPr>
                <w:rFonts w:ascii="Times New Roman" w:hAnsi="Times New Roman" w:cs="Times New Roman"/>
              </w:rPr>
              <w:t>noteikumu projekta 2.punkts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40" w:afterAutospacing="0"/>
              <w:rPr>
                <w:sz w:val="22"/>
                <w:szCs w:val="22"/>
              </w:rPr>
            </w:pPr>
            <w:r w:rsidRPr="004F3B23">
              <w:rPr>
                <w:sz w:val="22"/>
                <w:szCs w:val="22"/>
              </w:rPr>
              <w:t>Ieviests</w:t>
            </w:r>
          </w:p>
        </w:tc>
        <w:tc>
          <w:tcPr>
            <w:tcW w:w="1350" w:type="pct"/>
            <w:tcBorders>
              <w:top w:val="outset" w:sz="6" w:space="0" w:color="414142"/>
              <w:left w:val="outset" w:sz="6" w:space="0" w:color="414142"/>
              <w:bottom w:val="outset" w:sz="6" w:space="0" w:color="414142"/>
              <w:right w:val="outset" w:sz="6" w:space="0" w:color="414142"/>
            </w:tcBorders>
            <w:hideMark/>
          </w:tcPr>
          <w:p w:rsidR="00E31C26" w:rsidRPr="004F3B23" w:rsidRDefault="00E31C26" w:rsidP="004F3B23">
            <w:pPr>
              <w:pStyle w:val="tvhtml"/>
              <w:spacing w:before="0" w:beforeAutospacing="0" w:after="40" w:afterAutospacing="0"/>
              <w:rPr>
                <w:sz w:val="22"/>
                <w:szCs w:val="22"/>
              </w:rPr>
            </w:pPr>
          </w:p>
        </w:tc>
      </w:tr>
      <w:tr w:rsidR="004F3B23" w:rsidRPr="004F3B23" w:rsidTr="00482F95">
        <w:trPr>
          <w:jc w:val="center"/>
        </w:trPr>
        <w:tc>
          <w:tcPr>
            <w:tcW w:w="121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rPr>
            </w:pPr>
            <w:r w:rsidRPr="004F3B23">
              <w:rPr>
                <w:rFonts w:ascii="Times New Roman" w:hAnsi="Times New Roman" w:cs="Times New Roman"/>
              </w:rPr>
              <w:t>Kā ir izmantota ES tiesību aktā paredzētā rīcības brīvība dalībvalstij pārņemt vai ieviest noteiktas ES tiesību akta normas?</w:t>
            </w:r>
            <w:r w:rsidRPr="004F3B23">
              <w:rPr>
                <w:rFonts w:ascii="Times New Roman" w:hAnsi="Times New Roman" w:cs="Times New Roman"/>
              </w:rPr>
              <w:br/>
              <w:t>Kādēļ?</w:t>
            </w:r>
          </w:p>
        </w:tc>
        <w:tc>
          <w:tcPr>
            <w:tcW w:w="3790" w:type="pct"/>
            <w:gridSpan w:val="3"/>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pStyle w:val="naisc"/>
              <w:spacing w:before="0" w:after="40"/>
              <w:ind w:firstLine="121"/>
              <w:jc w:val="both"/>
              <w:rPr>
                <w:i/>
                <w:sz w:val="22"/>
                <w:szCs w:val="22"/>
              </w:rPr>
            </w:pPr>
            <w:r w:rsidRPr="004F3B23">
              <w:rPr>
                <w:i/>
                <w:sz w:val="22"/>
                <w:szCs w:val="22"/>
              </w:rPr>
              <w:t>Komisijas regulas Nr.389/2013 111.panta 2.punktā dalībvalstīm ir noteikta rīcības brīvība pakalpojuma maksas piemērošanā.</w:t>
            </w:r>
          </w:p>
          <w:p w:rsidR="00E31C26" w:rsidRPr="004F3B23" w:rsidRDefault="00C82F50" w:rsidP="004F3B23">
            <w:pPr>
              <w:spacing w:after="40"/>
              <w:rPr>
                <w:rFonts w:ascii="Times New Roman" w:hAnsi="Times New Roman" w:cs="Times New Roman"/>
              </w:rPr>
            </w:pPr>
            <w:r w:rsidRPr="004F3B23">
              <w:rPr>
                <w:rFonts w:ascii="Times New Roman" w:hAnsi="Times New Roman" w:cs="Times New Roman"/>
                <w:i/>
              </w:rPr>
              <w:t>Valsts SIA „Latvijas Vides, ģeoloģijas un meteoroloģijas centrs” ar likumu „Par piesārņojumu” ir iecelts par valsts administratoru – ir dots deleģējums pildīt publisku funkciju. Par valsts administratoru pienākumu pildīšanu „Latvijas Vides, ģeoloģijas un meteoroloģijas centrs” netiek piešķirti līdzekļi no valsts budžeta. Savukārt ar Komisijas regulu Nr.389/2013 un Noteikumiem Nr.250 valsts SIA „Latvijas Vides, ģeoloģijas un meteoroloģijas centrs” kā valsts administratoram ir noteikts veikt nozīmīgu apjomu administratīvo procedūru darbību emisijas reģistrā nodrošināšanai, jo īpaši kas attiecas uz kontu atvēršanu, konta pilnvaroto pārstāvju un papildu pilnvaroto pārstāvju apstiprināšanu un darbību emisijas reģistrā (tai skaitā pārskaitījumu) uzraudzību un kontroli. Līdz ar to likumā „Par piesārņojumu” un Noteikumos Nr.250 tika noteikts, ka valsts administratora pakalpojuma maksa par emisijas reģistrā esošo kontu administrēšanu ir iespējama, un noteikts, ka šo cenrādi izstrādās saskaņā ar Ministru kabineta noteiktajiem nosacījumiem un apstiprinās Ministru kabinets.</w:t>
            </w:r>
          </w:p>
        </w:tc>
      </w:tr>
      <w:tr w:rsidR="004F3B23" w:rsidRPr="004F3B23" w:rsidTr="00482F95">
        <w:trPr>
          <w:jc w:val="center"/>
        </w:trPr>
        <w:tc>
          <w:tcPr>
            <w:tcW w:w="121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rPr>
            </w:pPr>
            <w:r w:rsidRPr="004F3B23">
              <w:rPr>
                <w:rFonts w:ascii="Times New Roman" w:hAnsi="Times New Roman" w:cs="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0" w:type="pct"/>
            <w:gridSpan w:val="3"/>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rPr>
            </w:pPr>
            <w:r w:rsidRPr="004F3B23">
              <w:rPr>
                <w:rFonts w:ascii="Times New Roman" w:hAnsi="Times New Roman" w:cs="Times New Roman"/>
              </w:rPr>
              <w:t>Projekts šo jomu neskar.</w:t>
            </w:r>
          </w:p>
        </w:tc>
      </w:tr>
      <w:tr w:rsidR="004F3B23" w:rsidRPr="004F3B23" w:rsidTr="00482F95">
        <w:trPr>
          <w:jc w:val="center"/>
        </w:trPr>
        <w:tc>
          <w:tcPr>
            <w:tcW w:w="121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40"/>
              <w:rPr>
                <w:rFonts w:ascii="Times New Roman" w:hAnsi="Times New Roman" w:cs="Times New Roman"/>
              </w:rPr>
            </w:pPr>
            <w:r w:rsidRPr="004F3B23">
              <w:rPr>
                <w:rFonts w:ascii="Times New Roman" w:hAnsi="Times New Roman" w:cs="Times New Roman"/>
              </w:rPr>
              <w:t>Cita informācija</w:t>
            </w:r>
          </w:p>
        </w:tc>
        <w:tc>
          <w:tcPr>
            <w:tcW w:w="3790" w:type="pct"/>
            <w:gridSpan w:val="3"/>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pStyle w:val="tvhtml"/>
              <w:spacing w:before="0" w:beforeAutospacing="0" w:after="40" w:afterAutospacing="0"/>
              <w:rPr>
                <w:sz w:val="22"/>
                <w:szCs w:val="22"/>
              </w:rPr>
            </w:pPr>
            <w:r w:rsidRPr="004F3B23">
              <w:rPr>
                <w:sz w:val="22"/>
                <w:szCs w:val="22"/>
              </w:rPr>
              <w:t>Nav</w:t>
            </w:r>
          </w:p>
        </w:tc>
      </w:tr>
      <w:tr w:rsidR="004F3B23" w:rsidRPr="004F3B23" w:rsidTr="00482F9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40" w:afterAutospacing="0"/>
              <w:jc w:val="center"/>
              <w:rPr>
                <w:b/>
                <w:bCs/>
                <w:sz w:val="22"/>
                <w:szCs w:val="22"/>
              </w:rPr>
            </w:pPr>
            <w:r w:rsidRPr="004F3B23">
              <w:rPr>
                <w:b/>
                <w:bCs/>
                <w:sz w:val="22"/>
                <w:szCs w:val="22"/>
              </w:rPr>
              <w:t>2.tabula</w:t>
            </w:r>
            <w:r w:rsidRPr="004F3B23">
              <w:rPr>
                <w:b/>
                <w:bCs/>
                <w:sz w:val="22"/>
                <w:szCs w:val="22"/>
              </w:rPr>
              <w:br/>
              <w:t>Ar tiesību akta projektu izpildītās vai uzņemtās saistības, kas izriet no starptautiskajiem tiesību aktiem vai starptautiskas institūcijas vai organizācijas dokumentiem.</w:t>
            </w:r>
            <w:r w:rsidRPr="004F3B23">
              <w:rPr>
                <w:b/>
                <w:bCs/>
                <w:sz w:val="22"/>
                <w:szCs w:val="22"/>
              </w:rPr>
              <w:br/>
              <w:t>Pasākumi šo saistību izpildei</w:t>
            </w:r>
          </w:p>
        </w:tc>
      </w:tr>
      <w:tr w:rsidR="004F3B23" w:rsidRPr="004F3B23" w:rsidTr="00482F95">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spacing w:after="40"/>
              <w:rPr>
                <w:rFonts w:ascii="Times New Roman" w:hAnsi="Times New Roman" w:cs="Times New Roman"/>
              </w:rPr>
            </w:pPr>
            <w:r w:rsidRPr="004F3B23">
              <w:rPr>
                <w:rFonts w:ascii="Times New Roman" w:hAnsi="Times New Roman" w:cs="Times New Roman"/>
              </w:rPr>
              <w:t>Projekts šo jomu neskar.</w:t>
            </w:r>
          </w:p>
        </w:tc>
      </w:tr>
    </w:tbl>
    <w:p w:rsidR="00C715D5" w:rsidRDefault="00C715D5" w:rsidP="00C715D5">
      <w:pPr>
        <w:shd w:val="clear" w:color="auto" w:fill="FFFFFF"/>
        <w:jc w:val="center"/>
        <w:rPr>
          <w:rFonts w:ascii="Arial" w:hAnsi="Arial" w:cs="Arial"/>
          <w:color w:val="414142"/>
          <w:sz w:val="27"/>
          <w:szCs w:val="27"/>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807"/>
        <w:gridCol w:w="6081"/>
      </w:tblGrid>
      <w:tr w:rsidR="00C715D5" w:rsidRPr="00C715D5" w:rsidTr="004F3B23">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31C26" w:rsidRPr="004F3B23" w:rsidRDefault="00C82F50" w:rsidP="004F3B23">
            <w:pPr>
              <w:pStyle w:val="tvhtml"/>
              <w:spacing w:before="0" w:beforeAutospacing="0" w:after="0" w:afterAutospacing="0"/>
              <w:jc w:val="center"/>
              <w:rPr>
                <w:b/>
                <w:bCs/>
                <w:color w:val="000000" w:themeColor="text1"/>
                <w:sz w:val="22"/>
                <w:szCs w:val="22"/>
              </w:rPr>
            </w:pPr>
            <w:r w:rsidRPr="004F3B23">
              <w:rPr>
                <w:b/>
                <w:bCs/>
                <w:color w:val="000000" w:themeColor="text1"/>
                <w:sz w:val="22"/>
                <w:szCs w:val="22"/>
              </w:rPr>
              <w:t>VI. Sabiedrības līdzdalība un komunikācijas aktivitātes</w:t>
            </w:r>
          </w:p>
        </w:tc>
      </w:tr>
      <w:tr w:rsidR="00C715D5" w:rsidRPr="00C715D5" w:rsidTr="004F3B23">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1.</w:t>
            </w:r>
          </w:p>
        </w:tc>
        <w:tc>
          <w:tcPr>
            <w:tcW w:w="150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31C26" w:rsidRPr="004F3B23" w:rsidRDefault="00D83518" w:rsidP="004F3B23">
            <w:pPr>
              <w:pStyle w:val="naiskr"/>
              <w:spacing w:before="0" w:after="0"/>
              <w:jc w:val="both"/>
              <w:rPr>
                <w:color w:val="000000" w:themeColor="text1"/>
                <w:sz w:val="22"/>
                <w:szCs w:val="22"/>
              </w:rPr>
            </w:pPr>
            <w:r>
              <w:rPr>
                <w:color w:val="000000" w:themeColor="text1"/>
                <w:sz w:val="22"/>
                <w:szCs w:val="22"/>
              </w:rPr>
              <w:t>Personas, uz kurām attiecas noteikumu projektā iekļautie nosacījumi, kā arī pārējā sabiedrība tika informēta par noteikuma projekta izstrādi, kad n</w:t>
            </w:r>
            <w:r w:rsidR="00C82F50" w:rsidRPr="004F3B23">
              <w:rPr>
                <w:color w:val="000000" w:themeColor="text1"/>
                <w:sz w:val="22"/>
                <w:szCs w:val="22"/>
              </w:rPr>
              <w:t>oteikumu projekts</w:t>
            </w:r>
            <w:r>
              <w:rPr>
                <w:color w:val="000000" w:themeColor="text1"/>
                <w:sz w:val="22"/>
                <w:szCs w:val="22"/>
              </w:rPr>
              <w:t xml:space="preserve"> tika</w:t>
            </w:r>
            <w:r w:rsidR="00C82F50" w:rsidRPr="004F3B23">
              <w:rPr>
                <w:color w:val="000000" w:themeColor="text1"/>
                <w:sz w:val="22"/>
                <w:szCs w:val="22"/>
              </w:rPr>
              <w:t xml:space="preserve"> ievietots publiskai apspriešanai Vides aizsardzības un reģionālās attīstības ministrijas tīmekļa vietnē 2014.gada 6.maijā.</w:t>
            </w:r>
          </w:p>
          <w:p w:rsidR="00A43A1F" w:rsidRDefault="00C82F50">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 xml:space="preserve">Sabiedrība tika informēta par šo noteikumu projektu </w:t>
            </w:r>
            <w:r w:rsidR="00D83518">
              <w:rPr>
                <w:rFonts w:ascii="Times New Roman" w:hAnsi="Times New Roman" w:cs="Times New Roman"/>
                <w:color w:val="000000" w:themeColor="text1"/>
              </w:rPr>
              <w:t xml:space="preserve">(emisijas reģistra valsts administratora pakalpojuma maksas cenrāža izstrādi un tā apstiprināšanu Ministru kabinetā) </w:t>
            </w:r>
            <w:r w:rsidRPr="004F3B23">
              <w:rPr>
                <w:rFonts w:ascii="Times New Roman" w:hAnsi="Times New Roman" w:cs="Times New Roman"/>
                <w:color w:val="000000" w:themeColor="text1"/>
              </w:rPr>
              <w:t>likumprojekta „Grozījumi likumā „Par piesārņojumu” un Noteikumu Nr.</w:t>
            </w:r>
            <w:r w:rsidR="00D83518">
              <w:rPr>
                <w:rFonts w:ascii="Times New Roman" w:hAnsi="Times New Roman" w:cs="Times New Roman"/>
                <w:color w:val="000000" w:themeColor="text1"/>
              </w:rPr>
              <w:t>250</w:t>
            </w:r>
            <w:r w:rsidR="00855B55" w:rsidRPr="004F3B23">
              <w:rPr>
                <w:rFonts w:ascii="Times New Roman" w:hAnsi="Times New Roman" w:cs="Times New Roman"/>
                <w:color w:val="000000" w:themeColor="text1"/>
              </w:rPr>
              <w:t xml:space="preserve"> </w:t>
            </w:r>
            <w:r w:rsidRPr="004F3B23">
              <w:rPr>
                <w:rFonts w:ascii="Times New Roman" w:hAnsi="Times New Roman" w:cs="Times New Roman"/>
                <w:color w:val="000000" w:themeColor="text1"/>
              </w:rPr>
              <w:t>izstrādes laikā.</w:t>
            </w:r>
          </w:p>
        </w:tc>
      </w:tr>
      <w:tr w:rsidR="00C715D5" w:rsidRPr="00C715D5" w:rsidTr="004F3B23">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2.</w:t>
            </w:r>
          </w:p>
        </w:tc>
        <w:tc>
          <w:tcPr>
            <w:tcW w:w="150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 xml:space="preserve">Sabiedrības līdzdalība projekta </w:t>
            </w:r>
            <w:r w:rsidRPr="004F3B23">
              <w:rPr>
                <w:rFonts w:ascii="Times New Roman" w:hAnsi="Times New Roman" w:cs="Times New Roman"/>
                <w:color w:val="000000" w:themeColor="text1"/>
              </w:rPr>
              <w:lastRenderedPageBreak/>
              <w:t>izstrādē</w:t>
            </w:r>
          </w:p>
        </w:tc>
        <w:tc>
          <w:tcPr>
            <w:tcW w:w="325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lastRenderedPageBreak/>
              <w:t xml:space="preserve">Noteikumu projekts publicēts Vides aizsardzības un reģionālās </w:t>
            </w:r>
            <w:r w:rsidRPr="004F3B23">
              <w:rPr>
                <w:rFonts w:ascii="Times New Roman" w:hAnsi="Times New Roman" w:cs="Times New Roman"/>
                <w:color w:val="000000" w:themeColor="text1"/>
              </w:rPr>
              <w:lastRenderedPageBreak/>
              <w:t>attīstības tīmekļa vietnē.</w:t>
            </w:r>
          </w:p>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Par emisijas reģistra pakalpojuma maksas piemērošanu sabiedrības mērķgrupas – Eiropas Savienības Emisijas kvotu tirdzniecības sistēmas Latvijas operatori un Latvijas administrācijā esošie gaisa kuģu operatori, informētas, izmantojot elektronisko pastu.</w:t>
            </w:r>
          </w:p>
        </w:tc>
      </w:tr>
      <w:tr w:rsidR="00C715D5" w:rsidRPr="00C715D5" w:rsidTr="004F3B23">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43A1F" w:rsidRDefault="00AC73FF">
            <w:pPr>
              <w:spacing w:before="40" w:after="40"/>
              <w:rPr>
                <w:rFonts w:ascii="Times New Roman" w:hAnsi="Times New Roman" w:cs="Times New Roman"/>
                <w:color w:val="000000" w:themeColor="text1"/>
              </w:rPr>
            </w:pPr>
            <w:r>
              <w:rPr>
                <w:rFonts w:ascii="Times New Roman" w:hAnsi="Times New Roman" w:cs="Times New Roman"/>
                <w:color w:val="000000" w:themeColor="text1"/>
              </w:rPr>
              <w:t xml:space="preserve">Noteikumu projektā iekļauto emisijas reģistra pakalpojuma maksu un maksas noteikšanas nosacījumu sabiedrības mērķgrupas atbalsta. </w:t>
            </w:r>
          </w:p>
          <w:p w:rsidR="00A43A1F" w:rsidRDefault="00AC73FF">
            <w:pPr>
              <w:spacing w:before="40" w:after="40"/>
              <w:rPr>
                <w:rFonts w:ascii="Times New Roman" w:hAnsi="Times New Roman" w:cs="Times New Roman"/>
                <w:color w:val="000000" w:themeColor="text1"/>
              </w:rPr>
            </w:pPr>
            <w:r>
              <w:rPr>
                <w:rFonts w:ascii="Times New Roman" w:hAnsi="Times New Roman" w:cs="Times New Roman"/>
                <w:color w:val="000000" w:themeColor="text1"/>
              </w:rPr>
              <w:t>Savu viedokli par emisijas reģistra valsts administratora maksas pakalpojuma cenrādi ir snieguši vairāki operatori, kā arī viena juridiska persona, kurš vēlētos emisijas reģistrā atvērt personas kontu:</w:t>
            </w:r>
          </w:p>
          <w:p w:rsidR="00A43A1F" w:rsidRDefault="00AC73FF">
            <w:pPr>
              <w:pStyle w:val="ListParagraph"/>
              <w:numPr>
                <w:ilvl w:val="0"/>
                <w:numId w:val="35"/>
              </w:numPr>
              <w:spacing w:before="40" w:after="40"/>
              <w:ind w:left="397" w:hanging="340"/>
              <w:contextualSpacing w:val="0"/>
              <w:rPr>
                <w:color w:val="000000" w:themeColor="text1"/>
              </w:rPr>
            </w:pPr>
            <w:r w:rsidRPr="00AC73FF">
              <w:rPr>
                <w:color w:val="000000" w:themeColor="text1"/>
                <w:sz w:val="22"/>
                <w:szCs w:val="22"/>
              </w:rPr>
              <w:t>tika ieteikts noteikt, ka emisijas reģistra kontu apkalpošanas pakalpojuma maksa nav piemērojama obligātajiem Eiropas Savienības Emisijas kvotu tirdzniecības sistēmas dalībniekiem – operatoriem vai gaisa kuģu operatoriem, kuri savus kontus emisiju reģistrā izmanto tikai obligātajām sistēmas darbībām – verificēto emisiju ievadei un emisijas kvotu nodošanai;</w:t>
            </w:r>
          </w:p>
          <w:p w:rsidR="00A43A1F" w:rsidRDefault="00AC73FF">
            <w:pPr>
              <w:pStyle w:val="ListParagraph"/>
              <w:numPr>
                <w:ilvl w:val="0"/>
                <w:numId w:val="35"/>
              </w:numPr>
              <w:spacing w:before="40" w:after="40"/>
              <w:ind w:left="397" w:hanging="340"/>
              <w:contextualSpacing w:val="0"/>
              <w:rPr>
                <w:color w:val="000000" w:themeColor="text1"/>
              </w:rPr>
            </w:pPr>
            <w:r w:rsidRPr="00AC73FF">
              <w:rPr>
                <w:color w:val="000000" w:themeColor="text1"/>
                <w:sz w:val="22"/>
                <w:szCs w:val="22"/>
              </w:rPr>
              <w:t>tika ieteikts obligātajiem Eiropas Savienības Emisijas kvotu tirdzniecības sistēmas dalībniekiem – operatoriem vai gaisa kuģu operatoriem, piemērot diferenciētu konta apkalpošanas gada maksu, ņemot vērā konkrētajam operatoram vai gaisa kuģu operatoram piešķirto emisijas kvotu apjomu, tādējādi tiktu ievērots solidaritātes un taisnīguma princips, jo tiem sistēmas obligātajiem dalībniekiem, kuriem ir piešķirts neliels emisijas kvotu apjoms, emisijas kvotu pārdošanas gadījumā ir iespējams iegūt būtiski mazākus finanšu līdzekļus kā tiem operatoriem, kuriem jau ir piešķirts liels emisijas kvotu apjoms;</w:t>
            </w:r>
          </w:p>
          <w:p w:rsidR="00A43A1F" w:rsidRDefault="00AC73FF">
            <w:pPr>
              <w:pStyle w:val="ListParagraph"/>
              <w:numPr>
                <w:ilvl w:val="0"/>
                <w:numId w:val="35"/>
              </w:numPr>
              <w:spacing w:before="40" w:after="40"/>
              <w:ind w:left="397" w:hanging="340"/>
              <w:contextualSpacing w:val="0"/>
              <w:rPr>
                <w:color w:val="000000" w:themeColor="text1"/>
              </w:rPr>
            </w:pPr>
            <w:r w:rsidRPr="00AC73FF">
              <w:rPr>
                <w:color w:val="000000" w:themeColor="text1"/>
                <w:sz w:val="22"/>
                <w:szCs w:val="22"/>
              </w:rPr>
              <w:t>tika ieteikts noteikts diferenciētu maksu attiecībā uz Latvijā reģistrētu fizisku vai juridisku personu un tādu fizisku vai juridisku personu, kura nav reģistrēta Latvijā, jo saskaņā ar Komisijas regulu Nr.389/2013, kā arī ņemot vērā reālo situāciju, valsts administratoram ir jāiegulda mazāk administratīvie un finanšu resursi, pārbaudot Latvijā reģistrētās fiziskās vai juridiskās personas dati un iesniegtā informācija.</w:t>
            </w:r>
          </w:p>
          <w:p w:rsidR="00A43A1F" w:rsidRDefault="00AC73FF">
            <w:pPr>
              <w:spacing w:before="40" w:after="40"/>
              <w:rPr>
                <w:rFonts w:ascii="Times New Roman" w:hAnsi="Times New Roman" w:cs="Times New Roman"/>
                <w:color w:val="000000" w:themeColor="text1"/>
              </w:rPr>
            </w:pPr>
            <w:r>
              <w:rPr>
                <w:rFonts w:ascii="Times New Roman" w:hAnsi="Times New Roman" w:cs="Times New Roman"/>
                <w:color w:val="000000" w:themeColor="text1"/>
              </w:rPr>
              <w:t>Sabiedrības izteiktie viedokļi ir pilnībā ņemti vērā noteikumu projekta izstrādē un ir iekļauti emisijas reģistra valsts administratora maksas pakalpojumu cenrādī.</w:t>
            </w:r>
          </w:p>
        </w:tc>
      </w:tr>
      <w:tr w:rsidR="00C715D5" w:rsidRPr="00C715D5" w:rsidTr="004F3B23">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4.</w:t>
            </w:r>
          </w:p>
        </w:tc>
        <w:tc>
          <w:tcPr>
            <w:tcW w:w="150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spacing w:after="0"/>
              <w:rPr>
                <w:rFonts w:ascii="Times New Roman" w:hAnsi="Times New Roman" w:cs="Times New Roman"/>
                <w:color w:val="000000" w:themeColor="text1"/>
              </w:rPr>
            </w:pPr>
            <w:r w:rsidRPr="004F3B23">
              <w:rPr>
                <w:rFonts w:ascii="Times New Roman" w:hAnsi="Times New Roman" w:cs="Times New Roman"/>
                <w:color w:val="000000" w:themeColor="text1"/>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E31C26" w:rsidRPr="004F3B23" w:rsidRDefault="00C82F50" w:rsidP="004F3B23">
            <w:pPr>
              <w:pStyle w:val="tvhtml"/>
              <w:spacing w:before="0" w:beforeAutospacing="0" w:after="0" w:afterAutospacing="0"/>
              <w:rPr>
                <w:color w:val="000000" w:themeColor="text1"/>
                <w:sz w:val="22"/>
                <w:szCs w:val="22"/>
              </w:rPr>
            </w:pPr>
            <w:r w:rsidRPr="004F3B23">
              <w:rPr>
                <w:color w:val="000000" w:themeColor="text1"/>
                <w:sz w:val="22"/>
                <w:szCs w:val="22"/>
              </w:rPr>
              <w:t>Nav</w:t>
            </w:r>
          </w:p>
        </w:tc>
      </w:tr>
    </w:tbl>
    <w:p w:rsidR="00D56C78" w:rsidRPr="00D56C78" w:rsidRDefault="00D56C78" w:rsidP="00E01818">
      <w:pPr>
        <w:shd w:val="clear" w:color="auto" w:fill="FFFFFF"/>
        <w:spacing w:after="0"/>
        <w:ind w:firstLine="335"/>
        <w:jc w:val="left"/>
        <w:rPr>
          <w:rFonts w:ascii="Arial" w:eastAsia="Times New Roman" w:hAnsi="Arial" w:cs="Arial"/>
          <w:color w:val="414142"/>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D56C78" w:rsidRPr="00D56C78" w:rsidTr="00D56C7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56C78" w:rsidRPr="00D56C78" w:rsidRDefault="00495C34" w:rsidP="00D56C78">
            <w:pPr>
              <w:spacing w:before="100" w:beforeAutospacing="1" w:after="100" w:afterAutospacing="1" w:line="327" w:lineRule="atLeast"/>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VII. Tiesību akta projekta izpildes nodrošināšana un tās ietekme uz institūcijām</w:t>
            </w:r>
          </w:p>
        </w:tc>
      </w:tr>
      <w:tr w:rsidR="00D56C78" w:rsidRPr="00D56C78" w:rsidTr="00D56C7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A43A1F" w:rsidRDefault="00495C34">
            <w:pPr>
              <w:pStyle w:val="naiskr"/>
              <w:spacing w:before="40" w:after="40"/>
              <w:jc w:val="both"/>
              <w:rPr>
                <w:iCs/>
                <w:color w:val="000000" w:themeColor="text1"/>
                <w:sz w:val="22"/>
                <w:szCs w:val="22"/>
                <w:u w:val="single"/>
              </w:rPr>
            </w:pPr>
            <w:r>
              <w:rPr>
                <w:iCs/>
                <w:color w:val="000000" w:themeColor="text1"/>
                <w:sz w:val="22"/>
                <w:szCs w:val="22"/>
                <w:u w:val="single"/>
              </w:rPr>
              <w:t>Noteikumu projekta izpildē tiks iesaistītas šādas institūcijas:</w:t>
            </w:r>
          </w:p>
          <w:p w:rsidR="00A43A1F" w:rsidRDefault="00AC73FF">
            <w:pPr>
              <w:pStyle w:val="naisnod"/>
              <w:numPr>
                <w:ilvl w:val="0"/>
                <w:numId w:val="31"/>
              </w:numPr>
              <w:spacing w:before="40" w:after="40"/>
              <w:ind w:left="227" w:hanging="227"/>
              <w:jc w:val="both"/>
              <w:rPr>
                <w:b w:val="0"/>
              </w:rPr>
            </w:pPr>
            <w:r w:rsidRPr="00AC73FF">
              <w:rPr>
                <w:b w:val="0"/>
                <w:sz w:val="22"/>
                <w:szCs w:val="22"/>
              </w:rPr>
              <w:t>Vides aizsardzības un reģionālās attīstības ministrija;</w:t>
            </w:r>
          </w:p>
          <w:p w:rsidR="00A43A1F" w:rsidRDefault="00AC73FF">
            <w:pPr>
              <w:pStyle w:val="naisnod"/>
              <w:numPr>
                <w:ilvl w:val="0"/>
                <w:numId w:val="31"/>
              </w:numPr>
              <w:spacing w:before="40" w:after="40"/>
              <w:ind w:left="227" w:hanging="227"/>
              <w:jc w:val="both"/>
            </w:pPr>
            <w:r w:rsidRPr="00AC73FF">
              <w:rPr>
                <w:b w:val="0"/>
                <w:sz w:val="22"/>
                <w:szCs w:val="22"/>
              </w:rPr>
              <w:t>Valsts sabiedrība ar ierobežotu atbildību „Latvijas Vides, ģeoloģijas un meteoroloģijas centrs”.</w:t>
            </w:r>
          </w:p>
        </w:tc>
      </w:tr>
      <w:tr w:rsidR="00D56C78" w:rsidRPr="00D56C78" w:rsidTr="00D56C7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Projekta izpildes ietekme uz pārvaldes funkcijām un institucionālo struktūru.</w:t>
            </w:r>
          </w:p>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 xml:space="preserve">Jaunu institūciju izveide, esošu </w:t>
            </w:r>
            <w:r>
              <w:rPr>
                <w:rFonts w:ascii="Times New Roman" w:eastAsia="Times New Roman" w:hAnsi="Times New Roman" w:cs="Times New Roman"/>
                <w:color w:val="414142"/>
                <w:lang w:eastAsia="lv-LV"/>
              </w:rPr>
              <w:lastRenderedPageBreak/>
              <w:t>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A43A1F" w:rsidRDefault="00AC73FF">
            <w:pPr>
              <w:spacing w:before="40" w:after="40"/>
              <w:rPr>
                <w:rFonts w:ascii="Times New Roman" w:hAnsi="Times New Roman" w:cs="Times New Roman"/>
              </w:rPr>
            </w:pPr>
            <w:r w:rsidRPr="00AC73FF">
              <w:rPr>
                <w:rFonts w:ascii="Times New Roman" w:hAnsi="Times New Roman" w:cs="Times New Roman"/>
              </w:rPr>
              <w:lastRenderedPageBreak/>
              <w:t xml:space="preserve">Noteikumu projektā noteiktie pienākumi attiecas uz valsts SIA „Latvijas Vides, ģeoloģijas un meteoroloģijas centrs”, kurš saskaņā ar likumu „Par piesārņojumu” ir emisijas reģistra valsts administrators. </w:t>
            </w:r>
          </w:p>
          <w:p w:rsidR="00A43A1F" w:rsidRDefault="00AC73FF">
            <w:pPr>
              <w:spacing w:before="40" w:after="40"/>
              <w:rPr>
                <w:rFonts w:ascii="Times New Roman" w:hAnsi="Times New Roman" w:cs="Times New Roman"/>
              </w:rPr>
            </w:pPr>
            <w:r w:rsidRPr="00AC73FF">
              <w:rPr>
                <w:rFonts w:ascii="Times New Roman" w:hAnsi="Times New Roman" w:cs="Times New Roman"/>
              </w:rPr>
              <w:lastRenderedPageBreak/>
              <w:t>Tā kā valsts administrators pakalpojuma maksu piemēroja par darbībām emisijas reģistrā arī līdz šim (Ministru kabinets neapstiprināja maksas pakalpojuma cenrādi, bet to izstrādāja un piemēroja valsts administrators), tad noteikumu projekts neietekmēs institūcijas funkcijas un uzdevumus, tos paplašinot vai sašaurinot, un noteikumu projekts neietekmēs institūcijai pieejamos cilvēkresursu.</w:t>
            </w:r>
          </w:p>
          <w:p w:rsidR="00A43A1F" w:rsidRDefault="00AC73FF">
            <w:pPr>
              <w:spacing w:before="40" w:after="40"/>
              <w:rPr>
                <w:rFonts w:ascii="Times New Roman" w:eastAsia="Times New Roman" w:hAnsi="Times New Roman" w:cs="Times New Roman"/>
                <w:color w:val="414142"/>
                <w:lang w:eastAsia="lv-LV"/>
              </w:rPr>
            </w:pPr>
            <w:r w:rsidRPr="00AC73FF">
              <w:rPr>
                <w:rFonts w:ascii="Times New Roman" w:hAnsi="Times New Roman" w:cs="Times New Roman"/>
              </w:rPr>
              <w:t>Saskaņā ar noteikumu projektu netiek plānota jauna institūciju izveide, esošo institūciju likvidācija vai reorganizācijā, kā arī netiek prognozēta ietekme uz institūcijas cilvēkresursiem</w:t>
            </w:r>
            <w:r w:rsidR="00EA17EB">
              <w:rPr>
                <w:rFonts w:ascii="Times New Roman" w:hAnsi="Times New Roman" w:cs="Times New Roman"/>
              </w:rPr>
              <w:t>.</w:t>
            </w:r>
          </w:p>
        </w:tc>
      </w:tr>
      <w:tr w:rsidR="00D56C78" w:rsidRPr="00D56C78" w:rsidTr="00D56C7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A43A1F" w:rsidRDefault="00495C34">
            <w:pPr>
              <w:spacing w:before="40" w:after="40"/>
              <w:jc w:val="lef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Nav</w:t>
            </w:r>
          </w:p>
        </w:tc>
      </w:tr>
    </w:tbl>
    <w:p w:rsidR="00D56C78" w:rsidRDefault="00D56C78" w:rsidP="001D6769">
      <w:pPr>
        <w:pStyle w:val="naisf"/>
        <w:spacing w:before="0" w:after="0"/>
        <w:ind w:firstLine="0"/>
        <w:rPr>
          <w:b/>
          <w:sz w:val="28"/>
          <w:szCs w:val="28"/>
        </w:rPr>
      </w:pPr>
    </w:p>
    <w:p w:rsidR="00E57372" w:rsidRPr="0034370D" w:rsidRDefault="00E57372" w:rsidP="00E57372">
      <w:pPr>
        <w:pStyle w:val="naisf"/>
        <w:spacing w:before="0" w:after="0"/>
        <w:ind w:firstLine="0"/>
        <w:jc w:val="center"/>
        <w:rPr>
          <w:b/>
          <w:color w:val="000000" w:themeColor="text1"/>
        </w:rPr>
      </w:pPr>
      <w:r w:rsidRPr="0034370D">
        <w:rPr>
          <w:b/>
          <w:color w:val="000000" w:themeColor="text1"/>
        </w:rPr>
        <w:t>Anotācijas IV</w:t>
      </w:r>
      <w:r w:rsidR="001D6769">
        <w:rPr>
          <w:b/>
          <w:color w:val="000000" w:themeColor="text1"/>
        </w:rPr>
        <w:t xml:space="preserve"> </w:t>
      </w:r>
      <w:r w:rsidRPr="0034370D">
        <w:rPr>
          <w:b/>
          <w:color w:val="000000" w:themeColor="text1"/>
        </w:rPr>
        <w:t>sadaļa – projekts šo jomu neskar</w:t>
      </w:r>
    </w:p>
    <w:p w:rsidR="0094491A" w:rsidRDefault="0094491A" w:rsidP="00E57372">
      <w:pPr>
        <w:shd w:val="clear" w:color="auto" w:fill="FFFFFF"/>
        <w:spacing w:after="0"/>
        <w:rPr>
          <w:rFonts w:ascii="Times New Roman" w:hAnsi="Times New Roman" w:cs="Times New Roman"/>
          <w:color w:val="000000" w:themeColor="text1"/>
          <w:sz w:val="28"/>
          <w:szCs w:val="28"/>
        </w:rPr>
      </w:pPr>
    </w:p>
    <w:p w:rsidR="00935F0F" w:rsidRDefault="00935F0F" w:rsidP="00E57372">
      <w:pPr>
        <w:shd w:val="clear" w:color="auto" w:fill="FFFFFF"/>
        <w:spacing w:after="0"/>
        <w:rPr>
          <w:rFonts w:ascii="Times New Roman" w:hAnsi="Times New Roman" w:cs="Times New Roman"/>
          <w:color w:val="000000" w:themeColor="text1"/>
          <w:sz w:val="28"/>
          <w:szCs w:val="28"/>
        </w:rPr>
      </w:pPr>
    </w:p>
    <w:p w:rsidR="00E57372" w:rsidRPr="0034370D" w:rsidRDefault="00E57372" w:rsidP="00E57372">
      <w:pPr>
        <w:shd w:val="clear" w:color="auto" w:fill="FFFFFF"/>
        <w:spacing w:after="0"/>
        <w:rPr>
          <w:rFonts w:ascii="Times New Roman" w:hAnsi="Times New Roman" w:cs="Times New Roman"/>
          <w:color w:val="000000" w:themeColor="text1"/>
          <w:sz w:val="28"/>
          <w:szCs w:val="28"/>
        </w:rPr>
      </w:pPr>
      <w:r w:rsidRPr="0034370D">
        <w:rPr>
          <w:rFonts w:ascii="Times New Roman" w:hAnsi="Times New Roman" w:cs="Times New Roman"/>
          <w:color w:val="000000" w:themeColor="text1"/>
          <w:sz w:val="28"/>
          <w:szCs w:val="28"/>
        </w:rPr>
        <w:t xml:space="preserve">Vides aizsardzības un </w:t>
      </w:r>
    </w:p>
    <w:p w:rsidR="00590493" w:rsidRDefault="00E57372" w:rsidP="00590493">
      <w:pPr>
        <w:shd w:val="clear" w:color="auto" w:fill="FFFFFF"/>
        <w:tabs>
          <w:tab w:val="left" w:pos="7230"/>
        </w:tabs>
        <w:spacing w:after="0"/>
        <w:rPr>
          <w:rFonts w:ascii="Times New Roman" w:hAnsi="Times New Roman" w:cs="Times New Roman"/>
          <w:color w:val="000000" w:themeColor="text1"/>
          <w:sz w:val="12"/>
          <w:szCs w:val="12"/>
        </w:rPr>
      </w:pPr>
      <w:r w:rsidRPr="0034370D">
        <w:rPr>
          <w:rFonts w:ascii="Times New Roman" w:hAnsi="Times New Roman" w:cs="Times New Roman"/>
          <w:color w:val="000000" w:themeColor="text1"/>
          <w:sz w:val="28"/>
          <w:szCs w:val="28"/>
        </w:rPr>
        <w:t>reģionālās attīstības ministr</w:t>
      </w:r>
      <w:r w:rsidR="00A11276">
        <w:rPr>
          <w:rFonts w:ascii="Times New Roman" w:hAnsi="Times New Roman" w:cs="Times New Roman"/>
          <w:color w:val="000000" w:themeColor="text1"/>
          <w:sz w:val="28"/>
          <w:szCs w:val="28"/>
        </w:rPr>
        <w:t xml:space="preserve">s </w:t>
      </w:r>
      <w:r w:rsidR="0094491A">
        <w:rPr>
          <w:rFonts w:ascii="Times New Roman" w:hAnsi="Times New Roman" w:cs="Times New Roman"/>
          <w:color w:val="000000" w:themeColor="text1"/>
          <w:sz w:val="28"/>
          <w:szCs w:val="28"/>
        </w:rPr>
        <w:tab/>
      </w:r>
      <w:proofErr w:type="spellStart"/>
      <w:r w:rsidR="00A11276">
        <w:rPr>
          <w:rFonts w:ascii="Times New Roman" w:hAnsi="Times New Roman" w:cs="Times New Roman"/>
          <w:color w:val="000000" w:themeColor="text1"/>
          <w:sz w:val="28"/>
          <w:szCs w:val="28"/>
        </w:rPr>
        <w:t>R.Naudiņš</w:t>
      </w:r>
      <w:proofErr w:type="spellEnd"/>
      <w:r w:rsidR="003D3065">
        <w:rPr>
          <w:rFonts w:ascii="Times New Roman" w:hAnsi="Times New Roman" w:cs="Times New Roman"/>
          <w:color w:val="000000" w:themeColor="text1"/>
          <w:sz w:val="28"/>
          <w:szCs w:val="28"/>
        </w:rPr>
        <w:tab/>
      </w:r>
    </w:p>
    <w:p w:rsidR="009E76FB" w:rsidRDefault="009E76FB" w:rsidP="00590493">
      <w:pPr>
        <w:shd w:val="clear" w:color="auto" w:fill="FFFFFF"/>
        <w:tabs>
          <w:tab w:val="left" w:pos="7230"/>
        </w:tabs>
        <w:spacing w:after="0"/>
        <w:rPr>
          <w:rFonts w:ascii="Times New Roman" w:hAnsi="Times New Roman" w:cs="Times New Roman"/>
          <w:color w:val="000000" w:themeColor="text1"/>
          <w:sz w:val="12"/>
          <w:szCs w:val="12"/>
        </w:rPr>
      </w:pPr>
    </w:p>
    <w:p w:rsidR="00935F0F" w:rsidRDefault="00935F0F" w:rsidP="00590493">
      <w:pPr>
        <w:shd w:val="clear" w:color="auto" w:fill="FFFFFF"/>
        <w:tabs>
          <w:tab w:val="left" w:pos="7230"/>
        </w:tabs>
        <w:spacing w:after="0"/>
        <w:rPr>
          <w:rFonts w:ascii="Times New Roman" w:hAnsi="Times New Roman" w:cs="Times New Roman"/>
          <w:color w:val="000000" w:themeColor="text1"/>
          <w:sz w:val="12"/>
          <w:szCs w:val="12"/>
        </w:rPr>
      </w:pPr>
    </w:p>
    <w:p w:rsidR="00935F0F" w:rsidRDefault="00935F0F" w:rsidP="00590493">
      <w:pPr>
        <w:shd w:val="clear" w:color="auto" w:fill="FFFFFF"/>
        <w:tabs>
          <w:tab w:val="left" w:pos="7230"/>
        </w:tabs>
        <w:spacing w:after="0"/>
        <w:rPr>
          <w:rFonts w:ascii="Times New Roman" w:hAnsi="Times New Roman" w:cs="Times New Roman"/>
          <w:color w:val="000000" w:themeColor="text1"/>
          <w:sz w:val="12"/>
          <w:szCs w:val="12"/>
        </w:rPr>
      </w:pPr>
    </w:p>
    <w:p w:rsidR="009E76FB" w:rsidRDefault="009E76FB" w:rsidP="00590493">
      <w:pPr>
        <w:shd w:val="clear" w:color="auto" w:fill="FFFFFF"/>
        <w:tabs>
          <w:tab w:val="left" w:pos="7230"/>
        </w:tabs>
        <w:spacing w:after="0"/>
        <w:rPr>
          <w:rFonts w:ascii="Times New Roman" w:hAnsi="Times New Roman" w:cs="Times New Roman"/>
          <w:color w:val="000000" w:themeColor="text1"/>
          <w:sz w:val="12"/>
          <w:szCs w:val="12"/>
        </w:rPr>
      </w:pPr>
    </w:p>
    <w:p w:rsidR="009A0D70" w:rsidRPr="009A0D70" w:rsidRDefault="009A0D70" w:rsidP="009A0D70">
      <w:pPr>
        <w:spacing w:after="0"/>
        <w:rPr>
          <w:rFonts w:ascii="Times New Roman" w:hAnsi="Times New Roman" w:cs="Times New Roman"/>
          <w:color w:val="000000" w:themeColor="text1"/>
          <w:sz w:val="28"/>
          <w:szCs w:val="28"/>
        </w:rPr>
      </w:pPr>
      <w:r w:rsidRPr="009A0D70">
        <w:rPr>
          <w:rFonts w:ascii="Times New Roman" w:hAnsi="Times New Roman" w:cs="Times New Roman"/>
          <w:color w:val="000000" w:themeColor="text1"/>
          <w:sz w:val="28"/>
          <w:szCs w:val="28"/>
        </w:rPr>
        <w:t>Vīza:</w:t>
      </w:r>
    </w:p>
    <w:p w:rsidR="009A0D70" w:rsidRPr="009A0D70" w:rsidRDefault="004367B2" w:rsidP="009A0D7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w:t>
      </w:r>
      <w:r w:rsidR="009A0D70" w:rsidRPr="009A0D70">
        <w:rPr>
          <w:rFonts w:ascii="Times New Roman" w:hAnsi="Times New Roman" w:cs="Times New Roman"/>
          <w:color w:val="000000" w:themeColor="text1"/>
          <w:sz w:val="28"/>
          <w:szCs w:val="28"/>
        </w:rPr>
        <w:t xml:space="preserve">alsts sekretāra </w:t>
      </w:r>
      <w:proofErr w:type="spellStart"/>
      <w:r w:rsidR="009A0D70" w:rsidRPr="009A0D70">
        <w:rPr>
          <w:rFonts w:ascii="Times New Roman" w:hAnsi="Times New Roman" w:cs="Times New Roman"/>
          <w:color w:val="000000" w:themeColor="text1"/>
          <w:sz w:val="28"/>
          <w:szCs w:val="28"/>
        </w:rPr>
        <w:t>p.i</w:t>
      </w:r>
      <w:proofErr w:type="spellEnd"/>
      <w:r w:rsidR="009A0D70" w:rsidRPr="009A0D70">
        <w:rPr>
          <w:rFonts w:ascii="Times New Roman" w:hAnsi="Times New Roman" w:cs="Times New Roman"/>
          <w:color w:val="000000" w:themeColor="text1"/>
          <w:sz w:val="28"/>
          <w:szCs w:val="28"/>
        </w:rPr>
        <w:t>.</w:t>
      </w:r>
    </w:p>
    <w:p w:rsidR="00590493" w:rsidRDefault="004367B2" w:rsidP="009A0D70">
      <w:pPr>
        <w:spacing w:after="0"/>
        <w:rPr>
          <w:rFonts w:ascii="Times New Roman" w:hAnsi="Times New Roman" w:cs="Times New Roman"/>
          <w:color w:val="000000" w:themeColor="text1"/>
          <w:sz w:val="8"/>
          <w:szCs w:val="8"/>
        </w:rPr>
      </w:pPr>
      <w:r>
        <w:rPr>
          <w:rFonts w:ascii="Times New Roman" w:hAnsi="Times New Roman" w:cs="Times New Roman"/>
          <w:color w:val="000000" w:themeColor="text1"/>
          <w:sz w:val="28"/>
          <w:szCs w:val="28"/>
        </w:rPr>
        <w:t>A</w:t>
      </w:r>
      <w:r w:rsidR="009A0D70" w:rsidRPr="009A0D70">
        <w:rPr>
          <w:rFonts w:ascii="Times New Roman" w:hAnsi="Times New Roman" w:cs="Times New Roman"/>
          <w:color w:val="000000" w:themeColor="text1"/>
          <w:sz w:val="28"/>
          <w:szCs w:val="28"/>
        </w:rPr>
        <w:t>dministrācijas vadītāja</w:t>
      </w:r>
      <w:r w:rsidR="009A0D70" w:rsidRPr="009A0D70">
        <w:rPr>
          <w:rFonts w:ascii="Times New Roman" w:hAnsi="Times New Roman" w:cs="Times New Roman"/>
          <w:color w:val="000000" w:themeColor="text1"/>
          <w:sz w:val="28"/>
          <w:szCs w:val="28"/>
        </w:rPr>
        <w:tab/>
      </w:r>
      <w:r w:rsidR="009A0D70">
        <w:rPr>
          <w:rFonts w:ascii="Times New Roman" w:hAnsi="Times New Roman" w:cs="Times New Roman"/>
          <w:color w:val="000000" w:themeColor="text1"/>
          <w:sz w:val="28"/>
          <w:szCs w:val="28"/>
        </w:rPr>
        <w:tab/>
      </w:r>
      <w:r w:rsidR="009A0D70">
        <w:rPr>
          <w:rFonts w:ascii="Times New Roman" w:hAnsi="Times New Roman" w:cs="Times New Roman"/>
          <w:color w:val="000000" w:themeColor="text1"/>
          <w:sz w:val="28"/>
          <w:szCs w:val="28"/>
        </w:rPr>
        <w:tab/>
      </w:r>
      <w:r w:rsidR="009A0D70">
        <w:rPr>
          <w:rFonts w:ascii="Times New Roman" w:hAnsi="Times New Roman" w:cs="Times New Roman"/>
          <w:color w:val="000000" w:themeColor="text1"/>
          <w:sz w:val="28"/>
          <w:szCs w:val="28"/>
        </w:rPr>
        <w:tab/>
      </w:r>
      <w:r w:rsidR="009A0D70">
        <w:rPr>
          <w:rFonts w:ascii="Times New Roman" w:hAnsi="Times New Roman" w:cs="Times New Roman"/>
          <w:color w:val="000000" w:themeColor="text1"/>
          <w:sz w:val="28"/>
          <w:szCs w:val="28"/>
        </w:rPr>
        <w:tab/>
      </w:r>
      <w:r w:rsidR="009A0D70">
        <w:rPr>
          <w:rFonts w:ascii="Times New Roman" w:hAnsi="Times New Roman" w:cs="Times New Roman"/>
          <w:color w:val="000000" w:themeColor="text1"/>
          <w:sz w:val="28"/>
          <w:szCs w:val="28"/>
        </w:rPr>
        <w:tab/>
      </w:r>
      <w:r w:rsidR="009A0D70">
        <w:rPr>
          <w:rFonts w:ascii="Times New Roman" w:hAnsi="Times New Roman" w:cs="Times New Roman"/>
          <w:color w:val="000000" w:themeColor="text1"/>
          <w:sz w:val="28"/>
          <w:szCs w:val="28"/>
        </w:rPr>
        <w:tab/>
      </w:r>
      <w:r w:rsidR="009A0D70" w:rsidRPr="009A0D70">
        <w:rPr>
          <w:rFonts w:ascii="Times New Roman" w:hAnsi="Times New Roman" w:cs="Times New Roman"/>
          <w:color w:val="000000" w:themeColor="text1"/>
          <w:sz w:val="28"/>
          <w:szCs w:val="28"/>
        </w:rPr>
        <w:t>E.Turka</w:t>
      </w:r>
    </w:p>
    <w:p w:rsidR="00935F0F" w:rsidRDefault="00935F0F" w:rsidP="00E57372">
      <w:pPr>
        <w:spacing w:after="0"/>
        <w:rPr>
          <w:rFonts w:ascii="Times New Roman" w:hAnsi="Times New Roman" w:cs="Times New Roman"/>
          <w:color w:val="000000" w:themeColor="text1"/>
          <w:sz w:val="8"/>
          <w:szCs w:val="8"/>
        </w:rPr>
      </w:pPr>
    </w:p>
    <w:p w:rsidR="00935F0F" w:rsidRDefault="00935F0F" w:rsidP="00E57372">
      <w:pPr>
        <w:spacing w:after="0"/>
        <w:rPr>
          <w:rFonts w:ascii="Times New Roman" w:hAnsi="Times New Roman" w:cs="Times New Roman"/>
          <w:color w:val="000000" w:themeColor="text1"/>
          <w:sz w:val="8"/>
          <w:szCs w:val="8"/>
        </w:rPr>
      </w:pPr>
    </w:p>
    <w:p w:rsidR="00935F0F" w:rsidRDefault="00935F0F" w:rsidP="00E57372">
      <w:pPr>
        <w:spacing w:after="0"/>
        <w:rPr>
          <w:rFonts w:ascii="Times New Roman" w:hAnsi="Times New Roman" w:cs="Times New Roman"/>
          <w:color w:val="000000" w:themeColor="text1"/>
          <w:sz w:val="8"/>
          <w:szCs w:val="8"/>
        </w:rPr>
      </w:pPr>
    </w:p>
    <w:p w:rsidR="00935F0F" w:rsidRDefault="00935F0F" w:rsidP="00E57372">
      <w:pPr>
        <w:spacing w:after="0"/>
        <w:rPr>
          <w:rFonts w:ascii="Times New Roman" w:hAnsi="Times New Roman" w:cs="Times New Roman"/>
          <w:color w:val="000000" w:themeColor="text1"/>
          <w:sz w:val="8"/>
          <w:szCs w:val="8"/>
        </w:rPr>
      </w:pPr>
    </w:p>
    <w:p w:rsidR="00935F0F" w:rsidRDefault="00935F0F"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662161" w:rsidRDefault="00662161"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FB2B94" w:rsidRDefault="00FB2B94"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CB5F51" w:rsidRDefault="00CB5F51" w:rsidP="00E57372">
      <w:pPr>
        <w:spacing w:after="0"/>
        <w:rPr>
          <w:rFonts w:ascii="Times New Roman" w:hAnsi="Times New Roman" w:cs="Times New Roman"/>
          <w:color w:val="000000" w:themeColor="text1"/>
          <w:sz w:val="8"/>
          <w:szCs w:val="8"/>
        </w:rPr>
      </w:pPr>
    </w:p>
    <w:p w:rsidR="00935F0F" w:rsidRDefault="00935F0F" w:rsidP="00E57372">
      <w:pPr>
        <w:spacing w:after="0"/>
        <w:rPr>
          <w:rFonts w:ascii="Times New Roman" w:hAnsi="Times New Roman" w:cs="Times New Roman"/>
          <w:color w:val="000000" w:themeColor="text1"/>
          <w:sz w:val="8"/>
          <w:szCs w:val="8"/>
        </w:rPr>
      </w:pPr>
    </w:p>
    <w:p w:rsidR="00935F0F" w:rsidRDefault="00935F0F" w:rsidP="00E57372">
      <w:pPr>
        <w:spacing w:after="0"/>
        <w:rPr>
          <w:rFonts w:ascii="Times New Roman" w:hAnsi="Times New Roman" w:cs="Times New Roman"/>
          <w:color w:val="000000" w:themeColor="text1"/>
          <w:sz w:val="8"/>
          <w:szCs w:val="8"/>
        </w:rPr>
      </w:pPr>
    </w:p>
    <w:p w:rsidR="0028217A" w:rsidRDefault="0028217A" w:rsidP="00E57372">
      <w:pPr>
        <w:spacing w:after="0"/>
        <w:rPr>
          <w:rFonts w:ascii="Times New Roman" w:hAnsi="Times New Roman" w:cs="Times New Roman"/>
          <w:color w:val="000000" w:themeColor="text1"/>
          <w:sz w:val="8"/>
          <w:szCs w:val="8"/>
        </w:rPr>
      </w:pPr>
    </w:p>
    <w:p w:rsidR="00E57372" w:rsidRPr="0094491A" w:rsidRDefault="00FB2B94" w:rsidP="00E57372">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4367B2">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.07</w:t>
      </w:r>
      <w:r w:rsidR="00935F0F">
        <w:rPr>
          <w:rFonts w:ascii="Times New Roman" w:hAnsi="Times New Roman" w:cs="Times New Roman"/>
          <w:color w:val="000000" w:themeColor="text1"/>
          <w:sz w:val="20"/>
          <w:szCs w:val="20"/>
        </w:rPr>
        <w:t xml:space="preserve">.2014. </w:t>
      </w:r>
      <w:r w:rsidR="00CB5F51">
        <w:rPr>
          <w:rFonts w:ascii="Times New Roman" w:hAnsi="Times New Roman" w:cs="Times New Roman"/>
          <w:color w:val="000000" w:themeColor="text1"/>
          <w:sz w:val="20"/>
          <w:szCs w:val="20"/>
        </w:rPr>
        <w:t>1</w:t>
      </w:r>
      <w:r w:rsidR="004367B2">
        <w:rPr>
          <w:rFonts w:ascii="Times New Roman" w:hAnsi="Times New Roman" w:cs="Times New Roman"/>
          <w:color w:val="000000" w:themeColor="text1"/>
          <w:sz w:val="20"/>
          <w:szCs w:val="20"/>
        </w:rPr>
        <w:t>0</w:t>
      </w:r>
      <w:r w:rsidR="0094491A" w:rsidRPr="0094491A">
        <w:rPr>
          <w:rFonts w:ascii="Times New Roman" w:hAnsi="Times New Roman" w:cs="Times New Roman"/>
          <w:color w:val="000000" w:themeColor="text1"/>
          <w:sz w:val="20"/>
          <w:szCs w:val="20"/>
        </w:rPr>
        <w:t>:00</w:t>
      </w:r>
    </w:p>
    <w:p w:rsidR="00E57372" w:rsidRPr="0094491A" w:rsidRDefault="00AC73FF" w:rsidP="00E57372">
      <w:pPr>
        <w:pStyle w:val="Header"/>
        <w:tabs>
          <w:tab w:val="clear" w:pos="4153"/>
          <w:tab w:val="clear" w:pos="8306"/>
        </w:tabs>
        <w:rPr>
          <w:color w:val="000000" w:themeColor="text1"/>
          <w:sz w:val="20"/>
          <w:szCs w:val="20"/>
        </w:rPr>
      </w:pPr>
      <w:r w:rsidRPr="0094491A">
        <w:rPr>
          <w:color w:val="000000" w:themeColor="text1"/>
          <w:sz w:val="20"/>
          <w:szCs w:val="20"/>
        </w:rPr>
        <w:fldChar w:fldCharType="begin"/>
      </w:r>
      <w:r w:rsidR="00E57372" w:rsidRPr="0094491A">
        <w:rPr>
          <w:color w:val="000000" w:themeColor="text1"/>
          <w:sz w:val="20"/>
          <w:szCs w:val="20"/>
        </w:rPr>
        <w:instrText xml:space="preserve"> NUMWORDS  \* Lower </w:instrText>
      </w:r>
      <w:r w:rsidRPr="0094491A">
        <w:rPr>
          <w:color w:val="000000" w:themeColor="text1"/>
          <w:sz w:val="20"/>
          <w:szCs w:val="20"/>
        </w:rPr>
        <w:fldChar w:fldCharType="separate"/>
      </w:r>
      <w:r w:rsidR="00AB6D62">
        <w:rPr>
          <w:noProof/>
          <w:color w:val="000000" w:themeColor="text1"/>
          <w:sz w:val="20"/>
          <w:szCs w:val="20"/>
        </w:rPr>
        <w:t>4143</w:t>
      </w:r>
      <w:r w:rsidRPr="0094491A">
        <w:rPr>
          <w:noProof/>
          <w:color w:val="000000" w:themeColor="text1"/>
          <w:sz w:val="20"/>
          <w:szCs w:val="20"/>
        </w:rPr>
        <w:fldChar w:fldCharType="end"/>
      </w:r>
    </w:p>
    <w:p w:rsidR="00E57372" w:rsidRPr="0094491A" w:rsidRDefault="00E57372" w:rsidP="00E57372">
      <w:pPr>
        <w:pStyle w:val="naisf"/>
        <w:tabs>
          <w:tab w:val="left" w:pos="6840"/>
        </w:tabs>
        <w:spacing w:before="0" w:after="0"/>
        <w:ind w:firstLine="0"/>
        <w:rPr>
          <w:color w:val="000000" w:themeColor="text1"/>
          <w:sz w:val="20"/>
          <w:szCs w:val="20"/>
        </w:rPr>
      </w:pPr>
      <w:r w:rsidRPr="0094491A">
        <w:rPr>
          <w:color w:val="000000" w:themeColor="text1"/>
          <w:sz w:val="20"/>
          <w:szCs w:val="20"/>
        </w:rPr>
        <w:t>H.Rimša</w:t>
      </w:r>
    </w:p>
    <w:p w:rsidR="00840C2F" w:rsidRPr="0094491A" w:rsidRDefault="00E57372" w:rsidP="00590493">
      <w:pPr>
        <w:pStyle w:val="naisf"/>
        <w:tabs>
          <w:tab w:val="left" w:pos="6840"/>
        </w:tabs>
        <w:spacing w:before="0" w:after="0"/>
        <w:ind w:firstLine="0"/>
        <w:rPr>
          <w:color w:val="000000" w:themeColor="text1"/>
          <w:sz w:val="20"/>
          <w:szCs w:val="20"/>
        </w:rPr>
      </w:pPr>
      <w:r w:rsidRPr="0094491A">
        <w:rPr>
          <w:color w:val="000000" w:themeColor="text1"/>
          <w:sz w:val="20"/>
          <w:szCs w:val="20"/>
        </w:rPr>
        <w:t>670265</w:t>
      </w:r>
      <w:r w:rsidR="0094491A">
        <w:rPr>
          <w:color w:val="000000" w:themeColor="text1"/>
          <w:sz w:val="20"/>
          <w:szCs w:val="20"/>
        </w:rPr>
        <w:t>12</w:t>
      </w:r>
      <w:r w:rsidRPr="0094491A">
        <w:rPr>
          <w:color w:val="000000" w:themeColor="text1"/>
          <w:sz w:val="20"/>
          <w:szCs w:val="20"/>
        </w:rPr>
        <w:t xml:space="preserve">, </w:t>
      </w:r>
      <w:hyperlink r:id="rId9" w:history="1">
        <w:r w:rsidRPr="0094491A">
          <w:rPr>
            <w:rStyle w:val="Hyperlink"/>
            <w:color w:val="000000" w:themeColor="text1"/>
            <w:sz w:val="20"/>
            <w:szCs w:val="20"/>
          </w:rPr>
          <w:t>Helena.Rimsa@varam.gov.lv</w:t>
        </w:r>
      </w:hyperlink>
    </w:p>
    <w:sectPr w:rsidR="00840C2F" w:rsidRPr="0094491A" w:rsidSect="001D6769">
      <w:headerReference w:type="default" r:id="rId10"/>
      <w:footerReference w:type="default" r:id="rId11"/>
      <w:footerReference w:type="first" r:id="rId12"/>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91" w:rsidRDefault="000C5291" w:rsidP="004D7C36">
      <w:pPr>
        <w:spacing w:after="0"/>
      </w:pPr>
      <w:r>
        <w:separator/>
      </w:r>
    </w:p>
  </w:endnote>
  <w:endnote w:type="continuationSeparator" w:id="0">
    <w:p w:rsidR="000C5291" w:rsidRDefault="000C5291" w:rsidP="004D7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7E" w:rsidRPr="004D7C36" w:rsidRDefault="0000357E" w:rsidP="00620FA6">
    <w:pPr>
      <w:spacing w:after="0"/>
      <w:rPr>
        <w:rFonts w:ascii="Times New Roman" w:hAnsi="Times New Roman" w:cs="Times New Roman"/>
        <w:sz w:val="8"/>
        <w:szCs w:val="8"/>
      </w:rPr>
    </w:pPr>
  </w:p>
  <w:p w:rsidR="0000357E" w:rsidRPr="00620FA6" w:rsidRDefault="004367B2" w:rsidP="00620FA6">
    <w:pPr>
      <w:spacing w:after="0"/>
      <w:rPr>
        <w:rFonts w:ascii="Times New Roman" w:hAnsi="Times New Roman" w:cs="Times New Roman"/>
        <w:sz w:val="20"/>
        <w:szCs w:val="20"/>
      </w:rPr>
    </w:pPr>
    <w:fldSimple w:instr=" FILENAME   \* MERGEFORMAT ">
      <w:r w:rsidRPr="004367B2">
        <w:rPr>
          <w:rFonts w:ascii="Times New Roman" w:hAnsi="Times New Roman" w:cs="Times New Roman"/>
          <w:noProof/>
          <w:sz w:val="20"/>
          <w:szCs w:val="20"/>
        </w:rPr>
        <w:t>VARAMAnot_Groz752_EmRegCenr_080714</w:t>
      </w:r>
    </w:fldSimple>
    <w:r w:rsidR="0000357E" w:rsidRPr="00620FA6">
      <w:rPr>
        <w:rFonts w:ascii="Times New Roman" w:hAnsi="Times New Roman" w:cs="Times New Roman"/>
        <w:sz w:val="20"/>
        <w:szCs w:val="20"/>
      </w:rPr>
      <w:t>; Ministru kabineta noteikumu projekta „Grozījumi Ministru kabineta 2013.gada 3.septembra noteikumos Nr.752 „Valsts sabiedrības ar ierobežotu atbildību „Latvijas Vides, ģeoloģijas un meteoroloģijas centrs” maksas pakalpojumu cenrādis””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7E" w:rsidRPr="004D7C36" w:rsidRDefault="0000357E" w:rsidP="004D7C36">
    <w:pPr>
      <w:spacing w:after="0"/>
      <w:rPr>
        <w:rFonts w:ascii="Times New Roman" w:hAnsi="Times New Roman" w:cs="Times New Roman"/>
        <w:sz w:val="8"/>
        <w:szCs w:val="8"/>
      </w:rPr>
    </w:pPr>
  </w:p>
  <w:p w:rsidR="0000357E" w:rsidRPr="00620FA6" w:rsidRDefault="004367B2" w:rsidP="004D7C36">
    <w:pPr>
      <w:spacing w:after="0"/>
      <w:rPr>
        <w:rFonts w:ascii="Times New Roman" w:hAnsi="Times New Roman" w:cs="Times New Roman"/>
        <w:sz w:val="20"/>
        <w:szCs w:val="20"/>
      </w:rPr>
    </w:pPr>
    <w:fldSimple w:instr=" FILENAME   \* MERGEFORMAT ">
      <w:r w:rsidRPr="004367B2">
        <w:rPr>
          <w:rFonts w:ascii="Times New Roman" w:hAnsi="Times New Roman" w:cs="Times New Roman"/>
          <w:noProof/>
          <w:sz w:val="20"/>
          <w:szCs w:val="20"/>
        </w:rPr>
        <w:t>VARAMAnot_Groz752_EmRegCenr_080714</w:t>
      </w:r>
    </w:fldSimple>
    <w:r w:rsidR="0000357E" w:rsidRPr="00620FA6">
      <w:rPr>
        <w:rFonts w:ascii="Times New Roman" w:hAnsi="Times New Roman" w:cs="Times New Roman"/>
        <w:sz w:val="20"/>
        <w:szCs w:val="20"/>
      </w:rPr>
      <w:t>; Ministru kabineta noteikumu projekta „Grozījumi Ministru kabineta 2013.gada 3.septembra noteikumos Nr.752 „Valsts sabiedrības ar ierobežotu atbildību „Latvijas Vides, ģeoloģijas un meteoroloģijas centrs” maksas pakalpojumu cenrādis””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91" w:rsidRDefault="000C5291" w:rsidP="004D7C36">
      <w:pPr>
        <w:spacing w:after="0"/>
      </w:pPr>
      <w:r>
        <w:separator/>
      </w:r>
    </w:p>
  </w:footnote>
  <w:footnote w:type="continuationSeparator" w:id="0">
    <w:p w:rsidR="000C5291" w:rsidRDefault="000C5291" w:rsidP="004D7C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46012"/>
      <w:docPartObj>
        <w:docPartGallery w:val="Page Numbers (Top of Page)"/>
        <w:docPartUnique/>
      </w:docPartObj>
    </w:sdtPr>
    <w:sdtEndPr>
      <w:rPr>
        <w:noProof/>
      </w:rPr>
    </w:sdtEndPr>
    <w:sdtContent>
      <w:p w:rsidR="0000357E" w:rsidRDefault="00A415E2">
        <w:pPr>
          <w:pStyle w:val="Header"/>
          <w:jc w:val="center"/>
        </w:pPr>
        <w:r>
          <w:fldChar w:fldCharType="begin"/>
        </w:r>
        <w:r>
          <w:instrText xml:space="preserve"> PAGE   \* MERGEFORMAT </w:instrText>
        </w:r>
        <w:r>
          <w:fldChar w:fldCharType="separate"/>
        </w:r>
        <w:r w:rsidR="00AB6D62">
          <w:rPr>
            <w:noProof/>
          </w:rPr>
          <w:t>2</w:t>
        </w:r>
        <w:r>
          <w:rPr>
            <w:noProof/>
          </w:rPr>
          <w:fldChar w:fldCharType="end"/>
        </w:r>
      </w:p>
    </w:sdtContent>
  </w:sdt>
  <w:p w:rsidR="0000357E" w:rsidRDefault="00003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504"/>
    <w:multiLevelType w:val="hybridMultilevel"/>
    <w:tmpl w:val="4B6865CE"/>
    <w:lvl w:ilvl="0" w:tplc="CAE8E2F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E848FB"/>
    <w:multiLevelType w:val="hybridMultilevel"/>
    <w:tmpl w:val="A0E29260"/>
    <w:lvl w:ilvl="0" w:tplc="7B26D53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cs="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cs="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cs="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4">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1">
    <w:nsid w:val="25CE195D"/>
    <w:multiLevelType w:val="hybridMultilevel"/>
    <w:tmpl w:val="82289CA8"/>
    <w:lvl w:ilvl="0" w:tplc="D53882E0">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cs="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cs="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cs="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2">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2DE86AB6"/>
    <w:multiLevelType w:val="hybridMultilevel"/>
    <w:tmpl w:val="1D36E26C"/>
    <w:lvl w:ilvl="0" w:tplc="354282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35CE6D92"/>
    <w:multiLevelType w:val="hybridMultilevel"/>
    <w:tmpl w:val="1474F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E84DFA"/>
    <w:multiLevelType w:val="hybridMultilevel"/>
    <w:tmpl w:val="477CF7E0"/>
    <w:lvl w:ilvl="0" w:tplc="1390D23E">
      <w:start w:val="1"/>
      <w:numFmt w:val="bullet"/>
      <w:lvlText w:val=""/>
      <w:lvlJc w:val="left"/>
      <w:pPr>
        <w:ind w:left="530" w:hanging="360"/>
      </w:pPr>
      <w:rPr>
        <w:rFonts w:ascii="Symbol" w:hAnsi="Symbol"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17">
    <w:nsid w:val="39EF344E"/>
    <w:multiLevelType w:val="hybridMultilevel"/>
    <w:tmpl w:val="636CA97C"/>
    <w:lvl w:ilvl="0" w:tplc="48229706">
      <w:start w:val="1"/>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18">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9">
    <w:nsid w:val="3AE5196F"/>
    <w:multiLevelType w:val="hybridMultilevel"/>
    <w:tmpl w:val="FEE42506"/>
    <w:lvl w:ilvl="0" w:tplc="391C7516">
      <w:start w:val="1"/>
      <w:numFmt w:val="decimal"/>
      <w:lvlText w:val="%1)"/>
      <w:lvlJc w:val="left"/>
      <w:pPr>
        <w:ind w:left="752" w:hanging="525"/>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0">
    <w:nsid w:val="3EB0279C"/>
    <w:multiLevelType w:val="hybridMultilevel"/>
    <w:tmpl w:val="7A5479B6"/>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2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8DC5A71"/>
    <w:multiLevelType w:val="hybridMultilevel"/>
    <w:tmpl w:val="39A84F2A"/>
    <w:lvl w:ilvl="0" w:tplc="49661AB6">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4C0D42B7"/>
    <w:multiLevelType w:val="hybridMultilevel"/>
    <w:tmpl w:val="261EBF62"/>
    <w:lvl w:ilvl="0" w:tplc="89D4F0C4">
      <w:start w:val="46"/>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2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4">
    <w:nsid w:val="7C9120D9"/>
    <w:multiLevelType w:val="hybridMultilevel"/>
    <w:tmpl w:val="CABC0CBE"/>
    <w:lvl w:ilvl="0" w:tplc="1390D2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34"/>
  </w:num>
  <w:num w:numId="4">
    <w:abstractNumId w:val="12"/>
  </w:num>
  <w:num w:numId="5">
    <w:abstractNumId w:val="31"/>
  </w:num>
  <w:num w:numId="6">
    <w:abstractNumId w:val="9"/>
  </w:num>
  <w:num w:numId="7">
    <w:abstractNumId w:val="6"/>
  </w:num>
  <w:num w:numId="8">
    <w:abstractNumId w:val="1"/>
  </w:num>
  <w:num w:numId="9">
    <w:abstractNumId w:val="26"/>
  </w:num>
  <w:num w:numId="10">
    <w:abstractNumId w:val="32"/>
  </w:num>
  <w:num w:numId="11">
    <w:abstractNumId w:val="21"/>
  </w:num>
  <w:num w:numId="12">
    <w:abstractNumId w:val="8"/>
  </w:num>
  <w:num w:numId="13">
    <w:abstractNumId w:val="22"/>
  </w:num>
  <w:num w:numId="14">
    <w:abstractNumId w:val="24"/>
  </w:num>
  <w:num w:numId="15">
    <w:abstractNumId w:val="27"/>
  </w:num>
  <w:num w:numId="16">
    <w:abstractNumId w:val="29"/>
  </w:num>
  <w:num w:numId="17">
    <w:abstractNumId w:val="14"/>
  </w:num>
  <w:num w:numId="18">
    <w:abstractNumId w:val="4"/>
  </w:num>
  <w:num w:numId="19">
    <w:abstractNumId w:val="28"/>
  </w:num>
  <w:num w:numId="20">
    <w:abstractNumId w:val="10"/>
  </w:num>
  <w:num w:numId="21">
    <w:abstractNumId w:val="18"/>
  </w:num>
  <w:num w:numId="22">
    <w:abstractNumId w:val="5"/>
  </w:num>
  <w:num w:numId="23">
    <w:abstractNumId w:val="7"/>
  </w:num>
  <w:num w:numId="24">
    <w:abstractNumId w:val="33"/>
  </w:num>
  <w:num w:numId="25">
    <w:abstractNumId w:val="25"/>
  </w:num>
  <w:num w:numId="26">
    <w:abstractNumId w:val="30"/>
  </w:num>
  <w:num w:numId="27">
    <w:abstractNumId w:val="17"/>
  </w:num>
  <w:num w:numId="28">
    <w:abstractNumId w:val="15"/>
  </w:num>
  <w:num w:numId="29">
    <w:abstractNumId w:val="19"/>
  </w:num>
  <w:num w:numId="30">
    <w:abstractNumId w:val="11"/>
  </w:num>
  <w:num w:numId="31">
    <w:abstractNumId w:val="20"/>
  </w:num>
  <w:num w:numId="32">
    <w:abstractNumId w:val="0"/>
  </w:num>
  <w:num w:numId="33">
    <w:abstractNumId w:val="13"/>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D"/>
    <w:rsid w:val="0000357E"/>
    <w:rsid w:val="00005263"/>
    <w:rsid w:val="00054B73"/>
    <w:rsid w:val="00060163"/>
    <w:rsid w:val="00075007"/>
    <w:rsid w:val="0008176E"/>
    <w:rsid w:val="000A5328"/>
    <w:rsid w:val="000B00B7"/>
    <w:rsid w:val="000B4B09"/>
    <w:rsid w:val="000B51AB"/>
    <w:rsid w:val="000C3F9F"/>
    <w:rsid w:val="000C5291"/>
    <w:rsid w:val="000E05CA"/>
    <w:rsid w:val="000E73F7"/>
    <w:rsid w:val="00106528"/>
    <w:rsid w:val="001424BB"/>
    <w:rsid w:val="00157133"/>
    <w:rsid w:val="00157710"/>
    <w:rsid w:val="001604B9"/>
    <w:rsid w:val="00165328"/>
    <w:rsid w:val="001707E7"/>
    <w:rsid w:val="0018158A"/>
    <w:rsid w:val="001872D0"/>
    <w:rsid w:val="00192C85"/>
    <w:rsid w:val="001C098C"/>
    <w:rsid w:val="001C288A"/>
    <w:rsid w:val="001D5A67"/>
    <w:rsid w:val="001D6769"/>
    <w:rsid w:val="001D70DB"/>
    <w:rsid w:val="002044F6"/>
    <w:rsid w:val="00212A4F"/>
    <w:rsid w:val="0028217A"/>
    <w:rsid w:val="002C7797"/>
    <w:rsid w:val="002E5FF2"/>
    <w:rsid w:val="00307433"/>
    <w:rsid w:val="00322017"/>
    <w:rsid w:val="00333FAA"/>
    <w:rsid w:val="0034370D"/>
    <w:rsid w:val="00356575"/>
    <w:rsid w:val="0035716E"/>
    <w:rsid w:val="00362787"/>
    <w:rsid w:val="00383D36"/>
    <w:rsid w:val="003859B6"/>
    <w:rsid w:val="00391B99"/>
    <w:rsid w:val="003D3065"/>
    <w:rsid w:val="003E7EBE"/>
    <w:rsid w:val="00410902"/>
    <w:rsid w:val="00410CDD"/>
    <w:rsid w:val="00417E2B"/>
    <w:rsid w:val="00424F34"/>
    <w:rsid w:val="004367B2"/>
    <w:rsid w:val="0044629A"/>
    <w:rsid w:val="004525F5"/>
    <w:rsid w:val="00456D95"/>
    <w:rsid w:val="004679AD"/>
    <w:rsid w:val="00471D1C"/>
    <w:rsid w:val="004726B9"/>
    <w:rsid w:val="00482F95"/>
    <w:rsid w:val="0049563D"/>
    <w:rsid w:val="00495C34"/>
    <w:rsid w:val="004B4856"/>
    <w:rsid w:val="004D7C36"/>
    <w:rsid w:val="004E72BB"/>
    <w:rsid w:val="004F0372"/>
    <w:rsid w:val="004F20B9"/>
    <w:rsid w:val="004F2CB3"/>
    <w:rsid w:val="004F3B23"/>
    <w:rsid w:val="00506393"/>
    <w:rsid w:val="00542D64"/>
    <w:rsid w:val="00552B20"/>
    <w:rsid w:val="0056592D"/>
    <w:rsid w:val="005764D9"/>
    <w:rsid w:val="005804F8"/>
    <w:rsid w:val="00590493"/>
    <w:rsid w:val="005F0098"/>
    <w:rsid w:val="00613285"/>
    <w:rsid w:val="00620FA6"/>
    <w:rsid w:val="00643958"/>
    <w:rsid w:val="00660684"/>
    <w:rsid w:val="00662161"/>
    <w:rsid w:val="00665626"/>
    <w:rsid w:val="00687104"/>
    <w:rsid w:val="006A25FA"/>
    <w:rsid w:val="006A32CD"/>
    <w:rsid w:val="006B6658"/>
    <w:rsid w:val="006F1A15"/>
    <w:rsid w:val="0074752B"/>
    <w:rsid w:val="007643DF"/>
    <w:rsid w:val="00766075"/>
    <w:rsid w:val="0076657B"/>
    <w:rsid w:val="00777ECE"/>
    <w:rsid w:val="0078297A"/>
    <w:rsid w:val="007A3B64"/>
    <w:rsid w:val="007D0181"/>
    <w:rsid w:val="007F74DA"/>
    <w:rsid w:val="00805918"/>
    <w:rsid w:val="008148E0"/>
    <w:rsid w:val="00815F14"/>
    <w:rsid w:val="00840C2F"/>
    <w:rsid w:val="00855B55"/>
    <w:rsid w:val="00870977"/>
    <w:rsid w:val="00875362"/>
    <w:rsid w:val="008B16AB"/>
    <w:rsid w:val="008C2970"/>
    <w:rsid w:val="008D0FA1"/>
    <w:rsid w:val="008D1DB4"/>
    <w:rsid w:val="00906338"/>
    <w:rsid w:val="00927C4D"/>
    <w:rsid w:val="00935F0F"/>
    <w:rsid w:val="0094491A"/>
    <w:rsid w:val="00955789"/>
    <w:rsid w:val="00982FEC"/>
    <w:rsid w:val="009846E7"/>
    <w:rsid w:val="00995ACA"/>
    <w:rsid w:val="009A0D70"/>
    <w:rsid w:val="009E76FB"/>
    <w:rsid w:val="009F26D0"/>
    <w:rsid w:val="009F7EAD"/>
    <w:rsid w:val="00A11276"/>
    <w:rsid w:val="00A153E5"/>
    <w:rsid w:val="00A162A2"/>
    <w:rsid w:val="00A170DE"/>
    <w:rsid w:val="00A415E2"/>
    <w:rsid w:val="00A43A1F"/>
    <w:rsid w:val="00A74BE4"/>
    <w:rsid w:val="00A85AC2"/>
    <w:rsid w:val="00A8634F"/>
    <w:rsid w:val="00AA588C"/>
    <w:rsid w:val="00AA73AA"/>
    <w:rsid w:val="00AB259C"/>
    <w:rsid w:val="00AB6D62"/>
    <w:rsid w:val="00AC73FF"/>
    <w:rsid w:val="00AD31C8"/>
    <w:rsid w:val="00AD43BF"/>
    <w:rsid w:val="00AD64AC"/>
    <w:rsid w:val="00B22D26"/>
    <w:rsid w:val="00B563C3"/>
    <w:rsid w:val="00B609FF"/>
    <w:rsid w:val="00B72256"/>
    <w:rsid w:val="00B73564"/>
    <w:rsid w:val="00B90CE9"/>
    <w:rsid w:val="00BA24F0"/>
    <w:rsid w:val="00BB4BB8"/>
    <w:rsid w:val="00BF7184"/>
    <w:rsid w:val="00C066C0"/>
    <w:rsid w:val="00C715D5"/>
    <w:rsid w:val="00C82F50"/>
    <w:rsid w:val="00C855B1"/>
    <w:rsid w:val="00C975E5"/>
    <w:rsid w:val="00CB5F51"/>
    <w:rsid w:val="00CF4796"/>
    <w:rsid w:val="00D03CF2"/>
    <w:rsid w:val="00D04125"/>
    <w:rsid w:val="00D216F7"/>
    <w:rsid w:val="00D22B05"/>
    <w:rsid w:val="00D24D7B"/>
    <w:rsid w:val="00D318B7"/>
    <w:rsid w:val="00D56C78"/>
    <w:rsid w:val="00D716DA"/>
    <w:rsid w:val="00D83518"/>
    <w:rsid w:val="00DB1104"/>
    <w:rsid w:val="00DC346E"/>
    <w:rsid w:val="00DD12A3"/>
    <w:rsid w:val="00E01818"/>
    <w:rsid w:val="00E11204"/>
    <w:rsid w:val="00E31C26"/>
    <w:rsid w:val="00E57372"/>
    <w:rsid w:val="00E61CD7"/>
    <w:rsid w:val="00E71286"/>
    <w:rsid w:val="00E76263"/>
    <w:rsid w:val="00EA17EB"/>
    <w:rsid w:val="00EC4A98"/>
    <w:rsid w:val="00ED4A2A"/>
    <w:rsid w:val="00EF23FC"/>
    <w:rsid w:val="00EF536D"/>
    <w:rsid w:val="00F05E39"/>
    <w:rsid w:val="00F1498A"/>
    <w:rsid w:val="00F315C4"/>
    <w:rsid w:val="00F62D9A"/>
    <w:rsid w:val="00F66214"/>
    <w:rsid w:val="00F763D2"/>
    <w:rsid w:val="00F772BF"/>
    <w:rsid w:val="00F8482A"/>
    <w:rsid w:val="00FA2BD1"/>
    <w:rsid w:val="00FB0DBE"/>
    <w:rsid w:val="00FB2B94"/>
    <w:rsid w:val="00FD6516"/>
    <w:rsid w:val="00FE2FBE"/>
    <w:rsid w:val="00FF098F"/>
    <w:rsid w:val="00FF5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2CD"/>
  </w:style>
  <w:style w:type="paragraph" w:customStyle="1" w:styleId="labojumupamats">
    <w:name w:val="labojumu_pamats"/>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A32CD"/>
    <w:rPr>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cs="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E57372"/>
    <w:rPr>
      <w:rFonts w:ascii="Times New Roman" w:eastAsia="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5737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cs="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5737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E57372"/>
    <w:rPr>
      <w:rFonts w:ascii="Tahoma" w:eastAsia="Times New Roman" w:hAnsi="Tahoma" w:cs="Tahoma"/>
      <w:sz w:val="16"/>
      <w:szCs w:val="16"/>
      <w:lang w:eastAsia="lv-LV"/>
    </w:rPr>
  </w:style>
  <w:style w:type="table" w:styleId="TableGrid">
    <w:name w:val="Table Grid"/>
    <w:basedOn w:val="TableNormal"/>
    <w:uiPriority w:val="99"/>
    <w:rsid w:val="00E57372"/>
    <w:pPr>
      <w:spacing w:after="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E5737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rsid w:val="00E573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57372"/>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57372"/>
    <w:rPr>
      <w:rFonts w:ascii="Tahoma" w:eastAsia="Times New Roman" w:hAnsi="Tahoma" w:cs="Tahoma"/>
      <w:sz w:val="20"/>
      <w:szCs w:val="20"/>
      <w:shd w:val="clear" w:color="auto" w:fill="000080"/>
      <w:lang w:eastAsia="lv-LV"/>
    </w:rPr>
  </w:style>
  <w:style w:type="paragraph" w:styleId="ListParagraph">
    <w:name w:val="List Paragraph"/>
    <w:basedOn w:val="Normal"/>
    <w:uiPriority w:val="99"/>
    <w:qFormat/>
    <w:rsid w:val="00E57372"/>
    <w:pPr>
      <w:ind w:left="720" w:firstLine="720"/>
      <w:contextualSpacing/>
    </w:pPr>
    <w:rPr>
      <w:rFonts w:ascii="Times New Roman" w:eastAsia="Times New Roman" w:hAnsi="Times New Roman" w:cs="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cs="Times New Roman"/>
      <w:b/>
      <w:bCs/>
      <w:sz w:val="28"/>
      <w:szCs w:val="28"/>
    </w:rPr>
  </w:style>
  <w:style w:type="character" w:customStyle="1" w:styleId="BodyText2Char">
    <w:name w:val="Body Text 2 Char"/>
    <w:basedOn w:val="DefaultParagraphFont"/>
    <w:link w:val="BodyText2"/>
    <w:uiPriority w:val="99"/>
    <w:rsid w:val="00E57372"/>
    <w:rPr>
      <w:rFonts w:ascii="Times New Roman" w:eastAsia="Times New Roman" w:hAnsi="Times New Roman" w:cs="Times New Roman"/>
      <w:b/>
      <w:bCs/>
      <w:sz w:val="28"/>
      <w:szCs w:val="28"/>
    </w:rPr>
  </w:style>
  <w:style w:type="paragraph" w:customStyle="1" w:styleId="Default">
    <w:name w:val="Default"/>
    <w:uiPriority w:val="99"/>
    <w:rsid w:val="00E57372"/>
    <w:pPr>
      <w:autoSpaceDE w:val="0"/>
      <w:autoSpaceDN w:val="0"/>
      <w:adjustRightInd w:val="0"/>
      <w:spacing w:after="0"/>
      <w:jc w:val="left"/>
    </w:pPr>
    <w:rPr>
      <w:rFonts w:ascii="Arial" w:eastAsia="Times New Roman" w:hAnsi="Arial" w:cs="Arial"/>
      <w:color w:val="000000"/>
      <w:sz w:val="24"/>
      <w:szCs w:val="24"/>
      <w:lang w:eastAsia="lv-LV"/>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57372"/>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E57372"/>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cs="Times New Roman"/>
      <w:sz w:val="12"/>
      <w:szCs w:val="12"/>
      <w:lang w:eastAsia="lv-LV"/>
    </w:rPr>
  </w:style>
  <w:style w:type="paragraph" w:styleId="Revision">
    <w:name w:val="Revision"/>
    <w:hidden/>
    <w:uiPriority w:val="99"/>
    <w:semiHidden/>
    <w:rsid w:val="00E57372"/>
    <w:pPr>
      <w:spacing w:after="0"/>
      <w:jc w:val="left"/>
    </w:pPr>
    <w:rPr>
      <w:rFonts w:ascii="Times New Roman" w:eastAsia="Times New Roman" w:hAnsi="Times New Roman" w:cs="Times New Roman"/>
      <w:sz w:val="24"/>
      <w:szCs w:val="24"/>
      <w:lang w:eastAsia="lv-LV"/>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s="Times New Roman"/>
      <w:color w:val="30606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2CD"/>
  </w:style>
  <w:style w:type="paragraph" w:customStyle="1" w:styleId="labojumupamats">
    <w:name w:val="labojumu_pamats"/>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A32CD"/>
    <w:rPr>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cs="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E57372"/>
    <w:rPr>
      <w:rFonts w:ascii="Times New Roman" w:eastAsia="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5737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cs="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5737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E57372"/>
    <w:rPr>
      <w:rFonts w:ascii="Tahoma" w:eastAsia="Times New Roman" w:hAnsi="Tahoma" w:cs="Tahoma"/>
      <w:sz w:val="16"/>
      <w:szCs w:val="16"/>
      <w:lang w:eastAsia="lv-LV"/>
    </w:rPr>
  </w:style>
  <w:style w:type="table" w:styleId="TableGrid">
    <w:name w:val="Table Grid"/>
    <w:basedOn w:val="TableNormal"/>
    <w:uiPriority w:val="99"/>
    <w:rsid w:val="00E57372"/>
    <w:pPr>
      <w:spacing w:after="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57372"/>
    <w:pPr>
      <w:spacing w:after="0"/>
      <w:jc w:val="left"/>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E5737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rsid w:val="00E573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57372"/>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57372"/>
    <w:rPr>
      <w:rFonts w:ascii="Tahoma" w:eastAsia="Times New Roman" w:hAnsi="Tahoma" w:cs="Tahoma"/>
      <w:sz w:val="20"/>
      <w:szCs w:val="20"/>
      <w:shd w:val="clear" w:color="auto" w:fill="000080"/>
      <w:lang w:eastAsia="lv-LV"/>
    </w:rPr>
  </w:style>
  <w:style w:type="paragraph" w:styleId="ListParagraph">
    <w:name w:val="List Paragraph"/>
    <w:basedOn w:val="Normal"/>
    <w:uiPriority w:val="99"/>
    <w:qFormat/>
    <w:rsid w:val="00E57372"/>
    <w:pPr>
      <w:ind w:left="720" w:firstLine="720"/>
      <w:contextualSpacing/>
    </w:pPr>
    <w:rPr>
      <w:rFonts w:ascii="Times New Roman" w:eastAsia="Times New Roman" w:hAnsi="Times New Roman" w:cs="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cs="Times New Roman"/>
      <w:b/>
      <w:bCs/>
      <w:sz w:val="28"/>
      <w:szCs w:val="28"/>
    </w:rPr>
  </w:style>
  <w:style w:type="character" w:customStyle="1" w:styleId="BodyText2Char">
    <w:name w:val="Body Text 2 Char"/>
    <w:basedOn w:val="DefaultParagraphFont"/>
    <w:link w:val="BodyText2"/>
    <w:uiPriority w:val="99"/>
    <w:rsid w:val="00E57372"/>
    <w:rPr>
      <w:rFonts w:ascii="Times New Roman" w:eastAsia="Times New Roman" w:hAnsi="Times New Roman" w:cs="Times New Roman"/>
      <w:b/>
      <w:bCs/>
      <w:sz w:val="28"/>
      <w:szCs w:val="28"/>
    </w:rPr>
  </w:style>
  <w:style w:type="paragraph" w:customStyle="1" w:styleId="Default">
    <w:name w:val="Default"/>
    <w:uiPriority w:val="99"/>
    <w:rsid w:val="00E57372"/>
    <w:pPr>
      <w:autoSpaceDE w:val="0"/>
      <w:autoSpaceDN w:val="0"/>
      <w:adjustRightInd w:val="0"/>
      <w:spacing w:after="0"/>
      <w:jc w:val="left"/>
    </w:pPr>
    <w:rPr>
      <w:rFonts w:ascii="Arial" w:eastAsia="Times New Roman" w:hAnsi="Arial" w:cs="Arial"/>
      <w:color w:val="000000"/>
      <w:sz w:val="24"/>
      <w:szCs w:val="24"/>
      <w:lang w:eastAsia="lv-LV"/>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57372"/>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rsid w:val="00E57372"/>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cs="Times New Roman"/>
      <w:sz w:val="12"/>
      <w:szCs w:val="12"/>
      <w:lang w:eastAsia="lv-LV"/>
    </w:rPr>
  </w:style>
  <w:style w:type="paragraph" w:styleId="Revision">
    <w:name w:val="Revision"/>
    <w:hidden/>
    <w:uiPriority w:val="99"/>
    <w:semiHidden/>
    <w:rsid w:val="00E57372"/>
    <w:pPr>
      <w:spacing w:after="0"/>
      <w:jc w:val="left"/>
    </w:pPr>
    <w:rPr>
      <w:rFonts w:ascii="Times New Roman" w:eastAsia="Times New Roman" w:hAnsi="Times New Roman" w:cs="Times New Roman"/>
      <w:sz w:val="24"/>
      <w:szCs w:val="24"/>
      <w:lang w:eastAsia="lv-LV"/>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s="Times New Roman"/>
      <w:color w:val="30606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689">
      <w:bodyDiv w:val="1"/>
      <w:marLeft w:val="0"/>
      <w:marRight w:val="0"/>
      <w:marTop w:val="0"/>
      <w:marBottom w:val="0"/>
      <w:divBdr>
        <w:top w:val="none" w:sz="0" w:space="0" w:color="auto"/>
        <w:left w:val="none" w:sz="0" w:space="0" w:color="auto"/>
        <w:bottom w:val="none" w:sz="0" w:space="0" w:color="auto"/>
        <w:right w:val="none" w:sz="0" w:space="0" w:color="auto"/>
      </w:divBdr>
    </w:div>
    <w:div w:id="894509735">
      <w:bodyDiv w:val="1"/>
      <w:marLeft w:val="0"/>
      <w:marRight w:val="0"/>
      <w:marTop w:val="0"/>
      <w:marBottom w:val="0"/>
      <w:divBdr>
        <w:top w:val="none" w:sz="0" w:space="0" w:color="auto"/>
        <w:left w:val="none" w:sz="0" w:space="0" w:color="auto"/>
        <w:bottom w:val="none" w:sz="0" w:space="0" w:color="auto"/>
        <w:right w:val="none" w:sz="0" w:space="0" w:color="auto"/>
      </w:divBdr>
    </w:div>
    <w:div w:id="925383007">
      <w:bodyDiv w:val="1"/>
      <w:marLeft w:val="0"/>
      <w:marRight w:val="0"/>
      <w:marTop w:val="0"/>
      <w:marBottom w:val="0"/>
      <w:divBdr>
        <w:top w:val="none" w:sz="0" w:space="0" w:color="auto"/>
        <w:left w:val="none" w:sz="0" w:space="0" w:color="auto"/>
        <w:bottom w:val="none" w:sz="0" w:space="0" w:color="auto"/>
        <w:right w:val="none" w:sz="0" w:space="0" w:color="auto"/>
      </w:divBdr>
      <w:divsChild>
        <w:div w:id="287203860">
          <w:marLeft w:val="0"/>
          <w:marRight w:val="0"/>
          <w:marTop w:val="0"/>
          <w:marBottom w:val="0"/>
          <w:divBdr>
            <w:top w:val="none" w:sz="0" w:space="0" w:color="auto"/>
            <w:left w:val="none" w:sz="0" w:space="0" w:color="auto"/>
            <w:bottom w:val="none" w:sz="0" w:space="0" w:color="auto"/>
            <w:right w:val="none" w:sz="0" w:space="0" w:color="auto"/>
          </w:divBdr>
          <w:divsChild>
            <w:div w:id="1308894418">
              <w:marLeft w:val="0"/>
              <w:marRight w:val="0"/>
              <w:marTop w:val="0"/>
              <w:marBottom w:val="0"/>
              <w:divBdr>
                <w:top w:val="none" w:sz="0" w:space="0" w:color="auto"/>
                <w:left w:val="none" w:sz="0" w:space="0" w:color="auto"/>
                <w:bottom w:val="none" w:sz="0" w:space="0" w:color="auto"/>
                <w:right w:val="none" w:sz="0" w:space="0" w:color="auto"/>
              </w:divBdr>
              <w:divsChild>
                <w:div w:id="550505378">
                  <w:marLeft w:val="150"/>
                  <w:marRight w:val="150"/>
                  <w:marTop w:val="480"/>
                  <w:marBottom w:val="0"/>
                  <w:divBdr>
                    <w:top w:val="single" w:sz="6" w:space="28" w:color="D4D4D4"/>
                    <w:left w:val="none" w:sz="0" w:space="0" w:color="auto"/>
                    <w:bottom w:val="none" w:sz="0" w:space="0" w:color="auto"/>
                    <w:right w:val="none" w:sz="0" w:space="0" w:color="auto"/>
                  </w:divBdr>
                </w:div>
                <w:div w:id="1252471790">
                  <w:marLeft w:val="0"/>
                  <w:marRight w:val="0"/>
                  <w:marTop w:val="240"/>
                  <w:marBottom w:val="0"/>
                  <w:divBdr>
                    <w:top w:val="none" w:sz="0" w:space="0" w:color="auto"/>
                    <w:left w:val="none" w:sz="0" w:space="0" w:color="auto"/>
                    <w:bottom w:val="none" w:sz="0" w:space="0" w:color="auto"/>
                    <w:right w:val="none" w:sz="0" w:space="0" w:color="auto"/>
                  </w:divBdr>
                </w:div>
                <w:div w:id="142773051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32343698">
          <w:marLeft w:val="0"/>
          <w:marRight w:val="0"/>
          <w:marTop w:val="0"/>
          <w:marBottom w:val="0"/>
          <w:divBdr>
            <w:top w:val="none" w:sz="0" w:space="0" w:color="auto"/>
            <w:left w:val="none" w:sz="0" w:space="0" w:color="auto"/>
            <w:bottom w:val="none" w:sz="0" w:space="0" w:color="auto"/>
            <w:right w:val="none" w:sz="0" w:space="0" w:color="auto"/>
          </w:divBdr>
          <w:divsChild>
            <w:div w:id="768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737">
      <w:bodyDiv w:val="1"/>
      <w:marLeft w:val="0"/>
      <w:marRight w:val="0"/>
      <w:marTop w:val="0"/>
      <w:marBottom w:val="0"/>
      <w:divBdr>
        <w:top w:val="none" w:sz="0" w:space="0" w:color="auto"/>
        <w:left w:val="none" w:sz="0" w:space="0" w:color="auto"/>
        <w:bottom w:val="none" w:sz="0" w:space="0" w:color="auto"/>
        <w:right w:val="none" w:sz="0" w:space="0" w:color="auto"/>
      </w:divBdr>
    </w:div>
    <w:div w:id="1184247052">
      <w:bodyDiv w:val="1"/>
      <w:marLeft w:val="0"/>
      <w:marRight w:val="0"/>
      <w:marTop w:val="0"/>
      <w:marBottom w:val="0"/>
      <w:divBdr>
        <w:top w:val="none" w:sz="0" w:space="0" w:color="auto"/>
        <w:left w:val="none" w:sz="0" w:space="0" w:color="auto"/>
        <w:bottom w:val="none" w:sz="0" w:space="0" w:color="auto"/>
        <w:right w:val="none" w:sz="0" w:space="0" w:color="auto"/>
      </w:divBdr>
    </w:div>
    <w:div w:id="19293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o.lv/pakalpojumi/citi-pakalpojumi/siltumnicefekta-gazu-emisijas-vienibu-registrs/?nid=325&amp;cid=95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3726</Words>
  <Characters>30182</Characters>
  <Application>Microsoft Office Word</Application>
  <DocSecurity>0</DocSecurity>
  <Lines>1257</Lines>
  <Paragraphs>652</Paragraphs>
  <ScaleCrop>false</ScaleCrop>
  <HeadingPairs>
    <vt:vector size="2" baseType="variant">
      <vt:variant>
        <vt:lpstr>Title</vt:lpstr>
      </vt:variant>
      <vt:variant>
        <vt:i4>1</vt:i4>
      </vt:variant>
    </vt:vector>
  </HeadingPairs>
  <TitlesOfParts>
    <vt:vector size="1" baseType="lpstr">
      <vt:lpstr>anotācijas MKN projektam „Grozījumi Ministru kabineta 2012.gada 13.novembra noteikumos Nr.769 „Noteikumi par stacionāro tehnoloģisko iekārtu dalību Eiropas Savienības emisijas kvotu tirdzniecības sistēmā””</vt:lpstr>
    </vt:vector>
  </TitlesOfParts>
  <Manager>Helena.Rimsa@varam.gov.lv</Manager>
  <Company>Vides aizsardzības un reģionālās attīstības ministrija</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anotācijas MKN projektam „Grozījumi Ministru kabineta 2013.gada 3.septembra noteikumos Nr.752 „Valsts sabiedrības ar ierobežotu atbildību „Latvijas Vides, ģeoloģijas un meteoroloģijas centrs” maksas pakalpojumu cenrādis”"</dc:title>
  <dc:subject>anotācijas MKN projektam</dc:subject>
  <dc:creator>Helena Rimsa</dc:creator>
  <cp:lastModifiedBy>Helena Rimsa</cp:lastModifiedBy>
  <cp:revision>27</cp:revision>
  <dcterms:created xsi:type="dcterms:W3CDTF">2014-06-17T14:43:00Z</dcterms:created>
  <dcterms:modified xsi:type="dcterms:W3CDTF">2014-07-08T05:41:00Z</dcterms:modified>
  <cp:category>Vides politika</cp:category>
</cp:coreProperties>
</file>