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32" w:rsidRPr="002225BF" w:rsidRDefault="00DC398B">
      <w:pPr>
        <w:rPr>
          <w:rFonts w:ascii="Times New Roman" w:hAnsi="Times New Roman" w:cs="Times New Roman"/>
          <w:b/>
          <w:sz w:val="24"/>
          <w:szCs w:val="24"/>
        </w:rPr>
      </w:pPr>
      <w:r w:rsidRPr="002225BF">
        <w:rPr>
          <w:rFonts w:ascii="Times New Roman" w:hAnsi="Times New Roman" w:cs="Times New Roman"/>
          <w:b/>
          <w:sz w:val="24"/>
          <w:szCs w:val="24"/>
        </w:rPr>
        <w:t>Starpreģionu sadarbības programmas INTERREG EUROPE 2014.-2020.</w:t>
      </w:r>
      <w:r w:rsidR="00D3712A">
        <w:rPr>
          <w:rFonts w:ascii="Times New Roman" w:hAnsi="Times New Roman" w:cs="Times New Roman"/>
          <w:b/>
          <w:sz w:val="24"/>
          <w:szCs w:val="24"/>
        </w:rPr>
        <w:t> </w:t>
      </w:r>
      <w:r w:rsidRPr="002225BF">
        <w:rPr>
          <w:rFonts w:ascii="Times New Roman" w:hAnsi="Times New Roman" w:cs="Times New Roman"/>
          <w:b/>
          <w:sz w:val="24"/>
          <w:szCs w:val="24"/>
        </w:rPr>
        <w:t>gadam</w:t>
      </w:r>
      <w:r w:rsidR="00B64CE3" w:rsidRPr="002225BF">
        <w:rPr>
          <w:rFonts w:ascii="Times New Roman" w:hAnsi="Times New Roman" w:cs="Times New Roman"/>
          <w:b/>
          <w:sz w:val="24"/>
          <w:szCs w:val="24"/>
        </w:rPr>
        <w:t xml:space="preserve"> projekta</w:t>
      </w:r>
    </w:p>
    <w:p w:rsidR="00DC398B" w:rsidRPr="002225BF" w:rsidRDefault="00DC398B">
      <w:pPr>
        <w:rPr>
          <w:rFonts w:ascii="Times New Roman" w:hAnsi="Times New Roman" w:cs="Times New Roman"/>
          <w:b/>
          <w:sz w:val="24"/>
          <w:szCs w:val="24"/>
        </w:rPr>
      </w:pPr>
      <w:r w:rsidRPr="002225BF">
        <w:rPr>
          <w:rFonts w:ascii="Times New Roman" w:hAnsi="Times New Roman" w:cs="Times New Roman"/>
          <w:b/>
          <w:sz w:val="24"/>
          <w:szCs w:val="24"/>
        </w:rPr>
        <w:t>KOPSAVILKUMS</w:t>
      </w:r>
    </w:p>
    <w:p w:rsidR="00DC398B" w:rsidRPr="002225BF" w:rsidRDefault="00DC398B">
      <w:pPr>
        <w:rPr>
          <w:rFonts w:ascii="Times New Roman" w:hAnsi="Times New Roman" w:cs="Times New Roman"/>
          <w:b/>
          <w:sz w:val="24"/>
          <w:szCs w:val="24"/>
        </w:rPr>
      </w:pPr>
    </w:p>
    <w:p w:rsidR="00DC398B" w:rsidRPr="002225BF" w:rsidRDefault="00A51B0C" w:rsidP="002225BF">
      <w:pPr>
        <w:ind w:left="-284" w:firstLine="284"/>
        <w:jc w:val="both"/>
        <w:rPr>
          <w:rFonts w:ascii="Times New Roman" w:hAnsi="Times New Roman" w:cs="Times New Roman"/>
          <w:b/>
          <w:sz w:val="24"/>
          <w:szCs w:val="24"/>
        </w:rPr>
      </w:pPr>
      <w:r w:rsidRPr="002225BF">
        <w:rPr>
          <w:rFonts w:ascii="Times New Roman" w:hAnsi="Times New Roman" w:cs="Times New Roman"/>
          <w:b/>
          <w:sz w:val="24"/>
          <w:szCs w:val="24"/>
        </w:rPr>
        <w:t>1.Risināmā jautājuma būtība</w:t>
      </w:r>
    </w:p>
    <w:p w:rsidR="00471CBD" w:rsidRPr="002225BF" w:rsidRDefault="00FA2DFB" w:rsidP="002225BF">
      <w:pPr>
        <w:ind w:left="-284" w:firstLine="284"/>
        <w:jc w:val="both"/>
        <w:rPr>
          <w:rFonts w:ascii="Times New Roman" w:hAnsi="Times New Roman" w:cs="Times New Roman"/>
          <w:sz w:val="24"/>
          <w:szCs w:val="24"/>
        </w:rPr>
      </w:pPr>
      <w:r w:rsidRPr="0018162E">
        <w:rPr>
          <w:rFonts w:ascii="Times New Roman" w:hAnsi="Times New Roman"/>
          <w:sz w:val="24"/>
          <w:szCs w:val="24"/>
        </w:rPr>
        <w:t xml:space="preserve">Saskaņā ar </w:t>
      </w:r>
      <w:r w:rsidRPr="00C75F74">
        <w:rPr>
          <w:rFonts w:ascii="Times New Roman" w:hAnsi="Times New Roman"/>
          <w:sz w:val="24"/>
          <w:szCs w:val="24"/>
        </w:rPr>
        <w:t xml:space="preserve">Ministru kabineta </w:t>
      </w:r>
      <w:r>
        <w:rPr>
          <w:rFonts w:ascii="Times New Roman" w:hAnsi="Times New Roman"/>
          <w:sz w:val="24"/>
          <w:szCs w:val="24"/>
        </w:rPr>
        <w:t xml:space="preserve">(turpmāk –MK) </w:t>
      </w:r>
      <w:r w:rsidRPr="00C75F74">
        <w:rPr>
          <w:rFonts w:ascii="Times New Roman" w:hAnsi="Times New Roman"/>
          <w:sz w:val="24"/>
          <w:szCs w:val="24"/>
        </w:rPr>
        <w:t>2013.</w:t>
      </w:r>
      <w:r w:rsidR="00D3712A">
        <w:rPr>
          <w:rFonts w:ascii="Times New Roman" w:hAnsi="Times New Roman"/>
          <w:sz w:val="24"/>
          <w:szCs w:val="24"/>
        </w:rPr>
        <w:t> </w:t>
      </w:r>
      <w:r w:rsidRPr="00C75F74">
        <w:rPr>
          <w:rFonts w:ascii="Times New Roman" w:hAnsi="Times New Roman"/>
          <w:sz w:val="24"/>
          <w:szCs w:val="24"/>
        </w:rPr>
        <w:t>gada 22.</w:t>
      </w:r>
      <w:r w:rsidR="00D3712A">
        <w:rPr>
          <w:rFonts w:ascii="Times New Roman" w:hAnsi="Times New Roman"/>
          <w:sz w:val="24"/>
          <w:szCs w:val="24"/>
        </w:rPr>
        <w:t> </w:t>
      </w:r>
      <w:r w:rsidRPr="00C75F74">
        <w:rPr>
          <w:rFonts w:ascii="Times New Roman" w:hAnsi="Times New Roman"/>
          <w:sz w:val="24"/>
          <w:szCs w:val="24"/>
        </w:rPr>
        <w:t>novembra rīkojumā Nr.</w:t>
      </w:r>
      <w:r w:rsidR="00D3712A">
        <w:rPr>
          <w:rFonts w:ascii="Times New Roman" w:hAnsi="Times New Roman"/>
          <w:sz w:val="24"/>
          <w:szCs w:val="24"/>
        </w:rPr>
        <w:t> </w:t>
      </w:r>
      <w:r w:rsidRPr="00C75F74">
        <w:rPr>
          <w:rFonts w:ascii="Times New Roman" w:hAnsi="Times New Roman"/>
          <w:sz w:val="24"/>
          <w:szCs w:val="24"/>
        </w:rPr>
        <w:t xml:space="preserve">561 </w:t>
      </w:r>
      <w:r w:rsidRPr="00C75F74">
        <w:rPr>
          <w:rFonts w:ascii="Times New Roman" w:hAnsi="Times New Roman"/>
          <w:bCs/>
          <w:color w:val="000000"/>
          <w:sz w:val="24"/>
          <w:szCs w:val="24"/>
        </w:rPr>
        <w:t xml:space="preserve">„Par uzdevumiem </w:t>
      </w:r>
      <w:r w:rsidRPr="00C75F74">
        <w:rPr>
          <w:rFonts w:ascii="Times New Roman" w:hAnsi="Times New Roman"/>
          <w:color w:val="000000"/>
          <w:sz w:val="24"/>
          <w:szCs w:val="24"/>
        </w:rPr>
        <w:t>Eiropas Savienības strukturālo un investīciju fondu mērķa "Eiropas teritoriālā sadarbība" 2014.–2020.</w:t>
      </w:r>
      <w:r w:rsidR="00D3712A">
        <w:rPr>
          <w:rFonts w:ascii="Times New Roman" w:hAnsi="Times New Roman"/>
          <w:color w:val="000000"/>
          <w:sz w:val="24"/>
          <w:szCs w:val="24"/>
        </w:rPr>
        <w:t> </w:t>
      </w:r>
      <w:r w:rsidRPr="00C75F74">
        <w:rPr>
          <w:rFonts w:ascii="Times New Roman" w:hAnsi="Times New Roman"/>
          <w:color w:val="000000"/>
          <w:sz w:val="24"/>
          <w:szCs w:val="24"/>
        </w:rPr>
        <w:t xml:space="preserve">gada plānošanas periodam </w:t>
      </w:r>
      <w:r w:rsidRPr="00C75F74">
        <w:rPr>
          <w:rFonts w:ascii="Times New Roman" w:hAnsi="Times New Roman"/>
          <w:bCs/>
          <w:color w:val="000000"/>
          <w:sz w:val="24"/>
          <w:szCs w:val="24"/>
        </w:rPr>
        <w:t>vadības, uzraudzības un kontroles sistēmas ieviešanai</w:t>
      </w:r>
      <w:r w:rsidRPr="00C75F74">
        <w:rPr>
          <w:rFonts w:ascii="Times New Roman" w:hAnsi="Times New Roman"/>
          <w:sz w:val="24"/>
          <w:szCs w:val="24"/>
        </w:rPr>
        <w:t xml:space="preserve">” </w:t>
      </w:r>
      <w:r>
        <w:rPr>
          <w:rFonts w:ascii="Times New Roman" w:hAnsi="Times New Roman"/>
          <w:sz w:val="24"/>
          <w:szCs w:val="24"/>
        </w:rPr>
        <w:t xml:space="preserve">(turpmāk – Rīkojums) </w:t>
      </w:r>
      <w:r w:rsidR="00471CBD" w:rsidRPr="002225BF">
        <w:rPr>
          <w:rFonts w:ascii="Times New Roman" w:hAnsi="Times New Roman" w:cs="Times New Roman"/>
          <w:sz w:val="24"/>
          <w:szCs w:val="24"/>
        </w:rPr>
        <w:t>2.2.5.</w:t>
      </w:r>
      <w:r w:rsidR="00D3712A">
        <w:rPr>
          <w:rFonts w:ascii="Times New Roman" w:hAnsi="Times New Roman" w:cs="Times New Roman"/>
          <w:sz w:val="24"/>
          <w:szCs w:val="24"/>
        </w:rPr>
        <w:t> </w:t>
      </w:r>
      <w:r w:rsidR="00471CBD" w:rsidRPr="002225BF">
        <w:rPr>
          <w:rFonts w:ascii="Times New Roman" w:hAnsi="Times New Roman" w:cs="Times New Roman"/>
          <w:sz w:val="24"/>
          <w:szCs w:val="24"/>
        </w:rPr>
        <w:t>apakšpunktā doto uzdevumu, Vides aizsardzības un reģionālās attīstības ministrija (turpmāk – VARAM) ir sagatavojusi starpreģionu sadarbības programmas INTERREG EUROPE 2014.-2020.</w:t>
      </w:r>
      <w:r w:rsidR="00D3712A">
        <w:rPr>
          <w:rFonts w:ascii="Times New Roman" w:hAnsi="Times New Roman" w:cs="Times New Roman"/>
          <w:sz w:val="24"/>
          <w:szCs w:val="24"/>
        </w:rPr>
        <w:t> </w:t>
      </w:r>
      <w:r w:rsidR="00471CBD" w:rsidRPr="002225BF">
        <w:rPr>
          <w:rFonts w:ascii="Times New Roman" w:hAnsi="Times New Roman" w:cs="Times New Roman"/>
          <w:sz w:val="24"/>
          <w:szCs w:val="24"/>
        </w:rPr>
        <w:t>gadam projektu (turpmāk - Programma), kas tiks īstenota Eiropas Savienības Strukturālo un investīciju fondu mērķa „Eiropas teritoriālā sadarbība” (turpmāk – ETS) ietvaros.</w:t>
      </w:r>
    </w:p>
    <w:p w:rsidR="00471CBD" w:rsidRPr="002225BF" w:rsidRDefault="00471CBD" w:rsidP="002225BF">
      <w:pPr>
        <w:ind w:left="-284" w:firstLine="284"/>
        <w:jc w:val="both"/>
        <w:rPr>
          <w:rFonts w:ascii="Times New Roman" w:hAnsi="Times New Roman" w:cs="Times New Roman"/>
          <w:sz w:val="24"/>
          <w:szCs w:val="24"/>
        </w:rPr>
      </w:pPr>
    </w:p>
    <w:p w:rsidR="00471CBD" w:rsidRPr="002225BF" w:rsidRDefault="00471CBD"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Eiropas Savienības Strukturālo un investīciju fondu 2014.-2020.</w:t>
      </w:r>
      <w:r w:rsidR="00D3712A">
        <w:rPr>
          <w:rFonts w:ascii="Times New Roman" w:hAnsi="Times New Roman" w:cs="Times New Roman"/>
          <w:sz w:val="24"/>
          <w:szCs w:val="24"/>
        </w:rPr>
        <w:t> </w:t>
      </w:r>
      <w:r w:rsidRPr="002225BF">
        <w:rPr>
          <w:rFonts w:ascii="Times New Roman" w:hAnsi="Times New Roman" w:cs="Times New Roman"/>
          <w:sz w:val="24"/>
          <w:szCs w:val="24"/>
        </w:rPr>
        <w:t>gadam perioda ETS mērķis paredz pārrobežu, transnacionālās un starpreģionu sadarbības programmu ieviešanu, kas tiks finansētas no Eiropas Reģionālās attīstības fonda līdzekļiem.</w:t>
      </w:r>
    </w:p>
    <w:p w:rsidR="00471CBD" w:rsidRPr="002225BF" w:rsidRDefault="00471CBD" w:rsidP="002225BF">
      <w:pPr>
        <w:ind w:left="-284" w:firstLine="284"/>
        <w:jc w:val="both"/>
        <w:rPr>
          <w:rFonts w:ascii="Times New Roman" w:hAnsi="Times New Roman" w:cs="Times New Roman"/>
          <w:sz w:val="24"/>
          <w:szCs w:val="24"/>
        </w:rPr>
      </w:pPr>
    </w:p>
    <w:p w:rsidR="00471CBD" w:rsidRPr="002225BF" w:rsidRDefault="00471CBD" w:rsidP="002225BF">
      <w:pPr>
        <w:ind w:left="-284" w:firstLine="284"/>
        <w:jc w:val="both"/>
        <w:rPr>
          <w:rFonts w:ascii="Times New Roman" w:hAnsi="Times New Roman" w:cs="Times New Roman"/>
          <w:b/>
          <w:sz w:val="24"/>
          <w:szCs w:val="24"/>
        </w:rPr>
      </w:pPr>
      <w:r w:rsidRPr="002225BF">
        <w:rPr>
          <w:rFonts w:ascii="Times New Roman" w:hAnsi="Times New Roman" w:cs="Times New Roman"/>
          <w:b/>
          <w:sz w:val="24"/>
          <w:szCs w:val="24"/>
        </w:rPr>
        <w:t>Programma ir izstrādāta atbilstoši:</w:t>
      </w:r>
    </w:p>
    <w:p w:rsidR="00471CBD" w:rsidRPr="002225BF" w:rsidRDefault="00471CBD" w:rsidP="002225BF">
      <w:pPr>
        <w:pStyle w:val="ListParagraph"/>
        <w:numPr>
          <w:ilvl w:val="0"/>
          <w:numId w:val="6"/>
        </w:numPr>
        <w:ind w:left="284" w:hanging="284"/>
        <w:jc w:val="both"/>
        <w:rPr>
          <w:rFonts w:ascii="Times New Roman" w:hAnsi="Times New Roman" w:cs="Times New Roman"/>
          <w:sz w:val="24"/>
          <w:szCs w:val="24"/>
        </w:rPr>
      </w:pPr>
      <w:r w:rsidRPr="002225BF">
        <w:rPr>
          <w:rFonts w:ascii="Times New Roman" w:hAnsi="Times New Roman" w:cs="Times New Roman"/>
          <w:sz w:val="24"/>
          <w:szCs w:val="24"/>
        </w:rPr>
        <w:t>Eiropas Parlame</w:t>
      </w:r>
      <w:r w:rsidR="00D3712A">
        <w:rPr>
          <w:rFonts w:ascii="Times New Roman" w:hAnsi="Times New Roman" w:cs="Times New Roman"/>
          <w:sz w:val="24"/>
          <w:szCs w:val="24"/>
        </w:rPr>
        <w:t>nta un Padomes Regulai (ES) Nr. </w:t>
      </w:r>
      <w:r w:rsidRPr="002225BF">
        <w:rPr>
          <w:rFonts w:ascii="Times New Roman" w:hAnsi="Times New Roman" w:cs="Times New Roman"/>
          <w:sz w:val="24"/>
          <w:szCs w:val="24"/>
        </w:rPr>
        <w:t>1303/2013 (2013.</w:t>
      </w:r>
      <w:r w:rsidR="00D3712A">
        <w:rPr>
          <w:rFonts w:ascii="Times New Roman" w:hAnsi="Times New Roman" w:cs="Times New Roman"/>
          <w:sz w:val="24"/>
          <w:szCs w:val="24"/>
        </w:rPr>
        <w:t> </w:t>
      </w:r>
      <w:r w:rsidRPr="002225BF">
        <w:rPr>
          <w:rFonts w:ascii="Times New Roman" w:hAnsi="Times New Roman" w:cs="Times New Roman"/>
          <w:sz w:val="24"/>
          <w:szCs w:val="24"/>
        </w:rPr>
        <w:t>gada 17.</w:t>
      </w:r>
      <w:r w:rsidR="00D3712A">
        <w:rPr>
          <w:rFonts w:ascii="Times New Roman" w:hAnsi="Times New Roman" w:cs="Times New Roman"/>
          <w:sz w:val="24"/>
          <w:szCs w:val="24"/>
        </w:rPr>
        <w:t> </w:t>
      </w:r>
      <w:r w:rsidRPr="002225BF">
        <w:rPr>
          <w:rFonts w:ascii="Times New Roman" w:hAnsi="Times New Roman" w:cs="Times New Roman"/>
          <w:sz w:val="24"/>
          <w:szCs w:val="24"/>
        </w:rPr>
        <w:t>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D3712A">
        <w:rPr>
          <w:rFonts w:ascii="Times New Roman" w:hAnsi="Times New Roman" w:cs="Times New Roman"/>
          <w:sz w:val="24"/>
          <w:szCs w:val="24"/>
        </w:rPr>
        <w:t> </w:t>
      </w:r>
      <w:r w:rsidRPr="002225BF">
        <w:rPr>
          <w:rFonts w:ascii="Times New Roman" w:hAnsi="Times New Roman" w:cs="Times New Roman"/>
          <w:sz w:val="24"/>
          <w:szCs w:val="24"/>
        </w:rPr>
        <w:t xml:space="preserve">1083/2006; </w:t>
      </w:r>
    </w:p>
    <w:p w:rsidR="00471CBD" w:rsidRPr="002225BF" w:rsidRDefault="00471CBD" w:rsidP="002225BF">
      <w:pPr>
        <w:pStyle w:val="ListParagraph"/>
        <w:ind w:left="284" w:hanging="284"/>
        <w:jc w:val="both"/>
        <w:rPr>
          <w:rFonts w:ascii="Times New Roman" w:hAnsi="Times New Roman" w:cs="Times New Roman"/>
          <w:sz w:val="24"/>
          <w:szCs w:val="24"/>
        </w:rPr>
      </w:pPr>
    </w:p>
    <w:p w:rsidR="00471CBD" w:rsidRPr="002225BF" w:rsidRDefault="00471CBD" w:rsidP="002225BF">
      <w:pPr>
        <w:pStyle w:val="ListParagraph"/>
        <w:numPr>
          <w:ilvl w:val="0"/>
          <w:numId w:val="6"/>
        </w:numPr>
        <w:ind w:left="284" w:hanging="284"/>
        <w:jc w:val="both"/>
        <w:rPr>
          <w:rFonts w:ascii="Times New Roman" w:hAnsi="Times New Roman" w:cs="Times New Roman"/>
          <w:sz w:val="24"/>
          <w:szCs w:val="24"/>
        </w:rPr>
      </w:pPr>
      <w:r w:rsidRPr="002225BF">
        <w:rPr>
          <w:rFonts w:ascii="Times New Roman" w:hAnsi="Times New Roman" w:cs="Times New Roman"/>
          <w:sz w:val="24"/>
          <w:szCs w:val="24"/>
        </w:rPr>
        <w:t>Eiropas Parlamenta un Padomes Regulai (ES) Nr.</w:t>
      </w:r>
      <w:r w:rsidR="00D3712A">
        <w:rPr>
          <w:rFonts w:ascii="Times New Roman" w:hAnsi="Times New Roman" w:cs="Times New Roman"/>
          <w:sz w:val="24"/>
          <w:szCs w:val="24"/>
        </w:rPr>
        <w:t> </w:t>
      </w:r>
      <w:r w:rsidRPr="002225BF">
        <w:rPr>
          <w:rFonts w:ascii="Times New Roman" w:hAnsi="Times New Roman" w:cs="Times New Roman"/>
          <w:sz w:val="24"/>
          <w:szCs w:val="24"/>
        </w:rPr>
        <w:t>1301/2013 (2013.</w:t>
      </w:r>
      <w:r w:rsidR="00D3712A">
        <w:rPr>
          <w:rFonts w:ascii="Times New Roman" w:hAnsi="Times New Roman" w:cs="Times New Roman"/>
          <w:sz w:val="24"/>
          <w:szCs w:val="24"/>
        </w:rPr>
        <w:t> </w:t>
      </w:r>
      <w:r w:rsidRPr="002225BF">
        <w:rPr>
          <w:rFonts w:ascii="Times New Roman" w:hAnsi="Times New Roman" w:cs="Times New Roman"/>
          <w:sz w:val="24"/>
          <w:szCs w:val="24"/>
        </w:rPr>
        <w:t>gada 17.</w:t>
      </w:r>
      <w:r w:rsidR="00D3712A">
        <w:rPr>
          <w:rFonts w:ascii="Times New Roman" w:hAnsi="Times New Roman" w:cs="Times New Roman"/>
          <w:sz w:val="24"/>
          <w:szCs w:val="24"/>
        </w:rPr>
        <w:t> </w:t>
      </w:r>
      <w:r w:rsidRPr="002225BF">
        <w:rPr>
          <w:rFonts w:ascii="Times New Roman" w:hAnsi="Times New Roman" w:cs="Times New Roman"/>
          <w:sz w:val="24"/>
          <w:szCs w:val="24"/>
        </w:rPr>
        <w:t>decembris) par Eiropas Reģionālās attīstības fondu un īpašiem noteikumiem attiecībā uz mērķi „Investīcijas izaugsmei un nodarbinātībai”</w:t>
      </w:r>
      <w:r w:rsidR="00D3712A">
        <w:rPr>
          <w:rFonts w:ascii="Times New Roman" w:hAnsi="Times New Roman" w:cs="Times New Roman"/>
          <w:sz w:val="24"/>
          <w:szCs w:val="24"/>
        </w:rPr>
        <w:t xml:space="preserve"> un ar ko atceļ Regulu (EK) Nr. </w:t>
      </w:r>
      <w:r w:rsidRPr="002225BF">
        <w:rPr>
          <w:rFonts w:ascii="Times New Roman" w:hAnsi="Times New Roman" w:cs="Times New Roman"/>
          <w:sz w:val="24"/>
          <w:szCs w:val="24"/>
        </w:rPr>
        <w:t>1080/2006;</w:t>
      </w:r>
    </w:p>
    <w:p w:rsidR="00471CBD" w:rsidRPr="002225BF" w:rsidRDefault="00471CBD" w:rsidP="002225BF">
      <w:pPr>
        <w:ind w:left="284" w:hanging="284"/>
        <w:jc w:val="both"/>
        <w:rPr>
          <w:rFonts w:ascii="Times New Roman" w:hAnsi="Times New Roman" w:cs="Times New Roman"/>
          <w:sz w:val="24"/>
          <w:szCs w:val="24"/>
        </w:rPr>
      </w:pPr>
    </w:p>
    <w:p w:rsidR="00471CBD" w:rsidRPr="002225BF" w:rsidRDefault="00471CBD" w:rsidP="002225BF">
      <w:pPr>
        <w:pStyle w:val="ListParagraph"/>
        <w:numPr>
          <w:ilvl w:val="0"/>
          <w:numId w:val="6"/>
        </w:numPr>
        <w:ind w:left="284" w:hanging="284"/>
        <w:jc w:val="both"/>
        <w:rPr>
          <w:rFonts w:ascii="Times New Roman" w:hAnsi="Times New Roman" w:cs="Times New Roman"/>
          <w:sz w:val="24"/>
          <w:szCs w:val="24"/>
        </w:rPr>
      </w:pPr>
      <w:r w:rsidRPr="002225BF">
        <w:rPr>
          <w:rFonts w:ascii="Times New Roman" w:hAnsi="Times New Roman" w:cs="Times New Roman"/>
          <w:sz w:val="24"/>
          <w:szCs w:val="24"/>
        </w:rPr>
        <w:t xml:space="preserve"> Eiropas Parlamenta un Padomes Regulai (ES) Nr.</w:t>
      </w:r>
      <w:r w:rsidR="00D3712A">
        <w:rPr>
          <w:rFonts w:ascii="Times New Roman" w:hAnsi="Times New Roman" w:cs="Times New Roman"/>
          <w:sz w:val="24"/>
          <w:szCs w:val="24"/>
        </w:rPr>
        <w:t> </w:t>
      </w:r>
      <w:r w:rsidRPr="002225BF">
        <w:rPr>
          <w:rFonts w:ascii="Times New Roman" w:hAnsi="Times New Roman" w:cs="Times New Roman"/>
          <w:sz w:val="24"/>
          <w:szCs w:val="24"/>
        </w:rPr>
        <w:t>1299/2013 (2013.</w:t>
      </w:r>
      <w:r w:rsidR="00D3712A">
        <w:rPr>
          <w:rFonts w:ascii="Times New Roman" w:hAnsi="Times New Roman" w:cs="Times New Roman"/>
          <w:sz w:val="24"/>
          <w:szCs w:val="24"/>
        </w:rPr>
        <w:t> </w:t>
      </w:r>
      <w:r w:rsidRPr="002225BF">
        <w:rPr>
          <w:rFonts w:ascii="Times New Roman" w:hAnsi="Times New Roman" w:cs="Times New Roman"/>
          <w:sz w:val="24"/>
          <w:szCs w:val="24"/>
        </w:rPr>
        <w:t>gada 17.</w:t>
      </w:r>
      <w:r w:rsidR="00D3712A">
        <w:rPr>
          <w:rFonts w:ascii="Times New Roman" w:hAnsi="Times New Roman" w:cs="Times New Roman"/>
          <w:sz w:val="24"/>
          <w:szCs w:val="24"/>
        </w:rPr>
        <w:t> </w:t>
      </w:r>
      <w:r w:rsidRPr="002225BF">
        <w:rPr>
          <w:rFonts w:ascii="Times New Roman" w:hAnsi="Times New Roman" w:cs="Times New Roman"/>
          <w:sz w:val="24"/>
          <w:szCs w:val="24"/>
        </w:rPr>
        <w:t xml:space="preserve">decembris) par īpašiem noteikumiem par atbalstu no Eiropas Reģionālās attīstības fonda saistībā ar mērķi „Eiropas teritoriālā sadarbība”, </w:t>
      </w:r>
    </w:p>
    <w:p w:rsidR="00471CBD" w:rsidRPr="002225BF" w:rsidRDefault="00471CBD" w:rsidP="002225BF">
      <w:pPr>
        <w:pStyle w:val="ListParagraph"/>
        <w:ind w:left="284" w:hanging="284"/>
        <w:rPr>
          <w:rFonts w:ascii="Times New Roman" w:hAnsi="Times New Roman" w:cs="Times New Roman"/>
          <w:sz w:val="24"/>
          <w:szCs w:val="24"/>
        </w:rPr>
      </w:pPr>
    </w:p>
    <w:p w:rsidR="00471CBD" w:rsidRPr="002225BF" w:rsidRDefault="00471CBD" w:rsidP="002225BF">
      <w:pPr>
        <w:pStyle w:val="ListParagraph"/>
        <w:numPr>
          <w:ilvl w:val="0"/>
          <w:numId w:val="6"/>
        </w:numPr>
        <w:ind w:left="284" w:hanging="284"/>
        <w:jc w:val="both"/>
        <w:rPr>
          <w:rFonts w:ascii="Times New Roman" w:hAnsi="Times New Roman" w:cs="Times New Roman"/>
          <w:sz w:val="24"/>
          <w:szCs w:val="24"/>
        </w:rPr>
      </w:pPr>
      <w:r w:rsidRPr="002225BF">
        <w:rPr>
          <w:rFonts w:ascii="Times New Roman" w:hAnsi="Times New Roman" w:cs="Times New Roman"/>
          <w:sz w:val="24"/>
          <w:szCs w:val="24"/>
        </w:rPr>
        <w:t>Stratēģijai „Eiropa 2020”,</w:t>
      </w:r>
    </w:p>
    <w:p w:rsidR="00471CBD" w:rsidRPr="002225BF" w:rsidRDefault="00471CBD" w:rsidP="002225BF">
      <w:pPr>
        <w:pStyle w:val="ListParagraph"/>
        <w:ind w:left="284" w:hanging="284"/>
        <w:rPr>
          <w:rFonts w:ascii="Times New Roman" w:hAnsi="Times New Roman" w:cs="Times New Roman"/>
          <w:sz w:val="24"/>
          <w:szCs w:val="24"/>
        </w:rPr>
      </w:pPr>
    </w:p>
    <w:p w:rsidR="00471CBD" w:rsidRPr="002225BF" w:rsidRDefault="00471CBD" w:rsidP="002225BF">
      <w:pPr>
        <w:pStyle w:val="ListParagraph"/>
        <w:numPr>
          <w:ilvl w:val="0"/>
          <w:numId w:val="6"/>
        </w:numPr>
        <w:ind w:left="284" w:hanging="284"/>
        <w:jc w:val="both"/>
        <w:rPr>
          <w:rFonts w:ascii="Times New Roman" w:hAnsi="Times New Roman" w:cs="Times New Roman"/>
          <w:sz w:val="24"/>
          <w:szCs w:val="24"/>
        </w:rPr>
      </w:pPr>
      <w:r w:rsidRPr="002225BF">
        <w:rPr>
          <w:rFonts w:ascii="Times New Roman" w:hAnsi="Times New Roman" w:cs="Times New Roman"/>
          <w:sz w:val="24"/>
          <w:szCs w:val="24"/>
        </w:rPr>
        <w:t xml:space="preserve"> Nacionālajiem plānošanas dokumentiem.</w:t>
      </w:r>
    </w:p>
    <w:p w:rsidR="00E676F4" w:rsidRPr="002225BF" w:rsidRDefault="00E676F4" w:rsidP="002225BF">
      <w:pPr>
        <w:ind w:left="-284" w:firstLine="284"/>
        <w:jc w:val="both"/>
        <w:rPr>
          <w:rFonts w:ascii="Times New Roman" w:hAnsi="Times New Roman" w:cs="Times New Roman"/>
          <w:sz w:val="24"/>
          <w:szCs w:val="24"/>
        </w:rPr>
      </w:pPr>
    </w:p>
    <w:p w:rsidR="00E676F4" w:rsidRPr="002225BF" w:rsidRDefault="002C252E"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Saskaņā ar</w:t>
      </w:r>
      <w:r w:rsidR="00E676F4" w:rsidRPr="002225BF">
        <w:rPr>
          <w:rFonts w:ascii="Times New Roman" w:hAnsi="Times New Roman" w:cs="Times New Roman"/>
          <w:sz w:val="24"/>
          <w:szCs w:val="24"/>
        </w:rPr>
        <w:t xml:space="preserve"> Eiropas Parlame</w:t>
      </w:r>
      <w:r w:rsidR="00D3712A">
        <w:rPr>
          <w:rFonts w:ascii="Times New Roman" w:hAnsi="Times New Roman" w:cs="Times New Roman"/>
          <w:sz w:val="24"/>
          <w:szCs w:val="24"/>
        </w:rPr>
        <w:t>nta un Padomes Regulas (ES) Nr. </w:t>
      </w:r>
      <w:r w:rsidR="00E676F4" w:rsidRPr="002225BF">
        <w:rPr>
          <w:rFonts w:ascii="Times New Roman" w:hAnsi="Times New Roman" w:cs="Times New Roman"/>
          <w:sz w:val="24"/>
          <w:szCs w:val="24"/>
        </w:rPr>
        <w:t>1299/</w:t>
      </w:r>
      <w:r w:rsidRPr="002225BF">
        <w:rPr>
          <w:rFonts w:ascii="Times New Roman" w:hAnsi="Times New Roman" w:cs="Times New Roman"/>
          <w:sz w:val="24"/>
          <w:szCs w:val="24"/>
        </w:rPr>
        <w:t xml:space="preserve">2013 </w:t>
      </w:r>
      <w:r w:rsidR="00E940F0" w:rsidRPr="002225BF">
        <w:rPr>
          <w:rFonts w:ascii="Times New Roman" w:hAnsi="Times New Roman" w:cs="Times New Roman"/>
          <w:sz w:val="24"/>
          <w:szCs w:val="24"/>
        </w:rPr>
        <w:t>(2013.</w:t>
      </w:r>
      <w:r w:rsidR="00D3712A">
        <w:rPr>
          <w:rFonts w:ascii="Times New Roman" w:hAnsi="Times New Roman" w:cs="Times New Roman"/>
          <w:sz w:val="24"/>
          <w:szCs w:val="24"/>
        </w:rPr>
        <w:t> </w:t>
      </w:r>
      <w:r w:rsidR="00E940F0" w:rsidRPr="002225BF">
        <w:rPr>
          <w:rFonts w:ascii="Times New Roman" w:hAnsi="Times New Roman" w:cs="Times New Roman"/>
          <w:sz w:val="24"/>
          <w:szCs w:val="24"/>
        </w:rPr>
        <w:t>gada 17.</w:t>
      </w:r>
      <w:r w:rsidR="00D3712A">
        <w:rPr>
          <w:rFonts w:ascii="Times New Roman" w:hAnsi="Times New Roman" w:cs="Times New Roman"/>
          <w:sz w:val="24"/>
          <w:szCs w:val="24"/>
        </w:rPr>
        <w:t> </w:t>
      </w:r>
      <w:r w:rsidR="00E940F0" w:rsidRPr="002225BF">
        <w:rPr>
          <w:rFonts w:ascii="Times New Roman" w:hAnsi="Times New Roman" w:cs="Times New Roman"/>
          <w:sz w:val="24"/>
          <w:szCs w:val="24"/>
        </w:rPr>
        <w:t xml:space="preserve">decembris) par īpašiem noteikumiem par atbalstu no Eiropas Reģionālās attīstības fonda saistībā ar mērķi </w:t>
      </w:r>
      <w:r w:rsidR="00E940F0">
        <w:rPr>
          <w:rFonts w:ascii="Times New Roman" w:hAnsi="Times New Roman" w:cs="Times New Roman"/>
          <w:sz w:val="24"/>
          <w:szCs w:val="24"/>
        </w:rPr>
        <w:t>„Eiropas teritoriālā sadarbība”</w:t>
      </w:r>
      <w:r w:rsidR="00E940F0" w:rsidRPr="002225BF">
        <w:rPr>
          <w:rFonts w:ascii="Times New Roman" w:hAnsi="Times New Roman" w:cs="Times New Roman"/>
          <w:sz w:val="24"/>
          <w:szCs w:val="24"/>
        </w:rPr>
        <w:t xml:space="preserve"> </w:t>
      </w:r>
      <w:r w:rsidR="002E5112" w:rsidRPr="002225BF">
        <w:rPr>
          <w:rFonts w:ascii="Times New Roman" w:hAnsi="Times New Roman" w:cs="Times New Roman"/>
          <w:sz w:val="24"/>
          <w:szCs w:val="24"/>
        </w:rPr>
        <w:t>8.</w:t>
      </w:r>
      <w:r w:rsidR="00D3712A">
        <w:rPr>
          <w:rFonts w:ascii="Times New Roman" w:hAnsi="Times New Roman" w:cs="Times New Roman"/>
          <w:sz w:val="24"/>
          <w:szCs w:val="24"/>
        </w:rPr>
        <w:t> </w:t>
      </w:r>
      <w:r w:rsidR="002E5112" w:rsidRPr="002225BF">
        <w:rPr>
          <w:rFonts w:ascii="Times New Roman" w:hAnsi="Times New Roman" w:cs="Times New Roman"/>
          <w:sz w:val="24"/>
          <w:szCs w:val="24"/>
        </w:rPr>
        <w:t>panta 9.</w:t>
      </w:r>
      <w:r w:rsidR="00D3712A">
        <w:rPr>
          <w:rFonts w:ascii="Times New Roman" w:hAnsi="Times New Roman" w:cs="Times New Roman"/>
          <w:sz w:val="24"/>
          <w:szCs w:val="24"/>
        </w:rPr>
        <w:t> </w:t>
      </w:r>
      <w:r w:rsidR="002E5112" w:rsidRPr="002225BF">
        <w:rPr>
          <w:rFonts w:ascii="Times New Roman" w:hAnsi="Times New Roman" w:cs="Times New Roman"/>
          <w:sz w:val="24"/>
          <w:szCs w:val="24"/>
        </w:rPr>
        <w:t>punktu</w:t>
      </w:r>
      <w:r w:rsidRPr="002225BF">
        <w:rPr>
          <w:rFonts w:ascii="Times New Roman" w:hAnsi="Times New Roman" w:cs="Times New Roman"/>
          <w:sz w:val="24"/>
          <w:szCs w:val="24"/>
        </w:rPr>
        <w:t xml:space="preserve"> pirms sadarbības programmas iesniegšanas Eiropas Komisijā iesaistītajām dalībvalstīm rakstiski jāapstiprina sava piekrišana sadarbības programmas saturam. Šī piekrišana aptver arī visu iesaistīto</w:t>
      </w:r>
      <w:r w:rsidR="003F3F01" w:rsidRPr="002225BF">
        <w:rPr>
          <w:rFonts w:ascii="Times New Roman" w:hAnsi="Times New Roman" w:cs="Times New Roman"/>
          <w:sz w:val="24"/>
          <w:szCs w:val="24"/>
        </w:rPr>
        <w:t xml:space="preserve"> dalībvalstu </w:t>
      </w:r>
      <w:r w:rsidRPr="002225BF">
        <w:rPr>
          <w:rFonts w:ascii="Times New Roman" w:hAnsi="Times New Roman" w:cs="Times New Roman"/>
          <w:sz w:val="24"/>
          <w:szCs w:val="24"/>
        </w:rPr>
        <w:t xml:space="preserve">saistības nodrošināt sadarbības programmas īstenošanai vajadzīgo </w:t>
      </w:r>
      <w:r w:rsidR="00471CBD" w:rsidRPr="002225BF">
        <w:rPr>
          <w:rFonts w:ascii="Times New Roman" w:hAnsi="Times New Roman" w:cs="Times New Roman"/>
          <w:sz w:val="24"/>
          <w:szCs w:val="24"/>
        </w:rPr>
        <w:t xml:space="preserve">nacionālo </w:t>
      </w:r>
      <w:r w:rsidRPr="002225BF">
        <w:rPr>
          <w:rFonts w:ascii="Times New Roman" w:hAnsi="Times New Roman" w:cs="Times New Roman"/>
          <w:sz w:val="24"/>
          <w:szCs w:val="24"/>
        </w:rPr>
        <w:t>līdzfinansējumu.</w:t>
      </w:r>
    </w:p>
    <w:p w:rsidR="002C252E" w:rsidRPr="002225BF" w:rsidRDefault="002C252E" w:rsidP="002225BF">
      <w:pPr>
        <w:ind w:left="-284" w:firstLine="284"/>
        <w:jc w:val="both"/>
        <w:rPr>
          <w:rFonts w:ascii="Times New Roman" w:hAnsi="Times New Roman" w:cs="Times New Roman"/>
          <w:sz w:val="24"/>
          <w:szCs w:val="24"/>
        </w:rPr>
      </w:pPr>
    </w:p>
    <w:p w:rsidR="002C252E" w:rsidRPr="002225BF" w:rsidRDefault="001F1BE1"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lastRenderedPageBreak/>
        <w:t>Saskaņā ar Ministru kabineta 2013.</w:t>
      </w:r>
      <w:r w:rsidR="00D3712A">
        <w:rPr>
          <w:rFonts w:ascii="Times New Roman" w:hAnsi="Times New Roman" w:cs="Times New Roman"/>
          <w:sz w:val="24"/>
          <w:szCs w:val="24"/>
        </w:rPr>
        <w:t> </w:t>
      </w:r>
      <w:r w:rsidRPr="002225BF">
        <w:rPr>
          <w:rFonts w:ascii="Times New Roman" w:hAnsi="Times New Roman" w:cs="Times New Roman"/>
          <w:sz w:val="24"/>
          <w:szCs w:val="24"/>
        </w:rPr>
        <w:t>gada 22.</w:t>
      </w:r>
      <w:r w:rsidR="00D3712A">
        <w:rPr>
          <w:rFonts w:ascii="Times New Roman" w:hAnsi="Times New Roman" w:cs="Times New Roman"/>
          <w:sz w:val="24"/>
          <w:szCs w:val="24"/>
        </w:rPr>
        <w:t> novembra rīkojumu Nr. </w:t>
      </w:r>
      <w:r w:rsidRPr="002225BF">
        <w:rPr>
          <w:rFonts w:ascii="Times New Roman" w:hAnsi="Times New Roman" w:cs="Times New Roman"/>
          <w:sz w:val="24"/>
          <w:szCs w:val="24"/>
        </w:rPr>
        <w:t>561 „Par uzdevumiem Eiropas Savienības strukturālo un investīciju fondu mērķa</w:t>
      </w:r>
      <w:r w:rsidR="00681E5B" w:rsidRPr="002225BF">
        <w:rPr>
          <w:rFonts w:ascii="Times New Roman" w:hAnsi="Times New Roman" w:cs="Times New Roman"/>
          <w:sz w:val="24"/>
          <w:szCs w:val="24"/>
        </w:rPr>
        <w:t xml:space="preserve"> </w:t>
      </w:r>
      <w:r w:rsidRPr="002225BF">
        <w:rPr>
          <w:rFonts w:ascii="Times New Roman" w:hAnsi="Times New Roman" w:cs="Times New Roman"/>
          <w:sz w:val="24"/>
          <w:szCs w:val="24"/>
        </w:rPr>
        <w:t>”Eiropas teritoriālā sadarbība”</w:t>
      </w:r>
      <w:r w:rsidR="00681E5B" w:rsidRPr="002225BF">
        <w:rPr>
          <w:rFonts w:ascii="Times New Roman" w:hAnsi="Times New Roman" w:cs="Times New Roman"/>
          <w:sz w:val="24"/>
          <w:szCs w:val="24"/>
        </w:rPr>
        <w:t xml:space="preserve"> </w:t>
      </w:r>
      <w:r w:rsidRPr="002225BF">
        <w:rPr>
          <w:rFonts w:ascii="Times New Roman" w:hAnsi="Times New Roman" w:cs="Times New Roman"/>
          <w:sz w:val="24"/>
          <w:szCs w:val="24"/>
        </w:rPr>
        <w:t>2014.-2020.</w:t>
      </w:r>
      <w:r w:rsidR="00D3712A">
        <w:rPr>
          <w:rFonts w:ascii="Times New Roman" w:hAnsi="Times New Roman" w:cs="Times New Roman"/>
          <w:sz w:val="24"/>
          <w:szCs w:val="24"/>
        </w:rPr>
        <w:t> </w:t>
      </w:r>
      <w:r w:rsidRPr="002225BF">
        <w:rPr>
          <w:rFonts w:ascii="Times New Roman" w:hAnsi="Times New Roman" w:cs="Times New Roman"/>
          <w:sz w:val="24"/>
          <w:szCs w:val="24"/>
        </w:rPr>
        <w:t>gada plānošanas periodam vadības, uzraudzības un kontroles sistēmas ieviešanai” 1.</w:t>
      </w:r>
      <w:r w:rsidR="00D3712A">
        <w:rPr>
          <w:rFonts w:ascii="Times New Roman" w:hAnsi="Times New Roman" w:cs="Times New Roman"/>
          <w:sz w:val="24"/>
          <w:szCs w:val="24"/>
        </w:rPr>
        <w:t> </w:t>
      </w:r>
      <w:r w:rsidRPr="002225BF">
        <w:rPr>
          <w:rFonts w:ascii="Times New Roman" w:hAnsi="Times New Roman" w:cs="Times New Roman"/>
          <w:sz w:val="24"/>
          <w:szCs w:val="24"/>
        </w:rPr>
        <w:t xml:space="preserve">punktu </w:t>
      </w:r>
      <w:r w:rsidR="00B56457">
        <w:rPr>
          <w:rFonts w:ascii="Times New Roman" w:hAnsi="Times New Roman" w:cs="Times New Roman"/>
          <w:sz w:val="24"/>
          <w:szCs w:val="24"/>
        </w:rPr>
        <w:t>VARAM</w:t>
      </w:r>
      <w:r w:rsidR="00471CBD" w:rsidRPr="002225BF">
        <w:rPr>
          <w:rFonts w:ascii="Times New Roman" w:hAnsi="Times New Roman" w:cs="Times New Roman"/>
          <w:sz w:val="24"/>
          <w:szCs w:val="24"/>
        </w:rPr>
        <w:t xml:space="preserve"> </w:t>
      </w:r>
      <w:r w:rsidRPr="002225BF">
        <w:rPr>
          <w:rFonts w:ascii="Times New Roman" w:hAnsi="Times New Roman" w:cs="Times New Roman"/>
          <w:sz w:val="24"/>
          <w:szCs w:val="24"/>
        </w:rPr>
        <w:t xml:space="preserve">noteikta par nacionālo atbildīgo iestādi </w:t>
      </w:r>
      <w:r w:rsidR="005F4610" w:rsidRPr="002225BF">
        <w:rPr>
          <w:rFonts w:ascii="Times New Roman" w:hAnsi="Times New Roman" w:cs="Times New Roman"/>
          <w:sz w:val="24"/>
          <w:szCs w:val="24"/>
        </w:rPr>
        <w:t xml:space="preserve">ETS </w:t>
      </w:r>
      <w:r w:rsidRPr="002225BF">
        <w:rPr>
          <w:rFonts w:ascii="Times New Roman" w:hAnsi="Times New Roman" w:cs="Times New Roman"/>
          <w:sz w:val="24"/>
          <w:szCs w:val="24"/>
        </w:rPr>
        <w:t>mērķa programmu politikas izstrādei un koordinēšanai.</w:t>
      </w:r>
    </w:p>
    <w:p w:rsidR="001F1BE1" w:rsidRPr="002225BF" w:rsidRDefault="001F1BE1" w:rsidP="002225BF">
      <w:pPr>
        <w:ind w:left="-284" w:firstLine="284"/>
        <w:jc w:val="both"/>
        <w:rPr>
          <w:rFonts w:ascii="Times New Roman" w:hAnsi="Times New Roman" w:cs="Times New Roman"/>
          <w:sz w:val="24"/>
          <w:szCs w:val="24"/>
        </w:rPr>
      </w:pPr>
    </w:p>
    <w:p w:rsidR="001F1BE1" w:rsidRPr="002225BF" w:rsidRDefault="001F1BE1"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2012.</w:t>
      </w:r>
      <w:r w:rsidR="00D3712A">
        <w:rPr>
          <w:rFonts w:ascii="Times New Roman" w:hAnsi="Times New Roman" w:cs="Times New Roman"/>
          <w:sz w:val="24"/>
          <w:szCs w:val="24"/>
        </w:rPr>
        <w:t> </w:t>
      </w:r>
      <w:r w:rsidRPr="002225BF">
        <w:rPr>
          <w:rFonts w:ascii="Times New Roman" w:hAnsi="Times New Roman" w:cs="Times New Roman"/>
          <w:sz w:val="24"/>
          <w:szCs w:val="24"/>
        </w:rPr>
        <w:t>gadā VARAM sadarbībā ar attiecīgo Programmas partnervalstu pārstāvjiem uzsāka Programmas izstrādi, izveidojot Programmēšanas komiteju</w:t>
      </w:r>
      <w:r w:rsidR="007B5D59" w:rsidRPr="002225BF">
        <w:rPr>
          <w:rFonts w:ascii="Times New Roman" w:hAnsi="Times New Roman" w:cs="Times New Roman"/>
          <w:sz w:val="24"/>
          <w:szCs w:val="24"/>
        </w:rPr>
        <w:t>, kurā piedalās visu Eiropas Savienības dalībvalstu/partnervalstu (Šveice, Norvēģija) pārstāvji, kā arī Eiropas Komisijas pārstāvji.</w:t>
      </w:r>
    </w:p>
    <w:p w:rsidR="006812A8" w:rsidRPr="002225BF" w:rsidRDefault="006812A8" w:rsidP="002225BF">
      <w:pPr>
        <w:ind w:left="-284" w:firstLine="284"/>
        <w:jc w:val="both"/>
        <w:rPr>
          <w:rFonts w:ascii="Times New Roman" w:hAnsi="Times New Roman" w:cs="Times New Roman"/>
          <w:sz w:val="24"/>
          <w:szCs w:val="24"/>
        </w:rPr>
      </w:pPr>
    </w:p>
    <w:p w:rsidR="00D22911" w:rsidRPr="002225BF" w:rsidRDefault="00D22911"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 xml:space="preserve">Latvijā, lai nodrošinātu Eiropas Savienības Strukturālo un investīciju </w:t>
      </w:r>
      <w:r w:rsidRPr="002225BF">
        <w:rPr>
          <w:rFonts w:ascii="Times New Roman" w:eastAsia="Calibri" w:hAnsi="Times New Roman" w:cs="Times New Roman"/>
          <w:sz w:val="24"/>
          <w:szCs w:val="24"/>
        </w:rPr>
        <w:t>fondu 2014.-2020.</w:t>
      </w:r>
      <w:r w:rsidR="00D3712A">
        <w:rPr>
          <w:rFonts w:ascii="Times New Roman" w:eastAsia="Calibri" w:hAnsi="Times New Roman" w:cs="Times New Roman"/>
          <w:sz w:val="24"/>
          <w:szCs w:val="24"/>
        </w:rPr>
        <w:t> </w:t>
      </w:r>
      <w:r w:rsidRPr="002225BF">
        <w:rPr>
          <w:rFonts w:ascii="Times New Roman" w:eastAsia="Calibri" w:hAnsi="Times New Roman" w:cs="Times New Roman"/>
          <w:sz w:val="24"/>
          <w:szCs w:val="24"/>
        </w:rPr>
        <w:t>gada plānošanas perioda ETS mērķa darbības programmu izstrādes uzraudzību</w:t>
      </w:r>
      <w:r w:rsidRPr="002225BF">
        <w:rPr>
          <w:rFonts w:ascii="Times New Roman" w:hAnsi="Times New Roman" w:cs="Times New Roman"/>
          <w:sz w:val="24"/>
          <w:szCs w:val="24"/>
        </w:rPr>
        <w:t xml:space="preserve">, kā arī koordināciju un sinerģiju starp Eiropas Savienības programmām un Latvijas nacionālajām interesēm, tika izveidota un darbojas Latvijas Konsultatīvā darba grupa, kuras sastāvā ir </w:t>
      </w:r>
      <w:r w:rsidR="00471CBD" w:rsidRPr="002225BF">
        <w:rPr>
          <w:rFonts w:ascii="Times New Roman" w:hAnsi="Times New Roman" w:cs="Times New Roman"/>
          <w:sz w:val="24"/>
          <w:szCs w:val="24"/>
        </w:rPr>
        <w:t xml:space="preserve">Ārlietu ministrijas, Ekonomikas ministrijas, Finanšu ministrijas, Iekšlietu ministrijas, Izglītības un zinātnes ministrijas, </w:t>
      </w:r>
      <w:r w:rsidRPr="002225BF">
        <w:rPr>
          <w:rFonts w:ascii="Times New Roman" w:hAnsi="Times New Roman" w:cs="Times New Roman"/>
          <w:sz w:val="24"/>
          <w:szCs w:val="24"/>
          <w:shd w:val="clear" w:color="auto" w:fill="FFFFFF"/>
        </w:rPr>
        <w:t xml:space="preserve">Finanšu ministrijas, </w:t>
      </w:r>
      <w:r w:rsidR="00471CBD" w:rsidRPr="002225BF">
        <w:rPr>
          <w:rFonts w:ascii="Times New Roman" w:hAnsi="Times New Roman" w:cs="Times New Roman"/>
          <w:sz w:val="24"/>
          <w:szCs w:val="24"/>
          <w:shd w:val="clear" w:color="auto" w:fill="FFFFFF"/>
        </w:rPr>
        <w:t>Kultūras ministrijas</w:t>
      </w:r>
      <w:r w:rsidRPr="002225BF">
        <w:rPr>
          <w:rFonts w:ascii="Times New Roman" w:hAnsi="Times New Roman" w:cs="Times New Roman"/>
          <w:sz w:val="24"/>
          <w:szCs w:val="24"/>
          <w:shd w:val="clear" w:color="auto" w:fill="FFFFFF"/>
        </w:rPr>
        <w:t>,</w:t>
      </w:r>
      <w:r w:rsidR="00471CBD" w:rsidRPr="002225BF">
        <w:rPr>
          <w:rFonts w:ascii="Times New Roman" w:hAnsi="Times New Roman" w:cs="Times New Roman"/>
          <w:sz w:val="24"/>
          <w:szCs w:val="24"/>
          <w:shd w:val="clear" w:color="auto" w:fill="FFFFFF"/>
        </w:rPr>
        <w:t xml:space="preserve"> Labklājības ministrijas, Satiksmes ministrijas, Veselības ministrijas, Vides aizsardzības un reģionālās attīstības ministrijas, Zemkopības ministrijas,</w:t>
      </w:r>
      <w:r w:rsidRPr="002225BF">
        <w:rPr>
          <w:rFonts w:ascii="Times New Roman" w:hAnsi="Times New Roman" w:cs="Times New Roman"/>
          <w:sz w:val="24"/>
          <w:szCs w:val="24"/>
          <w:shd w:val="clear" w:color="auto" w:fill="FFFFFF"/>
        </w:rPr>
        <w:t xml:space="preserve"> Latgales, Vidzemes, Rīgas, Kurzemes un Zemgales plānošanas reģionu, </w:t>
      </w:r>
      <w:proofErr w:type="spellStart"/>
      <w:r w:rsidRPr="002225BF">
        <w:rPr>
          <w:rFonts w:ascii="Times New Roman" w:hAnsi="Times New Roman" w:cs="Times New Roman"/>
          <w:sz w:val="24"/>
          <w:szCs w:val="24"/>
          <w:shd w:val="clear" w:color="auto" w:fill="FFFFFF"/>
        </w:rPr>
        <w:t>Pārresoru</w:t>
      </w:r>
      <w:proofErr w:type="spellEnd"/>
      <w:r w:rsidRPr="002225BF">
        <w:rPr>
          <w:rFonts w:ascii="Times New Roman" w:hAnsi="Times New Roman" w:cs="Times New Roman"/>
          <w:sz w:val="24"/>
          <w:szCs w:val="24"/>
          <w:shd w:val="clear" w:color="auto" w:fill="FFFFFF"/>
        </w:rPr>
        <w:t xml:space="preserve"> koordinācijas centra, biedrības "Latvijas Pašvaldību savienība" un biedrības "Latvijas Lielo Pilsētu asociācija" pārstāvji.</w:t>
      </w:r>
      <w:r w:rsidRPr="002225BF">
        <w:rPr>
          <w:rFonts w:ascii="Times New Roman" w:hAnsi="Times New Roman" w:cs="Times New Roman"/>
          <w:sz w:val="24"/>
          <w:szCs w:val="24"/>
        </w:rPr>
        <w:t xml:space="preserve"> </w:t>
      </w:r>
    </w:p>
    <w:p w:rsidR="00681E5B" w:rsidRPr="002225BF" w:rsidRDefault="00681E5B" w:rsidP="002225BF">
      <w:pPr>
        <w:ind w:left="-284" w:firstLine="284"/>
        <w:jc w:val="both"/>
        <w:rPr>
          <w:rFonts w:ascii="Times New Roman" w:hAnsi="Times New Roman" w:cs="Times New Roman"/>
          <w:sz w:val="24"/>
          <w:szCs w:val="24"/>
        </w:rPr>
      </w:pPr>
    </w:p>
    <w:p w:rsidR="00D22911" w:rsidRPr="002225BF" w:rsidRDefault="00D22911"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Programmas projektam tika veikta sākotnējā izvērtēšana (</w:t>
      </w:r>
      <w:proofErr w:type="spellStart"/>
      <w:r w:rsidRPr="002225BF">
        <w:rPr>
          <w:rFonts w:ascii="Times New Roman" w:hAnsi="Times New Roman" w:cs="Times New Roman"/>
          <w:i/>
          <w:sz w:val="24"/>
          <w:szCs w:val="24"/>
        </w:rPr>
        <w:t>ex-ante</w:t>
      </w:r>
      <w:proofErr w:type="spellEnd"/>
      <w:r w:rsidRPr="002225BF">
        <w:rPr>
          <w:rFonts w:ascii="Times New Roman" w:hAnsi="Times New Roman" w:cs="Times New Roman"/>
          <w:sz w:val="24"/>
          <w:szCs w:val="24"/>
        </w:rPr>
        <w:t xml:space="preserve">) un stratēģiskais  ietekmes uz vidi novērtējums. </w:t>
      </w:r>
    </w:p>
    <w:p w:rsidR="00D22911" w:rsidRPr="002225BF" w:rsidRDefault="00D22911" w:rsidP="002225BF">
      <w:pPr>
        <w:ind w:left="-284" w:firstLine="284"/>
        <w:jc w:val="both"/>
        <w:rPr>
          <w:rFonts w:ascii="Times New Roman" w:hAnsi="Times New Roman" w:cs="Times New Roman"/>
          <w:sz w:val="24"/>
          <w:szCs w:val="24"/>
        </w:rPr>
      </w:pPr>
    </w:p>
    <w:p w:rsidR="006812A8" w:rsidRPr="002225BF" w:rsidRDefault="000C4E0A"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2</w:t>
      </w:r>
      <w:r w:rsidR="006812A8" w:rsidRPr="002225BF">
        <w:rPr>
          <w:rFonts w:ascii="Times New Roman" w:hAnsi="Times New Roman" w:cs="Times New Roman"/>
          <w:sz w:val="24"/>
          <w:szCs w:val="24"/>
        </w:rPr>
        <w:t>013.gada decembrī partnervalstis apstiprināja Programmas projektu</w:t>
      </w:r>
      <w:r w:rsidR="00D22911" w:rsidRPr="002225BF">
        <w:rPr>
          <w:rFonts w:ascii="Times New Roman" w:hAnsi="Times New Roman" w:cs="Times New Roman"/>
          <w:sz w:val="24"/>
          <w:szCs w:val="24"/>
        </w:rPr>
        <w:t>, kas kopā ar stratēģiskā ietekmes uz vidi novērtējuma ziņojumu tika nodots publiskajai apspriešanai</w:t>
      </w:r>
      <w:r w:rsidR="006812A8" w:rsidRPr="002225BF">
        <w:rPr>
          <w:rFonts w:ascii="Times New Roman" w:hAnsi="Times New Roman" w:cs="Times New Roman"/>
          <w:sz w:val="24"/>
          <w:szCs w:val="24"/>
        </w:rPr>
        <w:t>. Latvijā publiskā apspriešana tika organizēta laikā no 2014.</w:t>
      </w:r>
      <w:r w:rsidR="00D3712A">
        <w:rPr>
          <w:rFonts w:ascii="Times New Roman" w:hAnsi="Times New Roman" w:cs="Times New Roman"/>
          <w:sz w:val="24"/>
          <w:szCs w:val="24"/>
        </w:rPr>
        <w:t> </w:t>
      </w:r>
      <w:r w:rsidR="006812A8" w:rsidRPr="002225BF">
        <w:rPr>
          <w:rFonts w:ascii="Times New Roman" w:hAnsi="Times New Roman" w:cs="Times New Roman"/>
          <w:sz w:val="24"/>
          <w:szCs w:val="24"/>
        </w:rPr>
        <w:t>gada 29.</w:t>
      </w:r>
      <w:r w:rsidR="00D3712A">
        <w:rPr>
          <w:rFonts w:ascii="Times New Roman" w:hAnsi="Times New Roman" w:cs="Times New Roman"/>
          <w:sz w:val="24"/>
          <w:szCs w:val="24"/>
        </w:rPr>
        <w:t> </w:t>
      </w:r>
      <w:r w:rsidR="006812A8" w:rsidRPr="002225BF">
        <w:rPr>
          <w:rFonts w:ascii="Times New Roman" w:hAnsi="Times New Roman" w:cs="Times New Roman"/>
          <w:sz w:val="24"/>
          <w:szCs w:val="24"/>
        </w:rPr>
        <w:t>janvāra līdz 2014.</w:t>
      </w:r>
      <w:r w:rsidR="00D3712A">
        <w:rPr>
          <w:rFonts w:ascii="Times New Roman" w:hAnsi="Times New Roman" w:cs="Times New Roman"/>
          <w:sz w:val="24"/>
          <w:szCs w:val="24"/>
        </w:rPr>
        <w:t> </w:t>
      </w:r>
      <w:r w:rsidR="006812A8" w:rsidRPr="002225BF">
        <w:rPr>
          <w:rFonts w:ascii="Times New Roman" w:hAnsi="Times New Roman" w:cs="Times New Roman"/>
          <w:sz w:val="24"/>
          <w:szCs w:val="24"/>
        </w:rPr>
        <w:t>gada 11.</w:t>
      </w:r>
      <w:r w:rsidR="00D3712A">
        <w:rPr>
          <w:rFonts w:ascii="Times New Roman" w:hAnsi="Times New Roman" w:cs="Times New Roman"/>
          <w:sz w:val="24"/>
          <w:szCs w:val="24"/>
        </w:rPr>
        <w:t> </w:t>
      </w:r>
      <w:r w:rsidR="006812A8" w:rsidRPr="002225BF">
        <w:rPr>
          <w:rFonts w:ascii="Times New Roman" w:hAnsi="Times New Roman" w:cs="Times New Roman"/>
          <w:sz w:val="24"/>
          <w:szCs w:val="24"/>
        </w:rPr>
        <w:t>martam, savukārt sabiedriskās apspriedes sanāksme notika 2014.</w:t>
      </w:r>
      <w:r w:rsidR="00D3712A">
        <w:rPr>
          <w:rFonts w:ascii="Times New Roman" w:hAnsi="Times New Roman" w:cs="Times New Roman"/>
          <w:sz w:val="24"/>
          <w:szCs w:val="24"/>
        </w:rPr>
        <w:t> </w:t>
      </w:r>
      <w:r w:rsidR="006812A8" w:rsidRPr="002225BF">
        <w:rPr>
          <w:rFonts w:ascii="Times New Roman" w:hAnsi="Times New Roman" w:cs="Times New Roman"/>
          <w:sz w:val="24"/>
          <w:szCs w:val="24"/>
        </w:rPr>
        <w:t>gada 17.</w:t>
      </w:r>
      <w:r w:rsidR="00D3712A">
        <w:rPr>
          <w:rFonts w:ascii="Times New Roman" w:hAnsi="Times New Roman" w:cs="Times New Roman"/>
          <w:sz w:val="24"/>
          <w:szCs w:val="24"/>
        </w:rPr>
        <w:t> </w:t>
      </w:r>
      <w:r w:rsidR="006812A8" w:rsidRPr="002225BF">
        <w:rPr>
          <w:rFonts w:ascii="Times New Roman" w:hAnsi="Times New Roman" w:cs="Times New Roman"/>
          <w:sz w:val="24"/>
          <w:szCs w:val="24"/>
        </w:rPr>
        <w:t>martā.</w:t>
      </w:r>
    </w:p>
    <w:p w:rsidR="00471CBD" w:rsidRPr="002225BF" w:rsidRDefault="00471CBD" w:rsidP="002225BF">
      <w:pPr>
        <w:ind w:left="-284" w:firstLine="284"/>
        <w:jc w:val="both"/>
        <w:rPr>
          <w:rFonts w:ascii="Times New Roman" w:hAnsi="Times New Roman" w:cs="Times New Roman"/>
          <w:sz w:val="24"/>
          <w:szCs w:val="24"/>
        </w:rPr>
      </w:pPr>
    </w:p>
    <w:p w:rsidR="00A51B0C" w:rsidRPr="002225BF" w:rsidRDefault="00A51B0C" w:rsidP="002225BF">
      <w:pPr>
        <w:ind w:left="-284" w:firstLine="284"/>
        <w:jc w:val="both"/>
        <w:rPr>
          <w:rFonts w:ascii="Times New Roman" w:hAnsi="Times New Roman" w:cs="Times New Roman"/>
          <w:b/>
          <w:sz w:val="24"/>
          <w:szCs w:val="24"/>
        </w:rPr>
      </w:pPr>
      <w:r w:rsidRPr="002225BF">
        <w:rPr>
          <w:rFonts w:ascii="Times New Roman" w:hAnsi="Times New Roman" w:cs="Times New Roman"/>
          <w:b/>
          <w:sz w:val="24"/>
          <w:szCs w:val="24"/>
        </w:rPr>
        <w:t>2.</w:t>
      </w:r>
      <w:r w:rsidR="002225BF">
        <w:rPr>
          <w:rFonts w:ascii="Times New Roman" w:hAnsi="Times New Roman" w:cs="Times New Roman"/>
          <w:b/>
          <w:sz w:val="24"/>
          <w:szCs w:val="24"/>
        </w:rPr>
        <w:t xml:space="preserve"> </w:t>
      </w:r>
      <w:r w:rsidRPr="002225BF">
        <w:rPr>
          <w:rFonts w:ascii="Times New Roman" w:hAnsi="Times New Roman" w:cs="Times New Roman"/>
          <w:b/>
          <w:sz w:val="24"/>
          <w:szCs w:val="24"/>
        </w:rPr>
        <w:t>Piedāvātais risinājums</w:t>
      </w:r>
    </w:p>
    <w:p w:rsidR="00673540" w:rsidRPr="00673540" w:rsidRDefault="00942742" w:rsidP="002225BF">
      <w:pPr>
        <w:ind w:left="-284" w:firstLine="284"/>
        <w:jc w:val="both"/>
        <w:rPr>
          <w:rFonts w:ascii="Times New Roman" w:hAnsi="Times New Roman" w:cs="Times New Roman"/>
          <w:color w:val="000000" w:themeColor="text1"/>
        </w:rPr>
      </w:pPr>
      <w:r w:rsidRPr="00942742">
        <w:rPr>
          <w:rFonts w:ascii="Times New Roman" w:hAnsi="Times New Roman" w:cs="Times New Roman"/>
          <w:color w:val="000000" w:themeColor="text1"/>
        </w:rPr>
        <w:t xml:space="preserve">Atbilstoši </w:t>
      </w:r>
      <w:r w:rsidR="00673540" w:rsidRPr="00673540">
        <w:rPr>
          <w:rFonts w:ascii="Times New Roman" w:hAnsi="Times New Roman" w:cs="Times New Roman"/>
          <w:noProof/>
          <w:sz w:val="24"/>
          <w:szCs w:val="24"/>
        </w:rPr>
        <w:t>Eiropas Parlamenta un Padomes regula</w:t>
      </w:r>
      <w:r w:rsidRPr="00942742">
        <w:rPr>
          <w:rFonts w:ascii="Times New Roman" w:hAnsi="Times New Roman" w:cs="Times New Roman"/>
          <w:noProof/>
        </w:rPr>
        <w:t>s</w:t>
      </w:r>
      <w:r w:rsidR="00673540" w:rsidRPr="00673540">
        <w:rPr>
          <w:rFonts w:ascii="Times New Roman" w:hAnsi="Times New Roman" w:cs="Times New Roman"/>
          <w:noProof/>
          <w:sz w:val="24"/>
          <w:szCs w:val="24"/>
        </w:rPr>
        <w:t xml:space="preserve"> 2013.</w:t>
      </w:r>
      <w:r w:rsidR="00D3712A">
        <w:rPr>
          <w:rFonts w:ascii="Times New Roman" w:hAnsi="Times New Roman" w:cs="Times New Roman"/>
          <w:noProof/>
          <w:sz w:val="24"/>
          <w:szCs w:val="24"/>
        </w:rPr>
        <w:t> </w:t>
      </w:r>
      <w:r w:rsidR="00673540" w:rsidRPr="00673540">
        <w:rPr>
          <w:rFonts w:ascii="Times New Roman" w:hAnsi="Times New Roman" w:cs="Times New Roman"/>
          <w:noProof/>
          <w:sz w:val="24"/>
          <w:szCs w:val="24"/>
        </w:rPr>
        <w:t>gada 17.</w:t>
      </w:r>
      <w:r w:rsidR="00D3712A">
        <w:rPr>
          <w:rFonts w:ascii="Times New Roman" w:hAnsi="Times New Roman" w:cs="Times New Roman"/>
          <w:noProof/>
          <w:sz w:val="24"/>
          <w:szCs w:val="24"/>
        </w:rPr>
        <w:t> </w:t>
      </w:r>
      <w:r w:rsidR="00673540" w:rsidRPr="00673540">
        <w:rPr>
          <w:rFonts w:ascii="Times New Roman" w:hAnsi="Times New Roman" w:cs="Times New Roman"/>
          <w:noProof/>
          <w:sz w:val="24"/>
          <w:szCs w:val="24"/>
        </w:rPr>
        <w:t>decembra (ES) Nr.</w:t>
      </w:r>
      <w:r w:rsidR="00D3712A">
        <w:rPr>
          <w:rFonts w:ascii="Times New Roman" w:hAnsi="Times New Roman" w:cs="Times New Roman"/>
          <w:noProof/>
          <w:sz w:val="24"/>
          <w:szCs w:val="24"/>
        </w:rPr>
        <w:t> </w:t>
      </w:r>
      <w:r w:rsidR="00673540" w:rsidRPr="00673540">
        <w:rPr>
          <w:rFonts w:ascii="Times New Roman" w:hAnsi="Times New Roman" w:cs="Times New Roman"/>
          <w:noProof/>
          <w:sz w:val="24"/>
          <w:szCs w:val="24"/>
        </w:rPr>
        <w:t>1299/2013 par īpašiem noteikumiem par atbalstu no Eiropas Reģionālās attīstības fonda saistībā ar mērķi „Eiropas teritoriālā sadarbība” (turpmāk – Regula Nr.</w:t>
      </w:r>
      <w:r w:rsidR="00D3712A">
        <w:rPr>
          <w:rFonts w:ascii="Times New Roman" w:hAnsi="Times New Roman" w:cs="Times New Roman"/>
          <w:noProof/>
          <w:sz w:val="24"/>
          <w:szCs w:val="24"/>
        </w:rPr>
        <w:t> </w:t>
      </w:r>
      <w:r w:rsidR="00673540" w:rsidRPr="00673540">
        <w:rPr>
          <w:rFonts w:ascii="Times New Roman" w:hAnsi="Times New Roman" w:cs="Times New Roman"/>
          <w:noProof/>
          <w:sz w:val="24"/>
          <w:szCs w:val="24"/>
        </w:rPr>
        <w:t>1299/2013)</w:t>
      </w:r>
      <w:r w:rsidRPr="00942742">
        <w:rPr>
          <w:rFonts w:ascii="Times New Roman" w:hAnsi="Times New Roman" w:cs="Times New Roman"/>
        </w:rPr>
        <w:t xml:space="preserve"> 2.</w:t>
      </w:r>
      <w:r w:rsidR="00D3712A">
        <w:rPr>
          <w:rFonts w:ascii="Times New Roman" w:hAnsi="Times New Roman" w:cs="Times New Roman"/>
        </w:rPr>
        <w:t> </w:t>
      </w:r>
      <w:r w:rsidRPr="00942742">
        <w:rPr>
          <w:rFonts w:ascii="Times New Roman" w:hAnsi="Times New Roman" w:cs="Times New Roman"/>
        </w:rPr>
        <w:t>panta 3.</w:t>
      </w:r>
      <w:r w:rsidR="00D3712A">
        <w:rPr>
          <w:rFonts w:ascii="Times New Roman" w:hAnsi="Times New Roman" w:cs="Times New Roman"/>
        </w:rPr>
        <w:t> </w:t>
      </w:r>
      <w:r w:rsidRPr="00942742">
        <w:rPr>
          <w:rFonts w:ascii="Times New Roman" w:hAnsi="Times New Roman" w:cs="Times New Roman"/>
        </w:rPr>
        <w:t xml:space="preserve">punkta  a) apakšpunktam, </w:t>
      </w:r>
      <w:r w:rsidRPr="00942742">
        <w:rPr>
          <w:rFonts w:ascii="Times New Roman" w:hAnsi="Times New Roman" w:cs="Times New Roman"/>
          <w:color w:val="000000" w:themeColor="text1"/>
        </w:rPr>
        <w:t xml:space="preserve">lai pastiprinātu Kohēzijas politikas efektivitāti starpreģionu sadarbības programmai jāveicina pieredzes apmaiņa starp partneriem visā Savienībā, labās prakses apzināšanu un izplatīšanu ar nolūku pārnest to galvenokārt uz darbības programmām atbilstoši mērķim „Investīcijas izaugsmei un nodarbinātībai”, bet vajadzības gadījumā arī uz sadarbības programmām. </w:t>
      </w:r>
    </w:p>
    <w:p w:rsidR="00673540" w:rsidRDefault="00673540" w:rsidP="002225BF">
      <w:pPr>
        <w:ind w:left="-284" w:firstLine="284"/>
        <w:jc w:val="both"/>
        <w:rPr>
          <w:rFonts w:ascii="Times New Roman" w:hAnsi="Times New Roman" w:cs="Times New Roman"/>
          <w:sz w:val="24"/>
          <w:szCs w:val="24"/>
          <w:u w:val="single"/>
        </w:rPr>
      </w:pPr>
    </w:p>
    <w:p w:rsidR="00676213" w:rsidRDefault="00676213"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u w:val="single"/>
        </w:rPr>
        <w:t>Programmas mērķis</w:t>
      </w:r>
      <w:r w:rsidRPr="002225BF">
        <w:rPr>
          <w:rFonts w:ascii="Times New Roman" w:hAnsi="Times New Roman" w:cs="Times New Roman"/>
          <w:sz w:val="24"/>
          <w:szCs w:val="24"/>
        </w:rPr>
        <w:t xml:space="preserve"> ir uzlabot reģionālās attīstības politiku un programmu ieviešanu, galvenokārt darbības programmās „Investīcijas izaugsmē un nodarbinātībā” un, ja nepieciešams, ETS mērķa programmās, sekmējot pieredzes apmaiņu un politikas apguvi reģionālas nozīmes dalībnieku vidū.</w:t>
      </w:r>
    </w:p>
    <w:p w:rsidR="005B7453" w:rsidRDefault="005B7453" w:rsidP="002225BF">
      <w:pPr>
        <w:ind w:left="-284" w:firstLine="284"/>
        <w:jc w:val="both"/>
        <w:rPr>
          <w:rFonts w:ascii="Times New Roman" w:hAnsi="Times New Roman" w:cs="Times New Roman"/>
          <w:sz w:val="24"/>
          <w:szCs w:val="24"/>
        </w:rPr>
      </w:pPr>
    </w:p>
    <w:p w:rsidR="005B7453" w:rsidRPr="00B662E9" w:rsidRDefault="008C4143" w:rsidP="002225BF">
      <w:pPr>
        <w:ind w:left="-284" w:firstLine="284"/>
        <w:jc w:val="both"/>
        <w:rPr>
          <w:rFonts w:ascii="Times New Roman" w:hAnsi="Times New Roman" w:cs="Times New Roman"/>
          <w:sz w:val="24"/>
          <w:szCs w:val="24"/>
        </w:rPr>
      </w:pPr>
      <w:r w:rsidRPr="008C4143">
        <w:rPr>
          <w:rFonts w:ascii="Times New Roman" w:hAnsi="Times New Roman" w:cs="Times New Roman"/>
          <w:color w:val="000000" w:themeColor="text1"/>
          <w:sz w:val="24"/>
          <w:szCs w:val="24"/>
        </w:rPr>
        <w:t>Labās prakses nodošana  minētajās programmās var notikt vairākos līmeņos: īstenojot jaunu programmas finansētu projektu/praksi; veicot izmaiņas programmas/politikas pārvaldībā (piemēram, pārskatot projektu konkursu organizāciju, alternatīvas uzraudzības metodes utt.); mainot programmas/politikas stratēģisko mērķi.</w:t>
      </w:r>
    </w:p>
    <w:p w:rsidR="00B00F99" w:rsidRPr="002225BF" w:rsidRDefault="00B00F99" w:rsidP="002225BF">
      <w:pPr>
        <w:ind w:left="-284" w:firstLine="284"/>
        <w:jc w:val="both"/>
        <w:rPr>
          <w:rFonts w:ascii="Times New Roman" w:eastAsia="Arial" w:hAnsi="Times New Roman" w:cs="Times New Roman"/>
          <w:sz w:val="24"/>
          <w:szCs w:val="24"/>
        </w:rPr>
      </w:pPr>
    </w:p>
    <w:p w:rsidR="00676213" w:rsidRPr="002225BF" w:rsidRDefault="00E00DBA"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 xml:space="preserve">Šī programma ietver visu Eiropas Savienības (ES), Norvēģijas un Šveices teritoriju. </w:t>
      </w:r>
    </w:p>
    <w:p w:rsidR="00676213" w:rsidRPr="002225BF" w:rsidRDefault="00676213" w:rsidP="002225BF">
      <w:pPr>
        <w:ind w:left="-284" w:firstLine="284"/>
        <w:jc w:val="both"/>
        <w:rPr>
          <w:rFonts w:ascii="Times New Roman" w:hAnsi="Times New Roman" w:cs="Times New Roman"/>
          <w:sz w:val="24"/>
          <w:szCs w:val="24"/>
        </w:rPr>
      </w:pPr>
    </w:p>
    <w:p w:rsidR="00676213" w:rsidRPr="002225BF" w:rsidRDefault="00676213"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Programmas partnervalstis vienojušās piemērot koncentrācij</w:t>
      </w:r>
      <w:r w:rsidR="00681E5B" w:rsidRPr="002225BF">
        <w:rPr>
          <w:rFonts w:ascii="Times New Roman" w:hAnsi="Times New Roman" w:cs="Times New Roman"/>
          <w:sz w:val="24"/>
          <w:szCs w:val="24"/>
        </w:rPr>
        <w:t>as principu atbalstot ierobežotu</w:t>
      </w:r>
      <w:r w:rsidRPr="002225BF">
        <w:rPr>
          <w:rFonts w:ascii="Times New Roman" w:hAnsi="Times New Roman" w:cs="Times New Roman"/>
          <w:sz w:val="24"/>
          <w:szCs w:val="24"/>
        </w:rPr>
        <w:t xml:space="preserve"> skaitu tematisko mērķu:</w:t>
      </w:r>
    </w:p>
    <w:p w:rsidR="00676213" w:rsidRPr="002225BF" w:rsidRDefault="00676213" w:rsidP="002225BF">
      <w:pPr>
        <w:ind w:left="-284" w:firstLine="284"/>
        <w:jc w:val="both"/>
        <w:rPr>
          <w:rFonts w:ascii="Times New Roman" w:hAnsi="Times New Roman" w:cs="Times New Roman"/>
          <w:sz w:val="24"/>
          <w:szCs w:val="24"/>
        </w:rPr>
      </w:pPr>
    </w:p>
    <w:p w:rsidR="005F4610" w:rsidRPr="002225BF" w:rsidRDefault="005F4610" w:rsidP="002225BF">
      <w:pPr>
        <w:pStyle w:val="ListParagraph"/>
        <w:numPr>
          <w:ilvl w:val="0"/>
          <w:numId w:val="4"/>
        </w:numPr>
        <w:tabs>
          <w:tab w:val="left" w:pos="426"/>
        </w:tabs>
        <w:ind w:left="-284" w:firstLine="284"/>
        <w:jc w:val="both"/>
        <w:rPr>
          <w:rFonts w:ascii="Times New Roman" w:hAnsi="Times New Roman" w:cs="Times New Roman"/>
          <w:b/>
          <w:bCs/>
          <w:sz w:val="24"/>
          <w:szCs w:val="24"/>
        </w:rPr>
      </w:pPr>
      <w:r w:rsidRPr="002225BF">
        <w:rPr>
          <w:rFonts w:ascii="Times New Roman" w:hAnsi="Times New Roman" w:cs="Times New Roman"/>
          <w:b/>
          <w:bCs/>
          <w:sz w:val="24"/>
          <w:szCs w:val="24"/>
        </w:rPr>
        <w:t>Pētniecība, tehnoloģiskā attīstība un inovācijas</w:t>
      </w:r>
    </w:p>
    <w:p w:rsidR="005F4610" w:rsidRPr="002225BF" w:rsidRDefault="005F4610"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Prioritāte sekmēs reģionālās attīstības politikas un programmu īstenošanas uzlabošanu, jo īpaši mērķa „Investīcijas izaugsmē un nodarbinātībā” programmu  un, ja nepieciešams, ETS mērķa programmu, reģionālo infrastruktūru pētniecības, inovāciju un kapacitātes attīstības jomā, lai attīstītu pētniecības un inovāciju izcilību.</w:t>
      </w:r>
    </w:p>
    <w:p w:rsidR="005F4610" w:rsidRPr="002225BF" w:rsidRDefault="005F4610" w:rsidP="002225BF">
      <w:pPr>
        <w:pStyle w:val="ListParagraph"/>
        <w:ind w:left="-284" w:firstLine="284"/>
        <w:jc w:val="both"/>
        <w:rPr>
          <w:rFonts w:ascii="Times New Roman" w:hAnsi="Times New Roman" w:cs="Times New Roman"/>
          <w:b/>
          <w:bCs/>
          <w:sz w:val="24"/>
          <w:szCs w:val="24"/>
        </w:rPr>
      </w:pPr>
    </w:p>
    <w:p w:rsidR="005F4610" w:rsidRPr="002225BF" w:rsidRDefault="005F4610" w:rsidP="002225BF">
      <w:pPr>
        <w:pStyle w:val="ListParagraph"/>
        <w:numPr>
          <w:ilvl w:val="0"/>
          <w:numId w:val="4"/>
        </w:numPr>
        <w:tabs>
          <w:tab w:val="left" w:pos="426"/>
        </w:tabs>
        <w:ind w:left="-284" w:firstLine="284"/>
        <w:jc w:val="both"/>
        <w:rPr>
          <w:rFonts w:ascii="Times New Roman" w:hAnsi="Times New Roman" w:cs="Times New Roman"/>
          <w:b/>
          <w:sz w:val="24"/>
          <w:szCs w:val="24"/>
        </w:rPr>
      </w:pPr>
      <w:r w:rsidRPr="002225BF">
        <w:rPr>
          <w:rFonts w:ascii="Times New Roman" w:hAnsi="Times New Roman" w:cs="Times New Roman"/>
          <w:b/>
          <w:sz w:val="24"/>
          <w:szCs w:val="24"/>
        </w:rPr>
        <w:t>Mazo un vidējo uzņēmumu konkurētspēja</w:t>
      </w:r>
    </w:p>
    <w:p w:rsidR="00FB62B1" w:rsidRPr="002225BF" w:rsidRDefault="00FB62B1"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Prioritāte sekmēs</w:t>
      </w:r>
      <w:r w:rsidRPr="002225BF">
        <w:rPr>
          <w:rFonts w:ascii="Times New Roman" w:hAnsi="Times New Roman" w:cs="Times New Roman"/>
          <w:b/>
          <w:sz w:val="24"/>
          <w:szCs w:val="24"/>
        </w:rPr>
        <w:t xml:space="preserve"> </w:t>
      </w:r>
      <w:r w:rsidRPr="002225BF">
        <w:rPr>
          <w:rFonts w:ascii="Times New Roman" w:hAnsi="Times New Roman" w:cs="Times New Roman"/>
          <w:sz w:val="24"/>
          <w:szCs w:val="24"/>
        </w:rPr>
        <w:t xml:space="preserve">reģionālo politiku un programmu īstenošanas uzlabošanu, </w:t>
      </w:r>
      <w:r w:rsidR="003C0DD8" w:rsidRPr="002225BF">
        <w:rPr>
          <w:rFonts w:ascii="Times New Roman" w:hAnsi="Times New Roman" w:cs="Times New Roman"/>
          <w:sz w:val="24"/>
          <w:szCs w:val="24"/>
        </w:rPr>
        <w:t>mērķa „Investīcijas izaugsmē un nodarbinātībā” programmu  un, ja nepieciešams, ETS mērķa programmu,</w:t>
      </w:r>
      <w:r w:rsidRPr="002225BF">
        <w:rPr>
          <w:rFonts w:ascii="Times New Roman" w:hAnsi="Times New Roman" w:cs="Times New Roman"/>
          <w:sz w:val="24"/>
          <w:szCs w:val="24"/>
        </w:rPr>
        <w:t xml:space="preserve"> kas atbalsta mazo un vidējo uzņēmumu izveidi, attīstīšanu un izaugsmi.</w:t>
      </w:r>
    </w:p>
    <w:p w:rsidR="0078724A" w:rsidRDefault="0078724A" w:rsidP="0078724A">
      <w:pPr>
        <w:ind w:left="0"/>
        <w:jc w:val="both"/>
        <w:rPr>
          <w:rFonts w:ascii="Times New Roman" w:hAnsi="Times New Roman" w:cs="Times New Roman"/>
          <w:b/>
          <w:sz w:val="24"/>
          <w:szCs w:val="24"/>
        </w:rPr>
      </w:pPr>
    </w:p>
    <w:p w:rsidR="005F4610" w:rsidRPr="002225BF" w:rsidRDefault="005F4610" w:rsidP="002225BF">
      <w:pPr>
        <w:pStyle w:val="ListParagraph"/>
        <w:numPr>
          <w:ilvl w:val="0"/>
          <w:numId w:val="4"/>
        </w:numPr>
        <w:tabs>
          <w:tab w:val="left" w:pos="426"/>
        </w:tabs>
        <w:ind w:left="-284" w:firstLine="284"/>
        <w:jc w:val="both"/>
        <w:rPr>
          <w:rFonts w:ascii="Times New Roman" w:hAnsi="Times New Roman" w:cs="Times New Roman"/>
          <w:b/>
          <w:sz w:val="24"/>
          <w:szCs w:val="24"/>
        </w:rPr>
      </w:pPr>
      <w:r w:rsidRPr="002225BF">
        <w:rPr>
          <w:rFonts w:ascii="Times New Roman" w:hAnsi="Times New Roman" w:cs="Times New Roman"/>
          <w:b/>
          <w:sz w:val="24"/>
          <w:szCs w:val="24"/>
        </w:rPr>
        <w:t xml:space="preserve">Ekonomika ar zemu oglekļa </w:t>
      </w:r>
      <w:r w:rsidR="003C0DD8" w:rsidRPr="002225BF">
        <w:rPr>
          <w:rFonts w:ascii="Times New Roman" w:hAnsi="Times New Roman" w:cs="Times New Roman"/>
          <w:b/>
          <w:sz w:val="24"/>
          <w:szCs w:val="24"/>
        </w:rPr>
        <w:t>dioksīda emisiju līmeni</w:t>
      </w:r>
    </w:p>
    <w:p w:rsidR="003C0DD8" w:rsidRPr="002225BF" w:rsidRDefault="003C0DD8"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 xml:space="preserve">Prioritāte sekmēs reģionālo politiku un programmu īstenošanas uzlabošanu, mērķa „Investīcijas izaugsmē un nodarbinātībā” programmu  un, ja nepieciešams, ETS mērķa programmu, </w:t>
      </w:r>
      <w:r w:rsidR="00681E5B" w:rsidRPr="002225BF">
        <w:rPr>
          <w:rFonts w:ascii="Times New Roman" w:hAnsi="Times New Roman" w:cs="Times New Roman"/>
          <w:sz w:val="24"/>
          <w:szCs w:val="24"/>
        </w:rPr>
        <w:t xml:space="preserve">kas </w:t>
      </w:r>
      <w:r w:rsidRPr="002225BF">
        <w:rPr>
          <w:rFonts w:ascii="Times New Roman" w:hAnsi="Times New Roman" w:cs="Times New Roman"/>
          <w:sz w:val="24"/>
          <w:szCs w:val="24"/>
        </w:rPr>
        <w:t>atbalst</w:t>
      </w:r>
      <w:r w:rsidR="00681E5B" w:rsidRPr="002225BF">
        <w:rPr>
          <w:rFonts w:ascii="Times New Roman" w:hAnsi="Times New Roman" w:cs="Times New Roman"/>
          <w:sz w:val="24"/>
          <w:szCs w:val="24"/>
        </w:rPr>
        <w:t>a</w:t>
      </w:r>
      <w:r w:rsidRPr="002225BF">
        <w:rPr>
          <w:rFonts w:ascii="Times New Roman" w:hAnsi="Times New Roman" w:cs="Times New Roman"/>
          <w:sz w:val="24"/>
          <w:szCs w:val="24"/>
        </w:rPr>
        <w:t xml:space="preserve"> pāreju uz ekonomiku ar zemu oglekļa dioksīda emisiju līmeni.</w:t>
      </w:r>
    </w:p>
    <w:p w:rsidR="003C0DD8" w:rsidRPr="002225BF" w:rsidRDefault="003C0DD8" w:rsidP="002225BF">
      <w:pPr>
        <w:ind w:left="-284" w:firstLine="284"/>
        <w:jc w:val="both"/>
        <w:rPr>
          <w:rFonts w:ascii="Times New Roman" w:hAnsi="Times New Roman" w:cs="Times New Roman"/>
          <w:b/>
          <w:sz w:val="24"/>
          <w:szCs w:val="24"/>
        </w:rPr>
      </w:pPr>
    </w:p>
    <w:p w:rsidR="005F4610" w:rsidRPr="002225BF" w:rsidRDefault="005F4610" w:rsidP="002225BF">
      <w:pPr>
        <w:pStyle w:val="ListParagraph"/>
        <w:numPr>
          <w:ilvl w:val="0"/>
          <w:numId w:val="4"/>
        </w:numPr>
        <w:tabs>
          <w:tab w:val="left" w:pos="426"/>
        </w:tabs>
        <w:ind w:left="-284" w:firstLine="284"/>
        <w:jc w:val="both"/>
        <w:rPr>
          <w:rFonts w:ascii="Times New Roman" w:hAnsi="Times New Roman" w:cs="Times New Roman"/>
          <w:b/>
          <w:sz w:val="24"/>
          <w:szCs w:val="24"/>
        </w:rPr>
      </w:pPr>
      <w:r w:rsidRPr="002225BF">
        <w:rPr>
          <w:rFonts w:ascii="Times New Roman" w:hAnsi="Times New Roman" w:cs="Times New Roman"/>
          <w:b/>
          <w:sz w:val="24"/>
          <w:szCs w:val="24"/>
        </w:rPr>
        <w:t>Apkārtējā vide un efektīva resursu izmantošana</w:t>
      </w:r>
    </w:p>
    <w:p w:rsidR="003C0DD8" w:rsidRPr="002225BF" w:rsidRDefault="003C0DD8"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Prioritāte sekmēs reģionālo politiku un programmu īstenošanas uzlabošanu, mērķa „Investīcijas izaugsmē un nodarbinātībā” programmu  un, ja nepieciešams, ETS mērķa programmu,</w:t>
      </w:r>
      <w:r w:rsidRPr="002225BF">
        <w:rPr>
          <w:rFonts w:ascii="Times New Roman" w:hAnsi="Times New Roman" w:cs="Times New Roman"/>
          <w:b/>
          <w:sz w:val="24"/>
          <w:szCs w:val="24"/>
        </w:rPr>
        <w:t xml:space="preserve"> </w:t>
      </w:r>
      <w:r w:rsidRPr="002225BF">
        <w:rPr>
          <w:rFonts w:ascii="Times New Roman" w:hAnsi="Times New Roman" w:cs="Times New Roman"/>
          <w:sz w:val="24"/>
          <w:szCs w:val="24"/>
        </w:rPr>
        <w:t>kas nodarbojas ar dabas mantojuma, bioloģiskās daudzveidības, ekosistēmu aizsargāšanu, to apzināšanas veicināšanu un attīstība, kā arī kultūras mantojuma atbalstīšanu.</w:t>
      </w:r>
    </w:p>
    <w:p w:rsidR="00596025" w:rsidRPr="002225BF" w:rsidRDefault="00596025" w:rsidP="002225BF">
      <w:pPr>
        <w:ind w:left="-284" w:firstLine="284"/>
        <w:jc w:val="both"/>
        <w:rPr>
          <w:rFonts w:ascii="Times New Roman" w:hAnsi="Times New Roman" w:cs="Times New Roman"/>
          <w:b/>
          <w:sz w:val="24"/>
          <w:szCs w:val="24"/>
        </w:rPr>
      </w:pPr>
    </w:p>
    <w:p w:rsidR="00596025" w:rsidRPr="002225BF" w:rsidRDefault="003C0DD8" w:rsidP="002225BF">
      <w:pPr>
        <w:pStyle w:val="ListParagraph"/>
        <w:numPr>
          <w:ilvl w:val="0"/>
          <w:numId w:val="4"/>
        </w:numPr>
        <w:tabs>
          <w:tab w:val="left" w:pos="426"/>
        </w:tabs>
        <w:ind w:left="-284" w:firstLine="284"/>
        <w:jc w:val="both"/>
        <w:rPr>
          <w:rFonts w:ascii="Times New Roman" w:hAnsi="Times New Roman" w:cs="Times New Roman"/>
          <w:b/>
          <w:sz w:val="24"/>
          <w:szCs w:val="24"/>
        </w:rPr>
      </w:pPr>
      <w:r w:rsidRPr="002225BF">
        <w:rPr>
          <w:rFonts w:ascii="Times New Roman" w:hAnsi="Times New Roman" w:cs="Times New Roman"/>
          <w:b/>
          <w:sz w:val="24"/>
          <w:szCs w:val="24"/>
        </w:rPr>
        <w:t>Tehniskā palīdzība</w:t>
      </w:r>
    </w:p>
    <w:p w:rsidR="00775E8D" w:rsidRPr="002225BF" w:rsidRDefault="00775E8D"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 xml:space="preserve">Atbalsts efektīvai </w:t>
      </w:r>
      <w:r w:rsidR="004526FE" w:rsidRPr="002225BF">
        <w:rPr>
          <w:rFonts w:ascii="Times New Roman" w:hAnsi="Times New Roman" w:cs="Times New Roman"/>
          <w:sz w:val="24"/>
          <w:szCs w:val="24"/>
        </w:rPr>
        <w:t>Programmas ieviešanai.</w:t>
      </w:r>
    </w:p>
    <w:p w:rsidR="003C0DD8" w:rsidRPr="002225BF" w:rsidRDefault="003C0DD8" w:rsidP="002225BF">
      <w:pPr>
        <w:ind w:left="-284" w:firstLine="284"/>
        <w:jc w:val="both"/>
        <w:rPr>
          <w:rFonts w:ascii="Times New Roman" w:hAnsi="Times New Roman" w:cs="Times New Roman"/>
          <w:b/>
          <w:sz w:val="24"/>
          <w:szCs w:val="24"/>
        </w:rPr>
      </w:pPr>
    </w:p>
    <w:p w:rsidR="002A3D3B" w:rsidRDefault="004161F1" w:rsidP="002A3D3B">
      <w:pPr>
        <w:ind w:left="-284" w:firstLine="284"/>
        <w:jc w:val="both"/>
        <w:rPr>
          <w:rFonts w:ascii="Times New Roman" w:hAnsi="Times New Roman" w:cs="Times New Roman"/>
          <w:sz w:val="24"/>
          <w:szCs w:val="24"/>
        </w:rPr>
      </w:pPr>
      <w:r w:rsidRPr="002225BF">
        <w:rPr>
          <w:rFonts w:ascii="Times New Roman" w:hAnsi="Times New Roman" w:cs="Times New Roman"/>
          <w:iCs/>
          <w:sz w:val="24"/>
          <w:szCs w:val="24"/>
        </w:rPr>
        <w:t xml:space="preserve">Lai stiprinātu reģionālo politiku, </w:t>
      </w:r>
      <w:r w:rsidRPr="002225BF">
        <w:rPr>
          <w:rFonts w:ascii="Times New Roman" w:hAnsi="Times New Roman" w:cs="Times New Roman"/>
          <w:bCs/>
          <w:iCs/>
          <w:sz w:val="24"/>
          <w:szCs w:val="24"/>
        </w:rPr>
        <w:t xml:space="preserve">sekmētu ES mēroga politikas apguvi un prakses izplatīšanu, </w:t>
      </w:r>
      <w:r w:rsidRPr="002225BF">
        <w:rPr>
          <w:rFonts w:ascii="Times New Roman" w:hAnsi="Times New Roman" w:cs="Times New Roman"/>
          <w:iCs/>
          <w:sz w:val="24"/>
          <w:szCs w:val="24"/>
        </w:rPr>
        <w:t xml:space="preserve">jo īpaši darbības programmu </w:t>
      </w:r>
      <w:r w:rsidRPr="002225BF">
        <w:rPr>
          <w:rFonts w:ascii="Times New Roman" w:hAnsi="Times New Roman" w:cs="Times New Roman"/>
          <w:sz w:val="24"/>
          <w:szCs w:val="24"/>
        </w:rPr>
        <w:t>„</w:t>
      </w:r>
      <w:r w:rsidRPr="002225BF">
        <w:rPr>
          <w:rFonts w:ascii="Times New Roman" w:hAnsi="Times New Roman" w:cs="Times New Roman"/>
          <w:iCs/>
          <w:sz w:val="24"/>
          <w:szCs w:val="24"/>
        </w:rPr>
        <w:t xml:space="preserve">Investīcijas izaugsmē un nodarbinātībā” un, ja nepieciešams, ETS mērķa programmu ieviešanu tiks izveidotas </w:t>
      </w:r>
      <w:r w:rsidRPr="002225BF">
        <w:rPr>
          <w:rFonts w:ascii="Times New Roman" w:hAnsi="Times New Roman" w:cs="Times New Roman"/>
          <w:bCs/>
          <w:iCs/>
          <w:sz w:val="24"/>
          <w:szCs w:val="24"/>
        </w:rPr>
        <w:t xml:space="preserve">politikas apguves platformas. </w:t>
      </w:r>
      <w:r w:rsidRPr="002225BF">
        <w:rPr>
          <w:rFonts w:ascii="Times New Roman" w:hAnsi="Times New Roman" w:cs="Times New Roman"/>
          <w:sz w:val="24"/>
          <w:szCs w:val="24"/>
        </w:rPr>
        <w:t>Šīs platformas būs aktīvas visā programmas darbības laikā, lai Eiropas reģioniem regulāri nodrošinātu pakalpojumus un atbalstu ar nolūku informēt un veicināt to reģionālo politiku noteikšanu un īstenošanu.</w:t>
      </w:r>
    </w:p>
    <w:p w:rsidR="002A3D3B" w:rsidRDefault="002A3D3B" w:rsidP="002A3D3B">
      <w:pPr>
        <w:ind w:left="-284" w:firstLine="284"/>
        <w:jc w:val="both"/>
        <w:rPr>
          <w:rFonts w:ascii="Times New Roman" w:hAnsi="Times New Roman" w:cs="Times New Roman"/>
          <w:sz w:val="24"/>
          <w:szCs w:val="24"/>
        </w:rPr>
      </w:pPr>
    </w:p>
    <w:p w:rsidR="00732B60" w:rsidRDefault="002A3D3B">
      <w:pPr>
        <w:ind w:left="-284" w:firstLine="284"/>
        <w:jc w:val="both"/>
        <w:rPr>
          <w:rFonts w:ascii="Times New Roman" w:hAnsi="Times New Roman" w:cs="Times New Roman"/>
          <w:sz w:val="24"/>
          <w:szCs w:val="24"/>
        </w:rPr>
      </w:pPr>
      <w:r>
        <w:rPr>
          <w:rFonts w:ascii="Times New Roman" w:hAnsi="Times New Roman" w:cs="Times New Roman"/>
          <w:sz w:val="24"/>
          <w:szCs w:val="24"/>
        </w:rPr>
        <w:t>Kopumā tiks izveidotas četras p</w:t>
      </w:r>
      <w:r w:rsidRPr="002A3D3B">
        <w:rPr>
          <w:rFonts w:ascii="Times New Roman" w:hAnsi="Times New Roman" w:cs="Times New Roman"/>
          <w:sz w:val="24"/>
          <w:szCs w:val="24"/>
        </w:rPr>
        <w:t>olitikas apguves platformas katram tematiskajam mērķim</w:t>
      </w:r>
      <w:r>
        <w:rPr>
          <w:rFonts w:ascii="Times New Roman" w:hAnsi="Times New Roman" w:cs="Times New Roman"/>
          <w:sz w:val="24"/>
          <w:szCs w:val="24"/>
        </w:rPr>
        <w:t xml:space="preserve">. Platformas darbību nodrošinās </w:t>
      </w:r>
      <w:r w:rsidR="0078724A" w:rsidRPr="0078724A">
        <w:rPr>
          <w:rFonts w:ascii="Times New Roman" w:hAnsi="Times New Roman" w:cs="Times New Roman"/>
          <w:b/>
          <w:sz w:val="24"/>
          <w:szCs w:val="24"/>
        </w:rPr>
        <w:t>tiešsaistes rīks</w:t>
      </w:r>
      <w:r w:rsidR="00670730">
        <w:rPr>
          <w:rFonts w:ascii="Times New Roman" w:hAnsi="Times New Roman" w:cs="Times New Roman"/>
          <w:b/>
          <w:sz w:val="24"/>
          <w:szCs w:val="24"/>
        </w:rPr>
        <w:t xml:space="preserve">, </w:t>
      </w:r>
      <w:r w:rsidR="0078724A" w:rsidRPr="0078724A">
        <w:rPr>
          <w:rFonts w:ascii="Times New Roman" w:hAnsi="Times New Roman" w:cs="Times New Roman"/>
          <w:sz w:val="24"/>
          <w:szCs w:val="24"/>
        </w:rPr>
        <w:t>kas būs pieejams plašam reģistrētu interesentu lokam</w:t>
      </w:r>
      <w:r w:rsidR="00670730">
        <w:rPr>
          <w:rFonts w:ascii="Times New Roman" w:hAnsi="Times New Roman" w:cs="Times New Roman"/>
          <w:sz w:val="24"/>
          <w:szCs w:val="24"/>
        </w:rPr>
        <w:t xml:space="preserve"> (reģionālās politikas dalībnieki un citi interesenti)</w:t>
      </w:r>
      <w:r w:rsidR="0078724A" w:rsidRPr="0078724A">
        <w:rPr>
          <w:rFonts w:ascii="Times New Roman" w:hAnsi="Times New Roman" w:cs="Times New Roman"/>
          <w:sz w:val="24"/>
          <w:szCs w:val="24"/>
        </w:rPr>
        <w:t xml:space="preserve">, </w:t>
      </w:r>
      <w:r w:rsidR="00670730">
        <w:rPr>
          <w:rFonts w:ascii="Times New Roman" w:hAnsi="Times New Roman" w:cs="Times New Roman"/>
          <w:sz w:val="24"/>
          <w:szCs w:val="24"/>
        </w:rPr>
        <w:t xml:space="preserve">ar mērķi nodrošināt informācijas pieejamību (temats, iespējamie sadarbības kontakti, </w:t>
      </w:r>
      <w:r w:rsidR="00403A00">
        <w:rPr>
          <w:rFonts w:ascii="Times New Roman" w:hAnsi="Times New Roman" w:cs="Times New Roman"/>
          <w:sz w:val="24"/>
          <w:szCs w:val="24"/>
        </w:rPr>
        <w:t>reģionā attīstītas prakses</w:t>
      </w:r>
      <w:r w:rsidR="00670730">
        <w:rPr>
          <w:rFonts w:ascii="Times New Roman" w:hAnsi="Times New Roman" w:cs="Times New Roman"/>
          <w:sz w:val="24"/>
          <w:szCs w:val="24"/>
        </w:rPr>
        <w:t>), sekmēt savstarpēju</w:t>
      </w:r>
      <w:r w:rsidR="0078724A" w:rsidRPr="0078724A">
        <w:rPr>
          <w:rFonts w:ascii="Times New Roman" w:hAnsi="Times New Roman" w:cs="Times New Roman"/>
          <w:sz w:val="24"/>
          <w:szCs w:val="24"/>
        </w:rPr>
        <w:t xml:space="preserve"> komuni</w:t>
      </w:r>
      <w:r w:rsidR="00670730">
        <w:rPr>
          <w:rFonts w:ascii="Times New Roman" w:hAnsi="Times New Roman" w:cs="Times New Roman"/>
          <w:sz w:val="24"/>
          <w:szCs w:val="24"/>
        </w:rPr>
        <w:t>kāciju</w:t>
      </w:r>
      <w:r w:rsidR="00403A00">
        <w:rPr>
          <w:rFonts w:ascii="Times New Roman" w:hAnsi="Times New Roman" w:cs="Times New Roman"/>
          <w:sz w:val="24"/>
          <w:szCs w:val="24"/>
        </w:rPr>
        <w:t xml:space="preserve"> un</w:t>
      </w:r>
      <w:r w:rsidR="0078724A" w:rsidRPr="0078724A">
        <w:rPr>
          <w:rFonts w:ascii="Times New Roman" w:hAnsi="Times New Roman" w:cs="Times New Roman"/>
          <w:sz w:val="24"/>
          <w:szCs w:val="24"/>
        </w:rPr>
        <w:t xml:space="preserve"> </w:t>
      </w:r>
      <w:r w:rsidR="00670730">
        <w:rPr>
          <w:rFonts w:ascii="Times New Roman" w:hAnsi="Times New Roman" w:cs="Times New Roman"/>
          <w:sz w:val="24"/>
          <w:szCs w:val="24"/>
        </w:rPr>
        <w:t xml:space="preserve">pieredzes apmaiņu. </w:t>
      </w:r>
    </w:p>
    <w:p w:rsidR="00732B60" w:rsidRDefault="00732B60">
      <w:pPr>
        <w:ind w:left="-284" w:firstLine="284"/>
        <w:jc w:val="both"/>
        <w:rPr>
          <w:rFonts w:ascii="Times New Roman" w:hAnsi="Times New Roman" w:cs="Times New Roman"/>
          <w:sz w:val="24"/>
          <w:szCs w:val="24"/>
        </w:rPr>
      </w:pPr>
    </w:p>
    <w:p w:rsidR="002A3D3B" w:rsidRDefault="00670730" w:rsidP="00403A00">
      <w:pPr>
        <w:ind w:left="-284" w:firstLine="284"/>
        <w:jc w:val="both"/>
        <w:rPr>
          <w:rFonts w:ascii="Times New Roman" w:hAnsi="Times New Roman" w:cs="Times New Roman"/>
          <w:sz w:val="24"/>
          <w:szCs w:val="24"/>
        </w:rPr>
      </w:pPr>
      <w:r>
        <w:rPr>
          <w:rFonts w:ascii="Times New Roman" w:hAnsi="Times New Roman" w:cs="Times New Roman"/>
          <w:sz w:val="24"/>
          <w:szCs w:val="24"/>
        </w:rPr>
        <w:t xml:space="preserve">Vienlaikus platformu ietvaros darbosies </w:t>
      </w:r>
      <w:r w:rsidR="0078724A" w:rsidRPr="0078724A">
        <w:rPr>
          <w:rFonts w:ascii="Times New Roman" w:hAnsi="Times New Roman" w:cs="Times New Roman"/>
          <w:b/>
          <w:sz w:val="24"/>
          <w:szCs w:val="24"/>
        </w:rPr>
        <w:t>ekspertu komanda</w:t>
      </w:r>
      <w:r>
        <w:rPr>
          <w:rFonts w:ascii="Times New Roman" w:hAnsi="Times New Roman" w:cs="Times New Roman"/>
          <w:sz w:val="24"/>
          <w:szCs w:val="24"/>
        </w:rPr>
        <w:t xml:space="preserve">, kas </w:t>
      </w:r>
      <w:r w:rsidR="00993D1A">
        <w:rPr>
          <w:rFonts w:ascii="Times New Roman" w:hAnsi="Times New Roman" w:cs="Times New Roman"/>
          <w:sz w:val="24"/>
          <w:szCs w:val="24"/>
        </w:rPr>
        <w:t>būs</w:t>
      </w:r>
      <w:r>
        <w:rPr>
          <w:rFonts w:ascii="Times New Roman" w:hAnsi="Times New Roman" w:cs="Times New Roman"/>
          <w:sz w:val="24"/>
          <w:szCs w:val="24"/>
        </w:rPr>
        <w:t xml:space="preserve"> atbildīga par platformas saturu un koordināciju.</w:t>
      </w:r>
      <w:r w:rsidRPr="00670730">
        <w:rPr>
          <w:rFonts w:ascii="Times New Roman" w:hAnsi="Times New Roman" w:cs="Times New Roman"/>
          <w:sz w:val="24"/>
          <w:szCs w:val="24"/>
        </w:rPr>
        <w:t xml:space="preserve"> </w:t>
      </w:r>
      <w:r w:rsidRPr="002A3D3B">
        <w:rPr>
          <w:rFonts w:ascii="Times New Roman" w:hAnsi="Times New Roman" w:cs="Times New Roman"/>
          <w:sz w:val="24"/>
          <w:szCs w:val="24"/>
        </w:rPr>
        <w:t xml:space="preserve">Platformu eksperti analizēs un novērtēs projektu saturu; rakstīs tematiskus dokumentus; sniegs padomus projektiem un Programmas struktūrām; vadīs tiešsaistes sadarbības, zināšanu apmaiņas un politikas apguves instrumentus; atbildēs </w:t>
      </w:r>
      <w:r w:rsidRPr="002A3D3B">
        <w:rPr>
          <w:rFonts w:ascii="Times New Roman" w:hAnsi="Times New Roman" w:cs="Times New Roman"/>
          <w:sz w:val="24"/>
          <w:szCs w:val="24"/>
        </w:rPr>
        <w:lastRenderedPageBreak/>
        <w:t>uz interesentu informācijas pieprasījumiem; organizēs tematiskos pasākumus un sanāksmes.</w:t>
      </w:r>
    </w:p>
    <w:p w:rsidR="00732B60" w:rsidRDefault="004161F1">
      <w:pPr>
        <w:jc w:val="both"/>
        <w:rPr>
          <w:rFonts w:ascii="Times New Roman" w:hAnsi="Times New Roman" w:cs="Times New Roman"/>
          <w:sz w:val="24"/>
          <w:szCs w:val="24"/>
        </w:rPr>
      </w:pPr>
      <w:r w:rsidRPr="002225BF">
        <w:rPr>
          <w:rFonts w:ascii="Times New Roman" w:hAnsi="Times New Roman" w:cs="Times New Roman"/>
          <w:iCs/>
          <w:sz w:val="24"/>
          <w:szCs w:val="24"/>
        </w:rPr>
        <w:t> </w:t>
      </w:r>
      <w:r w:rsidRPr="002225BF">
        <w:rPr>
          <w:rFonts w:ascii="Times New Roman" w:hAnsi="Times New Roman" w:cs="Times New Roman"/>
          <w:sz w:val="24"/>
          <w:szCs w:val="24"/>
        </w:rPr>
        <w:t xml:space="preserve"> </w:t>
      </w:r>
    </w:p>
    <w:p w:rsidR="004161F1" w:rsidRPr="002225BF" w:rsidRDefault="004161F1"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 xml:space="preserve">Atbalstot mērķi </w:t>
      </w:r>
      <w:r w:rsidRPr="002225BF">
        <w:rPr>
          <w:rFonts w:ascii="Times New Roman" w:hAnsi="Times New Roman" w:cs="Times New Roman"/>
          <w:bCs/>
          <w:sz w:val="24"/>
          <w:szCs w:val="24"/>
        </w:rPr>
        <w:t>apmainīties ar pieredzi un dalīties ar praksi</w:t>
      </w:r>
      <w:r w:rsidRPr="002225BF">
        <w:rPr>
          <w:rFonts w:ascii="Times New Roman" w:hAnsi="Times New Roman" w:cs="Times New Roman"/>
          <w:sz w:val="24"/>
          <w:szCs w:val="24"/>
        </w:rPr>
        <w:t xml:space="preserve">, lai sagatavotos to ieviešanai reģionālajās politikās, programma starp attiecīgajiem reģionālajiem partnerības dalībniekiem atbalstīs un finansēs </w:t>
      </w:r>
      <w:r w:rsidRPr="002225BF">
        <w:rPr>
          <w:rFonts w:ascii="Times New Roman" w:hAnsi="Times New Roman" w:cs="Times New Roman"/>
          <w:bCs/>
          <w:sz w:val="24"/>
          <w:szCs w:val="24"/>
        </w:rPr>
        <w:t>starpreģionu sadarbības projektus izvēlēto tematisko mērķu ietvaros</w:t>
      </w:r>
      <w:r w:rsidRPr="002225BF">
        <w:rPr>
          <w:rFonts w:ascii="Times New Roman" w:hAnsi="Times New Roman" w:cs="Times New Roman"/>
          <w:sz w:val="24"/>
          <w:szCs w:val="24"/>
        </w:rPr>
        <w:t>. Šo projektu mērķis būs veicināt politikas apguvi un sagatavot labas prakses ieviešanu iesaistītajos reģionos, īpaši to attiecīgajās „Investīcijas izaugsmē un nodarbībā” programmās un, ja tas nepieciešams, ETS.</w:t>
      </w:r>
    </w:p>
    <w:p w:rsidR="004161F1" w:rsidRPr="002225BF" w:rsidRDefault="004161F1" w:rsidP="002225BF">
      <w:pPr>
        <w:ind w:left="-284" w:firstLine="284"/>
        <w:jc w:val="both"/>
        <w:rPr>
          <w:rFonts w:ascii="Times New Roman" w:hAnsi="Times New Roman" w:cs="Times New Roman"/>
          <w:b/>
          <w:sz w:val="24"/>
          <w:szCs w:val="24"/>
        </w:rPr>
      </w:pPr>
    </w:p>
    <w:p w:rsidR="003C0DD8" w:rsidRPr="002225BF" w:rsidRDefault="00B00F99"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 xml:space="preserve">Programmas </w:t>
      </w:r>
      <w:r w:rsidR="00B674C4" w:rsidRPr="002225BF">
        <w:rPr>
          <w:rFonts w:ascii="Times New Roman" w:hAnsi="Times New Roman" w:cs="Times New Roman"/>
          <w:sz w:val="24"/>
          <w:szCs w:val="24"/>
        </w:rPr>
        <w:t>finansējuma</w:t>
      </w:r>
      <w:r w:rsidRPr="002225BF">
        <w:rPr>
          <w:rFonts w:ascii="Times New Roman" w:hAnsi="Times New Roman" w:cs="Times New Roman"/>
          <w:sz w:val="24"/>
          <w:szCs w:val="24"/>
        </w:rPr>
        <w:t xml:space="preserve"> saņēmēji var būt valsts, reģionālās un vietējās pašvaldības un iestādes (tai skaitā universitātes un zinātniskās institūcijas); </w:t>
      </w:r>
      <w:r w:rsidR="005D67F8" w:rsidRPr="002225BF">
        <w:rPr>
          <w:rFonts w:ascii="Times New Roman" w:hAnsi="Times New Roman" w:cs="Times New Roman"/>
          <w:sz w:val="24"/>
          <w:szCs w:val="24"/>
        </w:rPr>
        <w:t>nevalstiskās</w:t>
      </w:r>
      <w:r w:rsidRPr="002225BF">
        <w:rPr>
          <w:rFonts w:ascii="Times New Roman" w:hAnsi="Times New Roman" w:cs="Times New Roman"/>
          <w:sz w:val="24"/>
          <w:szCs w:val="24"/>
        </w:rPr>
        <w:t xml:space="preserve"> organizācijas.</w:t>
      </w:r>
    </w:p>
    <w:p w:rsidR="00B00F99" w:rsidRPr="002225BF" w:rsidRDefault="00B00F99" w:rsidP="002225BF">
      <w:pPr>
        <w:ind w:left="-284" w:firstLine="284"/>
        <w:jc w:val="both"/>
        <w:rPr>
          <w:rFonts w:ascii="Times New Roman" w:hAnsi="Times New Roman" w:cs="Times New Roman"/>
          <w:sz w:val="24"/>
          <w:szCs w:val="24"/>
        </w:rPr>
      </w:pPr>
    </w:p>
    <w:p w:rsidR="00B00F99" w:rsidRPr="002225BF" w:rsidRDefault="00B00F99" w:rsidP="002225BF">
      <w:pPr>
        <w:ind w:left="-284" w:firstLine="284"/>
        <w:jc w:val="both"/>
        <w:rPr>
          <w:rFonts w:ascii="Times New Roman" w:hAnsi="Times New Roman" w:cs="Times New Roman"/>
          <w:sz w:val="24"/>
          <w:szCs w:val="24"/>
        </w:rPr>
      </w:pPr>
      <w:r w:rsidRPr="002225BF">
        <w:rPr>
          <w:rFonts w:ascii="Times New Roman" w:hAnsi="Times New Roman" w:cs="Times New Roman"/>
          <w:sz w:val="24"/>
          <w:szCs w:val="24"/>
        </w:rPr>
        <w:t xml:space="preserve">Partnervalstis vienojušās, ka Programmas Vadošās iestādes/Kopīgā Sekretariāta funkcijas pildīs Ziemeļu – </w:t>
      </w:r>
      <w:proofErr w:type="spellStart"/>
      <w:r w:rsidRPr="002225BF">
        <w:rPr>
          <w:rFonts w:ascii="Times New Roman" w:hAnsi="Times New Roman" w:cs="Times New Roman"/>
          <w:sz w:val="24"/>
          <w:szCs w:val="24"/>
        </w:rPr>
        <w:t>Pedekalē</w:t>
      </w:r>
      <w:proofErr w:type="spellEnd"/>
      <w:r w:rsidRPr="002225BF">
        <w:rPr>
          <w:rFonts w:ascii="Times New Roman" w:hAnsi="Times New Roman" w:cs="Times New Roman"/>
          <w:sz w:val="24"/>
          <w:szCs w:val="24"/>
        </w:rPr>
        <w:t xml:space="preserve"> </w:t>
      </w:r>
      <w:r w:rsidR="00140968" w:rsidRPr="002225BF">
        <w:rPr>
          <w:rFonts w:ascii="Times New Roman" w:hAnsi="Times New Roman" w:cs="Times New Roman"/>
          <w:sz w:val="24"/>
          <w:szCs w:val="24"/>
        </w:rPr>
        <w:t xml:space="preserve">reģiona padome, </w:t>
      </w:r>
      <w:proofErr w:type="spellStart"/>
      <w:r w:rsidR="00140968" w:rsidRPr="002225BF">
        <w:rPr>
          <w:rFonts w:ascii="Times New Roman" w:hAnsi="Times New Roman" w:cs="Times New Roman"/>
          <w:sz w:val="24"/>
          <w:szCs w:val="24"/>
        </w:rPr>
        <w:t>Lillē</w:t>
      </w:r>
      <w:proofErr w:type="spellEnd"/>
      <w:r w:rsidR="00140968" w:rsidRPr="002225BF">
        <w:rPr>
          <w:rFonts w:ascii="Times New Roman" w:hAnsi="Times New Roman" w:cs="Times New Roman"/>
          <w:sz w:val="24"/>
          <w:szCs w:val="24"/>
        </w:rPr>
        <w:t>, Francijā, nodrošinot sadarbības programmas pārvaldību</w:t>
      </w:r>
      <w:r w:rsidR="004161F1" w:rsidRPr="002225BF">
        <w:rPr>
          <w:rFonts w:ascii="Times New Roman" w:hAnsi="Times New Roman" w:cs="Times New Roman"/>
          <w:sz w:val="24"/>
          <w:szCs w:val="24"/>
        </w:rPr>
        <w:t xml:space="preserve">, </w:t>
      </w:r>
      <w:r w:rsidR="00140968" w:rsidRPr="002225BF">
        <w:rPr>
          <w:rFonts w:ascii="Times New Roman" w:hAnsi="Times New Roman" w:cs="Times New Roman"/>
          <w:sz w:val="24"/>
          <w:szCs w:val="24"/>
        </w:rPr>
        <w:t>ievēr</w:t>
      </w:r>
      <w:r w:rsidR="004161F1" w:rsidRPr="002225BF">
        <w:rPr>
          <w:rFonts w:ascii="Times New Roman" w:hAnsi="Times New Roman" w:cs="Times New Roman"/>
          <w:sz w:val="24"/>
          <w:szCs w:val="24"/>
        </w:rPr>
        <w:t>o</w:t>
      </w:r>
      <w:r w:rsidR="00140968" w:rsidRPr="002225BF">
        <w:rPr>
          <w:rFonts w:ascii="Times New Roman" w:hAnsi="Times New Roman" w:cs="Times New Roman"/>
          <w:sz w:val="24"/>
          <w:szCs w:val="24"/>
        </w:rPr>
        <w:t>jot pareizas finanšu pārvaldības principu. Partnervalstu nacionālās intereses tiks pārstāvētas, nodrošinot dalību Programmas Uzraudzības komitejā, pieņemot lēmumus par finansējuma piešķiršanu, kā arī uzraugot Programmas īstenošanas progresu.</w:t>
      </w:r>
    </w:p>
    <w:p w:rsidR="003C0DD8" w:rsidRPr="002225BF" w:rsidRDefault="003C0DD8" w:rsidP="002225BF">
      <w:pPr>
        <w:ind w:left="-284" w:firstLine="284"/>
        <w:jc w:val="both"/>
        <w:rPr>
          <w:rFonts w:ascii="Times New Roman" w:hAnsi="Times New Roman" w:cs="Times New Roman"/>
          <w:b/>
          <w:sz w:val="24"/>
          <w:szCs w:val="24"/>
        </w:rPr>
      </w:pPr>
    </w:p>
    <w:p w:rsidR="00A51B0C" w:rsidRPr="002225BF" w:rsidRDefault="00A51B0C" w:rsidP="002225BF">
      <w:pPr>
        <w:ind w:left="-284" w:firstLine="284"/>
        <w:jc w:val="both"/>
        <w:rPr>
          <w:rFonts w:ascii="Times New Roman" w:hAnsi="Times New Roman" w:cs="Times New Roman"/>
          <w:b/>
          <w:sz w:val="24"/>
          <w:szCs w:val="24"/>
        </w:rPr>
      </w:pPr>
      <w:r w:rsidRPr="002225BF">
        <w:rPr>
          <w:rFonts w:ascii="Times New Roman" w:hAnsi="Times New Roman" w:cs="Times New Roman"/>
          <w:b/>
          <w:sz w:val="24"/>
          <w:szCs w:val="24"/>
        </w:rPr>
        <w:t>3.</w:t>
      </w:r>
      <w:r w:rsidR="002225BF">
        <w:rPr>
          <w:rFonts w:ascii="Times New Roman" w:hAnsi="Times New Roman" w:cs="Times New Roman"/>
          <w:b/>
          <w:sz w:val="24"/>
          <w:szCs w:val="24"/>
        </w:rPr>
        <w:t xml:space="preserve"> </w:t>
      </w:r>
      <w:r w:rsidRPr="002225BF">
        <w:rPr>
          <w:rFonts w:ascii="Times New Roman" w:hAnsi="Times New Roman" w:cs="Times New Roman"/>
          <w:b/>
          <w:sz w:val="24"/>
          <w:szCs w:val="24"/>
        </w:rPr>
        <w:t>Politikas dokumenta īstenošanai papildus nepieciešamais finansējums un paredzētie finansēšanas avoti</w:t>
      </w:r>
    </w:p>
    <w:p w:rsidR="00676213" w:rsidRPr="002225BF" w:rsidRDefault="00676213" w:rsidP="002225BF">
      <w:pPr>
        <w:ind w:left="-284" w:firstLine="284"/>
        <w:jc w:val="both"/>
        <w:rPr>
          <w:rFonts w:ascii="Times New Roman" w:hAnsi="Times New Roman" w:cs="Times New Roman"/>
          <w:b/>
          <w:sz w:val="24"/>
          <w:szCs w:val="24"/>
        </w:rPr>
      </w:pPr>
    </w:p>
    <w:p w:rsidR="00676213" w:rsidRPr="00596FDF" w:rsidRDefault="00D90D6B" w:rsidP="002225BF">
      <w:pPr>
        <w:ind w:left="-284" w:firstLine="284"/>
        <w:jc w:val="both"/>
        <w:rPr>
          <w:rFonts w:ascii="Times New Roman" w:hAnsi="Times New Roman" w:cs="Times New Roman"/>
          <w:sz w:val="24"/>
          <w:szCs w:val="24"/>
        </w:rPr>
      </w:pPr>
      <w:r w:rsidRPr="00596FDF">
        <w:rPr>
          <w:rFonts w:ascii="Times New Roman" w:hAnsi="Times New Roman" w:cs="Times New Roman"/>
          <w:sz w:val="24"/>
          <w:szCs w:val="24"/>
        </w:rPr>
        <w:t>Programmu līdzfinansē Eiropas Reģionālās attīstī</w:t>
      </w:r>
      <w:r w:rsidR="00D3712A">
        <w:rPr>
          <w:rFonts w:ascii="Times New Roman" w:hAnsi="Times New Roman" w:cs="Times New Roman"/>
          <w:sz w:val="24"/>
          <w:szCs w:val="24"/>
        </w:rPr>
        <w:t>bas fonds (ERAF) un 2014.–2020. </w:t>
      </w:r>
      <w:r w:rsidR="008D20C0">
        <w:rPr>
          <w:rFonts w:ascii="Times New Roman" w:hAnsi="Times New Roman" w:cs="Times New Roman"/>
          <w:sz w:val="24"/>
          <w:szCs w:val="24"/>
        </w:rPr>
        <w:t>gada perio</w:t>
      </w:r>
      <w:r w:rsidR="00D3712A">
        <w:rPr>
          <w:rFonts w:ascii="Times New Roman" w:hAnsi="Times New Roman" w:cs="Times New Roman"/>
          <w:sz w:val="24"/>
          <w:szCs w:val="24"/>
        </w:rPr>
        <w:t>dam piešķirtais budžets ir 359 326 </w:t>
      </w:r>
      <w:r w:rsidR="008D20C0">
        <w:rPr>
          <w:rFonts w:ascii="Times New Roman" w:hAnsi="Times New Roman" w:cs="Times New Roman"/>
          <w:sz w:val="24"/>
          <w:szCs w:val="24"/>
        </w:rPr>
        <w:t xml:space="preserve">000 </w:t>
      </w:r>
      <w:r w:rsidR="00D3712A">
        <w:rPr>
          <w:rFonts w:ascii="Times New Roman" w:hAnsi="Times New Roman" w:cs="Times New Roman"/>
          <w:sz w:val="24"/>
          <w:szCs w:val="24"/>
        </w:rPr>
        <w:t>eiro</w:t>
      </w:r>
      <w:r w:rsidR="008D20C0">
        <w:rPr>
          <w:rFonts w:ascii="Times New Roman" w:hAnsi="Times New Roman" w:cs="Times New Roman"/>
          <w:sz w:val="24"/>
          <w:szCs w:val="24"/>
        </w:rPr>
        <w:t>. 337</w:t>
      </w:r>
      <w:r w:rsidR="00D3712A">
        <w:rPr>
          <w:rFonts w:ascii="Times New Roman" w:hAnsi="Times New Roman" w:cs="Times New Roman"/>
          <w:sz w:val="24"/>
          <w:szCs w:val="24"/>
        </w:rPr>
        <w:t> </w:t>
      </w:r>
      <w:r w:rsidRPr="00596FDF">
        <w:rPr>
          <w:rFonts w:ascii="Times New Roman" w:hAnsi="Times New Roman" w:cs="Times New Roman"/>
          <w:sz w:val="24"/>
          <w:szCs w:val="24"/>
        </w:rPr>
        <w:t>766</w:t>
      </w:r>
      <w:r w:rsidR="00D3712A">
        <w:rPr>
          <w:rFonts w:ascii="Times New Roman" w:hAnsi="Times New Roman" w:cs="Times New Roman"/>
          <w:sz w:val="24"/>
          <w:szCs w:val="24"/>
        </w:rPr>
        <w:t> </w:t>
      </w:r>
      <w:r w:rsidRPr="00596FDF">
        <w:rPr>
          <w:rFonts w:ascii="Times New Roman" w:hAnsi="Times New Roman" w:cs="Times New Roman"/>
          <w:sz w:val="24"/>
          <w:szCs w:val="24"/>
        </w:rPr>
        <w:t>4</w:t>
      </w:r>
      <w:r w:rsidR="0078724A" w:rsidRPr="0078724A">
        <w:rPr>
          <w:rFonts w:ascii="Times New Roman" w:hAnsi="Times New Roman" w:cs="Times New Roman"/>
          <w:sz w:val="24"/>
          <w:szCs w:val="24"/>
        </w:rPr>
        <w:t>4</w:t>
      </w:r>
      <w:r w:rsidR="008D20C0">
        <w:rPr>
          <w:rFonts w:ascii="Times New Roman" w:hAnsi="Times New Roman" w:cs="Times New Roman"/>
          <w:sz w:val="24"/>
          <w:szCs w:val="24"/>
        </w:rPr>
        <w:t xml:space="preserve">0 </w:t>
      </w:r>
      <w:r w:rsidR="00D3712A">
        <w:rPr>
          <w:rFonts w:ascii="Times New Roman" w:hAnsi="Times New Roman" w:cs="Times New Roman"/>
          <w:sz w:val="24"/>
          <w:szCs w:val="24"/>
        </w:rPr>
        <w:t>e</w:t>
      </w:r>
      <w:r w:rsidR="00D3712A" w:rsidRPr="0078724A">
        <w:rPr>
          <w:rFonts w:ascii="Times New Roman" w:hAnsi="Times New Roman" w:cs="Times New Roman"/>
          <w:sz w:val="24"/>
          <w:szCs w:val="24"/>
        </w:rPr>
        <w:t>i</w:t>
      </w:r>
      <w:r w:rsidR="00D3712A">
        <w:rPr>
          <w:rFonts w:ascii="Times New Roman" w:hAnsi="Times New Roman" w:cs="Times New Roman"/>
          <w:sz w:val="24"/>
          <w:szCs w:val="24"/>
        </w:rPr>
        <w:t>ro</w:t>
      </w:r>
      <w:r w:rsidR="008D20C0">
        <w:rPr>
          <w:rFonts w:ascii="Times New Roman" w:hAnsi="Times New Roman" w:cs="Times New Roman"/>
          <w:sz w:val="24"/>
          <w:szCs w:val="24"/>
        </w:rPr>
        <w:t xml:space="preserve"> no kopējā ERAF budžeta tiks piešķirti 1.-4.prioritātei, savukārt 21 559 560 </w:t>
      </w:r>
      <w:r w:rsidR="00D3712A">
        <w:rPr>
          <w:rFonts w:ascii="Times New Roman" w:hAnsi="Times New Roman" w:cs="Times New Roman"/>
          <w:sz w:val="24"/>
          <w:szCs w:val="24"/>
        </w:rPr>
        <w:t>e</w:t>
      </w:r>
      <w:r w:rsidR="00D3712A" w:rsidRPr="0078724A">
        <w:rPr>
          <w:rFonts w:ascii="Times New Roman" w:hAnsi="Times New Roman" w:cs="Times New Roman"/>
          <w:sz w:val="24"/>
          <w:szCs w:val="24"/>
        </w:rPr>
        <w:t>i</w:t>
      </w:r>
      <w:r w:rsidR="00D3712A">
        <w:rPr>
          <w:rFonts w:ascii="Times New Roman" w:hAnsi="Times New Roman" w:cs="Times New Roman"/>
          <w:sz w:val="24"/>
          <w:szCs w:val="24"/>
        </w:rPr>
        <w:t>ro</w:t>
      </w:r>
      <w:r w:rsidR="008D20C0">
        <w:rPr>
          <w:rFonts w:ascii="Times New Roman" w:hAnsi="Times New Roman" w:cs="Times New Roman"/>
          <w:sz w:val="24"/>
          <w:szCs w:val="24"/>
        </w:rPr>
        <w:t xml:space="preserve"> no </w:t>
      </w:r>
      <w:r w:rsidR="00D3712A">
        <w:rPr>
          <w:rFonts w:ascii="Times New Roman" w:hAnsi="Times New Roman" w:cs="Times New Roman"/>
          <w:sz w:val="24"/>
          <w:szCs w:val="24"/>
        </w:rPr>
        <w:t>ERAF 5. prioritātei. Aptuveni 23,</w:t>
      </w:r>
      <w:r w:rsidR="008D20C0">
        <w:rPr>
          <w:rFonts w:ascii="Times New Roman" w:hAnsi="Times New Roman" w:cs="Times New Roman"/>
          <w:sz w:val="24"/>
          <w:szCs w:val="24"/>
        </w:rPr>
        <w:t>5% no ERAF budžeta piešķirti katrai no 1.-4.</w:t>
      </w:r>
      <w:r w:rsidR="00D3712A">
        <w:rPr>
          <w:rFonts w:ascii="Times New Roman" w:hAnsi="Times New Roman" w:cs="Times New Roman"/>
          <w:sz w:val="24"/>
          <w:szCs w:val="24"/>
        </w:rPr>
        <w:t> </w:t>
      </w:r>
      <w:r w:rsidR="008D20C0">
        <w:rPr>
          <w:rFonts w:ascii="Times New Roman" w:hAnsi="Times New Roman" w:cs="Times New Roman"/>
          <w:sz w:val="24"/>
          <w:szCs w:val="24"/>
        </w:rPr>
        <w:t>prioritātei un 6% - 5.</w:t>
      </w:r>
      <w:r w:rsidR="00D3712A">
        <w:rPr>
          <w:rFonts w:ascii="Times New Roman" w:hAnsi="Times New Roman" w:cs="Times New Roman"/>
          <w:sz w:val="24"/>
          <w:szCs w:val="24"/>
        </w:rPr>
        <w:t> </w:t>
      </w:r>
      <w:r w:rsidR="008D20C0">
        <w:rPr>
          <w:rFonts w:ascii="Times New Roman" w:hAnsi="Times New Roman" w:cs="Times New Roman"/>
          <w:sz w:val="24"/>
          <w:szCs w:val="24"/>
        </w:rPr>
        <w:t>prioritātei.</w:t>
      </w:r>
    </w:p>
    <w:p w:rsidR="001143F0" w:rsidRPr="00596FDF" w:rsidRDefault="001143F0" w:rsidP="002225BF">
      <w:pPr>
        <w:ind w:left="-284" w:firstLine="284"/>
        <w:jc w:val="both"/>
        <w:rPr>
          <w:rFonts w:ascii="Times New Roman" w:hAnsi="Times New Roman" w:cs="Times New Roman"/>
          <w:sz w:val="24"/>
          <w:szCs w:val="24"/>
        </w:rPr>
      </w:pPr>
    </w:p>
    <w:p w:rsidR="0078724A" w:rsidRDefault="008D20C0" w:rsidP="0078724A">
      <w:pPr>
        <w:ind w:left="-284" w:firstLine="284"/>
        <w:jc w:val="both"/>
        <w:rPr>
          <w:rFonts w:ascii="Times New Roman" w:hAnsi="Times New Roman"/>
          <w:sz w:val="24"/>
        </w:rPr>
      </w:pPr>
      <w:r>
        <w:rPr>
          <w:rFonts w:ascii="Times New Roman" w:hAnsi="Times New Roman" w:cs="Times New Roman"/>
          <w:sz w:val="24"/>
          <w:szCs w:val="24"/>
        </w:rPr>
        <w:t>ERAF līdzfinansējums Latvijas projektu partneriem 1.-4.</w:t>
      </w:r>
      <w:r w:rsidR="00D3712A">
        <w:rPr>
          <w:rFonts w:ascii="Times New Roman" w:hAnsi="Times New Roman" w:cs="Times New Roman"/>
          <w:sz w:val="24"/>
          <w:szCs w:val="24"/>
        </w:rPr>
        <w:t> </w:t>
      </w:r>
      <w:r>
        <w:rPr>
          <w:rFonts w:ascii="Times New Roman" w:hAnsi="Times New Roman" w:cs="Times New Roman"/>
          <w:sz w:val="24"/>
          <w:szCs w:val="24"/>
        </w:rPr>
        <w:t xml:space="preserve">prioritātes ietvaros ir 85% apmērā no attiecināmajiem izdevumiem. </w:t>
      </w:r>
    </w:p>
    <w:p w:rsidR="003F3F01" w:rsidRPr="00596FDF" w:rsidRDefault="003F3F01" w:rsidP="002225BF">
      <w:pPr>
        <w:ind w:left="-284" w:firstLine="284"/>
        <w:jc w:val="both"/>
        <w:rPr>
          <w:rFonts w:ascii="Times New Roman" w:hAnsi="Times New Roman" w:cs="Times New Roman"/>
          <w:sz w:val="24"/>
          <w:szCs w:val="24"/>
        </w:rPr>
      </w:pPr>
    </w:p>
    <w:p w:rsidR="00DE268E" w:rsidRPr="00596FDF" w:rsidRDefault="008D20C0" w:rsidP="002225BF">
      <w:pPr>
        <w:ind w:left="-284" w:firstLine="284"/>
        <w:jc w:val="both"/>
        <w:rPr>
          <w:rFonts w:ascii="Times New Roman" w:hAnsi="Times New Roman" w:cs="Times New Roman"/>
          <w:color w:val="000000"/>
          <w:sz w:val="24"/>
          <w:szCs w:val="24"/>
        </w:rPr>
      </w:pPr>
      <w:r>
        <w:rPr>
          <w:rFonts w:ascii="Times New Roman" w:hAnsi="Times New Roman"/>
          <w:sz w:val="24"/>
        </w:rPr>
        <w:t>Lai nodrošinātu Programmas efektīvu pārvaldību un ieviešanu papildus ERAF līdzfinansējumam Programmas partnervalstīm jānodrošina nacionālais līdzfinansējums Programmas 5.</w:t>
      </w:r>
      <w:r w:rsidR="00D3712A">
        <w:rPr>
          <w:rFonts w:ascii="Times New Roman" w:hAnsi="Times New Roman"/>
          <w:sz w:val="24"/>
        </w:rPr>
        <w:t> </w:t>
      </w:r>
      <w:r>
        <w:rPr>
          <w:rFonts w:ascii="Times New Roman" w:hAnsi="Times New Roman"/>
          <w:sz w:val="24"/>
        </w:rPr>
        <w:t>prioritātei – Tehniskā palīdzība septiņos ik</w:t>
      </w:r>
      <w:r w:rsidR="00AA3F9F">
        <w:rPr>
          <w:rFonts w:ascii="Times New Roman" w:hAnsi="Times New Roman"/>
          <w:sz w:val="24"/>
        </w:rPr>
        <w:t>gadējos maksājumos laikā no 2014.-2020</w:t>
      </w:r>
      <w:r>
        <w:rPr>
          <w:rFonts w:ascii="Times New Roman" w:hAnsi="Times New Roman"/>
          <w:sz w:val="24"/>
        </w:rPr>
        <w:t>.</w:t>
      </w:r>
      <w:r w:rsidR="00D3712A">
        <w:rPr>
          <w:rFonts w:ascii="Times New Roman" w:hAnsi="Times New Roman"/>
          <w:sz w:val="24"/>
        </w:rPr>
        <w:t> </w:t>
      </w:r>
      <w:r>
        <w:rPr>
          <w:rFonts w:ascii="Times New Roman" w:hAnsi="Times New Roman"/>
          <w:sz w:val="24"/>
        </w:rPr>
        <w:t>gadam. Latvijai nacionālā līdzfinansējuma ikgadējās iemaksas Programmas Tehniskās palīdzības budžetā saskaņā ar Piekrišanas 2.</w:t>
      </w:r>
      <w:r w:rsidR="00D3712A">
        <w:rPr>
          <w:rFonts w:ascii="Times New Roman" w:hAnsi="Times New Roman"/>
          <w:sz w:val="24"/>
        </w:rPr>
        <w:t> </w:t>
      </w:r>
      <w:r>
        <w:rPr>
          <w:rFonts w:ascii="Times New Roman" w:hAnsi="Times New Roman"/>
          <w:sz w:val="24"/>
        </w:rPr>
        <w:t xml:space="preserve">pielikumā noteikto jānodrošina 4 397 </w:t>
      </w:r>
      <w:r w:rsidR="00D3712A">
        <w:rPr>
          <w:rFonts w:ascii="Times New Roman" w:hAnsi="Times New Roman"/>
          <w:sz w:val="24"/>
        </w:rPr>
        <w:t>eiro</w:t>
      </w:r>
      <w:r>
        <w:rPr>
          <w:rFonts w:ascii="Times New Roman" w:hAnsi="Times New Roman"/>
          <w:sz w:val="24"/>
        </w:rPr>
        <w:t xml:space="preserve"> apmērā, nepārsniedzot kopējo nacionālā līdzfinansējuma summu 30 780 </w:t>
      </w:r>
      <w:r w:rsidR="00D3712A">
        <w:rPr>
          <w:rFonts w:ascii="Times New Roman" w:hAnsi="Times New Roman"/>
          <w:sz w:val="24"/>
        </w:rPr>
        <w:t>eiro</w:t>
      </w:r>
      <w:r>
        <w:rPr>
          <w:rFonts w:ascii="Times New Roman" w:hAnsi="Times New Roman"/>
          <w:sz w:val="24"/>
        </w:rPr>
        <w:t>.</w:t>
      </w:r>
    </w:p>
    <w:p w:rsidR="00DE268E" w:rsidRPr="00596FDF" w:rsidRDefault="00DE268E" w:rsidP="00DE268E">
      <w:pPr>
        <w:jc w:val="both"/>
        <w:rPr>
          <w:rFonts w:ascii="Times New Roman" w:hAnsi="Times New Roman" w:cs="Times New Roman"/>
          <w:sz w:val="24"/>
          <w:szCs w:val="24"/>
        </w:rPr>
      </w:pPr>
    </w:p>
    <w:p w:rsidR="0090295E" w:rsidRPr="00596FDF" w:rsidRDefault="0090295E" w:rsidP="00676213">
      <w:pPr>
        <w:jc w:val="both"/>
        <w:rPr>
          <w:rFonts w:ascii="Times New Roman" w:hAnsi="Times New Roman" w:cs="Times New Roman"/>
          <w:sz w:val="24"/>
          <w:szCs w:val="24"/>
        </w:rPr>
      </w:pPr>
    </w:p>
    <w:p w:rsidR="00B13CFA" w:rsidRPr="00596FDF" w:rsidRDefault="00D3712A" w:rsidP="002225BF">
      <w:pPr>
        <w:tabs>
          <w:tab w:val="left" w:pos="5820"/>
        </w:tabs>
        <w:ind w:left="-284"/>
        <w:jc w:val="both"/>
        <w:rPr>
          <w:rFonts w:ascii="Times New Roman" w:hAnsi="Times New Roman" w:cs="Times New Roman"/>
          <w:sz w:val="20"/>
          <w:szCs w:val="20"/>
        </w:rPr>
      </w:pPr>
      <w:r>
        <w:rPr>
          <w:rFonts w:ascii="Times New Roman" w:hAnsi="Times New Roman" w:cs="Times New Roman"/>
          <w:sz w:val="20"/>
          <w:szCs w:val="20"/>
        </w:rPr>
        <w:t>01.07</w:t>
      </w:r>
      <w:r w:rsidR="008D20C0">
        <w:rPr>
          <w:rFonts w:ascii="Times New Roman" w:hAnsi="Times New Roman" w:cs="Times New Roman"/>
          <w:sz w:val="20"/>
          <w:szCs w:val="20"/>
        </w:rPr>
        <w:t>.2014.</w:t>
      </w:r>
      <w:r w:rsidR="008D20C0">
        <w:rPr>
          <w:rFonts w:ascii="Times New Roman" w:hAnsi="Times New Roman" w:cs="Times New Roman"/>
          <w:sz w:val="20"/>
          <w:szCs w:val="20"/>
        </w:rPr>
        <w:tab/>
      </w:r>
    </w:p>
    <w:p w:rsidR="00B13CFA" w:rsidRPr="002225BF" w:rsidRDefault="00C45E51" w:rsidP="002225BF">
      <w:pPr>
        <w:tabs>
          <w:tab w:val="left" w:pos="2985"/>
        </w:tabs>
        <w:ind w:left="-284"/>
        <w:jc w:val="both"/>
        <w:rPr>
          <w:rFonts w:ascii="Times New Roman" w:hAnsi="Times New Roman" w:cs="Times New Roman"/>
          <w:sz w:val="20"/>
          <w:szCs w:val="20"/>
        </w:rPr>
      </w:pPr>
      <w:r>
        <w:rPr>
          <w:rFonts w:ascii="Times New Roman" w:hAnsi="Times New Roman" w:cs="Times New Roman"/>
          <w:sz w:val="20"/>
          <w:szCs w:val="20"/>
        </w:rPr>
        <w:t>1310</w:t>
      </w:r>
      <w:r w:rsidR="00B13CFA" w:rsidRPr="002225BF">
        <w:rPr>
          <w:rFonts w:ascii="Times New Roman" w:hAnsi="Times New Roman" w:cs="Times New Roman"/>
          <w:sz w:val="20"/>
          <w:szCs w:val="20"/>
        </w:rPr>
        <w:tab/>
      </w:r>
    </w:p>
    <w:p w:rsidR="00B13CFA" w:rsidRPr="002225BF" w:rsidRDefault="00B13CFA" w:rsidP="002225BF">
      <w:pPr>
        <w:ind w:left="-284"/>
        <w:jc w:val="both"/>
        <w:rPr>
          <w:rFonts w:ascii="Times New Roman" w:hAnsi="Times New Roman" w:cs="Times New Roman"/>
          <w:sz w:val="20"/>
          <w:szCs w:val="20"/>
        </w:rPr>
      </w:pPr>
      <w:r w:rsidRPr="002225BF">
        <w:rPr>
          <w:rFonts w:ascii="Times New Roman" w:hAnsi="Times New Roman" w:cs="Times New Roman"/>
          <w:sz w:val="20"/>
          <w:szCs w:val="20"/>
        </w:rPr>
        <w:t>I.Gruševa, 67026472</w:t>
      </w:r>
    </w:p>
    <w:p w:rsidR="00DC398B" w:rsidRPr="002225BF" w:rsidRDefault="008B58B4" w:rsidP="002225BF">
      <w:pPr>
        <w:ind w:left="-284"/>
        <w:jc w:val="both"/>
        <w:rPr>
          <w:rFonts w:ascii="Times New Roman" w:hAnsi="Times New Roman" w:cs="Times New Roman"/>
          <w:b/>
          <w:sz w:val="20"/>
          <w:szCs w:val="20"/>
        </w:rPr>
      </w:pPr>
      <w:hyperlink r:id="rId7" w:history="1">
        <w:r w:rsidR="00B13CFA" w:rsidRPr="002225BF">
          <w:rPr>
            <w:rStyle w:val="Hyperlink"/>
            <w:rFonts w:ascii="Times New Roman" w:hAnsi="Times New Roman" w:cs="Times New Roman"/>
            <w:sz w:val="20"/>
            <w:szCs w:val="20"/>
          </w:rPr>
          <w:t>ilga.gruseva@varam.gov.lv</w:t>
        </w:r>
      </w:hyperlink>
    </w:p>
    <w:sectPr w:rsidR="00DC398B" w:rsidRPr="002225BF" w:rsidSect="002A3D3B">
      <w:headerReference w:type="default" r:id="rId8"/>
      <w:footerReference w:type="default" r:id="rId9"/>
      <w:pgSz w:w="11906" w:h="16838"/>
      <w:pgMar w:top="1440" w:right="1558"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47D" w:rsidRDefault="0067247D" w:rsidP="00B13CFA">
      <w:r>
        <w:separator/>
      </w:r>
    </w:p>
  </w:endnote>
  <w:endnote w:type="continuationSeparator" w:id="0">
    <w:p w:rsidR="0067247D" w:rsidRDefault="0067247D" w:rsidP="00B13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A" w:rsidRPr="007E4149" w:rsidRDefault="00B13CFA" w:rsidP="00B13CFA">
    <w:pPr>
      <w:pStyle w:val="BodyText"/>
      <w:jc w:val="both"/>
      <w:rPr>
        <w:sz w:val="20"/>
        <w:szCs w:val="20"/>
      </w:rPr>
    </w:pPr>
    <w:r>
      <w:rPr>
        <w:sz w:val="20"/>
        <w:szCs w:val="20"/>
      </w:rPr>
      <w:t>VARAMkopsv</w:t>
    </w:r>
    <w:r w:rsidRPr="00391DA4">
      <w:rPr>
        <w:sz w:val="20"/>
        <w:szCs w:val="20"/>
      </w:rPr>
      <w:t>_</w:t>
    </w:r>
    <w:r w:rsidR="00D3712A">
      <w:rPr>
        <w:sz w:val="20"/>
        <w:szCs w:val="20"/>
      </w:rPr>
      <w:t>0107</w:t>
    </w:r>
    <w:r w:rsidRPr="00391DA4">
      <w:rPr>
        <w:sz w:val="20"/>
        <w:szCs w:val="20"/>
      </w:rPr>
      <w:t xml:space="preserve">14; </w:t>
    </w:r>
    <w:r>
      <w:rPr>
        <w:sz w:val="20"/>
        <w:szCs w:val="20"/>
      </w:rPr>
      <w:t xml:space="preserve">Starpreģionu sadarbības programmas INTERREG EUROPE </w:t>
    </w:r>
    <w:r w:rsidRPr="009F363C">
      <w:rPr>
        <w:noProof/>
        <w:sz w:val="20"/>
        <w:szCs w:val="20"/>
      </w:rPr>
      <w:t>2014.–2020.</w:t>
    </w:r>
    <w:r w:rsidR="00D3712A">
      <w:rPr>
        <w:sz w:val="20"/>
        <w:szCs w:val="20"/>
      </w:rPr>
      <w:t> </w:t>
    </w:r>
    <w:r w:rsidRPr="009F363C">
      <w:rPr>
        <w:sz w:val="20"/>
        <w:szCs w:val="20"/>
      </w:rPr>
      <w:t xml:space="preserve">gadam projekta </w:t>
    </w:r>
    <w:r>
      <w:rPr>
        <w:sz w:val="20"/>
        <w:szCs w:val="20"/>
      </w:rPr>
      <w:t>kopsavilkums</w:t>
    </w:r>
  </w:p>
  <w:p w:rsidR="00B13CFA" w:rsidRDefault="00B13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47D" w:rsidRDefault="0067247D" w:rsidP="00B13CFA">
      <w:r>
        <w:separator/>
      </w:r>
    </w:p>
  </w:footnote>
  <w:footnote w:type="continuationSeparator" w:id="0">
    <w:p w:rsidR="0067247D" w:rsidRDefault="0067247D" w:rsidP="00B13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4094"/>
      <w:docPartObj>
        <w:docPartGallery w:val="Page Numbers (Top of Page)"/>
        <w:docPartUnique/>
      </w:docPartObj>
    </w:sdtPr>
    <w:sdtContent>
      <w:p w:rsidR="000A6ADA" w:rsidRDefault="008B58B4">
        <w:pPr>
          <w:pStyle w:val="Header"/>
        </w:pPr>
        <w:r w:rsidRPr="000A6ADA">
          <w:rPr>
            <w:rFonts w:ascii="Times New Roman" w:hAnsi="Times New Roman" w:cs="Times New Roman"/>
          </w:rPr>
          <w:fldChar w:fldCharType="begin"/>
        </w:r>
        <w:r w:rsidR="000A6ADA" w:rsidRPr="000A6ADA">
          <w:rPr>
            <w:rFonts w:ascii="Times New Roman" w:hAnsi="Times New Roman" w:cs="Times New Roman"/>
          </w:rPr>
          <w:instrText xml:space="preserve"> PAGE   \* MERGEFORMAT </w:instrText>
        </w:r>
        <w:r w:rsidRPr="000A6ADA">
          <w:rPr>
            <w:rFonts w:ascii="Times New Roman" w:hAnsi="Times New Roman" w:cs="Times New Roman"/>
          </w:rPr>
          <w:fldChar w:fldCharType="separate"/>
        </w:r>
        <w:r w:rsidR="00C45E51">
          <w:rPr>
            <w:rFonts w:ascii="Times New Roman" w:hAnsi="Times New Roman" w:cs="Times New Roman"/>
            <w:noProof/>
          </w:rPr>
          <w:t>4</w:t>
        </w:r>
        <w:r w:rsidRPr="000A6ADA">
          <w:rPr>
            <w:rFonts w:ascii="Times New Roman" w:hAnsi="Times New Roman" w:cs="Times New Roman"/>
          </w:rPr>
          <w:fldChar w:fldCharType="end"/>
        </w:r>
      </w:p>
    </w:sdtContent>
  </w:sdt>
  <w:p w:rsidR="000A6ADA" w:rsidRDefault="000A6A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52B"/>
    <w:multiLevelType w:val="multilevel"/>
    <w:tmpl w:val="4044C33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41132782"/>
    <w:multiLevelType w:val="hybridMultilevel"/>
    <w:tmpl w:val="AB02FB5C"/>
    <w:lvl w:ilvl="0" w:tplc="3C8EA07E">
      <w:start w:val="1"/>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2">
    <w:nsid w:val="584232A0"/>
    <w:multiLevelType w:val="hybridMultilevel"/>
    <w:tmpl w:val="BF4447C4"/>
    <w:lvl w:ilvl="0" w:tplc="B5645180">
      <w:start w:val="1"/>
      <w:numFmt w:val="bullet"/>
      <w:lvlText w:val=""/>
      <w:lvlJc w:val="left"/>
      <w:pPr>
        <w:tabs>
          <w:tab w:val="num" w:pos="720"/>
        </w:tabs>
        <w:ind w:left="720" w:hanging="360"/>
      </w:pPr>
      <w:rPr>
        <w:rFonts w:ascii="Wingdings" w:hAnsi="Wingdings" w:hint="default"/>
      </w:rPr>
    </w:lvl>
    <w:lvl w:ilvl="1" w:tplc="22AA3654" w:tentative="1">
      <w:start w:val="1"/>
      <w:numFmt w:val="bullet"/>
      <w:lvlText w:val=""/>
      <w:lvlJc w:val="left"/>
      <w:pPr>
        <w:tabs>
          <w:tab w:val="num" w:pos="1440"/>
        </w:tabs>
        <w:ind w:left="1440" w:hanging="360"/>
      </w:pPr>
      <w:rPr>
        <w:rFonts w:ascii="Wingdings" w:hAnsi="Wingdings" w:hint="default"/>
      </w:rPr>
    </w:lvl>
    <w:lvl w:ilvl="2" w:tplc="A8C2A4EE" w:tentative="1">
      <w:start w:val="1"/>
      <w:numFmt w:val="bullet"/>
      <w:lvlText w:val=""/>
      <w:lvlJc w:val="left"/>
      <w:pPr>
        <w:tabs>
          <w:tab w:val="num" w:pos="2160"/>
        </w:tabs>
        <w:ind w:left="2160" w:hanging="360"/>
      </w:pPr>
      <w:rPr>
        <w:rFonts w:ascii="Wingdings" w:hAnsi="Wingdings" w:hint="default"/>
      </w:rPr>
    </w:lvl>
    <w:lvl w:ilvl="3" w:tplc="C3146E30" w:tentative="1">
      <w:start w:val="1"/>
      <w:numFmt w:val="bullet"/>
      <w:lvlText w:val=""/>
      <w:lvlJc w:val="left"/>
      <w:pPr>
        <w:tabs>
          <w:tab w:val="num" w:pos="2880"/>
        </w:tabs>
        <w:ind w:left="2880" w:hanging="360"/>
      </w:pPr>
      <w:rPr>
        <w:rFonts w:ascii="Wingdings" w:hAnsi="Wingdings" w:hint="default"/>
      </w:rPr>
    </w:lvl>
    <w:lvl w:ilvl="4" w:tplc="99B65044" w:tentative="1">
      <w:start w:val="1"/>
      <w:numFmt w:val="bullet"/>
      <w:lvlText w:val=""/>
      <w:lvlJc w:val="left"/>
      <w:pPr>
        <w:tabs>
          <w:tab w:val="num" w:pos="3600"/>
        </w:tabs>
        <w:ind w:left="3600" w:hanging="360"/>
      </w:pPr>
      <w:rPr>
        <w:rFonts w:ascii="Wingdings" w:hAnsi="Wingdings" w:hint="default"/>
      </w:rPr>
    </w:lvl>
    <w:lvl w:ilvl="5" w:tplc="BFF4AB02" w:tentative="1">
      <w:start w:val="1"/>
      <w:numFmt w:val="bullet"/>
      <w:lvlText w:val=""/>
      <w:lvlJc w:val="left"/>
      <w:pPr>
        <w:tabs>
          <w:tab w:val="num" w:pos="4320"/>
        </w:tabs>
        <w:ind w:left="4320" w:hanging="360"/>
      </w:pPr>
      <w:rPr>
        <w:rFonts w:ascii="Wingdings" w:hAnsi="Wingdings" w:hint="default"/>
      </w:rPr>
    </w:lvl>
    <w:lvl w:ilvl="6" w:tplc="084EE0C6" w:tentative="1">
      <w:start w:val="1"/>
      <w:numFmt w:val="bullet"/>
      <w:lvlText w:val=""/>
      <w:lvlJc w:val="left"/>
      <w:pPr>
        <w:tabs>
          <w:tab w:val="num" w:pos="5040"/>
        </w:tabs>
        <w:ind w:left="5040" w:hanging="360"/>
      </w:pPr>
      <w:rPr>
        <w:rFonts w:ascii="Wingdings" w:hAnsi="Wingdings" w:hint="default"/>
      </w:rPr>
    </w:lvl>
    <w:lvl w:ilvl="7" w:tplc="9DB0D020" w:tentative="1">
      <w:start w:val="1"/>
      <w:numFmt w:val="bullet"/>
      <w:lvlText w:val=""/>
      <w:lvlJc w:val="left"/>
      <w:pPr>
        <w:tabs>
          <w:tab w:val="num" w:pos="5760"/>
        </w:tabs>
        <w:ind w:left="5760" w:hanging="360"/>
      </w:pPr>
      <w:rPr>
        <w:rFonts w:ascii="Wingdings" w:hAnsi="Wingdings" w:hint="default"/>
      </w:rPr>
    </w:lvl>
    <w:lvl w:ilvl="8" w:tplc="188634CC" w:tentative="1">
      <w:start w:val="1"/>
      <w:numFmt w:val="bullet"/>
      <w:lvlText w:val=""/>
      <w:lvlJc w:val="left"/>
      <w:pPr>
        <w:tabs>
          <w:tab w:val="num" w:pos="6480"/>
        </w:tabs>
        <w:ind w:left="6480" w:hanging="360"/>
      </w:pPr>
      <w:rPr>
        <w:rFonts w:ascii="Wingdings" w:hAnsi="Wingdings" w:hint="default"/>
      </w:rPr>
    </w:lvl>
  </w:abstractNum>
  <w:abstractNum w:abstractNumId="3">
    <w:nsid w:val="77141173"/>
    <w:multiLevelType w:val="hybridMultilevel"/>
    <w:tmpl w:val="0688F910"/>
    <w:lvl w:ilvl="0" w:tplc="74602A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7954574C"/>
    <w:multiLevelType w:val="hybridMultilevel"/>
    <w:tmpl w:val="A9A24028"/>
    <w:lvl w:ilvl="0" w:tplc="8D86C702">
      <w:start w:val="1"/>
      <w:numFmt w:val="bullet"/>
      <w:lvlText w:val="•"/>
      <w:lvlJc w:val="left"/>
      <w:pPr>
        <w:tabs>
          <w:tab w:val="num" w:pos="720"/>
        </w:tabs>
        <w:ind w:left="720" w:hanging="360"/>
      </w:pPr>
      <w:rPr>
        <w:rFonts w:ascii="Times New Roman" w:hAnsi="Times New Roman" w:hint="default"/>
      </w:rPr>
    </w:lvl>
    <w:lvl w:ilvl="1" w:tplc="20A477E4" w:tentative="1">
      <w:start w:val="1"/>
      <w:numFmt w:val="bullet"/>
      <w:lvlText w:val="•"/>
      <w:lvlJc w:val="left"/>
      <w:pPr>
        <w:tabs>
          <w:tab w:val="num" w:pos="1440"/>
        </w:tabs>
        <w:ind w:left="1440" w:hanging="360"/>
      </w:pPr>
      <w:rPr>
        <w:rFonts w:ascii="Times New Roman" w:hAnsi="Times New Roman" w:hint="default"/>
      </w:rPr>
    </w:lvl>
    <w:lvl w:ilvl="2" w:tplc="C1BAA9BC" w:tentative="1">
      <w:start w:val="1"/>
      <w:numFmt w:val="bullet"/>
      <w:lvlText w:val="•"/>
      <w:lvlJc w:val="left"/>
      <w:pPr>
        <w:tabs>
          <w:tab w:val="num" w:pos="2160"/>
        </w:tabs>
        <w:ind w:left="2160" w:hanging="360"/>
      </w:pPr>
      <w:rPr>
        <w:rFonts w:ascii="Times New Roman" w:hAnsi="Times New Roman" w:hint="default"/>
      </w:rPr>
    </w:lvl>
    <w:lvl w:ilvl="3" w:tplc="196A652A" w:tentative="1">
      <w:start w:val="1"/>
      <w:numFmt w:val="bullet"/>
      <w:lvlText w:val="•"/>
      <w:lvlJc w:val="left"/>
      <w:pPr>
        <w:tabs>
          <w:tab w:val="num" w:pos="2880"/>
        </w:tabs>
        <w:ind w:left="2880" w:hanging="360"/>
      </w:pPr>
      <w:rPr>
        <w:rFonts w:ascii="Times New Roman" w:hAnsi="Times New Roman" w:hint="default"/>
      </w:rPr>
    </w:lvl>
    <w:lvl w:ilvl="4" w:tplc="87D6A080" w:tentative="1">
      <w:start w:val="1"/>
      <w:numFmt w:val="bullet"/>
      <w:lvlText w:val="•"/>
      <w:lvlJc w:val="left"/>
      <w:pPr>
        <w:tabs>
          <w:tab w:val="num" w:pos="3600"/>
        </w:tabs>
        <w:ind w:left="3600" w:hanging="360"/>
      </w:pPr>
      <w:rPr>
        <w:rFonts w:ascii="Times New Roman" w:hAnsi="Times New Roman" w:hint="default"/>
      </w:rPr>
    </w:lvl>
    <w:lvl w:ilvl="5" w:tplc="BE381738" w:tentative="1">
      <w:start w:val="1"/>
      <w:numFmt w:val="bullet"/>
      <w:lvlText w:val="•"/>
      <w:lvlJc w:val="left"/>
      <w:pPr>
        <w:tabs>
          <w:tab w:val="num" w:pos="4320"/>
        </w:tabs>
        <w:ind w:left="4320" w:hanging="360"/>
      </w:pPr>
      <w:rPr>
        <w:rFonts w:ascii="Times New Roman" w:hAnsi="Times New Roman" w:hint="default"/>
      </w:rPr>
    </w:lvl>
    <w:lvl w:ilvl="6" w:tplc="19ECEAD8" w:tentative="1">
      <w:start w:val="1"/>
      <w:numFmt w:val="bullet"/>
      <w:lvlText w:val="•"/>
      <w:lvlJc w:val="left"/>
      <w:pPr>
        <w:tabs>
          <w:tab w:val="num" w:pos="5040"/>
        </w:tabs>
        <w:ind w:left="5040" w:hanging="360"/>
      </w:pPr>
      <w:rPr>
        <w:rFonts w:ascii="Times New Roman" w:hAnsi="Times New Roman" w:hint="default"/>
      </w:rPr>
    </w:lvl>
    <w:lvl w:ilvl="7" w:tplc="DFE4BC74" w:tentative="1">
      <w:start w:val="1"/>
      <w:numFmt w:val="bullet"/>
      <w:lvlText w:val="•"/>
      <w:lvlJc w:val="left"/>
      <w:pPr>
        <w:tabs>
          <w:tab w:val="num" w:pos="5760"/>
        </w:tabs>
        <w:ind w:left="5760" w:hanging="360"/>
      </w:pPr>
      <w:rPr>
        <w:rFonts w:ascii="Times New Roman" w:hAnsi="Times New Roman" w:hint="default"/>
      </w:rPr>
    </w:lvl>
    <w:lvl w:ilvl="8" w:tplc="501479DE" w:tentative="1">
      <w:start w:val="1"/>
      <w:numFmt w:val="bullet"/>
      <w:lvlText w:val="•"/>
      <w:lvlJc w:val="left"/>
      <w:pPr>
        <w:tabs>
          <w:tab w:val="num" w:pos="6480"/>
        </w:tabs>
        <w:ind w:left="6480" w:hanging="360"/>
      </w:pPr>
      <w:rPr>
        <w:rFonts w:ascii="Times New Roman" w:hAnsi="Times New Roman" w:hint="default"/>
      </w:rPr>
    </w:lvl>
  </w:abstractNum>
  <w:abstractNum w:abstractNumId="5">
    <w:nsid w:val="7D452248"/>
    <w:multiLevelType w:val="hybridMultilevel"/>
    <w:tmpl w:val="B8A067D4"/>
    <w:lvl w:ilvl="0" w:tplc="B848427E">
      <w:start w:val="1"/>
      <w:numFmt w:val="bullet"/>
      <w:lvlText w:val=""/>
      <w:lvlJc w:val="left"/>
      <w:pPr>
        <w:tabs>
          <w:tab w:val="num" w:pos="720"/>
        </w:tabs>
        <w:ind w:left="720" w:hanging="360"/>
      </w:pPr>
      <w:rPr>
        <w:rFonts w:ascii="Wingdings" w:hAnsi="Wingdings" w:hint="default"/>
      </w:rPr>
    </w:lvl>
    <w:lvl w:ilvl="1" w:tplc="461041E0" w:tentative="1">
      <w:start w:val="1"/>
      <w:numFmt w:val="bullet"/>
      <w:lvlText w:val=""/>
      <w:lvlJc w:val="left"/>
      <w:pPr>
        <w:tabs>
          <w:tab w:val="num" w:pos="1440"/>
        </w:tabs>
        <w:ind w:left="1440" w:hanging="360"/>
      </w:pPr>
      <w:rPr>
        <w:rFonts w:ascii="Wingdings" w:hAnsi="Wingdings" w:hint="default"/>
      </w:rPr>
    </w:lvl>
    <w:lvl w:ilvl="2" w:tplc="C0EE0868" w:tentative="1">
      <w:start w:val="1"/>
      <w:numFmt w:val="bullet"/>
      <w:lvlText w:val=""/>
      <w:lvlJc w:val="left"/>
      <w:pPr>
        <w:tabs>
          <w:tab w:val="num" w:pos="2160"/>
        </w:tabs>
        <w:ind w:left="2160" w:hanging="360"/>
      </w:pPr>
      <w:rPr>
        <w:rFonts w:ascii="Wingdings" w:hAnsi="Wingdings" w:hint="default"/>
      </w:rPr>
    </w:lvl>
    <w:lvl w:ilvl="3" w:tplc="BB6A7222" w:tentative="1">
      <w:start w:val="1"/>
      <w:numFmt w:val="bullet"/>
      <w:lvlText w:val=""/>
      <w:lvlJc w:val="left"/>
      <w:pPr>
        <w:tabs>
          <w:tab w:val="num" w:pos="2880"/>
        </w:tabs>
        <w:ind w:left="2880" w:hanging="360"/>
      </w:pPr>
      <w:rPr>
        <w:rFonts w:ascii="Wingdings" w:hAnsi="Wingdings" w:hint="default"/>
      </w:rPr>
    </w:lvl>
    <w:lvl w:ilvl="4" w:tplc="208E668E" w:tentative="1">
      <w:start w:val="1"/>
      <w:numFmt w:val="bullet"/>
      <w:lvlText w:val=""/>
      <w:lvlJc w:val="left"/>
      <w:pPr>
        <w:tabs>
          <w:tab w:val="num" w:pos="3600"/>
        </w:tabs>
        <w:ind w:left="3600" w:hanging="360"/>
      </w:pPr>
      <w:rPr>
        <w:rFonts w:ascii="Wingdings" w:hAnsi="Wingdings" w:hint="default"/>
      </w:rPr>
    </w:lvl>
    <w:lvl w:ilvl="5" w:tplc="CBD2C86E" w:tentative="1">
      <w:start w:val="1"/>
      <w:numFmt w:val="bullet"/>
      <w:lvlText w:val=""/>
      <w:lvlJc w:val="left"/>
      <w:pPr>
        <w:tabs>
          <w:tab w:val="num" w:pos="4320"/>
        </w:tabs>
        <w:ind w:left="4320" w:hanging="360"/>
      </w:pPr>
      <w:rPr>
        <w:rFonts w:ascii="Wingdings" w:hAnsi="Wingdings" w:hint="default"/>
      </w:rPr>
    </w:lvl>
    <w:lvl w:ilvl="6" w:tplc="C31A5A3A" w:tentative="1">
      <w:start w:val="1"/>
      <w:numFmt w:val="bullet"/>
      <w:lvlText w:val=""/>
      <w:lvlJc w:val="left"/>
      <w:pPr>
        <w:tabs>
          <w:tab w:val="num" w:pos="5040"/>
        </w:tabs>
        <w:ind w:left="5040" w:hanging="360"/>
      </w:pPr>
      <w:rPr>
        <w:rFonts w:ascii="Wingdings" w:hAnsi="Wingdings" w:hint="default"/>
      </w:rPr>
    </w:lvl>
    <w:lvl w:ilvl="7" w:tplc="C1542EB6" w:tentative="1">
      <w:start w:val="1"/>
      <w:numFmt w:val="bullet"/>
      <w:lvlText w:val=""/>
      <w:lvlJc w:val="left"/>
      <w:pPr>
        <w:tabs>
          <w:tab w:val="num" w:pos="5760"/>
        </w:tabs>
        <w:ind w:left="5760" w:hanging="360"/>
      </w:pPr>
      <w:rPr>
        <w:rFonts w:ascii="Wingdings" w:hAnsi="Wingdings" w:hint="default"/>
      </w:rPr>
    </w:lvl>
    <w:lvl w:ilvl="8" w:tplc="542C8D4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398B"/>
    <w:rsid w:val="00044F82"/>
    <w:rsid w:val="00057BF5"/>
    <w:rsid w:val="00080195"/>
    <w:rsid w:val="0009084F"/>
    <w:rsid w:val="00093928"/>
    <w:rsid w:val="000A4064"/>
    <w:rsid w:val="000A6ADA"/>
    <w:rsid w:val="000C4E0A"/>
    <w:rsid w:val="00103EB0"/>
    <w:rsid w:val="001143F0"/>
    <w:rsid w:val="0011493B"/>
    <w:rsid w:val="0013112D"/>
    <w:rsid w:val="00132327"/>
    <w:rsid w:val="00140968"/>
    <w:rsid w:val="001927B8"/>
    <w:rsid w:val="001A3F54"/>
    <w:rsid w:val="001C4A17"/>
    <w:rsid w:val="001F1BE1"/>
    <w:rsid w:val="001F3627"/>
    <w:rsid w:val="00206600"/>
    <w:rsid w:val="002225BF"/>
    <w:rsid w:val="00260EDF"/>
    <w:rsid w:val="002A3D3B"/>
    <w:rsid w:val="002C252E"/>
    <w:rsid w:val="002D275D"/>
    <w:rsid w:val="002D3925"/>
    <w:rsid w:val="002D56AA"/>
    <w:rsid w:val="002E4CC5"/>
    <w:rsid w:val="002E5112"/>
    <w:rsid w:val="002F4E77"/>
    <w:rsid w:val="0030455E"/>
    <w:rsid w:val="00347255"/>
    <w:rsid w:val="00393722"/>
    <w:rsid w:val="003A5BFE"/>
    <w:rsid w:val="003C0DD8"/>
    <w:rsid w:val="003D1898"/>
    <w:rsid w:val="003F3F01"/>
    <w:rsid w:val="00403A00"/>
    <w:rsid w:val="004161F1"/>
    <w:rsid w:val="004526FE"/>
    <w:rsid w:val="004647E4"/>
    <w:rsid w:val="00471CBD"/>
    <w:rsid w:val="004A1B08"/>
    <w:rsid w:val="004D0F03"/>
    <w:rsid w:val="005073CC"/>
    <w:rsid w:val="00552441"/>
    <w:rsid w:val="00583E7B"/>
    <w:rsid w:val="005903D9"/>
    <w:rsid w:val="00596025"/>
    <w:rsid w:val="00596FDF"/>
    <w:rsid w:val="005A2EF7"/>
    <w:rsid w:val="005A5B6C"/>
    <w:rsid w:val="005B7453"/>
    <w:rsid w:val="005B7CDD"/>
    <w:rsid w:val="005C6889"/>
    <w:rsid w:val="005D67F8"/>
    <w:rsid w:val="005F4610"/>
    <w:rsid w:val="005F5DD8"/>
    <w:rsid w:val="00603739"/>
    <w:rsid w:val="006474EC"/>
    <w:rsid w:val="00650F25"/>
    <w:rsid w:val="00670730"/>
    <w:rsid w:val="00671409"/>
    <w:rsid w:val="0067247D"/>
    <w:rsid w:val="00673540"/>
    <w:rsid w:val="00676213"/>
    <w:rsid w:val="006812A8"/>
    <w:rsid w:val="00681C61"/>
    <w:rsid w:val="00681E5B"/>
    <w:rsid w:val="00693D2B"/>
    <w:rsid w:val="006B463D"/>
    <w:rsid w:val="006B532B"/>
    <w:rsid w:val="00702997"/>
    <w:rsid w:val="0073093E"/>
    <w:rsid w:val="00732B60"/>
    <w:rsid w:val="00740A07"/>
    <w:rsid w:val="00775E8D"/>
    <w:rsid w:val="0078724A"/>
    <w:rsid w:val="007A49E4"/>
    <w:rsid w:val="007B5D59"/>
    <w:rsid w:val="007E4704"/>
    <w:rsid w:val="0082364E"/>
    <w:rsid w:val="0089624B"/>
    <w:rsid w:val="008B58B4"/>
    <w:rsid w:val="008C4143"/>
    <w:rsid w:val="008D0A17"/>
    <w:rsid w:val="008D20C0"/>
    <w:rsid w:val="008E0312"/>
    <w:rsid w:val="0090295E"/>
    <w:rsid w:val="009068F0"/>
    <w:rsid w:val="00942742"/>
    <w:rsid w:val="0095780B"/>
    <w:rsid w:val="00957891"/>
    <w:rsid w:val="00993D1A"/>
    <w:rsid w:val="009E611E"/>
    <w:rsid w:val="009F54DB"/>
    <w:rsid w:val="00A51B0C"/>
    <w:rsid w:val="00AA3F9F"/>
    <w:rsid w:val="00AC70FF"/>
    <w:rsid w:val="00AD7232"/>
    <w:rsid w:val="00B00F99"/>
    <w:rsid w:val="00B13CFA"/>
    <w:rsid w:val="00B35D0E"/>
    <w:rsid w:val="00B40558"/>
    <w:rsid w:val="00B56457"/>
    <w:rsid w:val="00B64CE3"/>
    <w:rsid w:val="00B662E9"/>
    <w:rsid w:val="00B674C4"/>
    <w:rsid w:val="00B8704A"/>
    <w:rsid w:val="00BC1E8C"/>
    <w:rsid w:val="00BC4993"/>
    <w:rsid w:val="00BF12BF"/>
    <w:rsid w:val="00BF45F5"/>
    <w:rsid w:val="00C42764"/>
    <w:rsid w:val="00C45E51"/>
    <w:rsid w:val="00C64850"/>
    <w:rsid w:val="00C91690"/>
    <w:rsid w:val="00CD1659"/>
    <w:rsid w:val="00CF197E"/>
    <w:rsid w:val="00CF71F2"/>
    <w:rsid w:val="00D01004"/>
    <w:rsid w:val="00D05DFE"/>
    <w:rsid w:val="00D22911"/>
    <w:rsid w:val="00D3712A"/>
    <w:rsid w:val="00D53EED"/>
    <w:rsid w:val="00D90D6B"/>
    <w:rsid w:val="00DC398B"/>
    <w:rsid w:val="00DD6976"/>
    <w:rsid w:val="00DE268E"/>
    <w:rsid w:val="00E00DBA"/>
    <w:rsid w:val="00E264F7"/>
    <w:rsid w:val="00E34C63"/>
    <w:rsid w:val="00E46343"/>
    <w:rsid w:val="00E47919"/>
    <w:rsid w:val="00E66D88"/>
    <w:rsid w:val="00E676F4"/>
    <w:rsid w:val="00E85467"/>
    <w:rsid w:val="00E940F0"/>
    <w:rsid w:val="00ED5CB3"/>
    <w:rsid w:val="00EE5755"/>
    <w:rsid w:val="00F04C35"/>
    <w:rsid w:val="00F41068"/>
    <w:rsid w:val="00F70B98"/>
    <w:rsid w:val="00F74946"/>
    <w:rsid w:val="00F84FEF"/>
    <w:rsid w:val="00FA2DFB"/>
    <w:rsid w:val="00FA6CCE"/>
    <w:rsid w:val="00FB62B1"/>
    <w:rsid w:val="00FE50CA"/>
    <w:rsid w:val="00FF1655"/>
    <w:rsid w:val="00FF54A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lef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739"/>
    <w:rPr>
      <w:b/>
      <w:bCs/>
    </w:rPr>
  </w:style>
  <w:style w:type="paragraph" w:styleId="ListParagraph">
    <w:name w:val="List Paragraph"/>
    <w:basedOn w:val="Normal"/>
    <w:uiPriority w:val="34"/>
    <w:qFormat/>
    <w:rsid w:val="005F4610"/>
    <w:pPr>
      <w:ind w:left="720"/>
      <w:contextualSpacing/>
    </w:pPr>
  </w:style>
  <w:style w:type="character" w:styleId="Hyperlink">
    <w:name w:val="Hyperlink"/>
    <w:basedOn w:val="DefaultParagraphFont"/>
    <w:rsid w:val="00B13CFA"/>
    <w:rPr>
      <w:color w:val="0000FF"/>
      <w:u w:val="single"/>
    </w:rPr>
  </w:style>
  <w:style w:type="paragraph" w:styleId="Header">
    <w:name w:val="header"/>
    <w:basedOn w:val="Normal"/>
    <w:link w:val="HeaderChar"/>
    <w:uiPriority w:val="99"/>
    <w:unhideWhenUsed/>
    <w:rsid w:val="00B13CFA"/>
    <w:pPr>
      <w:tabs>
        <w:tab w:val="center" w:pos="4153"/>
        <w:tab w:val="right" w:pos="8306"/>
      </w:tabs>
    </w:pPr>
  </w:style>
  <w:style w:type="character" w:customStyle="1" w:styleId="HeaderChar">
    <w:name w:val="Header Char"/>
    <w:basedOn w:val="DefaultParagraphFont"/>
    <w:link w:val="Header"/>
    <w:uiPriority w:val="99"/>
    <w:rsid w:val="00B13CFA"/>
  </w:style>
  <w:style w:type="paragraph" w:styleId="Footer">
    <w:name w:val="footer"/>
    <w:basedOn w:val="Normal"/>
    <w:link w:val="FooterChar"/>
    <w:uiPriority w:val="99"/>
    <w:semiHidden/>
    <w:unhideWhenUsed/>
    <w:rsid w:val="00B13CFA"/>
    <w:pPr>
      <w:tabs>
        <w:tab w:val="center" w:pos="4153"/>
        <w:tab w:val="right" w:pos="8306"/>
      </w:tabs>
    </w:pPr>
  </w:style>
  <w:style w:type="character" w:customStyle="1" w:styleId="FooterChar">
    <w:name w:val="Footer Char"/>
    <w:basedOn w:val="DefaultParagraphFont"/>
    <w:link w:val="Footer"/>
    <w:uiPriority w:val="99"/>
    <w:semiHidden/>
    <w:rsid w:val="00B13CFA"/>
  </w:style>
  <w:style w:type="paragraph" w:styleId="BodyText">
    <w:name w:val="Body Text"/>
    <w:basedOn w:val="Normal"/>
    <w:link w:val="BodyTextChar"/>
    <w:rsid w:val="00B13CFA"/>
    <w:pPr>
      <w:spacing w:after="120"/>
      <w:ind w:left="0"/>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B13CF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22911"/>
    <w:rPr>
      <w:rFonts w:ascii="Tahoma" w:hAnsi="Tahoma" w:cs="Tahoma"/>
      <w:sz w:val="16"/>
      <w:szCs w:val="16"/>
    </w:rPr>
  </w:style>
  <w:style w:type="character" w:customStyle="1" w:styleId="BalloonTextChar">
    <w:name w:val="Balloon Text Char"/>
    <w:basedOn w:val="DefaultParagraphFont"/>
    <w:link w:val="BalloonText"/>
    <w:uiPriority w:val="99"/>
    <w:semiHidden/>
    <w:rsid w:val="00D22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61057">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sChild>
        <w:div w:id="1431898854">
          <w:marLeft w:val="547"/>
          <w:marRight w:val="0"/>
          <w:marTop w:val="160"/>
          <w:marBottom w:val="0"/>
          <w:divBdr>
            <w:top w:val="none" w:sz="0" w:space="0" w:color="auto"/>
            <w:left w:val="none" w:sz="0" w:space="0" w:color="auto"/>
            <w:bottom w:val="none" w:sz="0" w:space="0" w:color="auto"/>
            <w:right w:val="none" w:sz="0" w:space="0" w:color="auto"/>
          </w:divBdr>
        </w:div>
      </w:divsChild>
    </w:div>
    <w:div w:id="814488107">
      <w:bodyDiv w:val="1"/>
      <w:marLeft w:val="0"/>
      <w:marRight w:val="0"/>
      <w:marTop w:val="0"/>
      <w:marBottom w:val="0"/>
      <w:divBdr>
        <w:top w:val="none" w:sz="0" w:space="0" w:color="auto"/>
        <w:left w:val="none" w:sz="0" w:space="0" w:color="auto"/>
        <w:bottom w:val="none" w:sz="0" w:space="0" w:color="auto"/>
        <w:right w:val="none" w:sz="0" w:space="0" w:color="auto"/>
      </w:divBdr>
    </w:div>
    <w:div w:id="1207984068">
      <w:bodyDiv w:val="1"/>
      <w:marLeft w:val="0"/>
      <w:marRight w:val="0"/>
      <w:marTop w:val="0"/>
      <w:marBottom w:val="0"/>
      <w:divBdr>
        <w:top w:val="none" w:sz="0" w:space="0" w:color="auto"/>
        <w:left w:val="none" w:sz="0" w:space="0" w:color="auto"/>
        <w:bottom w:val="none" w:sz="0" w:space="0" w:color="auto"/>
        <w:right w:val="none" w:sz="0" w:space="0" w:color="auto"/>
      </w:divBdr>
      <w:divsChild>
        <w:div w:id="1891334921">
          <w:marLeft w:val="0"/>
          <w:marRight w:val="0"/>
          <w:marTop w:val="86"/>
          <w:marBottom w:val="0"/>
          <w:divBdr>
            <w:top w:val="none" w:sz="0" w:space="0" w:color="auto"/>
            <w:left w:val="none" w:sz="0" w:space="0" w:color="auto"/>
            <w:bottom w:val="none" w:sz="0" w:space="0" w:color="auto"/>
            <w:right w:val="none" w:sz="0" w:space="0" w:color="auto"/>
          </w:divBdr>
        </w:div>
      </w:divsChild>
    </w:div>
    <w:div w:id="2041976929">
      <w:bodyDiv w:val="1"/>
      <w:marLeft w:val="0"/>
      <w:marRight w:val="0"/>
      <w:marTop w:val="0"/>
      <w:marBottom w:val="0"/>
      <w:divBdr>
        <w:top w:val="none" w:sz="0" w:space="0" w:color="auto"/>
        <w:left w:val="none" w:sz="0" w:space="0" w:color="auto"/>
        <w:bottom w:val="none" w:sz="0" w:space="0" w:color="auto"/>
        <w:right w:val="none" w:sz="0" w:space="0" w:color="auto"/>
      </w:divBdr>
      <w:divsChild>
        <w:div w:id="1630864494">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ga.grusev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1320</Words>
  <Characters>9799</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IlgaGruseva</dc:creator>
  <cp:lastModifiedBy>IlgaGruseva</cp:lastModifiedBy>
  <cp:revision>23</cp:revision>
  <dcterms:created xsi:type="dcterms:W3CDTF">2014-06-06T11:51:00Z</dcterms:created>
  <dcterms:modified xsi:type="dcterms:W3CDTF">2014-07-03T05:55:00Z</dcterms:modified>
</cp:coreProperties>
</file>