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Georgia" w:eastAsiaTheme="minorHAnsi" w:hAnsi="Georgia" w:cstheme="minorBidi"/>
          <w:b w:val="0"/>
          <w:i w:val="0"/>
          <w:spacing w:val="0"/>
          <w:kern w:val="0"/>
          <w:sz w:val="20"/>
          <w:szCs w:val="20"/>
        </w:rPr>
        <w:id w:val="107030470"/>
        <w:docPartObj>
          <w:docPartGallery w:val="Cover Pages"/>
          <w:docPartUnique/>
        </w:docPartObj>
      </w:sdtPr>
      <w:sdtContent>
        <w:p w:rsidR="00097464" w:rsidRPr="00AC4167" w:rsidRDefault="007F32B2">
          <w:pPr>
            <w:pStyle w:val="Title"/>
            <w:rPr>
              <w:sz w:val="72"/>
            </w:rPr>
          </w:pPr>
          <w:r w:rsidRPr="00AC4167">
            <w:rPr>
              <w:sz w:val="72"/>
            </w:rPr>
            <w:t>Ex-ante</w:t>
          </w:r>
          <w:r w:rsidR="0022763A" w:rsidRPr="00AC4167">
            <w:rPr>
              <w:sz w:val="72"/>
            </w:rPr>
            <w:t xml:space="preserve"> evaluation of Latvia–Lithuania Cross Border Cooperation Programme for the 2014–2020 programming period</w:t>
          </w:r>
        </w:p>
        <w:p w:rsidR="0022763A" w:rsidRPr="00AC4167" w:rsidRDefault="0022763A">
          <w:pPr>
            <w:pStyle w:val="Subtitle"/>
            <w:rPr>
              <w:sz w:val="56"/>
            </w:rPr>
          </w:pPr>
        </w:p>
        <w:p w:rsidR="00097464" w:rsidRPr="00AC4167" w:rsidRDefault="0022763A">
          <w:pPr>
            <w:pStyle w:val="Subtitle"/>
          </w:pPr>
          <w:r w:rsidRPr="00AC4167">
            <w:rPr>
              <w:sz w:val="56"/>
            </w:rPr>
            <w:t>Report</w:t>
          </w:r>
        </w:p>
        <w:tbl>
          <w:tblPr>
            <w:tblStyle w:val="TableGrid"/>
            <w:tblpPr w:leftFromText="181" w:rightFromText="181" w:vertAnchor="page" w:horzAnchor="page" w:tblpX="1022" w:tblpY="6680"/>
            <w:tblOverlap w:val="never"/>
            <w:tblW w:w="1525" w:type="pct"/>
            <w:tblCellMar>
              <w:left w:w="227" w:type="dxa"/>
            </w:tblCellMar>
            <w:tblLook w:val="04A0"/>
          </w:tblPr>
          <w:tblGrid>
            <w:gridCol w:w="2341"/>
          </w:tblGrid>
          <w:tr w:rsidR="00097464" w:rsidRPr="00AC4167">
            <w:tc>
              <w:tcPr>
                <w:tcW w:w="7557" w:type="dxa"/>
                <w:tcBorders>
                  <w:top w:val="dotted" w:sz="8" w:space="0" w:color="DC6900" w:themeColor="text2"/>
                  <w:left w:val="dotted" w:sz="8" w:space="0" w:color="DC6900" w:themeColor="text2"/>
                  <w:bottom w:val="nil"/>
                  <w:right w:val="nil"/>
                </w:tcBorders>
              </w:tcPr>
              <w:p w:rsidR="00097464" w:rsidRPr="00AC4167" w:rsidRDefault="00097464"/>
            </w:tc>
          </w:tr>
          <w:tr w:rsidR="00097464" w:rsidRPr="00AC4167">
            <w:tc>
              <w:tcPr>
                <w:tcW w:w="7557" w:type="dxa"/>
                <w:tcBorders>
                  <w:top w:val="nil"/>
                  <w:left w:val="nil"/>
                  <w:bottom w:val="nil"/>
                  <w:right w:val="nil"/>
                </w:tcBorders>
              </w:tcPr>
              <w:p w:rsidR="00097464" w:rsidRPr="00AC4167" w:rsidRDefault="00C625FC" w:rsidP="00CC5EFF">
                <w:pPr>
                  <w:pStyle w:val="BodyText"/>
                  <w:rPr>
                    <w:i/>
                    <w:iCs/>
                    <w:sz w:val="19"/>
                    <w:szCs w:val="19"/>
                  </w:rPr>
                </w:pPr>
                <w:r>
                  <w:rPr>
                    <w:rStyle w:val="Emphasis"/>
                    <w:sz w:val="19"/>
                    <w:szCs w:val="19"/>
                  </w:rPr>
                  <w:t xml:space="preserve">June </w:t>
                </w:r>
                <w:r w:rsidR="009D413F">
                  <w:rPr>
                    <w:rStyle w:val="Emphasis"/>
                    <w:sz w:val="19"/>
                    <w:szCs w:val="19"/>
                  </w:rPr>
                  <w:t>1</w:t>
                </w:r>
                <w:r w:rsidR="00073AAD">
                  <w:rPr>
                    <w:rStyle w:val="Emphasis"/>
                    <w:sz w:val="19"/>
                    <w:szCs w:val="19"/>
                  </w:rPr>
                  <w:t>9</w:t>
                </w:r>
                <w:r w:rsidR="003E128B">
                  <w:rPr>
                    <w:rStyle w:val="Emphasis"/>
                    <w:sz w:val="19"/>
                    <w:szCs w:val="19"/>
                  </w:rPr>
                  <w:t>, 2014</w:t>
                </w:r>
              </w:p>
            </w:tc>
          </w:tr>
        </w:tbl>
        <w:p w:rsidR="00097464" w:rsidRPr="00AC4167" w:rsidRDefault="004B1DED">
          <w:pPr>
            <w:sectPr w:rsidR="00097464" w:rsidRPr="00AC4167" w:rsidSect="00131CB5">
              <w:headerReference w:type="even" r:id="rId8"/>
              <w:headerReference w:type="default" r:id="rId9"/>
              <w:footerReference w:type="even" r:id="rId10"/>
              <w:footerReference w:type="default" r:id="rId11"/>
              <w:headerReference w:type="first" r:id="rId12"/>
              <w:footerReference w:type="first" r:id="rId13"/>
              <w:pgSz w:w="11906" w:h="16838" w:code="9"/>
              <w:pgMar w:top="2313" w:right="1021" w:bottom="1474" w:left="3544" w:header="567" w:footer="567" w:gutter="0"/>
              <w:cols w:space="708"/>
              <w:titlePg/>
              <w:docGrid w:linePitch="360"/>
            </w:sectPr>
          </w:pPr>
        </w:p>
      </w:sdtContent>
    </w:sdt>
    <w:p w:rsidR="00F52D0A" w:rsidRDefault="00F52D0A" w:rsidP="00F52D0A">
      <w:pPr>
        <w:pStyle w:val="BodyText"/>
        <w:rPr>
          <w:b/>
          <w:i/>
          <w:sz w:val="44"/>
          <w:szCs w:val="44"/>
        </w:rPr>
      </w:pPr>
    </w:p>
    <w:p w:rsidR="002B64FE" w:rsidRPr="00C66485" w:rsidRDefault="002B64FE" w:rsidP="002B64FE">
      <w:pPr>
        <w:spacing w:before="120"/>
        <w:jc w:val="both"/>
        <w:rPr>
          <w:b/>
          <w:lang w:val="lv-LV"/>
        </w:rPr>
      </w:pPr>
      <w:r>
        <w:rPr>
          <w:b/>
          <w:lang w:val="lv-LV"/>
        </w:rPr>
        <w:t>Restrictions</w:t>
      </w:r>
      <w:r w:rsidR="00471114">
        <w:rPr>
          <w:b/>
          <w:lang w:val="lv-LV"/>
        </w:rPr>
        <w:t xml:space="preserve"> </w:t>
      </w:r>
      <w:r>
        <w:rPr>
          <w:b/>
          <w:lang w:val="lv-LV"/>
        </w:rPr>
        <w:t>and</w:t>
      </w:r>
      <w:r w:rsidR="00471114">
        <w:rPr>
          <w:b/>
          <w:lang w:val="lv-LV"/>
        </w:rPr>
        <w:t xml:space="preserve"> </w:t>
      </w:r>
      <w:r>
        <w:rPr>
          <w:b/>
          <w:lang w:val="lv-LV"/>
        </w:rPr>
        <w:t>limitations</w:t>
      </w:r>
    </w:p>
    <w:p w:rsidR="002B64FE" w:rsidRPr="007A2E9E" w:rsidRDefault="002B64FE" w:rsidP="007A2E9E">
      <w:pPr>
        <w:pStyle w:val="BodyText"/>
      </w:pPr>
      <w:r w:rsidRPr="007A2E9E">
        <w:t>This report has following restrictions and limitations:</w:t>
      </w:r>
    </w:p>
    <w:p w:rsidR="0022019D" w:rsidRDefault="0022019D" w:rsidP="00701AEA">
      <w:pPr>
        <w:pStyle w:val="BodyText"/>
        <w:numPr>
          <w:ilvl w:val="0"/>
          <w:numId w:val="12"/>
        </w:numPr>
        <w:jc w:val="both"/>
      </w:pPr>
      <w:r w:rsidRPr="007A2E9E">
        <w:t xml:space="preserve">As requested by the </w:t>
      </w:r>
      <w:r w:rsidR="00D3320D">
        <w:t>c</w:t>
      </w:r>
      <w:r w:rsidRPr="007A2E9E">
        <w:t xml:space="preserve">lient, this report contains only the key conclusions and recommendations. Detailed analysis according to the EU specified requirements is available in a previous report draft, which was submitted to </w:t>
      </w:r>
      <w:r w:rsidR="007A2E9E" w:rsidRPr="007A2E9E">
        <w:t>the</w:t>
      </w:r>
      <w:r w:rsidR="00D3320D">
        <w:t xml:space="preserve"> c</w:t>
      </w:r>
      <w:r w:rsidR="007A2E9E" w:rsidRPr="007A2E9E">
        <w:t>lient on February 5, 2014</w:t>
      </w:r>
      <w:r w:rsidR="00CC02A5">
        <w:t>.</w:t>
      </w:r>
    </w:p>
    <w:p w:rsidR="003313A9" w:rsidRPr="007A2E9E" w:rsidRDefault="003313A9" w:rsidP="00701AEA">
      <w:pPr>
        <w:pStyle w:val="BodyText"/>
        <w:numPr>
          <w:ilvl w:val="0"/>
          <w:numId w:val="12"/>
        </w:numPr>
        <w:jc w:val="both"/>
      </w:pPr>
      <w:r>
        <w:t xml:space="preserve">This ex-ante evaluation report is based on the Programme version drafted on </w:t>
      </w:r>
      <w:r w:rsidR="0054527B" w:rsidRPr="0054527B">
        <w:t>June 2</w:t>
      </w:r>
      <w:r w:rsidRPr="0054527B">
        <w:t>0, 2014</w:t>
      </w:r>
      <w:r>
        <w:t>.</w:t>
      </w:r>
    </w:p>
    <w:p w:rsidR="00F52D0A" w:rsidRDefault="00F52D0A">
      <w:pPr>
        <w:rPr>
          <w:b/>
          <w:bCs/>
          <w:i/>
          <w:iCs/>
        </w:rPr>
      </w:pPr>
      <w:r>
        <w:rPr>
          <w:b/>
          <w:bCs/>
          <w:i/>
          <w:iCs/>
        </w:rPr>
        <w:br w:type="page"/>
      </w:r>
    </w:p>
    <w:p w:rsidR="00F52D0A" w:rsidRDefault="00F52D0A">
      <w:pPr>
        <w:rPr>
          <w:iCs/>
        </w:rPr>
      </w:pPr>
    </w:p>
    <w:sdt>
      <w:sdtPr>
        <w:rPr>
          <w:rFonts w:ascii="Georgia" w:eastAsiaTheme="minorHAnsi" w:hAnsi="Georgia" w:cstheme="minorBidi"/>
          <w:b w:val="0"/>
          <w:bCs w:val="0"/>
          <w:i w:val="0"/>
          <w:iCs/>
          <w:sz w:val="20"/>
          <w:szCs w:val="20"/>
          <w:lang w:val="en-GB"/>
        </w:rPr>
        <w:id w:val="91082582"/>
        <w:docPartObj>
          <w:docPartGallery w:val="Table of Contents"/>
          <w:docPartUnique/>
        </w:docPartObj>
      </w:sdtPr>
      <w:sdtContent>
        <w:p w:rsidR="00097464" w:rsidRPr="00AC4167" w:rsidRDefault="00172ED4">
          <w:pPr>
            <w:pStyle w:val="TOCHeading"/>
            <w:rPr>
              <w:lang w:val="en-GB"/>
            </w:rPr>
          </w:pPr>
          <w:r w:rsidRPr="00AC4167">
            <w:rPr>
              <w:lang w:val="en-GB"/>
            </w:rPr>
            <w:t>Table of Contents</w:t>
          </w:r>
        </w:p>
        <w:p w:rsidR="0054527B" w:rsidRDefault="004B1DED">
          <w:pPr>
            <w:pStyle w:val="TOC1"/>
            <w:tabs>
              <w:tab w:val="right" w:pos="9854"/>
            </w:tabs>
            <w:rPr>
              <w:rFonts w:asciiTheme="minorHAnsi" w:eastAsiaTheme="minorEastAsia" w:hAnsiTheme="minorHAnsi"/>
              <w:noProof/>
              <w:sz w:val="22"/>
              <w:szCs w:val="22"/>
              <w:lang w:eastAsia="en-GB"/>
            </w:rPr>
          </w:pPr>
          <w:r w:rsidRPr="00AC4167">
            <w:fldChar w:fldCharType="begin"/>
          </w:r>
          <w:r w:rsidR="00172ED4" w:rsidRPr="00AC4167">
            <w:instrText xml:space="preserve"> TOC \o "2-5" \h \z \t "Heading 1,1,Heading 1 No Spacing,1" </w:instrText>
          </w:r>
          <w:r w:rsidRPr="00AC4167">
            <w:fldChar w:fldCharType="separate"/>
          </w:r>
          <w:hyperlink w:anchor="_Toc390942529" w:history="1">
            <w:r w:rsidR="0054527B" w:rsidRPr="00C8141C">
              <w:rPr>
                <w:rStyle w:val="Hyperlink"/>
                <w:noProof/>
              </w:rPr>
              <w:t>Abbreviations</w:t>
            </w:r>
            <w:r w:rsidR="0054527B">
              <w:rPr>
                <w:noProof/>
                <w:webHidden/>
              </w:rPr>
              <w:tab/>
            </w:r>
            <w:r>
              <w:rPr>
                <w:noProof/>
                <w:webHidden/>
              </w:rPr>
              <w:fldChar w:fldCharType="begin"/>
            </w:r>
            <w:r w:rsidR="0054527B">
              <w:rPr>
                <w:noProof/>
                <w:webHidden/>
              </w:rPr>
              <w:instrText xml:space="preserve"> PAGEREF _Toc390942529 \h </w:instrText>
            </w:r>
            <w:r>
              <w:rPr>
                <w:noProof/>
                <w:webHidden/>
              </w:rPr>
            </w:r>
            <w:r>
              <w:rPr>
                <w:noProof/>
                <w:webHidden/>
              </w:rPr>
              <w:fldChar w:fldCharType="separate"/>
            </w:r>
            <w:r w:rsidR="00F86E88">
              <w:rPr>
                <w:noProof/>
                <w:webHidden/>
              </w:rPr>
              <w:t>4</w:t>
            </w:r>
            <w:r>
              <w:rPr>
                <w:noProof/>
                <w:webHidden/>
              </w:rPr>
              <w:fldChar w:fldCharType="end"/>
            </w:r>
          </w:hyperlink>
        </w:p>
        <w:p w:rsidR="0054527B" w:rsidRDefault="004B1DED">
          <w:pPr>
            <w:pStyle w:val="TOC1"/>
            <w:tabs>
              <w:tab w:val="right" w:pos="9854"/>
            </w:tabs>
            <w:rPr>
              <w:rFonts w:asciiTheme="minorHAnsi" w:eastAsiaTheme="minorEastAsia" w:hAnsiTheme="minorHAnsi"/>
              <w:noProof/>
              <w:sz w:val="22"/>
              <w:szCs w:val="22"/>
              <w:lang w:eastAsia="en-GB"/>
            </w:rPr>
          </w:pPr>
          <w:hyperlink w:anchor="_Toc390942530" w:history="1">
            <w:r w:rsidR="0054527B" w:rsidRPr="00C8141C">
              <w:rPr>
                <w:rStyle w:val="Hyperlink"/>
                <w:noProof/>
              </w:rPr>
              <w:t>Executive summary</w:t>
            </w:r>
            <w:r w:rsidR="0054527B">
              <w:rPr>
                <w:noProof/>
                <w:webHidden/>
              </w:rPr>
              <w:tab/>
            </w:r>
            <w:r>
              <w:rPr>
                <w:noProof/>
                <w:webHidden/>
              </w:rPr>
              <w:fldChar w:fldCharType="begin"/>
            </w:r>
            <w:r w:rsidR="0054527B">
              <w:rPr>
                <w:noProof/>
                <w:webHidden/>
              </w:rPr>
              <w:instrText xml:space="preserve"> PAGEREF _Toc390942530 \h </w:instrText>
            </w:r>
            <w:r>
              <w:rPr>
                <w:noProof/>
                <w:webHidden/>
              </w:rPr>
            </w:r>
            <w:r>
              <w:rPr>
                <w:noProof/>
                <w:webHidden/>
              </w:rPr>
              <w:fldChar w:fldCharType="separate"/>
            </w:r>
            <w:r w:rsidR="00F86E88">
              <w:rPr>
                <w:noProof/>
                <w:webHidden/>
              </w:rPr>
              <w:t>6</w:t>
            </w:r>
            <w:r>
              <w:rPr>
                <w:noProof/>
                <w:webHidden/>
              </w:rPr>
              <w:fldChar w:fldCharType="end"/>
            </w:r>
          </w:hyperlink>
        </w:p>
        <w:p w:rsidR="0054527B" w:rsidRDefault="004B1DED">
          <w:pPr>
            <w:pStyle w:val="TOC1"/>
            <w:tabs>
              <w:tab w:val="right" w:pos="9854"/>
            </w:tabs>
            <w:rPr>
              <w:rFonts w:asciiTheme="minorHAnsi" w:eastAsiaTheme="minorEastAsia" w:hAnsiTheme="minorHAnsi"/>
              <w:noProof/>
              <w:sz w:val="22"/>
              <w:szCs w:val="22"/>
              <w:lang w:eastAsia="en-GB"/>
            </w:rPr>
          </w:pPr>
          <w:hyperlink w:anchor="_Toc390942531" w:history="1">
            <w:r w:rsidR="0054527B" w:rsidRPr="00C8141C">
              <w:rPr>
                <w:rStyle w:val="Hyperlink"/>
                <w:noProof/>
              </w:rPr>
              <w:t>1.</w:t>
            </w:r>
            <w:r w:rsidR="0054527B">
              <w:rPr>
                <w:rFonts w:asciiTheme="minorHAnsi" w:eastAsiaTheme="minorEastAsia" w:hAnsiTheme="minorHAnsi"/>
                <w:noProof/>
                <w:sz w:val="22"/>
                <w:szCs w:val="22"/>
                <w:lang w:eastAsia="en-GB"/>
              </w:rPr>
              <w:tab/>
            </w:r>
            <w:r w:rsidR="0054527B" w:rsidRPr="00C8141C">
              <w:rPr>
                <w:rStyle w:val="Hyperlink"/>
                <w:noProof/>
              </w:rPr>
              <w:t>Objectives of the report</w:t>
            </w:r>
            <w:r w:rsidR="0054527B">
              <w:rPr>
                <w:noProof/>
                <w:webHidden/>
              </w:rPr>
              <w:tab/>
            </w:r>
            <w:r>
              <w:rPr>
                <w:noProof/>
                <w:webHidden/>
              </w:rPr>
              <w:fldChar w:fldCharType="begin"/>
            </w:r>
            <w:r w:rsidR="0054527B">
              <w:rPr>
                <w:noProof/>
                <w:webHidden/>
              </w:rPr>
              <w:instrText xml:space="preserve"> PAGEREF _Toc390942531 \h </w:instrText>
            </w:r>
            <w:r>
              <w:rPr>
                <w:noProof/>
                <w:webHidden/>
              </w:rPr>
            </w:r>
            <w:r>
              <w:rPr>
                <w:noProof/>
                <w:webHidden/>
              </w:rPr>
              <w:fldChar w:fldCharType="separate"/>
            </w:r>
            <w:r w:rsidR="00F86E88">
              <w:rPr>
                <w:noProof/>
                <w:webHidden/>
              </w:rPr>
              <w:t>9</w:t>
            </w:r>
            <w:r>
              <w:rPr>
                <w:noProof/>
                <w:webHidden/>
              </w:rPr>
              <w:fldChar w:fldCharType="end"/>
            </w:r>
          </w:hyperlink>
        </w:p>
        <w:p w:rsidR="0054527B" w:rsidRDefault="004B1DED">
          <w:pPr>
            <w:pStyle w:val="TOC1"/>
            <w:tabs>
              <w:tab w:val="right" w:pos="9854"/>
            </w:tabs>
            <w:rPr>
              <w:rFonts w:asciiTheme="minorHAnsi" w:eastAsiaTheme="minorEastAsia" w:hAnsiTheme="minorHAnsi"/>
              <w:noProof/>
              <w:sz w:val="22"/>
              <w:szCs w:val="22"/>
              <w:lang w:eastAsia="en-GB"/>
            </w:rPr>
          </w:pPr>
          <w:hyperlink w:anchor="_Toc390942532" w:history="1">
            <w:r w:rsidR="0054527B" w:rsidRPr="00C8141C">
              <w:rPr>
                <w:rStyle w:val="Hyperlink"/>
                <w:noProof/>
              </w:rPr>
              <w:t>2.</w:t>
            </w:r>
            <w:r w:rsidR="0054527B">
              <w:rPr>
                <w:rFonts w:asciiTheme="minorHAnsi" w:eastAsiaTheme="minorEastAsia" w:hAnsiTheme="minorHAnsi"/>
                <w:noProof/>
                <w:sz w:val="22"/>
                <w:szCs w:val="22"/>
                <w:lang w:eastAsia="en-GB"/>
              </w:rPr>
              <w:tab/>
            </w:r>
            <w:r w:rsidR="0054527B" w:rsidRPr="00C8141C">
              <w:rPr>
                <w:rStyle w:val="Hyperlink"/>
                <w:noProof/>
              </w:rPr>
              <w:t>The justification of the Programme’s selected thematic objectives</w:t>
            </w:r>
            <w:r w:rsidR="0054527B">
              <w:rPr>
                <w:noProof/>
                <w:webHidden/>
              </w:rPr>
              <w:tab/>
            </w:r>
            <w:r>
              <w:rPr>
                <w:noProof/>
                <w:webHidden/>
              </w:rPr>
              <w:fldChar w:fldCharType="begin"/>
            </w:r>
            <w:r w:rsidR="0054527B">
              <w:rPr>
                <w:noProof/>
                <w:webHidden/>
              </w:rPr>
              <w:instrText xml:space="preserve"> PAGEREF _Toc390942532 \h </w:instrText>
            </w:r>
            <w:r>
              <w:rPr>
                <w:noProof/>
                <w:webHidden/>
              </w:rPr>
            </w:r>
            <w:r>
              <w:rPr>
                <w:noProof/>
                <w:webHidden/>
              </w:rPr>
              <w:fldChar w:fldCharType="separate"/>
            </w:r>
            <w:r w:rsidR="00F86E88">
              <w:rPr>
                <w:noProof/>
                <w:webHidden/>
              </w:rPr>
              <w:t>9</w:t>
            </w:r>
            <w:r>
              <w:rPr>
                <w:noProof/>
                <w:webHidden/>
              </w:rPr>
              <w:fldChar w:fldCharType="end"/>
            </w:r>
          </w:hyperlink>
        </w:p>
        <w:p w:rsidR="0054527B" w:rsidRDefault="004B1DED">
          <w:pPr>
            <w:pStyle w:val="TOC2"/>
            <w:rPr>
              <w:rFonts w:asciiTheme="minorHAnsi" w:eastAsiaTheme="minorEastAsia" w:hAnsiTheme="minorHAnsi"/>
              <w:noProof/>
              <w:sz w:val="22"/>
              <w:szCs w:val="22"/>
              <w:lang w:eastAsia="en-GB"/>
            </w:rPr>
          </w:pPr>
          <w:hyperlink w:anchor="_Toc390942533" w:history="1">
            <w:r w:rsidR="0054527B" w:rsidRPr="00C8141C">
              <w:rPr>
                <w:rStyle w:val="Hyperlink"/>
                <w:noProof/>
              </w:rPr>
              <w:t>2.1.</w:t>
            </w:r>
            <w:r w:rsidR="0054527B">
              <w:rPr>
                <w:rFonts w:asciiTheme="minorHAnsi" w:eastAsiaTheme="minorEastAsia" w:hAnsiTheme="minorHAnsi"/>
                <w:noProof/>
                <w:sz w:val="22"/>
                <w:szCs w:val="22"/>
                <w:lang w:eastAsia="en-GB"/>
              </w:rPr>
              <w:tab/>
            </w:r>
            <w:r w:rsidR="0054527B" w:rsidRPr="00C8141C">
              <w:rPr>
                <w:rStyle w:val="Hyperlink"/>
                <w:noProof/>
              </w:rPr>
              <w:t>Challenges and needs in the Programme</w:t>
            </w:r>
            <w:r w:rsidR="0054527B">
              <w:rPr>
                <w:noProof/>
                <w:webHidden/>
              </w:rPr>
              <w:tab/>
            </w:r>
            <w:r>
              <w:rPr>
                <w:noProof/>
                <w:webHidden/>
              </w:rPr>
              <w:fldChar w:fldCharType="begin"/>
            </w:r>
            <w:r w:rsidR="0054527B">
              <w:rPr>
                <w:noProof/>
                <w:webHidden/>
              </w:rPr>
              <w:instrText xml:space="preserve"> PAGEREF _Toc390942533 \h </w:instrText>
            </w:r>
            <w:r>
              <w:rPr>
                <w:noProof/>
                <w:webHidden/>
              </w:rPr>
            </w:r>
            <w:r>
              <w:rPr>
                <w:noProof/>
                <w:webHidden/>
              </w:rPr>
              <w:fldChar w:fldCharType="separate"/>
            </w:r>
            <w:r w:rsidR="00F86E88">
              <w:rPr>
                <w:noProof/>
                <w:webHidden/>
              </w:rPr>
              <w:t>9</w:t>
            </w:r>
            <w:r>
              <w:rPr>
                <w:noProof/>
                <w:webHidden/>
              </w:rPr>
              <w:fldChar w:fldCharType="end"/>
            </w:r>
          </w:hyperlink>
        </w:p>
        <w:p w:rsidR="0054527B" w:rsidRDefault="004B1DED">
          <w:pPr>
            <w:pStyle w:val="TOC2"/>
            <w:rPr>
              <w:rFonts w:asciiTheme="minorHAnsi" w:eastAsiaTheme="minorEastAsia" w:hAnsiTheme="minorHAnsi"/>
              <w:noProof/>
              <w:sz w:val="22"/>
              <w:szCs w:val="22"/>
              <w:lang w:eastAsia="en-GB"/>
            </w:rPr>
          </w:pPr>
          <w:hyperlink w:anchor="_Toc390942534" w:history="1">
            <w:r w:rsidR="0054527B" w:rsidRPr="00C8141C">
              <w:rPr>
                <w:rStyle w:val="Hyperlink"/>
                <w:noProof/>
              </w:rPr>
              <w:t>2.2.</w:t>
            </w:r>
            <w:r w:rsidR="0054527B">
              <w:rPr>
                <w:rFonts w:asciiTheme="minorHAnsi" w:eastAsiaTheme="minorEastAsia" w:hAnsiTheme="minorHAnsi"/>
                <w:noProof/>
                <w:sz w:val="22"/>
                <w:szCs w:val="22"/>
                <w:lang w:eastAsia="en-GB"/>
              </w:rPr>
              <w:tab/>
            </w:r>
            <w:r w:rsidR="0054527B" w:rsidRPr="00C8141C">
              <w:rPr>
                <w:rStyle w:val="Hyperlink"/>
                <w:noProof/>
              </w:rPr>
              <w:t>TOs coherence with national and EU level strategies</w:t>
            </w:r>
            <w:r w:rsidR="0054527B">
              <w:rPr>
                <w:noProof/>
                <w:webHidden/>
              </w:rPr>
              <w:tab/>
            </w:r>
            <w:r>
              <w:rPr>
                <w:noProof/>
                <w:webHidden/>
              </w:rPr>
              <w:fldChar w:fldCharType="begin"/>
            </w:r>
            <w:r w:rsidR="0054527B">
              <w:rPr>
                <w:noProof/>
                <w:webHidden/>
              </w:rPr>
              <w:instrText xml:space="preserve"> PAGEREF _Toc390942534 \h </w:instrText>
            </w:r>
            <w:r>
              <w:rPr>
                <w:noProof/>
                <w:webHidden/>
              </w:rPr>
            </w:r>
            <w:r>
              <w:rPr>
                <w:noProof/>
                <w:webHidden/>
              </w:rPr>
              <w:fldChar w:fldCharType="separate"/>
            </w:r>
            <w:r w:rsidR="00F86E88">
              <w:rPr>
                <w:noProof/>
                <w:webHidden/>
              </w:rPr>
              <w:t>10</w:t>
            </w:r>
            <w:r>
              <w:rPr>
                <w:noProof/>
                <w:webHidden/>
              </w:rPr>
              <w:fldChar w:fldCharType="end"/>
            </w:r>
          </w:hyperlink>
        </w:p>
        <w:p w:rsidR="0054527B" w:rsidRDefault="004B1DED">
          <w:pPr>
            <w:pStyle w:val="TOC1"/>
            <w:tabs>
              <w:tab w:val="right" w:pos="9854"/>
            </w:tabs>
            <w:rPr>
              <w:rFonts w:asciiTheme="minorHAnsi" w:eastAsiaTheme="minorEastAsia" w:hAnsiTheme="minorHAnsi"/>
              <w:noProof/>
              <w:sz w:val="22"/>
              <w:szCs w:val="22"/>
              <w:lang w:eastAsia="en-GB"/>
            </w:rPr>
          </w:pPr>
          <w:hyperlink w:anchor="_Toc390942535" w:history="1">
            <w:r w:rsidR="0054527B" w:rsidRPr="00C8141C">
              <w:rPr>
                <w:rStyle w:val="Hyperlink"/>
                <w:rFonts w:eastAsia="Times New Roman"/>
                <w:noProof/>
              </w:rPr>
              <w:t>3.</w:t>
            </w:r>
            <w:r w:rsidR="0054527B">
              <w:rPr>
                <w:rFonts w:asciiTheme="minorHAnsi" w:eastAsiaTheme="minorEastAsia" w:hAnsiTheme="minorHAnsi"/>
                <w:noProof/>
                <w:sz w:val="22"/>
                <w:szCs w:val="22"/>
                <w:lang w:eastAsia="en-GB"/>
              </w:rPr>
              <w:tab/>
            </w:r>
            <w:r w:rsidR="0054527B" w:rsidRPr="00C8141C">
              <w:rPr>
                <w:rStyle w:val="Hyperlink"/>
                <w:noProof/>
              </w:rPr>
              <w:t>The relevance and clarity of the proposed Programme indicators</w:t>
            </w:r>
            <w:r w:rsidR="0054527B">
              <w:rPr>
                <w:noProof/>
                <w:webHidden/>
              </w:rPr>
              <w:tab/>
            </w:r>
            <w:r>
              <w:rPr>
                <w:noProof/>
                <w:webHidden/>
              </w:rPr>
              <w:fldChar w:fldCharType="begin"/>
            </w:r>
            <w:r w:rsidR="0054527B">
              <w:rPr>
                <w:noProof/>
                <w:webHidden/>
              </w:rPr>
              <w:instrText xml:space="preserve"> PAGEREF _Toc390942535 \h </w:instrText>
            </w:r>
            <w:r>
              <w:rPr>
                <w:noProof/>
                <w:webHidden/>
              </w:rPr>
            </w:r>
            <w:r>
              <w:rPr>
                <w:noProof/>
                <w:webHidden/>
              </w:rPr>
              <w:fldChar w:fldCharType="separate"/>
            </w:r>
            <w:r w:rsidR="00F86E88">
              <w:rPr>
                <w:noProof/>
                <w:webHidden/>
              </w:rPr>
              <w:t>11</w:t>
            </w:r>
            <w:r>
              <w:rPr>
                <w:noProof/>
                <w:webHidden/>
              </w:rPr>
              <w:fldChar w:fldCharType="end"/>
            </w:r>
          </w:hyperlink>
        </w:p>
        <w:p w:rsidR="0054527B" w:rsidRDefault="004B1DED">
          <w:pPr>
            <w:pStyle w:val="TOC2"/>
            <w:rPr>
              <w:rFonts w:asciiTheme="minorHAnsi" w:eastAsiaTheme="minorEastAsia" w:hAnsiTheme="minorHAnsi"/>
              <w:noProof/>
              <w:sz w:val="22"/>
              <w:szCs w:val="22"/>
              <w:lang w:eastAsia="en-GB"/>
            </w:rPr>
          </w:pPr>
          <w:hyperlink w:anchor="_Toc390942536" w:history="1">
            <w:r w:rsidR="0054527B" w:rsidRPr="00C8141C">
              <w:rPr>
                <w:rStyle w:val="Hyperlink"/>
                <w:noProof/>
              </w:rPr>
              <w:t>3.1.</w:t>
            </w:r>
            <w:r w:rsidR="0054527B">
              <w:rPr>
                <w:rFonts w:asciiTheme="minorHAnsi" w:eastAsiaTheme="minorEastAsia" w:hAnsiTheme="minorHAnsi"/>
                <w:noProof/>
                <w:sz w:val="22"/>
                <w:szCs w:val="22"/>
                <w:lang w:eastAsia="en-GB"/>
              </w:rPr>
              <w:tab/>
            </w:r>
            <w:r w:rsidR="0054527B" w:rsidRPr="00C8141C">
              <w:rPr>
                <w:rStyle w:val="Hyperlink"/>
                <w:noProof/>
              </w:rPr>
              <w:t>Result indicators’ relevance to specific objective</w:t>
            </w:r>
            <w:bookmarkStart w:id="0" w:name="_GoBack"/>
            <w:bookmarkEnd w:id="0"/>
            <w:r w:rsidR="0054527B" w:rsidRPr="00C8141C">
              <w:rPr>
                <w:rStyle w:val="Hyperlink"/>
                <w:noProof/>
              </w:rPr>
              <w:t>s</w:t>
            </w:r>
            <w:r w:rsidR="0054527B">
              <w:rPr>
                <w:noProof/>
                <w:webHidden/>
              </w:rPr>
              <w:tab/>
            </w:r>
            <w:r>
              <w:rPr>
                <w:noProof/>
                <w:webHidden/>
              </w:rPr>
              <w:fldChar w:fldCharType="begin"/>
            </w:r>
            <w:r w:rsidR="0054527B">
              <w:rPr>
                <w:noProof/>
                <w:webHidden/>
              </w:rPr>
              <w:instrText xml:space="preserve"> PAGEREF _Toc390942536 \h </w:instrText>
            </w:r>
            <w:r>
              <w:rPr>
                <w:noProof/>
                <w:webHidden/>
              </w:rPr>
            </w:r>
            <w:r>
              <w:rPr>
                <w:noProof/>
                <w:webHidden/>
              </w:rPr>
              <w:fldChar w:fldCharType="separate"/>
            </w:r>
            <w:r w:rsidR="00F86E88">
              <w:rPr>
                <w:noProof/>
                <w:webHidden/>
              </w:rPr>
              <w:t>11</w:t>
            </w:r>
            <w:r>
              <w:rPr>
                <w:noProof/>
                <w:webHidden/>
              </w:rPr>
              <w:fldChar w:fldCharType="end"/>
            </w:r>
          </w:hyperlink>
        </w:p>
        <w:p w:rsidR="0054527B" w:rsidRDefault="004B1DED">
          <w:pPr>
            <w:pStyle w:val="TOC2"/>
            <w:rPr>
              <w:rFonts w:asciiTheme="minorHAnsi" w:eastAsiaTheme="minorEastAsia" w:hAnsiTheme="minorHAnsi"/>
              <w:noProof/>
              <w:sz w:val="22"/>
              <w:szCs w:val="22"/>
              <w:lang w:eastAsia="en-GB"/>
            </w:rPr>
          </w:pPr>
          <w:hyperlink w:anchor="_Toc390942537" w:history="1">
            <w:r w:rsidR="0054527B" w:rsidRPr="00C8141C">
              <w:rPr>
                <w:rStyle w:val="Hyperlink"/>
                <w:noProof/>
              </w:rPr>
              <w:t>3.2.</w:t>
            </w:r>
            <w:r w:rsidR="0054527B">
              <w:rPr>
                <w:rFonts w:asciiTheme="minorHAnsi" w:eastAsiaTheme="minorEastAsia" w:hAnsiTheme="minorHAnsi"/>
                <w:noProof/>
                <w:sz w:val="22"/>
                <w:szCs w:val="22"/>
                <w:lang w:eastAsia="en-GB"/>
              </w:rPr>
              <w:tab/>
            </w:r>
            <w:r w:rsidR="0054527B" w:rsidRPr="00C8141C">
              <w:rPr>
                <w:rStyle w:val="Hyperlink"/>
                <w:rFonts w:eastAsia="Times New Roman"/>
                <w:noProof/>
              </w:rPr>
              <w:t>Output indicators’ relevance to result indicators</w:t>
            </w:r>
            <w:r w:rsidR="0054527B">
              <w:rPr>
                <w:noProof/>
                <w:webHidden/>
              </w:rPr>
              <w:tab/>
            </w:r>
            <w:r>
              <w:rPr>
                <w:noProof/>
                <w:webHidden/>
              </w:rPr>
              <w:fldChar w:fldCharType="begin"/>
            </w:r>
            <w:r w:rsidR="0054527B">
              <w:rPr>
                <w:noProof/>
                <w:webHidden/>
              </w:rPr>
              <w:instrText xml:space="preserve"> PAGEREF _Toc390942537 \h </w:instrText>
            </w:r>
            <w:r>
              <w:rPr>
                <w:noProof/>
                <w:webHidden/>
              </w:rPr>
            </w:r>
            <w:r>
              <w:rPr>
                <w:noProof/>
                <w:webHidden/>
              </w:rPr>
              <w:fldChar w:fldCharType="separate"/>
            </w:r>
            <w:r w:rsidR="00F86E88">
              <w:rPr>
                <w:noProof/>
                <w:webHidden/>
              </w:rPr>
              <w:t>12</w:t>
            </w:r>
            <w:r>
              <w:rPr>
                <w:noProof/>
                <w:webHidden/>
              </w:rPr>
              <w:fldChar w:fldCharType="end"/>
            </w:r>
          </w:hyperlink>
        </w:p>
        <w:p w:rsidR="0054527B" w:rsidRDefault="004B1DED">
          <w:pPr>
            <w:pStyle w:val="TOC2"/>
            <w:rPr>
              <w:rFonts w:asciiTheme="minorHAnsi" w:eastAsiaTheme="minorEastAsia" w:hAnsiTheme="minorHAnsi"/>
              <w:noProof/>
              <w:sz w:val="22"/>
              <w:szCs w:val="22"/>
              <w:lang w:eastAsia="en-GB"/>
            </w:rPr>
          </w:pPr>
          <w:hyperlink w:anchor="_Toc390942538" w:history="1">
            <w:r w:rsidR="0054527B" w:rsidRPr="00C8141C">
              <w:rPr>
                <w:rStyle w:val="Hyperlink"/>
                <w:noProof/>
              </w:rPr>
              <w:t>3.3.</w:t>
            </w:r>
            <w:r w:rsidR="0054527B">
              <w:rPr>
                <w:rFonts w:asciiTheme="minorHAnsi" w:eastAsiaTheme="minorEastAsia" w:hAnsiTheme="minorHAnsi"/>
                <w:noProof/>
                <w:sz w:val="22"/>
                <w:szCs w:val="22"/>
                <w:lang w:eastAsia="en-GB"/>
              </w:rPr>
              <w:tab/>
            </w:r>
            <w:r w:rsidR="0054527B" w:rsidRPr="00C8141C">
              <w:rPr>
                <w:rStyle w:val="Hyperlink"/>
                <w:rFonts w:eastAsia="Times New Roman"/>
                <w:noProof/>
              </w:rPr>
              <w:t>Activities and output indicators</w:t>
            </w:r>
            <w:r w:rsidR="0054527B">
              <w:rPr>
                <w:noProof/>
                <w:webHidden/>
              </w:rPr>
              <w:tab/>
            </w:r>
            <w:r>
              <w:rPr>
                <w:noProof/>
                <w:webHidden/>
              </w:rPr>
              <w:fldChar w:fldCharType="begin"/>
            </w:r>
            <w:r w:rsidR="0054527B">
              <w:rPr>
                <w:noProof/>
                <w:webHidden/>
              </w:rPr>
              <w:instrText xml:space="preserve"> PAGEREF _Toc390942538 \h </w:instrText>
            </w:r>
            <w:r>
              <w:rPr>
                <w:noProof/>
                <w:webHidden/>
              </w:rPr>
            </w:r>
            <w:r>
              <w:rPr>
                <w:noProof/>
                <w:webHidden/>
              </w:rPr>
              <w:fldChar w:fldCharType="separate"/>
            </w:r>
            <w:r w:rsidR="00F86E88">
              <w:rPr>
                <w:noProof/>
                <w:webHidden/>
              </w:rPr>
              <w:t>12</w:t>
            </w:r>
            <w:r>
              <w:rPr>
                <w:noProof/>
                <w:webHidden/>
              </w:rPr>
              <w:fldChar w:fldCharType="end"/>
            </w:r>
          </w:hyperlink>
        </w:p>
        <w:p w:rsidR="0054527B" w:rsidRDefault="004B1DED">
          <w:pPr>
            <w:pStyle w:val="TOC2"/>
            <w:rPr>
              <w:rFonts w:asciiTheme="minorHAnsi" w:eastAsiaTheme="minorEastAsia" w:hAnsiTheme="minorHAnsi"/>
              <w:noProof/>
              <w:sz w:val="22"/>
              <w:szCs w:val="22"/>
              <w:lang w:eastAsia="en-GB"/>
            </w:rPr>
          </w:pPr>
          <w:hyperlink w:anchor="_Toc390942539" w:history="1">
            <w:r w:rsidR="0054527B" w:rsidRPr="00C8141C">
              <w:rPr>
                <w:rStyle w:val="Hyperlink"/>
                <w:noProof/>
              </w:rPr>
              <w:t>3.4.</w:t>
            </w:r>
            <w:r w:rsidR="0054527B">
              <w:rPr>
                <w:rFonts w:asciiTheme="minorHAnsi" w:eastAsiaTheme="minorEastAsia" w:hAnsiTheme="minorHAnsi"/>
                <w:noProof/>
                <w:sz w:val="22"/>
                <w:szCs w:val="22"/>
                <w:lang w:eastAsia="en-GB"/>
              </w:rPr>
              <w:tab/>
            </w:r>
            <w:r w:rsidR="0054527B" w:rsidRPr="00C8141C">
              <w:rPr>
                <w:rStyle w:val="Hyperlink"/>
                <w:noProof/>
              </w:rPr>
              <w:t>Target groups and beneficiaries</w:t>
            </w:r>
            <w:r w:rsidR="0054527B">
              <w:rPr>
                <w:noProof/>
                <w:webHidden/>
              </w:rPr>
              <w:tab/>
            </w:r>
            <w:r>
              <w:rPr>
                <w:noProof/>
                <w:webHidden/>
              </w:rPr>
              <w:fldChar w:fldCharType="begin"/>
            </w:r>
            <w:r w:rsidR="0054527B">
              <w:rPr>
                <w:noProof/>
                <w:webHidden/>
              </w:rPr>
              <w:instrText xml:space="preserve"> PAGEREF _Toc390942539 \h </w:instrText>
            </w:r>
            <w:r>
              <w:rPr>
                <w:noProof/>
                <w:webHidden/>
              </w:rPr>
            </w:r>
            <w:r>
              <w:rPr>
                <w:noProof/>
                <w:webHidden/>
              </w:rPr>
              <w:fldChar w:fldCharType="separate"/>
            </w:r>
            <w:r w:rsidR="00F86E88">
              <w:rPr>
                <w:noProof/>
                <w:webHidden/>
              </w:rPr>
              <w:t>12</w:t>
            </w:r>
            <w:r>
              <w:rPr>
                <w:noProof/>
                <w:webHidden/>
              </w:rPr>
              <w:fldChar w:fldCharType="end"/>
            </w:r>
          </w:hyperlink>
        </w:p>
        <w:p w:rsidR="0054527B" w:rsidRDefault="004B1DED">
          <w:pPr>
            <w:pStyle w:val="TOC1"/>
            <w:tabs>
              <w:tab w:val="right" w:pos="9854"/>
            </w:tabs>
            <w:rPr>
              <w:rFonts w:asciiTheme="minorHAnsi" w:eastAsiaTheme="minorEastAsia" w:hAnsiTheme="minorHAnsi"/>
              <w:noProof/>
              <w:sz w:val="22"/>
              <w:szCs w:val="22"/>
              <w:lang w:eastAsia="en-GB"/>
            </w:rPr>
          </w:pPr>
          <w:hyperlink w:anchor="_Toc390942540" w:history="1">
            <w:r w:rsidR="0054527B" w:rsidRPr="00C8141C">
              <w:rPr>
                <w:rStyle w:val="Hyperlink"/>
                <w:rFonts w:eastAsia="Times New Roman"/>
                <w:noProof/>
              </w:rPr>
              <w:t>4.</w:t>
            </w:r>
            <w:r w:rsidR="0054527B">
              <w:rPr>
                <w:rFonts w:asciiTheme="minorHAnsi" w:eastAsiaTheme="minorEastAsia" w:hAnsiTheme="minorHAnsi"/>
                <w:noProof/>
                <w:sz w:val="22"/>
                <w:szCs w:val="22"/>
                <w:lang w:eastAsia="en-GB"/>
              </w:rPr>
              <w:tab/>
            </w:r>
            <w:r w:rsidR="0054527B" w:rsidRPr="00C8141C">
              <w:rPr>
                <w:rStyle w:val="Hyperlink"/>
                <w:noProof/>
              </w:rPr>
              <w:t>Quantified baseline, target values and milestones</w:t>
            </w:r>
            <w:r w:rsidR="0054527B">
              <w:rPr>
                <w:noProof/>
                <w:webHidden/>
              </w:rPr>
              <w:tab/>
            </w:r>
            <w:r>
              <w:rPr>
                <w:noProof/>
                <w:webHidden/>
              </w:rPr>
              <w:fldChar w:fldCharType="begin"/>
            </w:r>
            <w:r w:rsidR="0054527B">
              <w:rPr>
                <w:noProof/>
                <w:webHidden/>
              </w:rPr>
              <w:instrText xml:space="preserve"> PAGEREF _Toc390942540 \h </w:instrText>
            </w:r>
            <w:r>
              <w:rPr>
                <w:noProof/>
                <w:webHidden/>
              </w:rPr>
            </w:r>
            <w:r>
              <w:rPr>
                <w:noProof/>
                <w:webHidden/>
              </w:rPr>
              <w:fldChar w:fldCharType="separate"/>
            </w:r>
            <w:r w:rsidR="00F86E88">
              <w:rPr>
                <w:noProof/>
                <w:webHidden/>
              </w:rPr>
              <w:t>12</w:t>
            </w:r>
            <w:r>
              <w:rPr>
                <w:noProof/>
                <w:webHidden/>
              </w:rPr>
              <w:fldChar w:fldCharType="end"/>
            </w:r>
          </w:hyperlink>
        </w:p>
        <w:p w:rsidR="0054527B" w:rsidRDefault="004B1DED">
          <w:pPr>
            <w:pStyle w:val="TOC2"/>
            <w:rPr>
              <w:rFonts w:asciiTheme="minorHAnsi" w:eastAsiaTheme="minorEastAsia" w:hAnsiTheme="minorHAnsi"/>
              <w:noProof/>
              <w:sz w:val="22"/>
              <w:szCs w:val="22"/>
              <w:lang w:eastAsia="en-GB"/>
            </w:rPr>
          </w:pPr>
          <w:hyperlink w:anchor="_Toc390942541" w:history="1">
            <w:r w:rsidR="0054527B" w:rsidRPr="00C8141C">
              <w:rPr>
                <w:rStyle w:val="Hyperlink"/>
                <w:rFonts w:eastAsia="Times New Roman"/>
                <w:noProof/>
              </w:rPr>
              <w:t>4.1.</w:t>
            </w:r>
            <w:r w:rsidR="0054527B">
              <w:rPr>
                <w:rFonts w:asciiTheme="minorHAnsi" w:eastAsiaTheme="minorEastAsia" w:hAnsiTheme="minorHAnsi"/>
                <w:noProof/>
                <w:sz w:val="22"/>
                <w:szCs w:val="22"/>
                <w:lang w:eastAsia="en-GB"/>
              </w:rPr>
              <w:tab/>
            </w:r>
            <w:r w:rsidR="0054527B" w:rsidRPr="00C8141C">
              <w:rPr>
                <w:rStyle w:val="Hyperlink"/>
                <w:noProof/>
              </w:rPr>
              <w:t>Baseline and target values of result indicators</w:t>
            </w:r>
            <w:r w:rsidR="0054527B">
              <w:rPr>
                <w:noProof/>
                <w:webHidden/>
              </w:rPr>
              <w:tab/>
            </w:r>
            <w:r>
              <w:rPr>
                <w:noProof/>
                <w:webHidden/>
              </w:rPr>
              <w:fldChar w:fldCharType="begin"/>
            </w:r>
            <w:r w:rsidR="0054527B">
              <w:rPr>
                <w:noProof/>
                <w:webHidden/>
              </w:rPr>
              <w:instrText xml:space="preserve"> PAGEREF _Toc390942541 \h </w:instrText>
            </w:r>
            <w:r>
              <w:rPr>
                <w:noProof/>
                <w:webHidden/>
              </w:rPr>
            </w:r>
            <w:r>
              <w:rPr>
                <w:noProof/>
                <w:webHidden/>
              </w:rPr>
              <w:fldChar w:fldCharType="separate"/>
            </w:r>
            <w:r w:rsidR="00F86E88">
              <w:rPr>
                <w:noProof/>
                <w:webHidden/>
              </w:rPr>
              <w:t>12</w:t>
            </w:r>
            <w:r>
              <w:rPr>
                <w:noProof/>
                <w:webHidden/>
              </w:rPr>
              <w:fldChar w:fldCharType="end"/>
            </w:r>
          </w:hyperlink>
        </w:p>
        <w:p w:rsidR="0054527B" w:rsidRDefault="004B1DED">
          <w:pPr>
            <w:pStyle w:val="TOC2"/>
            <w:rPr>
              <w:rFonts w:asciiTheme="minorHAnsi" w:eastAsiaTheme="minorEastAsia" w:hAnsiTheme="minorHAnsi"/>
              <w:noProof/>
              <w:sz w:val="22"/>
              <w:szCs w:val="22"/>
              <w:lang w:eastAsia="en-GB"/>
            </w:rPr>
          </w:pPr>
          <w:hyperlink w:anchor="_Toc390942542" w:history="1">
            <w:r w:rsidR="0054527B" w:rsidRPr="00C8141C">
              <w:rPr>
                <w:rStyle w:val="Hyperlink"/>
                <w:rFonts w:eastAsia="Times New Roman"/>
                <w:noProof/>
              </w:rPr>
              <w:t>4.2.</w:t>
            </w:r>
            <w:r w:rsidR="0054527B">
              <w:rPr>
                <w:rFonts w:asciiTheme="minorHAnsi" w:eastAsiaTheme="minorEastAsia" w:hAnsiTheme="minorHAnsi"/>
                <w:noProof/>
                <w:sz w:val="22"/>
                <w:szCs w:val="22"/>
                <w:lang w:eastAsia="en-GB"/>
              </w:rPr>
              <w:tab/>
            </w:r>
            <w:r w:rsidR="0054527B" w:rsidRPr="00C8141C">
              <w:rPr>
                <w:rStyle w:val="Hyperlink"/>
                <w:noProof/>
              </w:rPr>
              <w:t>Target values of output indicators</w:t>
            </w:r>
            <w:r w:rsidR="0054527B">
              <w:rPr>
                <w:noProof/>
                <w:webHidden/>
              </w:rPr>
              <w:tab/>
            </w:r>
            <w:r>
              <w:rPr>
                <w:noProof/>
                <w:webHidden/>
              </w:rPr>
              <w:fldChar w:fldCharType="begin"/>
            </w:r>
            <w:r w:rsidR="0054527B">
              <w:rPr>
                <w:noProof/>
                <w:webHidden/>
              </w:rPr>
              <w:instrText xml:space="preserve"> PAGEREF _Toc390942542 \h </w:instrText>
            </w:r>
            <w:r>
              <w:rPr>
                <w:noProof/>
                <w:webHidden/>
              </w:rPr>
            </w:r>
            <w:r>
              <w:rPr>
                <w:noProof/>
                <w:webHidden/>
              </w:rPr>
              <w:fldChar w:fldCharType="separate"/>
            </w:r>
            <w:r w:rsidR="00F86E88">
              <w:rPr>
                <w:noProof/>
                <w:webHidden/>
              </w:rPr>
              <w:t>13</w:t>
            </w:r>
            <w:r>
              <w:rPr>
                <w:noProof/>
                <w:webHidden/>
              </w:rPr>
              <w:fldChar w:fldCharType="end"/>
            </w:r>
          </w:hyperlink>
        </w:p>
        <w:p w:rsidR="0054527B" w:rsidRDefault="004B1DED">
          <w:pPr>
            <w:pStyle w:val="TOC2"/>
            <w:rPr>
              <w:rFonts w:asciiTheme="minorHAnsi" w:eastAsiaTheme="minorEastAsia" w:hAnsiTheme="minorHAnsi"/>
              <w:noProof/>
              <w:sz w:val="22"/>
              <w:szCs w:val="22"/>
              <w:lang w:eastAsia="en-GB"/>
            </w:rPr>
          </w:pPr>
          <w:hyperlink w:anchor="_Toc390942543" w:history="1">
            <w:r w:rsidR="0054527B" w:rsidRPr="00C8141C">
              <w:rPr>
                <w:rStyle w:val="Hyperlink"/>
                <w:rFonts w:eastAsia="Times New Roman"/>
                <w:noProof/>
              </w:rPr>
              <w:t>4.3.</w:t>
            </w:r>
            <w:r w:rsidR="0054527B">
              <w:rPr>
                <w:rFonts w:asciiTheme="minorHAnsi" w:eastAsiaTheme="minorEastAsia" w:hAnsiTheme="minorHAnsi"/>
                <w:noProof/>
                <w:sz w:val="22"/>
                <w:szCs w:val="22"/>
                <w:lang w:eastAsia="en-GB"/>
              </w:rPr>
              <w:tab/>
            </w:r>
            <w:r w:rsidR="0054527B" w:rsidRPr="00C8141C">
              <w:rPr>
                <w:rStyle w:val="Hyperlink"/>
                <w:noProof/>
              </w:rPr>
              <w:t>Milestones</w:t>
            </w:r>
            <w:r w:rsidR="0054527B">
              <w:rPr>
                <w:noProof/>
                <w:webHidden/>
              </w:rPr>
              <w:tab/>
            </w:r>
            <w:r>
              <w:rPr>
                <w:noProof/>
                <w:webHidden/>
              </w:rPr>
              <w:fldChar w:fldCharType="begin"/>
            </w:r>
            <w:r w:rsidR="0054527B">
              <w:rPr>
                <w:noProof/>
                <w:webHidden/>
              </w:rPr>
              <w:instrText xml:space="preserve"> PAGEREF _Toc390942543 \h </w:instrText>
            </w:r>
            <w:r>
              <w:rPr>
                <w:noProof/>
                <w:webHidden/>
              </w:rPr>
            </w:r>
            <w:r>
              <w:rPr>
                <w:noProof/>
                <w:webHidden/>
              </w:rPr>
              <w:fldChar w:fldCharType="separate"/>
            </w:r>
            <w:r w:rsidR="00F86E88">
              <w:rPr>
                <w:noProof/>
                <w:webHidden/>
              </w:rPr>
              <w:t>14</w:t>
            </w:r>
            <w:r>
              <w:rPr>
                <w:noProof/>
                <w:webHidden/>
              </w:rPr>
              <w:fldChar w:fldCharType="end"/>
            </w:r>
          </w:hyperlink>
        </w:p>
        <w:p w:rsidR="0054527B" w:rsidRDefault="004B1DED">
          <w:pPr>
            <w:pStyle w:val="TOC1"/>
            <w:tabs>
              <w:tab w:val="right" w:pos="9854"/>
            </w:tabs>
            <w:rPr>
              <w:rFonts w:asciiTheme="minorHAnsi" w:eastAsiaTheme="minorEastAsia" w:hAnsiTheme="minorHAnsi"/>
              <w:noProof/>
              <w:sz w:val="22"/>
              <w:szCs w:val="22"/>
              <w:lang w:eastAsia="en-GB"/>
            </w:rPr>
          </w:pPr>
          <w:hyperlink w:anchor="_Toc390942544" w:history="1">
            <w:r w:rsidR="0054527B" w:rsidRPr="00C8141C">
              <w:rPr>
                <w:rStyle w:val="Hyperlink"/>
                <w:rFonts w:eastAsia="Times New Roman"/>
                <w:noProof/>
              </w:rPr>
              <w:t>5.</w:t>
            </w:r>
            <w:r w:rsidR="0054527B">
              <w:rPr>
                <w:rFonts w:asciiTheme="minorHAnsi" w:eastAsiaTheme="minorEastAsia" w:hAnsiTheme="minorHAnsi"/>
                <w:noProof/>
                <w:sz w:val="22"/>
                <w:szCs w:val="22"/>
                <w:lang w:eastAsia="en-GB"/>
              </w:rPr>
              <w:tab/>
            </w:r>
            <w:r w:rsidR="0054527B" w:rsidRPr="00C8141C">
              <w:rPr>
                <w:rStyle w:val="Hyperlink"/>
                <w:noProof/>
              </w:rPr>
              <w:t>Evaluation of the financial allocations</w:t>
            </w:r>
            <w:r w:rsidR="0054527B">
              <w:rPr>
                <w:noProof/>
                <w:webHidden/>
              </w:rPr>
              <w:tab/>
            </w:r>
            <w:r>
              <w:rPr>
                <w:noProof/>
                <w:webHidden/>
              </w:rPr>
              <w:fldChar w:fldCharType="begin"/>
            </w:r>
            <w:r w:rsidR="0054527B">
              <w:rPr>
                <w:noProof/>
                <w:webHidden/>
              </w:rPr>
              <w:instrText xml:space="preserve"> PAGEREF _Toc390942544 \h </w:instrText>
            </w:r>
            <w:r>
              <w:rPr>
                <w:noProof/>
                <w:webHidden/>
              </w:rPr>
            </w:r>
            <w:r>
              <w:rPr>
                <w:noProof/>
                <w:webHidden/>
              </w:rPr>
              <w:fldChar w:fldCharType="separate"/>
            </w:r>
            <w:r w:rsidR="00F86E88">
              <w:rPr>
                <w:noProof/>
                <w:webHidden/>
              </w:rPr>
              <w:t>15</w:t>
            </w:r>
            <w:r>
              <w:rPr>
                <w:noProof/>
                <w:webHidden/>
              </w:rPr>
              <w:fldChar w:fldCharType="end"/>
            </w:r>
          </w:hyperlink>
        </w:p>
        <w:p w:rsidR="0054527B" w:rsidRDefault="004B1DED">
          <w:pPr>
            <w:pStyle w:val="TOC1"/>
            <w:tabs>
              <w:tab w:val="right" w:pos="9854"/>
            </w:tabs>
            <w:rPr>
              <w:rFonts w:asciiTheme="minorHAnsi" w:eastAsiaTheme="minorEastAsia" w:hAnsiTheme="minorHAnsi"/>
              <w:noProof/>
              <w:sz w:val="22"/>
              <w:szCs w:val="22"/>
              <w:lang w:eastAsia="en-GB"/>
            </w:rPr>
          </w:pPr>
          <w:hyperlink w:anchor="_Toc390942545" w:history="1">
            <w:r w:rsidR="0054527B" w:rsidRPr="00C8141C">
              <w:rPr>
                <w:rStyle w:val="Hyperlink"/>
                <w:rFonts w:eastAsia="Times New Roman"/>
                <w:noProof/>
              </w:rPr>
              <w:t>6.</w:t>
            </w:r>
            <w:r w:rsidR="0054527B">
              <w:rPr>
                <w:rFonts w:asciiTheme="minorHAnsi" w:eastAsiaTheme="minorEastAsia" w:hAnsiTheme="minorHAnsi"/>
                <w:noProof/>
                <w:sz w:val="22"/>
                <w:szCs w:val="22"/>
                <w:lang w:eastAsia="en-GB"/>
              </w:rPr>
              <w:tab/>
            </w:r>
            <w:r w:rsidR="0054527B" w:rsidRPr="00C8141C">
              <w:rPr>
                <w:rStyle w:val="Hyperlink"/>
                <w:noProof/>
              </w:rPr>
              <w:t>Evaluation of the impact indicators’ and results’ contribution to Europe 2020</w:t>
            </w:r>
            <w:r w:rsidR="0054527B">
              <w:rPr>
                <w:noProof/>
                <w:webHidden/>
              </w:rPr>
              <w:tab/>
            </w:r>
            <w:r>
              <w:rPr>
                <w:noProof/>
                <w:webHidden/>
              </w:rPr>
              <w:fldChar w:fldCharType="begin"/>
            </w:r>
            <w:r w:rsidR="0054527B">
              <w:rPr>
                <w:noProof/>
                <w:webHidden/>
              </w:rPr>
              <w:instrText xml:space="preserve"> PAGEREF _Toc390942545 \h </w:instrText>
            </w:r>
            <w:r>
              <w:rPr>
                <w:noProof/>
                <w:webHidden/>
              </w:rPr>
            </w:r>
            <w:r>
              <w:rPr>
                <w:noProof/>
                <w:webHidden/>
              </w:rPr>
              <w:fldChar w:fldCharType="separate"/>
            </w:r>
            <w:r w:rsidR="00F86E88">
              <w:rPr>
                <w:noProof/>
                <w:webHidden/>
              </w:rPr>
              <w:t>16</w:t>
            </w:r>
            <w:r>
              <w:rPr>
                <w:noProof/>
                <w:webHidden/>
              </w:rPr>
              <w:fldChar w:fldCharType="end"/>
            </w:r>
          </w:hyperlink>
        </w:p>
        <w:p w:rsidR="0054527B" w:rsidRDefault="004B1DED">
          <w:pPr>
            <w:pStyle w:val="TOC1"/>
            <w:tabs>
              <w:tab w:val="right" w:pos="9854"/>
            </w:tabs>
            <w:rPr>
              <w:rFonts w:asciiTheme="minorHAnsi" w:eastAsiaTheme="minorEastAsia" w:hAnsiTheme="minorHAnsi"/>
              <w:noProof/>
              <w:sz w:val="22"/>
              <w:szCs w:val="22"/>
              <w:lang w:eastAsia="en-GB"/>
            </w:rPr>
          </w:pPr>
          <w:hyperlink w:anchor="_Toc390942546" w:history="1">
            <w:r w:rsidR="0054527B" w:rsidRPr="00C8141C">
              <w:rPr>
                <w:rStyle w:val="Hyperlink"/>
                <w:rFonts w:eastAsia="Times New Roman"/>
                <w:noProof/>
              </w:rPr>
              <w:t>7.</w:t>
            </w:r>
            <w:r w:rsidR="0054527B">
              <w:rPr>
                <w:rFonts w:asciiTheme="minorHAnsi" w:eastAsiaTheme="minorEastAsia" w:hAnsiTheme="minorHAnsi"/>
                <w:noProof/>
                <w:sz w:val="22"/>
                <w:szCs w:val="22"/>
                <w:lang w:eastAsia="en-GB"/>
              </w:rPr>
              <w:tab/>
            </w:r>
            <w:r w:rsidR="0054527B" w:rsidRPr="00C8141C">
              <w:rPr>
                <w:rStyle w:val="Hyperlink"/>
                <w:noProof/>
              </w:rPr>
              <w:t>Quality of the implementation and monitoring mechanisms</w:t>
            </w:r>
            <w:r w:rsidR="0054527B">
              <w:rPr>
                <w:noProof/>
                <w:webHidden/>
              </w:rPr>
              <w:tab/>
            </w:r>
            <w:r>
              <w:rPr>
                <w:noProof/>
                <w:webHidden/>
              </w:rPr>
              <w:fldChar w:fldCharType="begin"/>
            </w:r>
            <w:r w:rsidR="0054527B">
              <w:rPr>
                <w:noProof/>
                <w:webHidden/>
              </w:rPr>
              <w:instrText xml:space="preserve"> PAGEREF _Toc390942546 \h </w:instrText>
            </w:r>
            <w:r>
              <w:rPr>
                <w:noProof/>
                <w:webHidden/>
              </w:rPr>
            </w:r>
            <w:r>
              <w:rPr>
                <w:noProof/>
                <w:webHidden/>
              </w:rPr>
              <w:fldChar w:fldCharType="separate"/>
            </w:r>
            <w:r w:rsidR="00F86E88">
              <w:rPr>
                <w:noProof/>
                <w:webHidden/>
              </w:rPr>
              <w:t>17</w:t>
            </w:r>
            <w:r>
              <w:rPr>
                <w:noProof/>
                <w:webHidden/>
              </w:rPr>
              <w:fldChar w:fldCharType="end"/>
            </w:r>
          </w:hyperlink>
        </w:p>
        <w:p w:rsidR="0054527B" w:rsidRDefault="004B1DED">
          <w:pPr>
            <w:pStyle w:val="TOC2"/>
            <w:rPr>
              <w:rFonts w:asciiTheme="minorHAnsi" w:eastAsiaTheme="minorEastAsia" w:hAnsiTheme="minorHAnsi"/>
              <w:noProof/>
              <w:sz w:val="22"/>
              <w:szCs w:val="22"/>
              <w:lang w:eastAsia="en-GB"/>
            </w:rPr>
          </w:pPr>
          <w:hyperlink w:anchor="_Toc390942547" w:history="1">
            <w:r w:rsidR="0054527B" w:rsidRPr="00C8141C">
              <w:rPr>
                <w:rStyle w:val="Hyperlink"/>
                <w:rFonts w:eastAsia="Times New Roman"/>
                <w:noProof/>
              </w:rPr>
              <w:t>7.1.</w:t>
            </w:r>
            <w:r w:rsidR="0054527B">
              <w:rPr>
                <w:rFonts w:asciiTheme="minorHAnsi" w:eastAsiaTheme="minorEastAsia" w:hAnsiTheme="minorHAnsi"/>
                <w:noProof/>
                <w:sz w:val="22"/>
                <w:szCs w:val="22"/>
                <w:lang w:eastAsia="en-GB"/>
              </w:rPr>
              <w:tab/>
            </w:r>
            <w:r w:rsidR="0054527B" w:rsidRPr="00C8141C">
              <w:rPr>
                <w:rStyle w:val="Hyperlink"/>
                <w:rFonts w:eastAsia="Arial"/>
                <w:noProof/>
              </w:rPr>
              <w:t>Management mechanisms</w:t>
            </w:r>
            <w:r w:rsidR="0054527B">
              <w:rPr>
                <w:noProof/>
                <w:webHidden/>
              </w:rPr>
              <w:tab/>
            </w:r>
            <w:r>
              <w:rPr>
                <w:noProof/>
                <w:webHidden/>
              </w:rPr>
              <w:fldChar w:fldCharType="begin"/>
            </w:r>
            <w:r w:rsidR="0054527B">
              <w:rPr>
                <w:noProof/>
                <w:webHidden/>
              </w:rPr>
              <w:instrText xml:space="preserve"> PAGEREF _Toc390942547 \h </w:instrText>
            </w:r>
            <w:r>
              <w:rPr>
                <w:noProof/>
                <w:webHidden/>
              </w:rPr>
            </w:r>
            <w:r>
              <w:rPr>
                <w:noProof/>
                <w:webHidden/>
              </w:rPr>
              <w:fldChar w:fldCharType="separate"/>
            </w:r>
            <w:r w:rsidR="00F86E88">
              <w:rPr>
                <w:noProof/>
                <w:webHidden/>
              </w:rPr>
              <w:t>17</w:t>
            </w:r>
            <w:r>
              <w:rPr>
                <w:noProof/>
                <w:webHidden/>
              </w:rPr>
              <w:fldChar w:fldCharType="end"/>
            </w:r>
          </w:hyperlink>
        </w:p>
        <w:p w:rsidR="0054527B" w:rsidRDefault="004B1DED">
          <w:pPr>
            <w:pStyle w:val="TOC2"/>
            <w:rPr>
              <w:rFonts w:asciiTheme="minorHAnsi" w:eastAsiaTheme="minorEastAsia" w:hAnsiTheme="minorHAnsi"/>
              <w:noProof/>
              <w:sz w:val="22"/>
              <w:szCs w:val="22"/>
              <w:lang w:eastAsia="en-GB"/>
            </w:rPr>
          </w:pPr>
          <w:hyperlink w:anchor="_Toc390942548" w:history="1">
            <w:r w:rsidR="0054527B" w:rsidRPr="00C8141C">
              <w:rPr>
                <w:rStyle w:val="Hyperlink"/>
                <w:rFonts w:eastAsia="Times New Roman"/>
                <w:noProof/>
              </w:rPr>
              <w:t>7.2.</w:t>
            </w:r>
            <w:r w:rsidR="0054527B">
              <w:rPr>
                <w:rFonts w:asciiTheme="minorHAnsi" w:eastAsiaTheme="minorEastAsia" w:hAnsiTheme="minorHAnsi"/>
                <w:noProof/>
                <w:sz w:val="22"/>
                <w:szCs w:val="22"/>
                <w:lang w:eastAsia="en-GB"/>
              </w:rPr>
              <w:tab/>
            </w:r>
            <w:r w:rsidR="0054527B" w:rsidRPr="00C8141C">
              <w:rPr>
                <w:rStyle w:val="Hyperlink"/>
                <w:rFonts w:eastAsia="Arial"/>
                <w:noProof/>
              </w:rPr>
              <w:t>Monitoring and data exchange system</w:t>
            </w:r>
            <w:r w:rsidR="0054527B">
              <w:rPr>
                <w:noProof/>
                <w:webHidden/>
              </w:rPr>
              <w:tab/>
            </w:r>
            <w:r>
              <w:rPr>
                <w:noProof/>
                <w:webHidden/>
              </w:rPr>
              <w:fldChar w:fldCharType="begin"/>
            </w:r>
            <w:r w:rsidR="0054527B">
              <w:rPr>
                <w:noProof/>
                <w:webHidden/>
              </w:rPr>
              <w:instrText xml:space="preserve"> PAGEREF _Toc390942548 \h </w:instrText>
            </w:r>
            <w:r>
              <w:rPr>
                <w:noProof/>
                <w:webHidden/>
              </w:rPr>
            </w:r>
            <w:r>
              <w:rPr>
                <w:noProof/>
                <w:webHidden/>
              </w:rPr>
              <w:fldChar w:fldCharType="separate"/>
            </w:r>
            <w:r w:rsidR="00F86E88">
              <w:rPr>
                <w:noProof/>
                <w:webHidden/>
              </w:rPr>
              <w:t>17</w:t>
            </w:r>
            <w:r>
              <w:rPr>
                <w:noProof/>
                <w:webHidden/>
              </w:rPr>
              <w:fldChar w:fldCharType="end"/>
            </w:r>
          </w:hyperlink>
        </w:p>
        <w:p w:rsidR="0054527B" w:rsidRDefault="004B1DED">
          <w:pPr>
            <w:pStyle w:val="TOC2"/>
            <w:rPr>
              <w:rFonts w:asciiTheme="minorHAnsi" w:eastAsiaTheme="minorEastAsia" w:hAnsiTheme="minorHAnsi"/>
              <w:noProof/>
              <w:sz w:val="22"/>
              <w:szCs w:val="22"/>
              <w:lang w:eastAsia="en-GB"/>
            </w:rPr>
          </w:pPr>
          <w:hyperlink w:anchor="_Toc390942549" w:history="1">
            <w:r w:rsidR="0054527B" w:rsidRPr="00C8141C">
              <w:rPr>
                <w:rStyle w:val="Hyperlink"/>
                <w:rFonts w:eastAsia="Times New Roman"/>
                <w:noProof/>
              </w:rPr>
              <w:t>7.3.</w:t>
            </w:r>
            <w:r w:rsidR="0054527B">
              <w:rPr>
                <w:rFonts w:asciiTheme="minorHAnsi" w:eastAsiaTheme="minorEastAsia" w:hAnsiTheme="minorHAnsi"/>
                <w:noProof/>
                <w:sz w:val="22"/>
                <w:szCs w:val="22"/>
                <w:lang w:eastAsia="en-GB"/>
              </w:rPr>
              <w:tab/>
            </w:r>
            <w:r w:rsidR="0054527B" w:rsidRPr="00C8141C">
              <w:rPr>
                <w:rStyle w:val="Hyperlink"/>
                <w:rFonts w:eastAsia="Arial"/>
                <w:noProof/>
              </w:rPr>
              <w:t>Administrative capacity</w:t>
            </w:r>
            <w:r w:rsidR="0054527B">
              <w:rPr>
                <w:noProof/>
                <w:webHidden/>
              </w:rPr>
              <w:tab/>
            </w:r>
            <w:r>
              <w:rPr>
                <w:noProof/>
                <w:webHidden/>
              </w:rPr>
              <w:fldChar w:fldCharType="begin"/>
            </w:r>
            <w:r w:rsidR="0054527B">
              <w:rPr>
                <w:noProof/>
                <w:webHidden/>
              </w:rPr>
              <w:instrText xml:space="preserve"> PAGEREF _Toc390942549 \h </w:instrText>
            </w:r>
            <w:r>
              <w:rPr>
                <w:noProof/>
                <w:webHidden/>
              </w:rPr>
            </w:r>
            <w:r>
              <w:rPr>
                <w:noProof/>
                <w:webHidden/>
              </w:rPr>
              <w:fldChar w:fldCharType="separate"/>
            </w:r>
            <w:r w:rsidR="00F86E88">
              <w:rPr>
                <w:noProof/>
                <w:webHidden/>
              </w:rPr>
              <w:t>18</w:t>
            </w:r>
            <w:r>
              <w:rPr>
                <w:noProof/>
                <w:webHidden/>
              </w:rPr>
              <w:fldChar w:fldCharType="end"/>
            </w:r>
          </w:hyperlink>
        </w:p>
        <w:p w:rsidR="0054527B" w:rsidRDefault="004B1DED">
          <w:pPr>
            <w:pStyle w:val="TOC2"/>
            <w:rPr>
              <w:rFonts w:asciiTheme="minorHAnsi" w:eastAsiaTheme="minorEastAsia" w:hAnsiTheme="minorHAnsi"/>
              <w:noProof/>
              <w:sz w:val="22"/>
              <w:szCs w:val="22"/>
              <w:lang w:eastAsia="en-GB"/>
            </w:rPr>
          </w:pPr>
          <w:hyperlink w:anchor="_Toc390942550" w:history="1">
            <w:r w:rsidR="0054527B" w:rsidRPr="00C8141C">
              <w:rPr>
                <w:rStyle w:val="Hyperlink"/>
                <w:rFonts w:eastAsia="Times New Roman"/>
                <w:noProof/>
              </w:rPr>
              <w:t>7.4.</w:t>
            </w:r>
            <w:r w:rsidR="0054527B">
              <w:rPr>
                <w:rFonts w:asciiTheme="minorHAnsi" w:eastAsiaTheme="minorEastAsia" w:hAnsiTheme="minorHAnsi"/>
                <w:noProof/>
                <w:sz w:val="22"/>
                <w:szCs w:val="22"/>
                <w:lang w:eastAsia="en-GB"/>
              </w:rPr>
              <w:tab/>
            </w:r>
            <w:r w:rsidR="0054527B" w:rsidRPr="00C8141C">
              <w:rPr>
                <w:rStyle w:val="Hyperlink"/>
                <w:rFonts w:eastAsia="Arial"/>
                <w:noProof/>
              </w:rPr>
              <w:t>Experience of previous programming periods</w:t>
            </w:r>
            <w:r w:rsidR="0054527B">
              <w:rPr>
                <w:noProof/>
                <w:webHidden/>
              </w:rPr>
              <w:tab/>
            </w:r>
            <w:r>
              <w:rPr>
                <w:noProof/>
                <w:webHidden/>
              </w:rPr>
              <w:fldChar w:fldCharType="begin"/>
            </w:r>
            <w:r w:rsidR="0054527B">
              <w:rPr>
                <w:noProof/>
                <w:webHidden/>
              </w:rPr>
              <w:instrText xml:space="preserve"> PAGEREF _Toc390942550 \h </w:instrText>
            </w:r>
            <w:r>
              <w:rPr>
                <w:noProof/>
                <w:webHidden/>
              </w:rPr>
            </w:r>
            <w:r>
              <w:rPr>
                <w:noProof/>
                <w:webHidden/>
              </w:rPr>
              <w:fldChar w:fldCharType="separate"/>
            </w:r>
            <w:r w:rsidR="00F86E88">
              <w:rPr>
                <w:noProof/>
                <w:webHidden/>
              </w:rPr>
              <w:t>18</w:t>
            </w:r>
            <w:r>
              <w:rPr>
                <w:noProof/>
                <w:webHidden/>
              </w:rPr>
              <w:fldChar w:fldCharType="end"/>
            </w:r>
          </w:hyperlink>
        </w:p>
        <w:p w:rsidR="0054527B" w:rsidRDefault="004B1DED">
          <w:pPr>
            <w:pStyle w:val="TOC1"/>
            <w:tabs>
              <w:tab w:val="right" w:pos="9854"/>
            </w:tabs>
            <w:rPr>
              <w:rFonts w:asciiTheme="minorHAnsi" w:eastAsiaTheme="minorEastAsia" w:hAnsiTheme="minorHAnsi"/>
              <w:noProof/>
              <w:sz w:val="22"/>
              <w:szCs w:val="22"/>
              <w:lang w:eastAsia="en-GB"/>
            </w:rPr>
          </w:pPr>
          <w:hyperlink w:anchor="_Toc390942551" w:history="1">
            <w:r w:rsidR="0054527B" w:rsidRPr="00C8141C">
              <w:rPr>
                <w:rStyle w:val="Hyperlink"/>
                <w:rFonts w:eastAsia="Times New Roman"/>
                <w:noProof/>
              </w:rPr>
              <w:t>8.</w:t>
            </w:r>
            <w:r w:rsidR="0054527B">
              <w:rPr>
                <w:rFonts w:asciiTheme="minorHAnsi" w:eastAsiaTheme="minorEastAsia" w:hAnsiTheme="minorHAnsi"/>
                <w:noProof/>
                <w:sz w:val="22"/>
                <w:szCs w:val="22"/>
                <w:lang w:eastAsia="en-GB"/>
              </w:rPr>
              <w:tab/>
            </w:r>
            <w:r w:rsidR="0054527B" w:rsidRPr="00C8141C">
              <w:rPr>
                <w:rStyle w:val="Hyperlink"/>
                <w:noProof/>
              </w:rPr>
              <w:t>Consistency with the strategic environmental assessment</w:t>
            </w:r>
            <w:r w:rsidR="0054527B">
              <w:rPr>
                <w:noProof/>
                <w:webHidden/>
              </w:rPr>
              <w:tab/>
            </w:r>
            <w:r>
              <w:rPr>
                <w:noProof/>
                <w:webHidden/>
              </w:rPr>
              <w:fldChar w:fldCharType="begin"/>
            </w:r>
            <w:r w:rsidR="0054527B">
              <w:rPr>
                <w:noProof/>
                <w:webHidden/>
              </w:rPr>
              <w:instrText xml:space="preserve"> PAGEREF _Toc390942551 \h </w:instrText>
            </w:r>
            <w:r>
              <w:rPr>
                <w:noProof/>
                <w:webHidden/>
              </w:rPr>
            </w:r>
            <w:r>
              <w:rPr>
                <w:noProof/>
                <w:webHidden/>
              </w:rPr>
              <w:fldChar w:fldCharType="separate"/>
            </w:r>
            <w:r w:rsidR="00F86E88">
              <w:rPr>
                <w:noProof/>
                <w:webHidden/>
              </w:rPr>
              <w:t>18</w:t>
            </w:r>
            <w:r>
              <w:rPr>
                <w:noProof/>
                <w:webHidden/>
              </w:rPr>
              <w:fldChar w:fldCharType="end"/>
            </w:r>
          </w:hyperlink>
        </w:p>
        <w:p w:rsidR="0054527B" w:rsidRDefault="004B1DED">
          <w:pPr>
            <w:pStyle w:val="TOC1"/>
            <w:tabs>
              <w:tab w:val="right" w:pos="9854"/>
            </w:tabs>
            <w:rPr>
              <w:rFonts w:asciiTheme="minorHAnsi" w:eastAsiaTheme="minorEastAsia" w:hAnsiTheme="minorHAnsi"/>
              <w:noProof/>
              <w:sz w:val="22"/>
              <w:szCs w:val="22"/>
              <w:lang w:eastAsia="en-GB"/>
            </w:rPr>
          </w:pPr>
          <w:hyperlink w:anchor="_Toc390942552" w:history="1">
            <w:r w:rsidR="0054527B" w:rsidRPr="00C8141C">
              <w:rPr>
                <w:rStyle w:val="Hyperlink"/>
                <w:rFonts w:eastAsia="Times New Roman"/>
                <w:noProof/>
              </w:rPr>
              <w:t>9.</w:t>
            </w:r>
            <w:r w:rsidR="0054527B">
              <w:rPr>
                <w:rFonts w:asciiTheme="minorHAnsi" w:eastAsiaTheme="minorEastAsia" w:hAnsiTheme="minorHAnsi"/>
                <w:noProof/>
                <w:sz w:val="22"/>
                <w:szCs w:val="22"/>
                <w:lang w:eastAsia="en-GB"/>
              </w:rPr>
              <w:tab/>
            </w:r>
            <w:r w:rsidR="0054527B" w:rsidRPr="00C8141C">
              <w:rPr>
                <w:rStyle w:val="Hyperlink"/>
                <w:noProof/>
              </w:rPr>
              <w:t>Horizontal principles</w:t>
            </w:r>
            <w:r w:rsidR="0054527B">
              <w:rPr>
                <w:noProof/>
                <w:webHidden/>
              </w:rPr>
              <w:tab/>
            </w:r>
            <w:r>
              <w:rPr>
                <w:noProof/>
                <w:webHidden/>
              </w:rPr>
              <w:fldChar w:fldCharType="begin"/>
            </w:r>
            <w:r w:rsidR="0054527B">
              <w:rPr>
                <w:noProof/>
                <w:webHidden/>
              </w:rPr>
              <w:instrText xml:space="preserve"> PAGEREF _Toc390942552 \h </w:instrText>
            </w:r>
            <w:r>
              <w:rPr>
                <w:noProof/>
                <w:webHidden/>
              </w:rPr>
            </w:r>
            <w:r>
              <w:rPr>
                <w:noProof/>
                <w:webHidden/>
              </w:rPr>
              <w:fldChar w:fldCharType="separate"/>
            </w:r>
            <w:r w:rsidR="00F86E88">
              <w:rPr>
                <w:noProof/>
                <w:webHidden/>
              </w:rPr>
              <w:t>19</w:t>
            </w:r>
            <w:r>
              <w:rPr>
                <w:noProof/>
                <w:webHidden/>
              </w:rPr>
              <w:fldChar w:fldCharType="end"/>
            </w:r>
          </w:hyperlink>
        </w:p>
        <w:p w:rsidR="0054527B" w:rsidRDefault="004B1DED">
          <w:pPr>
            <w:pStyle w:val="TOC1"/>
            <w:tabs>
              <w:tab w:val="right" w:pos="9854"/>
            </w:tabs>
            <w:rPr>
              <w:rFonts w:asciiTheme="minorHAnsi" w:eastAsiaTheme="minorEastAsia" w:hAnsiTheme="minorHAnsi"/>
              <w:noProof/>
              <w:sz w:val="22"/>
              <w:szCs w:val="22"/>
              <w:lang w:eastAsia="en-GB"/>
            </w:rPr>
          </w:pPr>
          <w:hyperlink w:anchor="_Toc390942553" w:history="1">
            <w:r w:rsidR="0054527B" w:rsidRPr="00C8141C">
              <w:rPr>
                <w:rStyle w:val="Hyperlink"/>
                <w:rFonts w:eastAsia="Times New Roman"/>
                <w:noProof/>
              </w:rPr>
              <w:t>10.</w:t>
            </w:r>
            <w:r w:rsidR="0054527B">
              <w:rPr>
                <w:rFonts w:asciiTheme="minorHAnsi" w:eastAsiaTheme="minorEastAsia" w:hAnsiTheme="minorHAnsi"/>
                <w:noProof/>
                <w:sz w:val="22"/>
                <w:szCs w:val="22"/>
                <w:lang w:eastAsia="en-GB"/>
              </w:rPr>
              <w:tab/>
            </w:r>
            <w:r w:rsidR="00BC37E4">
              <w:rPr>
                <w:rFonts w:asciiTheme="minorHAnsi" w:eastAsiaTheme="minorEastAsia" w:hAnsiTheme="minorHAnsi"/>
                <w:noProof/>
                <w:sz w:val="22"/>
                <w:szCs w:val="22"/>
                <w:lang w:eastAsia="en-GB"/>
              </w:rPr>
              <w:t xml:space="preserve"> </w:t>
            </w:r>
            <w:r w:rsidR="0054527B" w:rsidRPr="00C8141C">
              <w:rPr>
                <w:rStyle w:val="Hyperlink"/>
                <w:noProof/>
              </w:rPr>
              <w:t>Summary of conclusions and recommendations</w:t>
            </w:r>
            <w:r w:rsidR="0054527B">
              <w:rPr>
                <w:noProof/>
                <w:webHidden/>
              </w:rPr>
              <w:tab/>
            </w:r>
            <w:r>
              <w:rPr>
                <w:noProof/>
                <w:webHidden/>
              </w:rPr>
              <w:fldChar w:fldCharType="begin"/>
            </w:r>
            <w:r w:rsidR="0054527B">
              <w:rPr>
                <w:noProof/>
                <w:webHidden/>
              </w:rPr>
              <w:instrText xml:space="preserve"> PAGEREF _Toc390942553 \h </w:instrText>
            </w:r>
            <w:r>
              <w:rPr>
                <w:noProof/>
                <w:webHidden/>
              </w:rPr>
            </w:r>
            <w:r>
              <w:rPr>
                <w:noProof/>
                <w:webHidden/>
              </w:rPr>
              <w:fldChar w:fldCharType="separate"/>
            </w:r>
            <w:r w:rsidR="00F86E88">
              <w:rPr>
                <w:noProof/>
                <w:webHidden/>
              </w:rPr>
              <w:t>20</w:t>
            </w:r>
            <w:r>
              <w:rPr>
                <w:noProof/>
                <w:webHidden/>
              </w:rPr>
              <w:fldChar w:fldCharType="end"/>
            </w:r>
          </w:hyperlink>
        </w:p>
        <w:p w:rsidR="0054527B" w:rsidRDefault="004B1DED">
          <w:pPr>
            <w:pStyle w:val="TOC1"/>
            <w:tabs>
              <w:tab w:val="right" w:pos="9854"/>
            </w:tabs>
            <w:rPr>
              <w:rFonts w:asciiTheme="minorHAnsi" w:eastAsiaTheme="minorEastAsia" w:hAnsiTheme="minorHAnsi"/>
              <w:noProof/>
              <w:sz w:val="22"/>
              <w:szCs w:val="22"/>
              <w:lang w:eastAsia="en-GB"/>
            </w:rPr>
          </w:pPr>
          <w:hyperlink w:anchor="_Toc390942554" w:history="1">
            <w:r w:rsidR="0054527B" w:rsidRPr="00C8141C">
              <w:rPr>
                <w:rStyle w:val="Hyperlink"/>
                <w:rFonts w:eastAsia="Times New Roman"/>
                <w:noProof/>
              </w:rPr>
              <w:t>11.</w:t>
            </w:r>
            <w:r w:rsidR="0054527B">
              <w:rPr>
                <w:rFonts w:asciiTheme="minorHAnsi" w:eastAsiaTheme="minorEastAsia" w:hAnsiTheme="minorHAnsi"/>
                <w:noProof/>
                <w:sz w:val="22"/>
                <w:szCs w:val="22"/>
                <w:lang w:eastAsia="en-GB"/>
              </w:rPr>
              <w:tab/>
            </w:r>
            <w:r w:rsidR="0054527B" w:rsidRPr="00C8141C">
              <w:rPr>
                <w:rStyle w:val="Hyperlink"/>
                <w:noProof/>
              </w:rPr>
              <w:t>Information sources</w:t>
            </w:r>
            <w:r w:rsidR="0054527B">
              <w:rPr>
                <w:noProof/>
                <w:webHidden/>
              </w:rPr>
              <w:tab/>
            </w:r>
            <w:r>
              <w:rPr>
                <w:noProof/>
                <w:webHidden/>
              </w:rPr>
              <w:fldChar w:fldCharType="begin"/>
            </w:r>
            <w:r w:rsidR="0054527B">
              <w:rPr>
                <w:noProof/>
                <w:webHidden/>
              </w:rPr>
              <w:instrText xml:space="preserve"> PAGEREF _Toc390942554 \h </w:instrText>
            </w:r>
            <w:r>
              <w:rPr>
                <w:noProof/>
                <w:webHidden/>
              </w:rPr>
            </w:r>
            <w:r>
              <w:rPr>
                <w:noProof/>
                <w:webHidden/>
              </w:rPr>
              <w:fldChar w:fldCharType="separate"/>
            </w:r>
            <w:r w:rsidR="00F86E88">
              <w:rPr>
                <w:noProof/>
                <w:webHidden/>
              </w:rPr>
              <w:t>27</w:t>
            </w:r>
            <w:r>
              <w:rPr>
                <w:noProof/>
                <w:webHidden/>
              </w:rPr>
              <w:fldChar w:fldCharType="end"/>
            </w:r>
          </w:hyperlink>
        </w:p>
        <w:p w:rsidR="00097464" w:rsidRPr="00AC4167" w:rsidRDefault="004B1DED">
          <w:r w:rsidRPr="00AC4167">
            <w:fldChar w:fldCharType="end"/>
          </w:r>
        </w:p>
      </w:sdtContent>
    </w:sdt>
    <w:p w:rsidR="009228A7" w:rsidRDefault="009228A7"/>
    <w:p w:rsidR="009228A7" w:rsidRPr="009228A7" w:rsidRDefault="009228A7" w:rsidP="009228A7">
      <w:pPr>
        <w:pStyle w:val="BodyText"/>
      </w:pPr>
    </w:p>
    <w:p w:rsidR="00527FC1" w:rsidRDefault="009228A7" w:rsidP="00527FC1">
      <w:pPr>
        <w:pStyle w:val="Heading1NoSpacing"/>
      </w:pPr>
      <w:bookmarkStart w:id="1" w:name="_Toc378947713"/>
      <w:bookmarkStart w:id="2" w:name="_Toc390942529"/>
      <w:r w:rsidRPr="009228A7">
        <w:lastRenderedPageBreak/>
        <w:t>Abbreviations</w:t>
      </w:r>
      <w:bookmarkEnd w:id="1"/>
      <w:bookmarkEnd w:id="2"/>
    </w:p>
    <w:p w:rsidR="00527FC1" w:rsidRPr="00527FC1" w:rsidRDefault="00527FC1" w:rsidP="00527FC1">
      <w:pPr>
        <w:pStyle w:val="Heading2"/>
      </w:pPr>
    </w:p>
    <w:tbl>
      <w:tblPr>
        <w:tblStyle w:val="LightList-Accent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513"/>
      </w:tblGrid>
      <w:tr w:rsidR="00527FC1" w:rsidRPr="009346F5" w:rsidTr="00C01266">
        <w:trPr>
          <w:cnfStyle w:val="100000000000"/>
          <w:cantSplit/>
          <w:tblHeader/>
        </w:trPr>
        <w:tc>
          <w:tcPr>
            <w:cnfStyle w:val="001000000000"/>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FC1" w:rsidRPr="009346F5" w:rsidRDefault="00527FC1" w:rsidP="00F73E8F">
            <w:pPr>
              <w:jc w:val="center"/>
              <w:rPr>
                <w:rFonts w:eastAsia="Arial" w:cs="Times New Roman"/>
              </w:rPr>
            </w:pPr>
          </w:p>
          <w:p w:rsidR="00527FC1" w:rsidRPr="009346F5" w:rsidRDefault="00527FC1" w:rsidP="00F73E8F">
            <w:pPr>
              <w:jc w:val="center"/>
              <w:rPr>
                <w:rFonts w:eastAsia="Arial" w:cs="Times New Roman"/>
              </w:rPr>
            </w:pPr>
            <w:r w:rsidRPr="009346F5">
              <w:rPr>
                <w:rFonts w:eastAsia="Arial" w:cs="Times New Roman"/>
              </w:rPr>
              <w:t>Abbreviations</w:t>
            </w:r>
          </w:p>
          <w:p w:rsidR="00527FC1" w:rsidRPr="009346F5" w:rsidRDefault="00527FC1" w:rsidP="00F73E8F">
            <w:pPr>
              <w:jc w:val="center"/>
              <w:rPr>
                <w:rFonts w:eastAsia="Arial" w:cs="Times New Roman"/>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FC1" w:rsidRPr="009346F5" w:rsidRDefault="00527FC1" w:rsidP="00F73E8F">
            <w:pPr>
              <w:jc w:val="center"/>
              <w:cnfStyle w:val="100000000000"/>
              <w:rPr>
                <w:rFonts w:eastAsia="Arial" w:cs="Times New Roman"/>
              </w:rPr>
            </w:pPr>
            <w:bookmarkStart w:id="3" w:name="_Toc378947715"/>
          </w:p>
          <w:p w:rsidR="00527FC1" w:rsidRPr="009346F5" w:rsidRDefault="00527FC1" w:rsidP="00F73E8F">
            <w:pPr>
              <w:jc w:val="center"/>
              <w:cnfStyle w:val="100000000000"/>
              <w:rPr>
                <w:rFonts w:eastAsia="Arial" w:cs="Times New Roman"/>
              </w:rPr>
            </w:pPr>
            <w:r w:rsidRPr="009346F5">
              <w:rPr>
                <w:rFonts w:eastAsia="Arial" w:cs="Times New Roman"/>
              </w:rPr>
              <w:t>Explanations</w:t>
            </w:r>
            <w:bookmarkEnd w:id="3"/>
          </w:p>
        </w:tc>
      </w:tr>
      <w:tr w:rsidR="00D05E38" w:rsidRPr="009346F5" w:rsidTr="001D5B17">
        <w:trPr>
          <w:cnfStyle w:val="000000100000"/>
        </w:trPr>
        <w:tc>
          <w:tcPr>
            <w:cnfStyle w:val="001000000000"/>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E38" w:rsidRPr="002A3DB9" w:rsidRDefault="00D05E38" w:rsidP="00F73E8F">
            <w:pPr>
              <w:ind w:right="113"/>
              <w:rPr>
                <w:rFonts w:asciiTheme="majorHAnsi" w:eastAsia="Times New Roman" w:hAnsiTheme="majorHAnsi" w:cs="Times New Roman"/>
                <w:b w:val="0"/>
              </w:rPr>
            </w:pPr>
            <w:r w:rsidRPr="002A3DB9">
              <w:rPr>
                <w:rFonts w:asciiTheme="majorHAnsi" w:eastAsia="Times New Roman" w:hAnsiTheme="majorHAnsi" w:cs="Times New Roman"/>
                <w:b w:val="0"/>
              </w:rPr>
              <w:t>AA</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E38" w:rsidRPr="002A3DB9" w:rsidRDefault="00D05E38" w:rsidP="00F73E8F">
            <w:pPr>
              <w:cnfStyle w:val="000000100000"/>
              <w:rPr>
                <w:rFonts w:asciiTheme="majorHAnsi" w:eastAsia="Arial" w:hAnsiTheme="majorHAnsi" w:cs="Times New Roman"/>
                <w:noProof/>
              </w:rPr>
            </w:pPr>
            <w:r w:rsidRPr="002A3DB9">
              <w:rPr>
                <w:rFonts w:asciiTheme="majorHAnsi" w:eastAsia="Arial" w:hAnsiTheme="majorHAnsi" w:cs="Times New Roman"/>
                <w:noProof/>
              </w:rPr>
              <w:t>Audit Authority</w:t>
            </w:r>
          </w:p>
          <w:p w:rsidR="00D05E38" w:rsidRPr="002A3DB9" w:rsidRDefault="00D05E38" w:rsidP="00F73E8F">
            <w:pPr>
              <w:cnfStyle w:val="000000100000"/>
              <w:rPr>
                <w:rFonts w:asciiTheme="majorHAnsi" w:hAnsiTheme="majorHAnsi"/>
              </w:rPr>
            </w:pPr>
          </w:p>
        </w:tc>
      </w:tr>
      <w:tr w:rsidR="00D05E38" w:rsidRPr="009346F5" w:rsidTr="001D5B17">
        <w:tc>
          <w:tcPr>
            <w:cnfStyle w:val="001000000000"/>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E38" w:rsidRPr="002A3DB9" w:rsidRDefault="00D05E38" w:rsidP="00F73E8F">
            <w:pPr>
              <w:ind w:right="113"/>
              <w:rPr>
                <w:rFonts w:asciiTheme="majorHAnsi" w:eastAsia="Times New Roman" w:hAnsiTheme="majorHAnsi" w:cs="Times New Roman"/>
                <w:b w:val="0"/>
              </w:rPr>
            </w:pPr>
            <w:r w:rsidRPr="002A3DB9">
              <w:rPr>
                <w:rFonts w:asciiTheme="majorHAnsi" w:eastAsia="Times New Roman" w:hAnsiTheme="majorHAnsi" w:cs="Times New Roman"/>
                <w:b w:val="0"/>
              </w:rPr>
              <w:t>CA</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E38" w:rsidRPr="002A3DB9" w:rsidRDefault="00D05E38" w:rsidP="00F73E8F">
            <w:pPr>
              <w:cnfStyle w:val="000000000000"/>
              <w:rPr>
                <w:rFonts w:asciiTheme="majorHAnsi" w:eastAsia="Arial" w:hAnsiTheme="majorHAnsi" w:cs="Times New Roman"/>
                <w:noProof/>
              </w:rPr>
            </w:pPr>
            <w:r w:rsidRPr="002A3DB9">
              <w:rPr>
                <w:rFonts w:asciiTheme="majorHAnsi" w:eastAsia="Arial" w:hAnsiTheme="majorHAnsi" w:cs="Times New Roman"/>
                <w:noProof/>
              </w:rPr>
              <w:t>Certifying Authority</w:t>
            </w:r>
          </w:p>
          <w:p w:rsidR="00D05E38" w:rsidRPr="002A3DB9" w:rsidRDefault="00D05E38" w:rsidP="00F73E8F">
            <w:pPr>
              <w:cnfStyle w:val="000000000000"/>
              <w:rPr>
                <w:rFonts w:asciiTheme="majorHAnsi" w:hAnsiTheme="majorHAnsi"/>
              </w:rPr>
            </w:pPr>
          </w:p>
        </w:tc>
      </w:tr>
      <w:tr w:rsidR="00D05E38" w:rsidRPr="009346F5" w:rsidTr="001D5B17">
        <w:trPr>
          <w:cnfStyle w:val="000000100000"/>
        </w:trPr>
        <w:tc>
          <w:tcPr>
            <w:cnfStyle w:val="001000000000"/>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E38" w:rsidRPr="002A3DB9" w:rsidRDefault="00D05E38" w:rsidP="00CB7650">
            <w:pPr>
              <w:rPr>
                <w:rFonts w:asciiTheme="majorHAnsi" w:eastAsia="Arial" w:hAnsiTheme="majorHAnsi" w:cs="Times New Roman"/>
                <w:b w:val="0"/>
              </w:rPr>
            </w:pPr>
            <w:r>
              <w:rPr>
                <w:rFonts w:asciiTheme="majorHAnsi" w:eastAsia="Arial" w:hAnsiTheme="majorHAnsi" w:cs="Times New Roman"/>
                <w:b w:val="0"/>
              </w:rPr>
              <w:t xml:space="preserve">Commission </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E38" w:rsidRPr="002A3DB9" w:rsidRDefault="00D05E38" w:rsidP="005D2F37">
            <w:pPr>
              <w:jc w:val="both"/>
              <w:cnfStyle w:val="000000100000"/>
              <w:rPr>
                <w:rFonts w:asciiTheme="majorHAnsi" w:hAnsiTheme="majorHAnsi"/>
              </w:rPr>
            </w:pPr>
            <w:r>
              <w:rPr>
                <w:rFonts w:asciiTheme="majorHAnsi" w:hAnsiTheme="majorHAnsi"/>
              </w:rPr>
              <w:t>European Commission</w:t>
            </w:r>
          </w:p>
        </w:tc>
      </w:tr>
      <w:tr w:rsidR="00D05E38" w:rsidRPr="009346F5" w:rsidTr="00DC1F27">
        <w:tc>
          <w:tcPr>
            <w:cnfStyle w:val="001000000000"/>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E38" w:rsidRPr="002A3DB9" w:rsidRDefault="00D05E38" w:rsidP="00CB7650">
            <w:pPr>
              <w:rPr>
                <w:rFonts w:asciiTheme="majorHAnsi" w:eastAsia="Arial" w:hAnsiTheme="majorHAnsi" w:cs="Times New Roman"/>
                <w:b w:val="0"/>
              </w:rPr>
            </w:pPr>
            <w:r w:rsidRPr="002A3DB9">
              <w:rPr>
                <w:rFonts w:asciiTheme="majorHAnsi" w:eastAsia="Arial" w:hAnsiTheme="majorHAnsi" w:cs="Times New Roman"/>
                <w:b w:val="0"/>
              </w:rPr>
              <w:t xml:space="preserve">CPR </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E38" w:rsidRPr="002A3DB9" w:rsidRDefault="00D05E38" w:rsidP="005D2F37">
            <w:pPr>
              <w:jc w:val="both"/>
              <w:cnfStyle w:val="000000000000"/>
              <w:rPr>
                <w:rFonts w:asciiTheme="majorHAnsi" w:hAnsiTheme="majorHAnsi"/>
              </w:rPr>
            </w:pPr>
            <w:r w:rsidRPr="002A3DB9">
              <w:rPr>
                <w:rFonts w:asciiTheme="majorHAnsi" w:hAnsiTheme="maj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(Common Provisions Regulation)</w:t>
            </w:r>
          </w:p>
          <w:p w:rsidR="00D05E38" w:rsidRPr="002A3DB9" w:rsidRDefault="00D05E38" w:rsidP="00F73E8F">
            <w:pPr>
              <w:cnfStyle w:val="000000000000"/>
              <w:rPr>
                <w:rFonts w:asciiTheme="majorHAnsi" w:hAnsiTheme="majorHAnsi"/>
              </w:rPr>
            </w:pPr>
          </w:p>
        </w:tc>
      </w:tr>
      <w:tr w:rsidR="00DC1F27" w:rsidRPr="009346F5" w:rsidTr="00DC1F27">
        <w:trPr>
          <w:cnfStyle w:val="000000100000"/>
        </w:trPr>
        <w:tc>
          <w:tcPr>
            <w:cnfStyle w:val="001000000000"/>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EC4A1B">
            <w:pPr>
              <w:ind w:right="113"/>
              <w:rPr>
                <w:rFonts w:asciiTheme="majorHAnsi" w:eastAsia="Times New Roman" w:hAnsiTheme="majorHAnsi" w:cs="Times New Roman"/>
                <w:b w:val="0"/>
                <w:lang w:val="en-US"/>
              </w:rPr>
            </w:pPr>
            <w:r w:rsidRPr="002A3DB9">
              <w:rPr>
                <w:rFonts w:asciiTheme="majorHAnsi" w:hAnsiTheme="majorHAnsi"/>
                <w:b w:val="0"/>
              </w:rPr>
              <w:t>DG REGIO</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EC4A1B">
            <w:pPr>
              <w:cnfStyle w:val="000000100000"/>
              <w:rPr>
                <w:rFonts w:asciiTheme="majorHAnsi" w:hAnsiTheme="majorHAnsi"/>
              </w:rPr>
            </w:pPr>
            <w:r w:rsidRPr="002A3DB9">
              <w:rPr>
                <w:rFonts w:asciiTheme="majorHAnsi" w:hAnsiTheme="majorHAnsi"/>
              </w:rPr>
              <w:t>Directorate-General for Regional and Urban Policy</w:t>
            </w:r>
          </w:p>
          <w:p w:rsidR="00DC1F27" w:rsidRPr="002A3DB9" w:rsidRDefault="00DC1F27" w:rsidP="00EC4A1B">
            <w:pPr>
              <w:cnfStyle w:val="000000100000"/>
              <w:rPr>
                <w:rFonts w:asciiTheme="majorHAnsi" w:hAnsiTheme="majorHAnsi"/>
              </w:rPr>
            </w:pPr>
          </w:p>
        </w:tc>
      </w:tr>
      <w:tr w:rsidR="00DC1F27" w:rsidRPr="009346F5" w:rsidTr="00DC1F27">
        <w:tc>
          <w:tcPr>
            <w:cnfStyle w:val="001000000000"/>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EC4A1B">
            <w:pPr>
              <w:rPr>
                <w:rFonts w:asciiTheme="majorHAnsi" w:eastAsia="Arial" w:hAnsiTheme="majorHAnsi" w:cs="Times New Roman"/>
                <w:b w:val="0"/>
              </w:rPr>
            </w:pPr>
            <w:r w:rsidRPr="002A3DB9">
              <w:rPr>
                <w:rFonts w:asciiTheme="majorHAnsi" w:eastAsia="Arial" w:hAnsiTheme="majorHAnsi" w:cs="Times New Roman"/>
                <w:b w:val="0"/>
              </w:rPr>
              <w:t>EC</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EC4A1B">
            <w:pPr>
              <w:cnfStyle w:val="000000000000"/>
              <w:rPr>
                <w:rFonts w:asciiTheme="majorHAnsi" w:eastAsia="Arial" w:hAnsiTheme="majorHAnsi" w:cs="Times New Roman"/>
              </w:rPr>
            </w:pPr>
            <w:r w:rsidRPr="002A3DB9">
              <w:rPr>
                <w:rFonts w:asciiTheme="majorHAnsi" w:eastAsia="Arial" w:hAnsiTheme="majorHAnsi" w:cs="Times New Roman"/>
              </w:rPr>
              <w:t>European Commission</w:t>
            </w:r>
          </w:p>
          <w:p w:rsidR="00DC1F27" w:rsidRPr="002A3DB9" w:rsidRDefault="00DC1F27" w:rsidP="00EC4A1B">
            <w:pPr>
              <w:cnfStyle w:val="000000000000"/>
              <w:rPr>
                <w:rFonts w:asciiTheme="majorHAnsi" w:eastAsia="Arial" w:hAnsiTheme="majorHAnsi" w:cs="Times New Roman"/>
              </w:rPr>
            </w:pPr>
          </w:p>
        </w:tc>
      </w:tr>
      <w:tr w:rsidR="00DC1F27" w:rsidRPr="009346F5" w:rsidTr="00131CB5">
        <w:trPr>
          <w:cnfStyle w:val="000000100000"/>
        </w:trPr>
        <w:tc>
          <w:tcPr>
            <w:cnfStyle w:val="001000000000"/>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F73E8F">
            <w:pPr>
              <w:rPr>
                <w:rFonts w:asciiTheme="majorHAnsi" w:eastAsia="Arial" w:hAnsiTheme="majorHAnsi" w:cs="Times New Roman"/>
                <w:b w:val="0"/>
              </w:rPr>
            </w:pPr>
            <w:r w:rsidRPr="002A3DB9">
              <w:rPr>
                <w:rFonts w:asciiTheme="majorHAnsi" w:eastAsia="Arial" w:hAnsiTheme="majorHAnsi" w:cs="Times New Roman"/>
                <w:b w:val="0"/>
              </w:rPr>
              <w:t>ERDF Regulation</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C40BE6">
            <w:pPr>
              <w:jc w:val="both"/>
              <w:cnfStyle w:val="000000100000"/>
              <w:rPr>
                <w:rFonts w:asciiTheme="majorHAnsi" w:eastAsia="Arial" w:hAnsiTheme="majorHAnsi" w:cs="Times New Roman"/>
              </w:rPr>
            </w:pPr>
            <w:r w:rsidRPr="002A3DB9">
              <w:rPr>
                <w:rFonts w:asciiTheme="majorHAnsi" w:eastAsia="Arial" w:hAnsiTheme="majorHAnsi" w:cs="Times New Roman"/>
              </w:rPr>
              <w:t>Regulation (EU) No 1301/2013 of the European Parliament and of the Council of 17 December 2013 on the European Regional Development Fund and on specific provisions concerning the Investment for growth and jobs goal and repealing Regulation (EC) No 1080/2006European Regional Development Fund (ERDF Regulation)</w:t>
            </w:r>
          </w:p>
          <w:p w:rsidR="00DC1F27" w:rsidRPr="002A3DB9" w:rsidRDefault="00DC1F27" w:rsidP="00F73E8F">
            <w:pPr>
              <w:cnfStyle w:val="000000100000"/>
              <w:rPr>
                <w:rFonts w:asciiTheme="majorHAnsi" w:eastAsia="Arial" w:hAnsiTheme="majorHAnsi" w:cs="Times New Roman"/>
              </w:rPr>
            </w:pPr>
          </w:p>
        </w:tc>
      </w:tr>
      <w:tr w:rsidR="00DC1F27" w:rsidRPr="009346F5" w:rsidTr="00044845">
        <w:tc>
          <w:tcPr>
            <w:cnfStyle w:val="001000000000"/>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F73E8F">
            <w:pPr>
              <w:rPr>
                <w:rFonts w:asciiTheme="majorHAnsi" w:eastAsia="Arial" w:hAnsiTheme="majorHAnsi" w:cs="Times New Roman"/>
                <w:b w:val="0"/>
              </w:rPr>
            </w:pPr>
            <w:r w:rsidRPr="002A3DB9">
              <w:rPr>
                <w:rFonts w:asciiTheme="majorHAnsi" w:eastAsia="Arial" w:hAnsiTheme="majorHAnsi" w:cs="Times New Roman"/>
                <w:b w:val="0"/>
              </w:rPr>
              <w:t>ESF</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F73E8F">
            <w:pPr>
              <w:cnfStyle w:val="000000000000"/>
              <w:rPr>
                <w:rFonts w:asciiTheme="majorHAnsi" w:eastAsia="Arial" w:hAnsiTheme="majorHAnsi" w:cs="Times New Roman"/>
              </w:rPr>
            </w:pPr>
            <w:r w:rsidRPr="002A3DB9">
              <w:rPr>
                <w:rFonts w:asciiTheme="majorHAnsi" w:eastAsia="Arial" w:hAnsiTheme="majorHAnsi" w:cs="Times New Roman"/>
              </w:rPr>
              <w:t>European Social Fund</w:t>
            </w:r>
          </w:p>
          <w:p w:rsidR="00DC1F27" w:rsidRPr="002A3DB9" w:rsidRDefault="00DC1F27" w:rsidP="00F73E8F">
            <w:pPr>
              <w:cnfStyle w:val="000000000000"/>
              <w:rPr>
                <w:rFonts w:asciiTheme="majorHAnsi" w:eastAsia="Arial" w:hAnsiTheme="majorHAnsi" w:cs="Times New Roman"/>
              </w:rPr>
            </w:pPr>
          </w:p>
        </w:tc>
      </w:tr>
      <w:tr w:rsidR="00DC1F27" w:rsidRPr="009346F5" w:rsidTr="00044845">
        <w:trPr>
          <w:cnfStyle w:val="000000100000"/>
        </w:trPr>
        <w:tc>
          <w:tcPr>
            <w:cnfStyle w:val="001000000000"/>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F73E8F">
            <w:pPr>
              <w:rPr>
                <w:rFonts w:asciiTheme="majorHAnsi" w:eastAsia="Arial" w:hAnsiTheme="majorHAnsi" w:cs="Times New Roman"/>
                <w:b w:val="0"/>
              </w:rPr>
            </w:pPr>
            <w:r w:rsidRPr="002A3DB9">
              <w:rPr>
                <w:rFonts w:asciiTheme="majorHAnsi" w:eastAsia="Arial" w:hAnsiTheme="majorHAnsi" w:cs="Times New Roman"/>
                <w:b w:val="0"/>
              </w:rPr>
              <w:t>ETC Regulation</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5D2F37">
            <w:pPr>
              <w:jc w:val="both"/>
              <w:cnfStyle w:val="000000100000"/>
              <w:rPr>
                <w:rFonts w:asciiTheme="majorHAnsi" w:hAnsiTheme="majorHAnsi"/>
              </w:rPr>
            </w:pPr>
            <w:r w:rsidRPr="002A3DB9">
              <w:rPr>
                <w:rFonts w:asciiTheme="majorHAnsi" w:hAnsiTheme="majorHAnsi"/>
              </w:rPr>
              <w:t>Regulation (EU) No 1299/2013 of the European Parliament and of the Council of 17 December 2013 on specific provisions for the support from the European Regional (European territorial cooperation Regulation)</w:t>
            </w:r>
          </w:p>
          <w:p w:rsidR="00DC1F27" w:rsidRPr="002A3DB9" w:rsidRDefault="00DC1F27" w:rsidP="00F73E8F">
            <w:pPr>
              <w:cnfStyle w:val="000000100000"/>
              <w:rPr>
                <w:rFonts w:asciiTheme="majorHAnsi" w:eastAsia="Arial" w:hAnsiTheme="majorHAnsi" w:cs="Times New Roman"/>
              </w:rPr>
            </w:pPr>
          </w:p>
        </w:tc>
      </w:tr>
      <w:tr w:rsidR="00DC1F27" w:rsidRPr="009346F5" w:rsidTr="00044845">
        <w:tc>
          <w:tcPr>
            <w:cnfStyle w:val="001000000000"/>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F73E8F">
            <w:pPr>
              <w:rPr>
                <w:rFonts w:asciiTheme="majorHAnsi" w:eastAsia="Arial" w:hAnsiTheme="majorHAnsi" w:cs="Times New Roman"/>
                <w:b w:val="0"/>
              </w:rPr>
            </w:pPr>
            <w:r w:rsidRPr="002A3DB9">
              <w:rPr>
                <w:rFonts w:asciiTheme="majorHAnsi" w:eastAsia="Arial" w:hAnsiTheme="majorHAnsi" w:cs="Times New Roman"/>
                <w:b w:val="0"/>
              </w:rPr>
              <w:t>EU</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F73E8F">
            <w:pPr>
              <w:cnfStyle w:val="000000000000"/>
              <w:rPr>
                <w:rFonts w:asciiTheme="majorHAnsi" w:eastAsia="Arial" w:hAnsiTheme="majorHAnsi" w:cs="Times New Roman"/>
              </w:rPr>
            </w:pPr>
            <w:r w:rsidRPr="002A3DB9">
              <w:rPr>
                <w:rFonts w:asciiTheme="majorHAnsi" w:eastAsia="Arial" w:hAnsiTheme="majorHAnsi" w:cs="Times New Roman"/>
              </w:rPr>
              <w:t>European Union</w:t>
            </w:r>
          </w:p>
          <w:p w:rsidR="00DC1F27" w:rsidRPr="002A3DB9" w:rsidRDefault="00DC1F27" w:rsidP="00F73E8F">
            <w:pPr>
              <w:cnfStyle w:val="000000000000"/>
              <w:rPr>
                <w:rFonts w:asciiTheme="majorHAnsi" w:eastAsia="Arial" w:hAnsiTheme="majorHAnsi" w:cs="Times New Roman"/>
              </w:rPr>
            </w:pPr>
          </w:p>
        </w:tc>
      </w:tr>
      <w:tr w:rsidR="00DC1F27" w:rsidRPr="009346F5" w:rsidTr="00FC6E93">
        <w:trPr>
          <w:cnfStyle w:val="000000100000"/>
          <w:trHeight w:val="378"/>
        </w:trPr>
        <w:tc>
          <w:tcPr>
            <w:cnfStyle w:val="001000000000"/>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F73E8F">
            <w:pPr>
              <w:rPr>
                <w:rFonts w:asciiTheme="majorHAnsi" w:eastAsia="Arial" w:hAnsiTheme="majorHAnsi" w:cs="Times New Roman"/>
                <w:b w:val="0"/>
              </w:rPr>
            </w:pPr>
            <w:r w:rsidRPr="002A3DB9">
              <w:rPr>
                <w:rFonts w:asciiTheme="majorHAnsi" w:eastAsia="Arial" w:hAnsiTheme="majorHAnsi" w:cs="Times New Roman"/>
                <w:b w:val="0"/>
              </w:rPr>
              <w:t>EU 2020</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F73E8F">
            <w:pPr>
              <w:cnfStyle w:val="000000100000"/>
              <w:rPr>
                <w:rFonts w:asciiTheme="majorHAnsi" w:eastAsia="Arial" w:hAnsiTheme="majorHAnsi" w:cs="Times New Roman"/>
              </w:rPr>
            </w:pPr>
            <w:r w:rsidRPr="00CB7650">
              <w:rPr>
                <w:rFonts w:asciiTheme="majorHAnsi" w:eastAsia="Arial" w:hAnsiTheme="majorHAnsi" w:cs="Times New Roman"/>
              </w:rPr>
              <w:t>EUROPE 2020</w:t>
            </w:r>
            <w:r>
              <w:rPr>
                <w:rFonts w:asciiTheme="majorHAnsi" w:eastAsia="Arial" w:hAnsiTheme="majorHAnsi" w:cs="Times New Roman"/>
              </w:rPr>
              <w:t xml:space="preserve">: </w:t>
            </w:r>
            <w:r w:rsidRPr="00CB7650">
              <w:rPr>
                <w:rFonts w:asciiTheme="majorHAnsi" w:eastAsia="Arial" w:hAnsiTheme="majorHAnsi" w:cs="Times New Roman"/>
              </w:rPr>
              <w:t>A strategy for smart, sustainable and inclusive growth</w:t>
            </w:r>
          </w:p>
        </w:tc>
      </w:tr>
      <w:tr w:rsidR="00DC1F27" w:rsidRPr="009346F5" w:rsidTr="00131CB5">
        <w:tc>
          <w:tcPr>
            <w:cnfStyle w:val="001000000000"/>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F73E8F">
            <w:pPr>
              <w:ind w:right="113"/>
              <w:rPr>
                <w:rFonts w:asciiTheme="majorHAnsi" w:eastAsia="Times New Roman" w:hAnsiTheme="majorHAnsi" w:cs="Times New Roman"/>
                <w:b w:val="0"/>
              </w:rPr>
            </w:pPr>
            <w:r w:rsidRPr="002A3DB9">
              <w:rPr>
                <w:rFonts w:asciiTheme="majorHAnsi" w:eastAsia="Times New Roman" w:hAnsiTheme="majorHAnsi" w:cs="Times New Roman"/>
                <w:b w:val="0"/>
              </w:rPr>
              <w:t>EUR</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F73E8F">
            <w:pPr>
              <w:cnfStyle w:val="000000000000"/>
              <w:rPr>
                <w:rFonts w:asciiTheme="majorHAnsi" w:hAnsiTheme="majorHAnsi"/>
              </w:rPr>
            </w:pPr>
            <w:r w:rsidRPr="002A3DB9">
              <w:rPr>
                <w:rFonts w:asciiTheme="majorHAnsi" w:hAnsiTheme="majorHAnsi"/>
              </w:rPr>
              <w:t>The euro</w:t>
            </w:r>
          </w:p>
          <w:p w:rsidR="00DC1F27" w:rsidRPr="002A3DB9" w:rsidRDefault="00DC1F27" w:rsidP="00F73E8F">
            <w:pPr>
              <w:cnfStyle w:val="000000000000"/>
              <w:rPr>
                <w:rFonts w:asciiTheme="majorHAnsi" w:hAnsiTheme="majorHAnsi"/>
              </w:rPr>
            </w:pPr>
          </w:p>
        </w:tc>
      </w:tr>
      <w:tr w:rsidR="00DC1F27" w:rsidRPr="009346F5" w:rsidTr="00131CB5">
        <w:trPr>
          <w:cnfStyle w:val="000000100000"/>
        </w:trPr>
        <w:tc>
          <w:tcPr>
            <w:cnfStyle w:val="001000000000"/>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F73E8F">
            <w:pPr>
              <w:ind w:right="113"/>
              <w:rPr>
                <w:rFonts w:asciiTheme="majorHAnsi" w:eastAsia="Times New Roman" w:hAnsiTheme="majorHAnsi" w:cs="Times New Roman"/>
                <w:b w:val="0"/>
                <w:lang w:val="en-US"/>
              </w:rPr>
            </w:pPr>
            <w:r w:rsidRPr="002A3DB9">
              <w:rPr>
                <w:rFonts w:asciiTheme="majorHAnsi" w:eastAsia="Times New Roman" w:hAnsiTheme="majorHAnsi" w:cs="Times New Roman"/>
                <w:b w:val="0"/>
                <w:lang w:val="en-US"/>
              </w:rPr>
              <w:t>EUSBSR</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F73E8F">
            <w:pPr>
              <w:cnfStyle w:val="000000100000"/>
              <w:rPr>
                <w:rFonts w:asciiTheme="majorHAnsi" w:hAnsiTheme="majorHAnsi"/>
              </w:rPr>
            </w:pPr>
            <w:r w:rsidRPr="002A3DB9">
              <w:rPr>
                <w:rFonts w:asciiTheme="majorHAnsi" w:hAnsiTheme="majorHAnsi"/>
              </w:rPr>
              <w:t>The European Union Strategy for the Baltic Sea Region</w:t>
            </w:r>
          </w:p>
          <w:p w:rsidR="00DC1F27" w:rsidRPr="002A3DB9" w:rsidRDefault="00DC1F27" w:rsidP="00F73E8F">
            <w:pPr>
              <w:cnfStyle w:val="000000100000"/>
              <w:rPr>
                <w:rFonts w:asciiTheme="majorHAnsi" w:hAnsiTheme="majorHAnsi"/>
              </w:rPr>
            </w:pPr>
          </w:p>
        </w:tc>
      </w:tr>
      <w:tr w:rsidR="00DC1F27" w:rsidRPr="009346F5" w:rsidTr="00131CB5">
        <w:tc>
          <w:tcPr>
            <w:cnfStyle w:val="001000000000"/>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F73E8F">
            <w:pPr>
              <w:rPr>
                <w:rFonts w:asciiTheme="majorHAnsi" w:eastAsia="Arial" w:hAnsiTheme="majorHAnsi" w:cs="Times New Roman"/>
                <w:b w:val="0"/>
              </w:rPr>
            </w:pPr>
            <w:r w:rsidRPr="002A3DB9">
              <w:rPr>
                <w:rFonts w:asciiTheme="majorHAnsi" w:eastAsia="Arial" w:hAnsiTheme="majorHAnsi" w:cs="Times New Roman"/>
                <w:b w:val="0"/>
              </w:rPr>
              <w:t>Ex-ante Guidelines</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EC0CE7">
            <w:pPr>
              <w:pStyle w:val="Default"/>
              <w:jc w:val="both"/>
              <w:cnfStyle w:val="000000000000"/>
              <w:rPr>
                <w:rFonts w:asciiTheme="majorHAnsi" w:hAnsiTheme="majorHAnsi"/>
                <w:color w:val="000000" w:themeColor="text1"/>
                <w:sz w:val="20"/>
                <w:szCs w:val="20"/>
              </w:rPr>
            </w:pPr>
            <w:r w:rsidRPr="002A3DB9">
              <w:rPr>
                <w:rFonts w:asciiTheme="majorHAnsi" w:hAnsiTheme="majorHAnsi"/>
                <w:color w:val="000000" w:themeColor="text1"/>
                <w:sz w:val="20"/>
                <w:szCs w:val="20"/>
              </w:rPr>
              <w:t xml:space="preserve">The Programming Period 2014-2020 Monitoring and Evaluation of European Cohesion Policy (European Regional Development Fund, European Social Fund, Cohesion Fund) </w:t>
            </w:r>
            <w:r w:rsidRPr="002A3DB9">
              <w:rPr>
                <w:rFonts w:asciiTheme="majorHAnsi" w:hAnsiTheme="majorHAnsi"/>
                <w:bCs/>
                <w:color w:val="000000" w:themeColor="text1"/>
                <w:sz w:val="20"/>
                <w:szCs w:val="20"/>
              </w:rPr>
              <w:t>guidance document on ex-ante evaluation</w:t>
            </w:r>
          </w:p>
          <w:p w:rsidR="00DC1F27" w:rsidRPr="002A3DB9" w:rsidRDefault="00DC1F27" w:rsidP="00F73E8F">
            <w:pPr>
              <w:cnfStyle w:val="000000000000"/>
              <w:rPr>
                <w:rFonts w:asciiTheme="majorHAnsi" w:eastAsia="Arial" w:hAnsiTheme="majorHAnsi" w:cs="Times New Roman"/>
              </w:rPr>
            </w:pPr>
          </w:p>
        </w:tc>
      </w:tr>
      <w:tr w:rsidR="00DC1F27" w:rsidRPr="009346F5" w:rsidTr="00131CB5">
        <w:trPr>
          <w:cnfStyle w:val="000000100000"/>
        </w:trPr>
        <w:tc>
          <w:tcPr>
            <w:cnfStyle w:val="001000000000"/>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F73E8F">
            <w:pPr>
              <w:ind w:right="113"/>
              <w:rPr>
                <w:rFonts w:asciiTheme="majorHAnsi" w:eastAsia="Times New Roman" w:hAnsiTheme="majorHAnsi" w:cs="Times New Roman"/>
                <w:b w:val="0"/>
              </w:rPr>
            </w:pPr>
            <w:r w:rsidRPr="002A3DB9">
              <w:rPr>
                <w:rFonts w:asciiTheme="majorHAnsi" w:eastAsia="Times New Roman" w:hAnsiTheme="majorHAnsi" w:cs="Times New Roman"/>
                <w:b w:val="0"/>
              </w:rPr>
              <w:t>FLC</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F73E8F">
            <w:pPr>
              <w:cnfStyle w:val="000000100000"/>
              <w:rPr>
                <w:rFonts w:asciiTheme="majorHAnsi" w:eastAsia="Arial" w:hAnsiTheme="majorHAnsi" w:cs="Times New Roman"/>
                <w:noProof/>
              </w:rPr>
            </w:pPr>
            <w:r w:rsidRPr="002A3DB9">
              <w:rPr>
                <w:rFonts w:asciiTheme="majorHAnsi" w:eastAsia="Arial" w:hAnsiTheme="majorHAnsi" w:cs="Times New Roman"/>
                <w:noProof/>
              </w:rPr>
              <w:t>First Level Controllers</w:t>
            </w:r>
          </w:p>
          <w:p w:rsidR="00DC1F27" w:rsidRPr="002A3DB9" w:rsidRDefault="00DC1F27" w:rsidP="00F73E8F">
            <w:pPr>
              <w:cnfStyle w:val="000000100000"/>
              <w:rPr>
                <w:rFonts w:asciiTheme="majorHAnsi" w:hAnsiTheme="majorHAnsi"/>
              </w:rPr>
            </w:pPr>
          </w:p>
        </w:tc>
      </w:tr>
      <w:tr w:rsidR="00DC1F27" w:rsidRPr="009346F5" w:rsidTr="00131CB5">
        <w:tc>
          <w:tcPr>
            <w:cnfStyle w:val="001000000000"/>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F73E8F">
            <w:pPr>
              <w:ind w:right="113"/>
              <w:rPr>
                <w:rFonts w:asciiTheme="majorHAnsi" w:hAnsiTheme="majorHAnsi"/>
                <w:b w:val="0"/>
              </w:rPr>
            </w:pPr>
            <w:r w:rsidRPr="002A3DB9">
              <w:rPr>
                <w:rFonts w:asciiTheme="majorHAnsi" w:hAnsiTheme="majorHAnsi"/>
                <w:b w:val="0"/>
              </w:rPr>
              <w:t>ID</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F73E8F">
            <w:pPr>
              <w:cnfStyle w:val="000000000000"/>
              <w:rPr>
                <w:rFonts w:asciiTheme="majorHAnsi" w:hAnsiTheme="majorHAnsi"/>
              </w:rPr>
            </w:pPr>
            <w:r w:rsidRPr="002A3DB9">
              <w:rPr>
                <w:rFonts w:asciiTheme="majorHAnsi" w:hAnsiTheme="majorHAnsi"/>
              </w:rPr>
              <w:t>Identification number</w:t>
            </w:r>
          </w:p>
          <w:p w:rsidR="00DC1F27" w:rsidRPr="002A3DB9" w:rsidRDefault="00DC1F27" w:rsidP="00F73E8F">
            <w:pPr>
              <w:cnfStyle w:val="000000000000"/>
              <w:rPr>
                <w:rFonts w:asciiTheme="majorHAnsi" w:hAnsiTheme="majorHAnsi"/>
              </w:rPr>
            </w:pPr>
          </w:p>
        </w:tc>
      </w:tr>
      <w:tr w:rsidR="00DC1F27" w:rsidRPr="009346F5" w:rsidTr="00131CB5">
        <w:trPr>
          <w:cnfStyle w:val="000000100000"/>
        </w:trPr>
        <w:tc>
          <w:tcPr>
            <w:cnfStyle w:val="001000000000"/>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F73E8F">
            <w:pPr>
              <w:rPr>
                <w:rFonts w:asciiTheme="majorHAnsi" w:eastAsia="Arial" w:hAnsiTheme="majorHAnsi" w:cs="Times New Roman"/>
                <w:b w:val="0"/>
              </w:rPr>
            </w:pPr>
            <w:r w:rsidRPr="002A3DB9">
              <w:rPr>
                <w:rFonts w:asciiTheme="majorHAnsi" w:eastAsia="Arial" w:hAnsiTheme="majorHAnsi" w:cs="Times New Roman"/>
                <w:b w:val="0"/>
              </w:rPr>
              <w:t>IP</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F73E8F">
            <w:pPr>
              <w:cnfStyle w:val="000000100000"/>
              <w:rPr>
                <w:rFonts w:asciiTheme="majorHAnsi" w:eastAsia="Arial" w:hAnsiTheme="majorHAnsi" w:cs="Times New Roman"/>
              </w:rPr>
            </w:pPr>
            <w:r w:rsidRPr="002A3DB9">
              <w:rPr>
                <w:rFonts w:asciiTheme="majorHAnsi" w:eastAsia="Arial" w:hAnsiTheme="majorHAnsi" w:cs="Times New Roman"/>
              </w:rPr>
              <w:t>Investment priority</w:t>
            </w:r>
          </w:p>
          <w:p w:rsidR="00DC1F27" w:rsidRPr="002A3DB9" w:rsidRDefault="00DC1F27" w:rsidP="00F73E8F">
            <w:pPr>
              <w:cnfStyle w:val="000000100000"/>
              <w:rPr>
                <w:rFonts w:asciiTheme="majorHAnsi" w:eastAsia="Arial" w:hAnsiTheme="majorHAnsi" w:cs="Times New Roman"/>
              </w:rPr>
            </w:pPr>
          </w:p>
        </w:tc>
      </w:tr>
      <w:tr w:rsidR="00DC1F27" w:rsidRPr="009346F5" w:rsidTr="00131CB5">
        <w:tc>
          <w:tcPr>
            <w:cnfStyle w:val="001000000000"/>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F73E8F">
            <w:pPr>
              <w:rPr>
                <w:rFonts w:asciiTheme="majorHAnsi" w:eastAsia="Arial" w:hAnsiTheme="majorHAnsi" w:cs="Times New Roman"/>
                <w:b w:val="0"/>
              </w:rPr>
            </w:pPr>
            <w:r w:rsidRPr="002A3DB9">
              <w:rPr>
                <w:rFonts w:asciiTheme="majorHAnsi" w:eastAsia="Arial" w:hAnsiTheme="majorHAnsi" w:cs="Times New Roman"/>
                <w:b w:val="0"/>
              </w:rPr>
              <w:t>JPC</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F73E8F">
            <w:pPr>
              <w:cnfStyle w:val="000000000000"/>
              <w:rPr>
                <w:rFonts w:asciiTheme="majorHAnsi" w:eastAsia="Arial" w:hAnsiTheme="majorHAnsi" w:cs="Times New Roman"/>
              </w:rPr>
            </w:pPr>
            <w:r w:rsidRPr="002A3DB9">
              <w:rPr>
                <w:rFonts w:asciiTheme="majorHAnsi" w:eastAsia="Arial" w:hAnsiTheme="majorHAnsi" w:cs="Times New Roman"/>
              </w:rPr>
              <w:t>Joint Programming Committee</w:t>
            </w:r>
          </w:p>
          <w:p w:rsidR="00DC1F27" w:rsidRPr="002A3DB9" w:rsidRDefault="00DC1F27" w:rsidP="00F73E8F">
            <w:pPr>
              <w:cnfStyle w:val="000000000000"/>
              <w:rPr>
                <w:rFonts w:asciiTheme="majorHAnsi" w:eastAsia="Arial" w:hAnsiTheme="majorHAnsi" w:cs="Times New Roman"/>
              </w:rPr>
            </w:pPr>
          </w:p>
        </w:tc>
      </w:tr>
      <w:tr w:rsidR="00DC1F27" w:rsidRPr="009346F5" w:rsidTr="00131CB5">
        <w:trPr>
          <w:cnfStyle w:val="000000100000"/>
        </w:trPr>
        <w:tc>
          <w:tcPr>
            <w:cnfStyle w:val="001000000000"/>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Default="00DC1F27" w:rsidP="00F73E8F">
            <w:pPr>
              <w:ind w:right="113"/>
              <w:rPr>
                <w:rFonts w:asciiTheme="majorHAnsi" w:eastAsia="Times New Roman" w:hAnsiTheme="majorHAnsi" w:cs="Times New Roman"/>
                <w:b w:val="0"/>
              </w:rPr>
            </w:pPr>
            <w:r w:rsidRPr="002A3DB9">
              <w:rPr>
                <w:rFonts w:asciiTheme="majorHAnsi" w:eastAsia="Times New Roman" w:hAnsiTheme="majorHAnsi" w:cs="Times New Roman"/>
                <w:b w:val="0"/>
              </w:rPr>
              <w:t>JS</w:t>
            </w:r>
          </w:p>
          <w:p w:rsidR="00DC1F27" w:rsidRPr="002A3DB9" w:rsidRDefault="00DC1F27" w:rsidP="00F73E8F">
            <w:pPr>
              <w:ind w:right="113"/>
              <w:rPr>
                <w:rFonts w:asciiTheme="majorHAnsi" w:eastAsia="Times New Roman" w:hAnsiTheme="majorHAnsi" w:cs="Times New Roman"/>
                <w:b w:val="0"/>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F73E8F">
            <w:pPr>
              <w:cnfStyle w:val="000000100000"/>
              <w:rPr>
                <w:rFonts w:asciiTheme="majorHAnsi" w:eastAsia="Arial" w:hAnsiTheme="majorHAnsi" w:cs="Times New Roman"/>
              </w:rPr>
            </w:pPr>
            <w:r w:rsidRPr="002A3DB9">
              <w:rPr>
                <w:rFonts w:asciiTheme="majorHAnsi" w:eastAsia="Arial" w:hAnsiTheme="majorHAnsi" w:cs="Times New Roman"/>
              </w:rPr>
              <w:t>Joint Secretariat</w:t>
            </w:r>
          </w:p>
        </w:tc>
      </w:tr>
      <w:tr w:rsidR="00DC1F27" w:rsidRPr="009346F5" w:rsidTr="00131CB5">
        <w:tc>
          <w:tcPr>
            <w:cnfStyle w:val="001000000000"/>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F73E8F">
            <w:pPr>
              <w:ind w:right="113"/>
              <w:rPr>
                <w:rFonts w:asciiTheme="majorHAnsi" w:eastAsia="Times New Roman" w:hAnsiTheme="majorHAnsi" w:cs="Times New Roman"/>
                <w:b w:val="0"/>
              </w:rPr>
            </w:pPr>
            <w:r w:rsidRPr="002A3DB9">
              <w:rPr>
                <w:rFonts w:asciiTheme="majorHAnsi" w:eastAsia="Times New Roman" w:hAnsiTheme="majorHAnsi" w:cs="Times New Roman"/>
                <w:b w:val="0"/>
              </w:rPr>
              <w:lastRenderedPageBreak/>
              <w:t>MA</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F73E8F">
            <w:pPr>
              <w:cnfStyle w:val="000000000000"/>
              <w:rPr>
                <w:rFonts w:asciiTheme="majorHAnsi" w:eastAsia="Arial" w:hAnsiTheme="majorHAnsi" w:cs="Times New Roman"/>
                <w:noProof/>
              </w:rPr>
            </w:pPr>
            <w:r w:rsidRPr="002A3DB9">
              <w:rPr>
                <w:rFonts w:asciiTheme="majorHAnsi" w:eastAsia="Arial" w:hAnsiTheme="majorHAnsi" w:cs="Times New Roman"/>
                <w:noProof/>
              </w:rPr>
              <w:t>Managing Authority</w:t>
            </w:r>
          </w:p>
          <w:p w:rsidR="00DC1F27" w:rsidRPr="002A3DB9" w:rsidRDefault="00DC1F27" w:rsidP="00F73E8F">
            <w:pPr>
              <w:cnfStyle w:val="000000000000"/>
              <w:rPr>
                <w:rFonts w:asciiTheme="majorHAnsi" w:hAnsiTheme="majorHAnsi"/>
              </w:rPr>
            </w:pPr>
          </w:p>
        </w:tc>
      </w:tr>
      <w:tr w:rsidR="00DC1F27" w:rsidRPr="009346F5" w:rsidTr="00131CB5">
        <w:trPr>
          <w:cnfStyle w:val="000000100000"/>
        </w:trPr>
        <w:tc>
          <w:tcPr>
            <w:cnfStyle w:val="001000000000"/>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F73E8F">
            <w:pPr>
              <w:ind w:right="113"/>
              <w:rPr>
                <w:rFonts w:asciiTheme="majorHAnsi" w:eastAsia="Times New Roman" w:hAnsiTheme="majorHAnsi" w:cs="Times New Roman"/>
                <w:b w:val="0"/>
              </w:rPr>
            </w:pPr>
            <w:r w:rsidRPr="002A3DB9">
              <w:rPr>
                <w:rFonts w:asciiTheme="majorHAnsi" w:eastAsia="Times New Roman" w:hAnsiTheme="majorHAnsi" w:cs="Times New Roman"/>
                <w:b w:val="0"/>
              </w:rPr>
              <w:t>MC</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B9518F">
            <w:pPr>
              <w:jc w:val="both"/>
              <w:cnfStyle w:val="000000100000"/>
              <w:rPr>
                <w:rFonts w:asciiTheme="majorHAnsi" w:eastAsia="Arial" w:hAnsiTheme="majorHAnsi" w:cs="Times New Roman"/>
                <w:noProof/>
              </w:rPr>
            </w:pPr>
            <w:r w:rsidRPr="002A3DB9">
              <w:rPr>
                <w:rFonts w:asciiTheme="majorHAnsi" w:eastAsia="Arial" w:hAnsiTheme="majorHAnsi" w:cs="Times New Roman"/>
                <w:noProof/>
              </w:rPr>
              <w:t>Monitoring Committee</w:t>
            </w:r>
          </w:p>
          <w:p w:rsidR="00DC1F27" w:rsidRPr="002A3DB9" w:rsidRDefault="00DC1F27" w:rsidP="00B9518F">
            <w:pPr>
              <w:jc w:val="both"/>
              <w:cnfStyle w:val="000000100000"/>
              <w:rPr>
                <w:rFonts w:asciiTheme="majorHAnsi" w:hAnsiTheme="majorHAnsi"/>
              </w:rPr>
            </w:pPr>
          </w:p>
        </w:tc>
      </w:tr>
      <w:tr w:rsidR="00DC1F27" w:rsidRPr="009346F5" w:rsidTr="00131CB5">
        <w:tc>
          <w:tcPr>
            <w:cnfStyle w:val="001000000000"/>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F73E8F">
            <w:pPr>
              <w:ind w:right="113"/>
              <w:rPr>
                <w:rFonts w:asciiTheme="majorHAnsi" w:eastAsia="Times New Roman" w:hAnsiTheme="majorHAnsi" w:cs="Times New Roman"/>
                <w:b w:val="0"/>
              </w:rPr>
            </w:pPr>
            <w:r w:rsidRPr="002A3DB9">
              <w:rPr>
                <w:rFonts w:asciiTheme="majorHAnsi" w:eastAsia="Arial" w:hAnsiTheme="majorHAnsi" w:cs="Arial"/>
                <w:b w:val="0"/>
                <w:bCs w:val="0"/>
              </w:rPr>
              <w:t>MEPRD</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B9518F">
            <w:pPr>
              <w:jc w:val="both"/>
              <w:cnfStyle w:val="000000000000"/>
              <w:rPr>
                <w:rFonts w:asciiTheme="majorHAnsi" w:hAnsiTheme="majorHAnsi"/>
              </w:rPr>
            </w:pPr>
            <w:r w:rsidRPr="002A3DB9">
              <w:rPr>
                <w:rFonts w:asciiTheme="majorHAnsi" w:hAnsiTheme="majorHAnsi"/>
              </w:rPr>
              <w:t>The Ministry of Environmental Protection and Regional Development of the Republic of Latvia</w:t>
            </w:r>
          </w:p>
          <w:p w:rsidR="00DC1F27" w:rsidRPr="002A3DB9" w:rsidRDefault="00DC1F27" w:rsidP="00B9518F">
            <w:pPr>
              <w:jc w:val="both"/>
              <w:cnfStyle w:val="000000000000"/>
              <w:rPr>
                <w:rFonts w:asciiTheme="majorHAnsi" w:hAnsiTheme="majorHAnsi"/>
              </w:rPr>
            </w:pPr>
          </w:p>
        </w:tc>
      </w:tr>
      <w:tr w:rsidR="00DC1F27" w:rsidRPr="009346F5" w:rsidTr="00131CB5">
        <w:trPr>
          <w:cnfStyle w:val="000000100000"/>
        </w:trPr>
        <w:tc>
          <w:tcPr>
            <w:cnfStyle w:val="001000000000"/>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F73E8F">
            <w:pPr>
              <w:ind w:right="113"/>
              <w:rPr>
                <w:rFonts w:asciiTheme="majorHAnsi" w:eastAsia="Times New Roman" w:hAnsiTheme="majorHAnsi" w:cs="Times New Roman"/>
                <w:b w:val="0"/>
              </w:rPr>
            </w:pPr>
            <w:r w:rsidRPr="002A3DB9">
              <w:rPr>
                <w:rFonts w:asciiTheme="majorHAnsi" w:eastAsia="Times New Roman" w:hAnsiTheme="majorHAnsi" w:cs="Times New Roman"/>
                <w:b w:val="0"/>
              </w:rPr>
              <w:t>Midterm evaluation</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B9518F">
            <w:pPr>
              <w:jc w:val="both"/>
              <w:cnfStyle w:val="000000100000"/>
              <w:rPr>
                <w:rFonts w:asciiTheme="majorHAnsi" w:eastAsia="Arial" w:hAnsiTheme="majorHAnsi" w:cs="Times New Roman"/>
                <w:noProof/>
              </w:rPr>
            </w:pPr>
            <w:r w:rsidRPr="002A3DB9">
              <w:rPr>
                <w:rFonts w:asciiTheme="majorHAnsi" w:eastAsia="Arial" w:hAnsiTheme="majorHAnsi" w:cs="Times New Roman"/>
                <w:noProof/>
              </w:rPr>
              <w:t>Midterm evaluation of the Latvia–Lithuania Cross-border Cooperation Programme under European Territorial Cooperation Objective for 2007–2013</w:t>
            </w:r>
          </w:p>
          <w:p w:rsidR="00DC1F27" w:rsidRPr="002A3DB9" w:rsidRDefault="00DC1F27" w:rsidP="00F73E8F">
            <w:pPr>
              <w:cnfStyle w:val="000000100000"/>
              <w:rPr>
                <w:rFonts w:asciiTheme="majorHAnsi" w:eastAsia="Arial" w:hAnsiTheme="majorHAnsi" w:cs="Times New Roman"/>
                <w:noProof/>
              </w:rPr>
            </w:pPr>
          </w:p>
        </w:tc>
      </w:tr>
      <w:tr w:rsidR="00DC1F27" w:rsidRPr="009346F5" w:rsidTr="00131CB5">
        <w:tc>
          <w:tcPr>
            <w:cnfStyle w:val="001000000000"/>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F73E8F">
            <w:pPr>
              <w:rPr>
                <w:rFonts w:asciiTheme="majorHAnsi" w:eastAsia="Arial" w:hAnsiTheme="majorHAnsi" w:cs="Times New Roman"/>
                <w:b w:val="0"/>
              </w:rPr>
            </w:pPr>
            <w:r w:rsidRPr="002A3DB9">
              <w:rPr>
                <w:rFonts w:asciiTheme="majorHAnsi" w:eastAsia="Arial" w:hAnsiTheme="majorHAnsi" w:cs="Times New Roman"/>
                <w:b w:val="0"/>
              </w:rPr>
              <w:t>MS</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F73E8F">
            <w:pPr>
              <w:cnfStyle w:val="000000000000"/>
              <w:rPr>
                <w:rFonts w:asciiTheme="majorHAnsi" w:eastAsia="Arial" w:hAnsiTheme="majorHAnsi" w:cs="Times New Roman"/>
              </w:rPr>
            </w:pPr>
            <w:r w:rsidRPr="002A3DB9">
              <w:rPr>
                <w:rFonts w:asciiTheme="majorHAnsi" w:eastAsia="Arial" w:hAnsiTheme="majorHAnsi" w:cs="Times New Roman"/>
              </w:rPr>
              <w:t>Member States</w:t>
            </w:r>
          </w:p>
          <w:p w:rsidR="00DC1F27" w:rsidRPr="002A3DB9" w:rsidRDefault="00DC1F27" w:rsidP="00F73E8F">
            <w:pPr>
              <w:cnfStyle w:val="000000000000"/>
              <w:rPr>
                <w:rFonts w:asciiTheme="majorHAnsi" w:eastAsia="Arial" w:hAnsiTheme="majorHAnsi" w:cs="Times New Roman"/>
              </w:rPr>
            </w:pPr>
          </w:p>
        </w:tc>
      </w:tr>
      <w:tr w:rsidR="00DC1F27" w:rsidRPr="009346F5" w:rsidTr="00131CB5">
        <w:trPr>
          <w:cnfStyle w:val="000000100000"/>
        </w:trPr>
        <w:tc>
          <w:tcPr>
            <w:cnfStyle w:val="001000000000"/>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F73E8F">
            <w:pPr>
              <w:ind w:right="113"/>
              <w:rPr>
                <w:rFonts w:asciiTheme="majorHAnsi" w:eastAsia="Times New Roman" w:hAnsiTheme="majorHAnsi" w:cs="Times New Roman"/>
                <w:b w:val="0"/>
              </w:rPr>
            </w:pPr>
            <w:r w:rsidRPr="002A3DB9">
              <w:rPr>
                <w:rFonts w:asciiTheme="majorHAnsi" w:eastAsia="Times New Roman" w:hAnsiTheme="majorHAnsi" w:cs="Times New Roman"/>
                <w:b w:val="0"/>
              </w:rPr>
              <w:t>NRP</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F73E8F">
            <w:pPr>
              <w:cnfStyle w:val="000000100000"/>
              <w:rPr>
                <w:rFonts w:asciiTheme="majorHAnsi" w:hAnsiTheme="majorHAnsi"/>
              </w:rPr>
            </w:pPr>
            <w:r w:rsidRPr="002A3DB9">
              <w:rPr>
                <w:rFonts w:asciiTheme="majorHAnsi" w:hAnsiTheme="majorHAnsi"/>
              </w:rPr>
              <w:t>National Reform Programme</w:t>
            </w:r>
          </w:p>
          <w:p w:rsidR="00DC1F27" w:rsidRPr="002A3DB9" w:rsidRDefault="00DC1F27" w:rsidP="00F73E8F">
            <w:pPr>
              <w:cnfStyle w:val="000000100000"/>
              <w:rPr>
                <w:rFonts w:asciiTheme="majorHAnsi" w:hAnsiTheme="majorHAnsi"/>
              </w:rPr>
            </w:pPr>
          </w:p>
        </w:tc>
      </w:tr>
      <w:tr w:rsidR="00DC1F27" w:rsidRPr="009346F5" w:rsidTr="00FC6E93">
        <w:trPr>
          <w:trHeight w:val="345"/>
        </w:trPr>
        <w:tc>
          <w:tcPr>
            <w:cnfStyle w:val="001000000000"/>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F73E8F">
            <w:pPr>
              <w:ind w:right="113"/>
              <w:rPr>
                <w:rFonts w:asciiTheme="majorHAnsi" w:eastAsia="Times New Roman" w:hAnsiTheme="majorHAnsi" w:cs="Times New Roman"/>
                <w:b w:val="0"/>
              </w:rPr>
            </w:pPr>
            <w:r>
              <w:rPr>
                <w:rFonts w:asciiTheme="majorHAnsi" w:eastAsia="Times New Roman" w:hAnsiTheme="majorHAnsi" w:cs="Times New Roman"/>
                <w:b w:val="0"/>
              </w:rPr>
              <w:t>PA</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F73E8F">
            <w:pPr>
              <w:cnfStyle w:val="000000000000"/>
              <w:rPr>
                <w:rFonts w:asciiTheme="majorHAnsi" w:hAnsiTheme="majorHAnsi"/>
              </w:rPr>
            </w:pPr>
            <w:r>
              <w:rPr>
                <w:rFonts w:asciiTheme="majorHAnsi" w:hAnsiTheme="majorHAnsi"/>
              </w:rPr>
              <w:t>Priority Axis</w:t>
            </w:r>
          </w:p>
        </w:tc>
      </w:tr>
      <w:tr w:rsidR="00DC1F27" w:rsidRPr="009346F5" w:rsidTr="00131CB5">
        <w:trPr>
          <w:cnfStyle w:val="000000100000"/>
        </w:trPr>
        <w:tc>
          <w:tcPr>
            <w:cnfStyle w:val="001000000000"/>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F73E8F">
            <w:pPr>
              <w:rPr>
                <w:rFonts w:asciiTheme="majorHAnsi" w:eastAsia="Arial" w:hAnsiTheme="majorHAnsi" w:cs="Times New Roman"/>
                <w:b w:val="0"/>
              </w:rPr>
            </w:pPr>
            <w:r w:rsidRPr="002A3DB9">
              <w:rPr>
                <w:rFonts w:asciiTheme="majorHAnsi" w:eastAsia="Arial" w:hAnsiTheme="majorHAnsi" w:cs="Times New Roman"/>
                <w:b w:val="0"/>
              </w:rPr>
              <w:t>Programme</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F73E8F">
            <w:pPr>
              <w:cnfStyle w:val="000000100000"/>
              <w:rPr>
                <w:rFonts w:asciiTheme="majorHAnsi" w:eastAsia="Arial" w:hAnsiTheme="majorHAnsi" w:cs="Times New Roman"/>
              </w:rPr>
            </w:pPr>
            <w:r w:rsidRPr="002A3DB9">
              <w:rPr>
                <w:rFonts w:asciiTheme="majorHAnsi" w:eastAsia="Arial" w:hAnsiTheme="majorHAnsi" w:cs="Times New Roman"/>
              </w:rPr>
              <w:t>The Latvia-Lithuania programme for 2014–2020</w:t>
            </w:r>
          </w:p>
          <w:p w:rsidR="00DC1F27" w:rsidRPr="002A3DB9" w:rsidRDefault="00DC1F27" w:rsidP="00F73E8F">
            <w:pPr>
              <w:cnfStyle w:val="000000100000"/>
              <w:rPr>
                <w:rFonts w:asciiTheme="majorHAnsi" w:eastAsia="Arial" w:hAnsiTheme="majorHAnsi" w:cs="Times New Roman"/>
              </w:rPr>
            </w:pPr>
          </w:p>
        </w:tc>
      </w:tr>
      <w:tr w:rsidR="00DC1F27" w:rsidRPr="009346F5" w:rsidTr="00131CB5">
        <w:tc>
          <w:tcPr>
            <w:cnfStyle w:val="001000000000"/>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BC37E4" w:rsidP="00F73E8F">
            <w:pPr>
              <w:rPr>
                <w:rFonts w:asciiTheme="majorHAnsi" w:eastAsia="Arial" w:hAnsiTheme="majorHAnsi" w:cs="Times New Roman"/>
                <w:b w:val="0"/>
              </w:rPr>
            </w:pPr>
            <w:r>
              <w:rPr>
                <w:rFonts w:asciiTheme="majorHAnsi" w:eastAsia="Arial" w:hAnsiTheme="majorHAnsi" w:cs="Times New Roman"/>
                <w:b w:val="0"/>
              </w:rPr>
              <w:t>Programme M</w:t>
            </w:r>
            <w:r w:rsidR="00DC1F27" w:rsidRPr="002A3DB9">
              <w:rPr>
                <w:rFonts w:asciiTheme="majorHAnsi" w:eastAsia="Arial" w:hAnsiTheme="majorHAnsi" w:cs="Times New Roman"/>
                <w:b w:val="0"/>
              </w:rPr>
              <w:t>anual</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2A3DB9">
            <w:pPr>
              <w:jc w:val="both"/>
              <w:cnfStyle w:val="000000000000"/>
              <w:rPr>
                <w:rFonts w:asciiTheme="majorHAnsi" w:eastAsia="Arial" w:hAnsiTheme="majorHAnsi" w:cs="Times New Roman"/>
              </w:rPr>
            </w:pPr>
            <w:r w:rsidRPr="002A3DB9">
              <w:rPr>
                <w:rFonts w:asciiTheme="majorHAnsi" w:eastAsia="Arial" w:hAnsiTheme="majorHAnsi" w:cs="Times New Roman"/>
              </w:rPr>
              <w:t xml:space="preserve">The Programme </w:t>
            </w:r>
            <w:r>
              <w:rPr>
                <w:rFonts w:asciiTheme="majorHAnsi" w:eastAsia="Arial" w:hAnsiTheme="majorHAnsi" w:cs="Times New Roman"/>
              </w:rPr>
              <w:t>M</w:t>
            </w:r>
            <w:r w:rsidRPr="002A3DB9">
              <w:rPr>
                <w:rFonts w:asciiTheme="majorHAnsi" w:eastAsia="Arial" w:hAnsiTheme="majorHAnsi" w:cs="Times New Roman"/>
              </w:rPr>
              <w:t xml:space="preserve">anual of the Latvia-Lithuania programme for 2014–2020. The </w:t>
            </w:r>
            <w:r>
              <w:rPr>
                <w:rFonts w:asciiTheme="majorHAnsi" w:eastAsia="Arial" w:hAnsiTheme="majorHAnsi" w:cs="Times New Roman"/>
              </w:rPr>
              <w:t>M</w:t>
            </w:r>
            <w:r w:rsidRPr="002A3DB9">
              <w:rPr>
                <w:rFonts w:asciiTheme="majorHAnsi" w:eastAsia="Arial" w:hAnsiTheme="majorHAnsi" w:cs="Times New Roman"/>
              </w:rPr>
              <w:t xml:space="preserve">anual is part of the application pack, which is published on the official Programme’s website. The Programme </w:t>
            </w:r>
            <w:r>
              <w:rPr>
                <w:rFonts w:asciiTheme="majorHAnsi" w:eastAsia="Arial" w:hAnsiTheme="majorHAnsi" w:cs="Times New Roman"/>
              </w:rPr>
              <w:t>M</w:t>
            </w:r>
            <w:r w:rsidRPr="002A3DB9">
              <w:rPr>
                <w:rFonts w:asciiTheme="majorHAnsi" w:eastAsia="Arial" w:hAnsiTheme="majorHAnsi" w:cs="Times New Roman"/>
              </w:rPr>
              <w:t xml:space="preserve">anual of the Latvia-Lithuania programme for 2014–2020 is not available yet, but will </w:t>
            </w:r>
            <w:r>
              <w:rPr>
                <w:rFonts w:asciiTheme="majorHAnsi" w:eastAsia="Arial" w:hAnsiTheme="majorHAnsi" w:cs="Times New Roman"/>
              </w:rPr>
              <w:t>be available at the later stage</w:t>
            </w:r>
          </w:p>
          <w:p w:rsidR="00DC1F27" w:rsidRPr="002A3DB9" w:rsidRDefault="00DC1F27" w:rsidP="007537B3">
            <w:pPr>
              <w:cnfStyle w:val="000000000000"/>
              <w:rPr>
                <w:rFonts w:asciiTheme="majorHAnsi" w:eastAsia="Arial" w:hAnsiTheme="majorHAnsi" w:cs="Times New Roman"/>
              </w:rPr>
            </w:pPr>
          </w:p>
        </w:tc>
      </w:tr>
      <w:tr w:rsidR="00DC1F27" w:rsidRPr="009346F5" w:rsidTr="00131CB5">
        <w:trPr>
          <w:cnfStyle w:val="000000100000"/>
        </w:trPr>
        <w:tc>
          <w:tcPr>
            <w:cnfStyle w:val="001000000000"/>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F73E8F">
            <w:pPr>
              <w:ind w:right="113"/>
              <w:rPr>
                <w:rFonts w:asciiTheme="majorHAnsi" w:eastAsia="Times New Roman" w:hAnsiTheme="majorHAnsi" w:cs="Times New Roman"/>
                <w:b w:val="0"/>
              </w:rPr>
            </w:pPr>
            <w:r w:rsidRPr="002A3DB9">
              <w:rPr>
                <w:rFonts w:asciiTheme="majorHAnsi" w:eastAsia="Times New Roman" w:hAnsiTheme="majorHAnsi" w:cs="Times New Roman"/>
                <w:b w:val="0"/>
              </w:rPr>
              <w:t>SEA</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F73E8F">
            <w:pPr>
              <w:cnfStyle w:val="000000100000"/>
              <w:rPr>
                <w:rFonts w:asciiTheme="majorHAnsi" w:hAnsiTheme="majorHAnsi"/>
              </w:rPr>
            </w:pPr>
            <w:r w:rsidRPr="002A3DB9">
              <w:rPr>
                <w:rFonts w:asciiTheme="majorHAnsi" w:hAnsiTheme="majorHAnsi"/>
              </w:rPr>
              <w:t>Strategic environment assessment</w:t>
            </w:r>
          </w:p>
          <w:p w:rsidR="00DC1F27" w:rsidRPr="002A3DB9" w:rsidRDefault="00DC1F27" w:rsidP="00F73E8F">
            <w:pPr>
              <w:cnfStyle w:val="000000100000"/>
              <w:rPr>
                <w:rFonts w:asciiTheme="majorHAnsi" w:eastAsia="Arial" w:hAnsiTheme="majorHAnsi" w:cs="Times New Roman"/>
                <w:noProof/>
              </w:rPr>
            </w:pPr>
          </w:p>
        </w:tc>
      </w:tr>
      <w:tr w:rsidR="00DC1F27" w:rsidRPr="009346F5" w:rsidTr="00131CB5">
        <w:tc>
          <w:tcPr>
            <w:cnfStyle w:val="001000000000"/>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F73E8F">
            <w:pPr>
              <w:rPr>
                <w:rFonts w:asciiTheme="majorHAnsi" w:eastAsia="Arial" w:hAnsiTheme="majorHAnsi" w:cs="Times New Roman"/>
                <w:b w:val="0"/>
              </w:rPr>
            </w:pPr>
            <w:r w:rsidRPr="002A3DB9">
              <w:rPr>
                <w:rFonts w:asciiTheme="majorHAnsi" w:eastAsia="Arial" w:hAnsiTheme="majorHAnsi" w:cs="Times New Roman"/>
                <w:b w:val="0"/>
              </w:rPr>
              <w:t>TO</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27" w:rsidRPr="002A3DB9" w:rsidRDefault="00DC1F27" w:rsidP="00F73E8F">
            <w:pPr>
              <w:cnfStyle w:val="000000000000"/>
              <w:rPr>
                <w:rFonts w:asciiTheme="majorHAnsi" w:eastAsia="Arial" w:hAnsiTheme="majorHAnsi" w:cs="Times New Roman"/>
              </w:rPr>
            </w:pPr>
            <w:r w:rsidRPr="002A3DB9">
              <w:rPr>
                <w:rFonts w:asciiTheme="majorHAnsi" w:eastAsia="Arial" w:hAnsiTheme="majorHAnsi" w:cs="Times New Roman"/>
              </w:rPr>
              <w:t>Thematic objective</w:t>
            </w:r>
          </w:p>
          <w:p w:rsidR="00DC1F27" w:rsidRPr="002A3DB9" w:rsidRDefault="00DC1F27" w:rsidP="00F73E8F">
            <w:pPr>
              <w:cnfStyle w:val="000000000000"/>
              <w:rPr>
                <w:rFonts w:asciiTheme="majorHAnsi" w:eastAsia="Arial" w:hAnsiTheme="majorHAnsi" w:cs="Times New Roman"/>
              </w:rPr>
            </w:pPr>
          </w:p>
        </w:tc>
      </w:tr>
    </w:tbl>
    <w:p w:rsidR="00097464" w:rsidRDefault="00EE738C" w:rsidP="00EE738C">
      <w:pPr>
        <w:pStyle w:val="Caption"/>
      </w:pPr>
      <w:proofErr w:type="gramStart"/>
      <w:r>
        <w:t xml:space="preserve">Table </w:t>
      </w:r>
      <w:r w:rsidR="004B1DED">
        <w:fldChar w:fldCharType="begin"/>
      </w:r>
      <w:r w:rsidR="00522F1A">
        <w:instrText xml:space="preserve"> SEQ Table \* ARABIC </w:instrText>
      </w:r>
      <w:r w:rsidR="004B1DED">
        <w:fldChar w:fldCharType="separate"/>
      </w:r>
      <w:r w:rsidR="007C1B3C">
        <w:rPr>
          <w:noProof/>
        </w:rPr>
        <w:t>1</w:t>
      </w:r>
      <w:r w:rsidR="004B1DED">
        <w:rPr>
          <w:noProof/>
        </w:rPr>
        <w:fldChar w:fldCharType="end"/>
      </w:r>
      <w:r>
        <w:t xml:space="preserve">: </w:t>
      </w:r>
      <w:r w:rsidRPr="00EE738C">
        <w:rPr>
          <w:b w:val="0"/>
          <w:color w:val="000000" w:themeColor="text1"/>
        </w:rPr>
        <w:t>Abbreviations and explanations.</w:t>
      </w:r>
      <w:proofErr w:type="gramEnd"/>
      <w:r w:rsidR="00172ED4" w:rsidRPr="009228A7">
        <w:br w:type="page"/>
      </w:r>
    </w:p>
    <w:p w:rsidR="00AF25EB" w:rsidRDefault="00155D1C" w:rsidP="00155D1C">
      <w:pPr>
        <w:pStyle w:val="Heading1NoSpacing"/>
        <w:ind w:left="284"/>
      </w:pPr>
      <w:bookmarkStart w:id="4" w:name="_Toc390942530"/>
      <w:r>
        <w:lastRenderedPageBreak/>
        <w:t>Executive summary</w:t>
      </w:r>
      <w:bookmarkEnd w:id="4"/>
    </w:p>
    <w:p w:rsidR="00155D1C" w:rsidRPr="00155D1C" w:rsidRDefault="00155D1C" w:rsidP="00155D1C">
      <w:pPr>
        <w:pStyle w:val="Heading2"/>
      </w:pPr>
    </w:p>
    <w:p w:rsidR="00AF25EB" w:rsidRDefault="00AF25EB" w:rsidP="006C47CA">
      <w:pPr>
        <w:pStyle w:val="BodyText"/>
        <w:spacing w:after="0"/>
        <w:jc w:val="both"/>
      </w:pPr>
      <w:r w:rsidRPr="005D2F37">
        <w:t xml:space="preserve">The ex-ante evaluation </w:t>
      </w:r>
      <w:r>
        <w:t xml:space="preserve">was carried out for the Latvia-Lithuania </w:t>
      </w:r>
      <w:r w:rsidRPr="00AF25EB">
        <w:t>Cross Border Cooperation</w:t>
      </w:r>
      <w:r>
        <w:t xml:space="preserve"> Programme </w:t>
      </w:r>
      <w:r w:rsidRPr="00E65821">
        <w:t>2014–2020</w:t>
      </w:r>
      <w:r w:rsidR="00497850">
        <w:t xml:space="preserve"> (the Programme)</w:t>
      </w:r>
      <w:r w:rsidR="00F97066">
        <w:t xml:space="preserve"> </w:t>
      </w:r>
      <w:r w:rsidRPr="005D2F37">
        <w:t>according to the Common Provision Regulation</w:t>
      </w:r>
      <w:r w:rsidRPr="005D2F37">
        <w:rPr>
          <w:rStyle w:val="FootnoteReference"/>
        </w:rPr>
        <w:footnoteReference w:id="1"/>
      </w:r>
      <w:r w:rsidRPr="005D2F37">
        <w:t xml:space="preserve"> (CPR), European territorial cooperation Regulation</w:t>
      </w:r>
      <w:r w:rsidRPr="005D2F37">
        <w:rPr>
          <w:rStyle w:val="FootnoteReference"/>
        </w:rPr>
        <w:footnoteReference w:id="2"/>
      </w:r>
      <w:r w:rsidRPr="005D2F37">
        <w:t xml:space="preserve"> (ETC Regulation), European Regional Development Fund Regulation</w:t>
      </w:r>
      <w:r>
        <w:rPr>
          <w:rStyle w:val="FootnoteReference"/>
        </w:rPr>
        <w:footnoteReference w:id="3"/>
      </w:r>
      <w:r w:rsidRPr="005D2F37">
        <w:t xml:space="preserve"> (ERDF Regulation), Ex-ante Guidelines</w:t>
      </w:r>
      <w:r w:rsidRPr="005D2F37">
        <w:rPr>
          <w:rStyle w:val="FootnoteReference"/>
        </w:rPr>
        <w:footnoteReference w:id="4"/>
      </w:r>
      <w:r w:rsidRPr="005D2F37">
        <w:t xml:space="preserve"> and </w:t>
      </w:r>
      <w:r>
        <w:t>other binding EU</w:t>
      </w:r>
      <w:r w:rsidRPr="005D2F37">
        <w:t xml:space="preserve"> documents (guidelines, working documents).</w:t>
      </w:r>
      <w:r>
        <w:t xml:space="preserve"> This ex-ante evaluation report is based on the Programme version drafted on </w:t>
      </w:r>
      <w:r w:rsidR="0043693E" w:rsidRPr="0043693E">
        <w:t>June</w:t>
      </w:r>
      <w:r w:rsidRPr="0043693E">
        <w:t xml:space="preserve"> </w:t>
      </w:r>
      <w:r w:rsidR="0043693E" w:rsidRPr="0043693E">
        <w:t>2</w:t>
      </w:r>
      <w:r w:rsidR="003313A9" w:rsidRPr="0043693E">
        <w:t>0</w:t>
      </w:r>
      <w:r w:rsidRPr="0043693E">
        <w:t>, 2014.</w:t>
      </w:r>
      <w:r>
        <w:t xml:space="preserve"> The ex-ante evaluation was carried out in collaboration with the Programme developers and by participation in the </w:t>
      </w:r>
      <w:r w:rsidRPr="003228A9">
        <w:t xml:space="preserve">Joint Programming Committee </w:t>
      </w:r>
      <w:r>
        <w:t xml:space="preserve">(JPC) meetings. </w:t>
      </w:r>
    </w:p>
    <w:p w:rsidR="00660E5A" w:rsidRDefault="00660E5A" w:rsidP="006C47CA">
      <w:pPr>
        <w:pStyle w:val="BodyText"/>
        <w:spacing w:after="0"/>
        <w:jc w:val="both"/>
      </w:pPr>
    </w:p>
    <w:p w:rsidR="00660E5A" w:rsidRDefault="00660E5A" w:rsidP="00660E5A">
      <w:pPr>
        <w:pStyle w:val="BodyText"/>
        <w:spacing w:after="0"/>
        <w:jc w:val="both"/>
      </w:pPr>
      <w:r w:rsidRPr="00031C6E">
        <w:t xml:space="preserve">According to Article </w:t>
      </w:r>
      <w:r>
        <w:t>55</w:t>
      </w:r>
      <w:r w:rsidRPr="00031C6E">
        <w:t xml:space="preserve"> of the </w:t>
      </w:r>
      <w:r>
        <w:t xml:space="preserve">CPR </w:t>
      </w:r>
      <w:r w:rsidRPr="00031C6E">
        <w:t xml:space="preserve">the ex-ante evaluation </w:t>
      </w:r>
      <w:r>
        <w:t>is</w:t>
      </w:r>
      <w:r w:rsidRPr="00031C6E">
        <w:t xml:space="preserve"> carried out to improve the quality of </w:t>
      </w:r>
      <w:r>
        <w:t>the design of each programme. It shall</w:t>
      </w:r>
      <w:r w:rsidRPr="00807248">
        <w:t xml:space="preserve"> ensure that the</w:t>
      </w:r>
      <w:r w:rsidRPr="0013234C">
        <w:t xml:space="preserve"> operational Programme clearly articulate their intervention logic and can demonstrate their contribution to the Europe 2020 strategy</w:t>
      </w:r>
      <w:r>
        <w:t xml:space="preserve"> (EU 2020).</w:t>
      </w:r>
    </w:p>
    <w:p w:rsidR="00660E5A" w:rsidRDefault="00660E5A" w:rsidP="00660E5A">
      <w:pPr>
        <w:pStyle w:val="BodyText"/>
        <w:spacing w:after="0"/>
        <w:jc w:val="both"/>
      </w:pPr>
    </w:p>
    <w:p w:rsidR="009839D5" w:rsidRDefault="006C47CA" w:rsidP="00694044">
      <w:pPr>
        <w:pStyle w:val="BodyText"/>
        <w:jc w:val="both"/>
      </w:pPr>
      <w:r>
        <w:t xml:space="preserve">This report is divided into </w:t>
      </w:r>
      <w:r w:rsidR="0007476D">
        <w:t>11</w:t>
      </w:r>
      <w:r w:rsidR="00471114">
        <w:t xml:space="preserve"> </w:t>
      </w:r>
      <w:r w:rsidR="004B6D36">
        <w:t>s</w:t>
      </w:r>
      <w:r>
        <w:t>ections</w:t>
      </w:r>
      <w:r w:rsidR="00522F1A">
        <w:t xml:space="preserve">, which cover </w:t>
      </w:r>
      <w:r w:rsidR="00694044">
        <w:t xml:space="preserve">the </w:t>
      </w:r>
      <w:r w:rsidR="00522F1A">
        <w:t xml:space="preserve">evaluation </w:t>
      </w:r>
      <w:r w:rsidR="00694044">
        <w:t>criteria defined by Article 55 of CPR and provide</w:t>
      </w:r>
      <w:r w:rsidR="009839D5">
        <w:t xml:space="preserve"> the analysis of the Programme in the following structure:</w:t>
      </w:r>
    </w:p>
    <w:p w:rsidR="00522F1A" w:rsidRDefault="00522F1A" w:rsidP="00701AEA">
      <w:pPr>
        <w:pStyle w:val="BodyText"/>
        <w:numPr>
          <w:ilvl w:val="0"/>
          <w:numId w:val="13"/>
        </w:numPr>
        <w:spacing w:after="0"/>
      </w:pPr>
      <w:r>
        <w:t>o</w:t>
      </w:r>
      <w:r w:rsidRPr="00522F1A">
        <w:t>bjectives of the report</w:t>
      </w:r>
      <w:r>
        <w:t>;</w:t>
      </w:r>
    </w:p>
    <w:p w:rsidR="009839D5" w:rsidRDefault="00694044" w:rsidP="00701AEA">
      <w:pPr>
        <w:pStyle w:val="BodyText"/>
        <w:numPr>
          <w:ilvl w:val="0"/>
          <w:numId w:val="13"/>
        </w:numPr>
        <w:spacing w:after="0"/>
      </w:pPr>
      <w:r>
        <w:t>t</w:t>
      </w:r>
      <w:r w:rsidR="009839D5" w:rsidRPr="009839D5">
        <w:t>he justification of the Programme’s selected thematic objectives</w:t>
      </w:r>
      <w:r w:rsidR="009839D5">
        <w:t>;</w:t>
      </w:r>
    </w:p>
    <w:p w:rsidR="00694044" w:rsidRPr="00694044" w:rsidRDefault="00694044" w:rsidP="00701AEA">
      <w:pPr>
        <w:pStyle w:val="ListParagraph"/>
        <w:numPr>
          <w:ilvl w:val="0"/>
          <w:numId w:val="13"/>
        </w:numPr>
        <w:spacing w:after="0"/>
      </w:pPr>
      <w:r>
        <w:t>t</w:t>
      </w:r>
      <w:r w:rsidRPr="00694044">
        <w:t>he relevance and clarity of the proposed Programme indicators</w:t>
      </w:r>
      <w:r>
        <w:t>;</w:t>
      </w:r>
    </w:p>
    <w:p w:rsidR="00694044" w:rsidRPr="00694044" w:rsidRDefault="00694044" w:rsidP="00701AEA">
      <w:pPr>
        <w:pStyle w:val="ListParagraph"/>
        <w:numPr>
          <w:ilvl w:val="0"/>
          <w:numId w:val="13"/>
        </w:numPr>
        <w:spacing w:after="0"/>
      </w:pPr>
      <w:r>
        <w:t>q</w:t>
      </w:r>
      <w:r w:rsidR="00264595">
        <w:t xml:space="preserve">uantified baseline, </w:t>
      </w:r>
      <w:r w:rsidRPr="00694044">
        <w:t>target</w:t>
      </w:r>
      <w:r w:rsidR="00264595">
        <w:t xml:space="preserve"> and milestone</w:t>
      </w:r>
      <w:r w:rsidRPr="00694044">
        <w:t xml:space="preserve"> values</w:t>
      </w:r>
      <w:r>
        <w:t>;</w:t>
      </w:r>
    </w:p>
    <w:p w:rsidR="009839D5" w:rsidRDefault="00694044" w:rsidP="00701AEA">
      <w:pPr>
        <w:pStyle w:val="BodyText"/>
        <w:numPr>
          <w:ilvl w:val="0"/>
          <w:numId w:val="13"/>
        </w:numPr>
        <w:spacing w:after="0"/>
      </w:pPr>
      <w:r>
        <w:t>e</w:t>
      </w:r>
      <w:r w:rsidRPr="00694044">
        <w:t>valuati</w:t>
      </w:r>
      <w:r>
        <w:t>on of the financial allocations;</w:t>
      </w:r>
    </w:p>
    <w:p w:rsidR="00694044" w:rsidRDefault="00694044" w:rsidP="00701AEA">
      <w:pPr>
        <w:pStyle w:val="BodyText"/>
        <w:numPr>
          <w:ilvl w:val="0"/>
          <w:numId w:val="13"/>
        </w:numPr>
        <w:spacing w:after="0"/>
      </w:pPr>
      <w:r>
        <w:t>e</w:t>
      </w:r>
      <w:r w:rsidRPr="00694044">
        <w:t>valuation of the impact indicators’ and results’ contribution to Europe 2020</w:t>
      </w:r>
      <w:r>
        <w:t>;</w:t>
      </w:r>
    </w:p>
    <w:p w:rsidR="00694044" w:rsidRPr="00694044" w:rsidRDefault="00694044" w:rsidP="00701AEA">
      <w:pPr>
        <w:pStyle w:val="ListParagraph"/>
        <w:numPr>
          <w:ilvl w:val="0"/>
          <w:numId w:val="13"/>
        </w:numPr>
        <w:spacing w:after="0"/>
      </w:pPr>
      <w:r>
        <w:t>q</w:t>
      </w:r>
      <w:r w:rsidRPr="00694044">
        <w:t>uality of the implementation and monitoring mechanisms</w:t>
      </w:r>
      <w:r>
        <w:t>;</w:t>
      </w:r>
    </w:p>
    <w:p w:rsidR="00694044" w:rsidRPr="00694044" w:rsidRDefault="00694044" w:rsidP="00701AEA">
      <w:pPr>
        <w:pStyle w:val="ListParagraph"/>
        <w:numPr>
          <w:ilvl w:val="0"/>
          <w:numId w:val="13"/>
        </w:numPr>
        <w:spacing w:after="0"/>
      </w:pPr>
      <w:r>
        <w:t>c</w:t>
      </w:r>
      <w:r w:rsidRPr="00694044">
        <w:t>onsistency with the strategic environmental assessment</w:t>
      </w:r>
      <w:r>
        <w:t>;</w:t>
      </w:r>
    </w:p>
    <w:p w:rsidR="00694044" w:rsidRDefault="00522F1A" w:rsidP="00701AEA">
      <w:pPr>
        <w:pStyle w:val="BodyText"/>
        <w:numPr>
          <w:ilvl w:val="0"/>
          <w:numId w:val="13"/>
        </w:numPr>
        <w:spacing w:after="0"/>
      </w:pPr>
      <w:r>
        <w:t>horizontal principles;</w:t>
      </w:r>
    </w:p>
    <w:p w:rsidR="00522F1A" w:rsidRDefault="00522F1A" w:rsidP="00701AEA">
      <w:pPr>
        <w:pStyle w:val="BodyText"/>
        <w:numPr>
          <w:ilvl w:val="0"/>
          <w:numId w:val="13"/>
        </w:numPr>
        <w:spacing w:after="0"/>
      </w:pPr>
      <w:r>
        <w:t>s</w:t>
      </w:r>
      <w:r w:rsidRPr="00522F1A">
        <w:t>ummary of conclusions and recommendations</w:t>
      </w:r>
      <w:r>
        <w:t>;</w:t>
      </w:r>
    </w:p>
    <w:p w:rsidR="00522F1A" w:rsidRDefault="00522F1A" w:rsidP="00701AEA">
      <w:pPr>
        <w:pStyle w:val="BodyText"/>
        <w:numPr>
          <w:ilvl w:val="0"/>
          <w:numId w:val="13"/>
        </w:numPr>
        <w:spacing w:after="0"/>
      </w:pPr>
      <w:proofErr w:type="gramStart"/>
      <w:r>
        <w:t>i</w:t>
      </w:r>
      <w:r w:rsidRPr="00522F1A">
        <w:t>nformation</w:t>
      </w:r>
      <w:proofErr w:type="gramEnd"/>
      <w:r w:rsidRPr="00522F1A">
        <w:t xml:space="preserve"> sources</w:t>
      </w:r>
      <w:r>
        <w:t>.</w:t>
      </w:r>
    </w:p>
    <w:p w:rsidR="00522F1A" w:rsidRDefault="00522F1A" w:rsidP="00522F1A">
      <w:pPr>
        <w:pStyle w:val="BodyText"/>
        <w:spacing w:after="0"/>
        <w:ind w:left="360"/>
      </w:pPr>
    </w:p>
    <w:p w:rsidR="0007476D" w:rsidRDefault="007B73AF" w:rsidP="00954463">
      <w:pPr>
        <w:pStyle w:val="BodyText"/>
      </w:pPr>
      <w:r>
        <w:t>S</w:t>
      </w:r>
      <w:r w:rsidR="0007476D">
        <w:t>ection</w:t>
      </w:r>
      <w:r>
        <w:t xml:space="preserve"> 10 summarises</w:t>
      </w:r>
      <w:r w:rsidR="00B51659">
        <w:t xml:space="preserve"> </w:t>
      </w:r>
      <w:r w:rsidR="009839D5">
        <w:t xml:space="preserve">the </w:t>
      </w:r>
      <w:r w:rsidR="0007476D">
        <w:t xml:space="preserve">conclusions and </w:t>
      </w:r>
      <w:r w:rsidR="009839D5">
        <w:t xml:space="preserve">recommendations. </w:t>
      </w:r>
      <w:proofErr w:type="gramStart"/>
      <w:r>
        <w:t>Whereas, a c</w:t>
      </w:r>
      <w:r w:rsidR="009839D5">
        <w:t xml:space="preserve">omplete list of </w:t>
      </w:r>
      <w:r w:rsidR="0007476D">
        <w:t xml:space="preserve">information sources </w:t>
      </w:r>
      <w:r>
        <w:t xml:space="preserve">is </w:t>
      </w:r>
      <w:r w:rsidR="009839D5">
        <w:t xml:space="preserve">available in the </w:t>
      </w:r>
      <w:r w:rsidR="00A6019F">
        <w:t>S</w:t>
      </w:r>
      <w:r>
        <w:t>ection 11</w:t>
      </w:r>
      <w:r w:rsidR="0007476D">
        <w:t>.</w:t>
      </w:r>
      <w:proofErr w:type="gramEnd"/>
    </w:p>
    <w:p w:rsidR="009839D5" w:rsidRDefault="009839D5" w:rsidP="00954463">
      <w:pPr>
        <w:pStyle w:val="BodyText"/>
      </w:pPr>
      <w:r>
        <w:t>The main conclusions are as follows:</w:t>
      </w:r>
    </w:p>
    <w:p w:rsidR="00073976" w:rsidRDefault="00987A64" w:rsidP="00701AEA">
      <w:pPr>
        <w:pStyle w:val="BodyText"/>
        <w:numPr>
          <w:ilvl w:val="0"/>
          <w:numId w:val="14"/>
        </w:numPr>
        <w:jc w:val="both"/>
      </w:pPr>
      <w:r>
        <w:t>T</w:t>
      </w:r>
      <w:r w:rsidR="00954463">
        <w:t xml:space="preserve">he Programme </w:t>
      </w:r>
      <w:r w:rsidR="009839D5" w:rsidRPr="009839D5">
        <w:t>is consistent with the strategic objectives of the Common Strategic Framework 2014-2020, Position of the Commission Services on the development of Partnership Agreement and programmes for the period 2014-2020, EUROPE 2020, EUSBS and Disability Strategy 2010-2020: A Renewed Commitment to a Barrier-Free Europe. Furthermore, the Programme is coherent with the national strategies. It is in line with Latvia’s National Development Plan 2014-2020, Latvia’s and Lithuania’s NRP for the Implementation of the “Europe 2020” strategy, Lithuania’s Progress Strategy “Lithuania 2030”, Sustainable Development Strategy of Latvia until 2030, Latvia’s National Road Improvement Programme 2014-2020 and the Long-term (Until 2025) Development Strategy of the Lithuanian Transport System.</w:t>
      </w:r>
      <w:r w:rsidR="00073976">
        <w:t xml:space="preserve"> Although the Programme does not include a very detailed description on the Programme’s coherence with the relevant EU and national level strategies due to the text limitations, this analysis has been provided in other Programme documents. </w:t>
      </w:r>
      <w:r w:rsidR="009839D5" w:rsidRPr="009839D5">
        <w:t xml:space="preserve"> </w:t>
      </w:r>
    </w:p>
    <w:p w:rsidR="004D4B8B" w:rsidRDefault="00CE7D62" w:rsidP="00701AEA">
      <w:pPr>
        <w:pStyle w:val="BodyText"/>
        <w:numPr>
          <w:ilvl w:val="0"/>
          <w:numId w:val="14"/>
        </w:numPr>
        <w:jc w:val="both"/>
      </w:pPr>
      <w:r>
        <w:t xml:space="preserve">Evaluation of </w:t>
      </w:r>
      <w:r w:rsidR="0013643F">
        <w:t xml:space="preserve">the </w:t>
      </w:r>
      <w:r w:rsidR="0013643F" w:rsidRPr="0013643F">
        <w:t>relevance and clarity of the proposed Programme indicators</w:t>
      </w:r>
      <w:r w:rsidR="00274A3F">
        <w:t xml:space="preserve"> illustrated</w:t>
      </w:r>
      <w:r>
        <w:t xml:space="preserve"> that</w:t>
      </w:r>
      <w:r w:rsidR="00AE7484">
        <w:t>,</w:t>
      </w:r>
      <w:r>
        <w:t xml:space="preserve"> i</w:t>
      </w:r>
      <w:r w:rsidRPr="00CE7D62">
        <w:t>n general, result indicators capture the most intended change in the Programme area that is expressed as a specific objective.</w:t>
      </w:r>
      <w:r w:rsidR="006A7EA1">
        <w:t xml:space="preserve"> </w:t>
      </w:r>
      <w:r w:rsidR="00CC0353">
        <w:t>Majority of the Programme indicators are SMART (r</w:t>
      </w:r>
      <w:r w:rsidR="00CC0353" w:rsidRPr="00CC0353">
        <w:t>elevant, capturing essential information on the progress of priority, achievable</w:t>
      </w:r>
      <w:r w:rsidR="00CC0353">
        <w:t>,</w:t>
      </w:r>
      <w:r w:rsidR="00CC0353" w:rsidRPr="00CC0353">
        <w:t xml:space="preserve"> realistic, consistent with the nature of the specific </w:t>
      </w:r>
      <w:r w:rsidR="00CC0353" w:rsidRPr="00CC0353">
        <w:lastRenderedPageBreak/>
        <w:t>objective, transparent and easy to unde</w:t>
      </w:r>
      <w:r w:rsidR="001D7F86">
        <w:t>rstand by any external observer as well as</w:t>
      </w:r>
      <w:r w:rsidR="00CC0353" w:rsidRPr="00CC0353">
        <w:t xml:space="preserve"> verifiable</w:t>
      </w:r>
      <w:r w:rsidR="001D7F86">
        <w:t>)</w:t>
      </w:r>
      <w:r w:rsidR="00CC0353" w:rsidRPr="00CC0353">
        <w:t xml:space="preserve"> </w:t>
      </w:r>
      <w:r w:rsidR="00CC0353">
        <w:t>and in line with the requirements for indicators that are set in CPR.</w:t>
      </w:r>
      <w:r w:rsidR="001D7F86">
        <w:t xml:space="preserve"> </w:t>
      </w:r>
    </w:p>
    <w:p w:rsidR="0013643F" w:rsidRDefault="00AE7484" w:rsidP="00701AEA">
      <w:pPr>
        <w:pStyle w:val="BodyText"/>
        <w:numPr>
          <w:ilvl w:val="0"/>
          <w:numId w:val="14"/>
        </w:numPr>
        <w:jc w:val="both"/>
      </w:pPr>
      <w:r>
        <w:t xml:space="preserve">The </w:t>
      </w:r>
      <w:r w:rsidR="004D4B8B" w:rsidRPr="004D4B8B">
        <w:t>Programme output indicators are well defined and can potentially contribute to the change in the result indicators</w:t>
      </w:r>
      <w:r w:rsidR="00090A51">
        <w:t>.</w:t>
      </w:r>
      <w:r w:rsidR="00C63509">
        <w:t xml:space="preserve"> </w:t>
      </w:r>
      <w:r w:rsidR="004D4B8B" w:rsidRPr="004D4B8B">
        <w:t>This conclusion is based on the analysis of the causal links between output indicators and result indicators, as well as their thematic relationship. The Programme has also tried to use the Common indicators, where appropriate. For instance, in TO6 IP1 output indicator “Number of visits to supported sites of cultural and natural heritage and attractions”.</w:t>
      </w:r>
      <w:r w:rsidR="00C63509">
        <w:t xml:space="preserve"> </w:t>
      </w:r>
      <w:r w:rsidR="00090A51">
        <w:t>However</w:t>
      </w:r>
      <w:r w:rsidR="00B6627E">
        <w:t>,</w:t>
      </w:r>
      <w:r w:rsidR="00090A51">
        <w:t xml:space="preserve"> recommendation on how to improve the result indicator for TO11 IP1 is provided.</w:t>
      </w:r>
    </w:p>
    <w:p w:rsidR="004D4B8B" w:rsidRPr="00C47BC1" w:rsidRDefault="004D4B8B" w:rsidP="00701AEA">
      <w:pPr>
        <w:pStyle w:val="BodyText"/>
        <w:numPr>
          <w:ilvl w:val="0"/>
          <w:numId w:val="14"/>
        </w:numPr>
        <w:jc w:val="both"/>
      </w:pPr>
      <w:r w:rsidRPr="00C47BC1">
        <w:t>The Programme output indicators are relevant to the actions planned to be supported by the Programme. Moreover, the rational for the form of support proposed is clear and the provided indicative list of actions to be supported by the Programme is extensive and illustrates the possible activities. However, so</w:t>
      </w:r>
      <w:r w:rsidR="003F6064">
        <w:t>me of the proposed activities, for instance for</w:t>
      </w:r>
      <w:r w:rsidRPr="00C47BC1">
        <w:t xml:space="preserve"> TO11 IP1</w:t>
      </w:r>
      <w:r w:rsidR="003F6064">
        <w:t>,</w:t>
      </w:r>
      <w:r w:rsidRPr="00C47BC1">
        <w:t xml:space="preserve"> are </w:t>
      </w:r>
      <w:r w:rsidR="00C612C1" w:rsidRPr="00C47BC1">
        <w:t>very general in nature</w:t>
      </w:r>
      <w:r w:rsidR="003F6064">
        <w:t>.</w:t>
      </w:r>
      <w:r w:rsidR="00C612C1" w:rsidRPr="00C47BC1">
        <w:t xml:space="preserve"> </w:t>
      </w:r>
    </w:p>
    <w:p w:rsidR="00B87B48" w:rsidRPr="00FC6E93" w:rsidRDefault="00B87B48" w:rsidP="00701AEA">
      <w:pPr>
        <w:pStyle w:val="BodyText"/>
        <w:numPr>
          <w:ilvl w:val="0"/>
          <w:numId w:val="14"/>
        </w:numPr>
        <w:jc w:val="both"/>
      </w:pPr>
      <w:r w:rsidRPr="00FC6E93">
        <w:t>The main target groups are identified in the Programme and provide sufficient understanding of the prospective Programme target groups and beneficiaries.</w:t>
      </w:r>
    </w:p>
    <w:p w:rsidR="006A3118" w:rsidRPr="003F6064" w:rsidRDefault="006A3118" w:rsidP="003F6064">
      <w:pPr>
        <w:pStyle w:val="BodyText"/>
        <w:numPr>
          <w:ilvl w:val="0"/>
          <w:numId w:val="14"/>
        </w:numPr>
        <w:jc w:val="both"/>
      </w:pPr>
      <w:r w:rsidRPr="003F6064">
        <w:t>Currently the quantified target and baseline values are set for all Programme result in</w:t>
      </w:r>
      <w:r w:rsidR="005A3D44" w:rsidRPr="003F6064">
        <w:t>dicators, except for the</w:t>
      </w:r>
      <w:r w:rsidRPr="003F6064">
        <w:t xml:space="preserve"> TO8 IP2, TO9 IP1 and TO11 IP1 result indicators. </w:t>
      </w:r>
      <w:r w:rsidR="000A2026" w:rsidRPr="003F6064">
        <w:t xml:space="preserve">Baseline and target values for </w:t>
      </w:r>
      <w:r w:rsidR="003F6064">
        <w:t xml:space="preserve">TO6 IP2, TO6 IP3, TO8 IP1, </w:t>
      </w:r>
      <w:proofErr w:type="gramStart"/>
      <w:r w:rsidR="003F6064">
        <w:t>TO9</w:t>
      </w:r>
      <w:proofErr w:type="gramEnd"/>
      <w:r w:rsidR="003F6064" w:rsidRPr="003F6064">
        <w:t xml:space="preserve"> IP2 </w:t>
      </w:r>
      <w:r w:rsidR="000A2026" w:rsidRPr="003F6064">
        <w:t xml:space="preserve">are adequately set taking into account recommendations for setting adequate and verifiable indicators. Whereas, for TO8 IP2 and TO6 IP1 there are provided some recommendations. </w:t>
      </w:r>
    </w:p>
    <w:p w:rsidR="00FE1146" w:rsidRPr="003F6064" w:rsidRDefault="00FE1146" w:rsidP="00701AEA">
      <w:pPr>
        <w:pStyle w:val="BodyText"/>
        <w:numPr>
          <w:ilvl w:val="0"/>
          <w:numId w:val="14"/>
        </w:numPr>
        <w:jc w:val="both"/>
      </w:pPr>
      <w:r w:rsidRPr="00565FF8">
        <w:t>The</w:t>
      </w:r>
      <w:r w:rsidRPr="003F6064">
        <w:t xml:space="preserve"> quantified target values for a</w:t>
      </w:r>
      <w:r w:rsidR="005A3D44" w:rsidRPr="003F6064">
        <w:t xml:space="preserve">ll Programme output indicators </w:t>
      </w:r>
      <w:r w:rsidRPr="003F6064">
        <w:t>are set</w:t>
      </w:r>
      <w:r w:rsidR="000C62DC">
        <w:t xml:space="preserve"> for 2023</w:t>
      </w:r>
      <w:r w:rsidRPr="003F6064">
        <w:t xml:space="preserve">.  </w:t>
      </w:r>
      <w:r w:rsidR="0007740D" w:rsidRPr="003F6064">
        <w:t>Overall, target values are realistic, having regard to the support from the available funds and based on the computation of unit costs from approved and implemented projects of the 2007-2013 Latvian Lithuanian Cross Border Cooperation Programme. Only for target value</w:t>
      </w:r>
      <w:r w:rsidR="000C62DC">
        <w:t>s</w:t>
      </w:r>
      <w:r w:rsidR="0007740D" w:rsidRPr="003F6064">
        <w:t xml:space="preserve"> of TO8 IP2</w:t>
      </w:r>
      <w:r w:rsidR="000C62DC">
        <w:t xml:space="preserve"> and TO6 IP3</w:t>
      </w:r>
      <w:r w:rsidR="0007740D" w:rsidRPr="003F6064">
        <w:t xml:space="preserve"> some recommendations are provided. </w:t>
      </w:r>
    </w:p>
    <w:p w:rsidR="00763D21" w:rsidRPr="003F6064" w:rsidRDefault="00C82D20" w:rsidP="007508D0">
      <w:pPr>
        <w:pStyle w:val="ListParagraph"/>
        <w:numPr>
          <w:ilvl w:val="0"/>
          <w:numId w:val="14"/>
        </w:numPr>
        <w:jc w:val="both"/>
      </w:pPr>
      <w:r w:rsidRPr="003F6064">
        <w:t>The Programme has selected for each priority axis a subset of indicators</w:t>
      </w:r>
      <w:r w:rsidR="003214DE" w:rsidRPr="003F6064">
        <w:t xml:space="preserve"> (financial and output)</w:t>
      </w:r>
      <w:r w:rsidRPr="003F6064">
        <w:t xml:space="preserve"> to be used as milestones for the year 201</w:t>
      </w:r>
      <w:r w:rsidR="00565FF8">
        <w:t>8 in the performance framework</w:t>
      </w:r>
      <w:r w:rsidR="003214DE" w:rsidRPr="003F6064">
        <w:t xml:space="preserve">. </w:t>
      </w:r>
      <w:r w:rsidR="007508D0" w:rsidRPr="003F6064">
        <w:t>The Programme has taken</w:t>
      </w:r>
      <w:r w:rsidR="00D4004A">
        <w:t xml:space="preserve"> a very cautious approach </w:t>
      </w:r>
      <w:r w:rsidR="007508D0" w:rsidRPr="003F6064">
        <w:t xml:space="preserve">when setting the milestones, therefore it is adequate to conclude that </w:t>
      </w:r>
      <w:r w:rsidR="003214DE" w:rsidRPr="003F6064">
        <w:t xml:space="preserve">the milestones can be achieved and reported on time. </w:t>
      </w:r>
    </w:p>
    <w:p w:rsidR="00136A5C" w:rsidRPr="003F6064" w:rsidRDefault="009E1FC5" w:rsidP="00701AEA">
      <w:pPr>
        <w:pStyle w:val="BodyText"/>
        <w:numPr>
          <w:ilvl w:val="0"/>
          <w:numId w:val="14"/>
        </w:numPr>
        <w:jc w:val="both"/>
      </w:pPr>
      <w:r w:rsidRPr="003F6064">
        <w:t>T</w:t>
      </w:r>
      <w:r w:rsidR="00136A5C" w:rsidRPr="003F6064">
        <w:t xml:space="preserve">he division of funding among the four TOs is adequate and the financial allocations concentrate on the most important objectives, needs and challenges of the Programme region. The breakdown of the financial plan of the Programme by priority axis is provided, including the amount of the total financial appropriation of the support from the ERDF and the national co-financing. </w:t>
      </w:r>
    </w:p>
    <w:p w:rsidR="00B87B48" w:rsidRPr="003F6064" w:rsidRDefault="00471114" w:rsidP="00701AEA">
      <w:pPr>
        <w:pStyle w:val="BodyText"/>
        <w:numPr>
          <w:ilvl w:val="0"/>
          <w:numId w:val="14"/>
        </w:numPr>
        <w:jc w:val="both"/>
      </w:pPr>
      <w:r w:rsidRPr="003F6064">
        <w:t>T</w:t>
      </w:r>
      <w:r w:rsidR="003C0D59">
        <w:t>he Programme</w:t>
      </w:r>
      <w:r w:rsidR="006C17B8" w:rsidRPr="003F6064">
        <w:t xml:space="preserve"> objectives and expected results contribute to the achievement of </w:t>
      </w:r>
      <w:r w:rsidR="00994C89" w:rsidRPr="003F6064">
        <w:t>the EU2020</w:t>
      </w:r>
      <w:r w:rsidRPr="003F6064">
        <w:t xml:space="preserve"> </w:t>
      </w:r>
      <w:r w:rsidR="006C17B8" w:rsidRPr="003F6064">
        <w:t xml:space="preserve">set targets, </w:t>
      </w:r>
      <w:r w:rsidRPr="003F6064">
        <w:t>however it should be understood</w:t>
      </w:r>
      <w:r w:rsidR="006C17B8" w:rsidRPr="003F6064">
        <w:t xml:space="preserve"> that this Programme can have only a limited impact, within its scope and the allocated funding, on the </w:t>
      </w:r>
      <w:r w:rsidRPr="003F6064">
        <w:t>contribution to</w:t>
      </w:r>
      <w:r w:rsidR="006C17B8" w:rsidRPr="003F6064">
        <w:t xml:space="preserve"> the EU2020 set targets.</w:t>
      </w:r>
    </w:p>
    <w:p w:rsidR="006B50A7" w:rsidRPr="003F6064" w:rsidRDefault="00987A64" w:rsidP="00701AEA">
      <w:pPr>
        <w:pStyle w:val="BodyText"/>
        <w:numPr>
          <w:ilvl w:val="0"/>
          <w:numId w:val="14"/>
        </w:numPr>
        <w:jc w:val="both"/>
      </w:pPr>
      <w:r w:rsidRPr="003F6064">
        <w:t>T</w:t>
      </w:r>
      <w:r w:rsidR="006C17B8" w:rsidRPr="003F6064">
        <w:t xml:space="preserve">he Programme provides sufficient information about the structure and division of tasks between the different bodies involved in Programme implementation, however there is a lack of description on the planned procedures for the monitoring of the Programme. According to the Programme, this information will be included in the Programme </w:t>
      </w:r>
      <w:r w:rsidR="00C33236" w:rsidRPr="003F6064">
        <w:t>M</w:t>
      </w:r>
      <w:r w:rsidR="006C17B8" w:rsidRPr="003F6064">
        <w:t>anual</w:t>
      </w:r>
      <w:r w:rsidR="00471114" w:rsidRPr="003F6064">
        <w:t xml:space="preserve"> and in the Programme Management and Control System</w:t>
      </w:r>
      <w:r w:rsidR="006C17B8" w:rsidRPr="003F6064">
        <w:t xml:space="preserve">. It is impossible to assess the adequacy of human resources for management of the Programme, since the Programme states that staffing arrangements needed for the implementation of the Programme will be made at the later stage of the Programme. </w:t>
      </w:r>
      <w:r w:rsidR="00D11A96" w:rsidRPr="003F6064">
        <w:t>Also t</w:t>
      </w:r>
      <w:r w:rsidR="006C17B8" w:rsidRPr="003F6064">
        <w:t xml:space="preserve">he Programme does not provide sufficient description on the data collection procedures and data availability needed for decision making, reporting and evaluation. According to the Programme developers this information will be included in the Programme </w:t>
      </w:r>
      <w:r w:rsidR="00DD53C6" w:rsidRPr="003F6064">
        <w:t>M</w:t>
      </w:r>
      <w:r w:rsidR="006C17B8" w:rsidRPr="003F6064">
        <w:t>anual</w:t>
      </w:r>
      <w:r w:rsidR="00741E23">
        <w:t>,</w:t>
      </w:r>
      <w:r w:rsidR="006C17B8" w:rsidRPr="003F6064">
        <w:t xml:space="preserve"> which will be available at a later stage. However, it has to be ensured that the needed data for reporting is available, </w:t>
      </w:r>
      <w:r w:rsidR="00D11A96" w:rsidRPr="003F6064">
        <w:t>reliable and collected in time.</w:t>
      </w:r>
    </w:p>
    <w:p w:rsidR="00D11A96" w:rsidRPr="003F6064" w:rsidRDefault="00D11A96" w:rsidP="00701AEA">
      <w:pPr>
        <w:pStyle w:val="BodyText"/>
        <w:numPr>
          <w:ilvl w:val="0"/>
          <w:numId w:val="14"/>
        </w:numPr>
        <w:jc w:val="both"/>
      </w:pPr>
      <w:r w:rsidRPr="003F6064">
        <w:lastRenderedPageBreak/>
        <w:t>As stated in the Ex-ante Guidelines, programmes with possible impact on environment should have the strategic environment assessment (SEA) carried out before the programme adoption, therefore the Programme’s possible impact on the environment has been taken in into account and SEA report has been provided in a separate document.</w:t>
      </w:r>
    </w:p>
    <w:p w:rsidR="00896AAD" w:rsidRPr="003F6064" w:rsidRDefault="00896AAD" w:rsidP="00701AEA">
      <w:pPr>
        <w:pStyle w:val="BodyText"/>
        <w:numPr>
          <w:ilvl w:val="0"/>
          <w:numId w:val="14"/>
        </w:numPr>
        <w:jc w:val="both"/>
      </w:pPr>
      <w:r w:rsidRPr="003F6064">
        <w:t xml:space="preserve">It is clear from the Programme that sustainable development and equal opportunities and non-discrimination will be ensured by the Programme. However, at this stage it is impossible to assess the adequacy of the project selection criteria and monitoring of these horizontal </w:t>
      </w:r>
      <w:r w:rsidR="00AB12EC" w:rsidRPr="003F6064">
        <w:t>principles since the Programme M</w:t>
      </w:r>
      <w:r w:rsidRPr="003F6064">
        <w:t>anual, where according to the Programme this information will be included, is not available yet.</w:t>
      </w:r>
    </w:p>
    <w:p w:rsidR="002D4285" w:rsidRPr="003F6064" w:rsidRDefault="002D4285" w:rsidP="00701AEA">
      <w:pPr>
        <w:pStyle w:val="BodyText"/>
        <w:numPr>
          <w:ilvl w:val="0"/>
          <w:numId w:val="14"/>
        </w:numPr>
        <w:jc w:val="both"/>
      </w:pPr>
      <w:r w:rsidRPr="003F6064">
        <w:t>Also some minor technical recommendations (</w:t>
      </w:r>
      <w:r w:rsidR="00565FF8">
        <w:t>information in the tables, grammar</w:t>
      </w:r>
      <w:r w:rsidRPr="003F6064">
        <w:t xml:space="preserve"> etc.) were provided to the Programme developers and some of them are included in this report.  </w:t>
      </w:r>
    </w:p>
    <w:p w:rsidR="00136369" w:rsidRDefault="002C63CE" w:rsidP="002C63CE">
      <w:pPr>
        <w:pStyle w:val="BodyText"/>
        <w:jc w:val="both"/>
      </w:pPr>
      <w:r w:rsidRPr="003F6064">
        <w:t>Detailed</w:t>
      </w:r>
      <w:r w:rsidR="006A3118" w:rsidRPr="003F6064">
        <w:t xml:space="preserve"> analysis of the above conclusions is provided in the next sections and a summary</w:t>
      </w:r>
      <w:r w:rsidRPr="003F6064">
        <w:t xml:space="preserve"> of conclusions and recommendations </w:t>
      </w:r>
      <w:r w:rsidR="006A3118" w:rsidRPr="003F6064">
        <w:t>is</w:t>
      </w:r>
      <w:r w:rsidRPr="003F6064">
        <w:t xml:space="preserve"> included in Section 10 of this report.</w:t>
      </w:r>
    </w:p>
    <w:p w:rsidR="00136369" w:rsidRDefault="00136369" w:rsidP="002C63CE">
      <w:pPr>
        <w:pStyle w:val="BodyText"/>
        <w:jc w:val="both"/>
      </w:pPr>
    </w:p>
    <w:p w:rsidR="000F3B20" w:rsidRDefault="000F3B20">
      <w:pPr>
        <w:rPr>
          <w:rFonts w:asciiTheme="majorHAnsi" w:eastAsiaTheme="majorEastAsia" w:hAnsiTheme="majorHAnsi" w:cstheme="majorBidi"/>
          <w:b/>
          <w:bCs/>
          <w:i/>
          <w:sz w:val="44"/>
          <w:szCs w:val="28"/>
        </w:rPr>
      </w:pPr>
      <w:r>
        <w:br w:type="page"/>
      </w:r>
    </w:p>
    <w:p w:rsidR="003C2C52" w:rsidRDefault="00CC4A75" w:rsidP="003C2C52">
      <w:pPr>
        <w:pStyle w:val="Heading1NoSpacing"/>
        <w:numPr>
          <w:ilvl w:val="0"/>
          <w:numId w:val="5"/>
        </w:numPr>
      </w:pPr>
      <w:bookmarkStart w:id="5" w:name="_Toc390942531"/>
      <w:r w:rsidRPr="008E2FD9">
        <w:lastRenderedPageBreak/>
        <w:t>Objective</w:t>
      </w:r>
      <w:r w:rsidR="0063351A" w:rsidRPr="008E2FD9">
        <w:t>s</w:t>
      </w:r>
      <w:r w:rsidR="00F30260">
        <w:t xml:space="preserve"> of the </w:t>
      </w:r>
      <w:r w:rsidR="000722FC">
        <w:t>r</w:t>
      </w:r>
      <w:r>
        <w:t>eport</w:t>
      </w:r>
      <w:bookmarkEnd w:id="5"/>
    </w:p>
    <w:p w:rsidR="00CC4A75" w:rsidRDefault="00CC4A75" w:rsidP="003C2C52">
      <w:pPr>
        <w:pStyle w:val="BodyText"/>
        <w:spacing w:after="0"/>
      </w:pPr>
    </w:p>
    <w:p w:rsidR="003C2C52" w:rsidRDefault="0063351A" w:rsidP="003C2C52">
      <w:pPr>
        <w:pStyle w:val="BodyText"/>
        <w:spacing w:after="0"/>
        <w:jc w:val="both"/>
      </w:pPr>
      <w:r w:rsidRPr="00E65821">
        <w:t>According to</w:t>
      </w:r>
      <w:r w:rsidR="00F90674">
        <w:t xml:space="preserve"> the </w:t>
      </w:r>
      <w:r w:rsidR="000A663C">
        <w:t>European Union (EU)</w:t>
      </w:r>
      <w:r w:rsidRPr="00E65821">
        <w:t xml:space="preserve"> cohesion policy for the 2014–2020 financing period, Europea</w:t>
      </w:r>
      <w:r w:rsidR="00FA10A3">
        <w:t xml:space="preserve">n territorial cooperation </w:t>
      </w:r>
      <w:r w:rsidRPr="00E65821">
        <w:t>will be continued and strengthened as a separate goal of cohesion</w:t>
      </w:r>
      <w:r w:rsidR="00F90674">
        <w:rPr>
          <w:rStyle w:val="FootnoteReference"/>
        </w:rPr>
        <w:footnoteReference w:id="5"/>
      </w:r>
      <w:r w:rsidRPr="00E65821">
        <w:t xml:space="preserve">. </w:t>
      </w:r>
    </w:p>
    <w:p w:rsidR="00C625FC" w:rsidRDefault="00C625FC" w:rsidP="003C2C52">
      <w:pPr>
        <w:pStyle w:val="BodyText"/>
        <w:spacing w:after="0"/>
        <w:jc w:val="both"/>
      </w:pPr>
    </w:p>
    <w:p w:rsidR="00840CEB" w:rsidRDefault="00BA56F1" w:rsidP="003C2C52">
      <w:pPr>
        <w:pStyle w:val="BodyText"/>
        <w:spacing w:after="0"/>
        <w:jc w:val="both"/>
      </w:pPr>
      <w:r w:rsidRPr="005D2F37">
        <w:t xml:space="preserve">The </w:t>
      </w:r>
      <w:r w:rsidR="00711005" w:rsidRPr="005D2F37">
        <w:t>ex-</w:t>
      </w:r>
      <w:r w:rsidR="00E63ED0" w:rsidRPr="005D2F37">
        <w:t>ante</w:t>
      </w:r>
      <w:r w:rsidR="0063351A" w:rsidRPr="005D2F37">
        <w:t xml:space="preserve"> evaluation is carried out according to the </w:t>
      </w:r>
      <w:r w:rsidR="00AB234D" w:rsidRPr="005D2F37">
        <w:t>Common Provision Regulation</w:t>
      </w:r>
      <w:r w:rsidR="00AB234D" w:rsidRPr="005D2F37">
        <w:rPr>
          <w:rStyle w:val="FootnoteReference"/>
        </w:rPr>
        <w:footnoteReference w:id="6"/>
      </w:r>
      <w:r w:rsidR="00AB234D" w:rsidRPr="005D2F37">
        <w:t xml:space="preserve"> (CPR), European territorial cooperation Regulation</w:t>
      </w:r>
      <w:r w:rsidR="004B37E7" w:rsidRPr="005D2F37">
        <w:rPr>
          <w:rStyle w:val="FootnoteReference"/>
        </w:rPr>
        <w:footnoteReference w:id="7"/>
      </w:r>
      <w:r w:rsidR="00AB234D" w:rsidRPr="005D2F37">
        <w:t xml:space="preserve"> (ETC Regulation)</w:t>
      </w:r>
      <w:r w:rsidR="004B37E7" w:rsidRPr="005D2F37">
        <w:t>, European Regional Development Fund Regulation</w:t>
      </w:r>
      <w:r w:rsidR="00C40BE6">
        <w:rPr>
          <w:rStyle w:val="FootnoteReference"/>
        </w:rPr>
        <w:footnoteReference w:id="8"/>
      </w:r>
      <w:r w:rsidR="004B37E7" w:rsidRPr="005D2F37">
        <w:t xml:space="preserve"> (ERDF Regulation), Ex-ante </w:t>
      </w:r>
      <w:r w:rsidR="00257090" w:rsidRPr="005D2F37">
        <w:t>Guidelines</w:t>
      </w:r>
      <w:r w:rsidR="00840CEB" w:rsidRPr="005D2F37">
        <w:rPr>
          <w:rStyle w:val="FootnoteReference"/>
        </w:rPr>
        <w:footnoteReference w:id="9"/>
      </w:r>
      <w:r w:rsidR="00257090" w:rsidRPr="005D2F37">
        <w:t xml:space="preserve"> and </w:t>
      </w:r>
      <w:r w:rsidR="00FA10A3">
        <w:t>other binding EU</w:t>
      </w:r>
      <w:r w:rsidR="00840CEB" w:rsidRPr="005D2F37">
        <w:t xml:space="preserve"> documents (guidelines, working documents).</w:t>
      </w:r>
    </w:p>
    <w:p w:rsidR="003C2C52" w:rsidRPr="00031C6E" w:rsidRDefault="003C2C52" w:rsidP="003C2C52">
      <w:pPr>
        <w:pStyle w:val="BodyText"/>
        <w:spacing w:after="0"/>
        <w:jc w:val="both"/>
      </w:pPr>
    </w:p>
    <w:p w:rsidR="00281342" w:rsidRPr="0013234C" w:rsidRDefault="0063351A" w:rsidP="00BF509C">
      <w:pPr>
        <w:pStyle w:val="BodyText"/>
        <w:jc w:val="both"/>
      </w:pPr>
      <w:r w:rsidRPr="00031C6E">
        <w:t xml:space="preserve">According to Article </w:t>
      </w:r>
      <w:r w:rsidR="00E63ED0">
        <w:t>55</w:t>
      </w:r>
      <w:r w:rsidRPr="00031C6E">
        <w:t xml:space="preserve"> of the </w:t>
      </w:r>
      <w:r w:rsidR="00BC327D">
        <w:t xml:space="preserve">CPR </w:t>
      </w:r>
      <w:r w:rsidRPr="00031C6E">
        <w:t xml:space="preserve">the ex-ante evaluation </w:t>
      </w:r>
      <w:r>
        <w:t>is</w:t>
      </w:r>
      <w:r w:rsidRPr="00031C6E">
        <w:t xml:space="preserve"> carried out to improve the quality of </w:t>
      </w:r>
      <w:r w:rsidR="00E63ED0">
        <w:t>the design of each programme.</w:t>
      </w:r>
      <w:r w:rsidR="00E62265">
        <w:t xml:space="preserve"> </w:t>
      </w:r>
      <w:r w:rsidR="00B205FD">
        <w:t>It shall</w:t>
      </w:r>
      <w:r w:rsidR="0013234C" w:rsidRPr="00807248">
        <w:t xml:space="preserve"> ensure that the</w:t>
      </w:r>
      <w:r w:rsidR="0013234C" w:rsidRPr="0013234C">
        <w:t xml:space="preserve"> operational Programme</w:t>
      </w:r>
      <w:r w:rsidR="003966CA" w:rsidRPr="0013234C">
        <w:t xml:space="preserve"> clearly articulate their intervention logic and can demonstrate their contribution to the Europe 2020 strategy</w:t>
      </w:r>
      <w:r w:rsidR="003228A9">
        <w:t xml:space="preserve"> (EU 2020)</w:t>
      </w:r>
      <w:r w:rsidR="00B205FD">
        <w:t>. It shall</w:t>
      </w:r>
      <w:r w:rsidR="003966CA" w:rsidRPr="0013234C">
        <w:t xml:space="preserve"> also help to put in place functioning monitoring systems which meet evaluation requirem</w:t>
      </w:r>
      <w:r w:rsidR="00B205FD">
        <w:t>ents. Its recommendations shall</w:t>
      </w:r>
      <w:r w:rsidR="003966CA" w:rsidRPr="0013234C">
        <w:t xml:space="preserve"> be clear, based on evidence and adapted to the particular needs of the programmes.</w:t>
      </w:r>
    </w:p>
    <w:p w:rsidR="00B66E39" w:rsidRDefault="00320D7A" w:rsidP="00EB1795">
      <w:pPr>
        <w:jc w:val="both"/>
      </w:pPr>
      <w:r>
        <w:t xml:space="preserve">This ex-ante report was based </w:t>
      </w:r>
      <w:r w:rsidR="00037525">
        <w:t>on</w:t>
      </w:r>
      <w:r w:rsidR="00807248">
        <w:t xml:space="preserve"> the Programme</w:t>
      </w:r>
      <w:r w:rsidR="00037525">
        <w:t xml:space="preserve"> version</w:t>
      </w:r>
      <w:r w:rsidR="00807248">
        <w:t xml:space="preserve"> drafted on </w:t>
      </w:r>
      <w:r w:rsidR="00350D40">
        <w:t>May</w:t>
      </w:r>
      <w:r w:rsidR="00844B40">
        <w:t xml:space="preserve"> </w:t>
      </w:r>
      <w:r w:rsidR="00350D40">
        <w:t>30</w:t>
      </w:r>
      <w:r w:rsidR="00807248" w:rsidRPr="005D098E">
        <w:t>, 2014</w:t>
      </w:r>
      <w:r>
        <w:t xml:space="preserve">. The </w:t>
      </w:r>
      <w:r w:rsidR="00807248">
        <w:t xml:space="preserve">ex-ante evaluation </w:t>
      </w:r>
      <w:r w:rsidR="00B660D8">
        <w:t>was</w:t>
      </w:r>
      <w:r w:rsidR="00807248">
        <w:t xml:space="preserve"> carried</w:t>
      </w:r>
      <w:r w:rsidR="00FA10A3">
        <w:t xml:space="preserve"> out in collaboration with the P</w:t>
      </w:r>
      <w:r w:rsidR="00807248">
        <w:t xml:space="preserve">rogramme developers and by participation in </w:t>
      </w:r>
      <w:r w:rsidR="003228A9">
        <w:t xml:space="preserve">the </w:t>
      </w:r>
      <w:r w:rsidR="003228A9" w:rsidRPr="003228A9">
        <w:t xml:space="preserve">Joint Programming Committee </w:t>
      </w:r>
      <w:r w:rsidR="003228A9">
        <w:t>(</w:t>
      </w:r>
      <w:r w:rsidR="00807248">
        <w:t>JPC</w:t>
      </w:r>
      <w:r w:rsidR="003228A9">
        <w:t>)</w:t>
      </w:r>
      <w:r w:rsidR="00807248">
        <w:t xml:space="preserve"> meetings. </w:t>
      </w:r>
      <w:r w:rsidR="006224F3">
        <w:t xml:space="preserve">A </w:t>
      </w:r>
      <w:r w:rsidR="008B12BA">
        <w:t xml:space="preserve">complete list of </w:t>
      </w:r>
      <w:r w:rsidR="0093344C">
        <w:t xml:space="preserve">conclusions and </w:t>
      </w:r>
      <w:r w:rsidR="008B12BA">
        <w:t xml:space="preserve">recommendations is available in the last section of this report. </w:t>
      </w:r>
    </w:p>
    <w:p w:rsidR="00094602" w:rsidRDefault="00094602" w:rsidP="00EB1795">
      <w:pPr>
        <w:jc w:val="both"/>
      </w:pPr>
    </w:p>
    <w:p w:rsidR="00E01DEF" w:rsidRPr="00FC6E93" w:rsidRDefault="008E2FD9" w:rsidP="00FC6E93">
      <w:pPr>
        <w:pStyle w:val="Heading1NoSpacing"/>
        <w:numPr>
          <w:ilvl w:val="0"/>
          <w:numId w:val="5"/>
        </w:numPr>
        <w:rPr>
          <w:rFonts w:ascii="Georgia" w:hAnsi="Georgia"/>
          <w:sz w:val="20"/>
          <w:u w:val="single"/>
        </w:rPr>
      </w:pPr>
      <w:bookmarkStart w:id="6" w:name="_Toc390942532"/>
      <w:r w:rsidRPr="008E2FD9">
        <w:rPr>
          <w:rStyle w:val="Heading1NoSpacingChar"/>
          <w:b/>
          <w:bCs/>
          <w:i/>
        </w:rPr>
        <w:t>The justifica</w:t>
      </w:r>
      <w:r w:rsidR="00895338">
        <w:rPr>
          <w:rStyle w:val="Heading1NoSpacingChar"/>
          <w:b/>
          <w:bCs/>
          <w:i/>
        </w:rPr>
        <w:t>tion of the Programme’s</w:t>
      </w:r>
      <w:r w:rsidR="00765CF1">
        <w:rPr>
          <w:rStyle w:val="Heading1NoSpacingChar"/>
          <w:b/>
          <w:bCs/>
          <w:i/>
        </w:rPr>
        <w:t xml:space="preserve"> selected thematic objectives</w:t>
      </w:r>
      <w:bookmarkEnd w:id="6"/>
    </w:p>
    <w:p w:rsidR="00E01DEF" w:rsidRDefault="00E01DEF" w:rsidP="00BC02F1">
      <w:pPr>
        <w:pStyle w:val="Text1"/>
        <w:spacing w:after="0"/>
        <w:ind w:left="0"/>
        <w:rPr>
          <w:rFonts w:ascii="Georgia" w:hAnsi="Georgia"/>
          <w:b/>
          <w:sz w:val="20"/>
          <w:u w:val="single"/>
        </w:rPr>
      </w:pPr>
    </w:p>
    <w:p w:rsidR="008251DA" w:rsidRDefault="0020723B" w:rsidP="00075B82">
      <w:pPr>
        <w:spacing w:after="0"/>
        <w:jc w:val="both"/>
      </w:pPr>
      <w:r>
        <w:t>This is a cross-border cooperation Programme covering territories both in Latvia and Lithuania</w:t>
      </w:r>
      <w:r w:rsidR="003C2F14">
        <w:t>.</w:t>
      </w:r>
      <w:r w:rsidR="00471114">
        <w:t xml:space="preserve"> </w:t>
      </w:r>
      <w:r w:rsidR="008E7F49">
        <w:t>According to</w:t>
      </w:r>
      <w:r w:rsidR="008914DB">
        <w:t xml:space="preserve"> the Programme</w:t>
      </w:r>
      <w:r w:rsidR="008E7F49">
        <w:t xml:space="preserve"> the four TOs</w:t>
      </w:r>
      <w:r w:rsidR="00471114">
        <w:t xml:space="preserve"> </w:t>
      </w:r>
      <w:r w:rsidR="008E7F49">
        <w:t xml:space="preserve">were selected after a multi-level analysis, which included </w:t>
      </w:r>
      <w:r w:rsidR="008E7F49" w:rsidRPr="003C6C8A">
        <w:t>a</w:t>
      </w:r>
      <w:r w:rsidR="00C625FC">
        <w:t xml:space="preserve"> </w:t>
      </w:r>
      <w:r w:rsidR="002F6F30" w:rsidRPr="003C6C8A">
        <w:t xml:space="preserve">top-down and </w:t>
      </w:r>
      <w:r w:rsidR="008E7F49">
        <w:t xml:space="preserve">a </w:t>
      </w:r>
      <w:r w:rsidR="006647CE">
        <w:t>bottom-up approach</w:t>
      </w:r>
      <w:r w:rsidR="002F6F30" w:rsidRPr="003C6C8A">
        <w:t>.</w:t>
      </w:r>
      <w:r w:rsidR="00471114">
        <w:t xml:space="preserve"> </w:t>
      </w:r>
      <w:r w:rsidR="00FD2375">
        <w:t>During the selection of the TOs t</w:t>
      </w:r>
      <w:r w:rsidR="00882F06">
        <w:t>he b</w:t>
      </w:r>
      <w:r w:rsidR="008251DA">
        <w:t>ottom-up approach was mixed with the top-down approach, as the Programme consists of regions from both Member States (MS) meaning that common challenges should be defined on the regi</w:t>
      </w:r>
      <w:r w:rsidR="00E1219B">
        <w:t>onal level. As a result, the MS</w:t>
      </w:r>
      <w:r w:rsidR="008251DA">
        <w:t xml:space="preserve"> selected </w:t>
      </w:r>
      <w:r w:rsidR="00FD2375">
        <w:t xml:space="preserve">the Programme priorities by </w:t>
      </w:r>
      <w:r w:rsidR="008251DA">
        <w:t>analysing national and</w:t>
      </w:r>
      <w:r w:rsidR="00E1219B">
        <w:t xml:space="preserve"> regional challenges in </w:t>
      </w:r>
      <w:proofErr w:type="gramStart"/>
      <w:r w:rsidR="00E1219B">
        <w:t>both</w:t>
      </w:r>
      <w:r w:rsidR="00844B40">
        <w:t xml:space="preserve"> </w:t>
      </w:r>
      <w:r w:rsidR="00E1219B">
        <w:t>MS</w:t>
      </w:r>
      <w:proofErr w:type="gramEnd"/>
      <w:r w:rsidR="008251DA">
        <w:t xml:space="preserve">, understanding needs by analysing situation in the Programme regions and involving the relevant stakeholders in the Programme preparation. </w:t>
      </w:r>
    </w:p>
    <w:p w:rsidR="00075B82" w:rsidRDefault="00075B82" w:rsidP="00075B82">
      <w:pPr>
        <w:spacing w:after="0"/>
        <w:jc w:val="both"/>
      </w:pPr>
    </w:p>
    <w:p w:rsidR="00E1284B" w:rsidRDefault="00E1284B" w:rsidP="00B66E39">
      <w:pPr>
        <w:pStyle w:val="Heading2"/>
      </w:pPr>
    </w:p>
    <w:p w:rsidR="00741D0F" w:rsidRDefault="00B0168D" w:rsidP="00B66E39">
      <w:pPr>
        <w:pStyle w:val="Heading2"/>
        <w:numPr>
          <w:ilvl w:val="1"/>
          <w:numId w:val="5"/>
        </w:numPr>
      </w:pPr>
      <w:bookmarkStart w:id="7" w:name="_Toc379299417"/>
      <w:bookmarkStart w:id="8" w:name="_Toc390942533"/>
      <w:r>
        <w:t xml:space="preserve">Challenges and needs </w:t>
      </w:r>
      <w:r w:rsidR="00DB5F3A" w:rsidRPr="00B66E39">
        <w:t xml:space="preserve">in </w:t>
      </w:r>
      <w:bookmarkEnd w:id="7"/>
      <w:r>
        <w:t>the Programme</w:t>
      </w:r>
      <w:bookmarkEnd w:id="8"/>
    </w:p>
    <w:p w:rsidR="00075B82" w:rsidRDefault="00075B82" w:rsidP="00075B82">
      <w:pPr>
        <w:pStyle w:val="BodyText"/>
        <w:spacing w:after="0"/>
      </w:pPr>
    </w:p>
    <w:p w:rsidR="00775E54" w:rsidRDefault="00075B82" w:rsidP="006229AC">
      <w:pPr>
        <w:pStyle w:val="BodyText"/>
        <w:spacing w:after="0"/>
        <w:jc w:val="both"/>
      </w:pPr>
      <w:r>
        <w:t xml:space="preserve">The </w:t>
      </w:r>
      <w:r w:rsidR="00E83F09">
        <w:t>bottom-up approach</w:t>
      </w:r>
      <w:r>
        <w:t xml:space="preserve"> for selecting the four TOs consisted of three core activities, which are illustrated below (See Figure 1). </w:t>
      </w:r>
      <w:r w:rsidR="00D5630B">
        <w:t>In general, the Programme provides a written justification for the selection of the TOs</w:t>
      </w:r>
      <w:r w:rsidR="00775E54">
        <w:t xml:space="preserve"> by stating that</w:t>
      </w:r>
      <w:r w:rsidR="00D2786F">
        <w:t>:</w:t>
      </w:r>
    </w:p>
    <w:p w:rsidR="00775E54" w:rsidRDefault="00D5630B" w:rsidP="00701AEA">
      <w:pPr>
        <w:pStyle w:val="BodyText"/>
        <w:numPr>
          <w:ilvl w:val="0"/>
          <w:numId w:val="10"/>
        </w:numPr>
        <w:spacing w:after="0"/>
        <w:jc w:val="both"/>
        <w:rPr>
          <w:noProof/>
        </w:rPr>
      </w:pPr>
      <w:r>
        <w:t xml:space="preserve">an </w:t>
      </w:r>
      <w:r w:rsidRPr="00337100">
        <w:rPr>
          <w:noProof/>
        </w:rPr>
        <w:t>assessment of the needs and challenges of the regions based on the thematic objectives</w:t>
      </w:r>
      <w:r w:rsidR="00E62265">
        <w:rPr>
          <w:noProof/>
        </w:rPr>
        <w:t xml:space="preserve"> </w:t>
      </w:r>
      <w:r w:rsidR="006229AC">
        <w:rPr>
          <w:noProof/>
        </w:rPr>
        <w:t>was carried out</w:t>
      </w:r>
      <w:r w:rsidR="00775E54">
        <w:rPr>
          <w:noProof/>
        </w:rPr>
        <w:t xml:space="preserve">; </w:t>
      </w:r>
    </w:p>
    <w:p w:rsidR="00775E54" w:rsidRDefault="00D5630B" w:rsidP="00701AEA">
      <w:pPr>
        <w:pStyle w:val="BodyText"/>
        <w:numPr>
          <w:ilvl w:val="0"/>
          <w:numId w:val="10"/>
        </w:numPr>
        <w:spacing w:after="0"/>
        <w:jc w:val="both"/>
        <w:rPr>
          <w:noProof/>
        </w:rPr>
      </w:pPr>
      <w:r>
        <w:rPr>
          <w:noProof/>
        </w:rPr>
        <w:t>statistical data on national and regional level was</w:t>
      </w:r>
      <w:r w:rsidR="00E62265">
        <w:rPr>
          <w:noProof/>
        </w:rPr>
        <w:t xml:space="preserve"> </w:t>
      </w:r>
      <w:r w:rsidR="00775E54">
        <w:rPr>
          <w:noProof/>
        </w:rPr>
        <w:t>analy</w:t>
      </w:r>
      <w:r w:rsidR="00471114">
        <w:rPr>
          <w:noProof/>
        </w:rPr>
        <w:t>s</w:t>
      </w:r>
      <w:r w:rsidR="00775E54">
        <w:rPr>
          <w:noProof/>
        </w:rPr>
        <w:t>ed;</w:t>
      </w:r>
    </w:p>
    <w:p w:rsidR="00AC3188" w:rsidRDefault="00471114" w:rsidP="00701AEA">
      <w:pPr>
        <w:pStyle w:val="BodyText"/>
        <w:numPr>
          <w:ilvl w:val="0"/>
          <w:numId w:val="10"/>
        </w:numPr>
        <w:spacing w:after="0"/>
        <w:jc w:val="both"/>
        <w:rPr>
          <w:noProof/>
        </w:rPr>
      </w:pPr>
      <w:r>
        <w:rPr>
          <w:noProof/>
        </w:rPr>
        <w:t xml:space="preserve">experience of </w:t>
      </w:r>
      <w:r w:rsidR="00D5630B">
        <w:rPr>
          <w:noProof/>
        </w:rPr>
        <w:t xml:space="preserve">the 2007-2013 Programme </w:t>
      </w:r>
      <w:r>
        <w:rPr>
          <w:noProof/>
        </w:rPr>
        <w:t xml:space="preserve">through </w:t>
      </w:r>
      <w:r w:rsidRPr="00337100">
        <w:rPr>
          <w:noProof/>
        </w:rPr>
        <w:t>quantitative and qualitative analysis of the pro</w:t>
      </w:r>
      <w:r>
        <w:rPr>
          <w:noProof/>
        </w:rPr>
        <w:t xml:space="preserve">jects </w:t>
      </w:r>
      <w:r w:rsidR="00D5630B">
        <w:rPr>
          <w:noProof/>
        </w:rPr>
        <w:t>was taken into account.</w:t>
      </w:r>
    </w:p>
    <w:p w:rsidR="00E877C1" w:rsidRDefault="00E877C1" w:rsidP="00E877C1">
      <w:pPr>
        <w:pStyle w:val="BodyText"/>
        <w:spacing w:after="0"/>
      </w:pPr>
    </w:p>
    <w:p w:rsidR="00496418" w:rsidRDefault="00496418" w:rsidP="00496418">
      <w:r>
        <w:rPr>
          <w:noProof/>
          <w:lang w:val="lv-LV" w:eastAsia="lv-LV"/>
        </w:rPr>
        <w:lastRenderedPageBreak/>
        <w:drawing>
          <wp:anchor distT="0" distB="0" distL="114300" distR="114300" simplePos="0" relativeHeight="251664384" behindDoc="1" locked="0" layoutInCell="1" allowOverlap="1">
            <wp:simplePos x="0" y="0"/>
            <wp:positionH relativeFrom="column">
              <wp:posOffset>998220</wp:posOffset>
            </wp:positionH>
            <wp:positionV relativeFrom="paragraph">
              <wp:posOffset>158115</wp:posOffset>
            </wp:positionV>
            <wp:extent cx="4420870" cy="2106930"/>
            <wp:effectExtent l="0" t="38100" r="0" b="26670"/>
            <wp:wrapThrough wrapText="bothSides">
              <wp:wrapPolygon edited="0">
                <wp:start x="372" y="-391"/>
                <wp:lineTo x="93" y="5859"/>
                <wp:lineTo x="93" y="10351"/>
                <wp:lineTo x="4095" y="12108"/>
                <wp:lineTo x="6981" y="12108"/>
                <wp:lineTo x="6608" y="12890"/>
                <wp:lineTo x="6050" y="14843"/>
                <wp:lineTo x="6329" y="18358"/>
                <wp:lineTo x="6422" y="18944"/>
                <wp:lineTo x="8284" y="21483"/>
                <wp:lineTo x="8656" y="21483"/>
                <wp:lineTo x="9308" y="21873"/>
                <wp:lineTo x="9494" y="21873"/>
                <wp:lineTo x="12007" y="21873"/>
                <wp:lineTo x="12193" y="21873"/>
                <wp:lineTo x="12845" y="21483"/>
                <wp:lineTo x="13310" y="21483"/>
                <wp:lineTo x="15078" y="18944"/>
                <wp:lineTo x="15078" y="18358"/>
                <wp:lineTo x="15172" y="18358"/>
                <wp:lineTo x="15451" y="15624"/>
                <wp:lineTo x="15544" y="15233"/>
                <wp:lineTo x="14613" y="12108"/>
                <wp:lineTo x="17498" y="12108"/>
                <wp:lineTo x="21501" y="10351"/>
                <wp:lineTo x="21501" y="1953"/>
                <wp:lineTo x="21408" y="195"/>
                <wp:lineTo x="21221" y="-391"/>
                <wp:lineTo x="372" y="-391"/>
              </wp:wrapPolygon>
            </wp:wrapThrough>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AC3188" w:rsidRDefault="00AC3188" w:rsidP="00AC3188">
      <w:pPr>
        <w:pStyle w:val="Caption"/>
        <w:ind w:left="1440"/>
      </w:pPr>
    </w:p>
    <w:p w:rsidR="00AC3188" w:rsidRDefault="00AC3188" w:rsidP="00AC3188">
      <w:pPr>
        <w:pStyle w:val="Caption"/>
        <w:ind w:left="1440"/>
      </w:pPr>
    </w:p>
    <w:p w:rsidR="00AC3188" w:rsidRDefault="00AC3188" w:rsidP="00AC3188">
      <w:pPr>
        <w:pStyle w:val="Caption"/>
        <w:ind w:left="1440"/>
      </w:pPr>
    </w:p>
    <w:p w:rsidR="00AC3188" w:rsidRDefault="00AC3188" w:rsidP="00AC3188">
      <w:pPr>
        <w:pStyle w:val="Caption"/>
        <w:ind w:left="1440"/>
      </w:pPr>
    </w:p>
    <w:p w:rsidR="00AC3188" w:rsidRDefault="00AC3188" w:rsidP="00AC3188">
      <w:pPr>
        <w:pStyle w:val="Caption"/>
        <w:ind w:left="1440"/>
      </w:pPr>
    </w:p>
    <w:p w:rsidR="00AC3188" w:rsidRDefault="00AC3188" w:rsidP="00AC3188">
      <w:pPr>
        <w:pStyle w:val="Caption"/>
        <w:ind w:left="1440"/>
      </w:pPr>
    </w:p>
    <w:p w:rsidR="00AC3188" w:rsidRDefault="00AC3188" w:rsidP="00AC3188">
      <w:pPr>
        <w:pStyle w:val="Caption"/>
        <w:ind w:left="1440"/>
      </w:pPr>
    </w:p>
    <w:p w:rsidR="00AC3188" w:rsidRPr="00AC3188" w:rsidRDefault="00AC3188" w:rsidP="00AC3188"/>
    <w:p w:rsidR="00712AB3" w:rsidRPr="00CE6EE7" w:rsidRDefault="00AC3188" w:rsidP="00CE6EE7">
      <w:pPr>
        <w:pStyle w:val="Caption"/>
        <w:ind w:left="1440"/>
        <w:rPr>
          <w:b w:val="0"/>
          <w:color w:val="auto"/>
        </w:rPr>
      </w:pPr>
      <w:r>
        <w:tab/>
      </w:r>
      <w:r w:rsidRPr="000D4830">
        <w:t xml:space="preserve">Figure </w:t>
      </w:r>
      <w:fldSimple w:instr=" SEQ Figure \* ARABIC ">
        <w:r w:rsidR="007C1B3C">
          <w:rPr>
            <w:noProof/>
          </w:rPr>
          <w:t>1</w:t>
        </w:r>
      </w:fldSimple>
      <w:r w:rsidRPr="000D4830">
        <w:t xml:space="preserve">: </w:t>
      </w:r>
      <w:r w:rsidRPr="000D4830">
        <w:rPr>
          <w:b w:val="0"/>
          <w:color w:val="auto"/>
        </w:rPr>
        <w:t>Bottom-up approach for selecting the four T</w:t>
      </w:r>
      <w:r>
        <w:rPr>
          <w:b w:val="0"/>
          <w:color w:val="auto"/>
        </w:rPr>
        <w:t>O</w:t>
      </w:r>
      <w:r w:rsidRPr="000D4830">
        <w:rPr>
          <w:b w:val="0"/>
          <w:color w:val="auto"/>
        </w:rPr>
        <w:t>s.</w:t>
      </w:r>
    </w:p>
    <w:p w:rsidR="00775E54" w:rsidRDefault="00775E54" w:rsidP="00E41521">
      <w:pPr>
        <w:spacing w:after="0"/>
      </w:pPr>
    </w:p>
    <w:p w:rsidR="008C6A81" w:rsidRPr="00B66E39" w:rsidRDefault="008C6A81" w:rsidP="00B66E39">
      <w:pPr>
        <w:pStyle w:val="Heading2"/>
        <w:numPr>
          <w:ilvl w:val="1"/>
          <w:numId w:val="5"/>
        </w:numPr>
      </w:pPr>
      <w:bookmarkStart w:id="9" w:name="_Toc379299418"/>
      <w:bookmarkStart w:id="10" w:name="_Toc390942534"/>
      <w:r w:rsidRPr="00B66E39">
        <w:t>T</w:t>
      </w:r>
      <w:r w:rsidR="00DB5F3A" w:rsidRPr="00B66E39">
        <w:t xml:space="preserve">Os </w:t>
      </w:r>
      <w:r w:rsidR="002E693B">
        <w:t xml:space="preserve">coherence </w:t>
      </w:r>
      <w:r w:rsidR="00DB5F3A" w:rsidRPr="00B66E39">
        <w:t xml:space="preserve">with national and EU level </w:t>
      </w:r>
      <w:bookmarkEnd w:id="9"/>
      <w:r w:rsidR="00B0168D">
        <w:t>strategies</w:t>
      </w:r>
      <w:bookmarkEnd w:id="10"/>
    </w:p>
    <w:p w:rsidR="00B82E86" w:rsidRDefault="00B82E86" w:rsidP="00E41521">
      <w:pPr>
        <w:spacing w:after="0"/>
        <w:jc w:val="both"/>
        <w:rPr>
          <w:rFonts w:eastAsia="Arial" w:cs="Times New Roman"/>
        </w:rPr>
      </w:pPr>
    </w:p>
    <w:p w:rsidR="00F54CF9" w:rsidRDefault="00D2786F" w:rsidP="00F54CF9">
      <w:pPr>
        <w:spacing w:after="0"/>
        <w:jc w:val="both"/>
        <w:rPr>
          <w:rFonts w:eastAsia="Arial" w:cs="Times New Roman"/>
        </w:rPr>
      </w:pPr>
      <w:r>
        <w:rPr>
          <w:rFonts w:eastAsia="Arial" w:cs="Times New Roman"/>
        </w:rPr>
        <w:t>The CPR</w:t>
      </w:r>
      <w:r w:rsidR="00B82E86">
        <w:rPr>
          <w:rStyle w:val="FootnoteReference"/>
          <w:rFonts w:eastAsia="Arial" w:cs="Times New Roman"/>
        </w:rPr>
        <w:footnoteReference w:id="10"/>
      </w:r>
      <w:r w:rsidR="00B82E86">
        <w:rPr>
          <w:rFonts w:eastAsia="Arial" w:cs="Times New Roman"/>
        </w:rPr>
        <w:t xml:space="preserve"> requires that t</w:t>
      </w:r>
      <w:r w:rsidR="00B82E86" w:rsidRPr="0079336B">
        <w:rPr>
          <w:rFonts w:eastAsia="Arial" w:cs="Times New Roman"/>
        </w:rPr>
        <w:t xml:space="preserve">he Programme, its objectives, priorities and directions of support </w:t>
      </w:r>
      <w:r w:rsidR="00B82E86">
        <w:rPr>
          <w:rFonts w:eastAsia="Arial" w:cs="Times New Roman"/>
        </w:rPr>
        <w:t>are</w:t>
      </w:r>
      <w:r w:rsidR="00B82E86" w:rsidRPr="0079336B">
        <w:rPr>
          <w:rFonts w:eastAsia="Arial" w:cs="Times New Roman"/>
        </w:rPr>
        <w:t xml:space="preserve"> in line with the national and EU level strategies and contribute to their successful achievement. </w:t>
      </w:r>
    </w:p>
    <w:p w:rsidR="00F54CF9" w:rsidRDefault="00F54CF9" w:rsidP="00F54CF9">
      <w:pPr>
        <w:spacing w:after="0"/>
        <w:jc w:val="both"/>
        <w:rPr>
          <w:rFonts w:eastAsia="Arial" w:cs="Times New Roman"/>
        </w:rPr>
      </w:pPr>
    </w:p>
    <w:p w:rsidR="00B52F8E" w:rsidRDefault="00ED48DF" w:rsidP="00F54CF9">
      <w:pPr>
        <w:spacing w:after="0"/>
        <w:jc w:val="both"/>
        <w:rPr>
          <w:rFonts w:eastAsia="Arial" w:cs="Times New Roman"/>
        </w:rPr>
      </w:pPr>
      <w:r>
        <w:rPr>
          <w:rFonts w:eastAsia="Arial" w:cs="Times New Roman"/>
        </w:rPr>
        <w:t>T</w:t>
      </w:r>
      <w:r w:rsidR="00F54CF9" w:rsidRPr="00F54CF9">
        <w:rPr>
          <w:rFonts w:eastAsia="Arial" w:cs="Times New Roman"/>
        </w:rPr>
        <w:t xml:space="preserve">he top-down approach was also used when selecting the TOs and the Programme provides some description on whether the selected TOs are in line with EU and national strategies. Although it is mentioned that the Programme has taken into account EU and national level strategies, </w:t>
      </w:r>
      <w:r w:rsidR="00DB5F3A">
        <w:rPr>
          <w:rFonts w:eastAsia="Arial" w:cs="Times New Roman"/>
        </w:rPr>
        <w:t xml:space="preserve">the Programme does </w:t>
      </w:r>
      <w:r w:rsidR="00F54CF9" w:rsidRPr="00F54CF9">
        <w:rPr>
          <w:rFonts w:eastAsia="Arial" w:cs="Times New Roman"/>
        </w:rPr>
        <w:t xml:space="preserve">not provide a very detailed description on how </w:t>
      </w:r>
      <w:r w:rsidR="00DB5F3A">
        <w:rPr>
          <w:rFonts w:eastAsia="Arial" w:cs="Times New Roman"/>
        </w:rPr>
        <w:t xml:space="preserve">it </w:t>
      </w:r>
      <w:r w:rsidR="00F54CF9" w:rsidRPr="00F54CF9">
        <w:rPr>
          <w:rFonts w:eastAsia="Arial" w:cs="Times New Roman"/>
        </w:rPr>
        <w:t xml:space="preserve">is aligned with these strategies and which strategy priorities specifically have been taken into account. </w:t>
      </w:r>
      <w:r w:rsidR="00DB5F3A">
        <w:rPr>
          <w:rFonts w:eastAsia="Arial" w:cs="Times New Roman"/>
        </w:rPr>
        <w:t xml:space="preserve">However, </w:t>
      </w:r>
      <w:r w:rsidR="00DB5F3A" w:rsidRPr="00F54CF9">
        <w:rPr>
          <w:rFonts w:eastAsia="Arial" w:cs="Times New Roman"/>
        </w:rPr>
        <w:t xml:space="preserve">the analysis of the relevant strategies </w:t>
      </w:r>
      <w:r w:rsidR="00DB5F3A">
        <w:rPr>
          <w:rFonts w:eastAsia="Arial" w:cs="Times New Roman"/>
        </w:rPr>
        <w:t>(See Table 2) showed</w:t>
      </w:r>
      <w:r w:rsidR="00DB5F3A" w:rsidRPr="00F54CF9">
        <w:rPr>
          <w:rFonts w:eastAsia="Arial" w:cs="Times New Roman"/>
        </w:rPr>
        <w:t xml:space="preserve"> that</w:t>
      </w:r>
      <w:r w:rsidR="00DB5F3A">
        <w:rPr>
          <w:rFonts w:eastAsia="Arial" w:cs="Times New Roman"/>
        </w:rPr>
        <w:t xml:space="preserve"> in general terms</w:t>
      </w:r>
      <w:r w:rsidR="00DB5F3A" w:rsidRPr="005F3327">
        <w:rPr>
          <w:rFonts w:cs="Arial"/>
        </w:rPr>
        <w:t xml:space="preserve"> the Programme is aligned with the EU level strategies.</w:t>
      </w:r>
    </w:p>
    <w:p w:rsidR="00B52F8E" w:rsidRDefault="00B52F8E" w:rsidP="00F54CF9">
      <w:pPr>
        <w:spacing w:after="0"/>
        <w:jc w:val="both"/>
        <w:rPr>
          <w:rFonts w:eastAsia="Arial" w:cs="Times New Roman"/>
        </w:rPr>
      </w:pPr>
    </w:p>
    <w:p w:rsidR="00B4720E" w:rsidRDefault="00B4720E" w:rsidP="00F54CF9">
      <w:pPr>
        <w:spacing w:after="0"/>
        <w:jc w:val="both"/>
        <w:rPr>
          <w:rFonts w:eastAsia="Arial" w:cs="Times New Roman"/>
        </w:rPr>
      </w:pPr>
    </w:p>
    <w:tbl>
      <w:tblPr>
        <w:tblStyle w:val="TableGrid"/>
        <w:tblW w:w="0" w:type="auto"/>
        <w:tblInd w:w="108" w:type="dxa"/>
        <w:tblLayout w:type="fixed"/>
        <w:tblLook w:val="04A0"/>
      </w:tblPr>
      <w:tblGrid>
        <w:gridCol w:w="887"/>
        <w:gridCol w:w="389"/>
        <w:gridCol w:w="567"/>
        <w:gridCol w:w="992"/>
        <w:gridCol w:w="567"/>
        <w:gridCol w:w="567"/>
        <w:gridCol w:w="851"/>
        <w:gridCol w:w="425"/>
        <w:gridCol w:w="567"/>
        <w:gridCol w:w="992"/>
        <w:gridCol w:w="709"/>
        <w:gridCol w:w="708"/>
        <w:gridCol w:w="851"/>
        <w:gridCol w:w="851"/>
      </w:tblGrid>
      <w:tr w:rsidR="00B52F8E" w:rsidRPr="00EA32C5" w:rsidTr="00390D73">
        <w:trPr>
          <w:cantSplit/>
          <w:trHeight w:val="4106"/>
        </w:trPr>
        <w:tc>
          <w:tcPr>
            <w:tcW w:w="887" w:type="dxa"/>
            <w:shd w:val="clear" w:color="auto" w:fill="FFFFFF" w:themeFill="background1"/>
            <w:vAlign w:val="center"/>
          </w:tcPr>
          <w:p w:rsidR="00B52F8E" w:rsidRPr="001F0AD5" w:rsidRDefault="00B52F8E" w:rsidP="00390D73">
            <w:pPr>
              <w:jc w:val="center"/>
              <w:rPr>
                <w:rFonts w:eastAsia="Times New Roman" w:cs="Times New Roman"/>
                <w:b/>
                <w:noProof/>
                <w:lang w:val="en-US"/>
              </w:rPr>
            </w:pPr>
            <w:r w:rsidRPr="001F0AD5">
              <w:rPr>
                <w:rFonts w:eastAsia="Times New Roman" w:cs="Times New Roman"/>
                <w:b/>
                <w:noProof/>
                <w:lang w:val="en-US"/>
              </w:rPr>
              <w:t>TO</w:t>
            </w:r>
          </w:p>
        </w:tc>
        <w:tc>
          <w:tcPr>
            <w:tcW w:w="389" w:type="dxa"/>
            <w:shd w:val="clear" w:color="auto" w:fill="DC6900"/>
            <w:textDirection w:val="btLr"/>
          </w:tcPr>
          <w:p w:rsidR="00B52F8E" w:rsidRPr="00EA32C5" w:rsidRDefault="00B52F8E" w:rsidP="00390D73">
            <w:pPr>
              <w:ind w:left="113" w:right="113"/>
              <w:jc w:val="center"/>
              <w:rPr>
                <w:rFonts w:eastAsia="Times New Roman" w:cs="Times New Roman"/>
                <w:noProof/>
                <w:lang w:val="en-US"/>
              </w:rPr>
            </w:pPr>
            <w:r w:rsidRPr="00EA32C5">
              <w:rPr>
                <w:rFonts w:eastAsia="Times New Roman" w:cs="Times New Roman"/>
                <w:noProof/>
                <w:lang w:val="en-US"/>
              </w:rPr>
              <w:t>EU</w:t>
            </w:r>
          </w:p>
        </w:tc>
        <w:tc>
          <w:tcPr>
            <w:tcW w:w="567" w:type="dxa"/>
            <w:textDirection w:val="btLr"/>
          </w:tcPr>
          <w:p w:rsidR="00B52F8E" w:rsidRPr="00EA32C5" w:rsidRDefault="00B52F8E" w:rsidP="00390D73">
            <w:pPr>
              <w:ind w:left="113" w:right="113"/>
              <w:rPr>
                <w:rFonts w:eastAsia="Times New Roman" w:cs="Times New Roman"/>
                <w:noProof/>
                <w:lang w:val="en-US"/>
              </w:rPr>
            </w:pPr>
            <w:r w:rsidRPr="00EA32C5">
              <w:rPr>
                <w:rFonts w:eastAsia="Times New Roman" w:cs="Times New Roman"/>
                <w:noProof/>
                <w:lang w:val="en-US"/>
              </w:rPr>
              <w:t>Common Strategic Framework 2014-2020</w:t>
            </w:r>
          </w:p>
          <w:p w:rsidR="00B52F8E" w:rsidRPr="00EA32C5" w:rsidRDefault="00B52F8E" w:rsidP="00390D73">
            <w:pPr>
              <w:ind w:left="113" w:right="113"/>
              <w:rPr>
                <w:rFonts w:eastAsia="Times New Roman" w:cs="Times New Roman"/>
                <w:noProof/>
                <w:lang w:val="en-US"/>
              </w:rPr>
            </w:pPr>
          </w:p>
          <w:p w:rsidR="00B52F8E" w:rsidRPr="00EA32C5" w:rsidRDefault="00B52F8E" w:rsidP="00390D73">
            <w:pPr>
              <w:ind w:left="113" w:right="113"/>
              <w:rPr>
                <w:rFonts w:eastAsia="Times New Roman" w:cs="Times New Roman"/>
                <w:noProof/>
              </w:rPr>
            </w:pPr>
          </w:p>
          <w:p w:rsidR="00B52F8E" w:rsidRPr="00EA32C5" w:rsidRDefault="00B52F8E" w:rsidP="00390D73">
            <w:pPr>
              <w:ind w:left="113" w:right="113"/>
            </w:pPr>
          </w:p>
        </w:tc>
        <w:tc>
          <w:tcPr>
            <w:tcW w:w="992" w:type="dxa"/>
            <w:textDirection w:val="btLr"/>
          </w:tcPr>
          <w:p w:rsidR="00B52F8E" w:rsidRPr="00EA32C5" w:rsidRDefault="00B52F8E" w:rsidP="00390D73">
            <w:pPr>
              <w:ind w:left="113" w:right="113"/>
              <w:rPr>
                <w:rFonts w:eastAsia="Calibri" w:cs="Times New Roman"/>
                <w:bCs/>
              </w:rPr>
            </w:pPr>
            <w:r w:rsidRPr="00EA32C5">
              <w:rPr>
                <w:rFonts w:eastAsia="Calibri" w:cs="Times New Roman"/>
                <w:bCs/>
              </w:rPr>
              <w:t>Position of the Commission Services on the development of Partnership Agreement and programmes for the period 2014-2020</w:t>
            </w:r>
          </w:p>
          <w:p w:rsidR="00B52F8E" w:rsidRPr="00EA32C5" w:rsidRDefault="00B52F8E" w:rsidP="00390D73">
            <w:pPr>
              <w:ind w:left="113" w:right="113"/>
            </w:pPr>
          </w:p>
        </w:tc>
        <w:tc>
          <w:tcPr>
            <w:tcW w:w="567" w:type="dxa"/>
            <w:textDirection w:val="btLr"/>
          </w:tcPr>
          <w:p w:rsidR="00B52F8E" w:rsidRPr="00EA32C5" w:rsidRDefault="00B52F8E" w:rsidP="00390D73">
            <w:pPr>
              <w:ind w:left="113" w:right="113"/>
              <w:rPr>
                <w:rFonts w:eastAsia="Times New Roman" w:cs="Times New Roman"/>
                <w:lang w:val="en-US"/>
              </w:rPr>
            </w:pPr>
            <w:r w:rsidRPr="00EA32C5">
              <w:rPr>
                <w:rFonts w:eastAsia="Times New Roman" w:cs="Times New Roman"/>
                <w:lang w:val="en-US"/>
              </w:rPr>
              <w:t xml:space="preserve">EUROPE 2020 </w:t>
            </w:r>
          </w:p>
          <w:p w:rsidR="00B52F8E" w:rsidRPr="00EA32C5" w:rsidRDefault="00B52F8E" w:rsidP="00390D73">
            <w:pPr>
              <w:ind w:left="113" w:right="113"/>
            </w:pPr>
          </w:p>
        </w:tc>
        <w:tc>
          <w:tcPr>
            <w:tcW w:w="567" w:type="dxa"/>
            <w:textDirection w:val="btLr"/>
          </w:tcPr>
          <w:p w:rsidR="00B52F8E" w:rsidRPr="00EA32C5" w:rsidRDefault="00B52F8E" w:rsidP="00390D73">
            <w:pPr>
              <w:ind w:left="113" w:right="113"/>
            </w:pPr>
            <w:r w:rsidRPr="0091402B">
              <w:rPr>
                <w:rFonts w:eastAsia="Times New Roman" w:cs="Times New Roman"/>
                <w:lang w:val="en-US"/>
              </w:rPr>
              <w:t xml:space="preserve">The European Union Strategy for the Baltic Sea Region </w:t>
            </w:r>
          </w:p>
        </w:tc>
        <w:tc>
          <w:tcPr>
            <w:tcW w:w="851" w:type="dxa"/>
            <w:textDirection w:val="btLr"/>
          </w:tcPr>
          <w:p w:rsidR="00B52F8E" w:rsidRPr="00EA32C5" w:rsidRDefault="00B52F8E" w:rsidP="00390D73">
            <w:pPr>
              <w:autoSpaceDE w:val="0"/>
              <w:autoSpaceDN w:val="0"/>
              <w:adjustRightInd w:val="0"/>
              <w:ind w:left="113" w:right="113"/>
              <w:rPr>
                <w:rFonts w:eastAsia="Arial" w:cs="Times New Roman"/>
                <w:color w:val="000000"/>
                <w:lang w:val="en-US"/>
              </w:rPr>
            </w:pPr>
            <w:r w:rsidRPr="00EA32C5">
              <w:rPr>
                <w:rFonts w:cs="Times New Roman"/>
                <w:bCs/>
              </w:rPr>
              <w:t xml:space="preserve">Disability Strategy 2010-2020: A Renewed Commitment to a Barrier-Free </w:t>
            </w:r>
          </w:p>
          <w:p w:rsidR="00B52F8E" w:rsidRPr="00EA32C5" w:rsidRDefault="00B52F8E" w:rsidP="00390D73">
            <w:pPr>
              <w:ind w:left="113" w:right="113"/>
              <w:rPr>
                <w:lang w:val="en-US"/>
              </w:rPr>
            </w:pPr>
          </w:p>
        </w:tc>
        <w:tc>
          <w:tcPr>
            <w:tcW w:w="425" w:type="dxa"/>
            <w:shd w:val="clear" w:color="auto" w:fill="DC6900"/>
            <w:textDirection w:val="btLr"/>
          </w:tcPr>
          <w:p w:rsidR="00B52F8E" w:rsidRPr="00EA32C5" w:rsidRDefault="00B52F8E" w:rsidP="00390D73">
            <w:pPr>
              <w:ind w:left="113" w:right="113"/>
              <w:jc w:val="center"/>
            </w:pPr>
            <w:r w:rsidRPr="00F13078">
              <w:t>N</w:t>
            </w:r>
            <w:r w:rsidRPr="00EA32C5">
              <w:t>ational</w:t>
            </w:r>
          </w:p>
        </w:tc>
        <w:tc>
          <w:tcPr>
            <w:tcW w:w="567" w:type="dxa"/>
            <w:textDirection w:val="btLr"/>
          </w:tcPr>
          <w:p w:rsidR="00B52F8E" w:rsidRPr="00EA32C5" w:rsidRDefault="00411F3A" w:rsidP="00390D73">
            <w:pPr>
              <w:ind w:left="113" w:right="113"/>
              <w:rPr>
                <w:rFonts w:eastAsia="Arial" w:cs="Times New Roman"/>
              </w:rPr>
            </w:pPr>
            <w:r>
              <w:rPr>
                <w:rFonts w:eastAsia="Arial" w:cs="Times New Roman"/>
              </w:rPr>
              <w:t xml:space="preserve">Latvia’s </w:t>
            </w:r>
            <w:r w:rsidR="00B52F8E" w:rsidRPr="00EA32C5">
              <w:rPr>
                <w:rFonts w:eastAsia="Arial" w:cs="Times New Roman"/>
              </w:rPr>
              <w:t>National Development Plan</w:t>
            </w:r>
          </w:p>
          <w:p w:rsidR="00B52F8E" w:rsidRPr="00EA32C5" w:rsidRDefault="00B52F8E" w:rsidP="00390D73">
            <w:pPr>
              <w:ind w:left="113" w:right="113"/>
            </w:pPr>
          </w:p>
        </w:tc>
        <w:tc>
          <w:tcPr>
            <w:tcW w:w="992" w:type="dxa"/>
            <w:textDirection w:val="btLr"/>
          </w:tcPr>
          <w:p w:rsidR="00B52F8E" w:rsidRPr="00EA32C5" w:rsidRDefault="00411F3A" w:rsidP="00390D73">
            <w:pPr>
              <w:ind w:left="113" w:right="113"/>
              <w:rPr>
                <w:rFonts w:eastAsia="Times New Roman" w:cs="Times New Roman"/>
                <w:lang w:val="en-US"/>
              </w:rPr>
            </w:pPr>
            <w:r>
              <w:rPr>
                <w:rFonts w:eastAsia="Times New Roman" w:cs="Times New Roman"/>
                <w:lang w:val="en-US"/>
              </w:rPr>
              <w:t xml:space="preserve">Latvia’s and Lithuania’s </w:t>
            </w:r>
            <w:r w:rsidR="00B52F8E">
              <w:rPr>
                <w:rFonts w:eastAsia="Times New Roman" w:cs="Times New Roman"/>
                <w:lang w:val="en-US"/>
              </w:rPr>
              <w:t>NRP</w:t>
            </w:r>
            <w:r w:rsidR="00B52F8E" w:rsidRPr="00EA32C5">
              <w:rPr>
                <w:rFonts w:eastAsia="Times New Roman" w:cs="Times New Roman"/>
                <w:lang w:val="en-US"/>
              </w:rPr>
              <w:t xml:space="preserve"> for the Implementation of the “Europe 2020” strategy</w:t>
            </w:r>
          </w:p>
          <w:p w:rsidR="00B52F8E" w:rsidRPr="00EA32C5" w:rsidRDefault="00B52F8E" w:rsidP="00390D73">
            <w:pPr>
              <w:ind w:left="113" w:right="113"/>
              <w:rPr>
                <w:lang w:val="en-US"/>
              </w:rPr>
            </w:pPr>
          </w:p>
        </w:tc>
        <w:tc>
          <w:tcPr>
            <w:tcW w:w="709" w:type="dxa"/>
            <w:textDirection w:val="btLr"/>
          </w:tcPr>
          <w:p w:rsidR="00B52F8E" w:rsidRPr="00EA32C5" w:rsidRDefault="00B52F8E" w:rsidP="00390D73">
            <w:pPr>
              <w:ind w:left="113" w:right="113"/>
              <w:rPr>
                <w:rFonts w:eastAsia="Arial" w:cs="Times New Roman"/>
                <w:lang w:val="en-US"/>
              </w:rPr>
            </w:pPr>
            <w:r w:rsidRPr="00EA32C5">
              <w:rPr>
                <w:rFonts w:eastAsia="Arial" w:cs="Times New Roman"/>
                <w:lang w:val="en-US"/>
              </w:rPr>
              <w:t>Lithuania’s Progress Strategy “Lithuania 2030”</w:t>
            </w:r>
          </w:p>
          <w:p w:rsidR="00B52F8E" w:rsidRPr="00EA32C5" w:rsidRDefault="00B52F8E" w:rsidP="00390D73">
            <w:pPr>
              <w:ind w:left="113" w:right="113"/>
            </w:pPr>
          </w:p>
        </w:tc>
        <w:tc>
          <w:tcPr>
            <w:tcW w:w="708" w:type="dxa"/>
            <w:textDirection w:val="btLr"/>
          </w:tcPr>
          <w:p w:rsidR="00B52F8E" w:rsidRPr="00EA32C5" w:rsidRDefault="00B52F8E" w:rsidP="00390D73">
            <w:pPr>
              <w:ind w:left="113" w:right="113"/>
              <w:rPr>
                <w:rFonts w:eastAsia="Arial" w:cs="Times New Roman"/>
                <w:bCs/>
              </w:rPr>
            </w:pPr>
            <w:r w:rsidRPr="00EA32C5">
              <w:rPr>
                <w:rFonts w:eastAsia="Arial" w:cs="Times New Roman"/>
              </w:rPr>
              <w:t xml:space="preserve">Sustainable Development Strategy of </w:t>
            </w:r>
            <w:r w:rsidRPr="00EA32C5">
              <w:rPr>
                <w:rFonts w:eastAsia="Arial" w:cs="Times New Roman"/>
                <w:bCs/>
              </w:rPr>
              <w:t xml:space="preserve">Latvia until 2030 </w:t>
            </w:r>
          </w:p>
          <w:p w:rsidR="00B52F8E" w:rsidRPr="00EA32C5" w:rsidRDefault="00B52F8E" w:rsidP="00390D73">
            <w:pPr>
              <w:ind w:left="113" w:right="113"/>
            </w:pPr>
          </w:p>
        </w:tc>
        <w:tc>
          <w:tcPr>
            <w:tcW w:w="851" w:type="dxa"/>
            <w:textDirection w:val="btLr"/>
          </w:tcPr>
          <w:p w:rsidR="00B52F8E" w:rsidRPr="00EA32C5" w:rsidRDefault="00B52F8E" w:rsidP="00390D73">
            <w:pPr>
              <w:ind w:left="113" w:right="113"/>
              <w:rPr>
                <w:rFonts w:eastAsia="Arial" w:cs="Times New Roman"/>
                <w:lang w:val="en-US"/>
              </w:rPr>
            </w:pPr>
            <w:r w:rsidRPr="00EA32C5">
              <w:rPr>
                <w:rFonts w:eastAsia="Arial" w:cs="Times New Roman"/>
                <w:lang w:val="en-US"/>
              </w:rPr>
              <w:t>Latvia’s National Road Improvement Programme 2014-2020</w:t>
            </w:r>
          </w:p>
          <w:p w:rsidR="00B52F8E" w:rsidRPr="00EA32C5" w:rsidRDefault="00B52F8E" w:rsidP="00390D73">
            <w:pPr>
              <w:ind w:left="113" w:right="113"/>
              <w:rPr>
                <w:rFonts w:eastAsia="Times New Roman" w:cs="Times New Roman"/>
                <w:noProof/>
                <w:lang w:val="en-US"/>
              </w:rPr>
            </w:pPr>
          </w:p>
          <w:p w:rsidR="00B52F8E" w:rsidRPr="00EA32C5" w:rsidRDefault="00B52F8E" w:rsidP="00390D73">
            <w:pPr>
              <w:ind w:left="113" w:right="113"/>
              <w:rPr>
                <w:rFonts w:eastAsia="Arial" w:cs="Times New Roman"/>
                <w:lang w:val="en-US"/>
              </w:rPr>
            </w:pPr>
          </w:p>
        </w:tc>
        <w:tc>
          <w:tcPr>
            <w:tcW w:w="851" w:type="dxa"/>
            <w:textDirection w:val="btLr"/>
          </w:tcPr>
          <w:p w:rsidR="00B52F8E" w:rsidRPr="001F0AD5" w:rsidRDefault="00B52F8E" w:rsidP="00390D73">
            <w:pPr>
              <w:ind w:left="113" w:right="113"/>
              <w:rPr>
                <w:rFonts w:eastAsia="Arial" w:cs="Times New Roman"/>
                <w:lang w:val="en-US"/>
              </w:rPr>
            </w:pPr>
            <w:r w:rsidRPr="001F0AD5">
              <w:rPr>
                <w:rFonts w:eastAsia="Arial" w:cs="Times New Roman"/>
                <w:lang w:val="en-US"/>
              </w:rPr>
              <w:t>The Long-term (Until 2025) Development Strategy of the Lithuanian Transport System</w:t>
            </w:r>
          </w:p>
          <w:p w:rsidR="00B52F8E" w:rsidRPr="00EA32C5" w:rsidRDefault="00B52F8E" w:rsidP="00390D73">
            <w:pPr>
              <w:ind w:left="113" w:right="113"/>
              <w:rPr>
                <w:rFonts w:eastAsia="Arial" w:cs="Times New Roman"/>
                <w:lang w:val="en-US"/>
              </w:rPr>
            </w:pPr>
          </w:p>
        </w:tc>
      </w:tr>
      <w:tr w:rsidR="00B52F8E" w:rsidTr="00390D73">
        <w:tc>
          <w:tcPr>
            <w:tcW w:w="887" w:type="dxa"/>
          </w:tcPr>
          <w:p w:rsidR="00B52F8E" w:rsidRPr="001F0AD5" w:rsidRDefault="00B52F8E" w:rsidP="00390D73">
            <w:pPr>
              <w:rPr>
                <w:b/>
              </w:rPr>
            </w:pPr>
            <w:r w:rsidRPr="001F0AD5">
              <w:rPr>
                <w:b/>
              </w:rPr>
              <w:t>TO6</w:t>
            </w:r>
          </w:p>
        </w:tc>
        <w:tc>
          <w:tcPr>
            <w:tcW w:w="389" w:type="dxa"/>
            <w:vMerge w:val="restart"/>
          </w:tcPr>
          <w:p w:rsidR="00B52F8E" w:rsidRDefault="00B52F8E" w:rsidP="00390D73"/>
        </w:tc>
        <w:tc>
          <w:tcPr>
            <w:tcW w:w="567" w:type="dxa"/>
            <w:vAlign w:val="center"/>
          </w:tcPr>
          <w:p w:rsidR="00B52F8E" w:rsidRDefault="00B52F8E" w:rsidP="00390D73">
            <w:pPr>
              <w:jc w:val="center"/>
            </w:pPr>
            <w:r>
              <w:t>√</w:t>
            </w:r>
          </w:p>
        </w:tc>
        <w:tc>
          <w:tcPr>
            <w:tcW w:w="992" w:type="dxa"/>
            <w:vAlign w:val="center"/>
          </w:tcPr>
          <w:p w:rsidR="00B52F8E" w:rsidRDefault="00B52F8E" w:rsidP="00390D73">
            <w:pPr>
              <w:jc w:val="center"/>
            </w:pPr>
            <w:r>
              <w:t>√</w:t>
            </w:r>
          </w:p>
        </w:tc>
        <w:tc>
          <w:tcPr>
            <w:tcW w:w="567" w:type="dxa"/>
            <w:vAlign w:val="center"/>
          </w:tcPr>
          <w:p w:rsidR="00B52F8E" w:rsidRDefault="00B52F8E" w:rsidP="00390D73">
            <w:pPr>
              <w:jc w:val="center"/>
            </w:pPr>
            <w:r>
              <w:t>√</w:t>
            </w:r>
          </w:p>
        </w:tc>
        <w:tc>
          <w:tcPr>
            <w:tcW w:w="567" w:type="dxa"/>
            <w:vAlign w:val="center"/>
          </w:tcPr>
          <w:p w:rsidR="00B52F8E" w:rsidRDefault="00B52F8E" w:rsidP="00390D73">
            <w:pPr>
              <w:jc w:val="center"/>
            </w:pPr>
            <w:r>
              <w:t>√</w:t>
            </w:r>
          </w:p>
        </w:tc>
        <w:tc>
          <w:tcPr>
            <w:tcW w:w="851" w:type="dxa"/>
            <w:vAlign w:val="center"/>
          </w:tcPr>
          <w:p w:rsidR="00B52F8E" w:rsidRDefault="00B52F8E" w:rsidP="00390D73">
            <w:pPr>
              <w:jc w:val="center"/>
            </w:pPr>
          </w:p>
        </w:tc>
        <w:tc>
          <w:tcPr>
            <w:tcW w:w="425" w:type="dxa"/>
            <w:vMerge w:val="restart"/>
            <w:vAlign w:val="center"/>
          </w:tcPr>
          <w:p w:rsidR="00B52F8E" w:rsidRDefault="00B52F8E" w:rsidP="00390D73">
            <w:pPr>
              <w:jc w:val="center"/>
            </w:pPr>
          </w:p>
        </w:tc>
        <w:tc>
          <w:tcPr>
            <w:tcW w:w="567" w:type="dxa"/>
            <w:vAlign w:val="center"/>
          </w:tcPr>
          <w:p w:rsidR="00B52F8E" w:rsidRDefault="00B52F8E" w:rsidP="00390D73">
            <w:pPr>
              <w:jc w:val="center"/>
            </w:pPr>
            <w:r>
              <w:t>√</w:t>
            </w:r>
          </w:p>
        </w:tc>
        <w:tc>
          <w:tcPr>
            <w:tcW w:w="992" w:type="dxa"/>
            <w:vAlign w:val="center"/>
          </w:tcPr>
          <w:p w:rsidR="00B52F8E" w:rsidRDefault="00B52F8E" w:rsidP="00390D73">
            <w:pPr>
              <w:jc w:val="center"/>
            </w:pPr>
            <w:r>
              <w:t>√</w:t>
            </w:r>
          </w:p>
        </w:tc>
        <w:tc>
          <w:tcPr>
            <w:tcW w:w="709" w:type="dxa"/>
            <w:vAlign w:val="center"/>
          </w:tcPr>
          <w:p w:rsidR="00B52F8E" w:rsidRDefault="00B52F8E" w:rsidP="00390D73">
            <w:pPr>
              <w:jc w:val="center"/>
            </w:pPr>
            <w:r>
              <w:t>√</w:t>
            </w:r>
          </w:p>
        </w:tc>
        <w:tc>
          <w:tcPr>
            <w:tcW w:w="708" w:type="dxa"/>
            <w:vAlign w:val="center"/>
          </w:tcPr>
          <w:p w:rsidR="00B52F8E" w:rsidRDefault="00B52F8E" w:rsidP="00390D73">
            <w:pPr>
              <w:jc w:val="center"/>
            </w:pPr>
            <w:r>
              <w:t>√</w:t>
            </w:r>
          </w:p>
        </w:tc>
        <w:tc>
          <w:tcPr>
            <w:tcW w:w="851" w:type="dxa"/>
            <w:vAlign w:val="center"/>
          </w:tcPr>
          <w:p w:rsidR="00B52F8E" w:rsidRDefault="00B52F8E" w:rsidP="00390D73">
            <w:pPr>
              <w:jc w:val="center"/>
            </w:pPr>
          </w:p>
        </w:tc>
        <w:tc>
          <w:tcPr>
            <w:tcW w:w="851" w:type="dxa"/>
            <w:vAlign w:val="center"/>
          </w:tcPr>
          <w:p w:rsidR="00B52F8E" w:rsidRDefault="00B52F8E" w:rsidP="00390D73">
            <w:pPr>
              <w:jc w:val="center"/>
            </w:pPr>
          </w:p>
        </w:tc>
      </w:tr>
      <w:tr w:rsidR="00B52F8E" w:rsidTr="00390D73">
        <w:tc>
          <w:tcPr>
            <w:tcW w:w="887" w:type="dxa"/>
          </w:tcPr>
          <w:p w:rsidR="00B52F8E" w:rsidRPr="001F0AD5" w:rsidRDefault="00B52F8E" w:rsidP="00390D73">
            <w:pPr>
              <w:rPr>
                <w:b/>
              </w:rPr>
            </w:pPr>
            <w:r w:rsidRPr="001F0AD5">
              <w:rPr>
                <w:b/>
              </w:rPr>
              <w:t>TO8</w:t>
            </w:r>
          </w:p>
        </w:tc>
        <w:tc>
          <w:tcPr>
            <w:tcW w:w="389" w:type="dxa"/>
            <w:vMerge/>
          </w:tcPr>
          <w:p w:rsidR="00B52F8E" w:rsidRDefault="00B52F8E" w:rsidP="00390D73"/>
        </w:tc>
        <w:tc>
          <w:tcPr>
            <w:tcW w:w="567" w:type="dxa"/>
            <w:vAlign w:val="center"/>
          </w:tcPr>
          <w:p w:rsidR="00B52F8E" w:rsidRDefault="00B52F8E" w:rsidP="00390D73">
            <w:pPr>
              <w:jc w:val="center"/>
            </w:pPr>
            <w:r>
              <w:t>√</w:t>
            </w:r>
          </w:p>
        </w:tc>
        <w:tc>
          <w:tcPr>
            <w:tcW w:w="992" w:type="dxa"/>
            <w:vAlign w:val="center"/>
          </w:tcPr>
          <w:p w:rsidR="00B52F8E" w:rsidRDefault="00B52F8E" w:rsidP="00390D73">
            <w:pPr>
              <w:jc w:val="center"/>
            </w:pPr>
            <w:r>
              <w:t>√</w:t>
            </w:r>
          </w:p>
        </w:tc>
        <w:tc>
          <w:tcPr>
            <w:tcW w:w="567" w:type="dxa"/>
            <w:vAlign w:val="center"/>
          </w:tcPr>
          <w:p w:rsidR="00B52F8E" w:rsidRDefault="00B52F8E" w:rsidP="00390D73">
            <w:pPr>
              <w:jc w:val="center"/>
            </w:pPr>
            <w:r>
              <w:t>√</w:t>
            </w:r>
          </w:p>
        </w:tc>
        <w:tc>
          <w:tcPr>
            <w:tcW w:w="567" w:type="dxa"/>
            <w:vAlign w:val="center"/>
          </w:tcPr>
          <w:p w:rsidR="00B52F8E" w:rsidRDefault="00B52F8E" w:rsidP="00390D73">
            <w:pPr>
              <w:jc w:val="center"/>
            </w:pPr>
            <w:r>
              <w:t>√</w:t>
            </w:r>
          </w:p>
        </w:tc>
        <w:tc>
          <w:tcPr>
            <w:tcW w:w="851" w:type="dxa"/>
            <w:vAlign w:val="center"/>
          </w:tcPr>
          <w:p w:rsidR="00B52F8E" w:rsidRDefault="00B52F8E" w:rsidP="00390D73">
            <w:pPr>
              <w:jc w:val="center"/>
            </w:pPr>
          </w:p>
        </w:tc>
        <w:tc>
          <w:tcPr>
            <w:tcW w:w="425" w:type="dxa"/>
            <w:vMerge/>
            <w:vAlign w:val="center"/>
          </w:tcPr>
          <w:p w:rsidR="00B52F8E" w:rsidRDefault="00B52F8E" w:rsidP="00390D73">
            <w:pPr>
              <w:jc w:val="center"/>
            </w:pPr>
          </w:p>
        </w:tc>
        <w:tc>
          <w:tcPr>
            <w:tcW w:w="567" w:type="dxa"/>
            <w:vAlign w:val="center"/>
          </w:tcPr>
          <w:p w:rsidR="00B52F8E" w:rsidRDefault="00B52F8E" w:rsidP="00390D73">
            <w:pPr>
              <w:jc w:val="center"/>
            </w:pPr>
            <w:r>
              <w:t>√</w:t>
            </w:r>
          </w:p>
        </w:tc>
        <w:tc>
          <w:tcPr>
            <w:tcW w:w="992" w:type="dxa"/>
            <w:vAlign w:val="center"/>
          </w:tcPr>
          <w:p w:rsidR="00B52F8E" w:rsidRDefault="00B52F8E" w:rsidP="00390D73">
            <w:pPr>
              <w:jc w:val="center"/>
            </w:pPr>
            <w:r>
              <w:t>√</w:t>
            </w:r>
          </w:p>
        </w:tc>
        <w:tc>
          <w:tcPr>
            <w:tcW w:w="709" w:type="dxa"/>
            <w:vAlign w:val="center"/>
          </w:tcPr>
          <w:p w:rsidR="00B52F8E" w:rsidRDefault="00B52F8E" w:rsidP="00390D73">
            <w:pPr>
              <w:jc w:val="center"/>
            </w:pPr>
            <w:r>
              <w:t>√</w:t>
            </w:r>
          </w:p>
        </w:tc>
        <w:tc>
          <w:tcPr>
            <w:tcW w:w="708" w:type="dxa"/>
            <w:vAlign w:val="center"/>
          </w:tcPr>
          <w:p w:rsidR="00B52F8E" w:rsidRDefault="00B52F8E" w:rsidP="00390D73">
            <w:pPr>
              <w:jc w:val="center"/>
            </w:pPr>
            <w:r>
              <w:t>√</w:t>
            </w:r>
          </w:p>
        </w:tc>
        <w:tc>
          <w:tcPr>
            <w:tcW w:w="851" w:type="dxa"/>
            <w:vAlign w:val="center"/>
          </w:tcPr>
          <w:p w:rsidR="00B52F8E" w:rsidRDefault="00B52F8E" w:rsidP="00390D73">
            <w:pPr>
              <w:jc w:val="center"/>
            </w:pPr>
            <w:r>
              <w:t>√</w:t>
            </w:r>
          </w:p>
        </w:tc>
        <w:tc>
          <w:tcPr>
            <w:tcW w:w="851" w:type="dxa"/>
            <w:vAlign w:val="center"/>
          </w:tcPr>
          <w:p w:rsidR="00B52F8E" w:rsidRDefault="00B52F8E" w:rsidP="00390D73">
            <w:pPr>
              <w:jc w:val="center"/>
            </w:pPr>
            <w:r>
              <w:t>√</w:t>
            </w:r>
          </w:p>
        </w:tc>
      </w:tr>
      <w:tr w:rsidR="00B52F8E" w:rsidTr="00390D73">
        <w:tc>
          <w:tcPr>
            <w:tcW w:w="887" w:type="dxa"/>
          </w:tcPr>
          <w:p w:rsidR="00B52F8E" w:rsidRPr="001F0AD5" w:rsidRDefault="00B52F8E" w:rsidP="00390D73">
            <w:pPr>
              <w:rPr>
                <w:b/>
              </w:rPr>
            </w:pPr>
            <w:r w:rsidRPr="001F0AD5">
              <w:rPr>
                <w:b/>
              </w:rPr>
              <w:t>TO9</w:t>
            </w:r>
          </w:p>
        </w:tc>
        <w:tc>
          <w:tcPr>
            <w:tcW w:w="389" w:type="dxa"/>
            <w:vMerge/>
          </w:tcPr>
          <w:p w:rsidR="00B52F8E" w:rsidRDefault="00B52F8E" w:rsidP="00390D73"/>
        </w:tc>
        <w:tc>
          <w:tcPr>
            <w:tcW w:w="567" w:type="dxa"/>
            <w:vAlign w:val="center"/>
          </w:tcPr>
          <w:p w:rsidR="00B52F8E" w:rsidRDefault="00B52F8E" w:rsidP="00390D73">
            <w:pPr>
              <w:jc w:val="center"/>
            </w:pPr>
            <w:r>
              <w:t>√</w:t>
            </w:r>
          </w:p>
        </w:tc>
        <w:tc>
          <w:tcPr>
            <w:tcW w:w="992" w:type="dxa"/>
            <w:vAlign w:val="center"/>
          </w:tcPr>
          <w:p w:rsidR="00B52F8E" w:rsidRDefault="00B52F8E" w:rsidP="00390D73">
            <w:pPr>
              <w:jc w:val="center"/>
            </w:pPr>
            <w:r>
              <w:t>√</w:t>
            </w:r>
          </w:p>
        </w:tc>
        <w:tc>
          <w:tcPr>
            <w:tcW w:w="567" w:type="dxa"/>
            <w:vAlign w:val="center"/>
          </w:tcPr>
          <w:p w:rsidR="00B52F8E" w:rsidRDefault="00B52F8E" w:rsidP="00390D73">
            <w:pPr>
              <w:jc w:val="center"/>
            </w:pPr>
            <w:r>
              <w:t>√</w:t>
            </w:r>
          </w:p>
        </w:tc>
        <w:tc>
          <w:tcPr>
            <w:tcW w:w="567" w:type="dxa"/>
            <w:vAlign w:val="center"/>
          </w:tcPr>
          <w:p w:rsidR="00B52F8E" w:rsidRDefault="00B52F8E" w:rsidP="00390D73">
            <w:pPr>
              <w:jc w:val="center"/>
            </w:pPr>
            <w:r>
              <w:t>√</w:t>
            </w:r>
          </w:p>
        </w:tc>
        <w:tc>
          <w:tcPr>
            <w:tcW w:w="851" w:type="dxa"/>
            <w:vAlign w:val="center"/>
          </w:tcPr>
          <w:p w:rsidR="00B52F8E" w:rsidRDefault="00B52F8E" w:rsidP="00390D73">
            <w:pPr>
              <w:jc w:val="center"/>
            </w:pPr>
            <w:r>
              <w:t>√</w:t>
            </w:r>
          </w:p>
        </w:tc>
        <w:tc>
          <w:tcPr>
            <w:tcW w:w="425" w:type="dxa"/>
            <w:vMerge/>
            <w:vAlign w:val="center"/>
          </w:tcPr>
          <w:p w:rsidR="00B52F8E" w:rsidRDefault="00B52F8E" w:rsidP="00390D73">
            <w:pPr>
              <w:jc w:val="center"/>
            </w:pPr>
          </w:p>
        </w:tc>
        <w:tc>
          <w:tcPr>
            <w:tcW w:w="567" w:type="dxa"/>
            <w:vAlign w:val="center"/>
          </w:tcPr>
          <w:p w:rsidR="00B52F8E" w:rsidRDefault="00B52F8E" w:rsidP="00390D73">
            <w:pPr>
              <w:jc w:val="center"/>
            </w:pPr>
            <w:r>
              <w:t>√</w:t>
            </w:r>
          </w:p>
        </w:tc>
        <w:tc>
          <w:tcPr>
            <w:tcW w:w="992" w:type="dxa"/>
            <w:vAlign w:val="center"/>
          </w:tcPr>
          <w:p w:rsidR="00B52F8E" w:rsidRDefault="00B52F8E" w:rsidP="00390D73">
            <w:pPr>
              <w:jc w:val="center"/>
            </w:pPr>
            <w:r>
              <w:t>√</w:t>
            </w:r>
          </w:p>
        </w:tc>
        <w:tc>
          <w:tcPr>
            <w:tcW w:w="709" w:type="dxa"/>
            <w:vAlign w:val="center"/>
          </w:tcPr>
          <w:p w:rsidR="00B52F8E" w:rsidRDefault="00B52F8E" w:rsidP="00390D73">
            <w:pPr>
              <w:jc w:val="center"/>
            </w:pPr>
            <w:r>
              <w:t>√</w:t>
            </w:r>
          </w:p>
        </w:tc>
        <w:tc>
          <w:tcPr>
            <w:tcW w:w="708" w:type="dxa"/>
            <w:vAlign w:val="center"/>
          </w:tcPr>
          <w:p w:rsidR="00B52F8E" w:rsidRDefault="00B52F8E" w:rsidP="00390D73">
            <w:pPr>
              <w:jc w:val="center"/>
            </w:pPr>
            <w:r>
              <w:t>√</w:t>
            </w:r>
          </w:p>
        </w:tc>
        <w:tc>
          <w:tcPr>
            <w:tcW w:w="851" w:type="dxa"/>
            <w:vAlign w:val="center"/>
          </w:tcPr>
          <w:p w:rsidR="00B52F8E" w:rsidRDefault="00B52F8E" w:rsidP="00390D73">
            <w:pPr>
              <w:jc w:val="center"/>
            </w:pPr>
          </w:p>
        </w:tc>
        <w:tc>
          <w:tcPr>
            <w:tcW w:w="851" w:type="dxa"/>
            <w:vAlign w:val="center"/>
          </w:tcPr>
          <w:p w:rsidR="00B52F8E" w:rsidRDefault="00B52F8E" w:rsidP="00390D73">
            <w:pPr>
              <w:jc w:val="center"/>
            </w:pPr>
          </w:p>
        </w:tc>
      </w:tr>
      <w:tr w:rsidR="00B52F8E" w:rsidTr="00390D73">
        <w:tc>
          <w:tcPr>
            <w:tcW w:w="887" w:type="dxa"/>
          </w:tcPr>
          <w:p w:rsidR="00B52F8E" w:rsidRPr="001F0AD5" w:rsidRDefault="00B52F8E" w:rsidP="00390D73">
            <w:pPr>
              <w:rPr>
                <w:b/>
              </w:rPr>
            </w:pPr>
            <w:r>
              <w:rPr>
                <w:b/>
              </w:rPr>
              <w:t>TO</w:t>
            </w:r>
            <w:r w:rsidRPr="001F0AD5">
              <w:rPr>
                <w:b/>
              </w:rPr>
              <w:t>11</w:t>
            </w:r>
          </w:p>
        </w:tc>
        <w:tc>
          <w:tcPr>
            <w:tcW w:w="389" w:type="dxa"/>
            <w:vMerge/>
          </w:tcPr>
          <w:p w:rsidR="00B52F8E" w:rsidRDefault="00B52F8E" w:rsidP="00390D73"/>
        </w:tc>
        <w:tc>
          <w:tcPr>
            <w:tcW w:w="567" w:type="dxa"/>
            <w:vAlign w:val="center"/>
          </w:tcPr>
          <w:p w:rsidR="00B52F8E" w:rsidRDefault="00B52F8E" w:rsidP="00390D73">
            <w:pPr>
              <w:jc w:val="center"/>
            </w:pPr>
            <w:r>
              <w:t>√</w:t>
            </w:r>
          </w:p>
        </w:tc>
        <w:tc>
          <w:tcPr>
            <w:tcW w:w="992" w:type="dxa"/>
            <w:vAlign w:val="center"/>
          </w:tcPr>
          <w:p w:rsidR="00B52F8E" w:rsidRDefault="00B52F8E" w:rsidP="00390D73">
            <w:pPr>
              <w:jc w:val="center"/>
            </w:pPr>
            <w:r>
              <w:t>√</w:t>
            </w:r>
          </w:p>
        </w:tc>
        <w:tc>
          <w:tcPr>
            <w:tcW w:w="567" w:type="dxa"/>
            <w:vAlign w:val="center"/>
          </w:tcPr>
          <w:p w:rsidR="00B52F8E" w:rsidRDefault="00B52F8E" w:rsidP="00390D73">
            <w:pPr>
              <w:jc w:val="center"/>
            </w:pPr>
            <w:r>
              <w:t>√</w:t>
            </w:r>
          </w:p>
        </w:tc>
        <w:tc>
          <w:tcPr>
            <w:tcW w:w="567" w:type="dxa"/>
            <w:vAlign w:val="center"/>
          </w:tcPr>
          <w:p w:rsidR="00B52F8E" w:rsidRDefault="00B52F8E" w:rsidP="00390D73">
            <w:pPr>
              <w:jc w:val="center"/>
            </w:pPr>
            <w:r>
              <w:t>√</w:t>
            </w:r>
          </w:p>
        </w:tc>
        <w:tc>
          <w:tcPr>
            <w:tcW w:w="851" w:type="dxa"/>
            <w:vAlign w:val="center"/>
          </w:tcPr>
          <w:p w:rsidR="00B52F8E" w:rsidRDefault="00B52F8E" w:rsidP="00390D73">
            <w:pPr>
              <w:jc w:val="center"/>
            </w:pPr>
          </w:p>
        </w:tc>
        <w:tc>
          <w:tcPr>
            <w:tcW w:w="425" w:type="dxa"/>
            <w:vMerge/>
            <w:vAlign w:val="center"/>
          </w:tcPr>
          <w:p w:rsidR="00B52F8E" w:rsidRDefault="00B52F8E" w:rsidP="00390D73">
            <w:pPr>
              <w:jc w:val="center"/>
            </w:pPr>
          </w:p>
        </w:tc>
        <w:tc>
          <w:tcPr>
            <w:tcW w:w="567" w:type="dxa"/>
            <w:vAlign w:val="center"/>
          </w:tcPr>
          <w:p w:rsidR="00B52F8E" w:rsidRDefault="00B52F8E" w:rsidP="00390D73">
            <w:pPr>
              <w:jc w:val="center"/>
            </w:pPr>
            <w:r>
              <w:t>√</w:t>
            </w:r>
          </w:p>
        </w:tc>
        <w:tc>
          <w:tcPr>
            <w:tcW w:w="992" w:type="dxa"/>
            <w:vAlign w:val="center"/>
          </w:tcPr>
          <w:p w:rsidR="00B52F8E" w:rsidRDefault="00B52F8E" w:rsidP="00390D73">
            <w:pPr>
              <w:jc w:val="center"/>
            </w:pPr>
            <w:r>
              <w:t>√</w:t>
            </w:r>
          </w:p>
        </w:tc>
        <w:tc>
          <w:tcPr>
            <w:tcW w:w="709" w:type="dxa"/>
            <w:vAlign w:val="center"/>
          </w:tcPr>
          <w:p w:rsidR="00B52F8E" w:rsidRDefault="00B52F8E" w:rsidP="00390D73">
            <w:pPr>
              <w:jc w:val="center"/>
            </w:pPr>
            <w:r>
              <w:t>√</w:t>
            </w:r>
          </w:p>
        </w:tc>
        <w:tc>
          <w:tcPr>
            <w:tcW w:w="708" w:type="dxa"/>
            <w:vAlign w:val="center"/>
          </w:tcPr>
          <w:p w:rsidR="00B52F8E" w:rsidRDefault="00B52F8E" w:rsidP="00390D73">
            <w:pPr>
              <w:jc w:val="center"/>
            </w:pPr>
            <w:r>
              <w:t>√</w:t>
            </w:r>
          </w:p>
        </w:tc>
        <w:tc>
          <w:tcPr>
            <w:tcW w:w="851" w:type="dxa"/>
            <w:vAlign w:val="center"/>
          </w:tcPr>
          <w:p w:rsidR="00B52F8E" w:rsidRDefault="00B52F8E" w:rsidP="00390D73">
            <w:pPr>
              <w:jc w:val="center"/>
            </w:pPr>
          </w:p>
        </w:tc>
        <w:tc>
          <w:tcPr>
            <w:tcW w:w="851" w:type="dxa"/>
            <w:vAlign w:val="center"/>
          </w:tcPr>
          <w:p w:rsidR="00B52F8E" w:rsidRDefault="00B52F8E" w:rsidP="00390D73">
            <w:pPr>
              <w:jc w:val="center"/>
            </w:pPr>
          </w:p>
        </w:tc>
      </w:tr>
    </w:tbl>
    <w:p w:rsidR="003836ED" w:rsidRPr="00CE6EE7" w:rsidRDefault="00B52F8E" w:rsidP="00CE6EE7">
      <w:pPr>
        <w:pStyle w:val="Caption"/>
        <w:rPr>
          <w:rFonts w:eastAsia="Arial" w:cs="Times New Roman"/>
          <w:lang w:val="en-US"/>
        </w:rPr>
      </w:pPr>
      <w:r>
        <w:t xml:space="preserve">Table </w:t>
      </w:r>
      <w:r w:rsidR="001B4332">
        <w:t>2</w:t>
      </w:r>
      <w:r>
        <w:t xml:space="preserve">: </w:t>
      </w:r>
      <w:r>
        <w:rPr>
          <w:b w:val="0"/>
          <w:color w:val="auto"/>
        </w:rPr>
        <w:t xml:space="preserve">Evaluated </w:t>
      </w:r>
      <w:r w:rsidRPr="006D3411">
        <w:rPr>
          <w:b w:val="0"/>
          <w:color w:val="auto"/>
        </w:rPr>
        <w:t xml:space="preserve">EU and </w:t>
      </w:r>
      <w:r>
        <w:rPr>
          <w:b w:val="0"/>
          <w:color w:val="auto"/>
        </w:rPr>
        <w:t xml:space="preserve">national </w:t>
      </w:r>
      <w:r w:rsidRPr="006D3411">
        <w:rPr>
          <w:b w:val="0"/>
          <w:color w:val="auto"/>
        </w:rPr>
        <w:t>level strategies.</w:t>
      </w:r>
    </w:p>
    <w:p w:rsidR="00B52F8E" w:rsidRPr="00020728" w:rsidRDefault="0014263F" w:rsidP="00020728">
      <w:pPr>
        <w:jc w:val="both"/>
        <w:rPr>
          <w:rFonts w:eastAsia="Times New Roman" w:cs="Times New Roman"/>
        </w:rPr>
      </w:pPr>
      <w:r>
        <w:rPr>
          <w:rFonts w:cs="Arial"/>
        </w:rPr>
        <w:lastRenderedPageBreak/>
        <w:t xml:space="preserve">The Programme </w:t>
      </w:r>
      <w:r w:rsidR="00B52F8E" w:rsidRPr="005F3327">
        <w:rPr>
          <w:rFonts w:cs="Arial"/>
        </w:rPr>
        <w:t xml:space="preserve">is consistent with the strategic objectives of the </w:t>
      </w:r>
      <w:r w:rsidR="00B52F8E" w:rsidRPr="005F3327">
        <w:rPr>
          <w:rFonts w:eastAsia="Times New Roman" w:cs="Times New Roman"/>
          <w:lang w:val="en-US"/>
        </w:rPr>
        <w:t xml:space="preserve">Common Strategic Framework 2014-2020, </w:t>
      </w:r>
      <w:r w:rsidR="00B52F8E" w:rsidRPr="005F3327">
        <w:rPr>
          <w:rFonts w:eastAsia="Calibri" w:cs="Times New Roman"/>
          <w:bCs/>
        </w:rPr>
        <w:t xml:space="preserve">Position of the Commission Services on the development of Partnership Agreement and programmes for the period 2014-2020, </w:t>
      </w:r>
      <w:r w:rsidR="00B52F8E" w:rsidRPr="005F3327">
        <w:rPr>
          <w:rFonts w:eastAsia="Times New Roman" w:cs="Times New Roman"/>
          <w:lang w:val="en-US"/>
        </w:rPr>
        <w:t xml:space="preserve">EUROPE 2020, EUSBS and </w:t>
      </w:r>
      <w:r w:rsidR="00B52F8E" w:rsidRPr="005F3327">
        <w:rPr>
          <w:rFonts w:cs="Times New Roman"/>
          <w:bCs/>
        </w:rPr>
        <w:t xml:space="preserve">Disability Strategy 2010-2020: A Renewed Commitment to a Barrier-Free Europe. Furthermore, the Programme is coherent with the national strategies. It is in line with </w:t>
      </w:r>
      <w:r w:rsidR="00B52F8E" w:rsidRPr="005F3327">
        <w:rPr>
          <w:rFonts w:eastAsia="Arial" w:cs="Times New Roman"/>
          <w:bCs/>
        </w:rPr>
        <w:t xml:space="preserve">Latvia’s National Development Plan 2014-2020, Latvia’s and Lithuania’s </w:t>
      </w:r>
      <w:r w:rsidR="00B52F8E">
        <w:rPr>
          <w:rFonts w:eastAsia="Times New Roman" w:cs="Times New Roman"/>
          <w:lang w:val="en-US"/>
        </w:rPr>
        <w:t>NRP</w:t>
      </w:r>
      <w:r w:rsidR="00B52F8E" w:rsidRPr="005F3327">
        <w:rPr>
          <w:rFonts w:eastAsia="Times New Roman" w:cs="Times New Roman"/>
          <w:lang w:val="en-US"/>
        </w:rPr>
        <w:t xml:space="preserve"> for the Implementation of the “Europe 2020” strategy, </w:t>
      </w:r>
      <w:r w:rsidR="00B52F8E" w:rsidRPr="005F3327">
        <w:rPr>
          <w:rFonts w:eastAsia="Arial" w:cs="Times New Roman"/>
          <w:color w:val="000000"/>
          <w:lang w:val="en-US"/>
        </w:rPr>
        <w:t xml:space="preserve">Lithuania’s Progress Strategy “Lithuania 2030”, </w:t>
      </w:r>
      <w:r w:rsidR="00B52F8E" w:rsidRPr="005F3327">
        <w:rPr>
          <w:rFonts w:eastAsia="Arial" w:cs="Times New Roman"/>
        </w:rPr>
        <w:t xml:space="preserve">Sustainable Development Strategy of </w:t>
      </w:r>
      <w:r w:rsidR="00B52F8E" w:rsidRPr="005F3327">
        <w:rPr>
          <w:rFonts w:eastAsia="Arial" w:cs="Times New Roman"/>
          <w:bCs/>
        </w:rPr>
        <w:t xml:space="preserve">Latvia until 2030, </w:t>
      </w:r>
      <w:r w:rsidR="00B52F8E" w:rsidRPr="005F3327">
        <w:rPr>
          <w:rFonts w:eastAsia="Arial" w:cs="Times New Roman"/>
          <w:lang w:val="en-US"/>
        </w:rPr>
        <w:t>Latvia’s National Road Improvement Programme 2014-2020</w:t>
      </w:r>
      <w:r w:rsidR="00B52F8E" w:rsidRPr="005F3327">
        <w:rPr>
          <w:rFonts w:eastAsia="Arial" w:cs="Times New Roman"/>
        </w:rPr>
        <w:t xml:space="preserve">and </w:t>
      </w:r>
      <w:r w:rsidR="00B52F8E" w:rsidRPr="005F3327">
        <w:rPr>
          <w:rFonts w:eastAsia="Arial" w:cs="Times New Roman"/>
          <w:lang w:val="en-US"/>
        </w:rPr>
        <w:t>the Long-term (Until 2025) Development Strategy of the Lithuanian Transport System.</w:t>
      </w:r>
      <w:r w:rsidR="00045413" w:rsidRPr="00045413">
        <w:t xml:space="preserve"> </w:t>
      </w:r>
      <w:r w:rsidR="00045413" w:rsidRPr="00045413">
        <w:rPr>
          <w:rFonts w:eastAsia="Arial" w:cs="Times New Roman"/>
          <w:lang w:val="en-US"/>
        </w:rPr>
        <w:t xml:space="preserve">Although the Programme does not include a very detailed description on the </w:t>
      </w:r>
      <w:proofErr w:type="spellStart"/>
      <w:r w:rsidR="00045413" w:rsidRPr="00045413">
        <w:rPr>
          <w:rFonts w:eastAsia="Arial" w:cs="Times New Roman"/>
          <w:lang w:val="en-US"/>
        </w:rPr>
        <w:t>Programme’s</w:t>
      </w:r>
      <w:proofErr w:type="spellEnd"/>
      <w:r w:rsidR="00045413" w:rsidRPr="00045413">
        <w:rPr>
          <w:rFonts w:eastAsia="Arial" w:cs="Times New Roman"/>
          <w:lang w:val="en-US"/>
        </w:rPr>
        <w:t xml:space="preserve"> coherence with the relevant EU and national level strategies due to the text limitations, this analysis has been provided</w:t>
      </w:r>
      <w:r w:rsidR="00045413">
        <w:rPr>
          <w:rFonts w:eastAsia="Arial" w:cs="Times New Roman"/>
          <w:lang w:val="en-US"/>
        </w:rPr>
        <w:t xml:space="preserve"> in other Programme documents. </w:t>
      </w:r>
      <w:r w:rsidR="00B52F8E" w:rsidRPr="005F3327">
        <w:rPr>
          <w:rFonts w:eastAsia="Arial" w:cs="Times New Roman"/>
          <w:lang w:val="en-US"/>
        </w:rPr>
        <w:t>Furthermore, the Programme</w:t>
      </w:r>
      <w:r w:rsidR="00C00961">
        <w:rPr>
          <w:rFonts w:eastAsia="Arial" w:cs="Times New Roman"/>
          <w:lang w:val="en-US"/>
        </w:rPr>
        <w:t xml:space="preserve"> </w:t>
      </w:r>
      <w:r w:rsidR="00B52F8E">
        <w:rPr>
          <w:rFonts w:eastAsia="Times New Roman" w:cs="Times New Roman"/>
        </w:rPr>
        <w:t xml:space="preserve">has a potential to contribute directly and indirectly, </w:t>
      </w:r>
      <w:r w:rsidR="00B52F8E" w:rsidRPr="002214A3">
        <w:rPr>
          <w:rFonts w:eastAsia="Times New Roman" w:cs="Times New Roman"/>
        </w:rPr>
        <w:t xml:space="preserve">within its </w:t>
      </w:r>
      <w:r w:rsidR="00B52F8E">
        <w:rPr>
          <w:rFonts w:eastAsia="Times New Roman" w:cs="Times New Roman"/>
        </w:rPr>
        <w:t xml:space="preserve">scope and the allocated funding, </w:t>
      </w:r>
      <w:r w:rsidR="00B52F8E" w:rsidRPr="002214A3">
        <w:rPr>
          <w:rFonts w:eastAsia="Times New Roman" w:cs="Times New Roman"/>
        </w:rPr>
        <w:t xml:space="preserve">to the achievement of the </w:t>
      </w:r>
      <w:r w:rsidR="00B52F8E">
        <w:rPr>
          <w:rFonts w:eastAsia="Times New Roman" w:cs="Times New Roman"/>
        </w:rPr>
        <w:t xml:space="preserve">overarching </w:t>
      </w:r>
      <w:r w:rsidR="00B52F8E" w:rsidRPr="002214A3">
        <w:rPr>
          <w:rFonts w:eastAsia="Times New Roman" w:cs="Times New Roman"/>
        </w:rPr>
        <w:t xml:space="preserve">goals set by these strategies. </w:t>
      </w:r>
    </w:p>
    <w:p w:rsidR="00CC492A" w:rsidRDefault="00CC492A" w:rsidP="007E1CEE">
      <w:pPr>
        <w:spacing w:after="0"/>
        <w:jc w:val="both"/>
        <w:rPr>
          <w:rFonts w:eastAsia="Arial" w:cs="Times New Roman"/>
        </w:rPr>
      </w:pPr>
    </w:p>
    <w:p w:rsidR="00725798" w:rsidRPr="007E1CEE" w:rsidRDefault="00725798" w:rsidP="007E1CEE">
      <w:pPr>
        <w:spacing w:after="0"/>
        <w:jc w:val="both"/>
        <w:rPr>
          <w:rFonts w:eastAsia="Arial" w:cs="Times New Roman"/>
        </w:rPr>
      </w:pPr>
    </w:p>
    <w:p w:rsidR="00AA394F" w:rsidRPr="00695A16" w:rsidRDefault="00197C6D" w:rsidP="00701AEA">
      <w:pPr>
        <w:pStyle w:val="Heading1NoSpacing"/>
        <w:numPr>
          <w:ilvl w:val="0"/>
          <w:numId w:val="6"/>
        </w:numPr>
        <w:rPr>
          <w:sz w:val="50"/>
          <w:szCs w:val="50"/>
        </w:rPr>
      </w:pPr>
      <w:bookmarkStart w:id="11" w:name="_Toc390942535"/>
      <w:r w:rsidRPr="00695A16">
        <w:rPr>
          <w:sz w:val="50"/>
          <w:szCs w:val="50"/>
        </w:rPr>
        <w:t xml:space="preserve">The relevance and clarity of </w:t>
      </w:r>
      <w:r w:rsidR="00695A16">
        <w:rPr>
          <w:sz w:val="50"/>
          <w:szCs w:val="50"/>
        </w:rPr>
        <w:t xml:space="preserve">the </w:t>
      </w:r>
      <w:r w:rsidRPr="00695A16">
        <w:rPr>
          <w:sz w:val="50"/>
          <w:szCs w:val="50"/>
        </w:rPr>
        <w:t>proposed Programme indicators</w:t>
      </w:r>
      <w:bookmarkEnd w:id="11"/>
    </w:p>
    <w:p w:rsidR="00E01DEF" w:rsidRDefault="00E01DEF" w:rsidP="00E01DEF">
      <w:pPr>
        <w:spacing w:after="0"/>
      </w:pPr>
    </w:p>
    <w:p w:rsidR="000C25D4" w:rsidRDefault="00ED5C72" w:rsidP="000B5F4B">
      <w:pPr>
        <w:pStyle w:val="BodyText"/>
        <w:jc w:val="both"/>
      </w:pPr>
      <w:r>
        <w:rPr>
          <w:rFonts w:asciiTheme="majorHAnsi" w:eastAsia="Arial" w:hAnsiTheme="majorHAnsi" w:cs="Times New Roman"/>
        </w:rPr>
        <w:t>Article 55 (e</w:t>
      </w:r>
      <w:r w:rsidRPr="00556AB4">
        <w:rPr>
          <w:rFonts w:asciiTheme="majorHAnsi" w:eastAsia="Arial" w:hAnsiTheme="majorHAnsi" w:cs="Times New Roman"/>
        </w:rPr>
        <w:t>) of</w:t>
      </w:r>
      <w:r>
        <w:rPr>
          <w:rFonts w:asciiTheme="majorHAnsi" w:eastAsia="Arial" w:hAnsiTheme="majorHAnsi" w:cs="Times New Roman"/>
        </w:rPr>
        <w:t xml:space="preserve"> the CPR</w:t>
      </w:r>
      <w:r w:rsidRPr="00556AB4">
        <w:rPr>
          <w:rStyle w:val="FootnoteReference"/>
          <w:rFonts w:asciiTheme="majorHAnsi" w:eastAsia="Arial" w:hAnsiTheme="majorHAnsi" w:cs="Times New Roman"/>
        </w:rPr>
        <w:footnoteReference w:id="11"/>
      </w:r>
      <w:r w:rsidR="00711005">
        <w:rPr>
          <w:rFonts w:asciiTheme="majorHAnsi" w:eastAsia="Arial" w:hAnsiTheme="majorHAnsi" w:cs="Times New Roman"/>
        </w:rPr>
        <w:t xml:space="preserve"> requires the ex-</w:t>
      </w:r>
      <w:r w:rsidRPr="00556AB4">
        <w:rPr>
          <w:rFonts w:asciiTheme="majorHAnsi" w:eastAsia="Arial" w:hAnsiTheme="majorHAnsi" w:cs="Times New Roman"/>
        </w:rPr>
        <w:t xml:space="preserve">ante evaluation to appraise the </w:t>
      </w:r>
      <w:r>
        <w:rPr>
          <w:rFonts w:asciiTheme="majorHAnsi" w:eastAsia="Arial" w:hAnsiTheme="majorHAnsi" w:cs="Times New Roman"/>
        </w:rPr>
        <w:t>relevan</w:t>
      </w:r>
      <w:r w:rsidR="000B5F4B">
        <w:rPr>
          <w:rFonts w:asciiTheme="majorHAnsi" w:eastAsia="Arial" w:hAnsiTheme="majorHAnsi" w:cs="Times New Roman"/>
        </w:rPr>
        <w:t>ce and clarity of the proposed P</w:t>
      </w:r>
      <w:r>
        <w:rPr>
          <w:rFonts w:asciiTheme="majorHAnsi" w:eastAsia="Arial" w:hAnsiTheme="majorHAnsi" w:cs="Times New Roman"/>
        </w:rPr>
        <w:t>rogramme indicators.</w:t>
      </w:r>
    </w:p>
    <w:p w:rsidR="00975380" w:rsidRDefault="00E724C0" w:rsidP="000B5F4B">
      <w:pPr>
        <w:pStyle w:val="BodyText"/>
        <w:jc w:val="both"/>
        <w:rPr>
          <w:rFonts w:eastAsia="Times New Roman" w:cs="Times New Roman"/>
        </w:rPr>
      </w:pPr>
      <w:r w:rsidRPr="00905C88">
        <w:rPr>
          <w:rFonts w:asciiTheme="majorHAnsi" w:eastAsia="Arial" w:hAnsiTheme="majorHAnsi" w:cs="Times New Roman"/>
        </w:rPr>
        <w:t>This section describes</w:t>
      </w:r>
      <w:r w:rsidR="00667BA7" w:rsidRPr="00905C88">
        <w:rPr>
          <w:rFonts w:asciiTheme="majorHAnsi" w:eastAsia="Arial" w:hAnsiTheme="majorHAnsi" w:cs="Times New Roman"/>
        </w:rPr>
        <w:t xml:space="preserve"> if the </w:t>
      </w:r>
      <w:r w:rsidR="00667BA7" w:rsidRPr="00905C88">
        <w:rPr>
          <w:rFonts w:eastAsia="Times New Roman" w:cs="Times New Roman"/>
        </w:rPr>
        <w:t xml:space="preserve">output indicators are relevant to the actions to be supported, if the output indicator is likely to contribute to the change in the result indicator and if </w:t>
      </w:r>
      <w:r w:rsidR="002E7D24" w:rsidRPr="00905C88">
        <w:rPr>
          <w:rFonts w:eastAsia="Times New Roman" w:cs="Times New Roman"/>
        </w:rPr>
        <w:t xml:space="preserve">the result indicator is relevant to the specific objective. </w:t>
      </w:r>
      <w:r w:rsidR="00375DE3">
        <w:rPr>
          <w:rFonts w:eastAsia="Times New Roman" w:cs="Times New Roman"/>
        </w:rPr>
        <w:t xml:space="preserve">It also </w:t>
      </w:r>
      <w:r w:rsidR="00EA77C7">
        <w:rPr>
          <w:rFonts w:eastAsia="Times New Roman" w:cs="Times New Roman"/>
        </w:rPr>
        <w:t xml:space="preserve">assesses whether the Programme has included the main target groups of the Programme and prospective beneficiaries. </w:t>
      </w:r>
      <w:r w:rsidR="00DC6252" w:rsidRPr="00905C88">
        <w:rPr>
          <w:rFonts w:eastAsia="Times New Roman" w:cs="Times New Roman"/>
        </w:rPr>
        <w:t>In other words, this section is focused on assessing the internal coherence of the</w:t>
      </w:r>
      <w:r w:rsidR="00EA77C7">
        <w:rPr>
          <w:rFonts w:eastAsia="Times New Roman" w:cs="Times New Roman"/>
        </w:rPr>
        <w:t xml:space="preserve"> proposed Programme</w:t>
      </w:r>
      <w:r w:rsidR="000B5F4B" w:rsidRPr="00905C88">
        <w:rPr>
          <w:rFonts w:eastAsia="Times New Roman" w:cs="Times New Roman"/>
        </w:rPr>
        <w:t>.</w:t>
      </w:r>
    </w:p>
    <w:p w:rsidR="006A4CCC" w:rsidRPr="006A4CCC" w:rsidRDefault="005D62BA" w:rsidP="00E07753">
      <w:pPr>
        <w:jc w:val="both"/>
      </w:pPr>
      <w:r>
        <w:t>It is required to set r</w:t>
      </w:r>
      <w:r w:rsidR="004C23C0" w:rsidRPr="003C6C8A">
        <w:t>esu</w:t>
      </w:r>
      <w:r w:rsidR="00A51C85">
        <w:t>lt and output indicators</w:t>
      </w:r>
      <w:r w:rsidR="004C23C0" w:rsidRPr="003C6C8A">
        <w:t xml:space="preserve"> for each </w:t>
      </w:r>
      <w:r w:rsidR="002D46C4">
        <w:t>IP’s</w:t>
      </w:r>
      <w:r w:rsidR="004C23C0" w:rsidRPr="003C6C8A">
        <w:t xml:space="preserve"> s</w:t>
      </w:r>
      <w:r w:rsidR="006C525A">
        <w:t xml:space="preserve">pecific objective. </w:t>
      </w:r>
      <w:r w:rsidR="004C23C0" w:rsidRPr="00834769">
        <w:t>Directorate-General for Regional and Urban Policy</w:t>
      </w:r>
      <w:r w:rsidR="00791152">
        <w:rPr>
          <w:rStyle w:val="FootnoteReference"/>
        </w:rPr>
        <w:footnoteReference w:id="12"/>
      </w:r>
      <w:r w:rsidR="006C525A">
        <w:t xml:space="preserve"> (DG REGIO) recommends</w:t>
      </w:r>
      <w:r w:rsidR="00C00961">
        <w:t xml:space="preserve"> </w:t>
      </w:r>
      <w:r w:rsidR="006C525A" w:rsidRPr="003C6C8A">
        <w:t>setting</w:t>
      </w:r>
      <w:r w:rsidR="004C23C0" w:rsidRPr="003C6C8A">
        <w:t xml:space="preserve"> only one result indicator for each specific objective of the investment priorities. </w:t>
      </w:r>
      <w:r w:rsidR="00635660">
        <w:t xml:space="preserve">Having only one output indicator will also make the monitoring process easier. </w:t>
      </w:r>
      <w:r w:rsidR="004C23C0" w:rsidRPr="00C44F2E">
        <w:t xml:space="preserve">Currently one result indicator is set for each </w:t>
      </w:r>
      <w:r w:rsidR="002D46C4" w:rsidRPr="00C44F2E">
        <w:t>IP’s</w:t>
      </w:r>
      <w:r w:rsidR="004C23C0" w:rsidRPr="00C44F2E">
        <w:t xml:space="preserve"> specific objective except one wher</w:t>
      </w:r>
      <w:r w:rsidR="000E2438" w:rsidRPr="00C44F2E">
        <w:t>e two result indicators are set in TO8IP2.</w:t>
      </w:r>
    </w:p>
    <w:p w:rsidR="00020728" w:rsidRDefault="004C23C0" w:rsidP="00E07753">
      <w:pPr>
        <w:jc w:val="both"/>
      </w:pPr>
      <w:r>
        <w:t>Currently the Programme includes several</w:t>
      </w:r>
      <w:r w:rsidRPr="003836ED">
        <w:t xml:space="preserve"> output</w:t>
      </w:r>
      <w:r>
        <w:t xml:space="preserve"> indicators for each specific objective, which is appropriate as there have not been any recommendations towards limiting the amount of output indicators. Nevertheless, output indicators have to be carefully selected, in order to reflect to the change which is iden</w:t>
      </w:r>
      <w:r w:rsidR="00E07753">
        <w:t>tified by the result indicator.</w:t>
      </w:r>
    </w:p>
    <w:p w:rsidR="00CE6EE7" w:rsidRDefault="00CE6EE7" w:rsidP="00701AEA">
      <w:pPr>
        <w:pStyle w:val="ListParagraph"/>
        <w:numPr>
          <w:ilvl w:val="1"/>
          <w:numId w:val="11"/>
        </w:numPr>
        <w:jc w:val="both"/>
      </w:pPr>
      <w:bookmarkStart w:id="12" w:name="_Toc390942536"/>
      <w:r w:rsidRPr="00CE6EE7">
        <w:rPr>
          <w:rStyle w:val="Heading2Char"/>
        </w:rPr>
        <w:t>Result indicators’ relevance to specific objectives</w:t>
      </w:r>
      <w:bookmarkEnd w:id="12"/>
    </w:p>
    <w:p w:rsidR="00CE6EE7" w:rsidRDefault="00CE6EE7" w:rsidP="00FC6E93">
      <w:pPr>
        <w:jc w:val="both"/>
      </w:pPr>
      <w:r>
        <w:t xml:space="preserve">This subsection describes if the Programme set result indicators are relevant to the specific objectives. In general, result indicators capture the most intended change in the Programme area that is expressed as a specific objective. For instance, TO6 IP1, TO6 IP2, </w:t>
      </w:r>
      <w:r w:rsidR="001843FB">
        <w:t xml:space="preserve">TO6 IP3, </w:t>
      </w:r>
      <w:r>
        <w:t>TO8</w:t>
      </w:r>
      <w:r w:rsidR="004E4647">
        <w:t xml:space="preserve"> IP1, TO8</w:t>
      </w:r>
      <w:r>
        <w:t xml:space="preserve"> IP2, TO9 IP1, TO9 IP2, TO11 IP1 result indicators cover the desired change very well. </w:t>
      </w:r>
    </w:p>
    <w:p w:rsidR="00FC2FA4" w:rsidRDefault="002505FB" w:rsidP="00FC6E93">
      <w:pPr>
        <w:pStyle w:val="BodyText"/>
        <w:jc w:val="both"/>
      </w:pPr>
      <w:r>
        <w:t>T</w:t>
      </w:r>
      <w:r w:rsidR="00D42D7F" w:rsidRPr="009D48F2">
        <w:t>he</w:t>
      </w:r>
      <w:r w:rsidR="00097C9B" w:rsidRPr="009D48F2">
        <w:t xml:space="preserve"> </w:t>
      </w:r>
      <w:r w:rsidR="000D1A0F">
        <w:t xml:space="preserve">initial </w:t>
      </w:r>
      <w:r w:rsidR="00097C9B" w:rsidRPr="009D48F2">
        <w:t>TO11 IP1 result indicator</w:t>
      </w:r>
      <w:r w:rsidR="00D42D7F" w:rsidRPr="009D48F2">
        <w:t xml:space="preserve"> </w:t>
      </w:r>
      <w:r w:rsidR="00F2623C">
        <w:t>was</w:t>
      </w:r>
      <w:r>
        <w:t xml:space="preserve"> </w:t>
      </w:r>
      <w:r w:rsidR="00D42D7F" w:rsidRPr="009D48F2">
        <w:t>“number of new solutions applied to the public services”</w:t>
      </w:r>
      <w:r>
        <w:t>.</w:t>
      </w:r>
      <w:r w:rsidR="00CB5EF1">
        <w:t xml:space="preserve"> </w:t>
      </w:r>
      <w:r>
        <w:t>I</w:t>
      </w:r>
      <w:r w:rsidR="00F2623C">
        <w:t>t was</w:t>
      </w:r>
      <w:r w:rsidR="00800B2F" w:rsidRPr="009D48F2">
        <w:t xml:space="preserve"> unclear how the proposed result indicator </w:t>
      </w:r>
      <w:r w:rsidR="00F2623C">
        <w:t>would</w:t>
      </w:r>
      <w:r w:rsidR="00800B2F" w:rsidRPr="009D48F2">
        <w:t xml:space="preserve"> achieve </w:t>
      </w:r>
      <w:r w:rsidR="00E857CF" w:rsidRPr="009D48F2">
        <w:t>the specific objective</w:t>
      </w:r>
      <w:r w:rsidR="00844B40">
        <w:t xml:space="preserve"> -</w:t>
      </w:r>
      <w:r w:rsidR="00E857CF" w:rsidRPr="009D48F2">
        <w:t xml:space="preserve"> “to improve efficiency of public services by strengthening capacities and cooperation between institutions”</w:t>
      </w:r>
      <w:r w:rsidR="0004192D" w:rsidRPr="009D48F2">
        <w:t>, especially how the ac</w:t>
      </w:r>
      <w:r w:rsidR="00F2623C">
        <w:t>hievement of this indicator would</w:t>
      </w:r>
      <w:r w:rsidR="0004192D" w:rsidRPr="009D48F2">
        <w:t xml:space="preserve"> contribute to the increase in </w:t>
      </w:r>
      <w:r w:rsidR="00CB5EF1" w:rsidRPr="009D48F2">
        <w:t>efficiency of</w:t>
      </w:r>
      <w:r w:rsidR="0004192D" w:rsidRPr="009D48F2">
        <w:t xml:space="preserve"> institutions. </w:t>
      </w:r>
      <w:r w:rsidR="00F2623C">
        <w:t>Therefore, it was</w:t>
      </w:r>
      <w:r w:rsidR="00D42D7F" w:rsidRPr="009D48F2">
        <w:t xml:space="preserve"> recommended to </w:t>
      </w:r>
      <w:r w:rsidR="00FC0B69" w:rsidRPr="009D48F2">
        <w:t>reformulate result indicator or explain in the Programme the link between the output indicator and the result indicator.</w:t>
      </w:r>
      <w:r w:rsidRPr="002505FB">
        <w:t xml:space="preserve"> </w:t>
      </w:r>
      <w:r w:rsidRPr="0022019D">
        <w:t>For in</w:t>
      </w:r>
      <w:r w:rsidR="00F2623C">
        <w:t>stance, the result indicator could</w:t>
      </w:r>
      <w:r w:rsidRPr="0022019D">
        <w:t xml:space="preserve"> be</w:t>
      </w:r>
      <w:r>
        <w:t xml:space="preserve"> reformulated as </w:t>
      </w:r>
      <w:r w:rsidRPr="009D48F2">
        <w:t xml:space="preserve">“number of new </w:t>
      </w:r>
      <w:r>
        <w:t xml:space="preserve">common </w:t>
      </w:r>
      <w:r w:rsidRPr="009D48F2">
        <w:t xml:space="preserve">solutions </w:t>
      </w:r>
      <w:r w:rsidRPr="009D48F2">
        <w:lastRenderedPageBreak/>
        <w:t>applied to the</w:t>
      </w:r>
      <w:r>
        <w:t xml:space="preserve"> improvement of</w:t>
      </w:r>
      <w:r w:rsidRPr="009D48F2">
        <w:t xml:space="preserve"> public services”</w:t>
      </w:r>
      <w:r w:rsidR="006B7B18">
        <w:t>.</w:t>
      </w:r>
      <w:r w:rsidR="00852D41">
        <w:t xml:space="preserve"> </w:t>
      </w:r>
      <w:r w:rsidR="00542E9D">
        <w:t>This indicator would better capture the aim of improving public services and their efficiency.</w:t>
      </w:r>
      <w:r w:rsidR="00276745">
        <w:t xml:space="preserve"> </w:t>
      </w:r>
      <w:r w:rsidR="00276745" w:rsidRPr="00565FF8">
        <w:t xml:space="preserve">This recommendation was presented during JPC meeting on 16 June and </w:t>
      </w:r>
      <w:r w:rsidR="00F2623C" w:rsidRPr="00565FF8">
        <w:t xml:space="preserve">it was agreed to use a new indicator </w:t>
      </w:r>
      <w:r w:rsidR="00F2623C">
        <w:t>“</w:t>
      </w:r>
      <w:r w:rsidR="00E426E9">
        <w:rPr>
          <w:rFonts w:eastAsia="Times New Roman" w:cs="Times New Roman"/>
        </w:rPr>
        <w:t>number of joint solutions improving the public services</w:t>
      </w:r>
      <w:r w:rsidR="00F2623C">
        <w:t>”</w:t>
      </w:r>
      <w:r w:rsidR="00E426E9">
        <w:t>.</w:t>
      </w:r>
      <w:r w:rsidR="006B2CE4">
        <w:t xml:space="preserve"> This indicator is relevant to the specific objective. </w:t>
      </w:r>
    </w:p>
    <w:p w:rsidR="00B0168D" w:rsidRPr="00AD0A5C" w:rsidRDefault="00B0168D" w:rsidP="00701AEA">
      <w:pPr>
        <w:pStyle w:val="Heading2"/>
        <w:numPr>
          <w:ilvl w:val="1"/>
          <w:numId w:val="11"/>
        </w:numPr>
        <w:rPr>
          <w:rFonts w:eastAsia="Times New Roman"/>
        </w:rPr>
      </w:pPr>
      <w:bookmarkStart w:id="13" w:name="_Toc390942537"/>
      <w:r w:rsidRPr="00AD0A5C">
        <w:rPr>
          <w:rFonts w:eastAsia="Times New Roman"/>
        </w:rPr>
        <w:t>Output indicators</w:t>
      </w:r>
      <w:r>
        <w:rPr>
          <w:rFonts w:eastAsia="Times New Roman"/>
        </w:rPr>
        <w:t>’ relevance</w:t>
      </w:r>
      <w:r w:rsidRPr="00AD0A5C">
        <w:rPr>
          <w:rFonts w:eastAsia="Times New Roman"/>
        </w:rPr>
        <w:t xml:space="preserve"> to result indicators</w:t>
      </w:r>
      <w:bookmarkEnd w:id="13"/>
    </w:p>
    <w:p w:rsidR="00B0168D" w:rsidRDefault="00B0168D" w:rsidP="00B0168D">
      <w:pPr>
        <w:keepNext/>
        <w:keepLines/>
        <w:spacing w:after="40" w:line="240" w:lineRule="auto"/>
        <w:ind w:left="300"/>
        <w:outlineLvl w:val="1"/>
        <w:rPr>
          <w:rFonts w:asciiTheme="majorHAnsi" w:eastAsia="Times New Roman" w:hAnsiTheme="majorHAnsi" w:cstheme="majorBidi"/>
          <w:bCs/>
          <w:color w:val="000000" w:themeColor="text1"/>
        </w:rPr>
      </w:pPr>
    </w:p>
    <w:p w:rsidR="00B0168D" w:rsidRDefault="00B0168D" w:rsidP="00B0168D">
      <w:pPr>
        <w:keepNext/>
        <w:keepLines/>
        <w:spacing w:after="40" w:line="240" w:lineRule="auto"/>
        <w:jc w:val="both"/>
        <w:outlineLvl w:val="1"/>
        <w:rPr>
          <w:rFonts w:asciiTheme="majorHAnsi" w:eastAsia="Times New Roman" w:hAnsiTheme="majorHAnsi" w:cstheme="majorBidi"/>
          <w:bCs/>
          <w:color w:val="000000" w:themeColor="text1"/>
        </w:rPr>
      </w:pPr>
      <w:r>
        <w:rPr>
          <w:rFonts w:asciiTheme="majorHAnsi" w:eastAsia="Times New Roman" w:hAnsiTheme="majorHAnsi" w:cstheme="majorBidi"/>
          <w:bCs/>
          <w:color w:val="000000" w:themeColor="text1"/>
        </w:rPr>
        <w:t xml:space="preserve">This subsection describes </w:t>
      </w:r>
      <w:r w:rsidRPr="00D8494C">
        <w:rPr>
          <w:rFonts w:asciiTheme="majorHAnsi" w:eastAsia="Times New Roman" w:hAnsiTheme="majorHAnsi" w:cstheme="majorBidi"/>
          <w:bCs/>
          <w:color w:val="000000" w:themeColor="text1"/>
        </w:rPr>
        <w:t xml:space="preserve">if the </w:t>
      </w:r>
      <w:r>
        <w:rPr>
          <w:rFonts w:asciiTheme="majorHAnsi" w:eastAsia="Times New Roman" w:hAnsiTheme="majorHAnsi" w:cstheme="majorBidi"/>
          <w:bCs/>
          <w:color w:val="000000" w:themeColor="text1"/>
        </w:rPr>
        <w:t xml:space="preserve">Programme set </w:t>
      </w:r>
      <w:r w:rsidRPr="00D8494C">
        <w:rPr>
          <w:rFonts w:asciiTheme="majorHAnsi" w:eastAsia="Times New Roman" w:hAnsiTheme="majorHAnsi" w:cstheme="majorBidi"/>
          <w:bCs/>
          <w:color w:val="000000" w:themeColor="text1"/>
        </w:rPr>
        <w:t>output indicator</w:t>
      </w:r>
      <w:r>
        <w:rPr>
          <w:rFonts w:asciiTheme="majorHAnsi" w:eastAsia="Times New Roman" w:hAnsiTheme="majorHAnsi" w:cstheme="majorBidi"/>
          <w:bCs/>
          <w:color w:val="000000" w:themeColor="text1"/>
        </w:rPr>
        <w:t>s are</w:t>
      </w:r>
      <w:r w:rsidRPr="00D8494C">
        <w:rPr>
          <w:rFonts w:asciiTheme="majorHAnsi" w:eastAsia="Times New Roman" w:hAnsiTheme="majorHAnsi" w:cstheme="majorBidi"/>
          <w:bCs/>
          <w:color w:val="000000" w:themeColor="text1"/>
        </w:rPr>
        <w:t xml:space="preserve"> likely to contribute to the change in the result indicator</w:t>
      </w:r>
      <w:r>
        <w:rPr>
          <w:rFonts w:asciiTheme="majorHAnsi" w:eastAsia="Times New Roman" w:hAnsiTheme="majorHAnsi" w:cstheme="majorBidi"/>
          <w:bCs/>
          <w:color w:val="000000" w:themeColor="text1"/>
        </w:rPr>
        <w:t xml:space="preserve">s. Overall, the Programme output indicators are well defined and can potentially contribute to the change in the result indicators. </w:t>
      </w:r>
      <w:r w:rsidR="002210EB">
        <w:rPr>
          <w:rFonts w:asciiTheme="majorHAnsi" w:eastAsia="Times New Roman" w:hAnsiTheme="majorHAnsi" w:cstheme="majorBidi"/>
          <w:bCs/>
          <w:color w:val="000000" w:themeColor="text1"/>
        </w:rPr>
        <w:t xml:space="preserve">This conclusion is based on the analysis of </w:t>
      </w:r>
      <w:r w:rsidR="007052D5">
        <w:rPr>
          <w:rFonts w:asciiTheme="majorHAnsi" w:eastAsia="Times New Roman" w:hAnsiTheme="majorHAnsi" w:cstheme="majorBidi"/>
          <w:bCs/>
          <w:color w:val="000000" w:themeColor="text1"/>
        </w:rPr>
        <w:t xml:space="preserve">the causal links between output indicators and result indicators, as well as their thematic relationship. </w:t>
      </w:r>
      <w:r w:rsidR="00430FD0">
        <w:rPr>
          <w:rFonts w:asciiTheme="majorHAnsi" w:eastAsia="Times New Roman" w:hAnsiTheme="majorHAnsi" w:cstheme="majorBidi"/>
          <w:bCs/>
          <w:color w:val="000000" w:themeColor="text1"/>
        </w:rPr>
        <w:t xml:space="preserve">The Programme has also tried to use the </w:t>
      </w:r>
      <w:r w:rsidR="007052D5" w:rsidRPr="009D48F2">
        <w:rPr>
          <w:rFonts w:asciiTheme="majorHAnsi" w:eastAsia="Times New Roman" w:hAnsiTheme="majorHAnsi" w:cstheme="majorBidi"/>
          <w:bCs/>
          <w:color w:val="000000" w:themeColor="text1"/>
        </w:rPr>
        <w:t>Common indicators</w:t>
      </w:r>
      <w:r w:rsidR="00430FD0" w:rsidRPr="00FB01AE">
        <w:rPr>
          <w:rFonts w:asciiTheme="majorHAnsi" w:eastAsia="Times New Roman" w:hAnsiTheme="majorHAnsi" w:cstheme="majorBidi"/>
          <w:bCs/>
          <w:color w:val="000000" w:themeColor="text1"/>
        </w:rPr>
        <w:t xml:space="preserve">, </w:t>
      </w:r>
      <w:r w:rsidR="00430FD0" w:rsidRPr="009D48F2">
        <w:rPr>
          <w:rFonts w:asciiTheme="majorHAnsi" w:eastAsia="Times New Roman" w:hAnsiTheme="majorHAnsi" w:cstheme="majorBidi"/>
          <w:bCs/>
          <w:color w:val="000000" w:themeColor="text1"/>
        </w:rPr>
        <w:t>where appropriate. For instance,</w:t>
      </w:r>
      <w:r w:rsidR="00C501FA">
        <w:rPr>
          <w:rFonts w:asciiTheme="majorHAnsi" w:eastAsia="Times New Roman" w:hAnsiTheme="majorHAnsi" w:cstheme="majorBidi"/>
          <w:bCs/>
          <w:color w:val="000000" w:themeColor="text1"/>
        </w:rPr>
        <w:t xml:space="preserve"> </w:t>
      </w:r>
      <w:r w:rsidR="00FB01AE">
        <w:rPr>
          <w:rFonts w:asciiTheme="majorHAnsi" w:eastAsia="Times New Roman" w:hAnsiTheme="majorHAnsi" w:cstheme="majorBidi"/>
          <w:bCs/>
          <w:color w:val="000000" w:themeColor="text1"/>
        </w:rPr>
        <w:t>in TO6 IP1 output indicator “</w:t>
      </w:r>
      <w:r w:rsidR="00FB01AE" w:rsidRPr="00FB01AE">
        <w:rPr>
          <w:rFonts w:asciiTheme="majorHAnsi" w:eastAsia="Times New Roman" w:hAnsiTheme="majorHAnsi" w:cstheme="majorBidi"/>
          <w:bCs/>
          <w:color w:val="000000" w:themeColor="text1"/>
        </w:rPr>
        <w:t>Number of visits to supported sites of cultural and natural heritage and attractions</w:t>
      </w:r>
      <w:r w:rsidR="00FB01AE">
        <w:rPr>
          <w:rFonts w:asciiTheme="majorHAnsi" w:eastAsia="Times New Roman" w:hAnsiTheme="majorHAnsi" w:cstheme="majorBidi"/>
          <w:bCs/>
          <w:color w:val="000000" w:themeColor="text1"/>
        </w:rPr>
        <w:t>”</w:t>
      </w:r>
      <w:r w:rsidR="00514C9F">
        <w:rPr>
          <w:rFonts w:asciiTheme="majorHAnsi" w:eastAsia="Times New Roman" w:hAnsiTheme="majorHAnsi" w:cstheme="majorBidi"/>
          <w:bCs/>
          <w:color w:val="000000" w:themeColor="text1"/>
        </w:rPr>
        <w:t xml:space="preserve"> is a Common indicator</w:t>
      </w:r>
      <w:r w:rsidR="00FB01AE">
        <w:rPr>
          <w:rFonts w:asciiTheme="majorHAnsi" w:eastAsia="Times New Roman" w:hAnsiTheme="majorHAnsi" w:cstheme="majorBidi"/>
          <w:bCs/>
          <w:color w:val="000000" w:themeColor="text1"/>
        </w:rPr>
        <w:t>.</w:t>
      </w:r>
    </w:p>
    <w:p w:rsidR="00B0168D" w:rsidRDefault="00B0168D" w:rsidP="00B0168D">
      <w:pPr>
        <w:keepNext/>
        <w:keepLines/>
        <w:spacing w:after="40" w:line="240" w:lineRule="auto"/>
        <w:ind w:left="300"/>
        <w:jc w:val="both"/>
        <w:outlineLvl w:val="1"/>
        <w:rPr>
          <w:rFonts w:asciiTheme="majorHAnsi" w:eastAsia="Times New Roman" w:hAnsiTheme="majorHAnsi" w:cstheme="majorBidi"/>
          <w:bCs/>
          <w:color w:val="000000" w:themeColor="text1"/>
        </w:rPr>
      </w:pPr>
    </w:p>
    <w:p w:rsidR="00B0168D" w:rsidRPr="00AD0A5C" w:rsidRDefault="009071B4" w:rsidP="00701AEA">
      <w:pPr>
        <w:pStyle w:val="Heading2"/>
        <w:numPr>
          <w:ilvl w:val="1"/>
          <w:numId w:val="11"/>
        </w:numPr>
        <w:rPr>
          <w:rFonts w:eastAsia="Times New Roman"/>
        </w:rPr>
      </w:pPr>
      <w:bookmarkStart w:id="14" w:name="_Toc390942538"/>
      <w:r>
        <w:rPr>
          <w:rFonts w:eastAsia="Times New Roman"/>
        </w:rPr>
        <w:t>A</w:t>
      </w:r>
      <w:r w:rsidR="00B0168D" w:rsidRPr="00AD0A5C">
        <w:rPr>
          <w:rFonts w:eastAsia="Times New Roman"/>
        </w:rPr>
        <w:t>ctivities</w:t>
      </w:r>
      <w:r>
        <w:rPr>
          <w:rFonts w:eastAsia="Times New Roman"/>
        </w:rPr>
        <w:t xml:space="preserve"> and output indicators</w:t>
      </w:r>
      <w:bookmarkEnd w:id="14"/>
    </w:p>
    <w:p w:rsidR="00B0168D" w:rsidRDefault="00B0168D" w:rsidP="00B0168D">
      <w:pPr>
        <w:keepNext/>
        <w:keepLines/>
        <w:spacing w:after="40" w:line="240" w:lineRule="auto"/>
        <w:ind w:left="300"/>
        <w:outlineLvl w:val="1"/>
        <w:rPr>
          <w:rFonts w:asciiTheme="majorHAnsi" w:eastAsia="Times New Roman" w:hAnsiTheme="majorHAnsi" w:cstheme="majorBidi"/>
          <w:bCs/>
          <w:color w:val="000000" w:themeColor="text1"/>
        </w:rPr>
      </w:pPr>
    </w:p>
    <w:p w:rsidR="0028425E" w:rsidRDefault="00B0168D" w:rsidP="00092E35">
      <w:pPr>
        <w:pStyle w:val="BodyText"/>
        <w:spacing w:after="0"/>
        <w:jc w:val="both"/>
      </w:pPr>
      <w:r w:rsidRPr="002F582A">
        <w:t xml:space="preserve">This </w:t>
      </w:r>
      <w:r>
        <w:t>subsection describes</w:t>
      </w:r>
      <w:r w:rsidRPr="002F582A">
        <w:t xml:space="preserve"> if the </w:t>
      </w:r>
      <w:r>
        <w:t xml:space="preserve">Programme set </w:t>
      </w:r>
      <w:r w:rsidRPr="002F582A">
        <w:t>output indica</w:t>
      </w:r>
      <w:r>
        <w:t xml:space="preserve">tors are relevant to the activities to be supported. In general, the Programme output indicators are relevant to the actions planned to be supported by the Programme. </w:t>
      </w:r>
      <w:r w:rsidR="00FE4FDE">
        <w:t xml:space="preserve">Moreover, the rational for the form of support proposed is clear and </w:t>
      </w:r>
      <w:r w:rsidR="0028425E" w:rsidRPr="00C059E8">
        <w:t>th</w:t>
      </w:r>
      <w:r w:rsidR="00861D57" w:rsidRPr="00C059E8">
        <w:t>e provided indicative list of actions to be supported by the Programme is extensive and illustrates the possible acti</w:t>
      </w:r>
      <w:r w:rsidR="00FE4FDE">
        <w:t>vities</w:t>
      </w:r>
      <w:r w:rsidR="00861D57" w:rsidRPr="00C059E8">
        <w:t xml:space="preserve">. </w:t>
      </w:r>
      <w:r w:rsidR="002652C1">
        <w:t xml:space="preserve">However, </w:t>
      </w:r>
      <w:r w:rsidR="00FE4FDE">
        <w:t xml:space="preserve">some of the proposed activities </w:t>
      </w:r>
      <w:r w:rsidR="00DE7C2C">
        <w:t xml:space="preserve">in TO11 IP1 </w:t>
      </w:r>
      <w:r w:rsidR="00FE4FDE">
        <w:t xml:space="preserve">are described too general, and do not provide </w:t>
      </w:r>
      <w:r w:rsidR="00FE4FDE" w:rsidRPr="00FB01AE">
        <w:t>enough detail</w:t>
      </w:r>
      <w:r w:rsidR="00DE7C2C" w:rsidRPr="00FB01AE">
        <w:t xml:space="preserve">, </w:t>
      </w:r>
      <w:r w:rsidR="00DE7C2C" w:rsidRPr="009D48F2">
        <w:t>f</w:t>
      </w:r>
      <w:r w:rsidR="00FE4FDE" w:rsidRPr="009D48F2">
        <w:t xml:space="preserve">or instance, </w:t>
      </w:r>
      <w:r w:rsidR="0076467B" w:rsidRPr="009D48F2">
        <w:t>TO11 IP1 proposed activity – “transfer of good practices”</w:t>
      </w:r>
      <w:r w:rsidR="00E158E1">
        <w:t xml:space="preserve"> and “</w:t>
      </w:r>
      <w:r w:rsidR="00E158E1" w:rsidRPr="00BA2B1E">
        <w:t>involvement of the</w:t>
      </w:r>
      <w:r w:rsidR="00E158E1">
        <w:t xml:space="preserve"> society in the decision making”</w:t>
      </w:r>
      <w:r w:rsidR="00BC5A6A">
        <w:t>.</w:t>
      </w:r>
      <w:r w:rsidR="00E158E1">
        <w:t xml:space="preserve"> </w:t>
      </w:r>
      <w:r w:rsidR="008749EA">
        <w:t>However it is understood that this priority is aimed at various activities that could contribute to improvement of public services, therefore currently the proposed activities are very general in nature.</w:t>
      </w:r>
      <w:r w:rsidR="00244C65">
        <w:t xml:space="preserve"> </w:t>
      </w:r>
      <w:r w:rsidR="00E158E1">
        <w:t xml:space="preserve">These activities </w:t>
      </w:r>
      <w:r w:rsidR="00244C65">
        <w:t xml:space="preserve">could </w:t>
      </w:r>
      <w:r w:rsidR="00E158E1">
        <w:t>be re-formulated stating more precisely what is meant by “good practices”, what kind of “good practices”, how the society will be “involved in the decision making”</w:t>
      </w:r>
      <w:r w:rsidR="00244C65">
        <w:t xml:space="preserve"> if there were more detailed information available on specific needs and challenges of the regions for improving public services.</w:t>
      </w:r>
      <w:r w:rsidR="0005671C">
        <w:t xml:space="preserve"> Therefore it is recommended to provide more details (e.g. include specific examples) when describing the indicative actions to be supported by the Programme, where possible. Similarly, as it was </w:t>
      </w:r>
      <w:r w:rsidR="00A655DB">
        <w:t xml:space="preserve">done for TO6 IP3. </w:t>
      </w:r>
    </w:p>
    <w:p w:rsidR="0005671C" w:rsidRPr="002652C1" w:rsidRDefault="0005671C" w:rsidP="00092E35">
      <w:pPr>
        <w:pStyle w:val="BodyText"/>
        <w:spacing w:after="0"/>
        <w:jc w:val="both"/>
        <w:rPr>
          <w:b/>
          <w:u w:val="single"/>
        </w:rPr>
      </w:pPr>
    </w:p>
    <w:p w:rsidR="00C6513E" w:rsidRPr="00C6513E" w:rsidRDefault="00C6513E" w:rsidP="00C6513E">
      <w:pPr>
        <w:keepNext/>
        <w:keepLines/>
        <w:spacing w:after="40" w:line="240" w:lineRule="auto"/>
        <w:jc w:val="both"/>
        <w:outlineLvl w:val="1"/>
        <w:rPr>
          <w:rFonts w:asciiTheme="majorHAnsi" w:eastAsia="Times New Roman" w:hAnsiTheme="majorHAnsi" w:cstheme="majorBidi"/>
          <w:bCs/>
          <w:color w:val="000000" w:themeColor="text1"/>
        </w:rPr>
      </w:pPr>
    </w:p>
    <w:p w:rsidR="0007220D" w:rsidRPr="0007220D" w:rsidRDefault="0007220D" w:rsidP="00701AEA">
      <w:pPr>
        <w:pStyle w:val="Heading2"/>
        <w:numPr>
          <w:ilvl w:val="1"/>
          <w:numId w:val="11"/>
        </w:numPr>
      </w:pPr>
      <w:bookmarkStart w:id="15" w:name="_Toc390942539"/>
      <w:r>
        <w:t>Target groups and beneficiaries</w:t>
      </w:r>
      <w:bookmarkEnd w:id="15"/>
    </w:p>
    <w:p w:rsidR="00C44F2E" w:rsidRPr="00232CBE" w:rsidRDefault="00C44F2E" w:rsidP="00C44F2E">
      <w:pPr>
        <w:keepNext/>
        <w:keepLines/>
        <w:spacing w:after="40" w:line="240" w:lineRule="auto"/>
        <w:outlineLvl w:val="1"/>
        <w:rPr>
          <w:rFonts w:asciiTheme="majorHAnsi" w:eastAsia="Times New Roman" w:hAnsiTheme="majorHAnsi" w:cstheme="majorBidi"/>
          <w:bCs/>
          <w:color w:val="DC6900" w:themeColor="text2"/>
        </w:rPr>
      </w:pPr>
    </w:p>
    <w:p w:rsidR="00366564" w:rsidRDefault="00232CBE" w:rsidP="00B0168D">
      <w:pPr>
        <w:keepNext/>
        <w:keepLines/>
        <w:spacing w:after="40" w:line="240" w:lineRule="auto"/>
        <w:jc w:val="both"/>
        <w:outlineLvl w:val="1"/>
        <w:rPr>
          <w:rFonts w:asciiTheme="majorHAnsi" w:eastAsia="Times New Roman" w:hAnsiTheme="majorHAnsi" w:cstheme="majorBidi"/>
          <w:bCs/>
          <w:color w:val="000000" w:themeColor="text1"/>
        </w:rPr>
      </w:pPr>
      <w:r w:rsidRPr="00232CBE">
        <w:rPr>
          <w:rFonts w:asciiTheme="majorHAnsi" w:eastAsia="Times New Roman" w:hAnsiTheme="majorHAnsi" w:cstheme="majorBidi"/>
          <w:bCs/>
          <w:color w:val="000000" w:themeColor="text1"/>
        </w:rPr>
        <w:t xml:space="preserve">The main </w:t>
      </w:r>
      <w:r>
        <w:rPr>
          <w:rFonts w:asciiTheme="majorHAnsi" w:eastAsia="Times New Roman" w:hAnsiTheme="majorHAnsi" w:cstheme="majorBidi"/>
          <w:bCs/>
          <w:color w:val="000000" w:themeColor="text1"/>
        </w:rPr>
        <w:t xml:space="preserve">target groups are identified in the Programme for each investment priority. </w:t>
      </w:r>
      <w:r w:rsidR="00F356FC">
        <w:rPr>
          <w:rFonts w:asciiTheme="majorHAnsi" w:eastAsia="Times New Roman" w:hAnsiTheme="majorHAnsi" w:cstheme="majorBidi"/>
          <w:bCs/>
          <w:color w:val="000000" w:themeColor="text1"/>
        </w:rPr>
        <w:t>There are different target groups which are relevant to specific investment priorities, for example, persons living in the territories, students and l</w:t>
      </w:r>
      <w:r w:rsidR="00F356FC" w:rsidRPr="00F356FC">
        <w:rPr>
          <w:rFonts w:asciiTheme="majorHAnsi" w:eastAsia="Times New Roman" w:hAnsiTheme="majorHAnsi" w:cstheme="majorBidi"/>
          <w:bCs/>
          <w:color w:val="000000" w:themeColor="text1"/>
        </w:rPr>
        <w:t>ocal businesse</w:t>
      </w:r>
      <w:r w:rsidR="00F356FC">
        <w:rPr>
          <w:rFonts w:asciiTheme="majorHAnsi" w:eastAsia="Times New Roman" w:hAnsiTheme="majorHAnsi" w:cstheme="majorBidi"/>
          <w:bCs/>
          <w:color w:val="000000" w:themeColor="text1"/>
        </w:rPr>
        <w:t>s</w:t>
      </w:r>
      <w:r w:rsidR="00F356FC" w:rsidRPr="00F356FC">
        <w:rPr>
          <w:rFonts w:asciiTheme="majorHAnsi" w:eastAsia="Times New Roman" w:hAnsiTheme="majorHAnsi" w:cstheme="majorBidi"/>
          <w:bCs/>
          <w:color w:val="000000" w:themeColor="text1"/>
        </w:rPr>
        <w:t xml:space="preserve">. </w:t>
      </w:r>
      <w:r>
        <w:rPr>
          <w:rFonts w:asciiTheme="majorHAnsi" w:eastAsia="Times New Roman" w:hAnsiTheme="majorHAnsi" w:cstheme="majorBidi"/>
          <w:bCs/>
          <w:color w:val="000000" w:themeColor="text1"/>
        </w:rPr>
        <w:t>Similarly the main beneficiaries are described on the investment priority level. Overall, they are well described and provide sufficient understanding of the prospective Programme target groups and beneficiaries.</w:t>
      </w:r>
    </w:p>
    <w:p w:rsidR="00D97A24" w:rsidRDefault="00D97A24" w:rsidP="00B0168D">
      <w:pPr>
        <w:keepNext/>
        <w:keepLines/>
        <w:spacing w:after="40" w:line="240" w:lineRule="auto"/>
        <w:jc w:val="both"/>
        <w:outlineLvl w:val="1"/>
        <w:rPr>
          <w:rFonts w:asciiTheme="majorHAnsi" w:eastAsia="Times New Roman" w:hAnsiTheme="majorHAnsi" w:cstheme="majorBidi"/>
          <w:bCs/>
          <w:color w:val="000000" w:themeColor="text1"/>
        </w:rPr>
      </w:pPr>
    </w:p>
    <w:p w:rsidR="00020728" w:rsidRDefault="00020728" w:rsidP="00B0168D">
      <w:pPr>
        <w:keepNext/>
        <w:keepLines/>
        <w:spacing w:after="40" w:line="240" w:lineRule="auto"/>
        <w:ind w:left="300"/>
        <w:jc w:val="both"/>
        <w:outlineLvl w:val="1"/>
        <w:rPr>
          <w:rFonts w:asciiTheme="majorHAnsi" w:eastAsia="Times New Roman" w:hAnsiTheme="majorHAnsi" w:cstheme="majorBidi"/>
          <w:bCs/>
          <w:color w:val="000000" w:themeColor="text1"/>
        </w:rPr>
      </w:pPr>
    </w:p>
    <w:p w:rsidR="00893FB2" w:rsidRDefault="00073AAD" w:rsidP="00701AEA">
      <w:pPr>
        <w:pStyle w:val="Heading1NoSpacing"/>
        <w:numPr>
          <w:ilvl w:val="0"/>
          <w:numId w:val="7"/>
        </w:numPr>
        <w:spacing w:line="240" w:lineRule="auto"/>
      </w:pPr>
      <w:bookmarkStart w:id="16" w:name="_Toc390942540"/>
      <w:r>
        <w:t xml:space="preserve">Quantified baseline, </w:t>
      </w:r>
      <w:r w:rsidR="009B453B">
        <w:t>target values</w:t>
      </w:r>
      <w:r>
        <w:t xml:space="preserve"> and milestones</w:t>
      </w:r>
      <w:bookmarkEnd w:id="16"/>
    </w:p>
    <w:p w:rsidR="00E01DEF" w:rsidRDefault="00E01DEF" w:rsidP="00893FB2">
      <w:pPr>
        <w:spacing w:after="0" w:line="240" w:lineRule="auto"/>
      </w:pPr>
    </w:p>
    <w:p w:rsidR="002A050A" w:rsidRDefault="003E70E4" w:rsidP="00C179E0">
      <w:pPr>
        <w:pStyle w:val="BodyText"/>
        <w:spacing w:after="0" w:line="240" w:lineRule="auto"/>
        <w:jc w:val="both"/>
        <w:rPr>
          <w:rFonts w:asciiTheme="majorHAnsi" w:eastAsia="Arial" w:hAnsiTheme="majorHAnsi" w:cs="Times New Roman"/>
        </w:rPr>
      </w:pPr>
      <w:r>
        <w:rPr>
          <w:rFonts w:asciiTheme="majorHAnsi" w:eastAsia="Arial" w:hAnsiTheme="majorHAnsi" w:cs="Times New Roman"/>
        </w:rPr>
        <w:t xml:space="preserve">The </w:t>
      </w:r>
      <w:r w:rsidR="005B4A7F">
        <w:rPr>
          <w:rFonts w:asciiTheme="majorHAnsi" w:eastAsia="Arial" w:hAnsiTheme="majorHAnsi" w:cs="Times New Roman"/>
        </w:rPr>
        <w:t>CPR</w:t>
      </w:r>
      <w:r w:rsidR="00711005">
        <w:rPr>
          <w:rFonts w:asciiTheme="majorHAnsi" w:eastAsia="Arial" w:hAnsiTheme="majorHAnsi" w:cs="Times New Roman"/>
        </w:rPr>
        <w:t xml:space="preserve"> requires the ex-</w:t>
      </w:r>
      <w:r w:rsidR="005B4A7F" w:rsidRPr="00556AB4">
        <w:rPr>
          <w:rFonts w:asciiTheme="majorHAnsi" w:eastAsia="Arial" w:hAnsiTheme="majorHAnsi" w:cs="Times New Roman"/>
        </w:rPr>
        <w:t xml:space="preserve">ante evaluation to appraise the </w:t>
      </w:r>
      <w:r w:rsidR="00F25C52">
        <w:rPr>
          <w:rFonts w:asciiTheme="majorHAnsi" w:eastAsia="Arial" w:hAnsiTheme="majorHAnsi" w:cs="Times New Roman"/>
        </w:rPr>
        <w:t>adequacy of the selected baseline and target values</w:t>
      </w:r>
      <w:r w:rsidR="008745C2">
        <w:rPr>
          <w:rFonts w:asciiTheme="majorHAnsi" w:eastAsia="Arial" w:hAnsiTheme="majorHAnsi" w:cs="Times New Roman"/>
        </w:rPr>
        <w:t xml:space="preserve"> as well as the suitability of milestones</w:t>
      </w:r>
      <w:r w:rsidR="00F25C52">
        <w:rPr>
          <w:rFonts w:asciiTheme="majorHAnsi" w:eastAsia="Arial" w:hAnsiTheme="majorHAnsi" w:cs="Times New Roman"/>
        </w:rPr>
        <w:t xml:space="preserve">. </w:t>
      </w:r>
      <w:r w:rsidR="002A050A" w:rsidRPr="002A050A">
        <w:rPr>
          <w:rFonts w:asciiTheme="majorHAnsi" w:eastAsia="Arial" w:hAnsiTheme="majorHAnsi" w:cs="Times New Roman"/>
        </w:rPr>
        <w:t xml:space="preserve">This section </w:t>
      </w:r>
      <w:r w:rsidR="002A050A">
        <w:rPr>
          <w:rFonts w:asciiTheme="majorHAnsi" w:eastAsia="Arial" w:hAnsiTheme="majorHAnsi" w:cs="Times New Roman"/>
        </w:rPr>
        <w:t xml:space="preserve">evaluates the baseline and target values of result indicators set by the Programme </w:t>
      </w:r>
      <w:r w:rsidR="00C47BC1">
        <w:rPr>
          <w:rFonts w:asciiTheme="majorHAnsi" w:eastAsia="Arial" w:hAnsiTheme="majorHAnsi" w:cs="Times New Roman"/>
        </w:rPr>
        <w:t>a</w:t>
      </w:r>
      <w:r w:rsidR="002A050A">
        <w:rPr>
          <w:rFonts w:asciiTheme="majorHAnsi" w:eastAsia="Arial" w:hAnsiTheme="majorHAnsi" w:cs="Times New Roman"/>
        </w:rPr>
        <w:t>s well as the target values of output indicators.</w:t>
      </w:r>
      <w:r w:rsidR="008745C2">
        <w:rPr>
          <w:rFonts w:asciiTheme="majorHAnsi" w:eastAsia="Arial" w:hAnsiTheme="majorHAnsi" w:cs="Times New Roman"/>
        </w:rPr>
        <w:t xml:space="preserve"> In addition, also the suitability of milestones is evaluated.</w:t>
      </w:r>
    </w:p>
    <w:p w:rsidR="002A050A" w:rsidRDefault="002A050A" w:rsidP="00C179E0">
      <w:pPr>
        <w:pStyle w:val="BodyText"/>
        <w:spacing w:after="0" w:line="240" w:lineRule="auto"/>
        <w:jc w:val="both"/>
        <w:rPr>
          <w:rFonts w:asciiTheme="majorHAnsi" w:eastAsia="Arial" w:hAnsiTheme="majorHAnsi" w:cs="Times New Roman"/>
        </w:rPr>
      </w:pPr>
    </w:p>
    <w:p w:rsidR="00077407" w:rsidRPr="00077407" w:rsidRDefault="00077407" w:rsidP="00701AEA">
      <w:pPr>
        <w:pStyle w:val="Heading2"/>
        <w:numPr>
          <w:ilvl w:val="1"/>
          <w:numId w:val="7"/>
        </w:numPr>
      </w:pPr>
      <w:bookmarkStart w:id="17" w:name="_Toc390184476"/>
      <w:bookmarkStart w:id="18" w:name="_Toc390942541"/>
      <w:bookmarkEnd w:id="17"/>
      <w:r>
        <w:t>Baseline and target values of result indicators</w:t>
      </w:r>
      <w:bookmarkEnd w:id="18"/>
    </w:p>
    <w:p w:rsidR="00077407" w:rsidRPr="00C179E0" w:rsidRDefault="00077407" w:rsidP="00C179E0">
      <w:pPr>
        <w:pStyle w:val="BodyText"/>
        <w:spacing w:after="0" w:line="240" w:lineRule="auto"/>
        <w:jc w:val="both"/>
        <w:rPr>
          <w:rFonts w:asciiTheme="majorHAnsi" w:eastAsia="Arial" w:hAnsiTheme="majorHAnsi" w:cs="Times New Roman"/>
        </w:rPr>
      </w:pPr>
    </w:p>
    <w:p w:rsidR="00077407" w:rsidRDefault="00077407" w:rsidP="00844B40">
      <w:pPr>
        <w:pStyle w:val="BodyText2"/>
      </w:pPr>
      <w:r w:rsidRPr="003D63B8">
        <w:t xml:space="preserve">The quantified target </w:t>
      </w:r>
      <w:r>
        <w:t xml:space="preserve">and baseline </w:t>
      </w:r>
      <w:r w:rsidRPr="003D63B8">
        <w:t xml:space="preserve">values </w:t>
      </w:r>
      <w:r>
        <w:t xml:space="preserve">are set </w:t>
      </w:r>
      <w:r w:rsidRPr="003D63B8">
        <w:t xml:space="preserve">for all Programme </w:t>
      </w:r>
      <w:r>
        <w:t xml:space="preserve">result </w:t>
      </w:r>
      <w:r w:rsidRPr="003D63B8">
        <w:t>in</w:t>
      </w:r>
      <w:r w:rsidR="003432F4">
        <w:t>dicators, except for the</w:t>
      </w:r>
      <w:r>
        <w:t xml:space="preserve"> TO8</w:t>
      </w:r>
      <w:r w:rsidR="00844DF6">
        <w:t xml:space="preserve"> </w:t>
      </w:r>
      <w:r>
        <w:t>IP2</w:t>
      </w:r>
      <w:r w:rsidR="003432F4">
        <w:t xml:space="preserve"> (“traffic intensity on the renovated roads”)</w:t>
      </w:r>
      <w:r>
        <w:t>, TO9</w:t>
      </w:r>
      <w:r w:rsidR="00844DF6">
        <w:t xml:space="preserve"> </w:t>
      </w:r>
      <w:r>
        <w:t>IP1</w:t>
      </w:r>
      <w:r w:rsidR="003432F4">
        <w:t xml:space="preserve"> (“number of people benefitting from joint social inclusion </w:t>
      </w:r>
      <w:r w:rsidR="003432F4">
        <w:lastRenderedPageBreak/>
        <w:t>measures and social services”</w:t>
      </w:r>
      <w:r>
        <w:t xml:space="preserve"> and TO11 IP1 </w:t>
      </w:r>
      <w:r w:rsidR="003432F4">
        <w:t xml:space="preserve">(“number of joint solutions improving the public services”) </w:t>
      </w:r>
      <w:r>
        <w:t xml:space="preserve">result </w:t>
      </w:r>
      <w:r w:rsidRPr="003D63B8">
        <w:t>indicator</w:t>
      </w:r>
      <w:r w:rsidR="004F2B3F">
        <w:t>s.</w:t>
      </w:r>
      <w:r>
        <w:t xml:space="preserve"> </w:t>
      </w:r>
      <w:r w:rsidR="004F2B3F">
        <w:t>However, the</w:t>
      </w:r>
      <w:r>
        <w:t xml:space="preserve"> action plan is provided on how baseline and target values will be established</w:t>
      </w:r>
      <w:r w:rsidR="001A210F">
        <w:t xml:space="preserve"> for these result indicators. It is also clear </w:t>
      </w:r>
      <w:r w:rsidR="004F2B3F">
        <w:t>where the needed data for calculations will be obtained</w:t>
      </w:r>
      <w:r>
        <w:t xml:space="preserve">. It is planned to launch surveys in order to get the needed data from municipalities and regions. The deadline for obtaining data is set to August 15, 2014. </w:t>
      </w:r>
      <w:r w:rsidR="001A210F">
        <w:t>The proposed action plan for setting the remaining target and baseline values is adequate. However, i</w:t>
      </w:r>
      <w:r w:rsidR="004F2B3F">
        <w:t xml:space="preserve">t is recommended to appraise the likelihood of risk that there could be </w:t>
      </w:r>
      <w:r w:rsidR="00413214">
        <w:t xml:space="preserve">difficulties in setting the baseline and target values if municipalities and regions are not able to provide useful data or </w:t>
      </w:r>
      <w:r w:rsidR="00184385">
        <w:t>the provided data</w:t>
      </w:r>
      <w:r w:rsidR="004F2B3F">
        <w:t xml:space="preserve"> will turn out to be</w:t>
      </w:r>
      <w:r w:rsidR="00413214">
        <w:t xml:space="preserve"> incomplete.</w:t>
      </w:r>
    </w:p>
    <w:p w:rsidR="00053EC4" w:rsidRDefault="00053EC4" w:rsidP="00053EC4">
      <w:pPr>
        <w:pStyle w:val="BodyText2"/>
      </w:pPr>
      <w:r>
        <w:t xml:space="preserve">Baseline and target values for </w:t>
      </w:r>
      <w:r w:rsidRPr="00053EC4">
        <w:t>TO6 IP2, TO6 IP3, TO8 IP1, TO9 IP2</w:t>
      </w:r>
      <w:r>
        <w:t xml:space="preserve"> result indicators are set correctly taking into account recommendations for setting adequate and verifiable indicators. As well as relevant tendencies from previous years and future outlooks were taken into account when setting baseline and target values.</w:t>
      </w:r>
    </w:p>
    <w:p w:rsidR="001254E3" w:rsidRDefault="008E2597" w:rsidP="00844B40">
      <w:pPr>
        <w:tabs>
          <w:tab w:val="left" w:pos="1328"/>
        </w:tabs>
        <w:jc w:val="both"/>
      </w:pPr>
      <w:r>
        <w:t>Initially t</w:t>
      </w:r>
      <w:r w:rsidR="00612239" w:rsidRPr="00FC6E93">
        <w:t>he</w:t>
      </w:r>
      <w:r w:rsidR="00612239">
        <w:t xml:space="preserve"> data</w:t>
      </w:r>
      <w:r w:rsidR="00627711">
        <w:t xml:space="preserve"> used for setting the</w:t>
      </w:r>
      <w:r>
        <w:t xml:space="preserve"> TO6 IP1 baseline value was</w:t>
      </w:r>
      <w:r w:rsidR="00612239">
        <w:t xml:space="preserve"> incorrect. </w:t>
      </w:r>
      <w:r w:rsidR="003B0CCA">
        <w:t xml:space="preserve">According to the </w:t>
      </w:r>
      <w:r w:rsidR="003B0CCA" w:rsidRPr="00612239">
        <w:t>National Statistics Bureaus of Latvia</w:t>
      </w:r>
      <w:r w:rsidR="003B0CCA">
        <w:t xml:space="preserve"> the data </w:t>
      </w:r>
      <w:r>
        <w:t>used for calculating baseline was</w:t>
      </w:r>
      <w:r w:rsidR="003B0CCA">
        <w:t xml:space="preserve"> “number of visitors” not “overnight st</w:t>
      </w:r>
      <w:r>
        <w:t>ays of visitors” as it should have been</w:t>
      </w:r>
      <w:r w:rsidR="003B0CCA">
        <w:t xml:space="preserve"> according to the s</w:t>
      </w:r>
      <w:r>
        <w:t>et Programme indicator, which was</w:t>
      </w:r>
      <w:r w:rsidR="003B0CCA">
        <w:t xml:space="preserve"> “overnight stays of visitors in th</w:t>
      </w:r>
      <w:r>
        <w:t>e Programme area”. It was</w:t>
      </w:r>
      <w:r w:rsidR="003B0CCA">
        <w:t xml:space="preserve"> recommended to correct the calculations and change the baseline according to the correct data. </w:t>
      </w:r>
      <w:r>
        <w:t xml:space="preserve">The </w:t>
      </w:r>
      <w:r w:rsidR="00B16897">
        <w:t>Programme developers have taken into account this comment and changed the data. In the updated Programme the data used for TO6 IP1 baseline value is correct.</w:t>
      </w:r>
    </w:p>
    <w:p w:rsidR="00077407" w:rsidRDefault="00C72702" w:rsidP="00DE2F34">
      <w:pPr>
        <w:pStyle w:val="Text1"/>
        <w:spacing w:after="0" w:line="240" w:lineRule="auto"/>
        <w:ind w:left="0"/>
        <w:rPr>
          <w:rFonts w:asciiTheme="majorHAnsi" w:hAnsiTheme="majorHAnsi"/>
          <w:sz w:val="20"/>
        </w:rPr>
      </w:pPr>
      <w:r w:rsidRPr="001928EB">
        <w:rPr>
          <w:rFonts w:asciiTheme="majorHAnsi" w:hAnsiTheme="majorHAnsi"/>
          <w:sz w:val="20"/>
        </w:rPr>
        <w:t>TO8 IP2</w:t>
      </w:r>
      <w:r>
        <w:rPr>
          <w:rFonts w:asciiTheme="majorHAnsi" w:hAnsiTheme="majorHAnsi"/>
          <w:sz w:val="20"/>
        </w:rPr>
        <w:t xml:space="preserve"> </w:t>
      </w:r>
      <w:r w:rsidR="001F2F75">
        <w:rPr>
          <w:rFonts w:asciiTheme="majorHAnsi" w:hAnsiTheme="majorHAnsi"/>
          <w:sz w:val="20"/>
        </w:rPr>
        <w:t xml:space="preserve">result </w:t>
      </w:r>
      <w:r>
        <w:rPr>
          <w:rFonts w:asciiTheme="majorHAnsi" w:hAnsiTheme="majorHAnsi"/>
          <w:sz w:val="20"/>
        </w:rPr>
        <w:t xml:space="preserve">indicator </w:t>
      </w:r>
      <w:r w:rsidR="00656441">
        <w:rPr>
          <w:rFonts w:asciiTheme="majorHAnsi" w:hAnsiTheme="majorHAnsi"/>
          <w:sz w:val="20"/>
        </w:rPr>
        <w:t>“</w:t>
      </w:r>
      <w:r>
        <w:rPr>
          <w:rFonts w:asciiTheme="majorHAnsi" w:hAnsiTheme="majorHAnsi"/>
          <w:sz w:val="20"/>
        </w:rPr>
        <w:t>number of people receiving upgraded skills matching labour market needs</w:t>
      </w:r>
      <w:r w:rsidR="00656441">
        <w:rPr>
          <w:rFonts w:asciiTheme="majorHAnsi" w:hAnsiTheme="majorHAnsi"/>
          <w:sz w:val="20"/>
        </w:rPr>
        <w:t>”</w:t>
      </w:r>
      <w:r w:rsidR="001F2F75">
        <w:rPr>
          <w:rFonts w:asciiTheme="majorHAnsi" w:hAnsiTheme="majorHAnsi"/>
          <w:sz w:val="20"/>
        </w:rPr>
        <w:t xml:space="preserve"> </w:t>
      </w:r>
      <w:r w:rsidR="00656441">
        <w:rPr>
          <w:rFonts w:asciiTheme="majorHAnsi" w:hAnsiTheme="majorHAnsi"/>
          <w:sz w:val="20"/>
        </w:rPr>
        <w:t xml:space="preserve">target value </w:t>
      </w:r>
      <w:r w:rsidR="001F2F75">
        <w:rPr>
          <w:rFonts w:asciiTheme="majorHAnsi" w:hAnsiTheme="majorHAnsi"/>
          <w:sz w:val="20"/>
        </w:rPr>
        <w:t xml:space="preserve">is not consistent with </w:t>
      </w:r>
      <w:r w:rsidR="00656441">
        <w:rPr>
          <w:rFonts w:asciiTheme="majorHAnsi" w:hAnsiTheme="majorHAnsi"/>
          <w:sz w:val="20"/>
        </w:rPr>
        <w:t xml:space="preserve">the TO8 IP2 </w:t>
      </w:r>
      <w:r w:rsidR="001F2F75">
        <w:rPr>
          <w:rFonts w:asciiTheme="majorHAnsi" w:hAnsiTheme="majorHAnsi"/>
          <w:sz w:val="20"/>
        </w:rPr>
        <w:t>output indicator “number of participants in joint education and training schemes to support youth employment, educational opportunities and higher and vocational education across borders”</w:t>
      </w:r>
      <w:r w:rsidR="00656441">
        <w:rPr>
          <w:rFonts w:asciiTheme="majorHAnsi" w:hAnsiTheme="majorHAnsi"/>
          <w:sz w:val="20"/>
        </w:rPr>
        <w:t xml:space="preserve"> target value. TO8 IP2 output target value is “700 participants in joint education and training schemes”. Whereas, TO8 IP2 result target value is “1200 people receiving upgraded skills”, and the baseline is 1000. </w:t>
      </w:r>
      <w:r w:rsidR="00036FC7">
        <w:rPr>
          <w:rFonts w:asciiTheme="majorHAnsi" w:hAnsiTheme="majorHAnsi"/>
          <w:sz w:val="20"/>
        </w:rPr>
        <w:t>It is unclear how the set result target value of 1200 will be achieved by the planned 700 participants. It is advised to specify whether these calculations are based on the assumption that 200 from expected 700 participants will be u</w:t>
      </w:r>
      <w:r w:rsidR="001F1E0E">
        <w:rPr>
          <w:rFonts w:asciiTheme="majorHAnsi" w:hAnsiTheme="majorHAnsi"/>
          <w:sz w:val="20"/>
        </w:rPr>
        <w:t>nique persons (persons who have not previously participated in the Programme and upgraded their skills)</w:t>
      </w:r>
      <w:r w:rsidR="00036FC7">
        <w:rPr>
          <w:rFonts w:asciiTheme="majorHAnsi" w:hAnsiTheme="majorHAnsi"/>
          <w:sz w:val="20"/>
        </w:rPr>
        <w:t xml:space="preserve"> receiving the upgrade of skills, that will ensure the achievement of target value 1200 (1000 who received </w:t>
      </w:r>
      <w:r w:rsidR="001F1E0E">
        <w:rPr>
          <w:rFonts w:asciiTheme="majorHAnsi" w:hAnsiTheme="majorHAnsi"/>
          <w:sz w:val="20"/>
        </w:rPr>
        <w:t>upgraded skills during 2007-2013 plus 200 unique participants</w:t>
      </w:r>
      <w:r w:rsidR="00605C2A">
        <w:rPr>
          <w:rFonts w:asciiTheme="majorHAnsi" w:hAnsiTheme="majorHAnsi"/>
          <w:sz w:val="20"/>
        </w:rPr>
        <w:t>, 20% increase</w:t>
      </w:r>
      <w:r w:rsidR="001F1E0E">
        <w:rPr>
          <w:rFonts w:asciiTheme="majorHAnsi" w:hAnsiTheme="majorHAnsi"/>
          <w:sz w:val="20"/>
        </w:rPr>
        <w:t>).</w:t>
      </w:r>
      <w:r w:rsidR="00656441">
        <w:rPr>
          <w:rFonts w:asciiTheme="majorHAnsi" w:hAnsiTheme="majorHAnsi"/>
          <w:sz w:val="20"/>
        </w:rPr>
        <w:t xml:space="preserve"> </w:t>
      </w:r>
      <w:r w:rsidR="0079511D">
        <w:rPr>
          <w:rFonts w:asciiTheme="majorHAnsi" w:hAnsiTheme="majorHAnsi"/>
          <w:sz w:val="20"/>
        </w:rPr>
        <w:t>It is also suggested to consider narrowing down the TO8 IP2 result indicator and calculating only people who obtained the job in the Programme region after receiving u</w:t>
      </w:r>
      <w:r w:rsidR="00605C2A">
        <w:rPr>
          <w:rFonts w:asciiTheme="majorHAnsi" w:hAnsiTheme="majorHAnsi"/>
          <w:sz w:val="20"/>
        </w:rPr>
        <w:t>pgraded skills by the Programme</w:t>
      </w:r>
      <w:r w:rsidR="00E64EA4">
        <w:rPr>
          <w:rFonts w:asciiTheme="majorHAnsi" w:hAnsiTheme="majorHAnsi"/>
          <w:sz w:val="20"/>
        </w:rPr>
        <w:t xml:space="preserve">. It could be achieved by </w:t>
      </w:r>
      <w:r w:rsidR="0079511D">
        <w:rPr>
          <w:rFonts w:asciiTheme="majorHAnsi" w:hAnsiTheme="majorHAnsi"/>
          <w:sz w:val="20"/>
        </w:rPr>
        <w:t xml:space="preserve">having </w:t>
      </w:r>
      <w:r w:rsidR="00E64EA4">
        <w:rPr>
          <w:rFonts w:asciiTheme="majorHAnsi" w:hAnsiTheme="majorHAnsi"/>
          <w:sz w:val="20"/>
        </w:rPr>
        <w:t xml:space="preserve">a </w:t>
      </w:r>
      <w:r w:rsidR="0079511D">
        <w:rPr>
          <w:rFonts w:asciiTheme="majorHAnsi" w:hAnsiTheme="majorHAnsi"/>
          <w:sz w:val="20"/>
        </w:rPr>
        <w:t>record</w:t>
      </w:r>
      <w:r w:rsidR="00E64EA4">
        <w:rPr>
          <w:rFonts w:asciiTheme="majorHAnsi" w:hAnsiTheme="majorHAnsi"/>
          <w:sz w:val="20"/>
        </w:rPr>
        <w:t xml:space="preserve"> of people </w:t>
      </w:r>
      <w:r w:rsidR="0079511D">
        <w:rPr>
          <w:rFonts w:asciiTheme="majorHAnsi" w:hAnsiTheme="majorHAnsi"/>
          <w:sz w:val="20"/>
        </w:rPr>
        <w:t xml:space="preserve">who upgraded their </w:t>
      </w:r>
      <w:r w:rsidR="00E64EA4">
        <w:rPr>
          <w:rFonts w:asciiTheme="majorHAnsi" w:hAnsiTheme="majorHAnsi"/>
          <w:sz w:val="20"/>
        </w:rPr>
        <w:t>skills</w:t>
      </w:r>
      <w:r w:rsidR="0079511D">
        <w:rPr>
          <w:rFonts w:asciiTheme="majorHAnsi" w:hAnsiTheme="majorHAnsi"/>
          <w:sz w:val="20"/>
        </w:rPr>
        <w:t xml:space="preserve"> by participating in the activities funded by the Programme</w:t>
      </w:r>
      <w:r w:rsidR="00E64EA4">
        <w:rPr>
          <w:rFonts w:asciiTheme="majorHAnsi" w:hAnsiTheme="majorHAnsi"/>
          <w:sz w:val="20"/>
        </w:rPr>
        <w:t xml:space="preserve"> and </w:t>
      </w:r>
      <w:r w:rsidR="0079511D">
        <w:rPr>
          <w:rFonts w:asciiTheme="majorHAnsi" w:hAnsiTheme="majorHAnsi"/>
          <w:sz w:val="20"/>
        </w:rPr>
        <w:t xml:space="preserve">their employer details (location). </w:t>
      </w:r>
    </w:p>
    <w:p w:rsidR="00B73BD5" w:rsidRDefault="00B73BD5" w:rsidP="00DE2F34">
      <w:pPr>
        <w:pStyle w:val="Text1"/>
        <w:spacing w:after="0" w:line="240" w:lineRule="auto"/>
        <w:ind w:left="0"/>
        <w:rPr>
          <w:rFonts w:asciiTheme="majorHAnsi" w:hAnsiTheme="majorHAnsi"/>
          <w:sz w:val="20"/>
        </w:rPr>
      </w:pPr>
    </w:p>
    <w:p w:rsidR="009058C6" w:rsidRDefault="00A47A18" w:rsidP="00C23AA4">
      <w:pPr>
        <w:pStyle w:val="BodyText2"/>
      </w:pPr>
      <w:r>
        <w:t xml:space="preserve">There are some other minor technical mistakes related to the baseline and target values of result indicators, which need to be corrected in the </w:t>
      </w:r>
      <w:r w:rsidR="001928EB">
        <w:t>Programme. In some TOs (e.g. TO8</w:t>
      </w:r>
      <w:r>
        <w:t xml:space="preserve"> IP2) the “source of data” for the baseline and target values </w:t>
      </w:r>
      <w:r w:rsidR="00216CA1">
        <w:t>in the table</w:t>
      </w:r>
      <w:r>
        <w:t xml:space="preserve"> is mentioned as “2007-2013 Programme”.  It should be changed to </w:t>
      </w:r>
      <w:r w:rsidRPr="00A47A18">
        <w:t>“Progress reports”</w:t>
      </w:r>
      <w:r>
        <w:t xml:space="preserve"> (this will include both – Progress reports of 2007-2013 Programme relevant to the baseline value and Progress reports of 2014-2020 Programme relevant for target values)</w:t>
      </w:r>
      <w:r w:rsidRPr="00A47A18">
        <w:t xml:space="preserve"> </w:t>
      </w:r>
      <w:r w:rsidR="00442FD4">
        <w:t xml:space="preserve">or “Monitoring System” </w:t>
      </w:r>
      <w:r w:rsidRPr="00A47A18">
        <w:t>in order to make source of data relevant for both baseline and target values. Currently source of data refers only to baseline values.</w:t>
      </w:r>
    </w:p>
    <w:p w:rsidR="00C23AA4" w:rsidRDefault="00FC44A0" w:rsidP="00C23AA4">
      <w:pPr>
        <w:pStyle w:val="BodyText2"/>
      </w:pPr>
      <w:r w:rsidRPr="006B4545">
        <w:t>In the tables of</w:t>
      </w:r>
      <w:r w:rsidR="00C23AA4" w:rsidRPr="006B4545">
        <w:t xml:space="preserve"> TO9 IP1</w:t>
      </w:r>
      <w:r w:rsidR="00403EED" w:rsidRPr="006B4545">
        <w:t xml:space="preserve">, </w:t>
      </w:r>
      <w:r w:rsidR="00C23AA4" w:rsidRPr="006B4545">
        <w:t>TO11</w:t>
      </w:r>
      <w:r w:rsidR="00C23AA4">
        <w:t xml:space="preserve"> IP1 </w:t>
      </w:r>
      <w:r w:rsidR="00403EED">
        <w:t xml:space="preserve">and other TOs, where </w:t>
      </w:r>
      <w:r w:rsidR="00C23AA4">
        <w:t xml:space="preserve">the source of data for </w:t>
      </w:r>
      <w:r w:rsidR="00403EED">
        <w:t xml:space="preserve">result indicator </w:t>
      </w:r>
      <w:r w:rsidR="00C23AA4">
        <w:t xml:space="preserve">baseline values </w:t>
      </w:r>
      <w:r w:rsidR="00403EED">
        <w:t xml:space="preserve">is mentioned as </w:t>
      </w:r>
      <w:r w:rsidR="00C23AA4">
        <w:t xml:space="preserve">“2007-2013 Programme” should be replaced with “survey and data collection from the </w:t>
      </w:r>
      <w:r w:rsidR="00403EED">
        <w:t>n</w:t>
      </w:r>
      <w:r w:rsidR="00C23AA4">
        <w:t xml:space="preserve">ational </w:t>
      </w:r>
      <w:r w:rsidR="00403EED">
        <w:t>a</w:t>
      </w:r>
      <w:r w:rsidR="00C23AA4">
        <w:t xml:space="preserve">uthorities and municipalities” if data is </w:t>
      </w:r>
      <w:r w:rsidR="00403EED">
        <w:t xml:space="preserve">planned to be </w:t>
      </w:r>
      <w:r w:rsidR="00C23AA4">
        <w:t>obtained from surveys.</w:t>
      </w:r>
      <w:r w:rsidR="00403EED">
        <w:t xml:space="preserve"> </w:t>
      </w:r>
      <w:r w:rsidR="00772C76">
        <w:t>In the updated Programme the source of data for result indicator baseline values “2007-2013 Programme” was replaced with “survey”.</w:t>
      </w:r>
    </w:p>
    <w:p w:rsidR="00C72702" w:rsidRDefault="00C72702" w:rsidP="00DE2F34">
      <w:pPr>
        <w:pStyle w:val="Text1"/>
        <w:spacing w:after="0" w:line="240" w:lineRule="auto"/>
        <w:ind w:left="0"/>
        <w:rPr>
          <w:rFonts w:asciiTheme="majorHAnsi" w:hAnsiTheme="majorHAnsi"/>
          <w:sz w:val="20"/>
        </w:rPr>
      </w:pPr>
    </w:p>
    <w:p w:rsidR="00077407" w:rsidRDefault="00077407" w:rsidP="00701AEA">
      <w:pPr>
        <w:pStyle w:val="Heading2"/>
        <w:numPr>
          <w:ilvl w:val="1"/>
          <w:numId w:val="7"/>
        </w:numPr>
        <w:spacing w:after="0"/>
      </w:pPr>
      <w:bookmarkStart w:id="19" w:name="_Toc390942542"/>
      <w:r>
        <w:t>Target values of output indicators</w:t>
      </w:r>
      <w:bookmarkEnd w:id="19"/>
    </w:p>
    <w:p w:rsidR="00077407" w:rsidRPr="00077407" w:rsidRDefault="00077407" w:rsidP="00FC6E93">
      <w:pPr>
        <w:pStyle w:val="BodyText"/>
        <w:spacing w:after="0"/>
      </w:pPr>
    </w:p>
    <w:p w:rsidR="009E5E6B" w:rsidRDefault="00301C10" w:rsidP="00FC6E93">
      <w:pPr>
        <w:pStyle w:val="Text1"/>
        <w:spacing w:after="0" w:line="240" w:lineRule="auto"/>
        <w:ind w:left="0"/>
        <w:rPr>
          <w:rFonts w:asciiTheme="majorHAnsi" w:hAnsiTheme="majorHAnsi"/>
          <w:iCs/>
          <w:sz w:val="20"/>
          <w:highlight w:val="yellow"/>
        </w:rPr>
      </w:pPr>
      <w:r w:rsidRPr="009E5E6B">
        <w:rPr>
          <w:rFonts w:asciiTheme="majorHAnsi" w:hAnsiTheme="majorHAnsi"/>
          <w:sz w:val="20"/>
        </w:rPr>
        <w:t xml:space="preserve">The quantified </w:t>
      </w:r>
      <w:r w:rsidR="004E16E0" w:rsidRPr="009E5E6B">
        <w:rPr>
          <w:rFonts w:asciiTheme="majorHAnsi" w:hAnsiTheme="majorHAnsi"/>
          <w:sz w:val="20"/>
        </w:rPr>
        <w:t xml:space="preserve">target values for all Programme </w:t>
      </w:r>
      <w:r w:rsidRPr="009E5E6B">
        <w:rPr>
          <w:rFonts w:asciiTheme="majorHAnsi" w:hAnsiTheme="majorHAnsi"/>
          <w:sz w:val="20"/>
        </w:rPr>
        <w:t>ou</w:t>
      </w:r>
      <w:r w:rsidR="005A3D44" w:rsidRPr="009E5E6B">
        <w:rPr>
          <w:rFonts w:asciiTheme="majorHAnsi" w:hAnsiTheme="majorHAnsi"/>
          <w:sz w:val="20"/>
        </w:rPr>
        <w:t>tput indicators</w:t>
      </w:r>
      <w:r w:rsidR="00DC03F3" w:rsidRPr="009E5E6B">
        <w:rPr>
          <w:rFonts w:asciiTheme="majorHAnsi" w:hAnsiTheme="majorHAnsi"/>
          <w:sz w:val="20"/>
        </w:rPr>
        <w:t xml:space="preserve"> are set for </w:t>
      </w:r>
      <w:r w:rsidR="009E5E6B" w:rsidRPr="009E5E6B">
        <w:rPr>
          <w:rFonts w:asciiTheme="majorHAnsi" w:hAnsiTheme="majorHAnsi"/>
          <w:sz w:val="20"/>
        </w:rPr>
        <w:t>2023. However, according to the Programme developers the target value for TO6 IP3 (“rehabilitated urban and municipal space with potential for fostering economic development”</w:t>
      </w:r>
      <w:r w:rsidR="009E5E6B">
        <w:rPr>
          <w:rFonts w:asciiTheme="majorHAnsi" w:hAnsiTheme="majorHAnsi"/>
          <w:sz w:val="20"/>
        </w:rPr>
        <w:t>)</w:t>
      </w:r>
      <w:r w:rsidR="009E5E6B" w:rsidRPr="009E5E6B">
        <w:rPr>
          <w:rFonts w:asciiTheme="majorHAnsi" w:hAnsiTheme="majorHAnsi"/>
          <w:sz w:val="20"/>
        </w:rPr>
        <w:t xml:space="preserve"> could be reviewed.</w:t>
      </w:r>
      <w:r w:rsidR="009E5E6B">
        <w:rPr>
          <w:rFonts w:asciiTheme="majorHAnsi" w:hAnsiTheme="majorHAnsi"/>
          <w:sz w:val="20"/>
        </w:rPr>
        <w:t xml:space="preserve"> The key obstacle for setting an adequate target value for this specific indicator is that there is </w:t>
      </w:r>
      <w:r w:rsidR="00F41595" w:rsidRPr="003E0144">
        <w:rPr>
          <w:rFonts w:asciiTheme="majorHAnsi" w:hAnsiTheme="majorHAnsi"/>
          <w:sz w:val="20"/>
        </w:rPr>
        <w:t>no informat</w:t>
      </w:r>
      <w:r w:rsidR="009E5E6B" w:rsidRPr="003E0144">
        <w:rPr>
          <w:rFonts w:asciiTheme="majorHAnsi" w:hAnsiTheme="majorHAnsi"/>
          <w:sz w:val="20"/>
        </w:rPr>
        <w:t xml:space="preserve">ion available for this </w:t>
      </w:r>
      <w:r w:rsidR="00F41595" w:rsidRPr="003E0144">
        <w:rPr>
          <w:rFonts w:asciiTheme="majorHAnsi" w:hAnsiTheme="majorHAnsi"/>
          <w:sz w:val="20"/>
        </w:rPr>
        <w:t xml:space="preserve">indicator from </w:t>
      </w:r>
      <w:r w:rsidR="00F41595" w:rsidRPr="003E0144">
        <w:rPr>
          <w:rFonts w:asciiTheme="majorHAnsi" w:hAnsiTheme="majorHAnsi"/>
          <w:iCs/>
          <w:sz w:val="20"/>
        </w:rPr>
        <w:t xml:space="preserve">the </w:t>
      </w:r>
      <w:r w:rsidR="0041085F">
        <w:rPr>
          <w:rFonts w:asciiTheme="majorHAnsi" w:hAnsiTheme="majorHAnsi"/>
          <w:iCs/>
          <w:sz w:val="20"/>
        </w:rPr>
        <w:t>2007-2013 Latvian</w:t>
      </w:r>
      <w:r w:rsidR="00F41595" w:rsidRPr="003E0144">
        <w:rPr>
          <w:rFonts w:asciiTheme="majorHAnsi" w:hAnsiTheme="majorHAnsi"/>
          <w:iCs/>
          <w:sz w:val="20"/>
        </w:rPr>
        <w:t xml:space="preserve"> Lithuanian Cross Border Cooperation Programme</w:t>
      </w:r>
      <w:r w:rsidR="009E5E6B" w:rsidRPr="003E0144">
        <w:rPr>
          <w:rFonts w:asciiTheme="majorHAnsi" w:hAnsiTheme="majorHAnsi"/>
          <w:iCs/>
          <w:sz w:val="20"/>
        </w:rPr>
        <w:t xml:space="preserve"> and the costs of rehabilitating urban and municipal space</w:t>
      </w:r>
      <w:r w:rsidR="00023241" w:rsidRPr="003E0144">
        <w:rPr>
          <w:rFonts w:asciiTheme="majorHAnsi" w:hAnsiTheme="majorHAnsi"/>
          <w:iCs/>
          <w:sz w:val="20"/>
        </w:rPr>
        <w:t xml:space="preserve"> </w:t>
      </w:r>
      <w:r w:rsidR="009E5E6B" w:rsidRPr="003E0144">
        <w:rPr>
          <w:rFonts w:asciiTheme="majorHAnsi" w:hAnsiTheme="majorHAnsi"/>
          <w:iCs/>
          <w:sz w:val="20"/>
        </w:rPr>
        <w:t>in Lithuania differs considerably from Latvia’s. The cost</w:t>
      </w:r>
      <w:r w:rsidR="00B5514F">
        <w:rPr>
          <w:rFonts w:asciiTheme="majorHAnsi" w:hAnsiTheme="majorHAnsi"/>
          <w:iCs/>
          <w:sz w:val="20"/>
        </w:rPr>
        <w:t>s</w:t>
      </w:r>
      <w:r w:rsidR="009E5E6B" w:rsidRPr="003E0144">
        <w:rPr>
          <w:rFonts w:asciiTheme="majorHAnsi" w:hAnsiTheme="majorHAnsi"/>
          <w:iCs/>
          <w:sz w:val="20"/>
        </w:rPr>
        <w:t xml:space="preserve"> of urban and municipal</w:t>
      </w:r>
      <w:r w:rsidR="0041085F">
        <w:rPr>
          <w:rFonts w:asciiTheme="majorHAnsi" w:hAnsiTheme="majorHAnsi"/>
          <w:iCs/>
          <w:sz w:val="20"/>
        </w:rPr>
        <w:t xml:space="preserve"> space rehabilitation in Latvia</w:t>
      </w:r>
      <w:r w:rsidR="009E5E6B" w:rsidRPr="003E0144">
        <w:rPr>
          <w:rFonts w:asciiTheme="majorHAnsi" w:hAnsiTheme="majorHAnsi"/>
          <w:iCs/>
          <w:sz w:val="20"/>
        </w:rPr>
        <w:t xml:space="preserve"> are </w:t>
      </w:r>
      <w:r w:rsidR="009E5E6B" w:rsidRPr="003E0144">
        <w:rPr>
          <w:rFonts w:asciiTheme="majorHAnsi" w:hAnsiTheme="majorHAnsi"/>
          <w:iCs/>
          <w:sz w:val="20"/>
        </w:rPr>
        <w:lastRenderedPageBreak/>
        <w:t xml:space="preserve">considerably lower than in Lithuania. </w:t>
      </w:r>
      <w:r w:rsidR="001E7E94" w:rsidRPr="00565FF8">
        <w:rPr>
          <w:rFonts w:asciiTheme="majorHAnsi" w:hAnsiTheme="majorHAnsi"/>
          <w:iCs/>
          <w:sz w:val="20"/>
        </w:rPr>
        <w:t>It is recommended that both MS revise the provided information on the costs of urban and municipal space rehabilitation.</w:t>
      </w:r>
      <w:r w:rsidR="001E7E94">
        <w:rPr>
          <w:rFonts w:asciiTheme="majorHAnsi" w:hAnsiTheme="majorHAnsi"/>
          <w:iCs/>
          <w:sz w:val="20"/>
        </w:rPr>
        <w:t xml:space="preserve"> </w:t>
      </w:r>
    </w:p>
    <w:p w:rsidR="003B289B" w:rsidRPr="00DE2F34" w:rsidRDefault="003B289B" w:rsidP="00DE2F34">
      <w:pPr>
        <w:pStyle w:val="Text1"/>
        <w:spacing w:after="0" w:line="240" w:lineRule="auto"/>
        <w:ind w:left="0"/>
        <w:rPr>
          <w:rFonts w:asciiTheme="majorHAnsi" w:hAnsiTheme="majorHAnsi"/>
          <w:sz w:val="20"/>
        </w:rPr>
      </w:pPr>
    </w:p>
    <w:p w:rsidR="004E16E0" w:rsidRDefault="00301C10" w:rsidP="00DE2F34">
      <w:pPr>
        <w:pStyle w:val="Text1"/>
        <w:spacing w:after="0" w:line="240" w:lineRule="auto"/>
        <w:ind w:left="0"/>
        <w:rPr>
          <w:rFonts w:asciiTheme="majorHAnsi" w:hAnsiTheme="majorHAnsi"/>
          <w:iCs/>
          <w:sz w:val="20"/>
        </w:rPr>
      </w:pPr>
      <w:r w:rsidRPr="00DE2F34">
        <w:rPr>
          <w:rFonts w:asciiTheme="majorHAnsi" w:hAnsiTheme="majorHAnsi"/>
          <w:sz w:val="20"/>
        </w:rPr>
        <w:t xml:space="preserve">The </w:t>
      </w:r>
      <w:r w:rsidR="00F97066" w:rsidRPr="00DE2F34">
        <w:rPr>
          <w:rFonts w:asciiTheme="majorHAnsi" w:hAnsiTheme="majorHAnsi"/>
          <w:sz w:val="20"/>
        </w:rPr>
        <w:t xml:space="preserve">currently set </w:t>
      </w:r>
      <w:r w:rsidRPr="00DE2F34">
        <w:rPr>
          <w:rFonts w:asciiTheme="majorHAnsi" w:hAnsiTheme="majorHAnsi"/>
          <w:iCs/>
          <w:sz w:val="20"/>
        </w:rPr>
        <w:t xml:space="preserve">quantified target values are realistic, having regard to the support from the available funds. The fixed targets are reasonable because </w:t>
      </w:r>
      <w:r w:rsidR="00D26803" w:rsidRPr="00DE2F34">
        <w:rPr>
          <w:rFonts w:asciiTheme="majorHAnsi" w:hAnsiTheme="majorHAnsi"/>
          <w:iCs/>
          <w:sz w:val="20"/>
        </w:rPr>
        <w:t xml:space="preserve">they are based on the computation of unit costs from </w:t>
      </w:r>
      <w:r w:rsidR="00F97066" w:rsidRPr="00DE2F34">
        <w:rPr>
          <w:rFonts w:asciiTheme="majorHAnsi" w:hAnsiTheme="majorHAnsi"/>
          <w:iCs/>
          <w:sz w:val="20"/>
        </w:rPr>
        <w:t xml:space="preserve">approved and implemented projects of the 2007-2013 Latvian Lithuanian Cross Border Cooperation Programme. </w:t>
      </w:r>
    </w:p>
    <w:p w:rsidR="00DE2F34" w:rsidRPr="00DE2F34" w:rsidRDefault="00DE2F34" w:rsidP="00DE2F34">
      <w:pPr>
        <w:pStyle w:val="Text1"/>
        <w:spacing w:after="0" w:line="240" w:lineRule="auto"/>
        <w:ind w:left="0"/>
        <w:rPr>
          <w:rFonts w:asciiTheme="majorHAnsi" w:hAnsiTheme="majorHAnsi"/>
          <w:iCs/>
          <w:sz w:val="20"/>
        </w:rPr>
      </w:pPr>
    </w:p>
    <w:p w:rsidR="00B46E5D" w:rsidRDefault="00C70885" w:rsidP="00DE2F34">
      <w:pPr>
        <w:pStyle w:val="Text1"/>
        <w:spacing w:after="0" w:line="240" w:lineRule="auto"/>
        <w:ind w:left="0"/>
        <w:rPr>
          <w:rFonts w:asciiTheme="majorHAnsi" w:hAnsiTheme="majorHAnsi"/>
          <w:sz w:val="20"/>
        </w:rPr>
      </w:pPr>
      <w:r w:rsidRPr="00FC6E93">
        <w:rPr>
          <w:rFonts w:asciiTheme="majorHAnsi" w:hAnsiTheme="majorHAnsi"/>
          <w:sz w:val="20"/>
        </w:rPr>
        <w:t xml:space="preserve">The </w:t>
      </w:r>
      <w:r w:rsidR="00B46E5D" w:rsidRPr="00FC6E93">
        <w:rPr>
          <w:rFonts w:asciiTheme="majorHAnsi" w:hAnsiTheme="majorHAnsi"/>
          <w:sz w:val="20"/>
        </w:rPr>
        <w:t xml:space="preserve">Programme also has identified the possible </w:t>
      </w:r>
      <w:r w:rsidR="004A69AD" w:rsidRPr="00FC6E93">
        <w:rPr>
          <w:rFonts w:asciiTheme="majorHAnsi" w:hAnsiTheme="majorHAnsi"/>
          <w:sz w:val="20"/>
        </w:rPr>
        <w:t xml:space="preserve">internal (e.g. maximum project size, eligibility of partners) and </w:t>
      </w:r>
      <w:r w:rsidR="00B46E5D" w:rsidRPr="00FC6E93">
        <w:rPr>
          <w:rFonts w:asciiTheme="majorHAnsi" w:hAnsiTheme="majorHAnsi"/>
          <w:sz w:val="20"/>
        </w:rPr>
        <w:t>external factors</w:t>
      </w:r>
      <w:r w:rsidR="004A69AD" w:rsidRPr="00FC6E93">
        <w:rPr>
          <w:rFonts w:asciiTheme="majorHAnsi" w:hAnsiTheme="majorHAnsi"/>
          <w:sz w:val="20"/>
        </w:rPr>
        <w:t xml:space="preserve"> (e.</w:t>
      </w:r>
      <w:r w:rsidR="004A69AD" w:rsidRPr="00DE2F34">
        <w:rPr>
          <w:rFonts w:asciiTheme="majorHAnsi" w:hAnsiTheme="majorHAnsi"/>
          <w:sz w:val="20"/>
        </w:rPr>
        <w:t xml:space="preserve">g. price levels) </w:t>
      </w:r>
      <w:r w:rsidR="00B46E5D" w:rsidRPr="00DE2F34">
        <w:rPr>
          <w:rFonts w:asciiTheme="majorHAnsi" w:hAnsiTheme="majorHAnsi"/>
          <w:sz w:val="20"/>
        </w:rPr>
        <w:t xml:space="preserve">that could influence </w:t>
      </w:r>
      <w:r w:rsidR="00515B57" w:rsidRPr="00DE2F34">
        <w:rPr>
          <w:rFonts w:asciiTheme="majorHAnsi" w:hAnsiTheme="majorHAnsi"/>
          <w:sz w:val="20"/>
        </w:rPr>
        <w:t xml:space="preserve">the achievement of the intended targets. </w:t>
      </w:r>
      <w:r w:rsidR="004A69AD" w:rsidRPr="00DE2F34">
        <w:rPr>
          <w:rFonts w:asciiTheme="majorHAnsi" w:hAnsiTheme="majorHAnsi"/>
          <w:sz w:val="20"/>
        </w:rPr>
        <w:t xml:space="preserve">The appropriate mechanism was applied for reaction to both internal and external factors – </w:t>
      </w:r>
      <w:r w:rsidR="0014706A" w:rsidRPr="00DE2F34">
        <w:rPr>
          <w:rFonts w:asciiTheme="majorHAnsi" w:hAnsiTheme="majorHAnsi"/>
          <w:sz w:val="20"/>
        </w:rPr>
        <w:t xml:space="preserve">in the Programme the </w:t>
      </w:r>
      <w:r w:rsidR="004A69AD" w:rsidRPr="00DE2F34">
        <w:rPr>
          <w:rFonts w:asciiTheme="majorHAnsi" w:hAnsiTheme="majorHAnsi"/>
          <w:sz w:val="20"/>
        </w:rPr>
        <w:t>target values were decreas</w:t>
      </w:r>
      <w:r w:rsidR="00DE36A1">
        <w:rPr>
          <w:rFonts w:asciiTheme="majorHAnsi" w:hAnsiTheme="majorHAnsi"/>
          <w:sz w:val="20"/>
        </w:rPr>
        <w:t>ed by 30%</w:t>
      </w:r>
      <w:r w:rsidR="004A69AD" w:rsidRPr="00DE2F34">
        <w:rPr>
          <w:rFonts w:asciiTheme="majorHAnsi" w:hAnsiTheme="majorHAnsi"/>
          <w:sz w:val="20"/>
        </w:rPr>
        <w:t xml:space="preserve">. </w:t>
      </w:r>
      <w:r w:rsidR="00854532">
        <w:rPr>
          <w:rFonts w:asciiTheme="majorHAnsi" w:hAnsiTheme="majorHAnsi"/>
          <w:sz w:val="20"/>
        </w:rPr>
        <w:t>T</w:t>
      </w:r>
      <w:r w:rsidR="000B2346">
        <w:rPr>
          <w:rFonts w:asciiTheme="majorHAnsi" w:hAnsiTheme="majorHAnsi"/>
          <w:sz w:val="20"/>
        </w:rPr>
        <w:t xml:space="preserve">he Programme provides sufficient </w:t>
      </w:r>
      <w:r w:rsidR="00B36504">
        <w:rPr>
          <w:rFonts w:asciiTheme="majorHAnsi" w:hAnsiTheme="majorHAnsi"/>
          <w:sz w:val="20"/>
        </w:rPr>
        <w:t xml:space="preserve">explanation on how the target values for output indicators were set. </w:t>
      </w:r>
      <w:r w:rsidR="000B2346">
        <w:rPr>
          <w:rFonts w:asciiTheme="majorHAnsi" w:hAnsiTheme="majorHAnsi"/>
          <w:sz w:val="20"/>
        </w:rPr>
        <w:t xml:space="preserve"> </w:t>
      </w:r>
    </w:p>
    <w:p w:rsidR="003B289B" w:rsidRPr="00DE2F34" w:rsidRDefault="003B289B" w:rsidP="00DE2F34">
      <w:pPr>
        <w:pStyle w:val="Text1"/>
        <w:spacing w:after="0" w:line="240" w:lineRule="auto"/>
        <w:ind w:left="0"/>
        <w:rPr>
          <w:rFonts w:asciiTheme="majorHAnsi" w:hAnsiTheme="majorHAnsi"/>
          <w:sz w:val="20"/>
        </w:rPr>
      </w:pPr>
    </w:p>
    <w:p w:rsidR="009B2909" w:rsidRDefault="009B2909">
      <w:pPr>
        <w:pStyle w:val="FootnoteText"/>
        <w:jc w:val="both"/>
      </w:pPr>
      <w:r>
        <w:t xml:space="preserve">The </w:t>
      </w:r>
      <w:r w:rsidR="00B8699A">
        <w:t xml:space="preserve">TO8 IP2 </w:t>
      </w:r>
      <w:r w:rsidR="002A61FD">
        <w:t>output</w:t>
      </w:r>
      <w:r>
        <w:t xml:space="preserve"> </w:t>
      </w:r>
      <w:r w:rsidR="00B8699A">
        <w:t xml:space="preserve">target value </w:t>
      </w:r>
      <w:r>
        <w:t>is 46 km (</w:t>
      </w:r>
      <w:r w:rsidR="00B8699A">
        <w:t>“total length of reconstructed or upgraded roads in the border area”</w:t>
      </w:r>
      <w:r>
        <w:t>). The “cautious approach” of decreasing</w:t>
      </w:r>
      <w:r w:rsidR="00ED3249">
        <w:t xml:space="preserve"> a</w:t>
      </w:r>
      <w:r w:rsidR="00DE36A1">
        <w:t>ll output target values by 30%</w:t>
      </w:r>
      <w:r>
        <w:t xml:space="preserve"> has not been applied to the TO8 IP2 target value. </w:t>
      </w:r>
      <w:r w:rsidR="00DD26DD">
        <w:t xml:space="preserve">It is understandable that it is not adequate to decrease the length of the planned road reconstructions. </w:t>
      </w:r>
      <w:r w:rsidR="00C2028E">
        <w:t xml:space="preserve">Therefore, it is recommended to </w:t>
      </w:r>
      <w:r w:rsidR="00C2028E" w:rsidRPr="00C2028E">
        <w:t xml:space="preserve">state in the Programme the proposed action in case the actual costs differ from planned funding and its impact on </w:t>
      </w:r>
      <w:r w:rsidR="006A1416">
        <w:t xml:space="preserve">the </w:t>
      </w:r>
      <w:r w:rsidR="00C2028E" w:rsidRPr="00C2028E">
        <w:t xml:space="preserve">output value. </w:t>
      </w:r>
    </w:p>
    <w:p w:rsidR="009B2909" w:rsidRDefault="009B2909" w:rsidP="00092E35">
      <w:pPr>
        <w:pStyle w:val="FootnoteText"/>
        <w:jc w:val="both"/>
      </w:pPr>
    </w:p>
    <w:p w:rsidR="00996147" w:rsidRDefault="009167CB" w:rsidP="00092E35">
      <w:pPr>
        <w:pStyle w:val="FootnoteText"/>
        <w:jc w:val="both"/>
      </w:pPr>
      <w:r w:rsidRPr="00D32051">
        <w:t>Definition of “deprived communities”</w:t>
      </w:r>
      <w:r>
        <w:t xml:space="preserve"> in the </w:t>
      </w:r>
      <w:r w:rsidR="00442578">
        <w:t>TO9 IP2</w:t>
      </w:r>
      <w:r w:rsidR="000B56B5">
        <w:t xml:space="preserve"> output indicator “number of deprived communities participating in the regeneration activities” </w:t>
      </w:r>
      <w:r>
        <w:t xml:space="preserve">remains slightly unclear. Therefore it is suggested to provide a clear definition and criteria for the communities that fall under this category. This definition and criteria can be included in the Programme Manual so that the beneficiaries fully understand the indicator and can submit correct data in their Progress reports. </w:t>
      </w:r>
    </w:p>
    <w:p w:rsidR="00073AAD" w:rsidRDefault="00073AAD" w:rsidP="00092E35">
      <w:pPr>
        <w:pStyle w:val="FootnoteText"/>
        <w:jc w:val="both"/>
      </w:pPr>
    </w:p>
    <w:p w:rsidR="00073AAD" w:rsidRDefault="00073AAD" w:rsidP="00701AEA">
      <w:pPr>
        <w:pStyle w:val="Heading2"/>
        <w:numPr>
          <w:ilvl w:val="1"/>
          <w:numId w:val="7"/>
        </w:numPr>
        <w:spacing w:after="0"/>
      </w:pPr>
      <w:bookmarkStart w:id="20" w:name="_Toc390942543"/>
      <w:r>
        <w:t>Milestones</w:t>
      </w:r>
      <w:bookmarkEnd w:id="20"/>
    </w:p>
    <w:p w:rsidR="00327579" w:rsidRDefault="00327579" w:rsidP="00327579">
      <w:pPr>
        <w:pStyle w:val="BodyText"/>
        <w:spacing w:after="0"/>
        <w:jc w:val="both"/>
        <w:rPr>
          <w:rFonts w:asciiTheme="majorHAnsi" w:hAnsiTheme="majorHAnsi"/>
        </w:rPr>
      </w:pPr>
    </w:p>
    <w:p w:rsidR="00FD0CF6" w:rsidRDefault="003E70E4" w:rsidP="00FD0CF6">
      <w:pPr>
        <w:pStyle w:val="BodyText"/>
        <w:spacing w:after="0"/>
        <w:jc w:val="both"/>
        <w:rPr>
          <w:rFonts w:asciiTheme="majorHAnsi" w:hAnsiTheme="majorHAnsi"/>
        </w:rPr>
      </w:pPr>
      <w:r w:rsidRPr="00327579">
        <w:rPr>
          <w:rFonts w:asciiTheme="majorHAnsi" w:hAnsiTheme="majorHAnsi"/>
        </w:rPr>
        <w:t>In accordance with CPR the achievement of the miles</w:t>
      </w:r>
      <w:r w:rsidR="000978E3">
        <w:rPr>
          <w:rFonts w:asciiTheme="majorHAnsi" w:hAnsiTheme="majorHAnsi"/>
        </w:rPr>
        <w:t>tones of each priority axis has to</w:t>
      </w:r>
      <w:r w:rsidRPr="00327579">
        <w:rPr>
          <w:rFonts w:asciiTheme="majorHAnsi" w:hAnsiTheme="majorHAnsi"/>
        </w:rPr>
        <w:t xml:space="preserve"> be evaluated by the Commission in 2019 based on the information </w:t>
      </w:r>
      <w:r w:rsidR="003E2346" w:rsidRPr="00327579">
        <w:rPr>
          <w:rFonts w:asciiTheme="majorHAnsi" w:hAnsiTheme="majorHAnsi"/>
        </w:rPr>
        <w:t>provided</w:t>
      </w:r>
      <w:r w:rsidRPr="00327579">
        <w:rPr>
          <w:rFonts w:asciiTheme="majorHAnsi" w:hAnsiTheme="majorHAnsi"/>
        </w:rPr>
        <w:t xml:space="preserve"> in the annual implementation report submitted in the year 2019. </w:t>
      </w:r>
      <w:r w:rsidR="00FA2A3B">
        <w:rPr>
          <w:rFonts w:asciiTheme="majorHAnsi" w:hAnsiTheme="majorHAnsi"/>
        </w:rPr>
        <w:t xml:space="preserve">According to CPR the milestones should be realistic, consistent, </w:t>
      </w:r>
      <w:r w:rsidR="00DD06A7">
        <w:rPr>
          <w:rFonts w:asciiTheme="majorHAnsi" w:hAnsiTheme="majorHAnsi"/>
        </w:rPr>
        <w:t>transparent and</w:t>
      </w:r>
      <w:r w:rsidR="00FA2A3B">
        <w:rPr>
          <w:rFonts w:asciiTheme="majorHAnsi" w:hAnsiTheme="majorHAnsi"/>
        </w:rPr>
        <w:t xml:space="preserve"> verifiable</w:t>
      </w:r>
      <w:r w:rsidR="00DD06A7">
        <w:rPr>
          <w:rFonts w:asciiTheme="majorHAnsi" w:hAnsiTheme="majorHAnsi"/>
        </w:rPr>
        <w:t>.</w:t>
      </w:r>
      <w:r w:rsidR="00FA2A3B">
        <w:rPr>
          <w:rFonts w:asciiTheme="majorHAnsi" w:hAnsiTheme="majorHAnsi"/>
        </w:rPr>
        <w:t xml:space="preserve"> </w:t>
      </w:r>
    </w:p>
    <w:p w:rsidR="00DD06A7" w:rsidRDefault="00DD06A7" w:rsidP="00FD0CF6">
      <w:pPr>
        <w:pStyle w:val="BodyText"/>
        <w:spacing w:after="0"/>
        <w:jc w:val="both"/>
        <w:rPr>
          <w:rFonts w:asciiTheme="majorHAnsi" w:hAnsiTheme="majorHAnsi"/>
        </w:rPr>
      </w:pPr>
    </w:p>
    <w:p w:rsidR="00BD0056" w:rsidRDefault="000841A8" w:rsidP="001F16DC">
      <w:pPr>
        <w:pStyle w:val="BodyText"/>
        <w:spacing w:after="0"/>
        <w:jc w:val="both"/>
        <w:rPr>
          <w:rFonts w:asciiTheme="majorHAnsi" w:hAnsiTheme="majorHAnsi"/>
        </w:rPr>
      </w:pPr>
      <w:r w:rsidRPr="00327579">
        <w:rPr>
          <w:rFonts w:asciiTheme="majorHAnsi" w:hAnsiTheme="majorHAnsi"/>
        </w:rPr>
        <w:t>The Programme has selected for each priority axis a subset of indicators to be used as milestones for the year 2018 in the performance framework.</w:t>
      </w:r>
      <w:r w:rsidR="00BF02A7" w:rsidRPr="00327579">
        <w:rPr>
          <w:rFonts w:asciiTheme="majorHAnsi" w:hAnsiTheme="majorHAnsi"/>
        </w:rPr>
        <w:t xml:space="preserve"> </w:t>
      </w:r>
      <w:r w:rsidR="00BD0056">
        <w:rPr>
          <w:rFonts w:asciiTheme="majorHAnsi" w:hAnsiTheme="majorHAnsi"/>
        </w:rPr>
        <w:t>T</w:t>
      </w:r>
      <w:r w:rsidR="001F16DC" w:rsidRPr="001F16DC">
        <w:rPr>
          <w:rFonts w:asciiTheme="majorHAnsi" w:hAnsiTheme="majorHAnsi"/>
        </w:rPr>
        <w:t xml:space="preserve">he </w:t>
      </w:r>
      <w:r w:rsidR="00BD0056">
        <w:rPr>
          <w:rFonts w:asciiTheme="majorHAnsi" w:hAnsiTheme="majorHAnsi"/>
        </w:rPr>
        <w:t xml:space="preserve">selected </w:t>
      </w:r>
      <w:r w:rsidR="001F16DC" w:rsidRPr="001F16DC">
        <w:rPr>
          <w:rFonts w:asciiTheme="majorHAnsi" w:hAnsiTheme="majorHAnsi"/>
        </w:rPr>
        <w:t>milest</w:t>
      </w:r>
      <w:r w:rsidR="00BD0056">
        <w:rPr>
          <w:rFonts w:asciiTheme="majorHAnsi" w:hAnsiTheme="majorHAnsi"/>
        </w:rPr>
        <w:t xml:space="preserve">ones </w:t>
      </w:r>
      <w:r w:rsidR="00EA2DC6">
        <w:rPr>
          <w:rFonts w:asciiTheme="majorHAnsi" w:hAnsiTheme="majorHAnsi"/>
        </w:rPr>
        <w:t xml:space="preserve">are </w:t>
      </w:r>
      <w:r w:rsidR="00EA2DC6" w:rsidRPr="00EA2DC6">
        <w:rPr>
          <w:rFonts w:asciiTheme="majorHAnsi" w:hAnsiTheme="majorHAnsi"/>
        </w:rPr>
        <w:t xml:space="preserve">consistent with the nature </w:t>
      </w:r>
      <w:r w:rsidR="00EA2DC6">
        <w:rPr>
          <w:rFonts w:asciiTheme="majorHAnsi" w:hAnsiTheme="majorHAnsi"/>
        </w:rPr>
        <w:t xml:space="preserve">of </w:t>
      </w:r>
      <w:r w:rsidR="00EA2DC6" w:rsidRPr="00EA2DC6">
        <w:rPr>
          <w:rFonts w:asciiTheme="majorHAnsi" w:hAnsiTheme="majorHAnsi"/>
        </w:rPr>
        <w:t xml:space="preserve">the specific objectives </w:t>
      </w:r>
      <w:r w:rsidR="00EA2DC6">
        <w:rPr>
          <w:rFonts w:asciiTheme="majorHAnsi" w:hAnsiTheme="majorHAnsi"/>
        </w:rPr>
        <w:t>and</w:t>
      </w:r>
      <w:r w:rsidR="00EA2DC6" w:rsidRPr="001F16DC">
        <w:rPr>
          <w:rFonts w:asciiTheme="majorHAnsi" w:hAnsiTheme="majorHAnsi"/>
        </w:rPr>
        <w:t xml:space="preserve"> </w:t>
      </w:r>
      <w:r w:rsidR="001F16DC" w:rsidRPr="001F16DC">
        <w:rPr>
          <w:rFonts w:asciiTheme="majorHAnsi" w:hAnsiTheme="majorHAnsi"/>
        </w:rPr>
        <w:t>capture essential information of the progress of a priority.</w:t>
      </w:r>
      <w:r w:rsidR="00EA2DC6">
        <w:rPr>
          <w:rFonts w:asciiTheme="majorHAnsi" w:hAnsiTheme="majorHAnsi"/>
        </w:rPr>
        <w:t xml:space="preserve"> </w:t>
      </w:r>
    </w:p>
    <w:p w:rsidR="00BD0056" w:rsidRDefault="00BD0056" w:rsidP="001F16DC">
      <w:pPr>
        <w:pStyle w:val="BodyText"/>
        <w:spacing w:after="0"/>
        <w:jc w:val="both"/>
        <w:rPr>
          <w:rFonts w:asciiTheme="majorHAnsi" w:hAnsiTheme="majorHAnsi"/>
        </w:rPr>
      </w:pPr>
    </w:p>
    <w:p w:rsidR="001F16DC" w:rsidRDefault="001F16DC" w:rsidP="001F16DC">
      <w:pPr>
        <w:pStyle w:val="BodyText"/>
        <w:spacing w:after="0"/>
        <w:jc w:val="both"/>
        <w:rPr>
          <w:rFonts w:asciiTheme="majorHAnsi" w:hAnsiTheme="majorHAnsi"/>
        </w:rPr>
      </w:pPr>
      <w:r w:rsidRPr="001F16DC">
        <w:rPr>
          <w:rFonts w:asciiTheme="majorHAnsi" w:hAnsiTheme="majorHAnsi"/>
        </w:rPr>
        <w:t>The milestones are transparent</w:t>
      </w:r>
      <w:r w:rsidR="00B0645B">
        <w:rPr>
          <w:rFonts w:asciiTheme="majorHAnsi" w:hAnsiTheme="majorHAnsi"/>
        </w:rPr>
        <w:t xml:space="preserve"> and verifiable. The source of data is identified for all of the milestones. The source of data for </w:t>
      </w:r>
      <w:r w:rsidR="00B0645B" w:rsidRPr="00B0645B">
        <w:rPr>
          <w:rFonts w:asciiTheme="majorHAnsi" w:hAnsiTheme="majorHAnsi"/>
        </w:rPr>
        <w:t>output indicators</w:t>
      </w:r>
      <w:r w:rsidR="00B0645B">
        <w:rPr>
          <w:rFonts w:asciiTheme="majorHAnsi" w:hAnsiTheme="majorHAnsi"/>
        </w:rPr>
        <w:t xml:space="preserve"> is </w:t>
      </w:r>
      <w:r w:rsidR="00B0645B" w:rsidRPr="00B0645B">
        <w:rPr>
          <w:rFonts w:asciiTheme="majorHAnsi" w:hAnsiTheme="majorHAnsi"/>
        </w:rPr>
        <w:t>Progress reports and Monitoring s</w:t>
      </w:r>
      <w:r w:rsidR="00B0645B">
        <w:rPr>
          <w:rFonts w:asciiTheme="majorHAnsi" w:hAnsiTheme="majorHAnsi"/>
        </w:rPr>
        <w:t xml:space="preserve">ystem for financial indicators. </w:t>
      </w:r>
    </w:p>
    <w:p w:rsidR="00252BC1" w:rsidRDefault="00252BC1" w:rsidP="00FD0CF6">
      <w:pPr>
        <w:pStyle w:val="BodyText"/>
        <w:spacing w:after="0"/>
        <w:jc w:val="both"/>
        <w:rPr>
          <w:rFonts w:asciiTheme="majorHAnsi" w:hAnsiTheme="majorHAnsi"/>
        </w:rPr>
      </w:pPr>
    </w:p>
    <w:p w:rsidR="002A69E1" w:rsidRDefault="00BF02A7" w:rsidP="00FD0CF6">
      <w:pPr>
        <w:pStyle w:val="BodyText"/>
        <w:spacing w:after="0"/>
        <w:jc w:val="both"/>
        <w:rPr>
          <w:rFonts w:asciiTheme="majorHAnsi" w:hAnsiTheme="majorHAnsi"/>
        </w:rPr>
      </w:pPr>
      <w:r w:rsidRPr="00327579">
        <w:rPr>
          <w:rFonts w:asciiTheme="majorHAnsi" w:hAnsiTheme="majorHAnsi"/>
        </w:rPr>
        <w:t>The m</w:t>
      </w:r>
      <w:r w:rsidR="000841A8" w:rsidRPr="00327579">
        <w:rPr>
          <w:rFonts w:asciiTheme="majorHAnsi" w:hAnsiTheme="majorHAnsi"/>
        </w:rPr>
        <w:t>ilestones established for 2018 are relevant and include financial indi</w:t>
      </w:r>
      <w:r w:rsidR="00FD0CF6">
        <w:rPr>
          <w:rFonts w:asciiTheme="majorHAnsi" w:hAnsiTheme="majorHAnsi"/>
        </w:rPr>
        <w:t xml:space="preserve">cators and output indicators. </w:t>
      </w:r>
      <w:r w:rsidR="002A69E1">
        <w:rPr>
          <w:rFonts w:asciiTheme="majorHAnsi" w:hAnsiTheme="majorHAnsi"/>
        </w:rPr>
        <w:t xml:space="preserve">Overall, a very cautious approach was taken when setting the milestones. </w:t>
      </w:r>
      <w:r w:rsidR="00B74C49">
        <w:rPr>
          <w:rFonts w:asciiTheme="majorHAnsi" w:hAnsiTheme="majorHAnsi"/>
        </w:rPr>
        <w:t>The milestone values for 2018</w:t>
      </w:r>
      <w:r w:rsidR="005E0C46">
        <w:rPr>
          <w:rFonts w:asciiTheme="majorHAnsi" w:hAnsiTheme="majorHAnsi"/>
        </w:rPr>
        <w:t xml:space="preserve"> are set in the range </w:t>
      </w:r>
      <w:proofErr w:type="gramStart"/>
      <w:r w:rsidR="005E0C46">
        <w:rPr>
          <w:rFonts w:asciiTheme="majorHAnsi" w:hAnsiTheme="majorHAnsi"/>
        </w:rPr>
        <w:t xml:space="preserve">between 10 per cent to 20 per cent </w:t>
      </w:r>
      <w:r w:rsidR="0099252C">
        <w:rPr>
          <w:rFonts w:asciiTheme="majorHAnsi" w:hAnsiTheme="majorHAnsi"/>
        </w:rPr>
        <w:t>from the final indicator target</w:t>
      </w:r>
      <w:r w:rsidR="00B74C49">
        <w:rPr>
          <w:rFonts w:asciiTheme="majorHAnsi" w:hAnsiTheme="majorHAnsi"/>
        </w:rPr>
        <w:t xml:space="preserve">, which </w:t>
      </w:r>
      <w:r w:rsidR="005E0C46">
        <w:rPr>
          <w:rFonts w:asciiTheme="majorHAnsi" w:hAnsiTheme="majorHAnsi"/>
        </w:rPr>
        <w:t>has to be achieved by the 2023</w:t>
      </w:r>
      <w:proofErr w:type="gramEnd"/>
      <w:r w:rsidR="005E0C46">
        <w:rPr>
          <w:rFonts w:asciiTheme="majorHAnsi" w:hAnsiTheme="majorHAnsi"/>
        </w:rPr>
        <w:t xml:space="preserve">. </w:t>
      </w:r>
    </w:p>
    <w:p w:rsidR="002A69E1" w:rsidRDefault="00FD0CF6" w:rsidP="00FD0CF6">
      <w:pPr>
        <w:pStyle w:val="BodyText"/>
        <w:spacing w:after="0"/>
        <w:jc w:val="both"/>
        <w:rPr>
          <w:rFonts w:asciiTheme="majorHAnsi" w:hAnsiTheme="majorHAnsi"/>
        </w:rPr>
      </w:pPr>
      <w:r>
        <w:rPr>
          <w:rFonts w:asciiTheme="majorHAnsi" w:hAnsiTheme="majorHAnsi"/>
        </w:rPr>
        <w:t xml:space="preserve"> </w:t>
      </w:r>
    </w:p>
    <w:p w:rsidR="00701AEA" w:rsidRDefault="002A69E1" w:rsidP="00FD0CF6">
      <w:pPr>
        <w:pStyle w:val="BodyText"/>
        <w:spacing w:after="0"/>
        <w:jc w:val="both"/>
        <w:rPr>
          <w:rFonts w:asciiTheme="majorHAnsi" w:hAnsiTheme="majorHAnsi" w:cs="Times New Roman"/>
        </w:rPr>
      </w:pPr>
      <w:r w:rsidRPr="006750DB">
        <w:rPr>
          <w:rFonts w:asciiTheme="majorHAnsi" w:hAnsiTheme="majorHAnsi"/>
        </w:rPr>
        <w:t>In general</w:t>
      </w:r>
      <w:r w:rsidR="00FD0CF6" w:rsidRPr="006750DB">
        <w:rPr>
          <w:rFonts w:asciiTheme="majorHAnsi" w:hAnsiTheme="majorHAnsi"/>
        </w:rPr>
        <w:t>,</w:t>
      </w:r>
      <w:r w:rsidRPr="006750DB">
        <w:rPr>
          <w:rFonts w:asciiTheme="majorHAnsi" w:hAnsiTheme="majorHAnsi"/>
        </w:rPr>
        <w:t xml:space="preserve"> it is adequate to conclude that</w:t>
      </w:r>
      <w:r w:rsidR="00FD0CF6" w:rsidRPr="006750DB">
        <w:rPr>
          <w:rFonts w:asciiTheme="majorHAnsi" w:hAnsiTheme="majorHAnsi"/>
        </w:rPr>
        <w:t xml:space="preserve"> </w:t>
      </w:r>
      <w:r w:rsidR="00FD0CF6" w:rsidRPr="006750DB">
        <w:rPr>
          <w:rFonts w:asciiTheme="majorHAnsi" w:hAnsiTheme="majorHAnsi" w:cs="EUAlbertina"/>
          <w:color w:val="000000"/>
        </w:rPr>
        <w:t>the milestones are achievable</w:t>
      </w:r>
      <w:r w:rsidR="00FD0CF6">
        <w:rPr>
          <w:rFonts w:asciiTheme="majorHAnsi" w:hAnsiTheme="majorHAnsi" w:cs="EUAlbertina"/>
          <w:color w:val="000000"/>
        </w:rPr>
        <w:t xml:space="preserve">, since they </w:t>
      </w:r>
      <w:r w:rsidR="00BF02A7" w:rsidRPr="00327579">
        <w:rPr>
          <w:rFonts w:asciiTheme="majorHAnsi" w:hAnsiTheme="majorHAnsi" w:cs="EUAlbertina"/>
          <w:color w:val="000000"/>
        </w:rPr>
        <w:t>can realistically be achiev</w:t>
      </w:r>
      <w:r w:rsidR="00FD0CF6">
        <w:rPr>
          <w:rFonts w:asciiTheme="majorHAnsi" w:hAnsiTheme="majorHAnsi" w:cs="EUAlbertina"/>
          <w:color w:val="000000"/>
        </w:rPr>
        <w:t>ed at the review points in 2018.</w:t>
      </w:r>
      <w:r w:rsidR="00BF02A7" w:rsidRPr="00327579">
        <w:rPr>
          <w:rFonts w:asciiTheme="majorHAnsi" w:hAnsiTheme="majorHAnsi" w:cs="EUAlbertina"/>
          <w:color w:val="000000"/>
        </w:rPr>
        <w:t xml:space="preserve"> </w:t>
      </w:r>
      <w:r w:rsidR="00FD0CF6">
        <w:rPr>
          <w:rFonts w:asciiTheme="majorHAnsi" w:hAnsiTheme="majorHAnsi" w:cs="EUAlbertina"/>
          <w:color w:val="000000"/>
        </w:rPr>
        <w:t xml:space="preserve">When setting </w:t>
      </w:r>
      <w:r w:rsidR="00BF02A7" w:rsidRPr="00327579">
        <w:rPr>
          <w:rFonts w:asciiTheme="majorHAnsi" w:hAnsiTheme="majorHAnsi" w:cs="Times New Roman"/>
        </w:rPr>
        <w:t xml:space="preserve">the </w:t>
      </w:r>
      <w:r w:rsidR="00FD0CF6">
        <w:rPr>
          <w:rFonts w:asciiTheme="majorHAnsi" w:hAnsiTheme="majorHAnsi" w:cs="Times New Roman"/>
        </w:rPr>
        <w:t xml:space="preserve">milestones, the </w:t>
      </w:r>
      <w:r w:rsidR="00BF02A7" w:rsidRPr="00327579">
        <w:rPr>
          <w:rFonts w:asciiTheme="majorHAnsi" w:hAnsiTheme="majorHAnsi" w:cs="Times New Roman"/>
        </w:rPr>
        <w:t>rhythm of implementation of the Programme in the current period was taken into ac</w:t>
      </w:r>
      <w:r w:rsidR="00FD0CF6">
        <w:rPr>
          <w:rFonts w:asciiTheme="majorHAnsi" w:hAnsiTheme="majorHAnsi" w:cs="Times New Roman"/>
        </w:rPr>
        <w:t xml:space="preserve">count. </w:t>
      </w:r>
      <w:r w:rsidR="00701AEA">
        <w:rPr>
          <w:rFonts w:asciiTheme="majorHAnsi" w:hAnsiTheme="majorHAnsi" w:cs="Times New Roman"/>
        </w:rPr>
        <w:t>Based on the previous programming period i</w:t>
      </w:r>
      <w:r w:rsidR="00FD0CF6">
        <w:rPr>
          <w:rFonts w:asciiTheme="majorHAnsi" w:hAnsiTheme="majorHAnsi" w:cs="Times New Roman"/>
        </w:rPr>
        <w:t>t was</w:t>
      </w:r>
      <w:r w:rsidR="00BF02A7" w:rsidRPr="00327579">
        <w:rPr>
          <w:rFonts w:asciiTheme="majorHAnsi" w:hAnsiTheme="majorHAnsi" w:cs="Times New Roman"/>
        </w:rPr>
        <w:t xml:space="preserve"> </w:t>
      </w:r>
      <w:r w:rsidR="00FD0CF6">
        <w:rPr>
          <w:rFonts w:asciiTheme="majorHAnsi" w:hAnsiTheme="majorHAnsi" w:cs="Times New Roman"/>
        </w:rPr>
        <w:t>assumed</w:t>
      </w:r>
      <w:r w:rsidR="00BF02A7" w:rsidRPr="00327579">
        <w:rPr>
          <w:rFonts w:asciiTheme="majorHAnsi" w:hAnsiTheme="majorHAnsi" w:cs="Times New Roman"/>
        </w:rPr>
        <w:t xml:space="preserve"> </w:t>
      </w:r>
      <w:r w:rsidR="00701AEA">
        <w:rPr>
          <w:rFonts w:asciiTheme="majorHAnsi" w:hAnsiTheme="majorHAnsi" w:cs="Times New Roman"/>
        </w:rPr>
        <w:t>that</w:t>
      </w:r>
      <w:r w:rsidR="00183F19">
        <w:rPr>
          <w:rFonts w:asciiTheme="majorHAnsi" w:hAnsiTheme="majorHAnsi" w:cs="Times New Roman"/>
        </w:rPr>
        <w:t xml:space="preserve"> in the 2014 – 2020 programming period</w:t>
      </w:r>
      <w:r w:rsidR="00701AEA">
        <w:rPr>
          <w:rFonts w:asciiTheme="majorHAnsi" w:hAnsiTheme="majorHAnsi" w:cs="Times New Roman"/>
        </w:rPr>
        <w:t>:</w:t>
      </w:r>
    </w:p>
    <w:p w:rsidR="00701AEA" w:rsidRPr="00701AEA" w:rsidRDefault="00BF02A7" w:rsidP="00701AEA">
      <w:pPr>
        <w:pStyle w:val="BodyText"/>
        <w:numPr>
          <w:ilvl w:val="0"/>
          <w:numId w:val="16"/>
        </w:numPr>
        <w:spacing w:after="0"/>
        <w:jc w:val="both"/>
        <w:rPr>
          <w:rFonts w:asciiTheme="majorHAnsi" w:hAnsiTheme="majorHAnsi"/>
        </w:rPr>
      </w:pPr>
      <w:r w:rsidRPr="00327579">
        <w:rPr>
          <w:rFonts w:asciiTheme="majorHAnsi" w:hAnsiTheme="majorHAnsi" w:cs="Times New Roman"/>
        </w:rPr>
        <w:t>the first call for project</w:t>
      </w:r>
      <w:r w:rsidR="00701AEA">
        <w:rPr>
          <w:rFonts w:asciiTheme="majorHAnsi" w:hAnsiTheme="majorHAnsi" w:cs="Times New Roman"/>
        </w:rPr>
        <w:t>s would be in the first half of</w:t>
      </w:r>
      <w:r w:rsidRPr="00327579">
        <w:rPr>
          <w:rFonts w:asciiTheme="majorHAnsi" w:hAnsiTheme="majorHAnsi" w:cs="Times New Roman"/>
        </w:rPr>
        <w:t xml:space="preserve"> 2015</w:t>
      </w:r>
      <w:r w:rsidR="00701AEA">
        <w:rPr>
          <w:rFonts w:asciiTheme="majorHAnsi" w:hAnsiTheme="majorHAnsi" w:cs="Times New Roman"/>
        </w:rPr>
        <w:t>;</w:t>
      </w:r>
    </w:p>
    <w:p w:rsidR="00701AEA" w:rsidRPr="00701AEA" w:rsidRDefault="00701AEA" w:rsidP="00701AEA">
      <w:pPr>
        <w:pStyle w:val="BodyText"/>
        <w:numPr>
          <w:ilvl w:val="0"/>
          <w:numId w:val="16"/>
        </w:numPr>
        <w:spacing w:after="0"/>
        <w:jc w:val="both"/>
        <w:rPr>
          <w:rFonts w:asciiTheme="majorHAnsi" w:hAnsiTheme="majorHAnsi"/>
        </w:rPr>
      </w:pPr>
      <w:r>
        <w:rPr>
          <w:rFonts w:asciiTheme="majorHAnsi" w:hAnsiTheme="majorHAnsi" w:cs="Times New Roman"/>
        </w:rPr>
        <w:t>the projects would begin at the end of 2015;</w:t>
      </w:r>
    </w:p>
    <w:p w:rsidR="00BF02A7" w:rsidRPr="001F16DC" w:rsidRDefault="00701AEA" w:rsidP="00701AEA">
      <w:pPr>
        <w:pStyle w:val="BodyText"/>
        <w:numPr>
          <w:ilvl w:val="0"/>
          <w:numId w:val="16"/>
        </w:numPr>
        <w:spacing w:after="0"/>
        <w:jc w:val="both"/>
        <w:rPr>
          <w:rFonts w:asciiTheme="majorHAnsi" w:hAnsiTheme="majorHAnsi"/>
        </w:rPr>
      </w:pPr>
      <w:proofErr w:type="gramStart"/>
      <w:r>
        <w:rPr>
          <w:rFonts w:asciiTheme="majorHAnsi" w:hAnsiTheme="majorHAnsi" w:cs="Times New Roman"/>
        </w:rPr>
        <w:t>the</w:t>
      </w:r>
      <w:proofErr w:type="gramEnd"/>
      <w:r>
        <w:rPr>
          <w:rFonts w:asciiTheme="majorHAnsi" w:hAnsiTheme="majorHAnsi" w:cs="Times New Roman"/>
        </w:rPr>
        <w:t xml:space="preserve"> projects from the first call would be finished in</w:t>
      </w:r>
      <w:r w:rsidR="00BF02A7" w:rsidRPr="00327579">
        <w:rPr>
          <w:rFonts w:asciiTheme="majorHAnsi" w:hAnsiTheme="majorHAnsi" w:cs="Times New Roman"/>
        </w:rPr>
        <w:t xml:space="preserve"> 2018 (projects usually run 1.5 – 2 years).  </w:t>
      </w:r>
    </w:p>
    <w:p w:rsidR="001F16DC" w:rsidRDefault="001F16DC" w:rsidP="001F16DC">
      <w:pPr>
        <w:pStyle w:val="BodyText"/>
        <w:spacing w:after="0"/>
        <w:jc w:val="both"/>
        <w:rPr>
          <w:rFonts w:asciiTheme="majorHAnsi" w:hAnsiTheme="majorHAnsi" w:cs="Times New Roman"/>
        </w:rPr>
      </w:pPr>
    </w:p>
    <w:p w:rsidR="001F16DC" w:rsidRPr="00701AEA" w:rsidRDefault="001F16DC" w:rsidP="001F16DC">
      <w:pPr>
        <w:pStyle w:val="BodyText"/>
        <w:spacing w:after="0"/>
        <w:jc w:val="both"/>
        <w:rPr>
          <w:rFonts w:asciiTheme="majorHAnsi" w:hAnsiTheme="majorHAnsi"/>
        </w:rPr>
      </w:pPr>
      <w:r>
        <w:rPr>
          <w:rFonts w:asciiTheme="majorHAnsi" w:hAnsiTheme="majorHAnsi" w:cs="Times New Roman"/>
        </w:rPr>
        <w:t xml:space="preserve">Based on the above mentioned assumptions the milestones can be achieved </w:t>
      </w:r>
      <w:r w:rsidR="00387BF6">
        <w:rPr>
          <w:rFonts w:asciiTheme="majorHAnsi" w:hAnsiTheme="majorHAnsi" w:cs="Times New Roman"/>
        </w:rPr>
        <w:t xml:space="preserve">and reported </w:t>
      </w:r>
      <w:r>
        <w:rPr>
          <w:rFonts w:asciiTheme="majorHAnsi" w:hAnsiTheme="majorHAnsi" w:cs="Times New Roman"/>
        </w:rPr>
        <w:t xml:space="preserve">on time. </w:t>
      </w:r>
    </w:p>
    <w:p w:rsidR="00701AEA" w:rsidRPr="00FD0CF6" w:rsidRDefault="00701AEA" w:rsidP="00701AEA">
      <w:pPr>
        <w:pStyle w:val="BodyText"/>
        <w:spacing w:after="0"/>
        <w:ind w:left="720" w:hanging="720"/>
        <w:jc w:val="both"/>
        <w:rPr>
          <w:rFonts w:asciiTheme="majorHAnsi" w:hAnsiTheme="majorHAnsi"/>
        </w:rPr>
      </w:pPr>
    </w:p>
    <w:p w:rsidR="00327579" w:rsidRDefault="00387BF6" w:rsidP="00A8490F">
      <w:pPr>
        <w:pStyle w:val="BodyText"/>
        <w:jc w:val="both"/>
        <w:rPr>
          <w:rFonts w:asciiTheme="majorHAnsi" w:hAnsiTheme="majorHAnsi" w:cs="Times New Roman"/>
        </w:rPr>
      </w:pPr>
      <w:r w:rsidRPr="006750DB">
        <w:rPr>
          <w:rFonts w:asciiTheme="majorHAnsi" w:hAnsiTheme="majorHAnsi" w:cs="Times New Roman"/>
        </w:rPr>
        <w:t>Since a very</w:t>
      </w:r>
      <w:r w:rsidR="00183F19" w:rsidRPr="006750DB">
        <w:rPr>
          <w:rFonts w:asciiTheme="majorHAnsi" w:hAnsiTheme="majorHAnsi" w:cs="Times New Roman"/>
        </w:rPr>
        <w:t xml:space="preserve"> </w:t>
      </w:r>
      <w:r w:rsidR="00C7294D" w:rsidRPr="006750DB">
        <w:rPr>
          <w:rFonts w:asciiTheme="majorHAnsi" w:hAnsiTheme="majorHAnsi" w:cs="Times New Roman"/>
        </w:rPr>
        <w:t xml:space="preserve">cautious approach </w:t>
      </w:r>
      <w:r w:rsidR="00183F19" w:rsidRPr="006750DB">
        <w:rPr>
          <w:rFonts w:asciiTheme="majorHAnsi" w:hAnsiTheme="majorHAnsi" w:cs="Times New Roman"/>
        </w:rPr>
        <w:t xml:space="preserve">was chosen </w:t>
      </w:r>
      <w:r w:rsidR="00C7294D" w:rsidRPr="006750DB">
        <w:rPr>
          <w:rFonts w:asciiTheme="majorHAnsi" w:hAnsiTheme="majorHAnsi" w:cs="Times New Roman"/>
        </w:rPr>
        <w:t>to setting the milestones</w:t>
      </w:r>
      <w:r w:rsidR="005A40F6" w:rsidRPr="006750DB">
        <w:rPr>
          <w:rFonts w:asciiTheme="majorHAnsi" w:hAnsiTheme="majorHAnsi" w:cs="Times New Roman"/>
        </w:rPr>
        <w:t>,</w:t>
      </w:r>
      <w:r w:rsidR="00C7294D" w:rsidRPr="006750DB">
        <w:rPr>
          <w:rFonts w:asciiTheme="majorHAnsi" w:hAnsiTheme="majorHAnsi" w:cs="Times New Roman"/>
        </w:rPr>
        <w:t xml:space="preserve"> </w:t>
      </w:r>
      <w:r w:rsidRPr="006750DB">
        <w:rPr>
          <w:rFonts w:asciiTheme="majorHAnsi" w:hAnsiTheme="majorHAnsi" w:cs="Times New Roman"/>
        </w:rPr>
        <w:t xml:space="preserve">it </w:t>
      </w:r>
      <w:r w:rsidR="000978E3" w:rsidRPr="006750DB">
        <w:rPr>
          <w:rFonts w:asciiTheme="majorHAnsi" w:hAnsiTheme="majorHAnsi" w:cs="Times New Roman"/>
        </w:rPr>
        <w:t xml:space="preserve">is </w:t>
      </w:r>
      <w:r w:rsidR="00C7294D" w:rsidRPr="006750DB">
        <w:rPr>
          <w:rFonts w:asciiTheme="majorHAnsi" w:hAnsiTheme="majorHAnsi" w:cs="Times New Roman"/>
        </w:rPr>
        <w:t xml:space="preserve">recommended </w:t>
      </w:r>
      <w:r w:rsidR="000978E3" w:rsidRPr="006750DB">
        <w:rPr>
          <w:rFonts w:asciiTheme="majorHAnsi" w:hAnsiTheme="majorHAnsi" w:cs="Times New Roman"/>
        </w:rPr>
        <w:t>to provide</w:t>
      </w:r>
      <w:r w:rsidR="00C7294D" w:rsidRPr="006750DB">
        <w:rPr>
          <w:rFonts w:asciiTheme="majorHAnsi" w:hAnsiTheme="majorHAnsi" w:cs="Times New Roman"/>
        </w:rPr>
        <w:t xml:space="preserve"> a clear justification for the Commission </w:t>
      </w:r>
      <w:r w:rsidR="00183F19" w:rsidRPr="006750DB">
        <w:rPr>
          <w:rFonts w:asciiTheme="majorHAnsi" w:hAnsiTheme="majorHAnsi" w:cs="Times New Roman"/>
        </w:rPr>
        <w:t xml:space="preserve">as </w:t>
      </w:r>
      <w:r w:rsidRPr="006750DB">
        <w:rPr>
          <w:rFonts w:asciiTheme="majorHAnsi" w:hAnsiTheme="majorHAnsi" w:cs="Times New Roman"/>
        </w:rPr>
        <w:t xml:space="preserve">to why this approach was chosen and why more ambitious </w:t>
      </w:r>
      <w:r w:rsidR="005A40F6" w:rsidRPr="006750DB">
        <w:rPr>
          <w:rFonts w:asciiTheme="majorHAnsi" w:hAnsiTheme="majorHAnsi" w:cs="Times New Roman"/>
        </w:rPr>
        <w:t xml:space="preserve">milestone </w:t>
      </w:r>
      <w:r w:rsidRPr="006750DB">
        <w:rPr>
          <w:rFonts w:asciiTheme="majorHAnsi" w:hAnsiTheme="majorHAnsi" w:cs="Times New Roman"/>
        </w:rPr>
        <w:t>targets were not chosen.</w:t>
      </w:r>
      <w:r w:rsidRPr="00387BF6">
        <w:rPr>
          <w:rFonts w:asciiTheme="majorHAnsi" w:hAnsiTheme="majorHAnsi" w:cs="Times New Roman"/>
        </w:rPr>
        <w:t xml:space="preserve"> </w:t>
      </w:r>
    </w:p>
    <w:p w:rsidR="006750DB" w:rsidRPr="00327579" w:rsidRDefault="006750DB" w:rsidP="00A8490F">
      <w:pPr>
        <w:pStyle w:val="BodyText"/>
        <w:jc w:val="both"/>
        <w:rPr>
          <w:rFonts w:asciiTheme="majorHAnsi" w:hAnsiTheme="majorHAnsi" w:cs="Times New Roman"/>
        </w:rPr>
      </w:pPr>
    </w:p>
    <w:p w:rsidR="001D0C64" w:rsidRDefault="00974B35" w:rsidP="00701AEA">
      <w:pPr>
        <w:pStyle w:val="Heading1NoSpacing"/>
        <w:numPr>
          <w:ilvl w:val="0"/>
          <w:numId w:val="7"/>
        </w:numPr>
        <w:spacing w:line="240" w:lineRule="auto"/>
      </w:pPr>
      <w:bookmarkStart w:id="21" w:name="_Toc390942544"/>
      <w:r>
        <w:lastRenderedPageBreak/>
        <w:t>Evaluation of the financial</w:t>
      </w:r>
      <w:r w:rsidR="00AA394F" w:rsidRPr="00600AAA">
        <w:t xml:space="preserve"> allocations</w:t>
      </w:r>
      <w:bookmarkEnd w:id="21"/>
    </w:p>
    <w:p w:rsidR="00E01DEF" w:rsidRPr="00E01DEF" w:rsidRDefault="00E01DEF" w:rsidP="00E01DEF">
      <w:pPr>
        <w:pStyle w:val="BodyText"/>
        <w:spacing w:after="0"/>
      </w:pPr>
    </w:p>
    <w:p w:rsidR="00CC63A1" w:rsidRPr="00626953" w:rsidRDefault="00183EAE" w:rsidP="003A597D">
      <w:pPr>
        <w:spacing w:after="0" w:line="240" w:lineRule="auto"/>
        <w:jc w:val="both"/>
        <w:rPr>
          <w:rFonts w:asciiTheme="majorHAnsi" w:hAnsiTheme="majorHAnsi" w:cs="EUAlbertina"/>
          <w:color w:val="000000"/>
        </w:rPr>
      </w:pPr>
      <w:r w:rsidRPr="00FC6E93">
        <w:rPr>
          <w:rFonts w:asciiTheme="majorHAnsi" w:eastAsia="Arial" w:hAnsiTheme="majorHAnsi" w:cs="Times New Roman"/>
        </w:rPr>
        <w:t>Article 55 (c) of the CPR</w:t>
      </w:r>
      <w:r w:rsidRPr="00626953">
        <w:rPr>
          <w:rFonts w:asciiTheme="majorHAnsi" w:eastAsia="Arial" w:hAnsiTheme="majorHAnsi" w:cs="Times New Roman"/>
          <w:vertAlign w:val="superscript"/>
        </w:rPr>
        <w:footnoteReference w:id="13"/>
      </w:r>
      <w:r w:rsidRPr="00626953">
        <w:rPr>
          <w:rFonts w:asciiTheme="majorHAnsi" w:eastAsia="Arial" w:hAnsiTheme="majorHAnsi" w:cs="Times New Roman"/>
        </w:rPr>
        <w:t xml:space="preserve"> requires the ex-ante evaluation to appraise the </w:t>
      </w:r>
      <w:r w:rsidRPr="00626953">
        <w:rPr>
          <w:rFonts w:asciiTheme="majorHAnsi" w:hAnsiTheme="majorHAnsi" w:cs="EUAlbertina"/>
          <w:color w:val="000000"/>
        </w:rPr>
        <w:t>consistency of the allocation of budgetary resources with the objectives of the Programme. The Programme’s developers have proposed and the MS accepted the following financial allocations to each TO</w:t>
      </w:r>
      <w:r w:rsidR="00CD1900">
        <w:rPr>
          <w:rFonts w:asciiTheme="majorHAnsi" w:hAnsiTheme="majorHAnsi" w:cs="EUAlbertina"/>
          <w:color w:val="000000"/>
        </w:rPr>
        <w:t xml:space="preserve"> and</w:t>
      </w:r>
      <w:r w:rsidR="00792679">
        <w:rPr>
          <w:rFonts w:asciiTheme="majorHAnsi" w:hAnsiTheme="majorHAnsi" w:cs="EUAlbertina"/>
          <w:color w:val="000000"/>
        </w:rPr>
        <w:t xml:space="preserve"> 3.297,972 EUR for</w:t>
      </w:r>
      <w:r w:rsidR="00CD1900">
        <w:rPr>
          <w:rFonts w:asciiTheme="majorHAnsi" w:hAnsiTheme="majorHAnsi" w:cs="EUAlbertina"/>
          <w:color w:val="000000"/>
        </w:rPr>
        <w:t xml:space="preserve"> Technical Assistance</w:t>
      </w:r>
      <w:r w:rsidR="00F4788A">
        <w:rPr>
          <w:rFonts w:asciiTheme="majorHAnsi" w:hAnsiTheme="majorHAnsi" w:cs="EUAlbertina"/>
          <w:color w:val="000000"/>
        </w:rPr>
        <w:t xml:space="preserve"> (TA)</w:t>
      </w:r>
      <w:r w:rsidRPr="00626953">
        <w:rPr>
          <w:rFonts w:asciiTheme="majorHAnsi" w:hAnsiTheme="majorHAnsi" w:cs="EUAlbertina"/>
          <w:color w:val="000000"/>
        </w:rPr>
        <w:t>:</w:t>
      </w:r>
    </w:p>
    <w:p w:rsidR="00774C5F" w:rsidRPr="00626953" w:rsidRDefault="00774C5F" w:rsidP="003A597D">
      <w:pPr>
        <w:spacing w:after="0" w:line="240" w:lineRule="auto"/>
        <w:jc w:val="both"/>
        <w:rPr>
          <w:rFonts w:asciiTheme="majorHAnsi" w:hAnsiTheme="majorHAnsi" w:cs="EUAlbertina"/>
          <w:color w:val="000000"/>
        </w:rPr>
      </w:pPr>
    </w:p>
    <w:p w:rsidR="00CC63A1" w:rsidRPr="00626953" w:rsidRDefault="00F132E0" w:rsidP="00CC63A1">
      <w:pPr>
        <w:spacing w:after="0" w:line="240" w:lineRule="auto"/>
        <w:rPr>
          <w:rFonts w:asciiTheme="majorHAnsi" w:hAnsiTheme="majorHAnsi" w:cs="EUAlbertina"/>
          <w:color w:val="000000"/>
        </w:rPr>
      </w:pPr>
      <w:r w:rsidRPr="00626953">
        <w:rPr>
          <w:rFonts w:asciiTheme="majorHAnsi" w:hAnsiTheme="majorHAnsi" w:cs="EUAlbertina"/>
          <w:noProof/>
          <w:color w:val="000000"/>
          <w:lang w:val="lv-LV" w:eastAsia="lv-LV"/>
        </w:rPr>
        <w:drawing>
          <wp:anchor distT="0" distB="0" distL="114300" distR="114300" simplePos="0" relativeHeight="251663360" behindDoc="0" locked="0" layoutInCell="1" allowOverlap="1">
            <wp:simplePos x="0" y="0"/>
            <wp:positionH relativeFrom="column">
              <wp:posOffset>2579895</wp:posOffset>
            </wp:positionH>
            <wp:positionV relativeFrom="paragraph">
              <wp:posOffset>117061</wp:posOffset>
            </wp:positionV>
            <wp:extent cx="3212327" cy="1622066"/>
            <wp:effectExtent l="0" t="0" r="0" b="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CC63A1" w:rsidRPr="00626953" w:rsidRDefault="00CC63A1" w:rsidP="00CC63A1">
      <w:pPr>
        <w:spacing w:after="0" w:line="240" w:lineRule="auto"/>
        <w:rPr>
          <w:rFonts w:asciiTheme="majorHAnsi" w:hAnsiTheme="majorHAnsi" w:cs="EUAlbertina"/>
          <w:color w:val="000000"/>
        </w:rPr>
      </w:pPr>
    </w:p>
    <w:p w:rsidR="00CC63A1" w:rsidRPr="00626953" w:rsidRDefault="00CC63A1" w:rsidP="00CC63A1">
      <w:pPr>
        <w:spacing w:after="0" w:line="240" w:lineRule="auto"/>
        <w:rPr>
          <w:rFonts w:asciiTheme="majorHAnsi" w:hAnsiTheme="majorHAnsi" w:cs="EUAlbertina"/>
          <w:color w:val="000000"/>
        </w:rPr>
      </w:pPr>
    </w:p>
    <w:p w:rsidR="00CC63A1" w:rsidRPr="00626953" w:rsidRDefault="00CC63A1" w:rsidP="00CC63A1">
      <w:pPr>
        <w:spacing w:after="0" w:line="240" w:lineRule="auto"/>
        <w:rPr>
          <w:rFonts w:asciiTheme="majorHAnsi" w:hAnsiTheme="majorHAnsi" w:cs="EUAlbertina"/>
          <w:color w:val="000000"/>
        </w:rPr>
      </w:pPr>
    </w:p>
    <w:p w:rsidR="00CC63A1" w:rsidRPr="00626953" w:rsidRDefault="00CC63A1" w:rsidP="00CC63A1">
      <w:pPr>
        <w:spacing w:after="0" w:line="240" w:lineRule="auto"/>
        <w:rPr>
          <w:rFonts w:asciiTheme="majorHAnsi" w:hAnsiTheme="majorHAnsi" w:cs="EUAlbertina"/>
          <w:color w:val="000000"/>
        </w:rPr>
      </w:pPr>
    </w:p>
    <w:p w:rsidR="00CC63A1" w:rsidRPr="00626953" w:rsidRDefault="00183EAE" w:rsidP="00701AEA">
      <w:pPr>
        <w:pStyle w:val="ListParagraph"/>
        <w:numPr>
          <w:ilvl w:val="0"/>
          <w:numId w:val="8"/>
        </w:numPr>
        <w:spacing w:after="0" w:line="240" w:lineRule="auto"/>
        <w:rPr>
          <w:rFonts w:asciiTheme="majorHAnsi" w:hAnsiTheme="majorHAnsi" w:cs="EUAlbertina"/>
          <w:color w:val="000000"/>
        </w:rPr>
      </w:pPr>
      <w:r w:rsidRPr="00626953">
        <w:rPr>
          <w:rFonts w:asciiTheme="majorHAnsi" w:hAnsiTheme="majorHAnsi" w:cs="EUAlbertina"/>
          <w:color w:val="000000"/>
        </w:rPr>
        <w:t>TO6:  EUR 13,95</w:t>
      </w:r>
      <w:r w:rsidR="00CD1900">
        <w:rPr>
          <w:rFonts w:asciiTheme="majorHAnsi" w:hAnsiTheme="majorHAnsi" w:cs="EUAlbertina"/>
          <w:color w:val="000000"/>
        </w:rPr>
        <w:t>0,422</w:t>
      </w:r>
    </w:p>
    <w:p w:rsidR="00D40DCE" w:rsidRPr="00626953" w:rsidRDefault="00183EAE" w:rsidP="00701AEA">
      <w:pPr>
        <w:pStyle w:val="ListParagraph"/>
        <w:numPr>
          <w:ilvl w:val="0"/>
          <w:numId w:val="8"/>
        </w:numPr>
        <w:spacing w:after="0" w:line="240" w:lineRule="auto"/>
        <w:rPr>
          <w:rFonts w:asciiTheme="majorHAnsi" w:hAnsiTheme="majorHAnsi" w:cs="EUAlbertina"/>
          <w:color w:val="000000"/>
        </w:rPr>
      </w:pPr>
      <w:r w:rsidRPr="00626953">
        <w:rPr>
          <w:rFonts w:asciiTheme="majorHAnsi" w:hAnsiTheme="majorHAnsi" w:cs="EUAlbertina"/>
          <w:color w:val="000000"/>
        </w:rPr>
        <w:t>TO8:  EUR 18,0</w:t>
      </w:r>
      <w:r w:rsidR="00CD1900">
        <w:rPr>
          <w:rFonts w:asciiTheme="majorHAnsi" w:hAnsiTheme="majorHAnsi" w:cs="EUAlbertina"/>
          <w:color w:val="000000"/>
        </w:rPr>
        <w:t>83</w:t>
      </w:r>
      <w:r w:rsidRPr="00626953">
        <w:rPr>
          <w:rFonts w:asciiTheme="majorHAnsi" w:hAnsiTheme="majorHAnsi" w:cs="EUAlbertina"/>
          <w:color w:val="000000"/>
        </w:rPr>
        <w:t>,</w:t>
      </w:r>
      <w:r w:rsidR="00CD1900">
        <w:rPr>
          <w:rFonts w:asciiTheme="majorHAnsi" w:hAnsiTheme="majorHAnsi" w:cs="EUAlbertina"/>
          <w:color w:val="000000"/>
        </w:rPr>
        <w:t>88</w:t>
      </w:r>
      <w:r w:rsidRPr="00626953">
        <w:rPr>
          <w:rFonts w:asciiTheme="majorHAnsi" w:hAnsiTheme="majorHAnsi" w:cs="EUAlbertina"/>
          <w:color w:val="000000"/>
        </w:rPr>
        <w:t>0</w:t>
      </w:r>
    </w:p>
    <w:p w:rsidR="00CC63A1" w:rsidRPr="00626953" w:rsidRDefault="00183EAE" w:rsidP="00701AEA">
      <w:pPr>
        <w:pStyle w:val="ListParagraph"/>
        <w:numPr>
          <w:ilvl w:val="0"/>
          <w:numId w:val="8"/>
        </w:numPr>
        <w:spacing w:after="0" w:line="240" w:lineRule="auto"/>
        <w:rPr>
          <w:rFonts w:asciiTheme="majorHAnsi" w:hAnsiTheme="majorHAnsi" w:cs="EUAlbertina"/>
          <w:color w:val="000000"/>
        </w:rPr>
      </w:pPr>
      <w:r w:rsidRPr="00626953">
        <w:rPr>
          <w:rFonts w:asciiTheme="majorHAnsi" w:hAnsiTheme="majorHAnsi" w:cs="EUAlbertina"/>
          <w:color w:val="000000"/>
        </w:rPr>
        <w:t>TO9:  EUR 10,3</w:t>
      </w:r>
      <w:r w:rsidR="00CD1900">
        <w:rPr>
          <w:rFonts w:asciiTheme="majorHAnsi" w:hAnsiTheme="majorHAnsi" w:cs="EUAlbertina"/>
          <w:color w:val="000000"/>
        </w:rPr>
        <w:t>33</w:t>
      </w:r>
      <w:r w:rsidRPr="00626953">
        <w:rPr>
          <w:rFonts w:asciiTheme="majorHAnsi" w:hAnsiTheme="majorHAnsi" w:cs="EUAlbertina"/>
          <w:color w:val="000000"/>
        </w:rPr>
        <w:t>,</w:t>
      </w:r>
      <w:r w:rsidR="00CD1900">
        <w:rPr>
          <w:rFonts w:asciiTheme="majorHAnsi" w:hAnsiTheme="majorHAnsi" w:cs="EUAlbertina"/>
          <w:color w:val="000000"/>
        </w:rPr>
        <w:t>646</w:t>
      </w:r>
    </w:p>
    <w:p w:rsidR="00CC63A1" w:rsidRPr="00626953" w:rsidRDefault="00183EAE" w:rsidP="00701AEA">
      <w:pPr>
        <w:pStyle w:val="ListParagraph"/>
        <w:numPr>
          <w:ilvl w:val="0"/>
          <w:numId w:val="8"/>
        </w:numPr>
        <w:spacing w:after="0" w:line="240" w:lineRule="auto"/>
        <w:rPr>
          <w:rFonts w:asciiTheme="majorHAnsi" w:hAnsiTheme="majorHAnsi" w:cs="EUAlbertina"/>
          <w:color w:val="000000"/>
        </w:rPr>
      </w:pPr>
      <w:r w:rsidRPr="00626953">
        <w:rPr>
          <w:rFonts w:asciiTheme="majorHAnsi" w:hAnsiTheme="majorHAnsi" w:cs="EUAlbertina"/>
          <w:color w:val="000000"/>
        </w:rPr>
        <w:t>TO11: EUR 9,30</w:t>
      </w:r>
      <w:r w:rsidR="00CD1900">
        <w:rPr>
          <w:rFonts w:asciiTheme="majorHAnsi" w:hAnsiTheme="majorHAnsi" w:cs="EUAlbertina"/>
          <w:color w:val="000000"/>
        </w:rPr>
        <w:t>0</w:t>
      </w:r>
      <w:r w:rsidRPr="00626953">
        <w:rPr>
          <w:rFonts w:asciiTheme="majorHAnsi" w:hAnsiTheme="majorHAnsi" w:cs="EUAlbertina"/>
          <w:color w:val="000000"/>
        </w:rPr>
        <w:t>,</w:t>
      </w:r>
      <w:r w:rsidR="00CD1900">
        <w:rPr>
          <w:rFonts w:asciiTheme="majorHAnsi" w:hAnsiTheme="majorHAnsi" w:cs="EUAlbertina"/>
          <w:color w:val="000000"/>
        </w:rPr>
        <w:t>281</w:t>
      </w:r>
    </w:p>
    <w:p w:rsidR="00CC63A1" w:rsidRPr="00626953" w:rsidRDefault="00CC63A1" w:rsidP="00CC63A1">
      <w:pPr>
        <w:pStyle w:val="ListParagraph"/>
        <w:spacing w:after="0" w:line="240" w:lineRule="auto"/>
        <w:ind w:left="1440"/>
        <w:rPr>
          <w:rFonts w:asciiTheme="majorHAnsi" w:hAnsiTheme="majorHAnsi" w:cs="EUAlbertina"/>
          <w:color w:val="000000"/>
        </w:rPr>
      </w:pPr>
    </w:p>
    <w:p w:rsidR="00CC63A1" w:rsidRPr="00626953" w:rsidRDefault="00CC63A1" w:rsidP="00CC63A1">
      <w:pPr>
        <w:spacing w:after="0" w:line="240" w:lineRule="auto"/>
        <w:rPr>
          <w:rFonts w:asciiTheme="majorHAnsi" w:hAnsiTheme="majorHAnsi" w:cs="EUAlbertina"/>
          <w:color w:val="000000"/>
        </w:rPr>
      </w:pPr>
    </w:p>
    <w:p w:rsidR="00CC63A1" w:rsidRPr="00626953" w:rsidRDefault="00CC63A1" w:rsidP="00CC63A1">
      <w:pPr>
        <w:spacing w:after="0" w:line="240" w:lineRule="auto"/>
        <w:jc w:val="both"/>
        <w:rPr>
          <w:rFonts w:asciiTheme="majorHAnsi" w:hAnsiTheme="majorHAnsi" w:cs="EUAlbertina"/>
          <w:color w:val="000000"/>
        </w:rPr>
      </w:pPr>
    </w:p>
    <w:p w:rsidR="006F0480" w:rsidRDefault="00183EAE" w:rsidP="00CC63A1">
      <w:pPr>
        <w:spacing w:after="0" w:line="240" w:lineRule="auto"/>
        <w:jc w:val="both"/>
        <w:rPr>
          <w:rFonts w:asciiTheme="majorHAnsi" w:hAnsiTheme="majorHAnsi" w:cs="EUAlbertina"/>
          <w:color w:val="000000"/>
        </w:rPr>
      </w:pPr>
      <w:r w:rsidRPr="00626953">
        <w:rPr>
          <w:rFonts w:asciiTheme="majorHAnsi" w:hAnsiTheme="majorHAnsi" w:cs="EUAlbertina"/>
          <w:color w:val="000000"/>
        </w:rPr>
        <w:t xml:space="preserve">These allocations </w:t>
      </w:r>
      <w:r w:rsidR="006F0480">
        <w:rPr>
          <w:rFonts w:asciiTheme="majorHAnsi" w:hAnsiTheme="majorHAnsi" w:cs="EUAlbertina"/>
          <w:color w:val="000000"/>
        </w:rPr>
        <w:t xml:space="preserve">among TOs </w:t>
      </w:r>
      <w:r w:rsidRPr="00626953">
        <w:rPr>
          <w:rFonts w:asciiTheme="majorHAnsi" w:hAnsiTheme="majorHAnsi" w:cs="EUAlbertina"/>
          <w:color w:val="000000"/>
        </w:rPr>
        <w:t>are</w:t>
      </w:r>
      <w:r w:rsidR="006F0480">
        <w:rPr>
          <w:rFonts w:asciiTheme="majorHAnsi" w:hAnsiTheme="majorHAnsi" w:cs="EUAlbertina"/>
          <w:color w:val="000000"/>
        </w:rPr>
        <w:t xml:space="preserve"> considered as reasonable and based on: </w:t>
      </w:r>
    </w:p>
    <w:p w:rsidR="006F0480" w:rsidRPr="006F0480" w:rsidRDefault="006F0480" w:rsidP="00701AEA">
      <w:pPr>
        <w:pStyle w:val="ListParagraph"/>
        <w:numPr>
          <w:ilvl w:val="0"/>
          <w:numId w:val="15"/>
        </w:numPr>
        <w:spacing w:after="0" w:line="240" w:lineRule="auto"/>
        <w:jc w:val="both"/>
        <w:rPr>
          <w:rFonts w:asciiTheme="majorHAnsi" w:hAnsiTheme="majorHAnsi" w:cs="EUAlbertina"/>
          <w:color w:val="000000"/>
        </w:rPr>
      </w:pPr>
      <w:r w:rsidRPr="00626953">
        <w:t xml:space="preserve">the experience of </w:t>
      </w:r>
      <w:r w:rsidRPr="006F0480">
        <w:rPr>
          <w:rFonts w:asciiTheme="majorHAnsi" w:hAnsiTheme="majorHAnsi" w:cs="EUAlbertina"/>
          <w:color w:val="000000"/>
        </w:rPr>
        <w:t>the 2007-2013 programmin</w:t>
      </w:r>
      <w:r>
        <w:rPr>
          <w:rFonts w:asciiTheme="majorHAnsi" w:hAnsiTheme="majorHAnsi" w:cs="EUAlbertina"/>
          <w:color w:val="000000"/>
        </w:rPr>
        <w:t>g period</w:t>
      </w:r>
      <w:r w:rsidR="00407EE1">
        <w:rPr>
          <w:rFonts w:asciiTheme="majorHAnsi" w:hAnsiTheme="majorHAnsi" w:cs="EUAlbertina"/>
          <w:color w:val="000000"/>
        </w:rPr>
        <w:t>:</w:t>
      </w:r>
      <w:r w:rsidRPr="006F0480">
        <w:rPr>
          <w:rFonts w:asciiTheme="majorHAnsi" w:hAnsiTheme="majorHAnsi" w:cs="EUAlbertina"/>
          <w:color w:val="000000"/>
        </w:rPr>
        <w:t xml:space="preserve"> </w:t>
      </w:r>
    </w:p>
    <w:p w:rsidR="006F0480" w:rsidRDefault="00407EE1" w:rsidP="00B15C5C">
      <w:pPr>
        <w:pStyle w:val="ListParagraph"/>
        <w:spacing w:after="0" w:line="240" w:lineRule="auto"/>
        <w:jc w:val="both"/>
        <w:rPr>
          <w:rFonts w:asciiTheme="majorHAnsi" w:hAnsiTheme="majorHAnsi" w:cs="EUAlbertina"/>
          <w:color w:val="000000"/>
        </w:rPr>
      </w:pPr>
      <w:r>
        <w:rPr>
          <w:rFonts w:asciiTheme="majorHAnsi" w:hAnsiTheme="majorHAnsi" w:cs="EUAlbertina"/>
          <w:color w:val="000000"/>
        </w:rPr>
        <w:t xml:space="preserve">- </w:t>
      </w:r>
      <w:proofErr w:type="gramStart"/>
      <w:r w:rsidR="006F0480">
        <w:rPr>
          <w:rFonts w:asciiTheme="majorHAnsi" w:hAnsiTheme="majorHAnsi" w:cs="EUAlbertina"/>
          <w:color w:val="000000"/>
        </w:rPr>
        <w:t>the</w:t>
      </w:r>
      <w:proofErr w:type="gramEnd"/>
      <w:r w:rsidR="006F0480">
        <w:rPr>
          <w:rFonts w:asciiTheme="majorHAnsi" w:hAnsiTheme="majorHAnsi" w:cs="EUAlbertina"/>
          <w:color w:val="000000"/>
        </w:rPr>
        <w:t xml:space="preserve"> trend of demand during </w:t>
      </w:r>
      <w:r>
        <w:rPr>
          <w:rFonts w:asciiTheme="majorHAnsi" w:hAnsiTheme="majorHAnsi" w:cs="EUAlbertina"/>
          <w:color w:val="000000"/>
        </w:rPr>
        <w:t>the 2007-2013 programming period;</w:t>
      </w:r>
    </w:p>
    <w:p w:rsidR="00407EE1" w:rsidRDefault="00407EE1" w:rsidP="00B15C5C">
      <w:pPr>
        <w:pStyle w:val="ListParagraph"/>
        <w:spacing w:after="0" w:line="240" w:lineRule="auto"/>
        <w:jc w:val="both"/>
        <w:rPr>
          <w:rFonts w:asciiTheme="majorHAnsi" w:hAnsiTheme="majorHAnsi" w:cs="EUAlbertina"/>
          <w:color w:val="000000"/>
        </w:rPr>
      </w:pPr>
      <w:r>
        <w:rPr>
          <w:rFonts w:asciiTheme="majorHAnsi" w:hAnsiTheme="majorHAnsi" w:cs="EUAlbertina"/>
          <w:color w:val="000000"/>
        </w:rPr>
        <w:t xml:space="preserve">- </w:t>
      </w:r>
      <w:proofErr w:type="gramStart"/>
      <w:r>
        <w:rPr>
          <w:rFonts w:asciiTheme="majorHAnsi" w:hAnsiTheme="majorHAnsi" w:cs="EUAlbertina"/>
          <w:color w:val="000000"/>
        </w:rPr>
        <w:t>the</w:t>
      </w:r>
      <w:proofErr w:type="gramEnd"/>
      <w:r>
        <w:rPr>
          <w:rFonts w:asciiTheme="majorHAnsi" w:hAnsiTheme="majorHAnsi" w:cs="EUAlbertina"/>
          <w:color w:val="000000"/>
        </w:rPr>
        <w:t xml:space="preserve"> </w:t>
      </w:r>
      <w:r w:rsidRPr="00626953">
        <w:rPr>
          <w:rFonts w:asciiTheme="majorHAnsi" w:hAnsiTheme="majorHAnsi" w:cs="EUAlbertina"/>
          <w:color w:val="000000"/>
        </w:rPr>
        <w:t>cost analysis of the implemented projects during the 2007-2013 programming period</w:t>
      </w:r>
      <w:r>
        <w:rPr>
          <w:rFonts w:asciiTheme="majorHAnsi" w:hAnsiTheme="majorHAnsi" w:cs="EUAlbertina"/>
          <w:color w:val="000000"/>
        </w:rPr>
        <w:t>.</w:t>
      </w:r>
    </w:p>
    <w:p w:rsidR="00407EE1" w:rsidRDefault="00407EE1" w:rsidP="00701AEA">
      <w:pPr>
        <w:pStyle w:val="ListParagraph"/>
        <w:numPr>
          <w:ilvl w:val="0"/>
          <w:numId w:val="15"/>
        </w:numPr>
        <w:spacing w:after="0" w:line="240" w:lineRule="auto"/>
        <w:jc w:val="both"/>
        <w:rPr>
          <w:rFonts w:asciiTheme="majorHAnsi" w:hAnsiTheme="majorHAnsi" w:cs="EUAlbertina"/>
          <w:color w:val="000000"/>
        </w:rPr>
      </w:pPr>
      <w:r>
        <w:rPr>
          <w:rFonts w:asciiTheme="majorHAnsi" w:hAnsiTheme="majorHAnsi" w:cs="EUAlbertina"/>
          <w:color w:val="000000"/>
        </w:rPr>
        <w:t>the results to be achieved according to the Programme intervention logic;</w:t>
      </w:r>
    </w:p>
    <w:p w:rsidR="00407EE1" w:rsidRDefault="00642621" w:rsidP="00701AEA">
      <w:pPr>
        <w:pStyle w:val="ListParagraph"/>
        <w:numPr>
          <w:ilvl w:val="0"/>
          <w:numId w:val="15"/>
        </w:numPr>
        <w:spacing w:after="0" w:line="240" w:lineRule="auto"/>
        <w:jc w:val="both"/>
        <w:rPr>
          <w:rFonts w:asciiTheme="majorHAnsi" w:hAnsiTheme="majorHAnsi" w:cs="EUAlbertina"/>
          <w:color w:val="000000"/>
        </w:rPr>
      </w:pPr>
      <w:r>
        <w:rPr>
          <w:rFonts w:asciiTheme="majorHAnsi" w:hAnsiTheme="majorHAnsi" w:cs="EUAlbertina"/>
          <w:color w:val="000000"/>
        </w:rPr>
        <w:t>considerations of different types of possible investments (for instance, “soft”, small sca</w:t>
      </w:r>
      <w:r w:rsidR="006F1007">
        <w:rPr>
          <w:rFonts w:asciiTheme="majorHAnsi" w:hAnsiTheme="majorHAnsi" w:cs="EUAlbertina"/>
          <w:color w:val="000000"/>
        </w:rPr>
        <w:t>le or large scale investments);</w:t>
      </w:r>
    </w:p>
    <w:p w:rsidR="006F1007" w:rsidRDefault="006F1007" w:rsidP="00701AEA">
      <w:pPr>
        <w:pStyle w:val="ListParagraph"/>
        <w:numPr>
          <w:ilvl w:val="0"/>
          <w:numId w:val="15"/>
        </w:numPr>
        <w:spacing w:after="0" w:line="240" w:lineRule="auto"/>
        <w:jc w:val="both"/>
        <w:rPr>
          <w:rFonts w:asciiTheme="majorHAnsi" w:hAnsiTheme="majorHAnsi" w:cs="EUAlbertina"/>
          <w:color w:val="000000"/>
        </w:rPr>
      </w:pPr>
      <w:proofErr w:type="gramStart"/>
      <w:r>
        <w:rPr>
          <w:rFonts w:asciiTheme="majorHAnsi" w:hAnsiTheme="majorHAnsi" w:cs="EUAlbertina"/>
          <w:color w:val="000000"/>
        </w:rPr>
        <w:t>the</w:t>
      </w:r>
      <w:proofErr w:type="gramEnd"/>
      <w:r>
        <w:rPr>
          <w:rFonts w:asciiTheme="majorHAnsi" w:hAnsiTheme="majorHAnsi" w:cs="EUAlbertina"/>
          <w:color w:val="000000"/>
        </w:rPr>
        <w:t xml:space="preserve"> decisions made by MS during JPC meetings. </w:t>
      </w:r>
    </w:p>
    <w:p w:rsidR="00642621" w:rsidRDefault="00642621" w:rsidP="00642621">
      <w:pPr>
        <w:spacing w:after="0" w:line="240" w:lineRule="auto"/>
        <w:jc w:val="both"/>
        <w:rPr>
          <w:rFonts w:asciiTheme="majorHAnsi" w:hAnsiTheme="majorHAnsi" w:cs="EUAlbertina"/>
          <w:color w:val="000000"/>
        </w:rPr>
      </w:pPr>
    </w:p>
    <w:p w:rsidR="00FA5C74" w:rsidRDefault="00642621" w:rsidP="00642621">
      <w:pPr>
        <w:spacing w:after="0" w:line="240" w:lineRule="auto"/>
        <w:jc w:val="both"/>
        <w:rPr>
          <w:rFonts w:asciiTheme="majorHAnsi" w:hAnsiTheme="majorHAnsi" w:cs="EUAlbertina"/>
          <w:color w:val="000000"/>
        </w:rPr>
      </w:pPr>
      <w:r>
        <w:rPr>
          <w:rFonts w:asciiTheme="majorHAnsi" w:hAnsiTheme="majorHAnsi" w:cs="EUAlbertina"/>
          <w:color w:val="000000"/>
        </w:rPr>
        <w:t xml:space="preserve">The proposed financial allocations </w:t>
      </w:r>
      <w:r w:rsidR="00FA5C74">
        <w:rPr>
          <w:rFonts w:asciiTheme="majorHAnsi" w:hAnsiTheme="majorHAnsi" w:cs="EUAlbertina"/>
          <w:color w:val="000000"/>
        </w:rPr>
        <w:t xml:space="preserve">among </w:t>
      </w:r>
      <w:r w:rsidR="00D03A80">
        <w:rPr>
          <w:rFonts w:asciiTheme="majorHAnsi" w:hAnsiTheme="majorHAnsi" w:cs="EUAlbertina"/>
          <w:color w:val="000000"/>
        </w:rPr>
        <w:t>TOs</w:t>
      </w:r>
      <w:r w:rsidR="00FA5C74">
        <w:rPr>
          <w:rFonts w:asciiTheme="majorHAnsi" w:hAnsiTheme="majorHAnsi" w:cs="EUAlbertina"/>
          <w:color w:val="000000"/>
        </w:rPr>
        <w:t xml:space="preserve"> </w:t>
      </w:r>
      <w:r w:rsidR="002F3C2B">
        <w:rPr>
          <w:rFonts w:asciiTheme="majorHAnsi" w:hAnsiTheme="majorHAnsi" w:cs="EUAlbertina"/>
          <w:color w:val="000000"/>
        </w:rPr>
        <w:t>are</w:t>
      </w:r>
      <w:r w:rsidR="00FA5C74">
        <w:rPr>
          <w:rFonts w:asciiTheme="majorHAnsi" w:hAnsiTheme="majorHAnsi" w:cs="EUAlbertina"/>
          <w:color w:val="000000"/>
        </w:rPr>
        <w:t xml:space="preserve"> reasonable</w:t>
      </w:r>
      <w:r w:rsidR="002F3C2B">
        <w:rPr>
          <w:rFonts w:asciiTheme="majorHAnsi" w:hAnsiTheme="majorHAnsi" w:cs="EUAlbertina"/>
          <w:color w:val="000000"/>
        </w:rPr>
        <w:t xml:space="preserve"> and take </w:t>
      </w:r>
      <w:r w:rsidR="00FA5C74">
        <w:rPr>
          <w:rFonts w:asciiTheme="majorHAnsi" w:hAnsiTheme="majorHAnsi" w:cs="EUAlbertina"/>
          <w:color w:val="000000"/>
        </w:rPr>
        <w:t>into acco</w:t>
      </w:r>
      <w:r w:rsidR="002F3C2B">
        <w:rPr>
          <w:rFonts w:asciiTheme="majorHAnsi" w:hAnsiTheme="majorHAnsi" w:cs="EUAlbertina"/>
          <w:color w:val="000000"/>
        </w:rPr>
        <w:t>unt the Programme objective, specific actions and</w:t>
      </w:r>
      <w:r w:rsidR="00033B50">
        <w:rPr>
          <w:rFonts w:asciiTheme="majorHAnsi" w:hAnsiTheme="majorHAnsi" w:cs="EUAlbertina"/>
          <w:color w:val="000000"/>
        </w:rPr>
        <w:t xml:space="preserve"> planned results. </w:t>
      </w:r>
    </w:p>
    <w:p w:rsidR="00D03A80" w:rsidRDefault="00D03A80" w:rsidP="00991ED7">
      <w:pPr>
        <w:spacing w:after="0" w:line="240" w:lineRule="auto"/>
        <w:jc w:val="both"/>
        <w:rPr>
          <w:rFonts w:asciiTheme="majorHAnsi" w:hAnsiTheme="majorHAnsi" w:cs="EUAlbertina"/>
          <w:color w:val="000000"/>
        </w:rPr>
      </w:pPr>
    </w:p>
    <w:p w:rsidR="00D03A80" w:rsidRDefault="00D03A80" w:rsidP="00991ED7">
      <w:pPr>
        <w:spacing w:after="0" w:line="240" w:lineRule="auto"/>
        <w:jc w:val="both"/>
        <w:rPr>
          <w:rFonts w:asciiTheme="majorHAnsi" w:hAnsiTheme="majorHAnsi" w:cs="EUAlbertina"/>
          <w:color w:val="000000"/>
        </w:rPr>
      </w:pPr>
      <w:r>
        <w:rPr>
          <w:rFonts w:asciiTheme="majorHAnsi" w:hAnsiTheme="majorHAnsi" w:cs="EUAlbertina"/>
          <w:color w:val="000000"/>
        </w:rPr>
        <w:t xml:space="preserve">For TO8 the largest financial proportion of the available funding is allocated (35 %). It is reasonable because under this TO it is planned to improve cross-border road sections. Therefore it is the most investment intensive TO, which requires the allocation of the largest financial proportion of the Programme funding. </w:t>
      </w:r>
    </w:p>
    <w:p w:rsidR="00124459" w:rsidRDefault="00124459" w:rsidP="00991ED7">
      <w:pPr>
        <w:spacing w:after="0" w:line="240" w:lineRule="auto"/>
        <w:jc w:val="both"/>
        <w:rPr>
          <w:rFonts w:asciiTheme="majorHAnsi" w:hAnsiTheme="majorHAnsi" w:cs="EUAlbertina"/>
          <w:color w:val="000000"/>
        </w:rPr>
      </w:pPr>
    </w:p>
    <w:p w:rsidR="002557CC" w:rsidRDefault="00124459" w:rsidP="00991ED7">
      <w:pPr>
        <w:spacing w:after="0" w:line="240" w:lineRule="auto"/>
        <w:jc w:val="both"/>
      </w:pPr>
      <w:r>
        <w:rPr>
          <w:rFonts w:asciiTheme="majorHAnsi" w:hAnsiTheme="majorHAnsi" w:cs="EUAlbertina"/>
          <w:color w:val="000000"/>
        </w:rPr>
        <w:t xml:space="preserve">For TO6 27% of the available funding is allocated. </w:t>
      </w:r>
      <w:r w:rsidR="00D477E1">
        <w:rPr>
          <w:rFonts w:asciiTheme="majorHAnsi" w:hAnsiTheme="majorHAnsi" w:cs="EUAlbertina"/>
          <w:color w:val="000000"/>
        </w:rPr>
        <w:t>Financial allocations for TO6 are smaller than for TO8, but still relatively large compared to other TOs. T</w:t>
      </w:r>
      <w:r w:rsidR="002F3C2B">
        <w:rPr>
          <w:rFonts w:asciiTheme="majorHAnsi" w:hAnsiTheme="majorHAnsi" w:cs="EUAlbertina"/>
          <w:color w:val="000000"/>
        </w:rPr>
        <w:t xml:space="preserve">his is </w:t>
      </w:r>
      <w:r w:rsidR="00C40577">
        <w:rPr>
          <w:rFonts w:asciiTheme="majorHAnsi" w:hAnsiTheme="majorHAnsi" w:cs="EUAlbertina"/>
          <w:color w:val="000000"/>
        </w:rPr>
        <w:t xml:space="preserve">justifiable </w:t>
      </w:r>
      <w:r w:rsidR="002F3C2B">
        <w:rPr>
          <w:rFonts w:asciiTheme="majorHAnsi" w:hAnsiTheme="majorHAnsi" w:cs="EUAlbertina"/>
          <w:color w:val="000000"/>
        </w:rPr>
        <w:t>because under this TO is foreseen to have “soft” actions such as exchange of pra</w:t>
      </w:r>
      <w:r w:rsidR="00C40577">
        <w:rPr>
          <w:rFonts w:asciiTheme="majorHAnsi" w:hAnsiTheme="majorHAnsi" w:cs="EUAlbertina"/>
          <w:color w:val="000000"/>
        </w:rPr>
        <w:t>ctices, trainings and seminars, but also some infrastructure projects</w:t>
      </w:r>
      <w:r w:rsidR="00D3337F">
        <w:rPr>
          <w:rFonts w:asciiTheme="majorHAnsi" w:hAnsiTheme="majorHAnsi" w:cs="EUAlbertina"/>
          <w:color w:val="000000"/>
        </w:rPr>
        <w:t xml:space="preserve"> (</w:t>
      </w:r>
      <w:r w:rsidR="00D3337F" w:rsidRPr="00BA2B1E">
        <w:t>improvement of public infrastructure in municipal territories</w:t>
      </w:r>
      <w:r w:rsidR="00D3337F">
        <w:t xml:space="preserve"> and others). </w:t>
      </w:r>
    </w:p>
    <w:p w:rsidR="00D3337F" w:rsidRDefault="00D3337F" w:rsidP="00991ED7">
      <w:pPr>
        <w:spacing w:after="0" w:line="240" w:lineRule="auto"/>
        <w:jc w:val="both"/>
      </w:pPr>
    </w:p>
    <w:p w:rsidR="001B0FF2" w:rsidRDefault="00D3337F" w:rsidP="00B15C5C">
      <w:pPr>
        <w:tabs>
          <w:tab w:val="left" w:pos="0"/>
        </w:tabs>
        <w:spacing w:after="0" w:line="240" w:lineRule="auto"/>
        <w:jc w:val="both"/>
      </w:pPr>
      <w:r>
        <w:t>The share of financial allocations of the Programme funding for TO9 and TO11 is considerab</w:t>
      </w:r>
      <w:r w:rsidR="00A426AE">
        <w:t>ly smaller than for TO8 and TO6 (TO9 – 20%; TO11 – 18%).</w:t>
      </w:r>
      <w:r>
        <w:t xml:space="preserve"> </w:t>
      </w:r>
      <w:r w:rsidR="00942318">
        <w:t>It is valid since both TOs include actions with comparably small-scale investments</w:t>
      </w:r>
      <w:r w:rsidR="00D64EE5">
        <w:t xml:space="preserve"> without any</w:t>
      </w:r>
      <w:r w:rsidR="001B0FF2">
        <w:t xml:space="preserve"> large</w:t>
      </w:r>
      <w:r w:rsidR="00D64EE5">
        <w:t xml:space="preserve"> investments in infrastructure</w:t>
      </w:r>
      <w:r w:rsidR="001B0FF2">
        <w:t xml:space="preserve"> actions such as road improvements</w:t>
      </w:r>
      <w:r w:rsidR="00D64EE5">
        <w:t>.</w:t>
      </w:r>
      <w:r w:rsidR="00942318">
        <w:t xml:space="preserve"> Under TO9</w:t>
      </w:r>
      <w:r w:rsidR="001B0FF2">
        <w:t xml:space="preserve"> investments are foreseen only in small scale infrastructure, education and cooperation activities and improvement of competencies</w:t>
      </w:r>
      <w:r w:rsidR="00942318">
        <w:t>.</w:t>
      </w:r>
      <w:r w:rsidR="001B0FF2">
        <w:t xml:space="preserve"> </w:t>
      </w:r>
      <w:r w:rsidR="00942318">
        <w:t xml:space="preserve"> </w:t>
      </w:r>
    </w:p>
    <w:p w:rsidR="001B0FF2" w:rsidRDefault="001B0FF2" w:rsidP="00B15C5C">
      <w:pPr>
        <w:tabs>
          <w:tab w:val="left" w:pos="0"/>
        </w:tabs>
        <w:spacing w:after="0" w:line="240" w:lineRule="auto"/>
        <w:jc w:val="both"/>
      </w:pPr>
    </w:p>
    <w:p w:rsidR="00BE2E5A" w:rsidRDefault="00942318" w:rsidP="00B15C5C">
      <w:pPr>
        <w:tabs>
          <w:tab w:val="left" w:pos="0"/>
        </w:tabs>
        <w:spacing w:after="0" w:line="240" w:lineRule="auto"/>
        <w:jc w:val="both"/>
      </w:pPr>
      <w:proofErr w:type="gramStart"/>
      <w:r>
        <w:t>Whereas, under TO1</w:t>
      </w:r>
      <w:r w:rsidR="001B0FF2">
        <w:t xml:space="preserve">1 investments are foreseen predominantly in “soft” actions such as cross-border cooperation actions, capacity building activities and only </w:t>
      </w:r>
      <w:r w:rsidR="00334A81">
        <w:t>small scale infrastructure and equipment.</w:t>
      </w:r>
      <w:proofErr w:type="gramEnd"/>
      <w:r w:rsidR="00334A81">
        <w:t xml:space="preserve"> It is also justifiable to allocate the smallest amount of funding towards TO11 because it has only one spec</w:t>
      </w:r>
      <w:r w:rsidR="00E07255">
        <w:t xml:space="preserve">ific </w:t>
      </w:r>
      <w:proofErr w:type="gramStart"/>
      <w:r w:rsidR="00E07255">
        <w:t xml:space="preserve">objective </w:t>
      </w:r>
      <w:r w:rsidR="00263DF9">
        <w:t xml:space="preserve"> whereas</w:t>
      </w:r>
      <w:proofErr w:type="gramEnd"/>
      <w:r w:rsidR="00263DF9">
        <w:t xml:space="preserve">, other TOs </w:t>
      </w:r>
      <w:r w:rsidR="00334A81">
        <w:t xml:space="preserve">have at least two specific objectives, which requires more funding. </w:t>
      </w:r>
    </w:p>
    <w:p w:rsidR="00D03A80" w:rsidRDefault="00D03A80" w:rsidP="00991ED7">
      <w:pPr>
        <w:spacing w:after="0" w:line="240" w:lineRule="auto"/>
        <w:jc w:val="both"/>
        <w:rPr>
          <w:rFonts w:asciiTheme="majorHAnsi" w:hAnsiTheme="majorHAnsi" w:cs="EUAlbertina"/>
          <w:color w:val="000000"/>
        </w:rPr>
      </w:pPr>
    </w:p>
    <w:p w:rsidR="00991ED7" w:rsidRDefault="00FA5C74" w:rsidP="00991ED7">
      <w:pPr>
        <w:spacing w:after="0" w:line="240" w:lineRule="auto"/>
        <w:jc w:val="both"/>
        <w:rPr>
          <w:rFonts w:asciiTheme="majorHAnsi" w:hAnsiTheme="majorHAnsi" w:cs="EUAlbertina"/>
          <w:color w:val="000000"/>
        </w:rPr>
      </w:pPr>
      <w:r>
        <w:rPr>
          <w:rFonts w:asciiTheme="majorHAnsi" w:hAnsiTheme="majorHAnsi" w:cs="EUAlbertina"/>
          <w:color w:val="000000"/>
        </w:rPr>
        <w:t xml:space="preserve">The allocated budget for the </w:t>
      </w:r>
      <w:r w:rsidR="00F4788A">
        <w:rPr>
          <w:rFonts w:asciiTheme="majorHAnsi" w:hAnsiTheme="majorHAnsi" w:cs="EUAlbertina"/>
          <w:color w:val="000000"/>
        </w:rPr>
        <w:t>TA</w:t>
      </w:r>
      <w:r>
        <w:rPr>
          <w:rFonts w:asciiTheme="majorHAnsi" w:hAnsiTheme="majorHAnsi" w:cs="EUAlbertina"/>
          <w:color w:val="000000"/>
        </w:rPr>
        <w:t xml:space="preserve"> is also reasonable. </w:t>
      </w:r>
      <w:r w:rsidR="00F4788A">
        <w:rPr>
          <w:rFonts w:asciiTheme="majorHAnsi" w:hAnsiTheme="majorHAnsi" w:cs="EUAlbertina"/>
          <w:color w:val="000000"/>
        </w:rPr>
        <w:t>The allocated funding is 6% (or 3 297 972 EUR),</w:t>
      </w:r>
      <w:r w:rsidR="00991ED7" w:rsidRPr="000977AB">
        <w:rPr>
          <w:rFonts w:asciiTheme="majorHAnsi" w:hAnsiTheme="majorHAnsi" w:cs="EUAlbertina"/>
          <w:color w:val="000000"/>
        </w:rPr>
        <w:t xml:space="preserve"> </w:t>
      </w:r>
      <w:r w:rsidR="00F4788A">
        <w:rPr>
          <w:rFonts w:asciiTheme="majorHAnsi" w:hAnsiTheme="majorHAnsi" w:cs="EUAlbertina"/>
          <w:color w:val="000000"/>
        </w:rPr>
        <w:t xml:space="preserve">which is not exceeding the maximum allowed funding for TA. The Programme also lists the examples of actions to be financed under the TA budget, which seem to be valid for the available funding. </w:t>
      </w:r>
    </w:p>
    <w:p w:rsidR="00FA5C74" w:rsidRDefault="00FA5C74" w:rsidP="00642621">
      <w:pPr>
        <w:spacing w:after="0" w:line="240" w:lineRule="auto"/>
        <w:jc w:val="both"/>
        <w:rPr>
          <w:rFonts w:asciiTheme="majorHAnsi" w:hAnsiTheme="majorHAnsi" w:cs="EUAlbertina"/>
          <w:color w:val="000000"/>
        </w:rPr>
      </w:pPr>
    </w:p>
    <w:p w:rsidR="006F0480" w:rsidRDefault="007842C0" w:rsidP="00CC63A1">
      <w:pPr>
        <w:spacing w:after="0" w:line="240" w:lineRule="auto"/>
        <w:jc w:val="both"/>
      </w:pPr>
      <w:r>
        <w:rPr>
          <w:rFonts w:asciiTheme="majorHAnsi" w:hAnsiTheme="majorHAnsi" w:cs="EUAlbertina"/>
          <w:color w:val="000000"/>
        </w:rPr>
        <w:t xml:space="preserve">Overall, </w:t>
      </w:r>
      <w:r w:rsidR="00D32C7F" w:rsidRPr="00626953">
        <w:t>the division of funding among the four TOs is adequate</w:t>
      </w:r>
      <w:r w:rsidR="00D32C7F">
        <w:t xml:space="preserve"> and </w:t>
      </w:r>
      <w:r w:rsidRPr="00626953">
        <w:t>the financial allocations concentrate on the most important objectives, needs and cha</w:t>
      </w:r>
      <w:r w:rsidR="00D32C7F">
        <w:t xml:space="preserve">llenges of the Programme region. </w:t>
      </w:r>
      <w:r w:rsidR="00590312">
        <w:t xml:space="preserve">The breakdown of the financial plan </w:t>
      </w:r>
      <w:r w:rsidR="00590312">
        <w:lastRenderedPageBreak/>
        <w:t xml:space="preserve">of the Programme by priority axis is provided, including the amount of the total financial appropriation of the support from the ERDF and the national co-financing. </w:t>
      </w:r>
    </w:p>
    <w:p w:rsidR="007842C0" w:rsidRDefault="007842C0" w:rsidP="00CC63A1">
      <w:pPr>
        <w:spacing w:after="0" w:line="240" w:lineRule="auto"/>
        <w:jc w:val="both"/>
      </w:pPr>
    </w:p>
    <w:p w:rsidR="007842C0" w:rsidRDefault="00B52B6A" w:rsidP="00CC63A1">
      <w:pPr>
        <w:spacing w:after="0" w:line="240" w:lineRule="auto"/>
        <w:jc w:val="both"/>
      </w:pPr>
      <w:r>
        <w:t>However</w:t>
      </w:r>
      <w:r w:rsidR="0075784D">
        <w:t>,</w:t>
      </w:r>
      <w:r>
        <w:t xml:space="preserve"> </w:t>
      </w:r>
      <w:r w:rsidR="00090018">
        <w:t>it is important to stress that no</w:t>
      </w:r>
      <w:r>
        <w:t xml:space="preserve"> limits</w:t>
      </w:r>
      <w:r w:rsidR="00090018">
        <w:t xml:space="preserve"> are </w:t>
      </w:r>
      <w:r>
        <w:t xml:space="preserve">set for maximum cost of one project. </w:t>
      </w:r>
      <w:r w:rsidR="00090018">
        <w:t xml:space="preserve">If no such limit is set, there is a risk that this can negatively impact the </w:t>
      </w:r>
      <w:r w:rsidR="006B7B18">
        <w:t>achievement of output target values</w:t>
      </w:r>
      <w:r w:rsidR="00BF4576">
        <w:t xml:space="preserve"> as those values are in part set based on costs of one project in previous programming period</w:t>
      </w:r>
      <w:r w:rsidR="006B7B18">
        <w:t>.</w:t>
      </w:r>
      <w:r w:rsidR="00090018">
        <w:t xml:space="preserve"> </w:t>
      </w:r>
      <w:r w:rsidR="0075784D">
        <w:t xml:space="preserve">It is recommended to </w:t>
      </w:r>
      <w:r w:rsidR="00BF4576">
        <w:t xml:space="preserve">consider </w:t>
      </w:r>
      <w:r w:rsidR="0075784D">
        <w:t>set</w:t>
      </w:r>
      <w:r w:rsidR="00BF4576">
        <w:t>ting</w:t>
      </w:r>
      <w:r w:rsidR="0075784D">
        <w:t xml:space="preserve"> the maxim allowed cost of one project and include it in the Programme Manual.</w:t>
      </w:r>
    </w:p>
    <w:p w:rsidR="00D97A24" w:rsidRDefault="00D97A24" w:rsidP="00CC63A1">
      <w:pPr>
        <w:spacing w:after="0" w:line="240" w:lineRule="auto"/>
        <w:jc w:val="both"/>
        <w:rPr>
          <w:rFonts w:asciiTheme="majorHAnsi" w:hAnsiTheme="majorHAnsi" w:cs="EUAlbertina"/>
          <w:color w:val="000000"/>
        </w:rPr>
      </w:pPr>
    </w:p>
    <w:p w:rsidR="00CE6EE7" w:rsidRDefault="00CE6EE7" w:rsidP="00A650E7">
      <w:pPr>
        <w:pStyle w:val="BodyText"/>
      </w:pPr>
    </w:p>
    <w:p w:rsidR="00363863" w:rsidRDefault="00A650E7" w:rsidP="00701AEA">
      <w:pPr>
        <w:pStyle w:val="Heading1NoSpacing"/>
        <w:numPr>
          <w:ilvl w:val="0"/>
          <w:numId w:val="7"/>
        </w:numPr>
        <w:spacing w:line="240" w:lineRule="auto"/>
      </w:pPr>
      <w:bookmarkStart w:id="22" w:name="_Toc390942545"/>
      <w:r w:rsidRPr="00600AAA">
        <w:t>Evaluation of the impact indicators</w:t>
      </w:r>
      <w:r>
        <w:t>’</w:t>
      </w:r>
      <w:r w:rsidRPr="00600AAA">
        <w:t xml:space="preserve"> and results</w:t>
      </w:r>
      <w:r>
        <w:t>’</w:t>
      </w:r>
      <w:r w:rsidRPr="00600AAA">
        <w:t xml:space="preserve"> contribution to Europe 2020</w:t>
      </w:r>
      <w:bookmarkEnd w:id="22"/>
    </w:p>
    <w:p w:rsidR="001C6F72" w:rsidRPr="001C6F72" w:rsidRDefault="001C6F72" w:rsidP="001C6F72">
      <w:pPr>
        <w:pStyle w:val="Default"/>
      </w:pPr>
    </w:p>
    <w:p w:rsidR="00E60299" w:rsidRPr="009D3143" w:rsidRDefault="00CD5FE8" w:rsidP="009D3143">
      <w:pPr>
        <w:pStyle w:val="CM1"/>
        <w:jc w:val="both"/>
        <w:rPr>
          <w:rFonts w:asciiTheme="majorHAnsi" w:hAnsiTheme="majorHAnsi" w:cs="EUAlbertina"/>
          <w:color w:val="000000"/>
          <w:sz w:val="20"/>
          <w:szCs w:val="20"/>
        </w:rPr>
      </w:pPr>
      <w:r w:rsidRPr="00A412B7">
        <w:rPr>
          <w:rFonts w:asciiTheme="majorHAnsi" w:hAnsiTheme="majorHAnsi" w:cs="Times New Roman"/>
          <w:bCs/>
          <w:sz w:val="20"/>
          <w:szCs w:val="20"/>
        </w:rPr>
        <w:t xml:space="preserve">Article 55 </w:t>
      </w:r>
      <w:r w:rsidR="007778C9" w:rsidRPr="00A412B7">
        <w:rPr>
          <w:rFonts w:asciiTheme="majorHAnsi" w:hAnsiTheme="majorHAnsi" w:cs="Times New Roman"/>
          <w:bCs/>
          <w:sz w:val="20"/>
          <w:szCs w:val="20"/>
        </w:rPr>
        <w:t>(3</w:t>
      </w:r>
      <w:proofErr w:type="gramStart"/>
      <w:r w:rsidR="007778C9" w:rsidRPr="00A412B7">
        <w:rPr>
          <w:rFonts w:asciiTheme="majorHAnsi" w:hAnsiTheme="majorHAnsi" w:cs="Times New Roman"/>
          <w:bCs/>
          <w:sz w:val="20"/>
          <w:szCs w:val="20"/>
        </w:rPr>
        <w:t>)(</w:t>
      </w:r>
      <w:proofErr w:type="gramEnd"/>
      <w:r w:rsidR="007778C9" w:rsidRPr="00A412B7">
        <w:rPr>
          <w:rFonts w:asciiTheme="majorHAnsi" w:hAnsiTheme="majorHAnsi" w:cs="Times New Roman"/>
          <w:bCs/>
          <w:sz w:val="20"/>
          <w:szCs w:val="20"/>
        </w:rPr>
        <w:t xml:space="preserve">a) </w:t>
      </w:r>
      <w:r w:rsidRPr="00A412B7">
        <w:rPr>
          <w:rFonts w:asciiTheme="majorHAnsi" w:hAnsiTheme="majorHAnsi" w:cs="Times New Roman"/>
          <w:bCs/>
          <w:sz w:val="20"/>
          <w:szCs w:val="20"/>
        </w:rPr>
        <w:t>of</w:t>
      </w:r>
      <w:r w:rsidR="00781DBB">
        <w:rPr>
          <w:rFonts w:asciiTheme="majorHAnsi" w:hAnsiTheme="majorHAnsi" w:cs="Times New Roman"/>
          <w:bCs/>
          <w:sz w:val="20"/>
          <w:szCs w:val="20"/>
        </w:rPr>
        <w:t xml:space="preserve"> the CPR</w:t>
      </w:r>
      <w:r w:rsidRPr="00A412B7">
        <w:rPr>
          <w:rStyle w:val="FootnoteReference"/>
          <w:rFonts w:asciiTheme="majorHAnsi" w:hAnsiTheme="majorHAnsi" w:cs="Times New Roman"/>
          <w:bCs/>
          <w:sz w:val="20"/>
          <w:szCs w:val="20"/>
        </w:rPr>
        <w:footnoteReference w:id="14"/>
      </w:r>
      <w:r w:rsidR="00711005">
        <w:rPr>
          <w:rFonts w:asciiTheme="majorHAnsi" w:hAnsiTheme="majorHAnsi" w:cs="Times New Roman"/>
          <w:bCs/>
          <w:sz w:val="20"/>
          <w:szCs w:val="20"/>
        </w:rPr>
        <w:t xml:space="preserve"> requires ex-</w:t>
      </w:r>
      <w:r w:rsidR="007778C9" w:rsidRPr="00A412B7">
        <w:rPr>
          <w:rFonts w:asciiTheme="majorHAnsi" w:hAnsiTheme="majorHAnsi" w:cs="Times New Roman"/>
          <w:bCs/>
          <w:sz w:val="20"/>
          <w:szCs w:val="20"/>
        </w:rPr>
        <w:t>ante evaluators to appraise</w:t>
      </w:r>
      <w:r w:rsidR="00C501FA">
        <w:rPr>
          <w:rFonts w:asciiTheme="majorHAnsi" w:hAnsiTheme="majorHAnsi" w:cs="Times New Roman"/>
          <w:bCs/>
          <w:sz w:val="20"/>
          <w:szCs w:val="20"/>
        </w:rPr>
        <w:t xml:space="preserve"> </w:t>
      </w:r>
      <w:r w:rsidR="00036761">
        <w:rPr>
          <w:rFonts w:asciiTheme="majorHAnsi" w:hAnsiTheme="majorHAnsi" w:cs="Times New Roman"/>
          <w:bCs/>
          <w:sz w:val="20"/>
          <w:szCs w:val="20"/>
        </w:rPr>
        <w:t>the Pr</w:t>
      </w:r>
      <w:r w:rsidR="00781DBB">
        <w:rPr>
          <w:rFonts w:asciiTheme="majorHAnsi" w:hAnsiTheme="majorHAnsi" w:cs="Times New Roman"/>
          <w:bCs/>
          <w:sz w:val="20"/>
          <w:szCs w:val="20"/>
        </w:rPr>
        <w:t>ogramme’s contribution to the EU 2020</w:t>
      </w:r>
      <w:r w:rsidR="00036761">
        <w:rPr>
          <w:rFonts w:asciiTheme="majorHAnsi" w:hAnsiTheme="majorHAnsi" w:cs="Times New Roman"/>
          <w:bCs/>
          <w:sz w:val="20"/>
          <w:szCs w:val="20"/>
        </w:rPr>
        <w:t xml:space="preserve"> having regard to </w:t>
      </w:r>
      <w:r w:rsidR="00A412B7" w:rsidRPr="00A412B7">
        <w:rPr>
          <w:rFonts w:asciiTheme="majorHAnsi" w:hAnsiTheme="majorHAnsi" w:cs="EUAlbertina"/>
          <w:color w:val="000000"/>
          <w:sz w:val="20"/>
          <w:szCs w:val="20"/>
        </w:rPr>
        <w:t xml:space="preserve">the selected </w:t>
      </w:r>
      <w:r w:rsidR="005D68D3">
        <w:rPr>
          <w:rFonts w:asciiTheme="majorHAnsi" w:hAnsiTheme="majorHAnsi" w:cs="EUAlbertina"/>
          <w:color w:val="000000"/>
          <w:sz w:val="20"/>
          <w:szCs w:val="20"/>
        </w:rPr>
        <w:t>TOs</w:t>
      </w:r>
      <w:r w:rsidR="00A412B7" w:rsidRPr="00A412B7">
        <w:rPr>
          <w:rFonts w:asciiTheme="majorHAnsi" w:hAnsiTheme="majorHAnsi" w:cs="EUAlbertina"/>
          <w:color w:val="000000"/>
          <w:sz w:val="20"/>
          <w:szCs w:val="20"/>
        </w:rPr>
        <w:t xml:space="preserve"> and priorities, taking into account national and regional needs </w:t>
      </w:r>
      <w:r w:rsidR="00036761">
        <w:rPr>
          <w:rFonts w:asciiTheme="majorHAnsi" w:hAnsiTheme="majorHAnsi" w:cs="EUAlbertina"/>
          <w:color w:val="000000"/>
          <w:sz w:val="20"/>
          <w:szCs w:val="20"/>
        </w:rPr>
        <w:t xml:space="preserve">set out in the </w:t>
      </w:r>
      <w:r w:rsidR="00566FBD">
        <w:rPr>
          <w:rFonts w:asciiTheme="majorHAnsi" w:hAnsiTheme="majorHAnsi" w:cs="EUAlbertina"/>
          <w:color w:val="000000"/>
          <w:sz w:val="20"/>
          <w:szCs w:val="20"/>
        </w:rPr>
        <w:t>National Reform Programme (NRP)</w:t>
      </w:r>
      <w:r w:rsidR="00036761">
        <w:rPr>
          <w:rFonts w:asciiTheme="majorHAnsi" w:hAnsiTheme="majorHAnsi" w:cs="EUAlbertina"/>
          <w:color w:val="000000"/>
          <w:sz w:val="20"/>
          <w:szCs w:val="20"/>
        </w:rPr>
        <w:t xml:space="preserve"> in relation to headl</w:t>
      </w:r>
      <w:r w:rsidR="00993265">
        <w:rPr>
          <w:rFonts w:asciiTheme="majorHAnsi" w:hAnsiTheme="majorHAnsi" w:cs="EUAlbertina"/>
          <w:color w:val="000000"/>
          <w:sz w:val="20"/>
          <w:szCs w:val="20"/>
        </w:rPr>
        <w:t xml:space="preserve">ine targets for </w:t>
      </w:r>
      <w:r w:rsidR="00781DBB">
        <w:rPr>
          <w:rFonts w:asciiTheme="majorHAnsi" w:hAnsiTheme="majorHAnsi" w:cs="EUAlbertina"/>
          <w:color w:val="000000"/>
          <w:sz w:val="20"/>
          <w:szCs w:val="20"/>
        </w:rPr>
        <w:t xml:space="preserve">the </w:t>
      </w:r>
      <w:r w:rsidR="00993265">
        <w:rPr>
          <w:rFonts w:asciiTheme="majorHAnsi" w:hAnsiTheme="majorHAnsi" w:cs="EUAlbertina"/>
          <w:color w:val="000000"/>
          <w:sz w:val="20"/>
          <w:szCs w:val="20"/>
        </w:rPr>
        <w:t>EU 2020</w:t>
      </w:r>
      <w:r w:rsidR="00036761">
        <w:rPr>
          <w:rFonts w:asciiTheme="majorHAnsi" w:hAnsiTheme="majorHAnsi" w:cs="EUAlbertina"/>
          <w:color w:val="000000"/>
          <w:sz w:val="20"/>
          <w:szCs w:val="20"/>
        </w:rPr>
        <w:t>.</w:t>
      </w:r>
      <w:r w:rsidR="006E6E6F" w:rsidRPr="006E6E6F">
        <w:rPr>
          <w:rFonts w:asciiTheme="majorHAnsi" w:hAnsiTheme="majorHAnsi"/>
          <w:sz w:val="20"/>
          <w:szCs w:val="20"/>
        </w:rPr>
        <w:t xml:space="preserve">To measure </w:t>
      </w:r>
      <w:r w:rsidR="006E6E6F">
        <w:rPr>
          <w:rFonts w:asciiTheme="majorHAnsi" w:hAnsiTheme="majorHAnsi"/>
          <w:sz w:val="20"/>
          <w:szCs w:val="20"/>
        </w:rPr>
        <w:t xml:space="preserve">progress </w:t>
      </w:r>
      <w:r w:rsidR="003B5279">
        <w:rPr>
          <w:rFonts w:asciiTheme="majorHAnsi" w:hAnsiTheme="majorHAnsi"/>
          <w:sz w:val="20"/>
          <w:szCs w:val="20"/>
        </w:rPr>
        <w:t>in meeting the EU</w:t>
      </w:r>
      <w:r w:rsidR="006E6E6F" w:rsidRPr="006E6E6F">
        <w:rPr>
          <w:rFonts w:asciiTheme="majorHAnsi" w:hAnsiTheme="majorHAnsi"/>
          <w:sz w:val="20"/>
          <w:szCs w:val="20"/>
        </w:rPr>
        <w:t xml:space="preserve"> 2020 goals, </w:t>
      </w:r>
      <w:r w:rsidR="00E60299">
        <w:rPr>
          <w:rFonts w:asciiTheme="majorHAnsi" w:hAnsiTheme="majorHAnsi"/>
          <w:sz w:val="20"/>
          <w:szCs w:val="20"/>
        </w:rPr>
        <w:t xml:space="preserve">the following </w:t>
      </w:r>
      <w:r w:rsidR="006E6E6F" w:rsidRPr="006E6E6F">
        <w:rPr>
          <w:rFonts w:asciiTheme="majorHAnsi" w:hAnsiTheme="majorHAnsi"/>
          <w:sz w:val="20"/>
          <w:szCs w:val="20"/>
        </w:rPr>
        <w:t>5 headline targets</w:t>
      </w:r>
      <w:r w:rsidR="00E60299">
        <w:rPr>
          <w:rFonts w:asciiTheme="majorHAnsi" w:hAnsiTheme="majorHAnsi"/>
          <w:sz w:val="20"/>
          <w:szCs w:val="20"/>
        </w:rPr>
        <w:t>, which are</w:t>
      </w:r>
      <w:r w:rsidR="00E60299" w:rsidRPr="00246706">
        <w:rPr>
          <w:rFonts w:asciiTheme="majorHAnsi" w:hAnsiTheme="majorHAnsi"/>
          <w:sz w:val="20"/>
          <w:szCs w:val="20"/>
        </w:rPr>
        <w:t xml:space="preserve"> interre</w:t>
      </w:r>
      <w:r w:rsidR="00E60299">
        <w:rPr>
          <w:rFonts w:asciiTheme="majorHAnsi" w:hAnsiTheme="majorHAnsi"/>
          <w:sz w:val="20"/>
          <w:szCs w:val="20"/>
        </w:rPr>
        <w:t xml:space="preserve">lated and mutually reinforcing, </w:t>
      </w:r>
      <w:r w:rsidR="006E6E6F" w:rsidRPr="006E6E6F">
        <w:rPr>
          <w:rFonts w:asciiTheme="majorHAnsi" w:hAnsiTheme="majorHAnsi"/>
          <w:sz w:val="20"/>
          <w:szCs w:val="20"/>
        </w:rPr>
        <w:t>hav</w:t>
      </w:r>
      <w:r w:rsidR="00E60299">
        <w:rPr>
          <w:rFonts w:asciiTheme="majorHAnsi" w:hAnsiTheme="majorHAnsi"/>
          <w:sz w:val="20"/>
          <w:szCs w:val="20"/>
        </w:rPr>
        <w:t xml:space="preserve">e been agreed for the whole </w:t>
      </w:r>
      <w:r w:rsidR="00E60299" w:rsidRPr="003C02B8">
        <w:rPr>
          <w:rFonts w:asciiTheme="majorHAnsi" w:hAnsiTheme="majorHAnsi"/>
          <w:sz w:val="20"/>
          <w:szCs w:val="20"/>
        </w:rPr>
        <w:t>EU</w:t>
      </w:r>
      <w:r w:rsidR="00E60299" w:rsidRPr="003C02B8">
        <w:rPr>
          <w:rStyle w:val="FootnoteReference"/>
          <w:rFonts w:asciiTheme="majorHAnsi" w:hAnsiTheme="majorHAnsi"/>
          <w:sz w:val="20"/>
          <w:szCs w:val="20"/>
        </w:rPr>
        <w:footnoteReference w:id="15"/>
      </w:r>
      <w:r w:rsidR="00E60299" w:rsidRPr="003C02B8">
        <w:rPr>
          <w:rFonts w:asciiTheme="majorHAnsi" w:hAnsiTheme="majorHAnsi"/>
          <w:sz w:val="20"/>
          <w:szCs w:val="20"/>
        </w:rPr>
        <w:t>:</w:t>
      </w:r>
    </w:p>
    <w:p w:rsidR="0062410D" w:rsidRPr="003C02B8" w:rsidRDefault="0062410D" w:rsidP="00E60299">
      <w:pPr>
        <w:pStyle w:val="Default"/>
        <w:rPr>
          <w:rFonts w:asciiTheme="majorHAnsi" w:hAnsiTheme="majorHAnsi"/>
          <w:b/>
          <w:sz w:val="20"/>
          <w:szCs w:val="20"/>
        </w:rPr>
      </w:pPr>
    </w:p>
    <w:p w:rsidR="007815C5" w:rsidRDefault="0062410D" w:rsidP="009D3143">
      <w:pPr>
        <w:pStyle w:val="Caption"/>
        <w:ind w:left="1440" w:hanging="22"/>
      </w:pPr>
      <w:r w:rsidRPr="003C02B8">
        <w:rPr>
          <w:b w:val="0"/>
          <w:noProof/>
          <w:sz w:val="20"/>
          <w:lang w:val="lv-LV" w:eastAsia="lv-LV"/>
        </w:rPr>
        <w:drawing>
          <wp:inline distT="0" distB="0" distL="0" distR="0">
            <wp:extent cx="4614545" cy="2785745"/>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86522C" w:rsidRPr="009D3143" w:rsidRDefault="003C02B8" w:rsidP="00FC6E93">
      <w:pPr>
        <w:pStyle w:val="Caption"/>
        <w:ind w:left="2880" w:firstLine="720"/>
        <w:jc w:val="both"/>
      </w:pPr>
      <w:r w:rsidRPr="003C02B8">
        <w:t>Figure</w:t>
      </w:r>
      <w:r w:rsidR="00A2204C">
        <w:t xml:space="preserve"> 2</w:t>
      </w:r>
      <w:r w:rsidRPr="003C02B8">
        <w:t xml:space="preserve">: </w:t>
      </w:r>
      <w:r w:rsidRPr="003C02B8">
        <w:rPr>
          <w:b w:val="0"/>
          <w:color w:val="auto"/>
        </w:rPr>
        <w:t>Headline targets for EU 2020.</w:t>
      </w:r>
    </w:p>
    <w:p w:rsidR="00FB14A6" w:rsidRPr="003C1CE2" w:rsidRDefault="00FB14A6" w:rsidP="007C2C0F">
      <w:pPr>
        <w:pStyle w:val="Default"/>
        <w:jc w:val="both"/>
        <w:rPr>
          <w:rFonts w:asciiTheme="majorHAnsi" w:hAnsiTheme="majorHAnsi"/>
          <w:sz w:val="20"/>
          <w:szCs w:val="20"/>
        </w:rPr>
      </w:pPr>
    </w:p>
    <w:p w:rsidR="00B0168D" w:rsidRDefault="0062410D" w:rsidP="00B66E39">
      <w:pPr>
        <w:pStyle w:val="Default"/>
        <w:jc w:val="both"/>
        <w:rPr>
          <w:rFonts w:asciiTheme="majorHAnsi" w:hAnsiTheme="majorHAnsi"/>
          <w:bCs/>
          <w:sz w:val="20"/>
          <w:szCs w:val="20"/>
        </w:rPr>
      </w:pPr>
      <w:r w:rsidRPr="003C1CE2">
        <w:rPr>
          <w:rFonts w:asciiTheme="majorHAnsi" w:hAnsiTheme="majorHAnsi"/>
          <w:sz w:val="20"/>
          <w:szCs w:val="20"/>
        </w:rPr>
        <w:t xml:space="preserve">This limited set of EU-level targets is translated into national targets, which are available </w:t>
      </w:r>
      <w:r w:rsidR="00566FBD" w:rsidRPr="003C1CE2">
        <w:rPr>
          <w:rFonts w:asciiTheme="majorHAnsi" w:hAnsiTheme="majorHAnsi"/>
          <w:sz w:val="20"/>
          <w:szCs w:val="20"/>
        </w:rPr>
        <w:t>in the NRP</w:t>
      </w:r>
      <w:r w:rsidRPr="003C1CE2">
        <w:rPr>
          <w:rFonts w:asciiTheme="majorHAnsi" w:hAnsiTheme="majorHAnsi"/>
          <w:sz w:val="20"/>
          <w:szCs w:val="20"/>
        </w:rPr>
        <w:t xml:space="preserve"> of the respective countries. </w:t>
      </w:r>
      <w:r w:rsidR="007C2C0F" w:rsidRPr="003C1CE2">
        <w:rPr>
          <w:rFonts w:asciiTheme="majorHAnsi" w:hAnsiTheme="majorHAnsi"/>
          <w:sz w:val="20"/>
          <w:szCs w:val="20"/>
        </w:rPr>
        <w:t xml:space="preserve">In general, </w:t>
      </w:r>
      <w:r w:rsidR="007C2C0F" w:rsidRPr="003C1CE2">
        <w:rPr>
          <w:rFonts w:asciiTheme="majorHAnsi" w:hAnsiTheme="majorHAnsi"/>
          <w:bCs/>
          <w:sz w:val="20"/>
          <w:szCs w:val="20"/>
        </w:rPr>
        <w:t>a</w:t>
      </w:r>
      <w:r w:rsidR="00B86474" w:rsidRPr="003C1CE2">
        <w:rPr>
          <w:rFonts w:asciiTheme="majorHAnsi" w:hAnsiTheme="majorHAnsi"/>
          <w:bCs/>
          <w:sz w:val="20"/>
          <w:szCs w:val="20"/>
        </w:rPr>
        <w:t xml:space="preserve">ll TOs have a potential to contribute to the national targets and objectives set in Latvia’s and Lithuania’s NRPs, which in turn means that they also can contribute towards achieving EU 2020 headline targets. Programme’s </w:t>
      </w:r>
      <w:r w:rsidR="003C1CE2" w:rsidRPr="003C1CE2">
        <w:rPr>
          <w:rFonts w:asciiTheme="majorHAnsi" w:hAnsiTheme="majorHAnsi"/>
          <w:bCs/>
          <w:sz w:val="20"/>
          <w:szCs w:val="20"/>
        </w:rPr>
        <w:t xml:space="preserve">objectives and </w:t>
      </w:r>
      <w:r w:rsidR="00B86474" w:rsidRPr="003C1CE2">
        <w:rPr>
          <w:rFonts w:asciiTheme="majorHAnsi" w:hAnsiTheme="majorHAnsi"/>
          <w:bCs/>
          <w:sz w:val="20"/>
          <w:szCs w:val="20"/>
        </w:rPr>
        <w:t xml:space="preserve">expected results directly contribute to the achievement of set targets. </w:t>
      </w:r>
      <w:r w:rsidR="003C1CE2" w:rsidRPr="003C1CE2">
        <w:rPr>
          <w:rFonts w:asciiTheme="majorHAnsi" w:hAnsiTheme="majorHAnsi"/>
          <w:bCs/>
          <w:sz w:val="20"/>
          <w:szCs w:val="20"/>
        </w:rPr>
        <w:t xml:space="preserve">For instance, TO8 IP1 specific objective </w:t>
      </w:r>
      <w:r w:rsidR="00E277E0">
        <w:rPr>
          <w:rFonts w:asciiTheme="majorHAnsi" w:hAnsiTheme="majorHAnsi"/>
          <w:bCs/>
          <w:sz w:val="20"/>
          <w:szCs w:val="20"/>
        </w:rPr>
        <w:t>“</w:t>
      </w:r>
      <w:r w:rsidR="00875FFC">
        <w:rPr>
          <w:rFonts w:asciiTheme="majorHAnsi" w:hAnsiTheme="majorHAnsi"/>
          <w:bCs/>
          <w:sz w:val="20"/>
          <w:szCs w:val="20"/>
        </w:rPr>
        <w:t>to create employment opportunities through support to entrepreneurship</w:t>
      </w:r>
      <w:r w:rsidR="00E277E0">
        <w:rPr>
          <w:rFonts w:asciiTheme="majorHAnsi" w:hAnsiTheme="majorHAnsi"/>
          <w:bCs/>
          <w:sz w:val="20"/>
          <w:szCs w:val="20"/>
        </w:rPr>
        <w:t>”</w:t>
      </w:r>
      <w:r w:rsidR="00C501FA">
        <w:rPr>
          <w:rFonts w:asciiTheme="majorHAnsi" w:hAnsiTheme="majorHAnsi"/>
          <w:bCs/>
          <w:sz w:val="20"/>
          <w:szCs w:val="20"/>
        </w:rPr>
        <w:t xml:space="preserve"> </w:t>
      </w:r>
      <w:r w:rsidR="001A26C0" w:rsidRPr="001A26C0">
        <w:rPr>
          <w:rFonts w:asciiTheme="majorHAnsi" w:hAnsiTheme="majorHAnsi"/>
          <w:bCs/>
          <w:sz w:val="20"/>
          <w:szCs w:val="20"/>
        </w:rPr>
        <w:t xml:space="preserve">and its intended result is in line with Latvia’s </w:t>
      </w:r>
      <w:r w:rsidR="001A26C0">
        <w:rPr>
          <w:rFonts w:asciiTheme="majorHAnsi" w:hAnsiTheme="majorHAnsi"/>
          <w:bCs/>
          <w:sz w:val="20"/>
          <w:szCs w:val="20"/>
        </w:rPr>
        <w:t xml:space="preserve">and Lithuania’s </w:t>
      </w:r>
      <w:r w:rsidR="001A26C0" w:rsidRPr="001A26C0">
        <w:rPr>
          <w:rFonts w:asciiTheme="majorHAnsi" w:hAnsiTheme="majorHAnsi"/>
          <w:bCs/>
          <w:sz w:val="20"/>
          <w:szCs w:val="20"/>
        </w:rPr>
        <w:t xml:space="preserve">national objectives related to the employment target, </w:t>
      </w:r>
      <w:r w:rsidR="00E277E0">
        <w:rPr>
          <w:rFonts w:asciiTheme="majorHAnsi" w:hAnsiTheme="majorHAnsi"/>
          <w:bCs/>
          <w:sz w:val="20"/>
          <w:szCs w:val="20"/>
        </w:rPr>
        <w:t>promotion of</w:t>
      </w:r>
      <w:r w:rsidR="00C501FA">
        <w:rPr>
          <w:rFonts w:asciiTheme="majorHAnsi" w:hAnsiTheme="majorHAnsi"/>
          <w:bCs/>
          <w:sz w:val="20"/>
          <w:szCs w:val="20"/>
        </w:rPr>
        <w:t xml:space="preserve"> </w:t>
      </w:r>
      <w:r w:rsidR="001A26C0">
        <w:rPr>
          <w:rFonts w:asciiTheme="majorHAnsi" w:hAnsiTheme="majorHAnsi"/>
          <w:bCs/>
          <w:sz w:val="20"/>
          <w:szCs w:val="20"/>
        </w:rPr>
        <w:t xml:space="preserve">entrepreneurship and </w:t>
      </w:r>
      <w:r w:rsidR="001A26C0" w:rsidRPr="001A26C0">
        <w:rPr>
          <w:rFonts w:asciiTheme="majorHAnsi" w:hAnsiTheme="majorHAnsi"/>
          <w:bCs/>
          <w:sz w:val="20"/>
          <w:szCs w:val="20"/>
        </w:rPr>
        <w:t>improvement of business environment</w:t>
      </w:r>
      <w:r w:rsidR="001A26C0">
        <w:rPr>
          <w:rFonts w:asciiTheme="majorHAnsi" w:hAnsiTheme="majorHAnsi"/>
          <w:bCs/>
          <w:sz w:val="20"/>
          <w:szCs w:val="20"/>
        </w:rPr>
        <w:t>.</w:t>
      </w:r>
      <w:r w:rsidR="00C501FA">
        <w:rPr>
          <w:rFonts w:asciiTheme="majorHAnsi" w:hAnsiTheme="majorHAnsi"/>
          <w:bCs/>
          <w:sz w:val="20"/>
          <w:szCs w:val="20"/>
        </w:rPr>
        <w:t xml:space="preserve"> </w:t>
      </w:r>
      <w:r w:rsidR="00F14E03" w:rsidRPr="003C1CE2">
        <w:rPr>
          <w:rFonts w:asciiTheme="majorHAnsi" w:hAnsiTheme="majorHAnsi"/>
          <w:bCs/>
          <w:sz w:val="20"/>
          <w:szCs w:val="20"/>
        </w:rPr>
        <w:t>Whereas</w:t>
      </w:r>
      <w:r w:rsidR="00B86474" w:rsidRPr="003C1CE2">
        <w:rPr>
          <w:rFonts w:asciiTheme="majorHAnsi" w:hAnsiTheme="majorHAnsi"/>
          <w:bCs/>
          <w:sz w:val="20"/>
          <w:szCs w:val="20"/>
        </w:rPr>
        <w:t>, TO6 IP2 specific objective</w:t>
      </w:r>
      <w:r w:rsidR="00A9284E">
        <w:rPr>
          <w:rFonts w:asciiTheme="majorHAnsi" w:hAnsiTheme="majorHAnsi"/>
          <w:bCs/>
          <w:sz w:val="20"/>
          <w:szCs w:val="20"/>
        </w:rPr>
        <w:t xml:space="preserve"> - “t</w:t>
      </w:r>
      <w:r w:rsidR="00E24594">
        <w:rPr>
          <w:rFonts w:asciiTheme="majorHAnsi" w:hAnsiTheme="majorHAnsi"/>
          <w:bCs/>
          <w:sz w:val="20"/>
          <w:szCs w:val="20"/>
        </w:rPr>
        <w:t>o improve</w:t>
      </w:r>
      <w:r w:rsidR="00A9284E" w:rsidRPr="00A9284E">
        <w:rPr>
          <w:rFonts w:asciiTheme="majorHAnsi" w:hAnsiTheme="majorHAnsi"/>
          <w:bCs/>
          <w:sz w:val="20"/>
          <w:szCs w:val="20"/>
        </w:rPr>
        <w:t xml:space="preserve"> joint management of environmental resources</w:t>
      </w:r>
      <w:r w:rsidR="00A9284E">
        <w:rPr>
          <w:rFonts w:asciiTheme="majorHAnsi" w:hAnsiTheme="majorHAnsi"/>
          <w:bCs/>
          <w:sz w:val="20"/>
          <w:szCs w:val="20"/>
        </w:rPr>
        <w:t>” -</w:t>
      </w:r>
      <w:r w:rsidR="00B86474" w:rsidRPr="003C1CE2">
        <w:rPr>
          <w:rFonts w:asciiTheme="majorHAnsi" w:hAnsiTheme="majorHAnsi"/>
          <w:bCs/>
          <w:sz w:val="20"/>
          <w:szCs w:val="20"/>
        </w:rPr>
        <w:t xml:space="preserve"> is not </w:t>
      </w:r>
      <w:r w:rsidR="00F14E03">
        <w:rPr>
          <w:rFonts w:asciiTheme="majorHAnsi" w:hAnsiTheme="majorHAnsi"/>
          <w:bCs/>
          <w:sz w:val="20"/>
          <w:szCs w:val="20"/>
        </w:rPr>
        <w:t xml:space="preserve">directly linked to the Latvia’s </w:t>
      </w:r>
      <w:r w:rsidR="00B86474" w:rsidRPr="003C1CE2">
        <w:rPr>
          <w:rFonts w:asciiTheme="majorHAnsi" w:hAnsiTheme="majorHAnsi"/>
          <w:bCs/>
          <w:sz w:val="20"/>
          <w:szCs w:val="20"/>
        </w:rPr>
        <w:t>and Lithuania’s NRP</w:t>
      </w:r>
      <w:r w:rsidR="00E745FA">
        <w:rPr>
          <w:rFonts w:asciiTheme="majorHAnsi" w:hAnsiTheme="majorHAnsi"/>
          <w:bCs/>
          <w:sz w:val="20"/>
          <w:szCs w:val="20"/>
        </w:rPr>
        <w:t>s</w:t>
      </w:r>
      <w:r w:rsidR="00B86474" w:rsidRPr="003C1CE2">
        <w:rPr>
          <w:rFonts w:asciiTheme="majorHAnsi" w:hAnsiTheme="majorHAnsi"/>
          <w:bCs/>
          <w:sz w:val="20"/>
          <w:szCs w:val="20"/>
        </w:rPr>
        <w:t xml:space="preserve">, which are more focused on the energy efficiency, increase of the share of energy produced from the renewable energy sources and reduction of greenhouse gas emissions. However, the Programme support for joint action in the area of pollution could potentially contribute to Latvia’s and </w:t>
      </w:r>
      <w:r w:rsidR="00B86474" w:rsidRPr="003C1CE2">
        <w:rPr>
          <w:rFonts w:asciiTheme="majorHAnsi" w:hAnsiTheme="majorHAnsi"/>
          <w:bCs/>
          <w:sz w:val="20"/>
          <w:szCs w:val="20"/>
        </w:rPr>
        <w:lastRenderedPageBreak/>
        <w:t xml:space="preserve">Lithuania’s target to reduce emissions. Therefore, it is important to note that this Programme can have only a limited impact, </w:t>
      </w:r>
      <w:r w:rsidR="00B86474" w:rsidRPr="003C1CE2">
        <w:rPr>
          <w:rFonts w:asciiTheme="majorHAnsi" w:eastAsia="Times New Roman" w:hAnsiTheme="majorHAnsi"/>
          <w:noProof/>
          <w:sz w:val="20"/>
          <w:szCs w:val="20"/>
          <w:lang w:val="en-US"/>
        </w:rPr>
        <w:t>within its scope and the allocated funding,</w:t>
      </w:r>
      <w:r w:rsidR="00B86474" w:rsidRPr="003C1CE2">
        <w:rPr>
          <w:rFonts w:asciiTheme="majorHAnsi" w:hAnsiTheme="majorHAnsi"/>
          <w:bCs/>
          <w:sz w:val="20"/>
          <w:szCs w:val="20"/>
        </w:rPr>
        <w:t xml:space="preserve"> on the achievement of the set targets. </w:t>
      </w:r>
    </w:p>
    <w:p w:rsidR="00B0168D" w:rsidRDefault="00B0168D" w:rsidP="00B66E39">
      <w:pPr>
        <w:pStyle w:val="Default"/>
        <w:jc w:val="both"/>
        <w:rPr>
          <w:rFonts w:asciiTheme="majorHAnsi" w:hAnsiTheme="majorHAnsi"/>
          <w:bCs/>
          <w:sz w:val="20"/>
          <w:szCs w:val="20"/>
        </w:rPr>
      </w:pPr>
    </w:p>
    <w:p w:rsidR="0062410D" w:rsidRDefault="0062410D" w:rsidP="00B66E39">
      <w:pPr>
        <w:pStyle w:val="Default"/>
        <w:jc w:val="both"/>
        <w:rPr>
          <w:rFonts w:asciiTheme="majorHAnsi" w:hAnsiTheme="majorHAnsi"/>
          <w:bCs/>
          <w:sz w:val="20"/>
          <w:szCs w:val="20"/>
        </w:rPr>
      </w:pPr>
    </w:p>
    <w:p w:rsidR="00CE6EE7" w:rsidRPr="00B66E39" w:rsidRDefault="00CE6EE7" w:rsidP="00B66E39">
      <w:pPr>
        <w:pStyle w:val="Default"/>
        <w:jc w:val="both"/>
        <w:rPr>
          <w:rFonts w:asciiTheme="majorHAnsi" w:hAnsiTheme="majorHAnsi"/>
          <w:bCs/>
          <w:sz w:val="20"/>
          <w:szCs w:val="20"/>
        </w:rPr>
      </w:pPr>
    </w:p>
    <w:p w:rsidR="006A06CB" w:rsidRDefault="007938A3" w:rsidP="00701AEA">
      <w:pPr>
        <w:pStyle w:val="Heading1NoSpacing"/>
        <w:numPr>
          <w:ilvl w:val="0"/>
          <w:numId w:val="7"/>
        </w:numPr>
      </w:pPr>
      <w:bookmarkStart w:id="23" w:name="_Toc390942546"/>
      <w:r>
        <w:t>Quality of the i</w:t>
      </w:r>
      <w:r w:rsidR="00612152" w:rsidRPr="00600AAA">
        <w:t>mplementa</w:t>
      </w:r>
      <w:r>
        <w:t>tion and monitoring m</w:t>
      </w:r>
      <w:r w:rsidR="00612152" w:rsidRPr="00600AAA">
        <w:t>echanisms</w:t>
      </w:r>
      <w:bookmarkEnd w:id="23"/>
    </w:p>
    <w:p w:rsidR="00E01DEF" w:rsidRDefault="00E01DEF" w:rsidP="00BF79C8">
      <w:pPr>
        <w:pStyle w:val="BodyText"/>
        <w:spacing w:after="0" w:line="240" w:lineRule="auto"/>
      </w:pPr>
    </w:p>
    <w:p w:rsidR="00BF79C8" w:rsidRDefault="00BF79C8" w:rsidP="00701AEA">
      <w:pPr>
        <w:pStyle w:val="Heading2"/>
        <w:numPr>
          <w:ilvl w:val="1"/>
          <w:numId w:val="7"/>
        </w:numPr>
        <w:spacing w:after="0"/>
        <w:rPr>
          <w:rFonts w:eastAsia="Arial"/>
        </w:rPr>
      </w:pPr>
      <w:bookmarkStart w:id="24" w:name="_Toc390942547"/>
      <w:r>
        <w:rPr>
          <w:rFonts w:eastAsia="Arial"/>
        </w:rPr>
        <w:t>Management mechanisms</w:t>
      </w:r>
      <w:bookmarkEnd w:id="24"/>
    </w:p>
    <w:p w:rsidR="00BF79C8" w:rsidRPr="00BF79C8" w:rsidRDefault="00BF79C8" w:rsidP="00BF79C8">
      <w:pPr>
        <w:pStyle w:val="BodyText"/>
        <w:spacing w:after="0"/>
      </w:pPr>
    </w:p>
    <w:p w:rsidR="00893FB2" w:rsidRDefault="00266591" w:rsidP="00BF79C8">
      <w:pPr>
        <w:spacing w:after="0" w:line="240" w:lineRule="auto"/>
        <w:jc w:val="both"/>
        <w:rPr>
          <w:rFonts w:eastAsia="Arial" w:cs="Times New Roman"/>
          <w:noProof/>
        </w:rPr>
      </w:pPr>
      <w:r>
        <w:rPr>
          <w:rFonts w:eastAsia="Arial" w:cs="Times New Roman"/>
        </w:rPr>
        <w:t>T</w:t>
      </w:r>
      <w:r w:rsidRPr="004F39EF">
        <w:rPr>
          <w:rFonts w:eastAsia="Arial" w:cs="Times New Roman"/>
        </w:rPr>
        <w:t>he implementation structure of the Programme, including management and coordination, is similar to the one used in</w:t>
      </w:r>
      <w:r w:rsidR="007F3D81">
        <w:rPr>
          <w:rFonts w:eastAsia="Arial" w:cs="Times New Roman"/>
        </w:rPr>
        <w:t xml:space="preserve"> 2007-2013 </w:t>
      </w:r>
      <w:r w:rsidR="002444DE">
        <w:rPr>
          <w:rFonts w:eastAsia="Arial" w:cs="Times New Roman"/>
        </w:rPr>
        <w:t>planning</w:t>
      </w:r>
      <w:r w:rsidR="007F3D81">
        <w:rPr>
          <w:rFonts w:eastAsia="Arial" w:cs="Times New Roman"/>
        </w:rPr>
        <w:t xml:space="preserve"> period. </w:t>
      </w:r>
      <w:r>
        <w:rPr>
          <w:rFonts w:eastAsia="Arial" w:cs="Times New Roman"/>
          <w:noProof/>
        </w:rPr>
        <w:t>Since all the Authorities</w:t>
      </w:r>
      <w:r w:rsidR="007F3D81">
        <w:rPr>
          <w:rFonts w:eastAsia="Arial" w:cs="Times New Roman"/>
          <w:noProof/>
        </w:rPr>
        <w:t xml:space="preserve"> - </w:t>
      </w:r>
      <w:r w:rsidR="007F3D81" w:rsidRPr="004F39EF">
        <w:rPr>
          <w:rFonts w:eastAsia="Arial" w:cs="Times New Roman"/>
          <w:noProof/>
        </w:rPr>
        <w:t>Managing Authority (MA)</w:t>
      </w:r>
      <w:r w:rsidR="007F3D81">
        <w:rPr>
          <w:rFonts w:eastAsia="Arial" w:cs="Times New Roman"/>
          <w:noProof/>
        </w:rPr>
        <w:t>, Certifying Authority (CA)</w:t>
      </w:r>
      <w:r w:rsidR="007F3D81" w:rsidRPr="004F39EF">
        <w:rPr>
          <w:rFonts w:eastAsia="Arial" w:cs="Times New Roman"/>
          <w:noProof/>
        </w:rPr>
        <w:t xml:space="preserve"> and Audit Authority (AA)</w:t>
      </w:r>
      <w:r w:rsidR="007F3D81">
        <w:rPr>
          <w:rFonts w:eastAsia="Arial" w:cs="Times New Roman"/>
          <w:noProof/>
        </w:rPr>
        <w:t xml:space="preserve"> -</w:t>
      </w:r>
      <w:r>
        <w:rPr>
          <w:rFonts w:eastAsia="Arial" w:cs="Times New Roman"/>
          <w:noProof/>
        </w:rPr>
        <w:t xml:space="preserve"> will be held under the same governmnet body, </w:t>
      </w:r>
      <w:r w:rsidR="007F3D81">
        <w:rPr>
          <w:rFonts w:eastAsia="Arial" w:cs="Times New Roman"/>
          <w:noProof/>
        </w:rPr>
        <w:t>which is t</w:t>
      </w:r>
      <w:r w:rsidR="007F3D81" w:rsidRPr="004F39EF">
        <w:rPr>
          <w:rFonts w:eastAsia="Arial" w:cs="Times New Roman"/>
          <w:noProof/>
        </w:rPr>
        <w:t>he Ministry of Environmental Protection and Regional Development of the Republic of Latvia (</w:t>
      </w:r>
      <w:r w:rsidR="007F3D81" w:rsidRPr="004F39EF">
        <w:rPr>
          <w:rFonts w:eastAsia="Arial" w:cs="Arial"/>
          <w:bCs/>
        </w:rPr>
        <w:t>MEPRD</w:t>
      </w:r>
      <w:r w:rsidR="007F3D81">
        <w:rPr>
          <w:rFonts w:eastAsia="Arial" w:cs="Arial"/>
          <w:bCs/>
        </w:rPr>
        <w:t>)</w:t>
      </w:r>
      <w:r w:rsidR="00A13ED1">
        <w:rPr>
          <w:rFonts w:eastAsia="Arial" w:cs="Times New Roman"/>
          <w:noProof/>
        </w:rPr>
        <w:t xml:space="preserve">. The principle of separation of </w:t>
      </w:r>
      <w:r w:rsidR="00C82E97">
        <w:rPr>
          <w:rFonts w:eastAsia="Arial" w:cs="Times New Roman"/>
          <w:noProof/>
        </w:rPr>
        <w:t xml:space="preserve">functions will be ensured by designating sepatarte units within MEPRD which </w:t>
      </w:r>
      <w:r w:rsidR="004416D2">
        <w:rPr>
          <w:rFonts w:eastAsia="Arial" w:cs="Times New Roman"/>
          <w:noProof/>
        </w:rPr>
        <w:t xml:space="preserve">seperately </w:t>
      </w:r>
      <w:r w:rsidR="00C82E97">
        <w:rPr>
          <w:rFonts w:eastAsia="Arial" w:cs="Times New Roman"/>
          <w:noProof/>
        </w:rPr>
        <w:t xml:space="preserve">will carry out the function of MA, CA or AA. </w:t>
      </w:r>
      <w:r w:rsidRPr="004F39EF">
        <w:rPr>
          <w:rFonts w:eastAsia="Arial" w:cs="Times New Roman"/>
          <w:noProof/>
        </w:rPr>
        <w:t xml:space="preserve">The </w:t>
      </w:r>
      <w:r w:rsidRPr="004F39EF">
        <w:rPr>
          <w:rFonts w:eastAsia="Arial" w:cs="Arial"/>
          <w:bCs/>
        </w:rPr>
        <w:t>MEPRD</w:t>
      </w:r>
      <w:r w:rsidRPr="004F39EF">
        <w:rPr>
          <w:rFonts w:eastAsia="Arial" w:cs="Times New Roman"/>
          <w:noProof/>
        </w:rPr>
        <w:t xml:space="preserve"> was also a MA</w:t>
      </w:r>
      <w:r>
        <w:rPr>
          <w:rFonts w:eastAsia="Arial" w:cs="Times New Roman"/>
          <w:noProof/>
        </w:rPr>
        <w:t>, CA</w:t>
      </w:r>
      <w:r w:rsidRPr="004F39EF">
        <w:rPr>
          <w:rFonts w:eastAsia="Arial" w:cs="Times New Roman"/>
          <w:noProof/>
        </w:rPr>
        <w:t xml:space="preserve"> and AA during the 2007-2013 </w:t>
      </w:r>
      <w:r w:rsidR="002444DE">
        <w:rPr>
          <w:rFonts w:eastAsia="Arial" w:cs="Times New Roman"/>
        </w:rPr>
        <w:t>planning</w:t>
      </w:r>
      <w:r w:rsidR="004825B6">
        <w:rPr>
          <w:rFonts w:eastAsia="Arial" w:cs="Times New Roman"/>
        </w:rPr>
        <w:t xml:space="preserve"> </w:t>
      </w:r>
      <w:r w:rsidRPr="004F39EF">
        <w:rPr>
          <w:rFonts w:eastAsia="Arial" w:cs="Times New Roman"/>
          <w:noProof/>
        </w:rPr>
        <w:t>period and it has already in place some of the needed administrative arrangements. Therefore it will have the adequate administrative capacity for the implementation of the Programme.</w:t>
      </w:r>
    </w:p>
    <w:p w:rsidR="00893FB2" w:rsidRDefault="00893FB2" w:rsidP="00BF79C8">
      <w:pPr>
        <w:spacing w:after="0" w:line="240" w:lineRule="auto"/>
        <w:jc w:val="both"/>
        <w:rPr>
          <w:rFonts w:eastAsia="Arial" w:cs="Times New Roman"/>
        </w:rPr>
      </w:pPr>
    </w:p>
    <w:p w:rsidR="00D925AB" w:rsidRPr="000074DF" w:rsidRDefault="00266591" w:rsidP="00BF79C8">
      <w:pPr>
        <w:spacing w:after="0" w:line="240" w:lineRule="auto"/>
        <w:jc w:val="both"/>
        <w:rPr>
          <w:rFonts w:eastAsia="Arial" w:cs="Times New Roman"/>
          <w:noProof/>
        </w:rPr>
      </w:pPr>
      <w:r w:rsidRPr="004F39EF">
        <w:rPr>
          <w:rFonts w:eastAsia="Arial" w:cs="Times New Roman"/>
          <w:noProof/>
        </w:rPr>
        <w:t xml:space="preserve">The </w:t>
      </w:r>
      <w:r w:rsidR="007C0FE7">
        <w:rPr>
          <w:rFonts w:eastAsia="Arial" w:cs="Times New Roman"/>
          <w:noProof/>
        </w:rPr>
        <w:t>MS</w:t>
      </w:r>
      <w:r w:rsidRPr="004F39EF">
        <w:rPr>
          <w:rFonts w:eastAsia="Arial" w:cs="Times New Roman"/>
          <w:noProof/>
        </w:rPr>
        <w:t xml:space="preserve"> participating in the Programme will also set up a joint Monitoring Committee (MC)</w:t>
      </w:r>
      <w:r w:rsidR="004416D2">
        <w:rPr>
          <w:rFonts w:eastAsia="Arial" w:cs="Times New Roman"/>
          <w:noProof/>
        </w:rPr>
        <w:t>.</w:t>
      </w:r>
      <w:r w:rsidRPr="004F39EF">
        <w:rPr>
          <w:rFonts w:eastAsia="Arial" w:cs="Times New Roman"/>
          <w:noProof/>
        </w:rPr>
        <w:t xml:space="preserve"> The main functions and tasks of the MC are not described in the Programme, however, a reference to the EU Regulation, where the relavant information can be found, is given. </w:t>
      </w:r>
      <w:r w:rsidR="00D925AB" w:rsidRPr="004F39EF">
        <w:rPr>
          <w:rFonts w:eastAsia="Arial" w:cs="Times New Roman"/>
          <w:szCs w:val="24"/>
        </w:rPr>
        <w:t xml:space="preserve">Similarly to the 2007-2013 </w:t>
      </w:r>
      <w:r w:rsidR="002444DE">
        <w:rPr>
          <w:rFonts w:eastAsia="Arial" w:cs="Times New Roman"/>
        </w:rPr>
        <w:t>planning</w:t>
      </w:r>
      <w:r w:rsidR="00D60019">
        <w:rPr>
          <w:rFonts w:eastAsia="Arial" w:cs="Times New Roman"/>
        </w:rPr>
        <w:t xml:space="preserve"> </w:t>
      </w:r>
      <w:r w:rsidR="00D925AB" w:rsidRPr="004F39EF">
        <w:rPr>
          <w:rFonts w:eastAsia="Arial" w:cs="Times New Roman"/>
          <w:szCs w:val="24"/>
        </w:rPr>
        <w:t xml:space="preserve">period, the Joint Secretariat (JS) will be set up under the responsibility of </w:t>
      </w:r>
      <w:r w:rsidR="00D925AB" w:rsidRPr="004F39EF">
        <w:rPr>
          <w:rFonts w:eastAsia="Arial" w:cs="Times New Roman"/>
          <w:noProof/>
        </w:rPr>
        <w:t xml:space="preserve">the </w:t>
      </w:r>
      <w:r w:rsidR="00D925AB" w:rsidRPr="004F39EF">
        <w:rPr>
          <w:rFonts w:eastAsia="Arial" w:cs="Arial"/>
          <w:bCs/>
        </w:rPr>
        <w:t>MEPRD</w:t>
      </w:r>
      <w:r w:rsidR="00D925AB">
        <w:rPr>
          <w:rFonts w:eastAsia="Arial" w:cs="Times New Roman"/>
          <w:noProof/>
        </w:rPr>
        <w:t xml:space="preserve">. </w:t>
      </w:r>
      <w:r w:rsidR="00D925AB" w:rsidRPr="004F39EF">
        <w:rPr>
          <w:rFonts w:eastAsia="Arial" w:cs="Times New Roman"/>
          <w:noProof/>
        </w:rPr>
        <w:t xml:space="preserve">The main office of JS will be located in Riga, Latvia with a branch office in Vilnius, Lithuania. This structure covering both countries will provide a better support to potential beneficiaries in Latvia and Lithuania. </w:t>
      </w:r>
      <w:r w:rsidR="00D925AB" w:rsidRPr="004F39EF">
        <w:rPr>
          <w:rFonts w:eastAsia="Arial" w:cs="Times New Roman"/>
          <w:szCs w:val="24"/>
        </w:rPr>
        <w:t>The tasks of JS are des</w:t>
      </w:r>
      <w:r w:rsidR="00D925AB">
        <w:rPr>
          <w:rFonts w:eastAsia="Arial" w:cs="Times New Roman"/>
          <w:szCs w:val="24"/>
        </w:rPr>
        <w:t>cribed in the Programme</w:t>
      </w:r>
      <w:r w:rsidR="00737534">
        <w:rPr>
          <w:rFonts w:eastAsia="Arial" w:cs="Times New Roman"/>
          <w:szCs w:val="24"/>
        </w:rPr>
        <w:t>.</w:t>
      </w:r>
    </w:p>
    <w:p w:rsidR="00CD1261" w:rsidRDefault="00CD1261" w:rsidP="00BF79C8">
      <w:pPr>
        <w:spacing w:after="0" w:line="240" w:lineRule="auto"/>
        <w:jc w:val="both"/>
        <w:rPr>
          <w:rFonts w:eastAsia="Arial" w:cs="Times New Roman"/>
          <w:noProof/>
        </w:rPr>
      </w:pPr>
    </w:p>
    <w:p w:rsidR="00183359" w:rsidRDefault="00183359" w:rsidP="00BF79C8">
      <w:pPr>
        <w:spacing w:after="0" w:line="240" w:lineRule="auto"/>
        <w:jc w:val="both"/>
        <w:rPr>
          <w:rFonts w:eastAsia="Arial" w:cs="Times New Roman"/>
          <w:noProof/>
        </w:rPr>
      </w:pPr>
      <w:r w:rsidRPr="00C059E8">
        <w:rPr>
          <w:rFonts w:eastAsia="Arial" w:cs="Times New Roman"/>
          <w:noProof/>
        </w:rPr>
        <w:t xml:space="preserve">From the Programme it is clear about the structure and division of tasks between the different bodies involved in Programme implementation, however there is a lack of description on the planned procedures for the monitoring of the Programme. </w:t>
      </w:r>
      <w:r w:rsidR="009C1B2E" w:rsidRPr="00C059E8">
        <w:rPr>
          <w:rFonts w:eastAsia="Arial" w:cs="Times New Roman"/>
          <w:noProof/>
        </w:rPr>
        <w:t>According to the Programme, this information wil</w:t>
      </w:r>
      <w:r w:rsidR="00AB12EC">
        <w:rPr>
          <w:rFonts w:eastAsia="Arial" w:cs="Times New Roman"/>
          <w:noProof/>
        </w:rPr>
        <w:t>l be included in the Programme M</w:t>
      </w:r>
      <w:r w:rsidR="009C1B2E" w:rsidRPr="00C059E8">
        <w:rPr>
          <w:rFonts w:eastAsia="Arial" w:cs="Times New Roman"/>
          <w:noProof/>
        </w:rPr>
        <w:t xml:space="preserve">anual. It is suggested to include in the Project Manual detailed information </w:t>
      </w:r>
      <w:r w:rsidRPr="00C059E8">
        <w:rPr>
          <w:rFonts w:eastAsia="Arial" w:cs="Times New Roman"/>
          <w:noProof/>
        </w:rPr>
        <w:t>on internal control procedures such as monitoring of the project progress; surprise site visits to the projects; management of irregularities etc. It is also recommended for each procedure to c</w:t>
      </w:r>
      <w:r w:rsidR="009D2145" w:rsidRPr="00C059E8">
        <w:rPr>
          <w:rFonts w:eastAsia="Arial" w:cs="Times New Roman"/>
          <w:noProof/>
        </w:rPr>
        <w:t>learly define responsibilities, deadlines, controls,</w:t>
      </w:r>
      <w:r w:rsidRPr="00C059E8">
        <w:rPr>
          <w:rFonts w:eastAsia="Arial" w:cs="Times New Roman"/>
          <w:noProof/>
        </w:rPr>
        <w:t xml:space="preserve"> control sheets etc.</w:t>
      </w:r>
      <w:r w:rsidR="00EC4A1B">
        <w:rPr>
          <w:rFonts w:eastAsia="Arial" w:cs="Times New Roman"/>
          <w:noProof/>
        </w:rPr>
        <w:t xml:space="preserve"> </w:t>
      </w:r>
    </w:p>
    <w:p w:rsidR="00EC4A1B" w:rsidRDefault="00EC4A1B" w:rsidP="00BF79C8">
      <w:pPr>
        <w:spacing w:after="0" w:line="240" w:lineRule="auto"/>
        <w:jc w:val="both"/>
        <w:rPr>
          <w:rFonts w:eastAsia="Arial" w:cs="Times New Roman"/>
          <w:noProof/>
        </w:rPr>
      </w:pPr>
    </w:p>
    <w:p w:rsidR="00EC4A1B" w:rsidRDefault="00EC4A1B" w:rsidP="00BF79C8">
      <w:pPr>
        <w:spacing w:after="0" w:line="240" w:lineRule="auto"/>
        <w:jc w:val="both"/>
        <w:rPr>
          <w:rFonts w:eastAsia="Arial" w:cs="Times New Roman"/>
          <w:noProof/>
        </w:rPr>
      </w:pPr>
      <w:r>
        <w:rPr>
          <w:rFonts w:eastAsia="Arial" w:cs="Times New Roman"/>
          <w:noProof/>
        </w:rPr>
        <w:t>Overall, the Programme will continue to use similar management</w:t>
      </w:r>
      <w:r w:rsidR="00EE7623">
        <w:rPr>
          <w:rFonts w:eastAsia="Arial" w:cs="Times New Roman"/>
          <w:noProof/>
        </w:rPr>
        <w:t xml:space="preserve"> and monitoring</w:t>
      </w:r>
      <w:r>
        <w:rPr>
          <w:rFonts w:eastAsia="Arial" w:cs="Times New Roman"/>
          <w:noProof/>
        </w:rPr>
        <w:t xml:space="preserve"> mechanisms, which were used during the 2007-201</w:t>
      </w:r>
      <w:r w:rsidR="00B2137A">
        <w:rPr>
          <w:rFonts w:eastAsia="Arial" w:cs="Times New Roman"/>
          <w:noProof/>
        </w:rPr>
        <w:t>3 programming period, since the previousley used system</w:t>
      </w:r>
      <w:r>
        <w:rPr>
          <w:rFonts w:eastAsia="Arial" w:cs="Times New Roman"/>
          <w:noProof/>
        </w:rPr>
        <w:t xml:space="preserve"> was effective and there were no significant shortcoming detected. </w:t>
      </w:r>
    </w:p>
    <w:p w:rsidR="00BF79C8" w:rsidRDefault="00BF79C8" w:rsidP="00BF79C8">
      <w:pPr>
        <w:spacing w:after="0" w:line="240" w:lineRule="auto"/>
        <w:jc w:val="both"/>
        <w:rPr>
          <w:rFonts w:eastAsia="Arial" w:cs="Times New Roman"/>
          <w:noProof/>
        </w:rPr>
      </w:pPr>
    </w:p>
    <w:p w:rsidR="00BF79C8" w:rsidRDefault="00BF79C8" w:rsidP="00701AEA">
      <w:pPr>
        <w:pStyle w:val="Heading2"/>
        <w:numPr>
          <w:ilvl w:val="1"/>
          <w:numId w:val="7"/>
        </w:numPr>
        <w:spacing w:after="0"/>
        <w:rPr>
          <w:rFonts w:eastAsia="Arial"/>
        </w:rPr>
      </w:pPr>
      <w:bookmarkStart w:id="25" w:name="_Toc390942548"/>
      <w:r>
        <w:rPr>
          <w:rFonts w:eastAsia="Arial"/>
        </w:rPr>
        <w:t>Monitoring and data exchange system</w:t>
      </w:r>
      <w:bookmarkEnd w:id="25"/>
    </w:p>
    <w:p w:rsidR="00BF79C8" w:rsidRPr="00BF79C8" w:rsidRDefault="00BF79C8" w:rsidP="00BF79C8">
      <w:pPr>
        <w:pStyle w:val="BodyText"/>
        <w:spacing w:after="0"/>
      </w:pPr>
    </w:p>
    <w:p w:rsidR="00BF79C8" w:rsidRPr="004F39EF" w:rsidRDefault="00BF79C8" w:rsidP="00BF79C8">
      <w:pPr>
        <w:autoSpaceDE w:val="0"/>
        <w:autoSpaceDN w:val="0"/>
        <w:adjustRightInd w:val="0"/>
        <w:spacing w:after="0" w:line="240" w:lineRule="auto"/>
        <w:jc w:val="both"/>
        <w:rPr>
          <w:rFonts w:eastAsia="Arial" w:cs="Times New Roman"/>
        </w:rPr>
      </w:pPr>
      <w:r>
        <w:rPr>
          <w:rFonts w:eastAsia="Arial" w:cs="Times New Roman"/>
        </w:rPr>
        <w:t>A new</w:t>
      </w:r>
      <w:r w:rsidRPr="004F39EF">
        <w:rPr>
          <w:rFonts w:eastAsia="Arial" w:cs="Times New Roman"/>
        </w:rPr>
        <w:t xml:space="preserve"> system for monitoring of the Programme interventions and data exchange</w:t>
      </w:r>
      <w:r>
        <w:rPr>
          <w:rFonts w:eastAsia="Arial" w:cs="Times New Roman"/>
        </w:rPr>
        <w:t xml:space="preserve"> will be introduced</w:t>
      </w:r>
      <w:r w:rsidRPr="004F39EF">
        <w:rPr>
          <w:rFonts w:eastAsia="Arial" w:cs="Times New Roman"/>
        </w:rPr>
        <w:t xml:space="preserve">. This new system will allow the beneficiaries to submit electronically all the required documents and data. </w:t>
      </w:r>
      <w:r>
        <w:rPr>
          <w:rFonts w:eastAsia="Arial" w:cs="Times New Roman"/>
        </w:rPr>
        <w:t>Therefore this</w:t>
      </w:r>
      <w:r w:rsidR="00C501FA">
        <w:rPr>
          <w:rFonts w:eastAsia="Arial" w:cs="Times New Roman"/>
        </w:rPr>
        <w:t xml:space="preserve"> </w:t>
      </w:r>
      <w:r w:rsidRPr="004F39EF">
        <w:rPr>
          <w:rFonts w:eastAsia="Arial" w:cs="Times New Roman"/>
          <w:noProof/>
        </w:rPr>
        <w:t xml:space="preserve">system has a potential to reduce administrative burden for beneficiaries by simplifying data gathering and reporting. In addition, trainings on how to use this new system will be organized for the potential applicants and beneficiaries in order to ensure the efficient use of the system. </w:t>
      </w:r>
    </w:p>
    <w:p w:rsidR="00BF79C8" w:rsidRPr="004F39EF" w:rsidRDefault="00BF79C8" w:rsidP="00BF79C8">
      <w:pPr>
        <w:autoSpaceDE w:val="0"/>
        <w:autoSpaceDN w:val="0"/>
        <w:adjustRightInd w:val="0"/>
        <w:spacing w:after="0" w:line="240" w:lineRule="auto"/>
        <w:jc w:val="both"/>
        <w:rPr>
          <w:rFonts w:eastAsia="Arial" w:cs="Times New Roman"/>
        </w:rPr>
      </w:pPr>
    </w:p>
    <w:p w:rsidR="00BF79C8" w:rsidRDefault="00BF79C8" w:rsidP="00BF79C8">
      <w:pPr>
        <w:spacing w:after="0" w:line="240" w:lineRule="auto"/>
        <w:jc w:val="both"/>
        <w:rPr>
          <w:rFonts w:eastAsia="Arial" w:cs="Times New Roman"/>
        </w:rPr>
      </w:pPr>
      <w:r>
        <w:rPr>
          <w:rFonts w:eastAsia="Arial" w:cs="Times New Roman"/>
        </w:rPr>
        <w:t>D</w:t>
      </w:r>
      <w:r w:rsidRPr="004F39EF">
        <w:rPr>
          <w:rFonts w:eastAsia="Arial" w:cs="Times New Roman"/>
        </w:rPr>
        <w:t xml:space="preserve">ata needed for the output indicators will be collected from </w:t>
      </w:r>
      <w:r>
        <w:rPr>
          <w:rFonts w:eastAsia="Arial" w:cs="Times New Roman"/>
        </w:rPr>
        <w:t xml:space="preserve">the </w:t>
      </w:r>
      <w:r w:rsidRPr="004F39EF">
        <w:rPr>
          <w:rFonts w:eastAsia="Arial" w:cs="Times New Roman"/>
        </w:rPr>
        <w:t xml:space="preserve">Progress reports, whereas result indicators from statistical data. There will be no additional burden of data collection put on the beneficiaries, since all needed data will be collected from the Progress reports or external statistics. </w:t>
      </w:r>
      <w:r>
        <w:rPr>
          <w:rFonts w:eastAsia="Arial" w:cs="Times New Roman"/>
        </w:rPr>
        <w:t>However, t</w:t>
      </w:r>
      <w:r w:rsidRPr="00183359">
        <w:rPr>
          <w:rFonts w:eastAsia="Arial" w:cs="Times New Roman"/>
        </w:rPr>
        <w:t>he Programme does not provide description on the data collection procedures and data availability needed for decision ma</w:t>
      </w:r>
      <w:r>
        <w:rPr>
          <w:rFonts w:eastAsia="Arial" w:cs="Times New Roman"/>
        </w:rPr>
        <w:t xml:space="preserve">king, reporting and evaluation. </w:t>
      </w:r>
      <w:r w:rsidR="008210E7">
        <w:rPr>
          <w:rFonts w:eastAsia="Arial" w:cs="Times New Roman"/>
        </w:rPr>
        <w:t xml:space="preserve">According to the Programme developers this information will be included in the Programme </w:t>
      </w:r>
      <w:r w:rsidR="00D60019">
        <w:rPr>
          <w:rFonts w:eastAsia="Arial" w:cs="Times New Roman"/>
        </w:rPr>
        <w:t>M</w:t>
      </w:r>
      <w:r w:rsidR="001A3151">
        <w:rPr>
          <w:rFonts w:eastAsia="Arial" w:cs="Times New Roman"/>
        </w:rPr>
        <w:t xml:space="preserve">anagement and </w:t>
      </w:r>
      <w:r w:rsidR="00D60019">
        <w:rPr>
          <w:rFonts w:eastAsia="Arial" w:cs="Times New Roman"/>
        </w:rPr>
        <w:t>C</w:t>
      </w:r>
      <w:r w:rsidR="001A3151">
        <w:rPr>
          <w:rFonts w:eastAsia="Arial" w:cs="Times New Roman"/>
        </w:rPr>
        <w:t>ontrol system</w:t>
      </w:r>
      <w:r w:rsidR="00D60019">
        <w:rPr>
          <w:rFonts w:eastAsia="Arial" w:cs="Times New Roman"/>
        </w:rPr>
        <w:t>,</w:t>
      </w:r>
      <w:r w:rsidR="001A3151">
        <w:rPr>
          <w:rFonts w:eastAsia="Arial" w:cs="Times New Roman"/>
        </w:rPr>
        <w:t xml:space="preserve"> </w:t>
      </w:r>
      <w:r w:rsidR="008210E7">
        <w:rPr>
          <w:rFonts w:eastAsia="Arial" w:cs="Times New Roman"/>
        </w:rPr>
        <w:t xml:space="preserve">which will be available at a later stage. However, it </w:t>
      </w:r>
      <w:r w:rsidRPr="00183359">
        <w:rPr>
          <w:rFonts w:eastAsia="Arial" w:cs="Times New Roman"/>
        </w:rPr>
        <w:t xml:space="preserve">has to </w:t>
      </w:r>
      <w:r w:rsidR="008210E7">
        <w:rPr>
          <w:rFonts w:eastAsia="Arial" w:cs="Times New Roman"/>
        </w:rPr>
        <w:t xml:space="preserve">be </w:t>
      </w:r>
      <w:r w:rsidRPr="00183359">
        <w:rPr>
          <w:rFonts w:eastAsia="Arial" w:cs="Times New Roman"/>
        </w:rPr>
        <w:t>ensure</w:t>
      </w:r>
      <w:r w:rsidR="008210E7">
        <w:rPr>
          <w:rFonts w:eastAsia="Arial" w:cs="Times New Roman"/>
        </w:rPr>
        <w:t>d</w:t>
      </w:r>
      <w:r w:rsidRPr="00183359">
        <w:rPr>
          <w:rFonts w:eastAsia="Arial" w:cs="Times New Roman"/>
        </w:rPr>
        <w:t xml:space="preserve"> that the needed data for reporting is available, </w:t>
      </w:r>
      <w:r w:rsidRPr="0095649D">
        <w:rPr>
          <w:rFonts w:eastAsia="Arial" w:cs="Times New Roman"/>
        </w:rPr>
        <w:t xml:space="preserve">reliable and collected in time. </w:t>
      </w:r>
      <w:r w:rsidRPr="00C059E8">
        <w:rPr>
          <w:rFonts w:eastAsia="Arial" w:cs="Times New Roman"/>
        </w:rPr>
        <w:t xml:space="preserve">Therefore it is recommended to establish data collection procedures and make sure that the needed data for indicators is available in time and reliable. </w:t>
      </w:r>
      <w:r w:rsidR="00C33236" w:rsidRPr="00FC6E93">
        <w:rPr>
          <w:rFonts w:eastAsia="Arial" w:cs="Times New Roman"/>
        </w:rPr>
        <w:t>The recommendation to</w:t>
      </w:r>
      <w:r w:rsidRPr="00C33236">
        <w:rPr>
          <w:rFonts w:eastAsia="Arial" w:cs="Times New Roman"/>
        </w:rPr>
        <w:t xml:space="preserve"> </w:t>
      </w:r>
      <w:r w:rsidR="008210E7" w:rsidRPr="00C33236">
        <w:rPr>
          <w:rFonts w:eastAsia="Arial" w:cs="Times New Roman"/>
        </w:rPr>
        <w:t>mention</w:t>
      </w:r>
      <w:r w:rsidR="00D60019" w:rsidRPr="00C33236">
        <w:rPr>
          <w:rFonts w:eastAsia="Arial" w:cs="Times New Roman"/>
        </w:rPr>
        <w:t xml:space="preserve"> </w:t>
      </w:r>
      <w:r w:rsidR="008210E7" w:rsidRPr="00C33236">
        <w:rPr>
          <w:rFonts w:eastAsia="Arial" w:cs="Times New Roman"/>
        </w:rPr>
        <w:t xml:space="preserve">in the Programme that </w:t>
      </w:r>
      <w:r w:rsidRPr="00C33236">
        <w:rPr>
          <w:rFonts w:eastAsia="Arial" w:cs="Times New Roman"/>
        </w:rPr>
        <w:t xml:space="preserve">this information </w:t>
      </w:r>
      <w:r w:rsidR="008210E7" w:rsidRPr="00C33236">
        <w:rPr>
          <w:rFonts w:eastAsia="Arial" w:cs="Times New Roman"/>
        </w:rPr>
        <w:t xml:space="preserve">on the </w:t>
      </w:r>
      <w:r w:rsidR="008210E7" w:rsidRPr="00C33236">
        <w:rPr>
          <w:rFonts w:eastAsia="Arial" w:cs="Times New Roman"/>
        </w:rPr>
        <w:lastRenderedPageBreak/>
        <w:t xml:space="preserve">data collection procedures will be included in the Programme </w:t>
      </w:r>
      <w:r w:rsidR="00DD53C6">
        <w:rPr>
          <w:rFonts w:eastAsia="Arial" w:cs="Times New Roman"/>
        </w:rPr>
        <w:t>M</w:t>
      </w:r>
      <w:r w:rsidR="00C33236">
        <w:rPr>
          <w:rFonts w:eastAsia="Arial" w:cs="Times New Roman"/>
        </w:rPr>
        <w:t xml:space="preserve">anual was taken into account by the Programme developers. </w:t>
      </w:r>
    </w:p>
    <w:p w:rsidR="00B2137A" w:rsidRDefault="00B2137A" w:rsidP="00BF79C8">
      <w:pPr>
        <w:spacing w:after="0" w:line="240" w:lineRule="auto"/>
        <w:jc w:val="both"/>
        <w:rPr>
          <w:rFonts w:eastAsia="Arial" w:cs="Times New Roman"/>
        </w:rPr>
      </w:pPr>
    </w:p>
    <w:p w:rsidR="00B2137A" w:rsidRDefault="00B2137A" w:rsidP="00B2137A">
      <w:pPr>
        <w:spacing w:after="0" w:line="240" w:lineRule="auto"/>
        <w:jc w:val="both"/>
        <w:rPr>
          <w:rFonts w:eastAsia="Arial" w:cs="Times New Roman"/>
          <w:noProof/>
        </w:rPr>
      </w:pPr>
      <w:r>
        <w:rPr>
          <w:rFonts w:eastAsia="Arial" w:cs="Times New Roman"/>
          <w:noProof/>
        </w:rPr>
        <w:t xml:space="preserve">In general, the Programme will continue to use similar monitoring system, which was used during the 2007-2013 programming period, since the previousley used system was effective and there were no significant shortcoming detected. </w:t>
      </w:r>
    </w:p>
    <w:p w:rsidR="00B2137A" w:rsidRDefault="00B2137A" w:rsidP="00BF79C8">
      <w:pPr>
        <w:spacing w:after="0" w:line="240" w:lineRule="auto"/>
        <w:jc w:val="both"/>
        <w:rPr>
          <w:rFonts w:eastAsia="Arial" w:cs="Times New Roman"/>
        </w:rPr>
      </w:pPr>
    </w:p>
    <w:p w:rsidR="00BF79C8" w:rsidRDefault="00BF79C8" w:rsidP="00BF79C8">
      <w:pPr>
        <w:spacing w:after="0" w:line="240" w:lineRule="auto"/>
        <w:jc w:val="both"/>
        <w:rPr>
          <w:rFonts w:eastAsia="Arial" w:cs="Times New Roman"/>
        </w:rPr>
      </w:pPr>
    </w:p>
    <w:p w:rsidR="00BF79C8" w:rsidRDefault="00BF79C8" w:rsidP="00701AEA">
      <w:pPr>
        <w:pStyle w:val="Heading2"/>
        <w:numPr>
          <w:ilvl w:val="1"/>
          <w:numId w:val="7"/>
        </w:numPr>
        <w:spacing w:after="0"/>
        <w:rPr>
          <w:rFonts w:eastAsia="Arial"/>
          <w:noProof/>
        </w:rPr>
      </w:pPr>
      <w:bookmarkStart w:id="26" w:name="_Toc390942549"/>
      <w:r>
        <w:rPr>
          <w:rFonts w:eastAsia="Arial"/>
          <w:noProof/>
        </w:rPr>
        <w:t>Administrative capacity</w:t>
      </w:r>
      <w:bookmarkEnd w:id="26"/>
    </w:p>
    <w:p w:rsidR="00BF79C8" w:rsidRPr="00BF79C8" w:rsidRDefault="00BF79C8" w:rsidP="00BF79C8">
      <w:pPr>
        <w:pStyle w:val="BodyText"/>
        <w:spacing w:after="0"/>
      </w:pPr>
    </w:p>
    <w:p w:rsidR="00ED1D26" w:rsidRDefault="00266591" w:rsidP="009D48F2">
      <w:pPr>
        <w:spacing w:after="0" w:line="240" w:lineRule="auto"/>
        <w:jc w:val="both"/>
        <w:rPr>
          <w:rFonts w:eastAsia="Arial" w:cs="Times New Roman"/>
        </w:rPr>
      </w:pPr>
      <w:r w:rsidRPr="009D48F2">
        <w:rPr>
          <w:rFonts w:eastAsia="Arial" w:cs="Times New Roman"/>
          <w:noProof/>
        </w:rPr>
        <w:t>Acc</w:t>
      </w:r>
      <w:r w:rsidR="008914DB" w:rsidRPr="009D48F2">
        <w:rPr>
          <w:rFonts w:eastAsia="Arial" w:cs="Times New Roman"/>
          <w:noProof/>
        </w:rPr>
        <w:t>ording to the Programme</w:t>
      </w:r>
      <w:r w:rsidRPr="009D48F2">
        <w:rPr>
          <w:rFonts w:eastAsia="Arial" w:cs="Times New Roman"/>
          <w:noProof/>
        </w:rPr>
        <w:t>, the staff</w:t>
      </w:r>
      <w:r w:rsidR="00ED1D26" w:rsidRPr="009D48F2">
        <w:rPr>
          <w:rFonts w:eastAsia="Arial" w:cs="Times New Roman"/>
          <w:noProof/>
        </w:rPr>
        <w:t>ing and setting up of the joint secretariat will be based on the experience from the previous programming period and the staff</w:t>
      </w:r>
      <w:r w:rsidRPr="009D48F2">
        <w:rPr>
          <w:rFonts w:eastAsia="Arial" w:cs="Times New Roman"/>
          <w:noProof/>
        </w:rPr>
        <w:t xml:space="preserve"> for the Programme administration</w:t>
      </w:r>
      <w:r w:rsidR="009D2145" w:rsidRPr="009D48F2">
        <w:rPr>
          <w:rFonts w:eastAsia="Arial" w:cs="Times New Roman"/>
          <w:noProof/>
        </w:rPr>
        <w:t xml:space="preserve"> will be recruited during 2014</w:t>
      </w:r>
      <w:r w:rsidR="00DC7DCC">
        <w:rPr>
          <w:rFonts w:eastAsia="Arial" w:cs="Times New Roman"/>
          <w:noProof/>
        </w:rPr>
        <w:t>-2016</w:t>
      </w:r>
      <w:r w:rsidR="009D2145" w:rsidRPr="009D48F2">
        <w:rPr>
          <w:rFonts w:eastAsia="Arial" w:cs="Times New Roman"/>
          <w:noProof/>
        </w:rPr>
        <w:t>, however, i</w:t>
      </w:r>
      <w:r w:rsidRPr="009D48F2">
        <w:rPr>
          <w:rFonts w:eastAsia="Arial" w:cs="Times New Roman"/>
          <w:noProof/>
        </w:rPr>
        <w:t>t is not mentioned how many people will be recruited and what responsibilities they will have. Therefore at this stage, it is impossible to evaluate whether there will be adequate human resources needed for the successful i</w:t>
      </w:r>
      <w:r w:rsidR="00A60B50" w:rsidRPr="009D48F2">
        <w:rPr>
          <w:rFonts w:eastAsia="Arial" w:cs="Times New Roman"/>
          <w:noProof/>
        </w:rPr>
        <w:t xml:space="preserve">mplementation of the Programme. </w:t>
      </w:r>
      <w:r w:rsidR="00A60B50" w:rsidRPr="009D48F2">
        <w:rPr>
          <w:rFonts w:eastAsia="Arial" w:cs="Times New Roman"/>
        </w:rPr>
        <w:t>It is recommended to make sure that the needed human resources are available for the implementation of the Programme, especially for the assessment and monitoring of the projects.</w:t>
      </w:r>
    </w:p>
    <w:p w:rsidR="00ED1D26" w:rsidRDefault="00ED1D26" w:rsidP="009D48F2">
      <w:pPr>
        <w:spacing w:after="0" w:line="240" w:lineRule="auto"/>
        <w:jc w:val="both"/>
        <w:rPr>
          <w:rFonts w:eastAsia="Arial" w:cs="Times New Roman"/>
        </w:rPr>
      </w:pPr>
    </w:p>
    <w:p w:rsidR="00ED1D26" w:rsidRPr="009D48F2" w:rsidRDefault="00ED1D26" w:rsidP="00BF79C8">
      <w:pPr>
        <w:spacing w:after="0" w:line="240" w:lineRule="auto"/>
        <w:jc w:val="both"/>
        <w:rPr>
          <w:rFonts w:eastAsia="Arial" w:cs="Times New Roman"/>
          <w:lang w:val="en-US"/>
        </w:rPr>
      </w:pPr>
      <w:r w:rsidRPr="00204B42">
        <w:rPr>
          <w:rFonts w:cs="Times New Roman"/>
          <w:iCs/>
        </w:rPr>
        <w:t xml:space="preserve">Overall, </w:t>
      </w:r>
      <w:r w:rsidRPr="00204B42">
        <w:rPr>
          <w:rFonts w:eastAsia="Arial" w:cs="Times New Roman"/>
          <w:lang w:val="en-US"/>
        </w:rPr>
        <w:t xml:space="preserve">it is clear that </w:t>
      </w:r>
      <w:r>
        <w:rPr>
          <w:rFonts w:eastAsia="Arial" w:cs="Times New Roman"/>
          <w:lang w:val="en-US"/>
        </w:rPr>
        <w:t xml:space="preserve">the experience from the previous programming period will be used and there </w:t>
      </w:r>
      <w:r w:rsidR="006C17B8">
        <w:rPr>
          <w:rFonts w:eastAsia="Arial" w:cs="Times New Roman"/>
          <w:lang w:val="en-US"/>
        </w:rPr>
        <w:t>is</w:t>
      </w:r>
      <w:r>
        <w:rPr>
          <w:rFonts w:eastAsia="Arial" w:cs="Times New Roman"/>
          <w:lang w:val="en-US"/>
        </w:rPr>
        <w:t xml:space="preserve"> already clear understanding what staffing arrangement could be used. </w:t>
      </w:r>
    </w:p>
    <w:p w:rsidR="00BF79C8" w:rsidRDefault="00BF79C8" w:rsidP="00BF79C8">
      <w:pPr>
        <w:spacing w:after="0" w:line="240" w:lineRule="auto"/>
        <w:jc w:val="both"/>
        <w:rPr>
          <w:rFonts w:eastAsia="Arial" w:cs="Times New Roman"/>
        </w:rPr>
      </w:pPr>
    </w:p>
    <w:p w:rsidR="00BF79C8" w:rsidRDefault="00BF79C8" w:rsidP="00BF79C8">
      <w:pPr>
        <w:spacing w:after="0" w:line="240" w:lineRule="auto"/>
        <w:jc w:val="both"/>
        <w:rPr>
          <w:rFonts w:eastAsia="Arial" w:cs="Times New Roman"/>
        </w:rPr>
      </w:pPr>
    </w:p>
    <w:p w:rsidR="00BF79C8" w:rsidRDefault="00BF79C8" w:rsidP="00701AEA">
      <w:pPr>
        <w:pStyle w:val="Heading2"/>
        <w:numPr>
          <w:ilvl w:val="1"/>
          <w:numId w:val="7"/>
        </w:numPr>
        <w:spacing w:after="0"/>
        <w:rPr>
          <w:rFonts w:eastAsia="Arial"/>
        </w:rPr>
      </w:pPr>
      <w:bookmarkStart w:id="27" w:name="_Toc390942550"/>
      <w:r>
        <w:rPr>
          <w:rFonts w:eastAsia="Arial"/>
        </w:rPr>
        <w:t>Experience of previous programming periods</w:t>
      </w:r>
      <w:bookmarkEnd w:id="27"/>
    </w:p>
    <w:p w:rsidR="00BF79C8" w:rsidRDefault="00BF79C8" w:rsidP="00BF79C8">
      <w:pPr>
        <w:spacing w:after="0" w:line="240" w:lineRule="auto"/>
        <w:jc w:val="both"/>
        <w:rPr>
          <w:rFonts w:eastAsia="Arial" w:cs="Times New Roman"/>
        </w:rPr>
      </w:pPr>
    </w:p>
    <w:p w:rsidR="006E645F" w:rsidRDefault="00266591" w:rsidP="00BF79C8">
      <w:pPr>
        <w:spacing w:after="0" w:line="240" w:lineRule="auto"/>
        <w:jc w:val="both"/>
        <w:rPr>
          <w:rFonts w:eastAsia="Arial" w:cs="Times New Roman"/>
        </w:rPr>
      </w:pPr>
      <w:r>
        <w:rPr>
          <w:rFonts w:eastAsia="Arial" w:cs="Times New Roman"/>
        </w:rPr>
        <w:t>There is evidence that t</w:t>
      </w:r>
      <w:r w:rsidRPr="004F39EF">
        <w:rPr>
          <w:rFonts w:eastAsia="Arial" w:cs="Times New Roman"/>
        </w:rPr>
        <w:t>he Programme</w:t>
      </w:r>
      <w:r w:rsidR="00C501FA">
        <w:rPr>
          <w:rFonts w:eastAsia="Arial" w:cs="Times New Roman"/>
        </w:rPr>
        <w:t xml:space="preserve"> </w:t>
      </w:r>
      <w:r w:rsidRPr="004F39EF">
        <w:rPr>
          <w:rFonts w:eastAsia="Arial" w:cs="Times New Roman"/>
        </w:rPr>
        <w:t xml:space="preserve">has taken into account </w:t>
      </w:r>
      <w:r>
        <w:rPr>
          <w:rFonts w:eastAsia="Arial" w:cs="Times New Roman"/>
        </w:rPr>
        <w:t xml:space="preserve">experience of previous programming periods. </w:t>
      </w:r>
      <w:r w:rsidRPr="004F39EF">
        <w:rPr>
          <w:rFonts w:eastAsia="Arial" w:cs="Times New Roman"/>
        </w:rPr>
        <w:t xml:space="preserve">For instance, the Programme has </w:t>
      </w:r>
      <w:r>
        <w:rPr>
          <w:rFonts w:eastAsia="Arial" w:cs="Times New Roman"/>
        </w:rPr>
        <w:t xml:space="preserve">followed some of the recommendations </w:t>
      </w:r>
      <w:r w:rsidRPr="004F39EF">
        <w:rPr>
          <w:rFonts w:eastAsia="Arial" w:cs="Times New Roman"/>
        </w:rPr>
        <w:t>for the improvement of the monitoring methods and monitoring capacity, and financing provided in the Midterm evaluation of the Latvia–Lithuania Cross-border Cooperation Programme under European Territorial Cooperation Objective for 2007–2013</w:t>
      </w:r>
      <w:r w:rsidRPr="004F39EF">
        <w:rPr>
          <w:rFonts w:eastAsia="Arial" w:cs="Times New Roman"/>
          <w:vertAlign w:val="superscript"/>
        </w:rPr>
        <w:footnoteReference w:id="16"/>
      </w:r>
      <w:r w:rsidRPr="004F39EF">
        <w:rPr>
          <w:rFonts w:eastAsia="Arial" w:cs="Times New Roman"/>
        </w:rPr>
        <w:t xml:space="preserve"> (the Midterm evaluation). </w:t>
      </w:r>
      <w:r w:rsidR="007B1378">
        <w:rPr>
          <w:rFonts w:eastAsia="Arial" w:cs="Times New Roman"/>
        </w:rPr>
        <w:t>First</w:t>
      </w:r>
      <w:r>
        <w:rPr>
          <w:rFonts w:eastAsia="Arial" w:cs="Times New Roman"/>
        </w:rPr>
        <w:t>, t</w:t>
      </w:r>
      <w:r w:rsidRPr="004F39EF">
        <w:rPr>
          <w:rFonts w:eastAsia="Arial" w:cs="Times New Roman"/>
        </w:rPr>
        <w:t xml:space="preserve">he Programme has taken the Midterm evaluation’s recommendation to use electronic system for project reporting. </w:t>
      </w:r>
      <w:r w:rsidR="007B1378">
        <w:rPr>
          <w:rFonts w:eastAsia="Arial" w:cs="Times New Roman"/>
        </w:rPr>
        <w:t>Second</w:t>
      </w:r>
      <w:r>
        <w:rPr>
          <w:rFonts w:eastAsia="Arial" w:cs="Times New Roman"/>
        </w:rPr>
        <w:t xml:space="preserve">, as suggested by the Midterm evaluation, </w:t>
      </w:r>
      <w:r w:rsidR="00352F51" w:rsidRPr="004F39EF">
        <w:rPr>
          <w:rFonts w:eastAsia="Arial" w:cs="Times New Roman"/>
        </w:rPr>
        <w:t>surpr</w:t>
      </w:r>
      <w:r w:rsidR="00352F51">
        <w:rPr>
          <w:rFonts w:eastAsia="Arial" w:cs="Times New Roman"/>
        </w:rPr>
        <w:t xml:space="preserve">ise </w:t>
      </w:r>
      <w:r w:rsidR="00352F51" w:rsidRPr="004F39EF">
        <w:rPr>
          <w:rFonts w:eastAsia="Arial" w:cs="Times New Roman"/>
        </w:rPr>
        <w:t>visits</w:t>
      </w:r>
      <w:r w:rsidR="00352F51">
        <w:rPr>
          <w:rFonts w:eastAsia="Arial" w:cs="Times New Roman"/>
        </w:rPr>
        <w:t xml:space="preserve"> to the project sites </w:t>
      </w:r>
      <w:r>
        <w:rPr>
          <w:rFonts w:eastAsia="Arial" w:cs="Times New Roman"/>
        </w:rPr>
        <w:t xml:space="preserve">will be </w:t>
      </w:r>
      <w:r w:rsidRPr="004F39EF">
        <w:rPr>
          <w:rFonts w:eastAsia="Arial" w:cs="Times New Roman"/>
        </w:rPr>
        <w:t>organiz</w:t>
      </w:r>
      <w:r w:rsidR="00352F51">
        <w:rPr>
          <w:rFonts w:eastAsia="Arial" w:cs="Times New Roman"/>
        </w:rPr>
        <w:t>ed</w:t>
      </w:r>
      <w:r w:rsidR="007B1378">
        <w:rPr>
          <w:rFonts w:eastAsia="Arial" w:cs="Times New Roman"/>
        </w:rPr>
        <w:t>. Third</w:t>
      </w:r>
      <w:r>
        <w:rPr>
          <w:rFonts w:eastAsia="Arial" w:cs="Times New Roman"/>
        </w:rPr>
        <w:t>, t</w:t>
      </w:r>
      <w:r w:rsidRPr="004F39EF">
        <w:rPr>
          <w:rFonts w:eastAsia="Arial" w:cs="Times New Roman"/>
        </w:rPr>
        <w:t>he Midterm evaluation</w:t>
      </w:r>
      <w:r>
        <w:rPr>
          <w:rFonts w:eastAsia="Arial" w:cs="Times New Roman"/>
        </w:rPr>
        <w:t xml:space="preserve">’s recommendation to increase </w:t>
      </w:r>
      <w:r w:rsidRPr="004F39EF">
        <w:rPr>
          <w:rFonts w:eastAsia="Arial" w:cs="Times New Roman"/>
        </w:rPr>
        <w:t>the FLCs awa</w:t>
      </w:r>
      <w:r>
        <w:rPr>
          <w:rFonts w:eastAsia="Arial" w:cs="Times New Roman"/>
        </w:rPr>
        <w:t>reness of the project specifics has been taken into account. In fact, there will be seminars</w:t>
      </w:r>
      <w:r w:rsidR="006D3E8B">
        <w:rPr>
          <w:rFonts w:eastAsia="Arial" w:cs="Times New Roman"/>
        </w:rPr>
        <w:t xml:space="preserve"> for FLCs to introduce them to</w:t>
      </w:r>
      <w:r>
        <w:rPr>
          <w:rFonts w:eastAsia="Arial" w:cs="Times New Roman"/>
        </w:rPr>
        <w:t xml:space="preserve"> the projects.</w:t>
      </w:r>
      <w:r w:rsidR="00C501FA">
        <w:rPr>
          <w:rFonts w:eastAsia="Arial" w:cs="Times New Roman"/>
        </w:rPr>
        <w:t xml:space="preserve"> </w:t>
      </w:r>
      <w:r w:rsidR="00352F51">
        <w:rPr>
          <w:rFonts w:eastAsia="Arial" w:cs="Times New Roman"/>
        </w:rPr>
        <w:t>Similarly as with data collection proc</w:t>
      </w:r>
      <w:r w:rsidR="000726F5">
        <w:rPr>
          <w:rFonts w:eastAsia="Arial" w:cs="Times New Roman"/>
        </w:rPr>
        <w:t>edures information on seminars for FLCs, visits to project sites will be inclu</w:t>
      </w:r>
      <w:r w:rsidR="005E523E">
        <w:rPr>
          <w:rFonts w:eastAsia="Arial" w:cs="Times New Roman"/>
        </w:rPr>
        <w:t>ded in the Programme M</w:t>
      </w:r>
      <w:r w:rsidR="000726F5">
        <w:rPr>
          <w:rFonts w:eastAsia="Arial" w:cs="Times New Roman"/>
        </w:rPr>
        <w:t>anual.</w:t>
      </w:r>
    </w:p>
    <w:p w:rsidR="00D97A24" w:rsidRDefault="00D97A24" w:rsidP="00FC6E93">
      <w:pPr>
        <w:pStyle w:val="BodyText"/>
        <w:spacing w:after="0"/>
      </w:pPr>
    </w:p>
    <w:p w:rsidR="00725798" w:rsidRDefault="00725798" w:rsidP="00FC6E93">
      <w:pPr>
        <w:pStyle w:val="BodyText"/>
        <w:spacing w:after="0"/>
      </w:pPr>
    </w:p>
    <w:p w:rsidR="00725798" w:rsidRDefault="007938A3" w:rsidP="00701AEA">
      <w:pPr>
        <w:pStyle w:val="Heading1NoSpacing"/>
        <w:numPr>
          <w:ilvl w:val="0"/>
          <w:numId w:val="7"/>
        </w:numPr>
        <w:spacing w:line="240" w:lineRule="auto"/>
      </w:pPr>
      <w:bookmarkStart w:id="28" w:name="_Toc390942551"/>
      <w:r>
        <w:t>Consistency with the strategic environmental a</w:t>
      </w:r>
      <w:r w:rsidR="006A06CB" w:rsidRPr="00600AAA">
        <w:t>ssessment</w:t>
      </w:r>
      <w:bookmarkEnd w:id="28"/>
    </w:p>
    <w:p w:rsidR="002E3F29" w:rsidRPr="00FC6E93" w:rsidRDefault="002E3F29" w:rsidP="00FC6E93">
      <w:pPr>
        <w:pStyle w:val="Heading2"/>
      </w:pPr>
    </w:p>
    <w:p w:rsidR="00554D46" w:rsidRPr="00554D46" w:rsidRDefault="008D74A7" w:rsidP="008D74A7">
      <w:pPr>
        <w:jc w:val="both"/>
      </w:pPr>
      <w:r>
        <w:t>As stated in the Ex-ante G</w:t>
      </w:r>
      <w:r w:rsidR="00554D46" w:rsidRPr="00554D46">
        <w:t>uidelines</w:t>
      </w:r>
      <w:r w:rsidR="00BF7583">
        <w:t>,</w:t>
      </w:r>
      <w:r w:rsidR="00554D46" w:rsidRPr="00554D46">
        <w:t xml:space="preserve"> programmes with possible impact on environment should have the s</w:t>
      </w:r>
      <w:r>
        <w:t xml:space="preserve">trategic environment assessment </w:t>
      </w:r>
      <w:r w:rsidR="00554D46" w:rsidRPr="00554D46">
        <w:t xml:space="preserve">(SEA) carried out before the programme adoption. </w:t>
      </w:r>
    </w:p>
    <w:p w:rsidR="00554D46" w:rsidRPr="00554D46" w:rsidRDefault="00554D46" w:rsidP="008D74A7">
      <w:pPr>
        <w:jc w:val="both"/>
      </w:pPr>
      <w:r w:rsidRPr="00554D46">
        <w:t>In preparation of SEA the relevant directives have been taken into account. Specifically European Parliament and Council’s Directive 2001/42/EC on the assessment of the effects of certain plans and programmes on the environment</w:t>
      </w:r>
      <w:r w:rsidRPr="00554D46">
        <w:rPr>
          <w:vertAlign w:val="superscript"/>
        </w:rPr>
        <w:footnoteReference w:id="17"/>
      </w:r>
      <w:r w:rsidRPr="00554D46">
        <w:t xml:space="preserve"> and the Commission’s Guidelines on how to implement Directive 2001/42/EC</w:t>
      </w:r>
      <w:r w:rsidRPr="00554D46">
        <w:rPr>
          <w:vertAlign w:val="superscript"/>
        </w:rPr>
        <w:footnoteReference w:id="18"/>
      </w:r>
      <w:r w:rsidRPr="00554D46">
        <w:t>.</w:t>
      </w:r>
    </w:p>
    <w:p w:rsidR="00D97A24" w:rsidRDefault="00554D46" w:rsidP="00FC6E93">
      <w:pPr>
        <w:spacing w:after="0"/>
        <w:jc w:val="both"/>
      </w:pPr>
      <w:r w:rsidRPr="00554D46">
        <w:t xml:space="preserve">The SEA is provided in </w:t>
      </w:r>
      <w:r w:rsidR="00EF0482">
        <w:t xml:space="preserve">a </w:t>
      </w:r>
      <w:r w:rsidR="00B66E39">
        <w:t>separate document.</w:t>
      </w:r>
    </w:p>
    <w:p w:rsidR="00725798" w:rsidRDefault="00725798" w:rsidP="00FC6E93">
      <w:pPr>
        <w:spacing w:after="0"/>
        <w:jc w:val="both"/>
      </w:pPr>
    </w:p>
    <w:p w:rsidR="00725798" w:rsidRDefault="00725798" w:rsidP="00FC6E93">
      <w:pPr>
        <w:spacing w:after="0"/>
        <w:jc w:val="both"/>
      </w:pPr>
    </w:p>
    <w:p w:rsidR="006A06CB" w:rsidRPr="006A06CB" w:rsidRDefault="00DE536D" w:rsidP="00701AEA">
      <w:pPr>
        <w:pStyle w:val="Heading1NoSpacing"/>
        <w:numPr>
          <w:ilvl w:val="0"/>
          <w:numId w:val="7"/>
        </w:numPr>
      </w:pPr>
      <w:bookmarkStart w:id="29" w:name="_Toc390942552"/>
      <w:r>
        <w:lastRenderedPageBreak/>
        <w:t>Horizontal principles</w:t>
      </w:r>
      <w:bookmarkEnd w:id="29"/>
    </w:p>
    <w:p w:rsidR="00E01DEF" w:rsidRPr="00E01DEF" w:rsidRDefault="00E01DEF" w:rsidP="00FC6E93">
      <w:pPr>
        <w:pStyle w:val="BodyText"/>
        <w:spacing w:after="0"/>
      </w:pPr>
    </w:p>
    <w:p w:rsidR="00083F7C" w:rsidRDefault="00083F7C" w:rsidP="00FC6E93">
      <w:pPr>
        <w:autoSpaceDE w:val="0"/>
        <w:autoSpaceDN w:val="0"/>
        <w:adjustRightInd w:val="0"/>
        <w:spacing w:after="0" w:line="240" w:lineRule="auto"/>
        <w:jc w:val="both"/>
        <w:rPr>
          <w:rFonts w:cs="Times New Roman"/>
          <w:i/>
          <w:iCs/>
        </w:rPr>
      </w:pPr>
      <w:r w:rsidRPr="00041EE7">
        <w:rPr>
          <w:rFonts w:eastAsia="Arial" w:cs="Times New Roman"/>
        </w:rPr>
        <w:t>Article 55 (l-m) of</w:t>
      </w:r>
      <w:r w:rsidR="00ED0890">
        <w:rPr>
          <w:rFonts w:eastAsia="Arial" w:cs="Times New Roman"/>
        </w:rPr>
        <w:t xml:space="preserve"> the CPR</w:t>
      </w:r>
      <w:r w:rsidRPr="00041EE7">
        <w:rPr>
          <w:rStyle w:val="FootnoteReference"/>
          <w:rFonts w:eastAsia="Arial" w:cs="Times New Roman"/>
        </w:rPr>
        <w:footnoteReference w:id="19"/>
      </w:r>
      <w:r w:rsidR="00711005">
        <w:rPr>
          <w:rFonts w:eastAsia="Arial" w:cs="Times New Roman"/>
        </w:rPr>
        <w:t xml:space="preserve"> requires the ex-</w:t>
      </w:r>
      <w:r w:rsidRPr="00041EE7">
        <w:rPr>
          <w:rFonts w:eastAsia="Arial" w:cs="Times New Roman"/>
        </w:rPr>
        <w:t xml:space="preserve">ante evaluators to appraise the  adequacy </w:t>
      </w:r>
      <w:r>
        <w:rPr>
          <w:rFonts w:cs="EUAlbertina"/>
          <w:color w:val="000000"/>
        </w:rPr>
        <w:t>of planned measures to ensure</w:t>
      </w:r>
      <w:r w:rsidR="00C501FA">
        <w:rPr>
          <w:rFonts w:cs="EUAlbertina"/>
          <w:color w:val="000000"/>
        </w:rPr>
        <w:t xml:space="preserve"> </w:t>
      </w:r>
      <w:r>
        <w:rPr>
          <w:rFonts w:cs="EUAlbertina"/>
          <w:color w:val="000000"/>
        </w:rPr>
        <w:t xml:space="preserve">horizontal principles - </w:t>
      </w:r>
      <w:r w:rsidRPr="00041EE7">
        <w:rPr>
          <w:rFonts w:cs="EUAlbertina"/>
          <w:color w:val="000000"/>
        </w:rPr>
        <w:t>equal opportunities between men and women, to prevent discrimination and to promote sustainable development. Further advice on how to undertake the evaluation is provided</w:t>
      </w:r>
      <w:r w:rsidR="00711005">
        <w:rPr>
          <w:rFonts w:cs="EUAlbertina"/>
          <w:color w:val="000000"/>
        </w:rPr>
        <w:t xml:space="preserve"> by the Guidance document on ex-</w:t>
      </w:r>
      <w:r w:rsidRPr="00041EE7">
        <w:rPr>
          <w:rFonts w:cs="EUAlbertina"/>
          <w:color w:val="000000"/>
        </w:rPr>
        <w:t>ante evaluation</w:t>
      </w:r>
      <w:r w:rsidRPr="00041EE7">
        <w:rPr>
          <w:rStyle w:val="FootnoteReference"/>
          <w:rFonts w:cs="EUAlbertina"/>
          <w:color w:val="000000"/>
        </w:rPr>
        <w:footnoteReference w:id="20"/>
      </w:r>
      <w:r w:rsidRPr="00041EE7">
        <w:rPr>
          <w:rFonts w:cs="EUAlbertina"/>
          <w:color w:val="000000"/>
        </w:rPr>
        <w:t xml:space="preserve">. According to the </w:t>
      </w:r>
      <w:r>
        <w:rPr>
          <w:rFonts w:cs="EUAlbertina"/>
          <w:color w:val="000000"/>
        </w:rPr>
        <w:t>ETC Regulation</w:t>
      </w:r>
      <w:r>
        <w:rPr>
          <w:rStyle w:val="FootnoteReference"/>
          <w:rFonts w:cs="EUAlbertina"/>
          <w:color w:val="000000"/>
        </w:rPr>
        <w:footnoteReference w:id="21"/>
      </w:r>
      <w:r w:rsidRPr="00041EE7">
        <w:rPr>
          <w:rFonts w:cs="EUAlbertina"/>
          <w:color w:val="000000"/>
        </w:rPr>
        <w:t xml:space="preserve"> Article 8 (7) </w:t>
      </w:r>
      <w:r>
        <w:rPr>
          <w:rFonts w:cs="EUAlbertina"/>
          <w:color w:val="000000"/>
        </w:rPr>
        <w:t xml:space="preserve">the </w:t>
      </w:r>
      <w:r w:rsidRPr="00041EE7">
        <w:rPr>
          <w:rFonts w:cs="EUAlbertina"/>
          <w:color w:val="000000"/>
        </w:rPr>
        <w:t xml:space="preserve">chosen measures to promote equal opportunities, to prevent discrimination and </w:t>
      </w:r>
      <w:r>
        <w:rPr>
          <w:rFonts w:cs="EUAlbertina"/>
          <w:color w:val="000000"/>
        </w:rPr>
        <w:t xml:space="preserve">to </w:t>
      </w:r>
      <w:r w:rsidRPr="00041EE7">
        <w:rPr>
          <w:rFonts w:cs="EUAlbertina"/>
          <w:color w:val="000000"/>
        </w:rPr>
        <w:t xml:space="preserve">promote sustainable development is subject to the duly </w:t>
      </w:r>
      <w:r w:rsidRPr="00041EE7">
        <w:rPr>
          <w:rFonts w:cs="Times New Roman"/>
          <w:iCs/>
        </w:rPr>
        <w:t xml:space="preserve">justified assessment of the participating </w:t>
      </w:r>
      <w:r w:rsidR="007C0FE7">
        <w:rPr>
          <w:rFonts w:cs="Times New Roman"/>
          <w:iCs/>
        </w:rPr>
        <w:t>MS</w:t>
      </w:r>
      <w:r w:rsidRPr="00041EE7">
        <w:rPr>
          <w:rFonts w:cs="Times New Roman"/>
          <w:iCs/>
        </w:rPr>
        <w:t xml:space="preserve"> of the relevance of the objectives to the content and objectives of the</w:t>
      </w:r>
      <w:r w:rsidR="00C501FA">
        <w:rPr>
          <w:rFonts w:cs="Times New Roman"/>
          <w:iCs/>
        </w:rPr>
        <w:t xml:space="preserve"> </w:t>
      </w:r>
      <w:r w:rsidR="00D60EE5">
        <w:rPr>
          <w:rFonts w:cs="Times New Roman"/>
          <w:iCs/>
        </w:rPr>
        <w:t>P</w:t>
      </w:r>
      <w:r w:rsidRPr="00041EE7">
        <w:rPr>
          <w:rFonts w:cs="Times New Roman"/>
          <w:iCs/>
        </w:rPr>
        <w:t xml:space="preserve">rogramme. </w:t>
      </w:r>
      <w:r>
        <w:rPr>
          <w:rFonts w:cs="Times New Roman"/>
          <w:iCs/>
        </w:rPr>
        <w:t>In other words, i</w:t>
      </w:r>
      <w:r w:rsidR="00B474B3">
        <w:rPr>
          <w:rFonts w:cs="Times New Roman"/>
          <w:iCs/>
        </w:rPr>
        <w:t>f the MS</w:t>
      </w:r>
      <w:r w:rsidRPr="00041EE7">
        <w:rPr>
          <w:rFonts w:cs="Times New Roman"/>
          <w:iCs/>
        </w:rPr>
        <w:t xml:space="preserve"> consider that the </w:t>
      </w:r>
      <w:r w:rsidRPr="00257FE3">
        <w:rPr>
          <w:rFonts w:cs="Times New Roman"/>
          <w:iCs/>
        </w:rPr>
        <w:t>horizontal principles</w:t>
      </w:r>
      <w:r>
        <w:rPr>
          <w:rFonts w:cs="Times New Roman"/>
          <w:iCs/>
        </w:rPr>
        <w:t xml:space="preserve"> are not relevant for the Programme, they</w:t>
      </w:r>
      <w:r w:rsidRPr="00041EE7">
        <w:rPr>
          <w:rFonts w:cs="Times New Roman"/>
          <w:iCs/>
        </w:rPr>
        <w:t xml:space="preserve"> should provide a justification for such an assessment.</w:t>
      </w:r>
    </w:p>
    <w:p w:rsidR="00DC7F64" w:rsidRPr="00DC7F64" w:rsidRDefault="00DC7F64" w:rsidP="00DC7F64">
      <w:pPr>
        <w:autoSpaceDE w:val="0"/>
        <w:autoSpaceDN w:val="0"/>
        <w:adjustRightInd w:val="0"/>
        <w:spacing w:after="0" w:line="240" w:lineRule="auto"/>
        <w:jc w:val="both"/>
        <w:rPr>
          <w:rFonts w:cs="Times New Roman"/>
          <w:i/>
          <w:iCs/>
        </w:rPr>
      </w:pPr>
    </w:p>
    <w:p w:rsidR="00DC7F64" w:rsidRPr="00C059E8" w:rsidRDefault="00DC7F64" w:rsidP="00DC7F64">
      <w:pPr>
        <w:jc w:val="both"/>
        <w:rPr>
          <w:rFonts w:cs="EUAlbertina"/>
          <w:color w:val="000000"/>
        </w:rPr>
      </w:pPr>
      <w:r w:rsidRPr="00C059E8">
        <w:rPr>
          <w:rFonts w:cs="EUAlbertina"/>
          <w:color w:val="000000"/>
        </w:rPr>
        <w:t>Both MS have agreed to include sustainable development</w:t>
      </w:r>
      <w:r w:rsidR="00A8633F" w:rsidRPr="00C059E8">
        <w:rPr>
          <w:rFonts w:cs="EUAlbertina"/>
          <w:color w:val="000000"/>
        </w:rPr>
        <w:t xml:space="preserve"> and </w:t>
      </w:r>
      <w:r w:rsidRPr="00C059E8">
        <w:rPr>
          <w:rFonts w:cs="EUAlbertina"/>
          <w:color w:val="000000"/>
        </w:rPr>
        <w:t xml:space="preserve">equal opportunities and non-discrimination as horizontal principles of the Programme. Therefore these principles should be respected accordingly throughout the Programme, especially in the project selection and through monitoring the implementation of the approved projects. </w:t>
      </w:r>
    </w:p>
    <w:p w:rsidR="00DC7F64" w:rsidRPr="00C059E8" w:rsidRDefault="00DC7F64" w:rsidP="00EB6314">
      <w:pPr>
        <w:autoSpaceDE w:val="0"/>
        <w:autoSpaceDN w:val="0"/>
        <w:adjustRightInd w:val="0"/>
        <w:spacing w:after="0" w:line="240" w:lineRule="auto"/>
        <w:jc w:val="both"/>
        <w:rPr>
          <w:rFonts w:cs="EUAlbertina"/>
          <w:color w:val="000000"/>
        </w:rPr>
      </w:pPr>
      <w:r w:rsidRPr="00C059E8">
        <w:rPr>
          <w:rFonts w:eastAsia="Arial" w:cs="Times New Roman"/>
          <w:lang w:val="en-US"/>
        </w:rPr>
        <w:t>The Programme includes sustainable development as one of its horizontal principles and integrates it in the selection process of the projects. The projects will have to apply the sustainable development principle to qualify for funding. Furthermore, the projects funded by the Programme will be required to apply environmental and spatial impact assessments, where appropriate. The selection criteria and other requirements related to sustainable development will be included in</w:t>
      </w:r>
      <w:r w:rsidR="004E20F8" w:rsidRPr="00C059E8">
        <w:rPr>
          <w:rFonts w:eastAsia="Arial" w:cs="Times New Roman"/>
          <w:lang w:val="en-US"/>
        </w:rPr>
        <w:t xml:space="preserve"> the Pro</w:t>
      </w:r>
      <w:r w:rsidR="005E523E">
        <w:rPr>
          <w:rFonts w:eastAsia="Arial" w:cs="Times New Roman"/>
          <w:lang w:val="en-US"/>
        </w:rPr>
        <w:t>gramme M</w:t>
      </w:r>
      <w:r w:rsidR="004E20F8" w:rsidRPr="00C059E8">
        <w:rPr>
          <w:rFonts w:eastAsia="Arial" w:cs="Times New Roman"/>
          <w:lang w:val="en-US"/>
        </w:rPr>
        <w:t xml:space="preserve">anual, which </w:t>
      </w:r>
      <w:r w:rsidR="00D11380" w:rsidRPr="00C059E8">
        <w:rPr>
          <w:rFonts w:eastAsia="Arial" w:cs="Times New Roman"/>
          <w:lang w:val="en-US"/>
        </w:rPr>
        <w:t>will be available later.</w:t>
      </w:r>
    </w:p>
    <w:p w:rsidR="00DC7F64" w:rsidRPr="00C059E8" w:rsidRDefault="00DC7F64" w:rsidP="00EB6314">
      <w:pPr>
        <w:autoSpaceDE w:val="0"/>
        <w:autoSpaceDN w:val="0"/>
        <w:adjustRightInd w:val="0"/>
        <w:spacing w:after="0" w:line="240" w:lineRule="auto"/>
        <w:jc w:val="both"/>
        <w:rPr>
          <w:rFonts w:cs="EUAlbertina"/>
          <w:color w:val="000000"/>
        </w:rPr>
      </w:pPr>
    </w:p>
    <w:p w:rsidR="00A84C61" w:rsidRPr="00C059E8" w:rsidRDefault="00A84C61" w:rsidP="00A84C61">
      <w:pPr>
        <w:autoSpaceDE w:val="0"/>
        <w:autoSpaceDN w:val="0"/>
        <w:adjustRightInd w:val="0"/>
        <w:spacing w:after="0" w:line="240" w:lineRule="auto"/>
        <w:jc w:val="both"/>
        <w:rPr>
          <w:rFonts w:cs="EUAlbertina"/>
          <w:color w:val="000000"/>
        </w:rPr>
      </w:pPr>
      <w:r w:rsidRPr="00C059E8">
        <w:rPr>
          <w:rFonts w:cs="EUAlbertina"/>
          <w:color w:val="000000"/>
        </w:rPr>
        <w:t>Similarly</w:t>
      </w:r>
      <w:r w:rsidR="00913E6E" w:rsidRPr="00C059E8">
        <w:rPr>
          <w:rFonts w:cs="EUAlbertina"/>
          <w:color w:val="000000"/>
        </w:rPr>
        <w:t xml:space="preserve">, </w:t>
      </w:r>
      <w:r w:rsidRPr="00C059E8">
        <w:rPr>
          <w:rFonts w:eastAsia="Arial" w:cs="Times New Roman"/>
        </w:rPr>
        <w:t xml:space="preserve">equal opportunities and non-discrimination have been selected as horizontal principles and will be ensured during the selection process of the projects by including specific eligibility criteria in </w:t>
      </w:r>
      <w:r w:rsidR="005E523E">
        <w:rPr>
          <w:rFonts w:eastAsia="Arial" w:cs="Times New Roman"/>
        </w:rPr>
        <w:t>the Programme M</w:t>
      </w:r>
      <w:r w:rsidRPr="00C059E8">
        <w:rPr>
          <w:rFonts w:eastAsia="Arial" w:cs="Times New Roman"/>
        </w:rPr>
        <w:t xml:space="preserve">anual. In addition, the projects will be required to follow universal design principles to ensure accessibility for persons with disabilities. Universal design will guarantee that buildings, products and environments are accessible to people with and without disabilities as well as elderly people. According to the Programme, there will be a follow up implementation process </w:t>
      </w:r>
      <w:r w:rsidR="00A8633F" w:rsidRPr="00C059E8">
        <w:rPr>
          <w:rFonts w:eastAsia="Arial" w:cs="Times New Roman"/>
        </w:rPr>
        <w:t xml:space="preserve">ensured by Programme implementing bodies </w:t>
      </w:r>
      <w:r w:rsidRPr="00C059E8">
        <w:rPr>
          <w:rFonts w:eastAsia="Arial" w:cs="Times New Roman"/>
        </w:rPr>
        <w:t xml:space="preserve">and use of indicators for this horizontal principle. However, there is no further information provided </w:t>
      </w:r>
      <w:r w:rsidR="00A8633F" w:rsidRPr="00C059E8">
        <w:rPr>
          <w:rFonts w:eastAsia="Arial" w:cs="Times New Roman"/>
        </w:rPr>
        <w:t xml:space="preserve">in the Programme </w:t>
      </w:r>
      <w:r w:rsidRPr="00C059E8">
        <w:rPr>
          <w:rFonts w:eastAsia="Arial" w:cs="Times New Roman"/>
        </w:rPr>
        <w:t>regarding follow-up process and</w:t>
      </w:r>
      <w:r w:rsidR="00A8633F" w:rsidRPr="00C059E8">
        <w:rPr>
          <w:rFonts w:eastAsia="Arial" w:cs="Times New Roman"/>
        </w:rPr>
        <w:t xml:space="preserve"> the possible</w:t>
      </w:r>
      <w:r w:rsidRPr="00C059E8">
        <w:rPr>
          <w:rFonts w:eastAsia="Arial" w:cs="Times New Roman"/>
        </w:rPr>
        <w:t xml:space="preserve"> indicators. </w:t>
      </w:r>
      <w:r w:rsidR="00A8633F" w:rsidRPr="00C059E8">
        <w:rPr>
          <w:rFonts w:eastAsia="Arial" w:cs="Times New Roman"/>
        </w:rPr>
        <w:t>According to the Programme this information will a</w:t>
      </w:r>
      <w:r w:rsidR="005E523E">
        <w:rPr>
          <w:rFonts w:eastAsia="Arial" w:cs="Times New Roman"/>
        </w:rPr>
        <w:t>lso be included in the Project M</w:t>
      </w:r>
      <w:r w:rsidR="00A8633F" w:rsidRPr="00C059E8">
        <w:rPr>
          <w:rFonts w:eastAsia="Arial" w:cs="Times New Roman"/>
        </w:rPr>
        <w:t xml:space="preserve">anual, which is not available yet. </w:t>
      </w:r>
    </w:p>
    <w:p w:rsidR="00DC7F64" w:rsidRPr="00C059E8" w:rsidRDefault="00DC7F64" w:rsidP="00EB6314">
      <w:pPr>
        <w:autoSpaceDE w:val="0"/>
        <w:autoSpaceDN w:val="0"/>
        <w:adjustRightInd w:val="0"/>
        <w:spacing w:after="0" w:line="240" w:lineRule="auto"/>
        <w:jc w:val="both"/>
        <w:rPr>
          <w:rFonts w:cs="EUAlbertina"/>
          <w:color w:val="000000"/>
        </w:rPr>
      </w:pPr>
    </w:p>
    <w:p w:rsidR="00EB6314" w:rsidRPr="009D48F2" w:rsidRDefault="00992E10" w:rsidP="00EB6314">
      <w:pPr>
        <w:autoSpaceDE w:val="0"/>
        <w:autoSpaceDN w:val="0"/>
        <w:adjustRightInd w:val="0"/>
        <w:spacing w:after="0" w:line="240" w:lineRule="auto"/>
        <w:jc w:val="both"/>
        <w:rPr>
          <w:rFonts w:cs="EUAlbertina"/>
          <w:color w:val="000000"/>
        </w:rPr>
      </w:pPr>
      <w:proofErr w:type="gramStart"/>
      <w:r w:rsidRPr="009D48F2">
        <w:rPr>
          <w:rFonts w:cs="EUAlbertina"/>
          <w:color w:val="000000"/>
        </w:rPr>
        <w:t>Whereas, the</w:t>
      </w:r>
      <w:r w:rsidR="00D11380" w:rsidRPr="009D48F2">
        <w:rPr>
          <w:rFonts w:cs="EUAlbertina"/>
          <w:color w:val="000000"/>
        </w:rPr>
        <w:t xml:space="preserve"> horizontal principle of equality between men and women </w:t>
      </w:r>
      <w:r w:rsidR="00C500CB" w:rsidRPr="009D48F2">
        <w:rPr>
          <w:rFonts w:cs="EUAlbertina"/>
          <w:color w:val="000000"/>
        </w:rPr>
        <w:t>was selected only as a sub-component of the Programme.</w:t>
      </w:r>
      <w:proofErr w:type="gramEnd"/>
      <w:r w:rsidR="00C500CB" w:rsidRPr="009D48F2">
        <w:rPr>
          <w:rFonts w:cs="EUAlbertina"/>
          <w:color w:val="000000"/>
        </w:rPr>
        <w:t xml:space="preserve"> In other words, no specific actions or measures to promote equality between men and women are planned by the Programme. As well as no specific selection criteria for supported projects regarding gender equality will be used. </w:t>
      </w:r>
      <w:r w:rsidR="00E5236E" w:rsidRPr="009D48F2">
        <w:rPr>
          <w:rFonts w:cs="Times New Roman"/>
          <w:iCs/>
        </w:rPr>
        <w:t xml:space="preserve">The provided justification for </w:t>
      </w:r>
      <w:r w:rsidR="00C500CB" w:rsidRPr="009D48F2">
        <w:rPr>
          <w:rFonts w:cs="Times New Roman"/>
          <w:iCs/>
        </w:rPr>
        <w:t xml:space="preserve">selecting equality between men and women only as a sub-component of the Programme and not setting any criteria related to this horizontal principal </w:t>
      </w:r>
      <w:r w:rsidR="00D60EE5">
        <w:rPr>
          <w:rFonts w:cs="Times New Roman"/>
          <w:iCs/>
        </w:rPr>
        <w:t>is provided in the Programme</w:t>
      </w:r>
      <w:r w:rsidR="00C500CB" w:rsidRPr="009D48F2">
        <w:rPr>
          <w:rFonts w:cs="Times New Roman"/>
          <w:iCs/>
        </w:rPr>
        <w:t>.</w:t>
      </w:r>
      <w:r w:rsidR="00C501FA">
        <w:rPr>
          <w:rFonts w:cs="Times New Roman"/>
          <w:iCs/>
        </w:rPr>
        <w:t xml:space="preserve"> </w:t>
      </w:r>
      <w:r w:rsidR="004825B6">
        <w:rPr>
          <w:rFonts w:cs="Times New Roman"/>
          <w:iCs/>
        </w:rPr>
        <w:t xml:space="preserve">Since </w:t>
      </w:r>
      <w:r w:rsidR="00F8500B" w:rsidRPr="009D48F2">
        <w:rPr>
          <w:rFonts w:cs="Times New Roman"/>
          <w:iCs/>
        </w:rPr>
        <w:t>the selection of horizontal principles is not obligatory</w:t>
      </w:r>
      <w:r w:rsidR="004825B6">
        <w:rPr>
          <w:rFonts w:cs="Times New Roman"/>
          <w:iCs/>
        </w:rPr>
        <w:t xml:space="preserve"> and the justification for choosing to use this horizontal principle only as a sub-component has been provided, it is acceptable that this horizontal principle</w:t>
      </w:r>
      <w:r w:rsidR="00D60EE5">
        <w:rPr>
          <w:rFonts w:cs="Times New Roman"/>
          <w:iCs/>
        </w:rPr>
        <w:t xml:space="preserve"> is used only as a sub-component without any specific actions or measures to promote equality between men and women.</w:t>
      </w:r>
      <w:r w:rsidR="004825B6">
        <w:rPr>
          <w:rFonts w:cs="Times New Roman"/>
          <w:iCs/>
        </w:rPr>
        <w:t xml:space="preserve"> </w:t>
      </w:r>
    </w:p>
    <w:p w:rsidR="00C500CB" w:rsidRPr="009D48F2" w:rsidRDefault="00C500CB" w:rsidP="00E5236E">
      <w:pPr>
        <w:autoSpaceDE w:val="0"/>
        <w:autoSpaceDN w:val="0"/>
        <w:adjustRightInd w:val="0"/>
        <w:spacing w:after="0" w:line="240" w:lineRule="auto"/>
        <w:jc w:val="both"/>
        <w:rPr>
          <w:rFonts w:cs="Times New Roman"/>
          <w:iCs/>
        </w:rPr>
      </w:pPr>
    </w:p>
    <w:p w:rsidR="00E5236E" w:rsidRPr="00C059E8" w:rsidRDefault="00E5236E" w:rsidP="00E5236E">
      <w:pPr>
        <w:autoSpaceDE w:val="0"/>
        <w:autoSpaceDN w:val="0"/>
        <w:adjustRightInd w:val="0"/>
        <w:spacing w:after="0" w:line="240" w:lineRule="auto"/>
        <w:jc w:val="both"/>
        <w:rPr>
          <w:rFonts w:eastAsia="Arial" w:cs="Times New Roman"/>
          <w:lang w:val="en-US"/>
        </w:rPr>
      </w:pPr>
      <w:r w:rsidRPr="009D48F2">
        <w:rPr>
          <w:rFonts w:cs="Times New Roman"/>
          <w:iCs/>
        </w:rPr>
        <w:t xml:space="preserve">Overall, </w:t>
      </w:r>
      <w:r w:rsidRPr="009D48F2">
        <w:rPr>
          <w:rFonts w:eastAsia="Arial" w:cs="Times New Roman"/>
          <w:lang w:val="en-US"/>
        </w:rPr>
        <w:t>it is clear from the Programme</w:t>
      </w:r>
      <w:r w:rsidR="00C501FA">
        <w:rPr>
          <w:rFonts w:eastAsia="Arial" w:cs="Times New Roman"/>
          <w:lang w:val="en-US"/>
        </w:rPr>
        <w:t xml:space="preserve"> </w:t>
      </w:r>
      <w:r w:rsidR="00C500CB" w:rsidRPr="009D48F2">
        <w:rPr>
          <w:rFonts w:eastAsia="Arial" w:cs="Times New Roman"/>
          <w:lang w:val="en-US"/>
        </w:rPr>
        <w:t xml:space="preserve">that sustainable development and </w:t>
      </w:r>
      <w:r w:rsidR="00754A52" w:rsidRPr="009D48F2">
        <w:rPr>
          <w:rFonts w:eastAsia="Arial" w:cs="Times New Roman"/>
        </w:rPr>
        <w:t xml:space="preserve">equal opportunities and non-discrimination </w:t>
      </w:r>
      <w:r w:rsidRPr="009D48F2">
        <w:rPr>
          <w:rFonts w:eastAsia="Arial" w:cs="Times New Roman"/>
          <w:lang w:val="en-US"/>
        </w:rPr>
        <w:t>wil</w:t>
      </w:r>
      <w:r w:rsidR="00A12923" w:rsidRPr="009D48F2">
        <w:rPr>
          <w:rFonts w:eastAsia="Arial" w:cs="Times New Roman"/>
          <w:lang w:val="en-US"/>
        </w:rPr>
        <w:t xml:space="preserve">l be ensured by the Programme. </w:t>
      </w:r>
      <w:r w:rsidRPr="009D48F2">
        <w:rPr>
          <w:rFonts w:eastAsia="Arial" w:cs="Times New Roman"/>
          <w:lang w:val="en-US"/>
        </w:rPr>
        <w:t xml:space="preserve">However, at this stage it is impossible to assess the adequacy of the project selection criteria and monitoring of these horizontal </w:t>
      </w:r>
      <w:r w:rsidR="005E523E">
        <w:rPr>
          <w:rFonts w:eastAsia="Arial" w:cs="Times New Roman"/>
          <w:lang w:val="en-US"/>
        </w:rPr>
        <w:t>principles since the Programme M</w:t>
      </w:r>
      <w:r w:rsidRPr="009D48F2">
        <w:rPr>
          <w:rFonts w:eastAsia="Arial" w:cs="Times New Roman"/>
          <w:lang w:val="en-US"/>
        </w:rPr>
        <w:t xml:space="preserve">anual, where </w:t>
      </w:r>
      <w:r w:rsidR="004C2AC3" w:rsidRPr="009D48F2">
        <w:rPr>
          <w:rFonts w:eastAsia="Arial" w:cs="Times New Roman"/>
          <w:lang w:val="en-US"/>
        </w:rPr>
        <w:t>according to the Programme</w:t>
      </w:r>
      <w:r w:rsidR="00C501FA">
        <w:rPr>
          <w:rFonts w:eastAsia="Arial" w:cs="Times New Roman"/>
          <w:lang w:val="en-US"/>
        </w:rPr>
        <w:t xml:space="preserve"> </w:t>
      </w:r>
      <w:r w:rsidRPr="009D48F2">
        <w:rPr>
          <w:rFonts w:eastAsia="Arial" w:cs="Times New Roman"/>
          <w:lang w:val="en-US"/>
        </w:rPr>
        <w:t>this information will be included, is not available yet.</w:t>
      </w:r>
    </w:p>
    <w:p w:rsidR="00A6019F" w:rsidRDefault="00A6019F" w:rsidP="00DC7F64">
      <w:pPr>
        <w:autoSpaceDE w:val="0"/>
        <w:autoSpaceDN w:val="0"/>
        <w:adjustRightInd w:val="0"/>
        <w:spacing w:after="0" w:line="240" w:lineRule="auto"/>
        <w:jc w:val="both"/>
        <w:rPr>
          <w:rFonts w:eastAsia="Arial" w:cs="Times New Roman"/>
        </w:rPr>
        <w:sectPr w:rsidR="00A6019F" w:rsidSect="00A6019F">
          <w:headerReference w:type="default" r:id="rId25"/>
          <w:footerReference w:type="default" r:id="rId26"/>
          <w:pgSz w:w="11906" w:h="16838" w:code="9"/>
          <w:pgMar w:top="1474" w:right="1021" w:bottom="1474" w:left="1021" w:header="567" w:footer="567" w:gutter="0"/>
          <w:cols w:space="708"/>
          <w:docGrid w:linePitch="360"/>
        </w:sectPr>
      </w:pPr>
    </w:p>
    <w:p w:rsidR="00A93291" w:rsidRPr="00A93291" w:rsidRDefault="00A93291" w:rsidP="00A93291">
      <w:pPr>
        <w:pStyle w:val="Heading2"/>
      </w:pPr>
    </w:p>
    <w:p w:rsidR="001850F9" w:rsidRDefault="00184781" w:rsidP="00701AEA">
      <w:pPr>
        <w:pStyle w:val="Heading1NoSpacing"/>
        <w:numPr>
          <w:ilvl w:val="0"/>
          <w:numId w:val="7"/>
        </w:numPr>
      </w:pPr>
      <w:r>
        <w:t xml:space="preserve"> </w:t>
      </w:r>
      <w:bookmarkStart w:id="30" w:name="_Toc390942553"/>
      <w:r w:rsidR="00714EDC">
        <w:t>Summary of c</w:t>
      </w:r>
      <w:r w:rsidR="001850F9">
        <w:t>onclusions</w:t>
      </w:r>
      <w:r w:rsidR="001850F9" w:rsidRPr="00AC4167">
        <w:t xml:space="preserve"> and </w:t>
      </w:r>
      <w:r w:rsidR="00714EDC">
        <w:t>r</w:t>
      </w:r>
      <w:r w:rsidR="001850F9" w:rsidRPr="00AC4167">
        <w:t>ecommendations</w:t>
      </w:r>
      <w:bookmarkEnd w:id="30"/>
    </w:p>
    <w:p w:rsidR="00A93291" w:rsidRPr="00A93291" w:rsidRDefault="00A93291" w:rsidP="00A93291">
      <w:pPr>
        <w:pStyle w:val="BodyText"/>
      </w:pPr>
    </w:p>
    <w:tbl>
      <w:tblPr>
        <w:tblStyle w:val="TableGrid"/>
        <w:tblW w:w="14034" w:type="dxa"/>
        <w:tblInd w:w="-34" w:type="dxa"/>
        <w:tblLayout w:type="fixed"/>
        <w:tblLook w:val="04A0"/>
      </w:tblPr>
      <w:tblGrid>
        <w:gridCol w:w="709"/>
        <w:gridCol w:w="993"/>
        <w:gridCol w:w="3402"/>
        <w:gridCol w:w="2409"/>
        <w:gridCol w:w="4678"/>
        <w:gridCol w:w="1843"/>
      </w:tblGrid>
      <w:tr w:rsidR="003561F0" w:rsidRPr="002338E3" w:rsidTr="003561F0">
        <w:trPr>
          <w:tblHeader/>
        </w:trPr>
        <w:tc>
          <w:tcPr>
            <w:tcW w:w="709" w:type="dxa"/>
            <w:shd w:val="clear" w:color="auto" w:fill="DC6900" w:themeFill="text2"/>
          </w:tcPr>
          <w:p w:rsidR="003561F0" w:rsidRDefault="003561F0" w:rsidP="002338E3">
            <w:pPr>
              <w:jc w:val="center"/>
              <w:rPr>
                <w:b/>
                <w:color w:val="FFFFFF" w:themeColor="background1"/>
              </w:rPr>
            </w:pPr>
          </w:p>
          <w:p w:rsidR="003561F0" w:rsidRDefault="003561F0" w:rsidP="002338E3">
            <w:pPr>
              <w:jc w:val="center"/>
              <w:rPr>
                <w:b/>
                <w:color w:val="FFFFFF" w:themeColor="background1"/>
              </w:rPr>
            </w:pPr>
            <w:r w:rsidRPr="002338E3">
              <w:rPr>
                <w:b/>
                <w:color w:val="FFFFFF" w:themeColor="background1"/>
              </w:rPr>
              <w:t>Nr.</w:t>
            </w:r>
          </w:p>
          <w:p w:rsidR="003561F0" w:rsidRPr="002338E3" w:rsidRDefault="003561F0" w:rsidP="002338E3">
            <w:pPr>
              <w:jc w:val="center"/>
              <w:rPr>
                <w:b/>
                <w:color w:val="FFFFFF" w:themeColor="background1"/>
              </w:rPr>
            </w:pPr>
          </w:p>
        </w:tc>
        <w:tc>
          <w:tcPr>
            <w:tcW w:w="993" w:type="dxa"/>
            <w:shd w:val="clear" w:color="auto" w:fill="DC6900" w:themeFill="text2"/>
          </w:tcPr>
          <w:p w:rsidR="003561F0" w:rsidRDefault="003561F0" w:rsidP="002338E3">
            <w:pPr>
              <w:jc w:val="center"/>
              <w:rPr>
                <w:b/>
                <w:color w:val="FFFFFF" w:themeColor="background1"/>
              </w:rPr>
            </w:pPr>
          </w:p>
          <w:p w:rsidR="003561F0" w:rsidRPr="002338E3" w:rsidRDefault="003561F0" w:rsidP="002338E3">
            <w:pPr>
              <w:jc w:val="center"/>
              <w:rPr>
                <w:b/>
                <w:color w:val="FFFFFF" w:themeColor="background1"/>
              </w:rPr>
            </w:pPr>
            <w:r w:rsidRPr="002338E3">
              <w:rPr>
                <w:b/>
                <w:color w:val="FFFFFF" w:themeColor="background1"/>
              </w:rPr>
              <w:t>Section</w:t>
            </w:r>
          </w:p>
        </w:tc>
        <w:tc>
          <w:tcPr>
            <w:tcW w:w="3402" w:type="dxa"/>
            <w:shd w:val="clear" w:color="auto" w:fill="DC6900" w:themeFill="text2"/>
          </w:tcPr>
          <w:p w:rsidR="003561F0" w:rsidRDefault="003561F0" w:rsidP="002338E3">
            <w:pPr>
              <w:jc w:val="center"/>
              <w:rPr>
                <w:b/>
                <w:color w:val="FFFFFF" w:themeColor="background1"/>
              </w:rPr>
            </w:pPr>
          </w:p>
          <w:p w:rsidR="003561F0" w:rsidRPr="002338E3" w:rsidRDefault="003561F0" w:rsidP="002338E3">
            <w:pPr>
              <w:jc w:val="center"/>
              <w:rPr>
                <w:b/>
                <w:color w:val="FFFFFF" w:themeColor="background1"/>
              </w:rPr>
            </w:pPr>
            <w:r w:rsidRPr="002338E3">
              <w:rPr>
                <w:b/>
                <w:color w:val="FFFFFF" w:themeColor="background1"/>
              </w:rPr>
              <w:t>Conclusions</w:t>
            </w:r>
          </w:p>
        </w:tc>
        <w:tc>
          <w:tcPr>
            <w:tcW w:w="2409" w:type="dxa"/>
            <w:shd w:val="clear" w:color="auto" w:fill="DC6900" w:themeFill="text2"/>
          </w:tcPr>
          <w:p w:rsidR="003561F0" w:rsidRDefault="003561F0" w:rsidP="002338E3">
            <w:pPr>
              <w:jc w:val="center"/>
              <w:rPr>
                <w:b/>
                <w:color w:val="FFFFFF" w:themeColor="background1"/>
              </w:rPr>
            </w:pPr>
          </w:p>
          <w:p w:rsidR="003561F0" w:rsidRPr="002338E3" w:rsidRDefault="003561F0" w:rsidP="002338E3">
            <w:pPr>
              <w:jc w:val="center"/>
              <w:rPr>
                <w:b/>
                <w:color w:val="FFFFFF" w:themeColor="background1"/>
              </w:rPr>
            </w:pPr>
            <w:r w:rsidRPr="002338E3">
              <w:rPr>
                <w:b/>
                <w:color w:val="FFFFFF" w:themeColor="background1"/>
              </w:rPr>
              <w:t>Recommendations</w:t>
            </w:r>
          </w:p>
        </w:tc>
        <w:tc>
          <w:tcPr>
            <w:tcW w:w="4678" w:type="dxa"/>
            <w:shd w:val="clear" w:color="auto" w:fill="DC6900" w:themeFill="text2"/>
          </w:tcPr>
          <w:p w:rsidR="003561F0" w:rsidRDefault="003561F0" w:rsidP="00E5236E">
            <w:pPr>
              <w:jc w:val="center"/>
              <w:rPr>
                <w:rFonts w:eastAsia="Arial" w:cs="Times New Roman"/>
                <w:b/>
                <w:color w:val="FFFFFF"/>
              </w:rPr>
            </w:pPr>
          </w:p>
          <w:p w:rsidR="003561F0" w:rsidRPr="00801E7F" w:rsidRDefault="003561F0" w:rsidP="00E5236E">
            <w:pPr>
              <w:jc w:val="center"/>
              <w:rPr>
                <w:rFonts w:eastAsia="Arial" w:cs="Times New Roman"/>
                <w:b/>
                <w:color w:val="FFFFFF"/>
              </w:rPr>
            </w:pPr>
            <w:r>
              <w:rPr>
                <w:rFonts w:eastAsia="Arial" w:cs="Times New Roman"/>
                <w:b/>
                <w:color w:val="FFFFFF"/>
              </w:rPr>
              <w:t>Explanations</w:t>
            </w:r>
          </w:p>
        </w:tc>
        <w:tc>
          <w:tcPr>
            <w:tcW w:w="1843" w:type="dxa"/>
            <w:shd w:val="clear" w:color="auto" w:fill="DC6900" w:themeFill="text2"/>
            <w:vAlign w:val="center"/>
          </w:tcPr>
          <w:p w:rsidR="003561F0" w:rsidRDefault="003561F0" w:rsidP="003561F0">
            <w:pPr>
              <w:jc w:val="center"/>
              <w:rPr>
                <w:rFonts w:eastAsia="Arial" w:cs="Times New Roman"/>
                <w:b/>
                <w:color w:val="FFFFFF"/>
              </w:rPr>
            </w:pPr>
            <w:r>
              <w:rPr>
                <w:rFonts w:eastAsia="Arial" w:cs="Times New Roman"/>
                <w:b/>
                <w:color w:val="FFFFFF"/>
              </w:rPr>
              <w:t>Progress</w:t>
            </w:r>
          </w:p>
        </w:tc>
      </w:tr>
      <w:tr w:rsidR="003561F0" w:rsidRPr="00B321E6" w:rsidTr="003561F0">
        <w:tc>
          <w:tcPr>
            <w:tcW w:w="709" w:type="dxa"/>
          </w:tcPr>
          <w:p w:rsidR="003561F0" w:rsidRPr="00B321E6" w:rsidRDefault="003561F0" w:rsidP="00255B85">
            <w:pPr>
              <w:spacing w:after="240"/>
              <w:jc w:val="both"/>
              <w:rPr>
                <w:rFonts w:asciiTheme="majorHAnsi" w:eastAsia="Times New Roman" w:hAnsiTheme="majorHAnsi" w:cs="Times New Roman"/>
              </w:rPr>
            </w:pPr>
            <w:r>
              <w:rPr>
                <w:rFonts w:asciiTheme="majorHAnsi" w:eastAsia="Times New Roman" w:hAnsiTheme="majorHAnsi" w:cs="Times New Roman"/>
              </w:rPr>
              <w:t>1.</w:t>
            </w:r>
          </w:p>
        </w:tc>
        <w:tc>
          <w:tcPr>
            <w:tcW w:w="993" w:type="dxa"/>
          </w:tcPr>
          <w:p w:rsidR="003561F0" w:rsidRPr="00B321E6" w:rsidRDefault="003561F0" w:rsidP="009B7137">
            <w:pPr>
              <w:spacing w:after="240"/>
              <w:rPr>
                <w:rFonts w:asciiTheme="majorHAnsi" w:eastAsia="Times New Roman" w:hAnsiTheme="majorHAnsi" w:cs="Times New Roman"/>
              </w:rPr>
            </w:pPr>
            <w:r>
              <w:rPr>
                <w:rFonts w:asciiTheme="majorHAnsi" w:eastAsia="Times New Roman" w:hAnsiTheme="majorHAnsi" w:cs="Times New Roman"/>
              </w:rPr>
              <w:t>2.2.</w:t>
            </w:r>
          </w:p>
        </w:tc>
        <w:tc>
          <w:tcPr>
            <w:tcW w:w="3402" w:type="dxa"/>
          </w:tcPr>
          <w:p w:rsidR="003561F0" w:rsidRDefault="003561F0" w:rsidP="009B7137">
            <w:pPr>
              <w:jc w:val="both"/>
              <w:rPr>
                <w:rFonts w:eastAsia="Times New Roman" w:cs="Times New Roman"/>
              </w:rPr>
            </w:pPr>
            <w:r w:rsidRPr="00E41137">
              <w:rPr>
                <w:rFonts w:eastAsia="Times New Roman" w:cs="Times New Roman"/>
              </w:rPr>
              <w:t xml:space="preserve">Although it is mentioned </w:t>
            </w:r>
            <w:r>
              <w:rPr>
                <w:rFonts w:eastAsia="Times New Roman" w:cs="Times New Roman"/>
              </w:rPr>
              <w:t xml:space="preserve">in the Programme </w:t>
            </w:r>
            <w:r w:rsidRPr="00E41137">
              <w:rPr>
                <w:rFonts w:eastAsia="Times New Roman" w:cs="Times New Roman"/>
              </w:rPr>
              <w:t>that the Programme has t</w:t>
            </w:r>
            <w:r>
              <w:rPr>
                <w:rFonts w:eastAsia="Times New Roman" w:cs="Times New Roman"/>
              </w:rPr>
              <w:t>aken into account national and</w:t>
            </w:r>
            <w:r w:rsidRPr="00E41137">
              <w:rPr>
                <w:rFonts w:eastAsia="Times New Roman" w:cs="Times New Roman"/>
              </w:rPr>
              <w:t xml:space="preserve"> EU strategies</w:t>
            </w:r>
            <w:r>
              <w:rPr>
                <w:rFonts w:eastAsia="Times New Roman" w:cs="Times New Roman"/>
              </w:rPr>
              <w:t xml:space="preserve"> and its contribution to the EU2020</w:t>
            </w:r>
            <w:r w:rsidRPr="00E41137">
              <w:rPr>
                <w:rFonts w:eastAsia="Times New Roman" w:cs="Times New Roman"/>
              </w:rPr>
              <w:t xml:space="preserve">, there is not provided a very </w:t>
            </w:r>
            <w:r>
              <w:rPr>
                <w:rFonts w:eastAsia="Times New Roman" w:cs="Times New Roman"/>
              </w:rPr>
              <w:t>detailed description on how the</w:t>
            </w:r>
            <w:r w:rsidRPr="00E41137">
              <w:rPr>
                <w:rFonts w:eastAsia="Times New Roman" w:cs="Times New Roman"/>
              </w:rPr>
              <w:t xml:space="preserve"> Programme is aligned with these strategies and which strategy priorities specifically have been taken into account.</w:t>
            </w:r>
          </w:p>
        </w:tc>
        <w:tc>
          <w:tcPr>
            <w:tcW w:w="2409" w:type="dxa"/>
          </w:tcPr>
          <w:p w:rsidR="003561F0" w:rsidRDefault="003561F0" w:rsidP="00390D73">
            <w:pPr>
              <w:jc w:val="both"/>
              <w:rPr>
                <w:rFonts w:eastAsia="Times New Roman" w:cs="Times New Roman"/>
              </w:rPr>
            </w:pPr>
            <w:r>
              <w:rPr>
                <w:rFonts w:eastAsia="Times New Roman" w:cs="Times New Roman"/>
              </w:rPr>
              <w:t>It is recommended to p</w:t>
            </w:r>
            <w:r w:rsidRPr="000613A7">
              <w:rPr>
                <w:rFonts w:eastAsia="Times New Roman" w:cs="Times New Roman"/>
              </w:rPr>
              <w:t>rovide more information and expand description on the Programme’s and specifical</w:t>
            </w:r>
            <w:r>
              <w:rPr>
                <w:rFonts w:eastAsia="Times New Roman" w:cs="Times New Roman"/>
              </w:rPr>
              <w:t>ly its TOs alignment with the national</w:t>
            </w:r>
            <w:r w:rsidRPr="000613A7">
              <w:rPr>
                <w:rFonts w:eastAsia="Times New Roman" w:cs="Times New Roman"/>
              </w:rPr>
              <w:t xml:space="preserve"> and </w:t>
            </w:r>
            <w:r>
              <w:rPr>
                <w:rFonts w:eastAsia="Times New Roman" w:cs="Times New Roman"/>
              </w:rPr>
              <w:t>EU</w:t>
            </w:r>
            <w:r w:rsidRPr="000613A7">
              <w:rPr>
                <w:rFonts w:eastAsia="Times New Roman" w:cs="Times New Roman"/>
              </w:rPr>
              <w:t xml:space="preserve"> level strategies.</w:t>
            </w:r>
          </w:p>
        </w:tc>
        <w:tc>
          <w:tcPr>
            <w:tcW w:w="4678" w:type="dxa"/>
          </w:tcPr>
          <w:p w:rsidR="003561F0" w:rsidRDefault="003561F0" w:rsidP="00390D73">
            <w:pPr>
              <w:jc w:val="both"/>
              <w:rPr>
                <w:rFonts w:eastAsia="Times New Roman" w:cs="Times New Roman"/>
              </w:rPr>
            </w:pPr>
            <w:r w:rsidRPr="006F4D6F">
              <w:rPr>
                <w:rFonts w:eastAsia="Times New Roman" w:cs="Times New Roman"/>
              </w:rPr>
              <w:t>Looking at the proposed strategy, the evaluators should appraise "the consistency of the selected thematic objectives, the priorities and corresponding objectives of the programmes with the Common Strategic Framework, the Partnership Contract and the country-specific recommendations under Article 121(2) of the Treaty and the Council recommendations adopted under Article 148(4) of the Treaty" as required in Article 48(3</w:t>
            </w:r>
            <w:proofErr w:type="gramStart"/>
            <w:r w:rsidR="00E86A40">
              <w:rPr>
                <w:rFonts w:eastAsia="Times New Roman" w:cs="Times New Roman"/>
              </w:rPr>
              <w:t>)(</w:t>
            </w:r>
            <w:proofErr w:type="gramEnd"/>
            <w:r w:rsidR="00E86A40">
              <w:rPr>
                <w:rFonts w:eastAsia="Times New Roman" w:cs="Times New Roman"/>
              </w:rPr>
              <w:t xml:space="preserve">d) CPR </w:t>
            </w:r>
            <w:r>
              <w:rPr>
                <w:rFonts w:eastAsia="Times New Roman" w:cs="Times New Roman"/>
              </w:rPr>
              <w:t>(Ex-ante Guidelines p. 4</w:t>
            </w:r>
            <w:r w:rsidRPr="006F4D6F">
              <w:rPr>
                <w:rFonts w:eastAsia="Times New Roman" w:cs="Times New Roman"/>
              </w:rPr>
              <w:t>)</w:t>
            </w:r>
            <w:r>
              <w:rPr>
                <w:rFonts w:eastAsia="Times New Roman" w:cs="Times New Roman"/>
              </w:rPr>
              <w:t>.</w:t>
            </w:r>
          </w:p>
          <w:p w:rsidR="003561F0" w:rsidRDefault="003561F0" w:rsidP="00390D73">
            <w:pPr>
              <w:jc w:val="both"/>
              <w:rPr>
                <w:rFonts w:eastAsia="Times New Roman" w:cs="Times New Roman"/>
              </w:rPr>
            </w:pPr>
          </w:p>
          <w:p w:rsidR="003561F0" w:rsidRDefault="003561F0" w:rsidP="00390D73">
            <w:pPr>
              <w:jc w:val="both"/>
              <w:rPr>
                <w:rFonts w:eastAsia="Times New Roman" w:cs="Times New Roman"/>
              </w:rPr>
            </w:pPr>
            <w:r w:rsidRPr="00011A7B">
              <w:rPr>
                <w:rFonts w:eastAsia="Times New Roman" w:cs="Times New Roman"/>
              </w:rPr>
              <w:t>For national and regional programmes, the evaluators should primarily base their assessment on</w:t>
            </w:r>
            <w:r>
              <w:rPr>
                <w:rFonts w:eastAsia="Times New Roman" w:cs="Times New Roman"/>
              </w:rPr>
              <w:t xml:space="preserve"> the National Reform Programme, </w:t>
            </w:r>
            <w:r w:rsidRPr="00011A7B">
              <w:rPr>
                <w:rFonts w:eastAsia="Times New Roman" w:cs="Times New Roman"/>
              </w:rPr>
              <w:t>country-specific recommendations and the analysis done in the c</w:t>
            </w:r>
            <w:r>
              <w:rPr>
                <w:rFonts w:eastAsia="Times New Roman" w:cs="Times New Roman"/>
              </w:rPr>
              <w:t>ontext of the European semester (Ex-ante Guidelines p. 5</w:t>
            </w:r>
            <w:r w:rsidRPr="006F4D6F">
              <w:rPr>
                <w:rFonts w:eastAsia="Times New Roman" w:cs="Times New Roman"/>
              </w:rPr>
              <w:t>)</w:t>
            </w:r>
            <w:r>
              <w:rPr>
                <w:rFonts w:eastAsia="Times New Roman" w:cs="Times New Roman"/>
              </w:rPr>
              <w:t>.</w:t>
            </w:r>
          </w:p>
        </w:tc>
        <w:tc>
          <w:tcPr>
            <w:tcW w:w="1843" w:type="dxa"/>
          </w:tcPr>
          <w:p w:rsidR="003561F0" w:rsidRPr="006F4D6F" w:rsidRDefault="003561F0" w:rsidP="00E86A40">
            <w:pPr>
              <w:jc w:val="both"/>
              <w:rPr>
                <w:rFonts w:eastAsia="Times New Roman" w:cs="Times New Roman"/>
              </w:rPr>
            </w:pPr>
            <w:r>
              <w:rPr>
                <w:rFonts w:eastAsia="Times New Roman" w:cs="Times New Roman"/>
              </w:rPr>
              <w:t xml:space="preserve">It </w:t>
            </w:r>
            <w:r w:rsidR="00EC1C42">
              <w:rPr>
                <w:rFonts w:eastAsia="Times New Roman" w:cs="Times New Roman"/>
              </w:rPr>
              <w:t>w</w:t>
            </w:r>
            <w:r w:rsidR="00E86A40">
              <w:rPr>
                <w:rFonts w:eastAsia="Times New Roman" w:cs="Times New Roman"/>
              </w:rPr>
              <w:t xml:space="preserve">as </w:t>
            </w:r>
            <w:proofErr w:type="gramStart"/>
            <w:r w:rsidR="00E86A40">
              <w:rPr>
                <w:rFonts w:eastAsia="Times New Roman" w:cs="Times New Roman"/>
              </w:rPr>
              <w:t xml:space="preserve">decided </w:t>
            </w:r>
            <w:r w:rsidR="00EC1C42">
              <w:rPr>
                <w:rFonts w:eastAsia="Times New Roman" w:cs="Times New Roman"/>
              </w:rPr>
              <w:t xml:space="preserve"> during</w:t>
            </w:r>
            <w:proofErr w:type="gramEnd"/>
            <w:r w:rsidR="00EC1C42">
              <w:rPr>
                <w:rFonts w:eastAsia="Times New Roman" w:cs="Times New Roman"/>
              </w:rPr>
              <w:t xml:space="preserve"> the </w:t>
            </w:r>
            <w:r w:rsidR="00E86A40">
              <w:rPr>
                <w:rFonts w:eastAsia="Times New Roman" w:cs="Times New Roman"/>
              </w:rPr>
              <w:t xml:space="preserve">JPC meeting on 13-14 </w:t>
            </w:r>
            <w:r>
              <w:rPr>
                <w:rFonts w:eastAsia="Times New Roman" w:cs="Times New Roman"/>
              </w:rPr>
              <w:t xml:space="preserve">March that the explanations and references to </w:t>
            </w:r>
            <w:r w:rsidR="00E86A40">
              <w:rPr>
                <w:rFonts w:eastAsia="Times New Roman" w:cs="Times New Roman"/>
              </w:rPr>
              <w:t xml:space="preserve">the </w:t>
            </w:r>
            <w:r>
              <w:rPr>
                <w:rFonts w:eastAsia="Times New Roman" w:cs="Times New Roman"/>
              </w:rPr>
              <w:t>national, regional and EU level strategies</w:t>
            </w:r>
            <w:r w:rsidR="00F73A4A">
              <w:rPr>
                <w:rFonts w:eastAsia="Times New Roman" w:cs="Times New Roman"/>
              </w:rPr>
              <w:t xml:space="preserve"> are sufficient enough</w:t>
            </w:r>
            <w:r>
              <w:rPr>
                <w:rFonts w:eastAsia="Times New Roman" w:cs="Times New Roman"/>
              </w:rPr>
              <w:t>.</w:t>
            </w:r>
          </w:p>
        </w:tc>
      </w:tr>
      <w:tr w:rsidR="003561F0" w:rsidRPr="00B321E6" w:rsidTr="003561F0">
        <w:tc>
          <w:tcPr>
            <w:tcW w:w="709" w:type="dxa"/>
          </w:tcPr>
          <w:p w:rsidR="003561F0" w:rsidRPr="00FC6E93" w:rsidRDefault="00852D41" w:rsidP="00255B85">
            <w:pPr>
              <w:jc w:val="both"/>
              <w:rPr>
                <w:rFonts w:asciiTheme="majorHAnsi" w:eastAsia="Times New Roman" w:hAnsiTheme="majorHAnsi" w:cs="Times New Roman"/>
              </w:rPr>
            </w:pPr>
            <w:r>
              <w:rPr>
                <w:rFonts w:asciiTheme="majorHAnsi" w:eastAsia="Times New Roman" w:hAnsiTheme="majorHAnsi" w:cs="Times New Roman"/>
              </w:rPr>
              <w:t>2</w:t>
            </w:r>
            <w:r w:rsidR="003561F0" w:rsidRPr="00FC6E93">
              <w:rPr>
                <w:rFonts w:asciiTheme="majorHAnsi" w:eastAsia="Times New Roman" w:hAnsiTheme="majorHAnsi" w:cs="Times New Roman"/>
              </w:rPr>
              <w:t>.</w:t>
            </w:r>
          </w:p>
        </w:tc>
        <w:tc>
          <w:tcPr>
            <w:tcW w:w="993" w:type="dxa"/>
          </w:tcPr>
          <w:p w:rsidR="003561F0" w:rsidRPr="00FC6E93" w:rsidRDefault="003561F0" w:rsidP="00255B85">
            <w:pPr>
              <w:jc w:val="both"/>
              <w:rPr>
                <w:rFonts w:asciiTheme="majorHAnsi" w:eastAsia="Times New Roman" w:hAnsiTheme="majorHAnsi" w:cs="Times New Roman"/>
              </w:rPr>
            </w:pPr>
            <w:r w:rsidRPr="00FC6E93">
              <w:rPr>
                <w:rFonts w:asciiTheme="majorHAnsi" w:eastAsia="Times New Roman" w:hAnsiTheme="majorHAnsi" w:cs="Times New Roman"/>
              </w:rPr>
              <w:t>3.1.</w:t>
            </w:r>
          </w:p>
        </w:tc>
        <w:tc>
          <w:tcPr>
            <w:tcW w:w="3402" w:type="dxa"/>
          </w:tcPr>
          <w:p w:rsidR="003561F0" w:rsidRPr="00844B40" w:rsidRDefault="009442C6" w:rsidP="00FC6E93">
            <w:pPr>
              <w:jc w:val="both"/>
              <w:rPr>
                <w:rFonts w:eastAsia="Times New Roman" w:cs="Times New Roman"/>
                <w:highlight w:val="yellow"/>
              </w:rPr>
            </w:pPr>
            <w:r w:rsidRPr="009442C6">
              <w:rPr>
                <w:rFonts w:eastAsia="Times New Roman" w:cs="Times New Roman"/>
              </w:rPr>
              <w:t xml:space="preserve">The TO11 IP1 result indicator is “number of new solutions applied to the public services”. It is unclear how the proposed result indicator will achieve the specific objective - “to improve efficiency of public services by strengthening capacities and cooperation between institutions”, especially how the achievement of this indicator will contribute to the increase in efficiency of institutions. </w:t>
            </w:r>
          </w:p>
        </w:tc>
        <w:tc>
          <w:tcPr>
            <w:tcW w:w="2409" w:type="dxa"/>
          </w:tcPr>
          <w:p w:rsidR="003561F0" w:rsidRPr="00844B40" w:rsidRDefault="009442C6" w:rsidP="009003D5">
            <w:pPr>
              <w:jc w:val="both"/>
              <w:rPr>
                <w:rFonts w:eastAsia="Times New Roman" w:cs="Times New Roman"/>
                <w:highlight w:val="yellow"/>
              </w:rPr>
            </w:pPr>
            <w:r>
              <w:rPr>
                <w:rFonts w:eastAsia="Times New Roman" w:cs="Times New Roman"/>
              </w:rPr>
              <w:t>I</w:t>
            </w:r>
            <w:r w:rsidRPr="009442C6">
              <w:rPr>
                <w:rFonts w:eastAsia="Times New Roman" w:cs="Times New Roman"/>
              </w:rPr>
              <w:t xml:space="preserve">t is recommended to reformulate result indicator or explain in the Programme the link between the output indicator and the result indicator. For instance, the result indicator can be reformulated as “number of new common solutions applied to the improvement of public services”. This indicator </w:t>
            </w:r>
            <w:r w:rsidRPr="009442C6">
              <w:rPr>
                <w:rFonts w:eastAsia="Times New Roman" w:cs="Times New Roman"/>
              </w:rPr>
              <w:lastRenderedPageBreak/>
              <w:t>would better capture the aim of improving public services and their efficiency.</w:t>
            </w:r>
          </w:p>
        </w:tc>
        <w:tc>
          <w:tcPr>
            <w:tcW w:w="4678" w:type="dxa"/>
          </w:tcPr>
          <w:p w:rsidR="003561F0" w:rsidRPr="00FC6E93" w:rsidRDefault="003561F0" w:rsidP="00390D73">
            <w:pPr>
              <w:jc w:val="both"/>
              <w:rPr>
                <w:rFonts w:eastAsia="Times New Roman" w:cs="Times New Roman"/>
              </w:rPr>
            </w:pPr>
            <w:r w:rsidRPr="00FC6E93">
              <w:rPr>
                <w:rFonts w:eastAsia="Times New Roman" w:cs="Times New Roman"/>
              </w:rPr>
              <w:lastRenderedPageBreak/>
              <w:t>Article 55</w:t>
            </w:r>
            <w:r w:rsidR="00E86A40">
              <w:rPr>
                <w:rFonts w:eastAsia="Times New Roman" w:cs="Times New Roman"/>
              </w:rPr>
              <w:t xml:space="preserve"> </w:t>
            </w:r>
            <w:r w:rsidRPr="00FC6E93">
              <w:rPr>
                <w:rFonts w:eastAsia="Times New Roman" w:cs="Times New Roman"/>
              </w:rPr>
              <w:t>(3</w:t>
            </w:r>
            <w:proofErr w:type="gramStart"/>
            <w:r w:rsidRPr="00FC6E93">
              <w:rPr>
                <w:rFonts w:eastAsia="Times New Roman" w:cs="Times New Roman"/>
              </w:rPr>
              <w:t>)(</w:t>
            </w:r>
            <w:proofErr w:type="gramEnd"/>
            <w:r w:rsidRPr="00FC6E93">
              <w:rPr>
                <w:rFonts w:eastAsia="Times New Roman" w:cs="Times New Roman"/>
              </w:rPr>
              <w:t>e) and (f) CPR requires the ex-ante evaluation to appraise “the relevance and clarity of the proposed programme indicators” and “how the expected outp</w:t>
            </w:r>
            <w:r w:rsidR="00E86A40">
              <w:rPr>
                <w:rFonts w:eastAsia="Times New Roman" w:cs="Times New Roman"/>
              </w:rPr>
              <w:t>uts will contribute to results” (Ex-ante Guidelines p. 10</w:t>
            </w:r>
            <w:r w:rsidR="00E86A40" w:rsidRPr="006F4D6F">
              <w:rPr>
                <w:rFonts w:eastAsia="Times New Roman" w:cs="Times New Roman"/>
              </w:rPr>
              <w:t>)</w:t>
            </w:r>
            <w:r w:rsidR="00E86A40">
              <w:rPr>
                <w:rFonts w:eastAsia="Times New Roman" w:cs="Times New Roman"/>
              </w:rPr>
              <w:t>.</w:t>
            </w:r>
          </w:p>
        </w:tc>
        <w:tc>
          <w:tcPr>
            <w:tcW w:w="1843" w:type="dxa"/>
          </w:tcPr>
          <w:p w:rsidR="003561F0" w:rsidRPr="00FC6E93" w:rsidRDefault="000D7D40" w:rsidP="000D7D40">
            <w:pPr>
              <w:jc w:val="both"/>
              <w:rPr>
                <w:rFonts w:eastAsia="Times New Roman" w:cs="Times New Roman"/>
              </w:rPr>
            </w:pPr>
            <w:r w:rsidRPr="000D7D40">
              <w:rPr>
                <w:rFonts w:eastAsia="Times New Roman" w:cs="Times New Roman"/>
              </w:rPr>
              <w:t>It was decided during</w:t>
            </w:r>
            <w:r>
              <w:rPr>
                <w:rFonts w:eastAsia="Times New Roman" w:cs="Times New Roman"/>
              </w:rPr>
              <w:t xml:space="preserve"> the JPC meeting on 16 June to use indicator “number of joint solutions improving </w:t>
            </w:r>
            <w:r w:rsidR="00E426E9">
              <w:rPr>
                <w:rFonts w:eastAsia="Times New Roman" w:cs="Times New Roman"/>
              </w:rPr>
              <w:t xml:space="preserve">the </w:t>
            </w:r>
            <w:r>
              <w:rPr>
                <w:rFonts w:eastAsia="Times New Roman" w:cs="Times New Roman"/>
              </w:rPr>
              <w:t xml:space="preserve">public services”. </w:t>
            </w:r>
            <w:r w:rsidRPr="000D7D40">
              <w:rPr>
                <w:rFonts w:eastAsia="Times New Roman" w:cs="Times New Roman"/>
              </w:rPr>
              <w:t xml:space="preserve"> </w:t>
            </w:r>
            <w:r w:rsidR="00765DFA" w:rsidRPr="000D7D40">
              <w:rPr>
                <w:rFonts w:eastAsia="Times New Roman" w:cs="Times New Roman"/>
              </w:rPr>
              <w:t xml:space="preserve"> </w:t>
            </w:r>
          </w:p>
        </w:tc>
      </w:tr>
      <w:tr w:rsidR="00CC5EFF" w:rsidRPr="00B321E6" w:rsidTr="00FC6E93">
        <w:tc>
          <w:tcPr>
            <w:tcW w:w="709" w:type="dxa"/>
          </w:tcPr>
          <w:p w:rsidR="00CC5EFF" w:rsidRPr="00B321E6" w:rsidRDefault="00807AD2" w:rsidP="00255B85">
            <w:pPr>
              <w:jc w:val="both"/>
              <w:rPr>
                <w:rFonts w:asciiTheme="majorHAnsi" w:eastAsia="Times New Roman" w:hAnsiTheme="majorHAnsi" w:cs="Times New Roman"/>
              </w:rPr>
            </w:pPr>
            <w:r>
              <w:rPr>
                <w:rFonts w:asciiTheme="majorHAnsi" w:eastAsia="Times New Roman" w:hAnsiTheme="majorHAnsi" w:cs="Times New Roman"/>
              </w:rPr>
              <w:lastRenderedPageBreak/>
              <w:t>3</w:t>
            </w:r>
            <w:r w:rsidR="00CC5EFF">
              <w:rPr>
                <w:rFonts w:asciiTheme="majorHAnsi" w:eastAsia="Times New Roman" w:hAnsiTheme="majorHAnsi" w:cs="Times New Roman"/>
              </w:rPr>
              <w:t>.</w:t>
            </w:r>
          </w:p>
        </w:tc>
        <w:tc>
          <w:tcPr>
            <w:tcW w:w="993" w:type="dxa"/>
          </w:tcPr>
          <w:p w:rsidR="00CC5EFF" w:rsidRDefault="00CC5EFF" w:rsidP="00255B85">
            <w:pPr>
              <w:jc w:val="both"/>
              <w:rPr>
                <w:rFonts w:asciiTheme="majorHAnsi" w:eastAsia="Times New Roman" w:hAnsiTheme="majorHAnsi" w:cs="Times New Roman"/>
              </w:rPr>
            </w:pPr>
            <w:r>
              <w:rPr>
                <w:rFonts w:asciiTheme="majorHAnsi" w:eastAsia="Times New Roman" w:hAnsiTheme="majorHAnsi" w:cs="Times New Roman"/>
              </w:rPr>
              <w:t>3.3.</w:t>
            </w:r>
          </w:p>
        </w:tc>
        <w:tc>
          <w:tcPr>
            <w:tcW w:w="3402" w:type="dxa"/>
          </w:tcPr>
          <w:p w:rsidR="00CC5EFF" w:rsidRPr="00222B2A" w:rsidRDefault="00CC5EFF" w:rsidP="003961FE">
            <w:pPr>
              <w:jc w:val="both"/>
              <w:rPr>
                <w:rFonts w:eastAsia="Times New Roman" w:cs="Times New Roman"/>
              </w:rPr>
            </w:pPr>
            <w:r w:rsidRPr="00222B2A">
              <w:rPr>
                <w:rFonts w:eastAsia="Times New Roman" w:cs="Times New Roman"/>
              </w:rPr>
              <w:t xml:space="preserve">The provided indicative list of actions to be supported by the Programme </w:t>
            </w:r>
            <w:r w:rsidR="00A93506">
              <w:rPr>
                <w:rFonts w:eastAsia="Times New Roman" w:cs="Times New Roman"/>
              </w:rPr>
              <w:t xml:space="preserve">for </w:t>
            </w:r>
            <w:r>
              <w:rPr>
                <w:rFonts w:eastAsia="Times New Roman" w:cs="Times New Roman"/>
              </w:rPr>
              <w:t xml:space="preserve">the TO11 IP1 </w:t>
            </w:r>
            <w:r w:rsidRPr="00222B2A">
              <w:rPr>
                <w:rFonts w:eastAsia="Times New Roman" w:cs="Times New Roman"/>
              </w:rPr>
              <w:t>is extensive and illustrates the possible activities. How</w:t>
            </w:r>
            <w:r w:rsidR="00A93506">
              <w:rPr>
                <w:rFonts w:eastAsia="Times New Roman" w:cs="Times New Roman"/>
              </w:rPr>
              <w:t>ever, the list of activities could</w:t>
            </w:r>
            <w:r w:rsidRPr="00222B2A">
              <w:rPr>
                <w:rFonts w:eastAsia="Times New Roman" w:cs="Times New Roman"/>
              </w:rPr>
              <w:t xml:space="preserve"> be more detailed.</w:t>
            </w:r>
            <w:r w:rsidR="001B6429">
              <w:rPr>
                <w:rFonts w:eastAsia="Times New Roman" w:cs="Times New Roman"/>
              </w:rPr>
              <w:t xml:space="preserve"> </w:t>
            </w:r>
          </w:p>
        </w:tc>
        <w:tc>
          <w:tcPr>
            <w:tcW w:w="2409" w:type="dxa"/>
          </w:tcPr>
          <w:p w:rsidR="00CC5EFF" w:rsidRPr="00FC6E93" w:rsidRDefault="00CC5EFF" w:rsidP="00FC6E93">
            <w:pPr>
              <w:jc w:val="both"/>
              <w:rPr>
                <w:rFonts w:eastAsia="Times New Roman" w:cs="Times New Roman"/>
              </w:rPr>
            </w:pPr>
            <w:r w:rsidRPr="00222B2A">
              <w:rPr>
                <w:rFonts w:eastAsia="Times New Roman" w:cs="Times New Roman"/>
              </w:rPr>
              <w:t>It is recommended</w:t>
            </w:r>
            <w:r w:rsidR="001B6429">
              <w:rPr>
                <w:rFonts w:eastAsia="Times New Roman" w:cs="Times New Roman"/>
              </w:rPr>
              <w:t xml:space="preserve"> to</w:t>
            </w:r>
            <w:r w:rsidRPr="00222B2A">
              <w:rPr>
                <w:rFonts w:eastAsia="Times New Roman" w:cs="Times New Roman"/>
              </w:rPr>
              <w:t xml:space="preserve"> provide more details</w:t>
            </w:r>
            <w:r w:rsidR="00EF42B4">
              <w:rPr>
                <w:rFonts w:eastAsia="Times New Roman" w:cs="Times New Roman"/>
              </w:rPr>
              <w:t xml:space="preserve"> (using specific examples etc.)</w:t>
            </w:r>
            <w:r w:rsidRPr="00222B2A">
              <w:rPr>
                <w:rFonts w:eastAsia="Times New Roman" w:cs="Times New Roman"/>
              </w:rPr>
              <w:t xml:space="preserve">, when defining the proposed activities, so that they are not too general but narrowed down. </w:t>
            </w:r>
            <w:r w:rsidR="004D5E7B">
              <w:rPr>
                <w:rFonts w:eastAsia="Times New Roman" w:cs="Times New Roman"/>
              </w:rPr>
              <w:t>The</w:t>
            </w:r>
            <w:r w:rsidR="004D5E7B" w:rsidRPr="004D5E7B">
              <w:rPr>
                <w:rFonts w:eastAsia="Times New Roman" w:cs="Times New Roman"/>
              </w:rPr>
              <w:t xml:space="preserve"> activities should be better linked to the current identified needs and challenges in the regions.</w:t>
            </w:r>
            <w:r w:rsidR="001B6429">
              <w:rPr>
                <w:rFonts w:eastAsia="Times New Roman" w:cs="Times New Roman"/>
              </w:rPr>
              <w:t xml:space="preserve"> It is also advised to provide more detailed activity lists for other TOs, if possible. </w:t>
            </w:r>
          </w:p>
        </w:tc>
        <w:tc>
          <w:tcPr>
            <w:tcW w:w="4678" w:type="dxa"/>
          </w:tcPr>
          <w:p w:rsidR="00CC5EFF" w:rsidRPr="00BA4FE1" w:rsidRDefault="00CC5EFF" w:rsidP="00222B2A">
            <w:pPr>
              <w:jc w:val="both"/>
              <w:rPr>
                <w:rFonts w:eastAsia="Times New Roman" w:cs="Times New Roman"/>
              </w:rPr>
            </w:pPr>
            <w:r w:rsidRPr="00222B2A">
              <w:rPr>
                <w:rFonts w:eastAsia="Times New Roman" w:cs="Times New Roman"/>
              </w:rPr>
              <w:t>Compared to the current regulations, the proposed regulations require a more precise description of planned actions and how they will lead to results. The ex-ante evaluators should assess "how the expected outputs will contribute to results" (Article 48(3</w:t>
            </w:r>
            <w:proofErr w:type="gramStart"/>
            <w:r w:rsidRPr="00222B2A">
              <w:rPr>
                <w:rFonts w:eastAsia="Times New Roman" w:cs="Times New Roman"/>
              </w:rPr>
              <w:t>)(</w:t>
            </w:r>
            <w:proofErr w:type="gramEnd"/>
            <w:r w:rsidRPr="00222B2A">
              <w:rPr>
                <w:rFonts w:eastAsia="Times New Roman" w:cs="Times New Roman"/>
              </w:rPr>
              <w:t>f)CPR) and appraise "the rationale for the form of support proposed" (Article 48(3)(h) CPR), and the actions to be supp</w:t>
            </w:r>
            <w:r w:rsidR="00E86A40">
              <w:rPr>
                <w:rFonts w:eastAsia="Times New Roman" w:cs="Times New Roman"/>
              </w:rPr>
              <w:t>orted (Article 87(2)(b)(iii))</w:t>
            </w:r>
            <w:r>
              <w:rPr>
                <w:rFonts w:eastAsia="Times New Roman" w:cs="Times New Roman"/>
              </w:rPr>
              <w:t xml:space="preserve"> (Ex-ante Guidelines p. 7</w:t>
            </w:r>
            <w:r w:rsidRPr="006F4D6F">
              <w:rPr>
                <w:rFonts w:eastAsia="Times New Roman" w:cs="Times New Roman"/>
              </w:rPr>
              <w:t>)</w:t>
            </w:r>
            <w:r w:rsidR="00E86A40">
              <w:rPr>
                <w:rFonts w:eastAsia="Times New Roman" w:cs="Times New Roman"/>
              </w:rPr>
              <w:t>.</w:t>
            </w:r>
          </w:p>
        </w:tc>
        <w:tc>
          <w:tcPr>
            <w:tcW w:w="1843" w:type="dxa"/>
            <w:shd w:val="clear" w:color="auto" w:fill="auto"/>
          </w:tcPr>
          <w:p w:rsidR="00CC5EFF" w:rsidRDefault="00244C65" w:rsidP="000F7468">
            <w:pPr>
              <w:jc w:val="both"/>
              <w:rPr>
                <w:rFonts w:eastAsia="Times New Roman" w:cs="Times New Roman"/>
              </w:rPr>
            </w:pPr>
            <w:r>
              <w:t>I</w:t>
            </w:r>
            <w:r w:rsidRPr="00244C65">
              <w:rPr>
                <w:rFonts w:eastAsia="Times New Roman" w:cs="Times New Roman"/>
              </w:rPr>
              <w:t>t</w:t>
            </w:r>
            <w:r w:rsidR="003105B0">
              <w:rPr>
                <w:rFonts w:eastAsia="Times New Roman" w:cs="Times New Roman"/>
              </w:rPr>
              <w:t xml:space="preserve"> was communicated by the MS during the </w:t>
            </w:r>
            <w:r w:rsidR="009413E8">
              <w:rPr>
                <w:rFonts w:eastAsia="Times New Roman" w:cs="Times New Roman"/>
              </w:rPr>
              <w:t>JPC meeting on 13-14</w:t>
            </w:r>
            <w:r w:rsidR="003105B0">
              <w:rPr>
                <w:rFonts w:eastAsia="Times New Roman" w:cs="Times New Roman"/>
              </w:rPr>
              <w:t xml:space="preserve"> </w:t>
            </w:r>
            <w:proofErr w:type="gramStart"/>
            <w:r w:rsidR="003105B0">
              <w:rPr>
                <w:rFonts w:eastAsia="Times New Roman" w:cs="Times New Roman"/>
              </w:rPr>
              <w:t xml:space="preserve">March </w:t>
            </w:r>
            <w:r w:rsidRPr="00244C65">
              <w:rPr>
                <w:rFonts w:eastAsia="Times New Roman" w:cs="Times New Roman"/>
              </w:rPr>
              <w:t xml:space="preserve"> that</w:t>
            </w:r>
            <w:proofErr w:type="gramEnd"/>
            <w:r w:rsidRPr="00244C65">
              <w:rPr>
                <w:rFonts w:eastAsia="Times New Roman" w:cs="Times New Roman"/>
              </w:rPr>
              <w:t xml:space="preserve"> this priority is aimed at various activities that could contribute to</w:t>
            </w:r>
            <w:r w:rsidR="000F7468">
              <w:rPr>
                <w:rFonts w:eastAsia="Times New Roman" w:cs="Times New Roman"/>
              </w:rPr>
              <w:t xml:space="preserve"> improvement of public services. T</w:t>
            </w:r>
            <w:r w:rsidRPr="00244C65">
              <w:rPr>
                <w:rFonts w:eastAsia="Times New Roman" w:cs="Times New Roman"/>
              </w:rPr>
              <w:t>herefore currently the proposed activi</w:t>
            </w:r>
            <w:r>
              <w:rPr>
                <w:rFonts w:eastAsia="Times New Roman" w:cs="Times New Roman"/>
              </w:rPr>
              <w:t>ties are very general in nature</w:t>
            </w:r>
            <w:r w:rsidR="003105B0">
              <w:rPr>
                <w:rFonts w:eastAsia="Times New Roman" w:cs="Times New Roman"/>
              </w:rPr>
              <w:t>.</w:t>
            </w:r>
            <w:r>
              <w:rPr>
                <w:rFonts w:eastAsia="Times New Roman" w:cs="Times New Roman"/>
              </w:rPr>
              <w:t xml:space="preserve"> </w:t>
            </w:r>
            <w:r w:rsidR="003105B0">
              <w:rPr>
                <w:rFonts w:eastAsia="Times New Roman" w:cs="Times New Roman"/>
              </w:rPr>
              <w:t>The activities of TO6 IP3 were amended after the</w:t>
            </w:r>
            <w:r w:rsidR="00EC13E9">
              <w:rPr>
                <w:rFonts w:eastAsia="Times New Roman" w:cs="Times New Roman"/>
              </w:rPr>
              <w:t xml:space="preserve"> decision during the</w:t>
            </w:r>
            <w:r w:rsidR="003105B0">
              <w:rPr>
                <w:rFonts w:eastAsia="Times New Roman" w:cs="Times New Roman"/>
              </w:rPr>
              <w:t xml:space="preserve"> JPC meeting on 16 June. </w:t>
            </w:r>
            <w:r w:rsidR="00EC13E9">
              <w:rPr>
                <w:rFonts w:eastAsia="Times New Roman" w:cs="Times New Roman"/>
              </w:rPr>
              <w:t>However, the</w:t>
            </w:r>
            <w:r w:rsidR="003105B0">
              <w:rPr>
                <w:rFonts w:eastAsia="Times New Roman" w:cs="Times New Roman"/>
              </w:rPr>
              <w:t xml:space="preserve"> </w:t>
            </w:r>
            <w:proofErr w:type="gramStart"/>
            <w:r w:rsidR="003105B0">
              <w:rPr>
                <w:rFonts w:eastAsia="Times New Roman" w:cs="Times New Roman"/>
              </w:rPr>
              <w:t>list of indicative activities for other TOs</w:t>
            </w:r>
            <w:r w:rsidR="00EC13E9">
              <w:rPr>
                <w:rFonts w:eastAsia="Times New Roman" w:cs="Times New Roman"/>
              </w:rPr>
              <w:t>, including TO11 IP1</w:t>
            </w:r>
            <w:r w:rsidR="009413E8">
              <w:rPr>
                <w:rFonts w:eastAsia="Times New Roman" w:cs="Times New Roman"/>
              </w:rPr>
              <w:t>,</w:t>
            </w:r>
            <w:r w:rsidR="003105B0">
              <w:rPr>
                <w:rFonts w:eastAsia="Times New Roman" w:cs="Times New Roman"/>
              </w:rPr>
              <w:t xml:space="preserve"> remain</w:t>
            </w:r>
            <w:proofErr w:type="gramEnd"/>
            <w:r w:rsidR="003105B0">
              <w:rPr>
                <w:rFonts w:eastAsia="Times New Roman" w:cs="Times New Roman"/>
              </w:rPr>
              <w:t xml:space="preserve"> very general.</w:t>
            </w:r>
          </w:p>
        </w:tc>
      </w:tr>
      <w:tr w:rsidR="00532E53" w:rsidRPr="00B321E6" w:rsidTr="00FC6E93">
        <w:tc>
          <w:tcPr>
            <w:tcW w:w="709" w:type="dxa"/>
          </w:tcPr>
          <w:p w:rsidR="00532E53" w:rsidRDefault="008852DF" w:rsidP="00255B85">
            <w:pPr>
              <w:jc w:val="both"/>
              <w:rPr>
                <w:rFonts w:asciiTheme="majorHAnsi" w:eastAsia="Times New Roman" w:hAnsiTheme="majorHAnsi" w:cs="Times New Roman"/>
              </w:rPr>
            </w:pPr>
            <w:r>
              <w:rPr>
                <w:rFonts w:asciiTheme="majorHAnsi" w:eastAsia="Times New Roman" w:hAnsiTheme="majorHAnsi" w:cs="Times New Roman"/>
              </w:rPr>
              <w:t>4.</w:t>
            </w:r>
          </w:p>
        </w:tc>
        <w:tc>
          <w:tcPr>
            <w:tcW w:w="993" w:type="dxa"/>
          </w:tcPr>
          <w:p w:rsidR="00532E53" w:rsidRDefault="00532E53" w:rsidP="00255B85">
            <w:pPr>
              <w:jc w:val="both"/>
              <w:rPr>
                <w:rFonts w:asciiTheme="majorHAnsi" w:eastAsia="Times New Roman" w:hAnsiTheme="majorHAnsi" w:cs="Times New Roman"/>
              </w:rPr>
            </w:pPr>
            <w:r>
              <w:rPr>
                <w:rFonts w:asciiTheme="majorHAnsi" w:eastAsia="Times New Roman" w:hAnsiTheme="majorHAnsi" w:cs="Times New Roman"/>
              </w:rPr>
              <w:t>4.1.</w:t>
            </w:r>
          </w:p>
        </w:tc>
        <w:tc>
          <w:tcPr>
            <w:tcW w:w="3402" w:type="dxa"/>
          </w:tcPr>
          <w:p w:rsidR="00532E53" w:rsidRDefault="00532E53" w:rsidP="005A3D44">
            <w:pPr>
              <w:jc w:val="both"/>
              <w:rPr>
                <w:rFonts w:eastAsia="Times New Roman" w:cs="Times New Roman"/>
              </w:rPr>
            </w:pPr>
            <w:r w:rsidRPr="00532E53">
              <w:rPr>
                <w:rFonts w:eastAsia="Times New Roman" w:cs="Times New Roman"/>
              </w:rPr>
              <w:t>The quantified target and baseline values are set for all Programme result indicators, except for the</w:t>
            </w:r>
            <w:r w:rsidRPr="00A91D57">
              <w:rPr>
                <w:rFonts w:eastAsia="Times New Roman" w:cs="Times New Roman"/>
              </w:rPr>
              <w:t>, TO8 IP2, TO9 IP1 and TO11 IP1</w:t>
            </w:r>
            <w:r w:rsidRPr="00532E53">
              <w:rPr>
                <w:rFonts w:eastAsia="Times New Roman" w:cs="Times New Roman"/>
              </w:rPr>
              <w:t xml:space="preserve"> result indicators. However, the </w:t>
            </w:r>
            <w:r w:rsidRPr="00532E53">
              <w:rPr>
                <w:rFonts w:eastAsia="Times New Roman" w:cs="Times New Roman"/>
              </w:rPr>
              <w:lastRenderedPageBreak/>
              <w:t xml:space="preserve">action plan is provided on how baseline and target values will be established for these result indicators. </w:t>
            </w:r>
            <w:r>
              <w:rPr>
                <w:rFonts w:eastAsia="Times New Roman" w:cs="Times New Roman"/>
              </w:rPr>
              <w:t xml:space="preserve"> </w:t>
            </w:r>
          </w:p>
          <w:p w:rsidR="00C9453E" w:rsidRDefault="00C9453E" w:rsidP="005A3D44">
            <w:pPr>
              <w:jc w:val="both"/>
              <w:rPr>
                <w:rFonts w:eastAsia="Times New Roman" w:cs="Times New Roman"/>
              </w:rPr>
            </w:pPr>
          </w:p>
          <w:p w:rsidR="00C9453E" w:rsidRPr="00222B2A" w:rsidRDefault="00C9453E" w:rsidP="005A3D44">
            <w:pPr>
              <w:jc w:val="both"/>
              <w:rPr>
                <w:rFonts w:eastAsia="Times New Roman" w:cs="Times New Roman"/>
              </w:rPr>
            </w:pPr>
          </w:p>
        </w:tc>
        <w:tc>
          <w:tcPr>
            <w:tcW w:w="2409" w:type="dxa"/>
          </w:tcPr>
          <w:p w:rsidR="00532E53" w:rsidRPr="00222B2A" w:rsidRDefault="00532E53" w:rsidP="004D5E7B">
            <w:pPr>
              <w:jc w:val="both"/>
              <w:rPr>
                <w:rFonts w:eastAsia="Times New Roman" w:cs="Times New Roman"/>
              </w:rPr>
            </w:pPr>
            <w:r w:rsidRPr="00532E53">
              <w:rPr>
                <w:rFonts w:eastAsia="Times New Roman" w:cs="Times New Roman"/>
              </w:rPr>
              <w:lastRenderedPageBreak/>
              <w:t xml:space="preserve">The proposed action plan for setting the remaining target and baseline values is adequate. However, it is </w:t>
            </w:r>
            <w:r w:rsidRPr="00532E53">
              <w:rPr>
                <w:rFonts w:eastAsia="Times New Roman" w:cs="Times New Roman"/>
              </w:rPr>
              <w:lastRenderedPageBreak/>
              <w:t>recommended to appraise the likelihood of risk that there could be difficulties in setting the baseline and target values if municipalities and regions are not able to provide useful data or the provided date will turn out to be incomplete.</w:t>
            </w:r>
          </w:p>
        </w:tc>
        <w:tc>
          <w:tcPr>
            <w:tcW w:w="4678" w:type="dxa"/>
          </w:tcPr>
          <w:p w:rsidR="00532E53" w:rsidRPr="00FC6E93" w:rsidRDefault="00BF6667" w:rsidP="00222B2A">
            <w:pPr>
              <w:jc w:val="both"/>
              <w:rPr>
                <w:rFonts w:eastAsia="Times New Roman" w:cs="Times New Roman"/>
              </w:rPr>
            </w:pPr>
            <w:r w:rsidRPr="00FC6E93">
              <w:rPr>
                <w:rFonts w:eastAsia="Times New Roman" w:cs="Times New Roman"/>
              </w:rPr>
              <w:lastRenderedPageBreak/>
              <w:t xml:space="preserve">As regards targets, where a quantified target value has been set for common and programme-specific indicators, the ex-ante evaluation should appraise "whether the quantified target value is realistic, having regard to the support from the CSF Funds </w:t>
            </w:r>
            <w:r w:rsidRPr="00FC6E93">
              <w:rPr>
                <w:rFonts w:eastAsia="Times New Roman" w:cs="Times New Roman"/>
              </w:rPr>
              <w:lastRenderedPageBreak/>
              <w:t>envisaged" (Ex-ante Guidelines p. 13)</w:t>
            </w:r>
            <w:r w:rsidR="00E86A40">
              <w:rPr>
                <w:rFonts w:eastAsia="Times New Roman" w:cs="Times New Roman"/>
              </w:rPr>
              <w:t>.</w:t>
            </w:r>
          </w:p>
          <w:p w:rsidR="00BF6667" w:rsidRPr="00FC6E93" w:rsidRDefault="00BF6667" w:rsidP="00222B2A">
            <w:pPr>
              <w:jc w:val="both"/>
              <w:rPr>
                <w:rFonts w:eastAsia="Times New Roman" w:cs="Times New Roman"/>
              </w:rPr>
            </w:pPr>
          </w:p>
          <w:p w:rsidR="00BF6667" w:rsidRPr="00FC6E93" w:rsidRDefault="00BF6667" w:rsidP="00222B2A">
            <w:pPr>
              <w:jc w:val="both"/>
              <w:rPr>
                <w:rFonts w:eastAsia="Times New Roman" w:cs="Times New Roman"/>
              </w:rPr>
            </w:pPr>
            <w:r w:rsidRPr="00FC6E93">
              <w:rPr>
                <w:rFonts w:eastAsia="Times New Roman" w:cs="Times New Roman"/>
              </w:rPr>
              <w:t>Baselines are required for result indicators by the Fund-specific regulations: baselines shall use the latest available data (Ex-ante Guidelines p. 13).</w:t>
            </w:r>
          </w:p>
          <w:p w:rsidR="00847F1E" w:rsidRPr="00FC6E93" w:rsidRDefault="00847F1E" w:rsidP="00222B2A">
            <w:pPr>
              <w:jc w:val="both"/>
              <w:rPr>
                <w:rFonts w:eastAsia="Times New Roman" w:cs="Times New Roman"/>
              </w:rPr>
            </w:pPr>
          </w:p>
          <w:p w:rsidR="00847F1E" w:rsidRPr="00222B2A" w:rsidRDefault="00847F1E" w:rsidP="00FC6E93">
            <w:pPr>
              <w:jc w:val="both"/>
              <w:rPr>
                <w:rFonts w:eastAsia="Times New Roman" w:cs="Times New Roman"/>
              </w:rPr>
            </w:pPr>
            <w:r w:rsidRPr="00FC6E93">
              <w:t>In some cases, baselines will not be readily available and data to establish the baseline will need to be collected</w:t>
            </w:r>
            <w:r w:rsidR="003B0CCA">
              <w:t xml:space="preserve"> </w:t>
            </w:r>
            <w:r w:rsidR="003B0CCA" w:rsidRPr="00C711EA">
              <w:rPr>
                <w:rFonts w:eastAsia="Times New Roman" w:cs="Times New Roman"/>
              </w:rPr>
              <w:t>(Ex-ante Guidelines p. 13).</w:t>
            </w:r>
          </w:p>
        </w:tc>
        <w:tc>
          <w:tcPr>
            <w:tcW w:w="1843" w:type="dxa"/>
            <w:shd w:val="clear" w:color="auto" w:fill="auto"/>
          </w:tcPr>
          <w:p w:rsidR="00532E53" w:rsidRDefault="00C9453E" w:rsidP="005D4575">
            <w:pPr>
              <w:jc w:val="both"/>
              <w:rPr>
                <w:rFonts w:eastAsia="Times New Roman" w:cs="Times New Roman"/>
              </w:rPr>
            </w:pPr>
            <w:r>
              <w:rPr>
                <w:rFonts w:eastAsia="Times New Roman" w:cs="Times New Roman"/>
              </w:rPr>
              <w:lastRenderedPageBreak/>
              <w:t xml:space="preserve">Was discussed during JPC meeting on 16 June and MS agreed that </w:t>
            </w:r>
            <w:r w:rsidR="008416F1">
              <w:rPr>
                <w:rFonts w:eastAsia="Times New Roman" w:cs="Times New Roman"/>
              </w:rPr>
              <w:t xml:space="preserve">there </w:t>
            </w:r>
            <w:r w:rsidR="008416F1">
              <w:rPr>
                <w:rFonts w:eastAsia="Times New Roman" w:cs="Times New Roman"/>
              </w:rPr>
              <w:lastRenderedPageBreak/>
              <w:t xml:space="preserve">is such </w:t>
            </w:r>
            <w:r>
              <w:rPr>
                <w:rFonts w:eastAsia="Times New Roman" w:cs="Times New Roman"/>
              </w:rPr>
              <w:t>risk.</w:t>
            </w:r>
          </w:p>
        </w:tc>
      </w:tr>
      <w:tr w:rsidR="003B0CCA" w:rsidRPr="00B321E6" w:rsidTr="00532E53">
        <w:tc>
          <w:tcPr>
            <w:tcW w:w="709" w:type="dxa"/>
          </w:tcPr>
          <w:p w:rsidR="003B0CCA" w:rsidRDefault="009C014F" w:rsidP="00255B85">
            <w:pPr>
              <w:jc w:val="both"/>
              <w:rPr>
                <w:rFonts w:asciiTheme="majorHAnsi" w:eastAsia="Times New Roman" w:hAnsiTheme="majorHAnsi" w:cs="Times New Roman"/>
              </w:rPr>
            </w:pPr>
            <w:r>
              <w:rPr>
                <w:rFonts w:asciiTheme="majorHAnsi" w:eastAsia="Times New Roman" w:hAnsiTheme="majorHAnsi" w:cs="Times New Roman"/>
              </w:rPr>
              <w:lastRenderedPageBreak/>
              <w:t>5</w:t>
            </w:r>
            <w:r w:rsidR="008852DF">
              <w:rPr>
                <w:rFonts w:asciiTheme="majorHAnsi" w:eastAsia="Times New Roman" w:hAnsiTheme="majorHAnsi" w:cs="Times New Roman"/>
              </w:rPr>
              <w:t>.</w:t>
            </w:r>
          </w:p>
        </w:tc>
        <w:tc>
          <w:tcPr>
            <w:tcW w:w="993" w:type="dxa"/>
          </w:tcPr>
          <w:p w:rsidR="003B0CCA" w:rsidRDefault="003B0CCA" w:rsidP="00255B85">
            <w:pPr>
              <w:jc w:val="both"/>
              <w:rPr>
                <w:rFonts w:asciiTheme="majorHAnsi" w:eastAsia="Times New Roman" w:hAnsiTheme="majorHAnsi" w:cs="Times New Roman"/>
              </w:rPr>
            </w:pPr>
            <w:r>
              <w:rPr>
                <w:rFonts w:asciiTheme="majorHAnsi" w:eastAsia="Times New Roman" w:hAnsiTheme="majorHAnsi" w:cs="Times New Roman"/>
              </w:rPr>
              <w:t xml:space="preserve">4.1. </w:t>
            </w:r>
          </w:p>
        </w:tc>
        <w:tc>
          <w:tcPr>
            <w:tcW w:w="3402" w:type="dxa"/>
          </w:tcPr>
          <w:p w:rsidR="003B0CCA" w:rsidRPr="007F524B" w:rsidRDefault="003B0CCA">
            <w:pPr>
              <w:jc w:val="both"/>
              <w:rPr>
                <w:rFonts w:eastAsia="Times New Roman" w:cs="Times New Roman"/>
              </w:rPr>
            </w:pPr>
            <w:r>
              <w:rPr>
                <w:rFonts w:eastAsia="Times New Roman" w:cs="Times New Roman"/>
              </w:rPr>
              <w:t xml:space="preserve">The </w:t>
            </w:r>
            <w:r w:rsidRPr="003B0CCA">
              <w:rPr>
                <w:rFonts w:eastAsia="Times New Roman" w:cs="Times New Roman"/>
              </w:rPr>
              <w:t xml:space="preserve">data </w:t>
            </w:r>
            <w:r>
              <w:rPr>
                <w:rFonts w:eastAsia="Times New Roman" w:cs="Times New Roman"/>
              </w:rPr>
              <w:t xml:space="preserve">used </w:t>
            </w:r>
            <w:r w:rsidRPr="003B0CCA">
              <w:rPr>
                <w:rFonts w:eastAsia="Times New Roman" w:cs="Times New Roman"/>
              </w:rPr>
              <w:t>for</w:t>
            </w:r>
            <w:r>
              <w:rPr>
                <w:rFonts w:eastAsia="Times New Roman" w:cs="Times New Roman"/>
              </w:rPr>
              <w:t xml:space="preserve"> calculating</w:t>
            </w:r>
            <w:r w:rsidRPr="003B0CCA">
              <w:rPr>
                <w:rFonts w:eastAsia="Times New Roman" w:cs="Times New Roman"/>
              </w:rPr>
              <w:t xml:space="preserve"> TO6 IP1 baseline value is incorrect. According to the National Statistics Bureau of Latvia the data used for calculating baseline is “number of visitors” not “overnight stays of visitors” as it should be according to the set Programme indicator, which is “overnight stays of visitors in the Programme area”. </w:t>
            </w:r>
          </w:p>
        </w:tc>
        <w:tc>
          <w:tcPr>
            <w:tcW w:w="2409" w:type="dxa"/>
          </w:tcPr>
          <w:p w:rsidR="003B0CCA" w:rsidRPr="007F524B" w:rsidRDefault="003B0CCA" w:rsidP="004D5E7B">
            <w:pPr>
              <w:jc w:val="both"/>
              <w:rPr>
                <w:rFonts w:eastAsia="Times New Roman" w:cs="Times New Roman"/>
              </w:rPr>
            </w:pPr>
            <w:r w:rsidRPr="003B0CCA">
              <w:rPr>
                <w:rFonts w:eastAsia="Times New Roman" w:cs="Times New Roman"/>
              </w:rPr>
              <w:t>It is recommended to correct the calculations and change the baseline according to the correct data.</w:t>
            </w:r>
          </w:p>
        </w:tc>
        <w:tc>
          <w:tcPr>
            <w:tcW w:w="4678" w:type="dxa"/>
          </w:tcPr>
          <w:p w:rsidR="003B0CCA" w:rsidRDefault="003B0CCA" w:rsidP="00222B2A">
            <w:pPr>
              <w:jc w:val="both"/>
              <w:rPr>
                <w:rFonts w:eastAsia="Times New Roman" w:cs="Times New Roman"/>
              </w:rPr>
            </w:pPr>
            <w:r w:rsidRPr="003B0CCA">
              <w:rPr>
                <w:rFonts w:eastAsia="Times New Roman" w:cs="Times New Roman"/>
              </w:rPr>
              <w:t>They may also check whether the data sources for result indicators are identified and verify whether they are publicly available, i.e. the baselines, target values and definitions of the indicators should be made public</w:t>
            </w:r>
            <w:r>
              <w:rPr>
                <w:rFonts w:eastAsia="Times New Roman" w:cs="Times New Roman"/>
              </w:rPr>
              <w:t xml:space="preserve"> (Ex-ante Guidelines p. 12</w:t>
            </w:r>
            <w:r w:rsidRPr="007F524B">
              <w:rPr>
                <w:rFonts w:eastAsia="Times New Roman" w:cs="Times New Roman"/>
              </w:rPr>
              <w:t>).</w:t>
            </w:r>
          </w:p>
          <w:p w:rsidR="003B0CCA" w:rsidRDefault="003B0CCA" w:rsidP="00222B2A">
            <w:pPr>
              <w:jc w:val="both"/>
              <w:rPr>
                <w:rFonts w:eastAsia="Times New Roman" w:cs="Times New Roman"/>
              </w:rPr>
            </w:pPr>
          </w:p>
          <w:p w:rsidR="003B0CCA" w:rsidRPr="00C711EA" w:rsidRDefault="003B0CCA" w:rsidP="003B0CCA">
            <w:pPr>
              <w:jc w:val="both"/>
              <w:rPr>
                <w:rFonts w:eastAsia="Times New Roman" w:cs="Times New Roman"/>
              </w:rPr>
            </w:pPr>
            <w:r w:rsidRPr="00C711EA">
              <w:rPr>
                <w:rFonts w:eastAsia="Times New Roman" w:cs="Times New Roman"/>
              </w:rPr>
              <w:t>Baselines are required for result indicators by the Fund-specific regulations: baselines shall use the latest available data (Ex-ante Guidelines p. 13).</w:t>
            </w:r>
          </w:p>
          <w:p w:rsidR="003B0CCA" w:rsidRPr="007F524B" w:rsidRDefault="003B0CCA" w:rsidP="00222B2A">
            <w:pPr>
              <w:jc w:val="both"/>
              <w:rPr>
                <w:rFonts w:eastAsia="Times New Roman" w:cs="Times New Roman"/>
              </w:rPr>
            </w:pPr>
          </w:p>
        </w:tc>
        <w:tc>
          <w:tcPr>
            <w:tcW w:w="1843" w:type="dxa"/>
            <w:shd w:val="clear" w:color="auto" w:fill="auto"/>
          </w:tcPr>
          <w:p w:rsidR="003B0CCA" w:rsidRPr="007F524B" w:rsidRDefault="00FB229D" w:rsidP="00D15181">
            <w:pPr>
              <w:jc w:val="both"/>
              <w:rPr>
                <w:rFonts w:eastAsia="Times New Roman" w:cs="Times New Roman"/>
              </w:rPr>
            </w:pPr>
            <w:r>
              <w:rPr>
                <w:rFonts w:eastAsia="Times New Roman" w:cs="Times New Roman"/>
              </w:rPr>
              <w:t xml:space="preserve">Was </w:t>
            </w:r>
            <w:r w:rsidR="003B0CCA" w:rsidRPr="007F524B">
              <w:rPr>
                <w:rFonts w:eastAsia="Times New Roman" w:cs="Times New Roman"/>
              </w:rPr>
              <w:t>discusse</w:t>
            </w:r>
            <w:r>
              <w:rPr>
                <w:rFonts w:eastAsia="Times New Roman" w:cs="Times New Roman"/>
              </w:rPr>
              <w:t xml:space="preserve">d during JPC meeting on 16 June and the </w:t>
            </w:r>
            <w:r w:rsidR="00EC45A3">
              <w:rPr>
                <w:rFonts w:eastAsia="Times New Roman" w:cs="Times New Roman"/>
              </w:rPr>
              <w:t xml:space="preserve">updated Programme has </w:t>
            </w:r>
            <w:r w:rsidR="00D15181">
              <w:rPr>
                <w:rFonts w:eastAsia="Times New Roman" w:cs="Times New Roman"/>
              </w:rPr>
              <w:t>used the</w:t>
            </w:r>
            <w:r w:rsidR="00EC45A3">
              <w:rPr>
                <w:rFonts w:eastAsia="Times New Roman" w:cs="Times New Roman"/>
              </w:rPr>
              <w:t xml:space="preserve"> correct data.</w:t>
            </w:r>
          </w:p>
        </w:tc>
      </w:tr>
      <w:tr w:rsidR="00A41F31" w:rsidRPr="00B321E6" w:rsidTr="00532E53">
        <w:tc>
          <w:tcPr>
            <w:tcW w:w="709" w:type="dxa"/>
          </w:tcPr>
          <w:p w:rsidR="00A41F31" w:rsidRDefault="009C014F" w:rsidP="00255B85">
            <w:pPr>
              <w:jc w:val="both"/>
              <w:rPr>
                <w:rFonts w:asciiTheme="majorHAnsi" w:eastAsia="Times New Roman" w:hAnsiTheme="majorHAnsi" w:cs="Times New Roman"/>
              </w:rPr>
            </w:pPr>
            <w:r>
              <w:rPr>
                <w:rFonts w:asciiTheme="majorHAnsi" w:eastAsia="Times New Roman" w:hAnsiTheme="majorHAnsi" w:cs="Times New Roman"/>
              </w:rPr>
              <w:t>6</w:t>
            </w:r>
            <w:r w:rsidR="008852DF">
              <w:rPr>
                <w:rFonts w:asciiTheme="majorHAnsi" w:eastAsia="Times New Roman" w:hAnsiTheme="majorHAnsi" w:cs="Times New Roman"/>
              </w:rPr>
              <w:t>.</w:t>
            </w:r>
          </w:p>
        </w:tc>
        <w:tc>
          <w:tcPr>
            <w:tcW w:w="993" w:type="dxa"/>
          </w:tcPr>
          <w:p w:rsidR="00A41F31" w:rsidRDefault="00A41F31" w:rsidP="00255B85">
            <w:pPr>
              <w:jc w:val="both"/>
              <w:rPr>
                <w:rFonts w:asciiTheme="majorHAnsi" w:eastAsia="Times New Roman" w:hAnsiTheme="majorHAnsi" w:cs="Times New Roman"/>
              </w:rPr>
            </w:pPr>
            <w:r>
              <w:rPr>
                <w:rFonts w:asciiTheme="majorHAnsi" w:eastAsia="Times New Roman" w:hAnsiTheme="majorHAnsi" w:cs="Times New Roman"/>
              </w:rPr>
              <w:t>4.1.</w:t>
            </w:r>
          </w:p>
        </w:tc>
        <w:tc>
          <w:tcPr>
            <w:tcW w:w="3402" w:type="dxa"/>
          </w:tcPr>
          <w:p w:rsidR="00A41F31" w:rsidRDefault="00A41F31" w:rsidP="00FC6E93">
            <w:pPr>
              <w:jc w:val="both"/>
              <w:rPr>
                <w:rFonts w:eastAsia="Times New Roman" w:cs="Times New Roman"/>
              </w:rPr>
            </w:pPr>
            <w:r w:rsidRPr="00A41F31">
              <w:rPr>
                <w:rFonts w:eastAsia="Times New Roman" w:cs="Times New Roman"/>
              </w:rPr>
              <w:t xml:space="preserve">TO8 IP2 result indicator “number of people receiving upgraded skills matching labour market needs” target value is not consistent with the TO8 IP2 output indicator “number of participants in joint education and training schemes to support youth employment, educational opportunities and higher and vocational education across borders” target value. TO8 IP2 output target value is “700 participants in joint education and training schemes”. Whereas, TO8 IP2 result target value is “1200 people receiving upgraded skills”, </w:t>
            </w:r>
            <w:r w:rsidRPr="00A41F31">
              <w:rPr>
                <w:rFonts w:eastAsia="Times New Roman" w:cs="Times New Roman"/>
              </w:rPr>
              <w:lastRenderedPageBreak/>
              <w:t xml:space="preserve">and the baseline is 1000. </w:t>
            </w:r>
          </w:p>
        </w:tc>
        <w:tc>
          <w:tcPr>
            <w:tcW w:w="2409" w:type="dxa"/>
          </w:tcPr>
          <w:p w:rsidR="00A41F31" w:rsidRPr="003B0CCA" w:rsidRDefault="00A41F31">
            <w:pPr>
              <w:jc w:val="both"/>
              <w:rPr>
                <w:rFonts w:eastAsia="Times New Roman" w:cs="Times New Roman"/>
              </w:rPr>
            </w:pPr>
            <w:r w:rsidRPr="00A41F31">
              <w:rPr>
                <w:rFonts w:eastAsia="Times New Roman" w:cs="Times New Roman"/>
              </w:rPr>
              <w:lastRenderedPageBreak/>
              <w:t xml:space="preserve">It is unclear how the set result target value of 1200 will be achieved by the planned 700 participants. It is advised to specify whether these calculations are based on the assumption that 200 from expected 700 participants will be unique persons (persons who have not previously participated in the Programme and upgraded their skills) </w:t>
            </w:r>
            <w:r w:rsidRPr="00A41F31">
              <w:rPr>
                <w:rFonts w:eastAsia="Times New Roman" w:cs="Times New Roman"/>
              </w:rPr>
              <w:lastRenderedPageBreak/>
              <w:t>receiving the upgrade of skills, that will ensure the achievement of target value 1200 (1000 who received upgraded skills during 2007-2013 plus 200 unique participants, 20% increase). It is also suggested to consider narrowing down the TO8 IP2 result indicator and calculating only people who obtained the job in the Programme region after receiving upgraded skills by the Programme. It could be achieved by having a record of people who upgraded their skills by participating in the activities funded by the Programme and their employer details (location).</w:t>
            </w:r>
          </w:p>
        </w:tc>
        <w:tc>
          <w:tcPr>
            <w:tcW w:w="4678" w:type="dxa"/>
          </w:tcPr>
          <w:p w:rsidR="00A41F31" w:rsidRPr="003B0CCA" w:rsidRDefault="00A41F31" w:rsidP="00222B2A">
            <w:pPr>
              <w:jc w:val="both"/>
              <w:rPr>
                <w:rFonts w:eastAsia="Times New Roman" w:cs="Times New Roman"/>
              </w:rPr>
            </w:pPr>
            <w:r w:rsidRPr="00A41F31">
              <w:rPr>
                <w:rFonts w:eastAsia="Times New Roman" w:cs="Times New Roman"/>
              </w:rPr>
              <w:lastRenderedPageBreak/>
              <w:t>The evaluators should assess if these targets reflect the expected effects of the actions as well as other external developments potentially influencing them. They should assess their plausibility against the corresponding baselines, past experience and relevant economic trends (Ex-ante Guidelines p. 13).</w:t>
            </w:r>
          </w:p>
        </w:tc>
        <w:tc>
          <w:tcPr>
            <w:tcW w:w="1843" w:type="dxa"/>
            <w:shd w:val="clear" w:color="auto" w:fill="auto"/>
          </w:tcPr>
          <w:p w:rsidR="00A41F31" w:rsidRPr="007F524B" w:rsidRDefault="00A91D57" w:rsidP="005D4575">
            <w:pPr>
              <w:jc w:val="both"/>
              <w:rPr>
                <w:rFonts w:eastAsia="Times New Roman" w:cs="Times New Roman"/>
              </w:rPr>
            </w:pPr>
            <w:r>
              <w:rPr>
                <w:rFonts w:eastAsia="Times New Roman" w:cs="Times New Roman"/>
              </w:rPr>
              <w:t>Was</w:t>
            </w:r>
            <w:r w:rsidR="00A41F31" w:rsidRPr="00A41F31">
              <w:rPr>
                <w:rFonts w:eastAsia="Times New Roman" w:cs="Times New Roman"/>
              </w:rPr>
              <w:t xml:space="preserve"> discussed during </w:t>
            </w:r>
            <w:r w:rsidR="001917B9">
              <w:rPr>
                <w:rFonts w:eastAsia="Times New Roman" w:cs="Times New Roman"/>
              </w:rPr>
              <w:t xml:space="preserve">the </w:t>
            </w:r>
            <w:r w:rsidR="00A41F31" w:rsidRPr="00A41F31">
              <w:rPr>
                <w:rFonts w:eastAsia="Times New Roman" w:cs="Times New Roman"/>
              </w:rPr>
              <w:t>JPC meetin</w:t>
            </w:r>
            <w:r>
              <w:rPr>
                <w:rFonts w:eastAsia="Times New Roman" w:cs="Times New Roman"/>
              </w:rPr>
              <w:t>g on 16 June and MS decided to keep</w:t>
            </w:r>
            <w:r w:rsidR="001D1ABF">
              <w:rPr>
                <w:rFonts w:eastAsia="Times New Roman" w:cs="Times New Roman"/>
              </w:rPr>
              <w:t xml:space="preserve"> result indicator</w:t>
            </w:r>
            <w:r>
              <w:rPr>
                <w:rFonts w:eastAsia="Times New Roman" w:cs="Times New Roman"/>
              </w:rPr>
              <w:t xml:space="preserve"> </w:t>
            </w:r>
            <w:r w:rsidR="001D1ABF">
              <w:rPr>
                <w:rFonts w:eastAsia="Times New Roman" w:cs="Times New Roman"/>
              </w:rPr>
              <w:t xml:space="preserve">“number of people who obtained the job in the Programme region after receiving upgraded skills by the Programme” as an alternative. </w:t>
            </w:r>
          </w:p>
        </w:tc>
      </w:tr>
      <w:tr w:rsidR="00216CA1" w:rsidRPr="00B321E6" w:rsidTr="003561F0">
        <w:trPr>
          <w:trHeight w:val="1001"/>
        </w:trPr>
        <w:tc>
          <w:tcPr>
            <w:tcW w:w="709" w:type="dxa"/>
          </w:tcPr>
          <w:p w:rsidR="00216CA1" w:rsidRDefault="009C014F" w:rsidP="00255B85">
            <w:pPr>
              <w:jc w:val="both"/>
              <w:rPr>
                <w:rFonts w:asciiTheme="majorHAnsi" w:eastAsia="Times New Roman" w:hAnsiTheme="majorHAnsi" w:cs="Times New Roman"/>
              </w:rPr>
            </w:pPr>
            <w:r>
              <w:rPr>
                <w:rFonts w:asciiTheme="majorHAnsi" w:eastAsia="Times New Roman" w:hAnsiTheme="majorHAnsi" w:cs="Times New Roman"/>
              </w:rPr>
              <w:lastRenderedPageBreak/>
              <w:t>7</w:t>
            </w:r>
            <w:r w:rsidR="008852DF">
              <w:rPr>
                <w:rFonts w:asciiTheme="majorHAnsi" w:eastAsia="Times New Roman" w:hAnsiTheme="majorHAnsi" w:cs="Times New Roman"/>
              </w:rPr>
              <w:t>.</w:t>
            </w:r>
          </w:p>
        </w:tc>
        <w:tc>
          <w:tcPr>
            <w:tcW w:w="993" w:type="dxa"/>
          </w:tcPr>
          <w:p w:rsidR="00216CA1" w:rsidRPr="00222B2A" w:rsidRDefault="00216CA1" w:rsidP="00255B85">
            <w:pPr>
              <w:jc w:val="both"/>
              <w:rPr>
                <w:rFonts w:asciiTheme="majorHAnsi" w:eastAsia="Times New Roman" w:hAnsiTheme="majorHAnsi" w:cs="Times New Roman"/>
              </w:rPr>
            </w:pPr>
            <w:r>
              <w:rPr>
                <w:rFonts w:asciiTheme="majorHAnsi" w:eastAsia="Times New Roman" w:hAnsiTheme="majorHAnsi" w:cs="Times New Roman"/>
              </w:rPr>
              <w:t xml:space="preserve">4.1. </w:t>
            </w:r>
          </w:p>
        </w:tc>
        <w:tc>
          <w:tcPr>
            <w:tcW w:w="3402" w:type="dxa"/>
          </w:tcPr>
          <w:p w:rsidR="00216CA1" w:rsidRPr="00222B2A" w:rsidRDefault="001928EB" w:rsidP="00FC6E93">
            <w:pPr>
              <w:jc w:val="both"/>
              <w:rPr>
                <w:rFonts w:eastAsia="Arial" w:cs="Times New Roman"/>
              </w:rPr>
            </w:pPr>
            <w:r>
              <w:rPr>
                <w:rFonts w:eastAsia="Arial" w:cs="Times New Roman"/>
              </w:rPr>
              <w:t>In some TOs (e.g. TO8</w:t>
            </w:r>
            <w:r w:rsidR="00216CA1" w:rsidRPr="00216CA1">
              <w:rPr>
                <w:rFonts w:eastAsia="Arial" w:cs="Times New Roman"/>
              </w:rPr>
              <w:t xml:space="preserve"> IP2) the “source of data” for the baseline and target values in the table is menti</w:t>
            </w:r>
            <w:r w:rsidR="00216CA1">
              <w:rPr>
                <w:rFonts w:eastAsia="Arial" w:cs="Times New Roman"/>
              </w:rPr>
              <w:t xml:space="preserve">oned as “2007-2013 Programme”. </w:t>
            </w:r>
            <w:r w:rsidR="00216CA1" w:rsidRPr="00216CA1">
              <w:rPr>
                <w:rFonts w:eastAsia="Arial" w:cs="Times New Roman"/>
              </w:rPr>
              <w:t>Currently source of data refers only to baseline values.</w:t>
            </w:r>
          </w:p>
        </w:tc>
        <w:tc>
          <w:tcPr>
            <w:tcW w:w="2409" w:type="dxa"/>
          </w:tcPr>
          <w:p w:rsidR="00216CA1" w:rsidRPr="00222B2A" w:rsidRDefault="00216CA1" w:rsidP="00B02875">
            <w:pPr>
              <w:jc w:val="both"/>
              <w:rPr>
                <w:rFonts w:eastAsia="Arial" w:cs="Times New Roman"/>
              </w:rPr>
            </w:pPr>
            <w:r>
              <w:rPr>
                <w:rFonts w:eastAsia="Arial" w:cs="Times New Roman"/>
              </w:rPr>
              <w:t>It is recommended change</w:t>
            </w:r>
            <w:r w:rsidRPr="00216CA1">
              <w:rPr>
                <w:rFonts w:eastAsia="Arial" w:cs="Times New Roman"/>
              </w:rPr>
              <w:t xml:space="preserve"> to “Progress reports” (this will include both – Progress reports of 2007-2013 Programme relevant to the baseline value and Progress reports of 2014-2020 Programme relevant for target values</w:t>
            </w:r>
            <w:r w:rsidR="00B02875">
              <w:rPr>
                <w:rFonts w:eastAsia="Arial" w:cs="Times New Roman"/>
              </w:rPr>
              <w:t xml:space="preserve"> and has already </w:t>
            </w:r>
            <w:r w:rsidR="00B02875">
              <w:rPr>
                <w:rFonts w:eastAsia="Arial" w:cs="Times New Roman"/>
              </w:rPr>
              <w:lastRenderedPageBreak/>
              <w:t>used throughout the Programme</w:t>
            </w:r>
            <w:r w:rsidRPr="00216CA1">
              <w:rPr>
                <w:rFonts w:eastAsia="Arial" w:cs="Times New Roman"/>
              </w:rPr>
              <w:t xml:space="preserve">) </w:t>
            </w:r>
            <w:r w:rsidR="00F72890">
              <w:rPr>
                <w:rFonts w:eastAsia="Arial" w:cs="Times New Roman"/>
              </w:rPr>
              <w:t xml:space="preserve">or Monitoring System </w:t>
            </w:r>
            <w:r w:rsidRPr="00216CA1">
              <w:rPr>
                <w:rFonts w:eastAsia="Arial" w:cs="Times New Roman"/>
              </w:rPr>
              <w:t>in order to make source of data relevant for both baseline and target values.</w:t>
            </w:r>
          </w:p>
        </w:tc>
        <w:tc>
          <w:tcPr>
            <w:tcW w:w="4678" w:type="dxa"/>
          </w:tcPr>
          <w:p w:rsidR="00216CA1" w:rsidRPr="00222B2A" w:rsidRDefault="004722C5" w:rsidP="00E43A82">
            <w:pPr>
              <w:jc w:val="both"/>
              <w:rPr>
                <w:rFonts w:asciiTheme="majorHAnsi" w:eastAsia="Calibri" w:hAnsiTheme="majorHAnsi" w:cs="Times New Roman"/>
              </w:rPr>
            </w:pPr>
            <w:r w:rsidRPr="004722C5">
              <w:rPr>
                <w:rFonts w:asciiTheme="majorHAnsi" w:eastAsia="Calibri" w:hAnsiTheme="majorHAnsi" w:cs="Times New Roman"/>
              </w:rPr>
              <w:lastRenderedPageBreak/>
              <w:t>The source of data should be set correctly.</w:t>
            </w:r>
          </w:p>
        </w:tc>
        <w:tc>
          <w:tcPr>
            <w:tcW w:w="1843" w:type="dxa"/>
          </w:tcPr>
          <w:p w:rsidR="00216CA1" w:rsidRPr="00222B2A" w:rsidRDefault="00150113" w:rsidP="00222B2A">
            <w:pPr>
              <w:jc w:val="both"/>
              <w:rPr>
                <w:rFonts w:asciiTheme="majorHAnsi" w:eastAsia="Calibri" w:hAnsiTheme="majorHAnsi" w:cs="Times New Roman"/>
              </w:rPr>
            </w:pPr>
            <w:r>
              <w:rPr>
                <w:rFonts w:eastAsia="Times New Roman" w:cs="Times New Roman"/>
              </w:rPr>
              <w:t>The source of data for TO8 IP</w:t>
            </w:r>
            <w:r w:rsidR="00AC467A">
              <w:rPr>
                <w:rFonts w:eastAsia="Times New Roman" w:cs="Times New Roman"/>
              </w:rPr>
              <w:t>2</w:t>
            </w:r>
            <w:r>
              <w:rPr>
                <w:rFonts w:eastAsia="Times New Roman" w:cs="Times New Roman"/>
              </w:rPr>
              <w:t xml:space="preserve"> remains to be “</w:t>
            </w:r>
            <w:r w:rsidR="00AC467A">
              <w:rPr>
                <w:rFonts w:eastAsia="Arial" w:cs="Times New Roman"/>
              </w:rPr>
              <w:t>2007-2013 Programme</w:t>
            </w:r>
            <w:r>
              <w:rPr>
                <w:rFonts w:eastAsia="Times New Roman" w:cs="Times New Roman"/>
              </w:rPr>
              <w:t>”</w:t>
            </w:r>
            <w:r w:rsidR="00AC467A">
              <w:rPr>
                <w:rFonts w:eastAsia="Times New Roman" w:cs="Times New Roman"/>
              </w:rPr>
              <w:t>.</w:t>
            </w:r>
          </w:p>
        </w:tc>
      </w:tr>
      <w:tr w:rsidR="003C3B38" w:rsidRPr="00B321E6" w:rsidTr="003561F0">
        <w:trPr>
          <w:trHeight w:val="1001"/>
        </w:trPr>
        <w:tc>
          <w:tcPr>
            <w:tcW w:w="709" w:type="dxa"/>
          </w:tcPr>
          <w:p w:rsidR="003C3B38" w:rsidRDefault="009C014F" w:rsidP="00255B85">
            <w:pPr>
              <w:jc w:val="both"/>
              <w:rPr>
                <w:rFonts w:asciiTheme="majorHAnsi" w:eastAsia="Times New Roman" w:hAnsiTheme="majorHAnsi" w:cs="Times New Roman"/>
              </w:rPr>
            </w:pPr>
            <w:r>
              <w:rPr>
                <w:rFonts w:asciiTheme="majorHAnsi" w:eastAsia="Times New Roman" w:hAnsiTheme="majorHAnsi" w:cs="Times New Roman"/>
              </w:rPr>
              <w:lastRenderedPageBreak/>
              <w:t>8</w:t>
            </w:r>
            <w:r w:rsidR="008852DF">
              <w:rPr>
                <w:rFonts w:asciiTheme="majorHAnsi" w:eastAsia="Times New Roman" w:hAnsiTheme="majorHAnsi" w:cs="Times New Roman"/>
              </w:rPr>
              <w:t>.</w:t>
            </w:r>
          </w:p>
        </w:tc>
        <w:tc>
          <w:tcPr>
            <w:tcW w:w="993" w:type="dxa"/>
          </w:tcPr>
          <w:p w:rsidR="003C3B38" w:rsidRDefault="003C3B38" w:rsidP="00255B85">
            <w:pPr>
              <w:jc w:val="both"/>
              <w:rPr>
                <w:rFonts w:asciiTheme="majorHAnsi" w:eastAsia="Times New Roman" w:hAnsiTheme="majorHAnsi" w:cs="Times New Roman"/>
              </w:rPr>
            </w:pPr>
            <w:r>
              <w:rPr>
                <w:rFonts w:asciiTheme="majorHAnsi" w:eastAsia="Times New Roman" w:hAnsiTheme="majorHAnsi" w:cs="Times New Roman"/>
              </w:rPr>
              <w:t>4.1.</w:t>
            </w:r>
          </w:p>
        </w:tc>
        <w:tc>
          <w:tcPr>
            <w:tcW w:w="3402" w:type="dxa"/>
          </w:tcPr>
          <w:p w:rsidR="003C3B38" w:rsidRPr="00216CA1" w:rsidRDefault="003C3B38" w:rsidP="00FC6E93">
            <w:pPr>
              <w:jc w:val="both"/>
              <w:rPr>
                <w:rFonts w:eastAsia="Arial" w:cs="Times New Roman"/>
              </w:rPr>
            </w:pPr>
            <w:r>
              <w:rPr>
                <w:rFonts w:eastAsia="Arial" w:cs="Times New Roman"/>
              </w:rPr>
              <w:t>In the tables of</w:t>
            </w:r>
            <w:r w:rsidRPr="003C3B38">
              <w:rPr>
                <w:rFonts w:eastAsia="Arial" w:cs="Times New Roman"/>
              </w:rPr>
              <w:t xml:space="preserve"> TO9 IP1, TO11 IP1 and other TOs, the source of data for result indicator baseline values is men</w:t>
            </w:r>
            <w:r>
              <w:rPr>
                <w:rFonts w:eastAsia="Arial" w:cs="Times New Roman"/>
              </w:rPr>
              <w:t>tioned as “2007-2013 Programme”.</w:t>
            </w:r>
          </w:p>
        </w:tc>
        <w:tc>
          <w:tcPr>
            <w:tcW w:w="2409" w:type="dxa"/>
          </w:tcPr>
          <w:p w:rsidR="003C3B38" w:rsidRDefault="003C3B38" w:rsidP="00F51433">
            <w:pPr>
              <w:jc w:val="both"/>
              <w:rPr>
                <w:rFonts w:eastAsia="Arial" w:cs="Times New Roman"/>
              </w:rPr>
            </w:pPr>
            <w:r w:rsidRPr="003C3B38">
              <w:rPr>
                <w:rFonts w:eastAsia="Arial" w:cs="Times New Roman"/>
              </w:rPr>
              <w:t>In the tables of TO9 IP1, TO11 IP1 and other TOs, where the source of data for result indicator baseline values is mentioned as “2007-2013 Programme” should be replaced with “survey and data collection from the national authorities and municipalities” if data is planned to be obtained from surveys.</w:t>
            </w:r>
          </w:p>
        </w:tc>
        <w:tc>
          <w:tcPr>
            <w:tcW w:w="4678" w:type="dxa"/>
          </w:tcPr>
          <w:p w:rsidR="003C3B38" w:rsidRDefault="003C3B38" w:rsidP="00E43A82">
            <w:pPr>
              <w:jc w:val="both"/>
              <w:rPr>
                <w:rFonts w:asciiTheme="majorHAnsi" w:eastAsia="Calibri" w:hAnsiTheme="majorHAnsi" w:cs="Times New Roman"/>
              </w:rPr>
            </w:pPr>
            <w:r>
              <w:rPr>
                <w:rFonts w:asciiTheme="majorHAnsi" w:eastAsia="Calibri" w:hAnsiTheme="majorHAnsi" w:cs="Times New Roman"/>
              </w:rPr>
              <w:t xml:space="preserve">The source of data should be set correctly. </w:t>
            </w:r>
          </w:p>
        </w:tc>
        <w:tc>
          <w:tcPr>
            <w:tcW w:w="1843" w:type="dxa"/>
          </w:tcPr>
          <w:p w:rsidR="003C3B38" w:rsidRPr="00A41F31" w:rsidRDefault="006C323C" w:rsidP="006C323C">
            <w:pPr>
              <w:jc w:val="both"/>
              <w:rPr>
                <w:rFonts w:eastAsia="Times New Roman" w:cs="Times New Roman"/>
              </w:rPr>
            </w:pPr>
            <w:r>
              <w:rPr>
                <w:rFonts w:eastAsia="Times New Roman" w:cs="Times New Roman"/>
              </w:rPr>
              <w:t>Was</w:t>
            </w:r>
            <w:r w:rsidR="003C3B38" w:rsidRPr="00A41F31">
              <w:rPr>
                <w:rFonts w:eastAsia="Times New Roman" w:cs="Times New Roman"/>
              </w:rPr>
              <w:t xml:space="preserve"> discusse</w:t>
            </w:r>
            <w:r>
              <w:rPr>
                <w:rFonts w:eastAsia="Times New Roman" w:cs="Times New Roman"/>
              </w:rPr>
              <w:t xml:space="preserve">d during JPC meeting on 16 June and </w:t>
            </w:r>
            <w:r>
              <w:t xml:space="preserve">the source of data for result indicator baseline values “2007-2013 Programme” was replaced with “survey”. </w:t>
            </w:r>
          </w:p>
        </w:tc>
      </w:tr>
      <w:tr w:rsidR="001E7E94" w:rsidRPr="00B321E6" w:rsidTr="003561F0">
        <w:trPr>
          <w:trHeight w:val="1001"/>
        </w:trPr>
        <w:tc>
          <w:tcPr>
            <w:tcW w:w="709" w:type="dxa"/>
          </w:tcPr>
          <w:p w:rsidR="001E7E94" w:rsidRDefault="00180E4B" w:rsidP="00255B85">
            <w:pPr>
              <w:jc w:val="both"/>
              <w:rPr>
                <w:rFonts w:asciiTheme="majorHAnsi" w:eastAsia="Times New Roman" w:hAnsiTheme="majorHAnsi" w:cs="Times New Roman"/>
              </w:rPr>
            </w:pPr>
            <w:r>
              <w:rPr>
                <w:rFonts w:asciiTheme="majorHAnsi" w:eastAsia="Times New Roman" w:hAnsiTheme="majorHAnsi" w:cs="Times New Roman"/>
              </w:rPr>
              <w:t>9.</w:t>
            </w:r>
          </w:p>
        </w:tc>
        <w:tc>
          <w:tcPr>
            <w:tcW w:w="993" w:type="dxa"/>
          </w:tcPr>
          <w:p w:rsidR="001E7E94" w:rsidRDefault="0090739D" w:rsidP="00255B85">
            <w:pPr>
              <w:jc w:val="both"/>
              <w:rPr>
                <w:rFonts w:asciiTheme="majorHAnsi" w:eastAsia="Times New Roman" w:hAnsiTheme="majorHAnsi" w:cs="Times New Roman"/>
              </w:rPr>
            </w:pPr>
            <w:r>
              <w:rPr>
                <w:rFonts w:asciiTheme="majorHAnsi" w:eastAsia="Times New Roman" w:hAnsiTheme="majorHAnsi" w:cs="Times New Roman"/>
              </w:rPr>
              <w:t>4.2.</w:t>
            </w:r>
          </w:p>
        </w:tc>
        <w:tc>
          <w:tcPr>
            <w:tcW w:w="3402" w:type="dxa"/>
          </w:tcPr>
          <w:p w:rsidR="001E7E94" w:rsidRDefault="001E7E94" w:rsidP="001E7E94">
            <w:pPr>
              <w:jc w:val="both"/>
              <w:rPr>
                <w:rFonts w:eastAsia="Arial" w:cs="Times New Roman"/>
              </w:rPr>
            </w:pPr>
            <w:r w:rsidRPr="001E7E94">
              <w:rPr>
                <w:rFonts w:eastAsia="Arial" w:cs="Times New Roman"/>
              </w:rPr>
              <w:t xml:space="preserve">The quantified target values for all Programme output indicators are set for 2023. However, according to the Programme developers the target value for TO6 IP3 (“rehabilitated urban and municipal space with potential for fostering economic development”) could be reviewed. The key obstacle for setting an adequate target value for this specific indicator is that there is no information available for this indicator from the 2007-2013 Latvian Lithuanian Cross Border Cooperation Programme and the costs of rehabilitating urban and </w:t>
            </w:r>
            <w:r w:rsidRPr="001E7E94">
              <w:rPr>
                <w:rFonts w:eastAsia="Arial" w:cs="Times New Roman"/>
              </w:rPr>
              <w:lastRenderedPageBreak/>
              <w:t xml:space="preserve">municipal space in Lithuania differs considerably from Latvia’s. The cost of urban and municipal space rehabilitation in Latvian are considerably lower than in Lithuania. </w:t>
            </w:r>
          </w:p>
        </w:tc>
        <w:tc>
          <w:tcPr>
            <w:tcW w:w="2409" w:type="dxa"/>
          </w:tcPr>
          <w:p w:rsidR="001E7E94" w:rsidRPr="003C3B38" w:rsidRDefault="001E7E94" w:rsidP="00F51433">
            <w:pPr>
              <w:jc w:val="both"/>
              <w:rPr>
                <w:rFonts w:eastAsia="Arial" w:cs="Times New Roman"/>
              </w:rPr>
            </w:pPr>
            <w:r w:rsidRPr="001E7E94">
              <w:rPr>
                <w:rFonts w:eastAsia="Arial" w:cs="Times New Roman"/>
              </w:rPr>
              <w:lastRenderedPageBreak/>
              <w:t>It is recommended that both MS revise the provided information on the costs of urban and municipal space rehabilitation.</w:t>
            </w:r>
          </w:p>
        </w:tc>
        <w:tc>
          <w:tcPr>
            <w:tcW w:w="4678" w:type="dxa"/>
          </w:tcPr>
          <w:p w:rsidR="001E7E94" w:rsidRDefault="001E7E94" w:rsidP="00E43A82">
            <w:pPr>
              <w:jc w:val="both"/>
              <w:rPr>
                <w:rFonts w:asciiTheme="majorHAnsi" w:eastAsia="Calibri" w:hAnsiTheme="majorHAnsi" w:cs="Times New Roman"/>
              </w:rPr>
            </w:pPr>
            <w:r w:rsidRPr="001E7E94">
              <w:rPr>
                <w:rFonts w:asciiTheme="majorHAnsi" w:eastAsia="Calibri" w:hAnsiTheme="majorHAnsi" w:cs="Times New Roman"/>
              </w:rPr>
              <w:t>The evaluators should assess if these targets reflect the expected effects of the actions as well as other external developments potentially influencing them. They should assess their plausibility against the corresponding baselines, past experience and relevant economic trends (Ex-ante Guidelines p. 13).</w:t>
            </w:r>
          </w:p>
        </w:tc>
        <w:tc>
          <w:tcPr>
            <w:tcW w:w="1843" w:type="dxa"/>
          </w:tcPr>
          <w:p w:rsidR="001E7E94" w:rsidRDefault="001E7E94" w:rsidP="006C323C">
            <w:pPr>
              <w:jc w:val="both"/>
              <w:rPr>
                <w:rFonts w:eastAsia="Times New Roman" w:cs="Times New Roman"/>
              </w:rPr>
            </w:pPr>
            <w:r>
              <w:rPr>
                <w:rFonts w:eastAsia="Times New Roman" w:cs="Times New Roman"/>
              </w:rPr>
              <w:t xml:space="preserve">During the JPC meeting on 16 June MS discussed this issue and decided to take a cautious approach when setting the target value. According to the updated Programme, the target value “could be reviewed”. </w:t>
            </w:r>
          </w:p>
        </w:tc>
      </w:tr>
      <w:tr w:rsidR="00CB403B" w:rsidRPr="00B321E6" w:rsidTr="003561F0">
        <w:trPr>
          <w:trHeight w:val="1001"/>
        </w:trPr>
        <w:tc>
          <w:tcPr>
            <w:tcW w:w="709" w:type="dxa"/>
          </w:tcPr>
          <w:p w:rsidR="00CB403B" w:rsidRDefault="00180E4B" w:rsidP="009C014F">
            <w:pPr>
              <w:jc w:val="both"/>
              <w:rPr>
                <w:rFonts w:asciiTheme="majorHAnsi" w:eastAsia="Times New Roman" w:hAnsiTheme="majorHAnsi" w:cs="Times New Roman"/>
              </w:rPr>
            </w:pPr>
            <w:r>
              <w:rPr>
                <w:rFonts w:asciiTheme="majorHAnsi" w:eastAsia="Times New Roman" w:hAnsiTheme="majorHAnsi" w:cs="Times New Roman"/>
              </w:rPr>
              <w:lastRenderedPageBreak/>
              <w:t>10</w:t>
            </w:r>
            <w:r w:rsidR="008852DF">
              <w:rPr>
                <w:rFonts w:asciiTheme="majorHAnsi" w:eastAsia="Times New Roman" w:hAnsiTheme="majorHAnsi" w:cs="Times New Roman"/>
              </w:rPr>
              <w:t>.</w:t>
            </w:r>
          </w:p>
        </w:tc>
        <w:tc>
          <w:tcPr>
            <w:tcW w:w="993" w:type="dxa"/>
          </w:tcPr>
          <w:p w:rsidR="00CB403B" w:rsidRPr="00222B2A" w:rsidRDefault="00CB403B" w:rsidP="00255B85">
            <w:pPr>
              <w:jc w:val="both"/>
              <w:rPr>
                <w:rFonts w:asciiTheme="majorHAnsi" w:eastAsia="Times New Roman" w:hAnsiTheme="majorHAnsi" w:cs="Times New Roman"/>
              </w:rPr>
            </w:pPr>
            <w:r>
              <w:rPr>
                <w:rFonts w:asciiTheme="majorHAnsi" w:eastAsia="Times New Roman" w:hAnsiTheme="majorHAnsi" w:cs="Times New Roman"/>
              </w:rPr>
              <w:t>4.2.</w:t>
            </w:r>
          </w:p>
        </w:tc>
        <w:tc>
          <w:tcPr>
            <w:tcW w:w="3402" w:type="dxa"/>
          </w:tcPr>
          <w:p w:rsidR="00CB403B" w:rsidRPr="00222B2A" w:rsidRDefault="00CB403B" w:rsidP="00447433">
            <w:pPr>
              <w:jc w:val="both"/>
              <w:rPr>
                <w:rFonts w:eastAsia="Arial" w:cs="Times New Roman"/>
              </w:rPr>
            </w:pPr>
            <w:r w:rsidRPr="00CB403B">
              <w:rPr>
                <w:rFonts w:eastAsia="Arial" w:cs="Times New Roman"/>
              </w:rPr>
              <w:t xml:space="preserve">The TO8 IP2 </w:t>
            </w:r>
            <w:r w:rsidR="00447433">
              <w:rPr>
                <w:rFonts w:eastAsia="Arial" w:cs="Times New Roman"/>
              </w:rPr>
              <w:t>output</w:t>
            </w:r>
            <w:r w:rsidR="00447433" w:rsidRPr="00CB403B">
              <w:rPr>
                <w:rFonts w:eastAsia="Arial" w:cs="Times New Roman"/>
              </w:rPr>
              <w:t xml:space="preserve"> </w:t>
            </w:r>
            <w:r w:rsidRPr="00CB403B">
              <w:rPr>
                <w:rFonts w:eastAsia="Arial" w:cs="Times New Roman"/>
              </w:rPr>
              <w:t xml:space="preserve">target value is 46 km (“total length of reconstructed or upgraded roads in the border area”). The “cautious approach” of decreasing all output target values by 30% has not been applied to the TO8 IP2 target value. </w:t>
            </w:r>
          </w:p>
        </w:tc>
        <w:tc>
          <w:tcPr>
            <w:tcW w:w="2409" w:type="dxa"/>
          </w:tcPr>
          <w:p w:rsidR="00CB403B" w:rsidRPr="00222B2A" w:rsidRDefault="00CB403B" w:rsidP="00447433">
            <w:pPr>
              <w:jc w:val="both"/>
              <w:rPr>
                <w:rFonts w:eastAsia="Arial" w:cs="Times New Roman"/>
              </w:rPr>
            </w:pPr>
            <w:r w:rsidRPr="00CB403B">
              <w:rPr>
                <w:rFonts w:eastAsia="Arial" w:cs="Times New Roman"/>
              </w:rPr>
              <w:t xml:space="preserve">It is </w:t>
            </w:r>
            <w:r w:rsidR="00447433">
              <w:rPr>
                <w:rFonts w:eastAsia="Arial" w:cs="Times New Roman"/>
              </w:rPr>
              <w:t xml:space="preserve">recommended to state in the Programme the proposed action in case the actual costs differ from planned funding and its impact on output value. </w:t>
            </w:r>
          </w:p>
        </w:tc>
        <w:tc>
          <w:tcPr>
            <w:tcW w:w="4678" w:type="dxa"/>
          </w:tcPr>
          <w:p w:rsidR="00CB403B" w:rsidRPr="00222B2A" w:rsidRDefault="00CB403B" w:rsidP="00E43A82">
            <w:pPr>
              <w:jc w:val="both"/>
              <w:rPr>
                <w:rFonts w:asciiTheme="majorHAnsi" w:eastAsia="Calibri" w:hAnsiTheme="majorHAnsi" w:cs="Times New Roman"/>
              </w:rPr>
            </w:pPr>
            <w:r w:rsidRPr="007F524B">
              <w:rPr>
                <w:rFonts w:eastAsia="Times New Roman" w:cs="Times New Roman"/>
              </w:rPr>
              <w:t>The evaluators should assess if these targets reflect the expected effects of the actions as well as other external developments potentially influencing them. They should assess their plausibility against the corresponding baselines, past experience and re</w:t>
            </w:r>
            <w:r>
              <w:rPr>
                <w:rFonts w:eastAsia="Times New Roman" w:cs="Times New Roman"/>
              </w:rPr>
              <w:t xml:space="preserve">levant economic trends </w:t>
            </w:r>
            <w:r w:rsidRPr="007F524B">
              <w:rPr>
                <w:rFonts w:eastAsia="Times New Roman" w:cs="Times New Roman"/>
              </w:rPr>
              <w:t>(Ex-ante Guidelines p. 13).</w:t>
            </w:r>
          </w:p>
        </w:tc>
        <w:tc>
          <w:tcPr>
            <w:tcW w:w="1843" w:type="dxa"/>
          </w:tcPr>
          <w:p w:rsidR="00CB403B" w:rsidRPr="00222B2A" w:rsidRDefault="002A61FD" w:rsidP="00222B2A">
            <w:pPr>
              <w:jc w:val="both"/>
              <w:rPr>
                <w:rFonts w:asciiTheme="majorHAnsi" w:eastAsia="Calibri" w:hAnsiTheme="majorHAnsi" w:cs="Times New Roman"/>
              </w:rPr>
            </w:pPr>
            <w:r>
              <w:rPr>
                <w:rFonts w:eastAsia="Times New Roman" w:cs="Times New Roman"/>
              </w:rPr>
              <w:t>Was</w:t>
            </w:r>
            <w:r w:rsidR="00CB403B" w:rsidRPr="00A41F31">
              <w:rPr>
                <w:rFonts w:eastAsia="Times New Roman" w:cs="Times New Roman"/>
              </w:rPr>
              <w:t xml:space="preserve"> discusse</w:t>
            </w:r>
            <w:r>
              <w:rPr>
                <w:rFonts w:eastAsia="Times New Roman" w:cs="Times New Roman"/>
              </w:rPr>
              <w:t xml:space="preserve">d during </w:t>
            </w:r>
            <w:r w:rsidR="00D91229">
              <w:rPr>
                <w:rFonts w:eastAsia="Times New Roman" w:cs="Times New Roman"/>
              </w:rPr>
              <w:t xml:space="preserve">the </w:t>
            </w:r>
            <w:r>
              <w:rPr>
                <w:rFonts w:eastAsia="Times New Roman" w:cs="Times New Roman"/>
              </w:rPr>
              <w:t xml:space="preserve">JPC meeting on 16 June and the updated Programme includes rules, which will be applied, if the actual costs of road reconstruction increase. </w:t>
            </w:r>
          </w:p>
        </w:tc>
      </w:tr>
      <w:tr w:rsidR="00F801E9" w:rsidRPr="00B321E6" w:rsidTr="003561F0">
        <w:trPr>
          <w:trHeight w:val="1001"/>
        </w:trPr>
        <w:tc>
          <w:tcPr>
            <w:tcW w:w="709" w:type="dxa"/>
          </w:tcPr>
          <w:p w:rsidR="00F801E9" w:rsidRDefault="008852DF" w:rsidP="009C014F">
            <w:pPr>
              <w:jc w:val="both"/>
              <w:rPr>
                <w:rFonts w:asciiTheme="majorHAnsi" w:eastAsia="Times New Roman" w:hAnsiTheme="majorHAnsi" w:cs="Times New Roman"/>
              </w:rPr>
            </w:pPr>
            <w:r>
              <w:rPr>
                <w:rFonts w:asciiTheme="majorHAnsi" w:eastAsia="Times New Roman" w:hAnsiTheme="majorHAnsi" w:cs="Times New Roman"/>
              </w:rPr>
              <w:t>1</w:t>
            </w:r>
            <w:r w:rsidR="00180E4B">
              <w:rPr>
                <w:rFonts w:asciiTheme="majorHAnsi" w:eastAsia="Times New Roman" w:hAnsiTheme="majorHAnsi" w:cs="Times New Roman"/>
              </w:rPr>
              <w:t>1</w:t>
            </w:r>
            <w:r>
              <w:rPr>
                <w:rFonts w:asciiTheme="majorHAnsi" w:eastAsia="Times New Roman" w:hAnsiTheme="majorHAnsi" w:cs="Times New Roman"/>
              </w:rPr>
              <w:t>.</w:t>
            </w:r>
          </w:p>
        </w:tc>
        <w:tc>
          <w:tcPr>
            <w:tcW w:w="993" w:type="dxa"/>
          </w:tcPr>
          <w:p w:rsidR="00F801E9" w:rsidRPr="00222B2A" w:rsidRDefault="00F801E9" w:rsidP="00255B85">
            <w:pPr>
              <w:jc w:val="both"/>
              <w:rPr>
                <w:rFonts w:asciiTheme="majorHAnsi" w:eastAsia="Times New Roman" w:hAnsiTheme="majorHAnsi" w:cs="Times New Roman"/>
              </w:rPr>
            </w:pPr>
            <w:r>
              <w:rPr>
                <w:rFonts w:asciiTheme="majorHAnsi" w:eastAsia="Times New Roman" w:hAnsiTheme="majorHAnsi" w:cs="Times New Roman"/>
              </w:rPr>
              <w:t>4.2.</w:t>
            </w:r>
          </w:p>
        </w:tc>
        <w:tc>
          <w:tcPr>
            <w:tcW w:w="3402" w:type="dxa"/>
          </w:tcPr>
          <w:p w:rsidR="00F801E9" w:rsidRPr="00222B2A" w:rsidRDefault="00F801E9" w:rsidP="00FC6E93">
            <w:pPr>
              <w:jc w:val="both"/>
              <w:rPr>
                <w:rFonts w:eastAsia="Arial" w:cs="Times New Roman"/>
              </w:rPr>
            </w:pPr>
            <w:r w:rsidRPr="00F801E9">
              <w:rPr>
                <w:rFonts w:eastAsia="Arial" w:cs="Times New Roman"/>
              </w:rPr>
              <w:t xml:space="preserve">Definition of “deprived communities” in the TO9 IP2 output indicator “number of deprived communities participating in the regeneration activities” remains slightly unclear. </w:t>
            </w:r>
          </w:p>
        </w:tc>
        <w:tc>
          <w:tcPr>
            <w:tcW w:w="2409" w:type="dxa"/>
          </w:tcPr>
          <w:p w:rsidR="00F801E9" w:rsidRPr="00222B2A" w:rsidRDefault="00F801E9" w:rsidP="00F51433">
            <w:pPr>
              <w:jc w:val="both"/>
              <w:rPr>
                <w:rFonts w:eastAsia="Arial" w:cs="Times New Roman"/>
              </w:rPr>
            </w:pPr>
            <w:r>
              <w:rPr>
                <w:rFonts w:eastAsia="Arial" w:cs="Times New Roman"/>
              </w:rPr>
              <w:t>It is recommended</w:t>
            </w:r>
            <w:r w:rsidRPr="00F801E9">
              <w:rPr>
                <w:rFonts w:eastAsia="Arial" w:cs="Times New Roman"/>
              </w:rPr>
              <w:t xml:space="preserve"> to provide a clear definition and criteria for the communities that fall under this category. This definition and criteria can be included in the Programme Manual so that the beneficiaries fully understand the indicator and can submit correct data in their Progress reports.</w:t>
            </w:r>
          </w:p>
        </w:tc>
        <w:tc>
          <w:tcPr>
            <w:tcW w:w="4678" w:type="dxa"/>
          </w:tcPr>
          <w:p w:rsidR="00F801E9" w:rsidRPr="00222B2A" w:rsidRDefault="000E0C04" w:rsidP="00FC6E93">
            <w:pPr>
              <w:jc w:val="both"/>
              <w:rPr>
                <w:rFonts w:asciiTheme="majorHAnsi" w:eastAsia="Calibri" w:hAnsiTheme="majorHAnsi" w:cs="Times New Roman"/>
              </w:rPr>
            </w:pPr>
            <w:r w:rsidRPr="007F524B">
              <w:rPr>
                <w:rFonts w:eastAsia="Times New Roman" w:cs="Times New Roman"/>
              </w:rPr>
              <w:t>The evaluators should assess if these targets reflect the expected effects of the actions as well as other external developments potentially influencing them. They should assess their plausibility against the corresponding baselines, past experience and re</w:t>
            </w:r>
            <w:r>
              <w:rPr>
                <w:rFonts w:eastAsia="Times New Roman" w:cs="Times New Roman"/>
              </w:rPr>
              <w:t xml:space="preserve">levant economic trends </w:t>
            </w:r>
            <w:r w:rsidRPr="007F524B">
              <w:rPr>
                <w:rFonts w:eastAsia="Times New Roman" w:cs="Times New Roman"/>
              </w:rPr>
              <w:t>(Ex-ante Guidelines p. 13).</w:t>
            </w:r>
          </w:p>
        </w:tc>
        <w:tc>
          <w:tcPr>
            <w:tcW w:w="1843" w:type="dxa"/>
          </w:tcPr>
          <w:p w:rsidR="00F801E9" w:rsidRPr="00222B2A" w:rsidRDefault="00D32051" w:rsidP="00222B2A">
            <w:pPr>
              <w:jc w:val="both"/>
              <w:rPr>
                <w:rFonts w:asciiTheme="majorHAnsi" w:eastAsia="Calibri" w:hAnsiTheme="majorHAnsi" w:cs="Times New Roman"/>
              </w:rPr>
            </w:pPr>
            <w:r>
              <w:rPr>
                <w:rFonts w:eastAsia="Times New Roman" w:cs="Times New Roman"/>
              </w:rPr>
              <w:t>Was</w:t>
            </w:r>
            <w:r w:rsidR="00752361" w:rsidRPr="00A41F31">
              <w:rPr>
                <w:rFonts w:eastAsia="Times New Roman" w:cs="Times New Roman"/>
              </w:rPr>
              <w:t xml:space="preserve"> discusse</w:t>
            </w:r>
            <w:r>
              <w:rPr>
                <w:rFonts w:eastAsia="Times New Roman" w:cs="Times New Roman"/>
              </w:rPr>
              <w:t xml:space="preserve">d during </w:t>
            </w:r>
            <w:r w:rsidR="00D91229">
              <w:rPr>
                <w:rFonts w:eastAsia="Times New Roman" w:cs="Times New Roman"/>
              </w:rPr>
              <w:t xml:space="preserve">the </w:t>
            </w:r>
            <w:r>
              <w:rPr>
                <w:rFonts w:eastAsia="Times New Roman" w:cs="Times New Roman"/>
              </w:rPr>
              <w:t>JPC meeting on 16 June and agreed to include</w:t>
            </w:r>
            <w:r w:rsidR="00430857">
              <w:rPr>
                <w:rFonts w:eastAsia="Times New Roman" w:cs="Times New Roman"/>
              </w:rPr>
              <w:t xml:space="preserve"> a</w:t>
            </w:r>
            <w:r>
              <w:rPr>
                <w:rFonts w:eastAsia="Times New Roman" w:cs="Times New Roman"/>
              </w:rPr>
              <w:t xml:space="preserve"> definition of “deprived communities” </w:t>
            </w:r>
            <w:r w:rsidR="00430857">
              <w:rPr>
                <w:rFonts w:eastAsia="Times New Roman" w:cs="Times New Roman"/>
              </w:rPr>
              <w:t>in the Programme Manual.</w:t>
            </w:r>
          </w:p>
        </w:tc>
      </w:tr>
      <w:tr w:rsidR="00A8490F" w:rsidRPr="00B321E6" w:rsidTr="003561F0">
        <w:trPr>
          <w:trHeight w:val="1001"/>
        </w:trPr>
        <w:tc>
          <w:tcPr>
            <w:tcW w:w="709" w:type="dxa"/>
          </w:tcPr>
          <w:p w:rsidR="00A8490F" w:rsidRDefault="00180E4B" w:rsidP="009C014F">
            <w:pPr>
              <w:jc w:val="both"/>
              <w:rPr>
                <w:rFonts w:asciiTheme="majorHAnsi" w:eastAsia="Times New Roman" w:hAnsiTheme="majorHAnsi" w:cs="Times New Roman"/>
              </w:rPr>
            </w:pPr>
            <w:r>
              <w:rPr>
                <w:rFonts w:asciiTheme="majorHAnsi" w:eastAsia="Times New Roman" w:hAnsiTheme="majorHAnsi" w:cs="Times New Roman"/>
              </w:rPr>
              <w:lastRenderedPageBreak/>
              <w:t>12.</w:t>
            </w:r>
          </w:p>
        </w:tc>
        <w:tc>
          <w:tcPr>
            <w:tcW w:w="993" w:type="dxa"/>
          </w:tcPr>
          <w:p w:rsidR="00A8490F" w:rsidRDefault="00A8490F" w:rsidP="00255B85">
            <w:pPr>
              <w:jc w:val="both"/>
              <w:rPr>
                <w:rFonts w:asciiTheme="majorHAnsi" w:eastAsia="Times New Roman" w:hAnsiTheme="majorHAnsi" w:cs="Times New Roman"/>
              </w:rPr>
            </w:pPr>
            <w:r>
              <w:rPr>
                <w:rFonts w:asciiTheme="majorHAnsi" w:eastAsia="Times New Roman" w:hAnsiTheme="majorHAnsi" w:cs="Times New Roman"/>
              </w:rPr>
              <w:t>4.3.</w:t>
            </w:r>
          </w:p>
        </w:tc>
        <w:tc>
          <w:tcPr>
            <w:tcW w:w="3402" w:type="dxa"/>
          </w:tcPr>
          <w:p w:rsidR="00A8490F" w:rsidRPr="00F801E9" w:rsidRDefault="00A8490F" w:rsidP="00A8490F">
            <w:pPr>
              <w:jc w:val="both"/>
              <w:rPr>
                <w:rFonts w:eastAsia="Arial" w:cs="Times New Roman"/>
              </w:rPr>
            </w:pPr>
            <w:r>
              <w:rPr>
                <w:rFonts w:eastAsia="Arial" w:cs="Times New Roman"/>
              </w:rPr>
              <w:t xml:space="preserve">A </w:t>
            </w:r>
            <w:r w:rsidRPr="00A8490F">
              <w:rPr>
                <w:rFonts w:eastAsia="Arial" w:cs="Times New Roman"/>
              </w:rPr>
              <w:t>very cautious approach was chosen to setting the milestones</w:t>
            </w:r>
            <w:r>
              <w:rPr>
                <w:rFonts w:eastAsia="Arial" w:cs="Times New Roman"/>
              </w:rPr>
              <w:t>.</w:t>
            </w:r>
            <w:r w:rsidRPr="00A8490F">
              <w:rPr>
                <w:rFonts w:eastAsia="Arial" w:cs="Times New Roman"/>
              </w:rPr>
              <w:t xml:space="preserve"> </w:t>
            </w:r>
          </w:p>
        </w:tc>
        <w:tc>
          <w:tcPr>
            <w:tcW w:w="2409" w:type="dxa"/>
          </w:tcPr>
          <w:p w:rsidR="00A8490F" w:rsidRDefault="00A8490F" w:rsidP="00F51433">
            <w:pPr>
              <w:jc w:val="both"/>
              <w:rPr>
                <w:rFonts w:eastAsia="Arial" w:cs="Times New Roman"/>
              </w:rPr>
            </w:pPr>
            <w:r w:rsidRPr="00A8490F">
              <w:rPr>
                <w:rFonts w:eastAsia="Arial" w:cs="Times New Roman"/>
              </w:rPr>
              <w:t>Since a very cautious approach was chosen to setting the milestones it</w:t>
            </w:r>
            <w:r w:rsidR="00CF2BE8">
              <w:rPr>
                <w:rFonts w:eastAsia="Arial" w:cs="Times New Roman"/>
              </w:rPr>
              <w:t xml:space="preserve"> is recommended to provide</w:t>
            </w:r>
            <w:r w:rsidRPr="00A8490F">
              <w:rPr>
                <w:rFonts w:eastAsia="Arial" w:cs="Times New Roman"/>
              </w:rPr>
              <w:t xml:space="preserve"> a clear justification for the Commission as to why this approach was chosen and why more ambitious targets were not chosen.</w:t>
            </w:r>
          </w:p>
        </w:tc>
        <w:tc>
          <w:tcPr>
            <w:tcW w:w="4678" w:type="dxa"/>
          </w:tcPr>
          <w:p w:rsidR="00CE67E3" w:rsidRPr="00CE67E3" w:rsidRDefault="00CE67E3" w:rsidP="00CE67E3">
            <w:pPr>
              <w:jc w:val="both"/>
              <w:rPr>
                <w:rFonts w:eastAsia="Times New Roman" w:cs="Times New Roman"/>
              </w:rPr>
            </w:pPr>
            <w:r w:rsidRPr="00CE67E3">
              <w:rPr>
                <w:rFonts w:eastAsia="Times New Roman" w:cs="Times New Roman"/>
              </w:rPr>
              <w:t>Milestones and targets shall be:</w:t>
            </w:r>
          </w:p>
          <w:p w:rsidR="00CE67E3" w:rsidRPr="00CE67E3" w:rsidRDefault="00CE67E3" w:rsidP="00CE67E3">
            <w:pPr>
              <w:jc w:val="both"/>
              <w:rPr>
                <w:rFonts w:eastAsia="Times New Roman" w:cs="Times New Roman"/>
              </w:rPr>
            </w:pPr>
            <w:r w:rsidRPr="00CE67E3">
              <w:rPr>
                <w:rFonts w:eastAsia="Times New Roman" w:cs="Times New Roman"/>
              </w:rPr>
              <w:t>(a) realistic, achievable, relevant, capturing essential information on the progress of a priority;</w:t>
            </w:r>
          </w:p>
          <w:p w:rsidR="00CE67E3" w:rsidRPr="00CE67E3" w:rsidRDefault="00CE67E3" w:rsidP="00CE67E3">
            <w:pPr>
              <w:jc w:val="both"/>
              <w:rPr>
                <w:rFonts w:eastAsia="Times New Roman" w:cs="Times New Roman"/>
              </w:rPr>
            </w:pPr>
            <w:r w:rsidRPr="00CE67E3">
              <w:rPr>
                <w:rFonts w:eastAsia="Times New Roman" w:cs="Times New Roman"/>
              </w:rPr>
              <w:t>(b) consistent with the nature and character of the specific objectives of the priority;</w:t>
            </w:r>
          </w:p>
          <w:p w:rsidR="00CE67E3" w:rsidRPr="00CE67E3" w:rsidRDefault="00CE67E3" w:rsidP="00CE67E3">
            <w:pPr>
              <w:jc w:val="both"/>
              <w:rPr>
                <w:rFonts w:eastAsia="Times New Roman" w:cs="Times New Roman"/>
              </w:rPr>
            </w:pPr>
            <w:r w:rsidRPr="00CE67E3">
              <w:rPr>
                <w:rFonts w:eastAsia="Times New Roman" w:cs="Times New Roman"/>
              </w:rPr>
              <w:t>(c) transparent, with objectively verifiable targets and the source data identified and, where possible, publicly available;</w:t>
            </w:r>
          </w:p>
          <w:p w:rsidR="00CE67E3" w:rsidRPr="00CE67E3" w:rsidRDefault="00CE67E3" w:rsidP="00CE67E3">
            <w:pPr>
              <w:jc w:val="both"/>
              <w:rPr>
                <w:rFonts w:eastAsia="Times New Roman" w:cs="Times New Roman"/>
              </w:rPr>
            </w:pPr>
            <w:r w:rsidRPr="00CE67E3">
              <w:rPr>
                <w:rFonts w:eastAsia="Times New Roman" w:cs="Times New Roman"/>
              </w:rPr>
              <w:t>(d) verifiable, without imposing a disproportionate administrative burden;</w:t>
            </w:r>
          </w:p>
          <w:p w:rsidR="00CE67E3" w:rsidRPr="007F524B" w:rsidRDefault="00CE67E3" w:rsidP="00CE67E3">
            <w:pPr>
              <w:jc w:val="both"/>
              <w:rPr>
                <w:rFonts w:eastAsia="Times New Roman" w:cs="Times New Roman"/>
              </w:rPr>
            </w:pPr>
            <w:r w:rsidRPr="00CE67E3">
              <w:rPr>
                <w:rFonts w:eastAsia="Times New Roman" w:cs="Times New Roman"/>
              </w:rPr>
              <w:t xml:space="preserve">(e) </w:t>
            </w:r>
            <w:proofErr w:type="gramStart"/>
            <w:r w:rsidRPr="00CE67E3">
              <w:rPr>
                <w:rFonts w:eastAsia="Times New Roman" w:cs="Times New Roman"/>
              </w:rPr>
              <w:t>consistent</w:t>
            </w:r>
            <w:proofErr w:type="gramEnd"/>
            <w:r w:rsidRPr="00CE67E3">
              <w:rPr>
                <w:rFonts w:eastAsia="Times New Roman" w:cs="Times New Roman"/>
              </w:rPr>
              <w:t xml:space="preserve"> across programmes, where appropr</w:t>
            </w:r>
            <w:r w:rsidR="008228C9">
              <w:rPr>
                <w:rFonts w:eastAsia="Times New Roman" w:cs="Times New Roman"/>
              </w:rPr>
              <w:t>iate</w:t>
            </w:r>
            <w:r w:rsidR="00E86A40">
              <w:rPr>
                <w:rFonts w:eastAsia="Times New Roman" w:cs="Times New Roman"/>
              </w:rPr>
              <w:t xml:space="preserve"> </w:t>
            </w:r>
            <w:r>
              <w:rPr>
                <w:rFonts w:eastAsia="Times New Roman" w:cs="Times New Roman"/>
              </w:rPr>
              <w:t>(CPR, p. 423).</w:t>
            </w:r>
          </w:p>
        </w:tc>
        <w:tc>
          <w:tcPr>
            <w:tcW w:w="1843" w:type="dxa"/>
          </w:tcPr>
          <w:p w:rsidR="00A8490F" w:rsidRPr="00A41F31" w:rsidRDefault="007B230D" w:rsidP="007B230D">
            <w:pPr>
              <w:jc w:val="both"/>
              <w:rPr>
                <w:rFonts w:eastAsia="Times New Roman" w:cs="Times New Roman"/>
              </w:rPr>
            </w:pPr>
            <w:r>
              <w:rPr>
                <w:rFonts w:eastAsia="Times New Roman" w:cs="Times New Roman"/>
              </w:rPr>
              <w:t>Was</w:t>
            </w:r>
            <w:r w:rsidRPr="00A41F31">
              <w:rPr>
                <w:rFonts w:eastAsia="Times New Roman" w:cs="Times New Roman"/>
              </w:rPr>
              <w:t xml:space="preserve"> discusse</w:t>
            </w:r>
            <w:r>
              <w:rPr>
                <w:rFonts w:eastAsia="Times New Roman" w:cs="Times New Roman"/>
              </w:rPr>
              <w:t xml:space="preserve">d during </w:t>
            </w:r>
            <w:r w:rsidR="00D91229">
              <w:rPr>
                <w:rFonts w:eastAsia="Times New Roman" w:cs="Times New Roman"/>
              </w:rPr>
              <w:t xml:space="preserve">the </w:t>
            </w:r>
            <w:r>
              <w:rPr>
                <w:rFonts w:eastAsia="Times New Roman" w:cs="Times New Roman"/>
              </w:rPr>
              <w:t>JPC meeting on 16 June and agreed to provide a</w:t>
            </w:r>
            <w:r w:rsidR="00265EC3">
              <w:rPr>
                <w:rFonts w:eastAsia="Times New Roman" w:cs="Times New Roman"/>
              </w:rPr>
              <w:t>n explanation for the Commission</w:t>
            </w:r>
            <w:r>
              <w:rPr>
                <w:rFonts w:eastAsia="Times New Roman" w:cs="Times New Roman"/>
              </w:rPr>
              <w:t xml:space="preserve"> as to why such cautious approach was chosen.</w:t>
            </w:r>
          </w:p>
        </w:tc>
      </w:tr>
      <w:tr w:rsidR="007E3078" w:rsidRPr="00B321E6" w:rsidTr="003561F0">
        <w:trPr>
          <w:trHeight w:val="1001"/>
        </w:trPr>
        <w:tc>
          <w:tcPr>
            <w:tcW w:w="709" w:type="dxa"/>
          </w:tcPr>
          <w:p w:rsidR="007E3078" w:rsidRDefault="008852DF" w:rsidP="009C014F">
            <w:pPr>
              <w:jc w:val="both"/>
              <w:rPr>
                <w:rFonts w:asciiTheme="majorHAnsi" w:eastAsia="Times New Roman" w:hAnsiTheme="majorHAnsi" w:cs="Times New Roman"/>
              </w:rPr>
            </w:pPr>
            <w:r>
              <w:rPr>
                <w:rFonts w:asciiTheme="majorHAnsi" w:eastAsia="Times New Roman" w:hAnsiTheme="majorHAnsi" w:cs="Times New Roman"/>
              </w:rPr>
              <w:t>1</w:t>
            </w:r>
            <w:r w:rsidR="00180E4B">
              <w:rPr>
                <w:rFonts w:asciiTheme="majorHAnsi" w:eastAsia="Times New Roman" w:hAnsiTheme="majorHAnsi" w:cs="Times New Roman"/>
              </w:rPr>
              <w:t>3</w:t>
            </w:r>
            <w:r>
              <w:rPr>
                <w:rFonts w:asciiTheme="majorHAnsi" w:eastAsia="Times New Roman" w:hAnsiTheme="majorHAnsi" w:cs="Times New Roman"/>
              </w:rPr>
              <w:t>.</w:t>
            </w:r>
          </w:p>
        </w:tc>
        <w:tc>
          <w:tcPr>
            <w:tcW w:w="993" w:type="dxa"/>
          </w:tcPr>
          <w:p w:rsidR="007E3078" w:rsidRPr="00222B2A" w:rsidRDefault="007E3078" w:rsidP="00255B85">
            <w:pPr>
              <w:jc w:val="both"/>
              <w:rPr>
                <w:rFonts w:asciiTheme="majorHAnsi" w:eastAsia="Times New Roman" w:hAnsiTheme="majorHAnsi" w:cs="Times New Roman"/>
              </w:rPr>
            </w:pPr>
            <w:r>
              <w:rPr>
                <w:rFonts w:asciiTheme="majorHAnsi" w:eastAsia="Times New Roman" w:hAnsiTheme="majorHAnsi" w:cs="Times New Roman"/>
              </w:rPr>
              <w:t>5.</w:t>
            </w:r>
          </w:p>
        </w:tc>
        <w:tc>
          <w:tcPr>
            <w:tcW w:w="3402" w:type="dxa"/>
          </w:tcPr>
          <w:p w:rsidR="007E3078" w:rsidRPr="00222B2A" w:rsidRDefault="007E3078" w:rsidP="00FC6E93">
            <w:pPr>
              <w:jc w:val="both"/>
              <w:rPr>
                <w:rFonts w:eastAsia="Arial" w:cs="Times New Roman"/>
              </w:rPr>
            </w:pPr>
            <w:r>
              <w:rPr>
                <w:rFonts w:eastAsia="Arial" w:cs="Times New Roman"/>
              </w:rPr>
              <w:t>N</w:t>
            </w:r>
            <w:r w:rsidRPr="007E3078">
              <w:rPr>
                <w:rFonts w:eastAsia="Arial" w:cs="Times New Roman"/>
              </w:rPr>
              <w:t xml:space="preserve">o limits are set for maximum cost of one project. </w:t>
            </w:r>
          </w:p>
        </w:tc>
        <w:tc>
          <w:tcPr>
            <w:tcW w:w="2409" w:type="dxa"/>
          </w:tcPr>
          <w:p w:rsidR="007E3078" w:rsidRPr="00222B2A" w:rsidRDefault="007E3078" w:rsidP="00F51433">
            <w:pPr>
              <w:jc w:val="both"/>
              <w:rPr>
                <w:rFonts w:eastAsia="Arial" w:cs="Times New Roman"/>
              </w:rPr>
            </w:pPr>
            <w:r w:rsidRPr="007E3078">
              <w:rPr>
                <w:rFonts w:eastAsia="Arial" w:cs="Times New Roman"/>
              </w:rPr>
              <w:t xml:space="preserve">It is recommended to </w:t>
            </w:r>
            <w:r w:rsidR="00BF4576">
              <w:rPr>
                <w:rFonts w:eastAsia="Arial" w:cs="Times New Roman"/>
              </w:rPr>
              <w:t xml:space="preserve">consider </w:t>
            </w:r>
            <w:r w:rsidRPr="007E3078">
              <w:rPr>
                <w:rFonts w:eastAsia="Arial" w:cs="Times New Roman"/>
              </w:rPr>
              <w:t>set</w:t>
            </w:r>
            <w:r w:rsidR="00BF4576">
              <w:rPr>
                <w:rFonts w:eastAsia="Arial" w:cs="Times New Roman"/>
              </w:rPr>
              <w:t>ting</w:t>
            </w:r>
            <w:r w:rsidRPr="007E3078">
              <w:rPr>
                <w:rFonts w:eastAsia="Arial" w:cs="Times New Roman"/>
              </w:rPr>
              <w:t xml:space="preserve"> the maxim</w:t>
            </w:r>
            <w:r w:rsidR="00BF4576">
              <w:rPr>
                <w:rFonts w:eastAsia="Arial" w:cs="Times New Roman"/>
              </w:rPr>
              <w:t>um</w:t>
            </w:r>
            <w:r w:rsidRPr="007E3078">
              <w:rPr>
                <w:rFonts w:eastAsia="Arial" w:cs="Times New Roman"/>
              </w:rPr>
              <w:t xml:space="preserve"> allowed cost of one project and include it in the Programme Manual.</w:t>
            </w:r>
          </w:p>
        </w:tc>
        <w:tc>
          <w:tcPr>
            <w:tcW w:w="4678" w:type="dxa"/>
          </w:tcPr>
          <w:p w:rsidR="007E3078" w:rsidRPr="00222B2A" w:rsidRDefault="007E3078">
            <w:pPr>
              <w:jc w:val="both"/>
              <w:rPr>
                <w:rFonts w:asciiTheme="majorHAnsi" w:eastAsia="Calibri" w:hAnsiTheme="majorHAnsi" w:cs="Times New Roman"/>
              </w:rPr>
            </w:pPr>
            <w:r w:rsidRPr="007E3078">
              <w:rPr>
                <w:rFonts w:eastAsia="Arial" w:cs="Times New Roman"/>
              </w:rPr>
              <w:t xml:space="preserve">If no such limit is set, there is a risk that this </w:t>
            </w:r>
            <w:r w:rsidR="00BF4576">
              <w:rPr>
                <w:rFonts w:eastAsia="Arial" w:cs="Times New Roman"/>
              </w:rPr>
              <w:t>could</w:t>
            </w:r>
            <w:r w:rsidR="00BF4576" w:rsidRPr="007E3078">
              <w:rPr>
                <w:rFonts w:eastAsia="Arial" w:cs="Times New Roman"/>
              </w:rPr>
              <w:t xml:space="preserve"> </w:t>
            </w:r>
            <w:r w:rsidRPr="007E3078">
              <w:rPr>
                <w:rFonts w:eastAsia="Arial" w:cs="Times New Roman"/>
              </w:rPr>
              <w:t>negatively impact the achievement of output target values.</w:t>
            </w:r>
          </w:p>
        </w:tc>
        <w:tc>
          <w:tcPr>
            <w:tcW w:w="1843" w:type="dxa"/>
          </w:tcPr>
          <w:p w:rsidR="007E3078" w:rsidRPr="00222B2A" w:rsidRDefault="00AC23E5" w:rsidP="00222B2A">
            <w:pPr>
              <w:jc w:val="both"/>
              <w:rPr>
                <w:rFonts w:asciiTheme="majorHAnsi" w:eastAsia="Calibri" w:hAnsiTheme="majorHAnsi" w:cs="Times New Roman"/>
              </w:rPr>
            </w:pPr>
            <w:r>
              <w:rPr>
                <w:rFonts w:eastAsia="Times New Roman" w:cs="Times New Roman"/>
              </w:rPr>
              <w:t>Was</w:t>
            </w:r>
            <w:r w:rsidR="007E3078" w:rsidRPr="00A41F31">
              <w:rPr>
                <w:rFonts w:eastAsia="Times New Roman" w:cs="Times New Roman"/>
              </w:rPr>
              <w:t xml:space="preserve"> discussed during </w:t>
            </w:r>
            <w:r w:rsidR="00D91229">
              <w:rPr>
                <w:rFonts w:eastAsia="Times New Roman" w:cs="Times New Roman"/>
              </w:rPr>
              <w:t xml:space="preserve">the </w:t>
            </w:r>
            <w:r w:rsidR="007E3078" w:rsidRPr="00A41F31">
              <w:rPr>
                <w:rFonts w:eastAsia="Times New Roman" w:cs="Times New Roman"/>
              </w:rPr>
              <w:t>JPC meeting on 16 Ju</w:t>
            </w:r>
            <w:r>
              <w:rPr>
                <w:rFonts w:eastAsia="Times New Roman" w:cs="Times New Roman"/>
              </w:rPr>
              <w:t xml:space="preserve">ne and agreed to include the limits for maximum cost of one project in the Programme Manual. </w:t>
            </w:r>
          </w:p>
        </w:tc>
      </w:tr>
      <w:tr w:rsidR="001D5021" w:rsidRPr="00B321E6" w:rsidTr="003561F0">
        <w:trPr>
          <w:trHeight w:val="1001"/>
        </w:trPr>
        <w:tc>
          <w:tcPr>
            <w:tcW w:w="709" w:type="dxa"/>
          </w:tcPr>
          <w:p w:rsidR="001D5021" w:rsidRDefault="00180E4B" w:rsidP="009C014F">
            <w:pPr>
              <w:jc w:val="both"/>
              <w:rPr>
                <w:rFonts w:asciiTheme="majorHAnsi" w:eastAsia="Times New Roman" w:hAnsiTheme="majorHAnsi" w:cs="Times New Roman"/>
              </w:rPr>
            </w:pPr>
            <w:r>
              <w:rPr>
                <w:rFonts w:asciiTheme="majorHAnsi" w:eastAsia="Times New Roman" w:hAnsiTheme="majorHAnsi" w:cs="Times New Roman"/>
              </w:rPr>
              <w:t>14.</w:t>
            </w:r>
          </w:p>
        </w:tc>
        <w:tc>
          <w:tcPr>
            <w:tcW w:w="993" w:type="dxa"/>
          </w:tcPr>
          <w:p w:rsidR="001D5021" w:rsidRDefault="00C21FFB" w:rsidP="00255B85">
            <w:pPr>
              <w:jc w:val="both"/>
              <w:rPr>
                <w:rFonts w:asciiTheme="majorHAnsi" w:eastAsia="Times New Roman" w:hAnsiTheme="majorHAnsi" w:cs="Times New Roman"/>
              </w:rPr>
            </w:pPr>
            <w:r>
              <w:rPr>
                <w:rFonts w:asciiTheme="majorHAnsi" w:eastAsia="Times New Roman" w:hAnsiTheme="majorHAnsi" w:cs="Times New Roman"/>
              </w:rPr>
              <w:t>All sections</w:t>
            </w:r>
          </w:p>
        </w:tc>
        <w:tc>
          <w:tcPr>
            <w:tcW w:w="3402" w:type="dxa"/>
          </w:tcPr>
          <w:p w:rsidR="00943889" w:rsidRDefault="00943889" w:rsidP="00FC6E93">
            <w:pPr>
              <w:jc w:val="both"/>
              <w:rPr>
                <w:rFonts w:eastAsia="Arial" w:cs="Times New Roman"/>
              </w:rPr>
            </w:pPr>
            <w:r w:rsidRPr="00943889">
              <w:rPr>
                <w:rFonts w:eastAsia="Arial" w:cs="Times New Roman"/>
              </w:rPr>
              <w:t xml:space="preserve">There </w:t>
            </w:r>
            <w:r>
              <w:rPr>
                <w:rFonts w:eastAsia="Arial" w:cs="Times New Roman"/>
              </w:rPr>
              <w:t>are some minor mistakes in sentence structure, vocabulary choice and punctuation in the Programme.</w:t>
            </w:r>
          </w:p>
          <w:p w:rsidR="00943889" w:rsidRDefault="00943889" w:rsidP="00FC6E93">
            <w:pPr>
              <w:jc w:val="both"/>
              <w:rPr>
                <w:rFonts w:eastAsia="Arial" w:cs="Times New Roman"/>
              </w:rPr>
            </w:pPr>
          </w:p>
          <w:p w:rsidR="00943889" w:rsidRDefault="00943889" w:rsidP="00943889">
            <w:pPr>
              <w:jc w:val="both"/>
              <w:rPr>
                <w:rFonts w:eastAsia="Arial" w:cs="Times New Roman"/>
              </w:rPr>
            </w:pPr>
            <w:r>
              <w:rPr>
                <w:rFonts w:eastAsia="Arial" w:cs="Times New Roman"/>
              </w:rPr>
              <w:t xml:space="preserve"> </w:t>
            </w:r>
          </w:p>
          <w:p w:rsidR="004B7146" w:rsidRDefault="004B7146" w:rsidP="00FC6E93">
            <w:pPr>
              <w:jc w:val="both"/>
              <w:rPr>
                <w:rFonts w:eastAsia="Arial" w:cs="Times New Roman"/>
              </w:rPr>
            </w:pPr>
          </w:p>
        </w:tc>
        <w:tc>
          <w:tcPr>
            <w:tcW w:w="2409" w:type="dxa"/>
          </w:tcPr>
          <w:p w:rsidR="00943889" w:rsidRDefault="00943889" w:rsidP="004B7146">
            <w:pPr>
              <w:jc w:val="both"/>
              <w:rPr>
                <w:rFonts w:eastAsia="Arial" w:cs="Times New Roman"/>
              </w:rPr>
            </w:pPr>
            <w:r>
              <w:rPr>
                <w:rFonts w:eastAsia="Arial" w:cs="Times New Roman"/>
              </w:rPr>
              <w:t xml:space="preserve">It is recommended to edit and proofread the Programme before its submission </w:t>
            </w:r>
            <w:r w:rsidR="003A5A11">
              <w:rPr>
                <w:rFonts w:eastAsia="Arial" w:cs="Times New Roman"/>
              </w:rPr>
              <w:t>to the Commission</w:t>
            </w:r>
            <w:r>
              <w:rPr>
                <w:rFonts w:eastAsia="Arial" w:cs="Times New Roman"/>
              </w:rPr>
              <w:t xml:space="preserve">. </w:t>
            </w:r>
          </w:p>
          <w:p w:rsidR="00943889" w:rsidRDefault="00943889" w:rsidP="004B7146">
            <w:pPr>
              <w:jc w:val="both"/>
              <w:rPr>
                <w:rFonts w:eastAsia="Arial" w:cs="Times New Roman"/>
              </w:rPr>
            </w:pPr>
          </w:p>
          <w:p w:rsidR="001D5021" w:rsidRPr="007E3078" w:rsidRDefault="001D5021" w:rsidP="004B7146">
            <w:pPr>
              <w:jc w:val="both"/>
              <w:rPr>
                <w:rFonts w:eastAsia="Arial" w:cs="Times New Roman"/>
              </w:rPr>
            </w:pPr>
          </w:p>
        </w:tc>
        <w:tc>
          <w:tcPr>
            <w:tcW w:w="4678" w:type="dxa"/>
          </w:tcPr>
          <w:p w:rsidR="001D5021" w:rsidRPr="007E3078" w:rsidRDefault="0079506A">
            <w:pPr>
              <w:jc w:val="both"/>
              <w:rPr>
                <w:rFonts w:eastAsia="Arial" w:cs="Times New Roman"/>
              </w:rPr>
            </w:pPr>
            <w:r>
              <w:rPr>
                <w:rFonts w:eastAsia="Arial" w:cs="Times New Roman"/>
              </w:rPr>
              <w:t>The Programme should be edited and proofread</w:t>
            </w:r>
            <w:r w:rsidR="00C77CF5">
              <w:rPr>
                <w:rFonts w:eastAsia="Arial" w:cs="Times New Roman"/>
              </w:rPr>
              <w:t xml:space="preserve"> before the submission to the Commission</w:t>
            </w:r>
            <w:r>
              <w:rPr>
                <w:rFonts w:eastAsia="Arial" w:cs="Times New Roman"/>
              </w:rPr>
              <w:t>.</w:t>
            </w:r>
          </w:p>
        </w:tc>
        <w:tc>
          <w:tcPr>
            <w:tcW w:w="1843" w:type="dxa"/>
          </w:tcPr>
          <w:p w:rsidR="001D5021" w:rsidRPr="00A41F31" w:rsidRDefault="004B7146" w:rsidP="00222B2A">
            <w:pPr>
              <w:jc w:val="both"/>
              <w:rPr>
                <w:rFonts w:eastAsia="Times New Roman" w:cs="Times New Roman"/>
              </w:rPr>
            </w:pPr>
            <w:r>
              <w:rPr>
                <w:rFonts w:eastAsia="Times New Roman" w:cs="Times New Roman"/>
              </w:rPr>
              <w:t>Was discussed during the JPC meeting on 16 June and agreed that the Programme will be edited and proofread before its submission</w:t>
            </w:r>
            <w:r w:rsidR="003A5A11">
              <w:rPr>
                <w:rFonts w:eastAsia="Times New Roman" w:cs="Times New Roman"/>
              </w:rPr>
              <w:t xml:space="preserve"> to the Commission</w:t>
            </w:r>
            <w:r>
              <w:rPr>
                <w:rFonts w:eastAsia="Times New Roman" w:cs="Times New Roman"/>
              </w:rPr>
              <w:t>.</w:t>
            </w:r>
          </w:p>
        </w:tc>
      </w:tr>
    </w:tbl>
    <w:p w:rsidR="00A6019F" w:rsidRDefault="00314016" w:rsidP="007B47BB">
      <w:pPr>
        <w:pStyle w:val="Caption"/>
        <w:rPr>
          <w:b w:val="0"/>
          <w:color w:val="000000" w:themeColor="text1"/>
        </w:rPr>
        <w:sectPr w:rsidR="00A6019F" w:rsidSect="00A6019F">
          <w:pgSz w:w="16838" w:h="11906" w:orient="landscape" w:code="9"/>
          <w:pgMar w:top="1021" w:right="1474" w:bottom="1021" w:left="1474" w:header="567" w:footer="567" w:gutter="0"/>
          <w:cols w:space="708"/>
          <w:docGrid w:linePitch="360"/>
        </w:sectPr>
      </w:pPr>
      <w:proofErr w:type="gramStart"/>
      <w:r>
        <w:t>Table</w:t>
      </w:r>
      <w:r w:rsidR="008D1784">
        <w:t xml:space="preserve"> 3</w:t>
      </w:r>
      <w:r>
        <w:t xml:space="preserve">: </w:t>
      </w:r>
      <w:r w:rsidRPr="00314016">
        <w:rPr>
          <w:b w:val="0"/>
          <w:color w:val="000000" w:themeColor="text1"/>
        </w:rPr>
        <w:t>Conclusion</w:t>
      </w:r>
      <w:r w:rsidR="00BA0956">
        <w:rPr>
          <w:b w:val="0"/>
          <w:color w:val="000000" w:themeColor="text1"/>
        </w:rPr>
        <w:t>s, recommendations and explanat</w:t>
      </w:r>
      <w:r w:rsidR="00A93291">
        <w:rPr>
          <w:b w:val="0"/>
          <w:color w:val="000000" w:themeColor="text1"/>
        </w:rPr>
        <w:t>ion</w:t>
      </w:r>
      <w:r w:rsidR="00FA45E3">
        <w:rPr>
          <w:b w:val="0"/>
          <w:color w:val="000000" w:themeColor="text1"/>
        </w:rPr>
        <w:t>.</w:t>
      </w:r>
      <w:proofErr w:type="gramEnd"/>
    </w:p>
    <w:p w:rsidR="00DC43CD" w:rsidRPr="00DC43CD" w:rsidRDefault="00DC43CD" w:rsidP="00DC43CD"/>
    <w:p w:rsidR="00C547A7" w:rsidRDefault="00714EDC" w:rsidP="00701AEA">
      <w:pPr>
        <w:pStyle w:val="Heading1NoSpacing"/>
        <w:numPr>
          <w:ilvl w:val="0"/>
          <w:numId w:val="7"/>
        </w:numPr>
      </w:pPr>
      <w:bookmarkStart w:id="31" w:name="_Toc390942554"/>
      <w:r>
        <w:t>Information s</w:t>
      </w:r>
      <w:r w:rsidR="00C547A7">
        <w:t>ources</w:t>
      </w:r>
      <w:bookmarkEnd w:id="31"/>
    </w:p>
    <w:p w:rsidR="00C547A7" w:rsidRPr="00554701" w:rsidRDefault="00C547A7" w:rsidP="00C547A7"/>
    <w:p w:rsidR="00C547A7" w:rsidRPr="00554701" w:rsidRDefault="00C547A7" w:rsidP="00701AEA">
      <w:pPr>
        <w:pStyle w:val="ListParagraph"/>
        <w:numPr>
          <w:ilvl w:val="0"/>
          <w:numId w:val="9"/>
        </w:numPr>
        <w:rPr>
          <w:color w:val="000000" w:themeColor="text1"/>
        </w:rPr>
      </w:pPr>
      <w:r w:rsidRPr="00554701">
        <w:rPr>
          <w:color w:val="000000" w:themeColor="text1"/>
        </w:rPr>
        <w:t xml:space="preserve">European Commission’s Regulation Proposals for 2014-2020 (in particular </w:t>
      </w:r>
      <w:r w:rsidR="009D197E" w:rsidRPr="00554701">
        <w:rPr>
          <w:color w:val="000000" w:themeColor="text1"/>
        </w:rPr>
        <w:t>CRP</w:t>
      </w:r>
      <w:r w:rsidR="00042DF6" w:rsidRPr="00554701">
        <w:rPr>
          <w:color w:val="000000" w:themeColor="text1"/>
        </w:rPr>
        <w:t>, ERDF and ETC R</w:t>
      </w:r>
      <w:r w:rsidRPr="00554701">
        <w:rPr>
          <w:color w:val="000000" w:themeColor="text1"/>
        </w:rPr>
        <w:t>egulation), (</w:t>
      </w:r>
      <w:hyperlink r:id="rId27" w:history="1">
        <w:r w:rsidRPr="00554701">
          <w:rPr>
            <w:rStyle w:val="Hyperlink"/>
            <w:color w:val="000000" w:themeColor="text1"/>
            <w:u w:val="none"/>
          </w:rPr>
          <w:t>http://ec.europa.eu/regional_policy/what/future/proposals_2014_2020_en.cfm</w:t>
        </w:r>
      </w:hyperlink>
      <w:r w:rsidRPr="00554701">
        <w:rPr>
          <w:color w:val="000000" w:themeColor="text1"/>
        </w:rPr>
        <w:t xml:space="preserve">) </w:t>
      </w:r>
    </w:p>
    <w:p w:rsidR="00C547A7" w:rsidRPr="00554701" w:rsidRDefault="00C547A7" w:rsidP="00701AEA">
      <w:pPr>
        <w:pStyle w:val="ListParagraph"/>
        <w:numPr>
          <w:ilvl w:val="0"/>
          <w:numId w:val="9"/>
        </w:numPr>
        <w:rPr>
          <w:color w:val="000000" w:themeColor="text1"/>
        </w:rPr>
      </w:pPr>
      <w:r w:rsidRPr="00554701">
        <w:rPr>
          <w:color w:val="000000" w:themeColor="text1"/>
        </w:rPr>
        <w:t>Draft Common Strategic Framework on Cohesion Policy 2014-2020.</w:t>
      </w:r>
    </w:p>
    <w:p w:rsidR="00C547A7" w:rsidRPr="00554701" w:rsidRDefault="00C547A7" w:rsidP="00701AEA">
      <w:pPr>
        <w:pStyle w:val="ListParagraph"/>
        <w:numPr>
          <w:ilvl w:val="0"/>
          <w:numId w:val="9"/>
        </w:numPr>
        <w:rPr>
          <w:color w:val="000000" w:themeColor="text1"/>
        </w:rPr>
      </w:pPr>
      <w:r w:rsidRPr="00554701">
        <w:rPr>
          <w:color w:val="000000" w:themeColor="text1"/>
        </w:rPr>
        <w:t>European Commission’s Regulations in Cohesion Policy for 2014-2020 adopted on 17 December 2013.</w:t>
      </w:r>
    </w:p>
    <w:p w:rsidR="00C547A7" w:rsidRPr="00554701" w:rsidRDefault="00C547A7" w:rsidP="00701AEA">
      <w:pPr>
        <w:pStyle w:val="ListParagraph"/>
        <w:numPr>
          <w:ilvl w:val="0"/>
          <w:numId w:val="9"/>
        </w:numPr>
        <w:rPr>
          <w:color w:val="000000" w:themeColor="text1"/>
        </w:rPr>
      </w:pPr>
      <w:r w:rsidRPr="00554701">
        <w:rPr>
          <w:color w:val="000000" w:themeColor="text1"/>
        </w:rPr>
        <w:t>Europe 2020: A strategy for smart, sustainable and inclusive growth.</w:t>
      </w:r>
    </w:p>
    <w:p w:rsidR="00C547A7" w:rsidRPr="00554701" w:rsidRDefault="00C547A7" w:rsidP="00701AEA">
      <w:pPr>
        <w:pStyle w:val="ListParagraph"/>
        <w:numPr>
          <w:ilvl w:val="0"/>
          <w:numId w:val="9"/>
        </w:numPr>
        <w:rPr>
          <w:color w:val="000000" w:themeColor="text1"/>
        </w:rPr>
      </w:pPr>
      <w:r w:rsidRPr="00554701">
        <w:rPr>
          <w:color w:val="000000" w:themeColor="text1"/>
        </w:rPr>
        <w:t>Commission Draft Guidan</w:t>
      </w:r>
      <w:r w:rsidR="00711005" w:rsidRPr="00554701">
        <w:rPr>
          <w:color w:val="000000" w:themeColor="text1"/>
        </w:rPr>
        <w:t>ce paper/working document on ex-</w:t>
      </w:r>
      <w:r w:rsidRPr="00554701">
        <w:rPr>
          <w:color w:val="000000" w:themeColor="text1"/>
        </w:rPr>
        <w:t>ante evaluation for the European Regional Development Fund, European Social Fund and Cohesion Fund. (annex I of the terms of reference), (</w:t>
      </w:r>
      <w:hyperlink r:id="rId28" w:history="1">
        <w:r w:rsidRPr="00554701">
          <w:rPr>
            <w:rStyle w:val="Hyperlink"/>
            <w:color w:val="000000" w:themeColor="text1"/>
            <w:u w:val="none"/>
          </w:rPr>
          <w:t>http://ec.europa.eu/regional_policy/sources/docoffic/2014/working/ex_ante_en.pdf</w:t>
        </w:r>
      </w:hyperlink>
      <w:r w:rsidRPr="00554701">
        <w:rPr>
          <w:color w:val="000000" w:themeColor="text1"/>
        </w:rPr>
        <w:t xml:space="preserve">) </w:t>
      </w:r>
    </w:p>
    <w:p w:rsidR="00C547A7" w:rsidRPr="00554701" w:rsidRDefault="00C547A7" w:rsidP="00701AEA">
      <w:pPr>
        <w:pStyle w:val="ListParagraph"/>
        <w:numPr>
          <w:ilvl w:val="0"/>
          <w:numId w:val="9"/>
        </w:numPr>
        <w:rPr>
          <w:color w:val="000000" w:themeColor="text1"/>
        </w:rPr>
      </w:pPr>
      <w:r w:rsidRPr="00554701">
        <w:rPr>
          <w:color w:val="000000" w:themeColor="text1"/>
        </w:rPr>
        <w:t>Directive 2001/42/EC of the European Parliament and of the Council of 27 June 2001 on the assessment of the effects of certain plans and programmes on the environment.</w:t>
      </w:r>
    </w:p>
    <w:p w:rsidR="00C547A7" w:rsidRPr="00554701" w:rsidRDefault="00C547A7" w:rsidP="00701AEA">
      <w:pPr>
        <w:pStyle w:val="ListParagraph"/>
        <w:numPr>
          <w:ilvl w:val="0"/>
          <w:numId w:val="9"/>
        </w:numPr>
        <w:rPr>
          <w:color w:val="000000" w:themeColor="text1"/>
        </w:rPr>
      </w:pPr>
      <w:r w:rsidRPr="00554701">
        <w:rPr>
          <w:color w:val="000000" w:themeColor="text1"/>
        </w:rPr>
        <w:t>Commission's Guidance on the implementation of Directive 2001/42/EC on the assessment of the effects of certain plans and programmes on the environment.</w:t>
      </w:r>
    </w:p>
    <w:p w:rsidR="00C547A7" w:rsidRPr="00554701" w:rsidRDefault="00C547A7" w:rsidP="00701AEA">
      <w:pPr>
        <w:pStyle w:val="ListParagraph"/>
        <w:numPr>
          <w:ilvl w:val="0"/>
          <w:numId w:val="9"/>
        </w:numPr>
        <w:rPr>
          <w:color w:val="000000" w:themeColor="text1"/>
        </w:rPr>
      </w:pPr>
      <w:r w:rsidRPr="00554701">
        <w:rPr>
          <w:color w:val="000000" w:themeColor="text1"/>
        </w:rPr>
        <w:t>Draft documents of Latvia - Lithuania Programme 2014-2020, as they are produced and the minutes of the JPG meetings.</w:t>
      </w:r>
    </w:p>
    <w:p w:rsidR="00C547A7" w:rsidRPr="00554701" w:rsidRDefault="00C547A7" w:rsidP="00701AEA">
      <w:pPr>
        <w:pStyle w:val="ListParagraph"/>
        <w:numPr>
          <w:ilvl w:val="0"/>
          <w:numId w:val="9"/>
        </w:numPr>
        <w:rPr>
          <w:color w:val="000000" w:themeColor="text1"/>
        </w:rPr>
      </w:pPr>
      <w:r w:rsidRPr="00554701">
        <w:rPr>
          <w:color w:val="000000" w:themeColor="text1"/>
        </w:rPr>
        <w:t>Interviews with the stakeholders of the Programme carried out during the evaluation.</w:t>
      </w:r>
    </w:p>
    <w:p w:rsidR="00C547A7" w:rsidRPr="00554701" w:rsidRDefault="00C547A7" w:rsidP="00701AEA">
      <w:pPr>
        <w:pStyle w:val="ListParagraph"/>
        <w:numPr>
          <w:ilvl w:val="0"/>
          <w:numId w:val="9"/>
        </w:numPr>
        <w:rPr>
          <w:color w:val="000000" w:themeColor="text1"/>
        </w:rPr>
      </w:pPr>
      <w:r w:rsidRPr="00554701">
        <w:rPr>
          <w:color w:val="000000" w:themeColor="text1"/>
        </w:rPr>
        <w:t>The Operational Programme and Programme Manual of the Latvia - Lithuania Programme 2007-2013, the ex-ante evaluation and mid-term evaluation carried out, as well as other relevant documents of the current programme.</w:t>
      </w:r>
    </w:p>
    <w:p w:rsidR="00C547A7" w:rsidRPr="00554701" w:rsidRDefault="00042DF6" w:rsidP="00701AEA">
      <w:pPr>
        <w:pStyle w:val="ListParagraph"/>
        <w:numPr>
          <w:ilvl w:val="0"/>
          <w:numId w:val="9"/>
        </w:numPr>
        <w:rPr>
          <w:color w:val="000000" w:themeColor="text1"/>
        </w:rPr>
      </w:pPr>
      <w:r w:rsidRPr="00554701">
        <w:rPr>
          <w:color w:val="000000" w:themeColor="text1"/>
        </w:rPr>
        <w:t>EU c</w:t>
      </w:r>
      <w:r w:rsidR="00C547A7" w:rsidRPr="00554701">
        <w:rPr>
          <w:color w:val="000000" w:themeColor="text1"/>
        </w:rPr>
        <w:t xml:space="preserve">ountry specific recommendations </w:t>
      </w:r>
      <w:r w:rsidR="00CC1E51" w:rsidRPr="00554701">
        <w:rPr>
          <w:color w:val="000000" w:themeColor="text1"/>
        </w:rPr>
        <w:t>(</w:t>
      </w:r>
      <w:hyperlink r:id="rId29" w:history="1">
        <w:r w:rsidR="00CC1E51" w:rsidRPr="00554701">
          <w:rPr>
            <w:rStyle w:val="Hyperlink"/>
            <w:color w:val="000000" w:themeColor="text1"/>
            <w:u w:val="none"/>
          </w:rPr>
          <w:t>http://ec.europa.eu/europe2020/reaching-the-goals/monitoring-progress/recommendations-2011/index_en.htm</w:t>
        </w:r>
      </w:hyperlink>
      <w:r w:rsidR="00CC1E51" w:rsidRPr="00554701">
        <w:rPr>
          <w:color w:val="000000" w:themeColor="text1"/>
        </w:rPr>
        <w:t xml:space="preserve">) </w:t>
      </w:r>
    </w:p>
    <w:p w:rsidR="00C547A7" w:rsidRPr="00554701" w:rsidRDefault="00C547A7" w:rsidP="00701AEA">
      <w:pPr>
        <w:pStyle w:val="ListParagraph"/>
        <w:numPr>
          <w:ilvl w:val="0"/>
          <w:numId w:val="9"/>
        </w:numPr>
        <w:rPr>
          <w:color w:val="000000" w:themeColor="text1"/>
        </w:rPr>
      </w:pPr>
      <w:r w:rsidRPr="00554701">
        <w:rPr>
          <w:color w:val="000000" w:themeColor="text1"/>
        </w:rPr>
        <w:t xml:space="preserve">Commission Staff Working Document The partnership principle in the implementation of the Common Strategic Framework Funds - elements for a European Code of Conduct on Partnership of 24.4.2012 SWD(2012) 106 final </w:t>
      </w:r>
      <w:r w:rsidR="00CC1E51" w:rsidRPr="00554701">
        <w:rPr>
          <w:color w:val="000000" w:themeColor="text1"/>
        </w:rPr>
        <w:t>(</w:t>
      </w:r>
      <w:hyperlink r:id="rId30" w:history="1">
        <w:r w:rsidR="00CC1E51" w:rsidRPr="00554701">
          <w:rPr>
            <w:rStyle w:val="Hyperlink"/>
            <w:color w:val="000000" w:themeColor="text1"/>
            <w:u w:val="none"/>
          </w:rPr>
          <w:t>http://ec.europa.eu/regional_policy/sources/docoffic/working/strategic_framework/swd_2012_106_en.pdf</w:t>
        </w:r>
      </w:hyperlink>
      <w:r w:rsidR="00CC1E51" w:rsidRPr="00554701">
        <w:rPr>
          <w:color w:val="000000" w:themeColor="text1"/>
        </w:rPr>
        <w:t xml:space="preserve">) </w:t>
      </w:r>
    </w:p>
    <w:p w:rsidR="00C547A7" w:rsidRPr="00554701" w:rsidRDefault="00C547A7" w:rsidP="00701AEA">
      <w:pPr>
        <w:pStyle w:val="ListParagraph"/>
        <w:numPr>
          <w:ilvl w:val="0"/>
          <w:numId w:val="9"/>
        </w:numPr>
        <w:rPr>
          <w:color w:val="000000" w:themeColor="text1"/>
        </w:rPr>
      </w:pPr>
      <w:r w:rsidRPr="00554701">
        <w:rPr>
          <w:color w:val="000000" w:themeColor="text1"/>
        </w:rPr>
        <w:t xml:space="preserve">National strategies and planning documents, including the National Development Plan, </w:t>
      </w:r>
      <w:r w:rsidR="00566FBD" w:rsidRPr="00554701">
        <w:rPr>
          <w:color w:val="000000" w:themeColor="text1"/>
        </w:rPr>
        <w:t>NRP</w:t>
      </w:r>
      <w:r w:rsidRPr="00554701">
        <w:rPr>
          <w:color w:val="000000" w:themeColor="text1"/>
        </w:rPr>
        <w:t>s (</w:t>
      </w:r>
      <w:hyperlink r:id="rId31" w:history="1">
        <w:r w:rsidRPr="00554701">
          <w:rPr>
            <w:rStyle w:val="Hyperlink"/>
            <w:color w:val="000000" w:themeColor="text1"/>
            <w:u w:val="none"/>
          </w:rPr>
          <w:t>http://ec.europa.eu/europe2020/pdf/nrp/nrp_latvia_en.pdf</w:t>
        </w:r>
      </w:hyperlink>
      <w:r w:rsidRPr="00554701">
        <w:rPr>
          <w:color w:val="000000" w:themeColor="text1"/>
        </w:rPr>
        <w:t xml:space="preserve">, </w:t>
      </w:r>
      <w:hyperlink r:id="rId32" w:history="1">
        <w:r w:rsidRPr="00554701">
          <w:rPr>
            <w:rStyle w:val="Hyperlink"/>
            <w:color w:val="000000" w:themeColor="text1"/>
            <w:u w:val="none"/>
          </w:rPr>
          <w:t>http://ec.europa.eu/europe2020/pdf/nrp/nrp_lithuania_en.pdf</w:t>
        </w:r>
      </w:hyperlink>
      <w:r w:rsidRPr="00554701">
        <w:rPr>
          <w:color w:val="000000" w:themeColor="text1"/>
        </w:rPr>
        <w:t>)</w:t>
      </w:r>
    </w:p>
    <w:p w:rsidR="00C547A7" w:rsidRPr="00554701" w:rsidRDefault="00C547A7" w:rsidP="00701AEA">
      <w:pPr>
        <w:pStyle w:val="ListParagraph"/>
        <w:numPr>
          <w:ilvl w:val="0"/>
          <w:numId w:val="9"/>
        </w:numPr>
        <w:rPr>
          <w:color w:val="000000" w:themeColor="text1"/>
        </w:rPr>
      </w:pPr>
      <w:r w:rsidRPr="00554701">
        <w:rPr>
          <w:color w:val="000000" w:themeColor="text1"/>
        </w:rPr>
        <w:t>Regional development strategies</w:t>
      </w:r>
    </w:p>
    <w:p w:rsidR="00C547A7" w:rsidRPr="00554701" w:rsidRDefault="00C547A7" w:rsidP="00701AEA">
      <w:pPr>
        <w:pStyle w:val="ListParagraph"/>
        <w:numPr>
          <w:ilvl w:val="0"/>
          <w:numId w:val="9"/>
        </w:numPr>
        <w:rPr>
          <w:color w:val="000000" w:themeColor="text1"/>
        </w:rPr>
      </w:pPr>
      <w:r w:rsidRPr="00554701">
        <w:rPr>
          <w:color w:val="000000" w:themeColor="text1"/>
        </w:rPr>
        <w:t>Monitoring and Evaluation of European Cohesion Policy guidance documents (</w:t>
      </w:r>
      <w:hyperlink r:id="rId33" w:history="1">
        <w:r w:rsidRPr="00554701">
          <w:rPr>
            <w:rStyle w:val="Hyperlink"/>
            <w:color w:val="000000" w:themeColor="text1"/>
            <w:u w:val="none"/>
          </w:rPr>
          <w:t>http://ec.europa.eu/regional_policy/sources/docoffic/2014/working/wd_2014_en.pdf</w:t>
        </w:r>
      </w:hyperlink>
      <w:r w:rsidRPr="00554701">
        <w:rPr>
          <w:color w:val="000000" w:themeColor="text1"/>
        </w:rPr>
        <w:t>)</w:t>
      </w:r>
    </w:p>
    <w:p w:rsidR="00C547A7" w:rsidRPr="00554701" w:rsidRDefault="00C547A7" w:rsidP="00701AEA">
      <w:pPr>
        <w:pStyle w:val="ListParagraph"/>
        <w:numPr>
          <w:ilvl w:val="0"/>
          <w:numId w:val="9"/>
        </w:numPr>
        <w:rPr>
          <w:color w:val="000000" w:themeColor="text1"/>
        </w:rPr>
      </w:pPr>
      <w:r w:rsidRPr="00554701">
        <w:rPr>
          <w:color w:val="000000" w:themeColor="text1"/>
        </w:rPr>
        <w:t xml:space="preserve">Presidency of the Council of the European Union working group working papers. </w:t>
      </w:r>
    </w:p>
    <w:p w:rsidR="00C547A7" w:rsidRPr="00554701" w:rsidRDefault="00C547A7" w:rsidP="00701AEA">
      <w:pPr>
        <w:pStyle w:val="ListParagraph"/>
        <w:numPr>
          <w:ilvl w:val="0"/>
          <w:numId w:val="9"/>
        </w:numPr>
        <w:rPr>
          <w:color w:val="000000" w:themeColor="text1"/>
        </w:rPr>
      </w:pPr>
      <w:r w:rsidRPr="00554701">
        <w:rPr>
          <w:color w:val="000000" w:themeColor="text1"/>
        </w:rPr>
        <w:t xml:space="preserve">Information and evaluations available at the </w:t>
      </w:r>
      <w:proofErr w:type="spellStart"/>
      <w:r w:rsidRPr="00554701">
        <w:rPr>
          <w:color w:val="000000" w:themeColor="text1"/>
        </w:rPr>
        <w:t>Evalsed</w:t>
      </w:r>
      <w:proofErr w:type="spellEnd"/>
      <w:r w:rsidRPr="00554701">
        <w:rPr>
          <w:color w:val="000000" w:themeColor="text1"/>
        </w:rPr>
        <w:t xml:space="preserve"> online data resource (</w:t>
      </w:r>
      <w:hyperlink r:id="rId34" w:history="1">
        <w:r w:rsidRPr="00554701">
          <w:rPr>
            <w:rStyle w:val="Hyperlink"/>
            <w:color w:val="000000" w:themeColor="text1"/>
            <w:u w:val="none"/>
          </w:rPr>
          <w:t>http://ec.europa.eu/regional_policy/sources/docgener/evaluation/evalsed/index_en.htm</w:t>
        </w:r>
      </w:hyperlink>
      <w:r w:rsidRPr="00554701">
        <w:rPr>
          <w:color w:val="000000" w:themeColor="text1"/>
        </w:rPr>
        <w:t>)</w:t>
      </w:r>
    </w:p>
    <w:p w:rsidR="00C547A7" w:rsidRPr="00554701" w:rsidRDefault="00C547A7" w:rsidP="00701AEA">
      <w:pPr>
        <w:pStyle w:val="ListParagraph"/>
        <w:numPr>
          <w:ilvl w:val="0"/>
          <w:numId w:val="9"/>
        </w:numPr>
        <w:rPr>
          <w:color w:val="000000" w:themeColor="text1"/>
        </w:rPr>
      </w:pPr>
      <w:r w:rsidRPr="00554701">
        <w:rPr>
          <w:color w:val="000000" w:themeColor="text1"/>
        </w:rPr>
        <w:t>EU and national legislation and documents on the EU Structural Funds 2004-2013.</w:t>
      </w:r>
    </w:p>
    <w:p w:rsidR="005D0EA9" w:rsidRPr="00554701" w:rsidRDefault="00C547A7" w:rsidP="00701AEA">
      <w:pPr>
        <w:pStyle w:val="ListParagraph"/>
        <w:numPr>
          <w:ilvl w:val="0"/>
          <w:numId w:val="9"/>
        </w:numPr>
        <w:rPr>
          <w:rFonts w:asciiTheme="majorHAnsi" w:hAnsiTheme="majorHAnsi" w:cs="Times New Roman"/>
        </w:rPr>
        <w:sectPr w:rsidR="005D0EA9" w:rsidRPr="00554701" w:rsidSect="009F53CD">
          <w:pgSz w:w="11906" w:h="16838" w:code="9"/>
          <w:pgMar w:top="1474" w:right="1021" w:bottom="1474" w:left="1021" w:header="567" w:footer="567" w:gutter="0"/>
          <w:cols w:space="708"/>
          <w:docGrid w:linePitch="360"/>
        </w:sectPr>
      </w:pPr>
      <w:r w:rsidRPr="00554701">
        <w:rPr>
          <w:color w:val="000000" w:themeColor="text1"/>
        </w:rPr>
        <w:t>Additional</w:t>
      </w:r>
      <w:r w:rsidR="00042DF6" w:rsidRPr="00554701">
        <w:rPr>
          <w:color w:val="000000" w:themeColor="text1"/>
        </w:rPr>
        <w:t xml:space="preserve"> documents proposed by the MA/JPC</w:t>
      </w:r>
      <w:r w:rsidRPr="00554701">
        <w:rPr>
          <w:color w:val="000000" w:themeColor="text1"/>
        </w:rPr>
        <w:t>.</w:t>
      </w:r>
    </w:p>
    <w:p w:rsidR="000E5E7A" w:rsidRPr="00893FB2" w:rsidRDefault="000E5E7A" w:rsidP="001D52AE"/>
    <w:sectPr w:rsidR="000E5E7A" w:rsidRPr="00893FB2" w:rsidSect="009F53CD">
      <w:footerReference w:type="default" r:id="rId35"/>
      <w:pgSz w:w="11906" w:h="16838" w:code="9"/>
      <w:pgMar w:top="1474" w:right="1021" w:bottom="1474" w:left="102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B80" w:rsidRDefault="00202B80">
      <w:pPr>
        <w:spacing w:after="0" w:line="240" w:lineRule="auto"/>
      </w:pPr>
      <w:r>
        <w:separator/>
      </w:r>
    </w:p>
  </w:endnote>
  <w:endnote w:type="continuationSeparator" w:id="0">
    <w:p w:rsidR="00202B80" w:rsidRDefault="00202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A1B" w:rsidRDefault="00EC4A1B">
    <w:pPr>
      <w:pStyle w:val="Footer"/>
    </w:pPr>
    <w:r>
      <w:t>Footer text goes here</w:t>
    </w:r>
  </w:p>
  <w:p w:rsidR="00EC4A1B" w:rsidRDefault="00EC4A1B">
    <w:pPr>
      <w:pStyle w:val="Footer"/>
    </w:pPr>
    <w:r>
      <w:t>PwC</w:t>
    </w:r>
    <w:r>
      <w:ptab w:relativeTo="margin" w:alignment="center" w:leader="none"/>
    </w:r>
    <w:r>
      <w:ptab w:relativeTo="margin" w:alignment="right" w:leader="none"/>
    </w:r>
    <w:r>
      <w:t xml:space="preserve">Page </w:t>
    </w:r>
    <w:r w:rsidR="004B1DED">
      <w:fldChar w:fldCharType="begin"/>
    </w:r>
    <w:r>
      <w:instrText xml:space="preserve"> PAGE   \* MERGEFORMAT </w:instrText>
    </w:r>
    <w:r w:rsidR="004B1DED">
      <w:fldChar w:fldCharType="separate"/>
    </w:r>
    <w:r>
      <w:rPr>
        <w:noProof/>
      </w:rPr>
      <w:t>6</w:t>
    </w:r>
    <w:r w:rsidR="004B1DED">
      <w:rPr>
        <w:noProof/>
      </w:rPr>
      <w:fldChar w:fldCharType="end"/>
    </w:r>
    <w:r>
      <w:t xml:space="preserve"> of </w:t>
    </w:r>
    <w:fldSimple w:instr=" NUMPAGES   \* MERGEFORMAT ">
      <w:r>
        <w:rPr>
          <w:noProof/>
        </w:rPr>
        <w:t>28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A1B" w:rsidRDefault="00EC4A1B">
    <w:pPr>
      <w:pStyle w:val="Footer"/>
    </w:pPr>
    <w:r>
      <w:t>Footer text goes here</w:t>
    </w:r>
    <w:r>
      <w:ptab w:relativeTo="margin" w:alignment="center" w:leader="none"/>
    </w:r>
    <w:r>
      <w:ptab w:relativeTo="margin" w:alignment="right" w:leader="none"/>
    </w:r>
    <w:r>
      <w:t xml:space="preserve">Page </w:t>
    </w:r>
    <w:r w:rsidR="004B1DED">
      <w:fldChar w:fldCharType="begin"/>
    </w:r>
    <w:r>
      <w:instrText xml:space="preserve"> PAGE   \* MERGEFORMAT </w:instrText>
    </w:r>
    <w:r w:rsidR="004B1DED">
      <w:fldChar w:fldCharType="separate"/>
    </w:r>
    <w:r>
      <w:rPr>
        <w:noProof/>
      </w:rPr>
      <w:t>18</w:t>
    </w:r>
    <w:r w:rsidR="004B1DED">
      <w:rPr>
        <w:noProof/>
      </w:rPr>
      <w:fldChar w:fldCharType="end"/>
    </w:r>
    <w:r>
      <w:t xml:space="preserve"> of </w:t>
    </w:r>
    <w:fldSimple w:instr=" NUMPAGES   \* MERGEFORMAT ">
      <w:r>
        <w:rPr>
          <w:noProof/>
        </w:rPr>
        <w:t>28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375" w:rsidRPr="003F0375" w:rsidRDefault="003F0375" w:rsidP="003F0375">
    <w:pPr>
      <w:ind w:left="-2552"/>
      <w:rPr>
        <w:rFonts w:ascii="Times New Roman" w:hAnsi="Times New Roman" w:cs="Times New Roman"/>
        <w:lang w:val="lv-LV"/>
      </w:rPr>
    </w:pPr>
    <w:r w:rsidRPr="003F0375">
      <w:rPr>
        <w:rFonts w:ascii="Times New Roman" w:hAnsi="Times New Roman" w:cs="Times New Roman"/>
      </w:rPr>
      <w:t>VARAMP1_exante_290714_LVLT</w:t>
    </w:r>
    <w:r>
      <w:rPr>
        <w:rFonts w:ascii="Times New Roman" w:hAnsi="Times New Roman" w:cs="Times New Roman"/>
      </w:rPr>
      <w:t xml:space="preserve">; </w:t>
    </w:r>
    <w:r w:rsidRPr="003F0375">
      <w:rPr>
        <w:rFonts w:ascii="Times New Roman" w:hAnsi="Times New Roman" w:cs="Times New Roman"/>
        <w:lang w:val="lv-LV"/>
      </w:rPr>
      <w:t xml:space="preserve">Latvijas- Lietuvas pārrobežu sadarbības programmas 2014.-2020.gadam  </w:t>
    </w:r>
    <w:r>
      <w:rPr>
        <w:rFonts w:ascii="Times New Roman" w:hAnsi="Times New Roman" w:cs="Times New Roman"/>
        <w:lang w:val="lv-LV"/>
      </w:rPr>
      <w:t xml:space="preserve"> </w:t>
    </w:r>
    <w:r w:rsidRPr="003F0375">
      <w:rPr>
        <w:rFonts w:ascii="Times New Roman" w:hAnsi="Times New Roman" w:cs="Times New Roman"/>
        <w:lang w:val="lv-LV"/>
      </w:rPr>
      <w:t>sākotnējās ietekmes novērtējums</w:t>
    </w:r>
  </w:p>
  <w:p w:rsidR="00EC4A1B" w:rsidRPr="003F0375" w:rsidRDefault="00EC4A1B" w:rsidP="003F037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A1B" w:rsidRPr="004539D0" w:rsidRDefault="00EC4A1B">
    <w:pPr>
      <w:pStyle w:val="Footer"/>
      <w:rPr>
        <w:rFonts w:asciiTheme="majorHAnsi" w:hAnsiTheme="majorHAnsi"/>
      </w:rPr>
    </w:pPr>
    <w:r w:rsidRPr="004539D0">
      <w:rPr>
        <w:rFonts w:asciiTheme="majorHAnsi" w:hAnsiTheme="majorHAnsi"/>
      </w:rPr>
      <w:t>PwC</w:t>
    </w:r>
    <w:r w:rsidRPr="004539D0">
      <w:rPr>
        <w:rFonts w:asciiTheme="majorHAnsi" w:hAnsiTheme="majorHAnsi"/>
      </w:rPr>
      <w:ptab w:relativeTo="margin" w:alignment="center" w:leader="none"/>
    </w:r>
    <w:r w:rsidRPr="004539D0">
      <w:rPr>
        <w:rFonts w:asciiTheme="majorHAnsi" w:hAnsiTheme="majorHAnsi"/>
      </w:rPr>
      <w:ptab w:relativeTo="margin" w:alignment="right" w:leader="none"/>
    </w:r>
    <w:r w:rsidRPr="004539D0">
      <w:rPr>
        <w:rFonts w:asciiTheme="majorHAnsi" w:hAnsiTheme="majorHAnsi"/>
      </w:rPr>
      <w:t xml:space="preserve">Page </w:t>
    </w:r>
    <w:r w:rsidR="004B1DED" w:rsidRPr="004539D0">
      <w:rPr>
        <w:rFonts w:asciiTheme="majorHAnsi" w:hAnsiTheme="majorHAnsi"/>
      </w:rPr>
      <w:fldChar w:fldCharType="begin"/>
    </w:r>
    <w:r w:rsidRPr="004539D0">
      <w:rPr>
        <w:rFonts w:asciiTheme="majorHAnsi" w:hAnsiTheme="majorHAnsi"/>
      </w:rPr>
      <w:instrText xml:space="preserve"> PAGE   \* MERGEFORMAT </w:instrText>
    </w:r>
    <w:r w:rsidR="004B1DED" w:rsidRPr="004539D0">
      <w:rPr>
        <w:rFonts w:asciiTheme="majorHAnsi" w:hAnsiTheme="majorHAnsi"/>
      </w:rPr>
      <w:fldChar w:fldCharType="separate"/>
    </w:r>
    <w:r w:rsidR="003F0375">
      <w:rPr>
        <w:rFonts w:asciiTheme="majorHAnsi" w:hAnsiTheme="majorHAnsi"/>
        <w:noProof/>
      </w:rPr>
      <w:t>27</w:t>
    </w:r>
    <w:r w:rsidR="004B1DED" w:rsidRPr="004539D0">
      <w:rPr>
        <w:rFonts w:asciiTheme="majorHAnsi" w:hAnsiTheme="majorHAnsi"/>
        <w:noProof/>
      </w:rPr>
      <w:fldChar w:fldCharType="end"/>
    </w:r>
    <w:r w:rsidRPr="004539D0">
      <w:rPr>
        <w:rFonts w:asciiTheme="majorHAnsi" w:hAnsiTheme="majorHAnsi"/>
      </w:rPr>
      <w:t xml:space="preserve"> of </w:t>
    </w:r>
    <w:fldSimple w:instr=" NUMPAGES   \* MERGEFORMAT ">
      <w:r w:rsidR="003F0375" w:rsidRPr="003F0375">
        <w:rPr>
          <w:rFonts w:asciiTheme="majorHAnsi" w:hAnsiTheme="majorHAnsi"/>
          <w:noProof/>
        </w:rPr>
        <w:t>28</w:t>
      </w:r>
    </w:fldSimple>
  </w:p>
  <w:p w:rsidR="00EC4A1B" w:rsidRPr="003F0375" w:rsidRDefault="00766F23" w:rsidP="00F92BE6">
    <w:pPr>
      <w:rPr>
        <w:rFonts w:ascii="Times New Roman" w:hAnsi="Times New Roman" w:cs="Times New Roman"/>
        <w:lang w:val="lv-LV"/>
      </w:rPr>
    </w:pPr>
    <w:r w:rsidRPr="003F0375">
      <w:rPr>
        <w:rFonts w:ascii="Times New Roman" w:hAnsi="Times New Roman" w:cs="Times New Roman"/>
        <w:lang w:val="lv-LV"/>
      </w:rPr>
      <w:t>VARAMP</w:t>
    </w:r>
    <w:r w:rsidR="00F92BE6" w:rsidRPr="003F0375">
      <w:rPr>
        <w:rFonts w:ascii="Times New Roman" w:hAnsi="Times New Roman" w:cs="Times New Roman"/>
        <w:lang w:val="lv-LV"/>
      </w:rPr>
      <w:t>1_exante_290714_LVLT</w:t>
    </w:r>
    <w:r w:rsidR="003F0375" w:rsidRPr="003F0375">
      <w:rPr>
        <w:rFonts w:ascii="Times New Roman" w:hAnsi="Times New Roman" w:cs="Times New Roman"/>
        <w:lang w:val="lv-LV"/>
      </w:rPr>
      <w:t>; Latvijas- Lietuvas pārrobežu sadarbības programmas 2014.-</w:t>
    </w:r>
    <w:r w:rsidR="003F0375">
      <w:rPr>
        <w:rFonts w:ascii="Times New Roman" w:hAnsi="Times New Roman" w:cs="Times New Roman"/>
        <w:lang w:val="lv-LV"/>
      </w:rPr>
      <w:t xml:space="preserve">2020.gadam </w:t>
    </w:r>
    <w:r w:rsidR="003F0375" w:rsidRPr="003F0375">
      <w:rPr>
        <w:rFonts w:ascii="Times New Roman" w:hAnsi="Times New Roman" w:cs="Times New Roman"/>
        <w:lang w:val="lv-LV"/>
      </w:rPr>
      <w:t>s</w:t>
    </w:r>
    <w:r w:rsidR="005E0C5D" w:rsidRPr="003F0375">
      <w:rPr>
        <w:rFonts w:ascii="Times New Roman" w:hAnsi="Times New Roman" w:cs="Times New Roman"/>
        <w:lang w:val="lv-LV"/>
      </w:rPr>
      <w:t>ākotnējās ietekmes</w:t>
    </w:r>
    <w:r w:rsidR="003F0375" w:rsidRPr="003F0375">
      <w:rPr>
        <w:rFonts w:ascii="Times New Roman" w:hAnsi="Times New Roman" w:cs="Times New Roman"/>
        <w:lang w:val="lv-LV"/>
      </w:rPr>
      <w:t xml:space="preserve"> novērtējums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A1B" w:rsidRPr="00EF6E9B" w:rsidRDefault="00EC4A1B" w:rsidP="00CE38B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ajorHAnsi" w:hAnsiTheme="majorHAnsi" w:cstheme="minorHAnsi"/>
        <w:color w:val="000000"/>
        <w:sz w:val="19"/>
        <w:szCs w:val="19"/>
      </w:rPr>
    </w:pPr>
    <w:r w:rsidRPr="00EF6E9B">
      <w:rPr>
        <w:rFonts w:asciiTheme="majorHAnsi" w:hAnsiTheme="majorHAnsi" w:cstheme="minorHAnsi"/>
        <w:color w:val="000000"/>
        <w:sz w:val="19"/>
        <w:szCs w:val="19"/>
      </w:rPr>
      <w:t>PwC firms help organisations and individuals create the value they’re looking for.  We’re a network of firms in 158 countries with more than 180 000 people who are committed to delivering quality in assurance, tax and advisory services.  Tell us what matters to you and find out more by visiting us at www.pwc.lv.</w:t>
    </w:r>
  </w:p>
  <w:p w:rsidR="00EC4A1B" w:rsidRPr="00EF6E9B" w:rsidRDefault="00EC4A1B" w:rsidP="00CE38B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ajorHAnsi" w:hAnsiTheme="majorHAnsi" w:cstheme="minorHAnsi"/>
        <w:color w:val="000000"/>
        <w:sz w:val="19"/>
        <w:szCs w:val="19"/>
      </w:rPr>
    </w:pPr>
  </w:p>
  <w:p w:rsidR="00EC4A1B" w:rsidRPr="00EF6E9B" w:rsidRDefault="00EC4A1B" w:rsidP="00CE38B2">
    <w:pPr>
      <w:pStyle w:val="Address"/>
      <w:spacing w:line="0" w:lineRule="atLeast"/>
      <w:jc w:val="both"/>
      <w:rPr>
        <w:rFonts w:asciiTheme="majorHAnsi" w:hAnsiTheme="majorHAnsi" w:cstheme="minorHAnsi"/>
        <w:i w:val="0"/>
        <w:sz w:val="19"/>
        <w:szCs w:val="19"/>
      </w:rPr>
    </w:pPr>
    <w:r>
      <w:rPr>
        <w:rFonts w:asciiTheme="majorHAnsi" w:hAnsiTheme="majorHAnsi" w:cs="Arial"/>
        <w:i w:val="0"/>
        <w:color w:val="000000"/>
        <w:sz w:val="19"/>
        <w:szCs w:val="19"/>
        <w:lang w:val="en-US"/>
      </w:rPr>
      <w:t>©2014</w:t>
    </w:r>
    <w:r w:rsidRPr="00EF6E9B">
      <w:rPr>
        <w:rFonts w:asciiTheme="majorHAnsi" w:hAnsiTheme="majorHAnsi" w:cs="Arial"/>
        <w:i w:val="0"/>
        <w:color w:val="000000"/>
        <w:sz w:val="19"/>
        <w:szCs w:val="19"/>
        <w:lang w:val="en-US"/>
      </w:rPr>
      <w:t xml:space="preserve"> PwC. PwC refers to the PwC network and/or one or more of its member firms, each of which is a separate legal entity. Please see www.pwc.com/structure for further details.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B80" w:rsidRDefault="00202B80">
      <w:pPr>
        <w:spacing w:after="0" w:line="240" w:lineRule="auto"/>
      </w:pPr>
      <w:r>
        <w:separator/>
      </w:r>
    </w:p>
  </w:footnote>
  <w:footnote w:type="continuationSeparator" w:id="0">
    <w:p w:rsidR="00202B80" w:rsidRDefault="00202B80">
      <w:pPr>
        <w:spacing w:after="0" w:line="240" w:lineRule="auto"/>
      </w:pPr>
      <w:r>
        <w:continuationSeparator/>
      </w:r>
    </w:p>
  </w:footnote>
  <w:footnote w:id="1">
    <w:p w:rsidR="00EC4A1B" w:rsidRPr="00F90674" w:rsidRDefault="00EC4A1B" w:rsidP="00AF25EB">
      <w:pPr>
        <w:pStyle w:val="FootnoteText"/>
        <w:jc w:val="both"/>
        <w:rPr>
          <w:rFonts w:asciiTheme="majorHAnsi" w:hAnsiTheme="majorHAnsi"/>
          <w:color w:val="000000" w:themeColor="text1"/>
          <w:sz w:val="16"/>
          <w:szCs w:val="16"/>
          <w:lang w:val="lv-LV"/>
        </w:rPr>
      </w:pPr>
      <w:r w:rsidRPr="00F90674">
        <w:rPr>
          <w:rStyle w:val="FootnoteReference"/>
          <w:rFonts w:asciiTheme="majorHAnsi" w:hAnsiTheme="majorHAnsi"/>
          <w:color w:val="000000" w:themeColor="text1"/>
          <w:sz w:val="16"/>
          <w:szCs w:val="16"/>
        </w:rPr>
        <w:footnoteRef/>
      </w:r>
      <w:hyperlink r:id="rId1" w:history="1">
        <w:r w:rsidRPr="00464194">
          <w:rPr>
            <w:rStyle w:val="Hyperlink"/>
            <w:rFonts w:asciiTheme="majorHAnsi" w:hAnsiTheme="majorHAnsi"/>
            <w:color w:val="000000" w:themeColor="text1"/>
            <w:sz w:val="16"/>
            <w:szCs w:val="16"/>
            <w:u w:val="none"/>
            <w:lang w:val="lv-LV"/>
          </w:rPr>
          <w:t>http://new.eur-lex.europa.eu/legal-content/EN/TXT/?uri=CELEX:32013R1303</w:t>
        </w:r>
      </w:hyperlink>
    </w:p>
  </w:footnote>
  <w:footnote w:id="2">
    <w:p w:rsidR="00EC4A1B" w:rsidRPr="00F90674" w:rsidRDefault="00EC4A1B" w:rsidP="00AF25EB">
      <w:pPr>
        <w:pStyle w:val="FootnoteText"/>
        <w:jc w:val="both"/>
        <w:rPr>
          <w:rFonts w:asciiTheme="majorHAnsi" w:hAnsiTheme="majorHAnsi"/>
          <w:color w:val="000000" w:themeColor="text1"/>
          <w:sz w:val="16"/>
          <w:szCs w:val="16"/>
          <w:lang w:val="lv-LV"/>
        </w:rPr>
      </w:pPr>
      <w:r w:rsidRPr="00F90674">
        <w:rPr>
          <w:rStyle w:val="FootnoteReference"/>
          <w:rFonts w:asciiTheme="majorHAnsi" w:hAnsiTheme="majorHAnsi"/>
          <w:color w:val="000000" w:themeColor="text1"/>
          <w:sz w:val="16"/>
          <w:szCs w:val="16"/>
        </w:rPr>
        <w:footnoteRef/>
      </w:r>
      <w:hyperlink r:id="rId2" w:history="1">
        <w:r w:rsidRPr="00F90674">
          <w:rPr>
            <w:rStyle w:val="Hyperlink"/>
            <w:rFonts w:asciiTheme="majorHAnsi" w:hAnsiTheme="majorHAnsi"/>
            <w:color w:val="000000" w:themeColor="text1"/>
            <w:sz w:val="16"/>
            <w:szCs w:val="16"/>
            <w:u w:val="none"/>
            <w:lang w:val="lv-LV"/>
          </w:rPr>
          <w:t>http://eur-lex.europa.eu/LexUriServ/LexUriServ.do?uri=OJ:L:2013:347:0259:0280:EN:PDF</w:t>
        </w:r>
      </w:hyperlink>
    </w:p>
  </w:footnote>
  <w:footnote w:id="3">
    <w:p w:rsidR="00EC4A1B" w:rsidRPr="00F90674" w:rsidRDefault="00EC4A1B" w:rsidP="00AF25EB">
      <w:pPr>
        <w:pStyle w:val="FootnoteText"/>
        <w:jc w:val="both"/>
        <w:rPr>
          <w:rFonts w:asciiTheme="majorHAnsi" w:hAnsiTheme="majorHAnsi"/>
          <w:color w:val="000000" w:themeColor="text1"/>
          <w:sz w:val="16"/>
          <w:szCs w:val="16"/>
          <w:lang w:val="lv-LV"/>
        </w:rPr>
      </w:pPr>
      <w:r w:rsidRPr="00F90674">
        <w:rPr>
          <w:rStyle w:val="FootnoteReference"/>
          <w:rFonts w:asciiTheme="majorHAnsi" w:hAnsiTheme="majorHAnsi"/>
          <w:color w:val="000000" w:themeColor="text1"/>
          <w:sz w:val="16"/>
          <w:szCs w:val="16"/>
        </w:rPr>
        <w:footnoteRef/>
      </w:r>
      <w:hyperlink r:id="rId3" w:history="1">
        <w:r w:rsidRPr="00F90674">
          <w:rPr>
            <w:rStyle w:val="Hyperlink"/>
            <w:rFonts w:asciiTheme="majorHAnsi" w:hAnsiTheme="majorHAnsi"/>
            <w:color w:val="000000" w:themeColor="text1"/>
            <w:sz w:val="16"/>
            <w:szCs w:val="16"/>
            <w:u w:val="none"/>
            <w:lang w:val="lv-LV"/>
          </w:rPr>
          <w:t>http://eur-lex.europa.eu/LexUriServ/LexUriServ.do?uri=OJ:L:2013:347:0289:0302:EN:PDF</w:t>
        </w:r>
      </w:hyperlink>
    </w:p>
  </w:footnote>
  <w:footnote w:id="4">
    <w:p w:rsidR="00EC4A1B" w:rsidRPr="00195379" w:rsidRDefault="00EC4A1B" w:rsidP="00AF25EB">
      <w:pPr>
        <w:pStyle w:val="FootnoteText"/>
        <w:jc w:val="both"/>
        <w:rPr>
          <w:rFonts w:asciiTheme="majorHAnsi" w:hAnsiTheme="majorHAnsi"/>
          <w:sz w:val="16"/>
          <w:szCs w:val="16"/>
          <w:lang w:val="lv-LV"/>
        </w:rPr>
      </w:pPr>
      <w:r w:rsidRPr="00F90674">
        <w:rPr>
          <w:rStyle w:val="FootnoteReference"/>
          <w:rFonts w:asciiTheme="majorHAnsi" w:hAnsiTheme="majorHAnsi"/>
          <w:color w:val="000000" w:themeColor="text1"/>
          <w:sz w:val="16"/>
          <w:szCs w:val="16"/>
        </w:rPr>
        <w:footnoteRef/>
      </w:r>
      <w:r w:rsidRPr="00F90674">
        <w:rPr>
          <w:rStyle w:val="HTMLCite"/>
          <w:rFonts w:asciiTheme="majorHAnsi" w:hAnsiTheme="majorHAnsi" w:cs="Arial"/>
          <w:i w:val="0"/>
          <w:color w:val="000000" w:themeColor="text1"/>
          <w:sz w:val="16"/>
          <w:szCs w:val="16"/>
        </w:rPr>
        <w:t>ec.europa.eu/social/</w:t>
      </w:r>
      <w:proofErr w:type="spellStart"/>
      <w:r w:rsidRPr="00F90674">
        <w:rPr>
          <w:rStyle w:val="HTMLCite"/>
          <w:rFonts w:asciiTheme="majorHAnsi" w:hAnsiTheme="majorHAnsi" w:cs="Arial"/>
          <w:i w:val="0"/>
          <w:color w:val="000000" w:themeColor="text1"/>
          <w:sz w:val="16"/>
          <w:szCs w:val="16"/>
        </w:rPr>
        <w:t>BlobServlet?docId</w:t>
      </w:r>
      <w:proofErr w:type="spellEnd"/>
      <w:r w:rsidRPr="00F90674">
        <w:rPr>
          <w:rStyle w:val="HTMLCite"/>
          <w:rFonts w:asciiTheme="majorHAnsi" w:hAnsiTheme="majorHAnsi" w:cs="Arial"/>
          <w:i w:val="0"/>
          <w:color w:val="000000" w:themeColor="text1"/>
          <w:sz w:val="16"/>
          <w:szCs w:val="16"/>
        </w:rPr>
        <w:t>=7858&amp;langId=en</w:t>
      </w:r>
    </w:p>
  </w:footnote>
  <w:footnote w:id="5">
    <w:p w:rsidR="00EC4A1B" w:rsidRPr="00B67220" w:rsidRDefault="00EC4A1B">
      <w:pPr>
        <w:pStyle w:val="FootnoteText"/>
        <w:rPr>
          <w:sz w:val="16"/>
          <w:szCs w:val="16"/>
          <w:lang w:val="lv-LV"/>
        </w:rPr>
      </w:pPr>
      <w:r w:rsidRPr="00B67220">
        <w:rPr>
          <w:rStyle w:val="FootnoteReference"/>
          <w:sz w:val="16"/>
          <w:szCs w:val="16"/>
        </w:rPr>
        <w:footnoteRef/>
      </w:r>
      <w:hyperlink r:id="rId4" w:history="1">
        <w:r w:rsidRPr="00F52D0A">
          <w:rPr>
            <w:rStyle w:val="Hyperlink"/>
            <w:color w:val="auto"/>
            <w:sz w:val="16"/>
            <w:szCs w:val="16"/>
            <w:u w:val="none"/>
            <w:lang w:val="lv-LV"/>
          </w:rPr>
          <w:t>http://new.eur-lex.europa.eu/legal-content/EN/TXT/?uri=CELEX:32013R1303</w:t>
        </w:r>
      </w:hyperlink>
    </w:p>
  </w:footnote>
  <w:footnote w:id="6">
    <w:p w:rsidR="00EC4A1B" w:rsidRPr="00F90674" w:rsidRDefault="00EC4A1B" w:rsidP="00044845">
      <w:pPr>
        <w:pStyle w:val="FootnoteText"/>
        <w:jc w:val="both"/>
        <w:rPr>
          <w:rFonts w:asciiTheme="majorHAnsi" w:hAnsiTheme="majorHAnsi"/>
          <w:color w:val="000000" w:themeColor="text1"/>
          <w:sz w:val="16"/>
          <w:szCs w:val="16"/>
          <w:lang w:val="lv-LV"/>
        </w:rPr>
      </w:pPr>
      <w:r w:rsidRPr="00F90674">
        <w:rPr>
          <w:rStyle w:val="FootnoteReference"/>
          <w:rFonts w:asciiTheme="majorHAnsi" w:hAnsiTheme="majorHAnsi"/>
          <w:color w:val="000000" w:themeColor="text1"/>
          <w:sz w:val="16"/>
          <w:szCs w:val="16"/>
        </w:rPr>
        <w:footnoteRef/>
      </w:r>
      <w:hyperlink r:id="rId5" w:history="1">
        <w:r w:rsidRPr="00464194">
          <w:rPr>
            <w:rStyle w:val="Hyperlink"/>
            <w:rFonts w:asciiTheme="majorHAnsi" w:hAnsiTheme="majorHAnsi"/>
            <w:color w:val="000000" w:themeColor="text1"/>
            <w:sz w:val="16"/>
            <w:szCs w:val="16"/>
            <w:u w:val="none"/>
            <w:lang w:val="lv-LV"/>
          </w:rPr>
          <w:t>http://new.eur-lex.europa.eu/legal-content/EN/TXT/?uri=CELEX:32013R1303</w:t>
        </w:r>
      </w:hyperlink>
    </w:p>
  </w:footnote>
  <w:footnote w:id="7">
    <w:p w:rsidR="00EC4A1B" w:rsidRPr="00F90674" w:rsidRDefault="00EC4A1B" w:rsidP="00044845">
      <w:pPr>
        <w:pStyle w:val="FootnoteText"/>
        <w:jc w:val="both"/>
        <w:rPr>
          <w:rFonts w:asciiTheme="majorHAnsi" w:hAnsiTheme="majorHAnsi"/>
          <w:color w:val="000000" w:themeColor="text1"/>
          <w:sz w:val="16"/>
          <w:szCs w:val="16"/>
          <w:lang w:val="lv-LV"/>
        </w:rPr>
      </w:pPr>
      <w:r w:rsidRPr="00F90674">
        <w:rPr>
          <w:rStyle w:val="FootnoteReference"/>
          <w:rFonts w:asciiTheme="majorHAnsi" w:hAnsiTheme="majorHAnsi"/>
          <w:color w:val="000000" w:themeColor="text1"/>
          <w:sz w:val="16"/>
          <w:szCs w:val="16"/>
        </w:rPr>
        <w:footnoteRef/>
      </w:r>
      <w:hyperlink r:id="rId6" w:history="1">
        <w:r w:rsidRPr="00F90674">
          <w:rPr>
            <w:rStyle w:val="Hyperlink"/>
            <w:rFonts w:asciiTheme="majorHAnsi" w:hAnsiTheme="majorHAnsi"/>
            <w:color w:val="000000" w:themeColor="text1"/>
            <w:sz w:val="16"/>
            <w:szCs w:val="16"/>
            <w:u w:val="none"/>
            <w:lang w:val="lv-LV"/>
          </w:rPr>
          <w:t>http://eur-lex.europa.eu/LexUriServ/LexUriServ.do?uri=OJ:L:2013:347:0259:0280:EN:PDF</w:t>
        </w:r>
      </w:hyperlink>
    </w:p>
  </w:footnote>
  <w:footnote w:id="8">
    <w:p w:rsidR="00EC4A1B" w:rsidRPr="00F90674" w:rsidRDefault="00EC4A1B" w:rsidP="00044845">
      <w:pPr>
        <w:pStyle w:val="FootnoteText"/>
        <w:jc w:val="both"/>
        <w:rPr>
          <w:rFonts w:asciiTheme="majorHAnsi" w:hAnsiTheme="majorHAnsi"/>
          <w:color w:val="000000" w:themeColor="text1"/>
          <w:sz w:val="16"/>
          <w:szCs w:val="16"/>
          <w:lang w:val="lv-LV"/>
        </w:rPr>
      </w:pPr>
      <w:r w:rsidRPr="00F90674">
        <w:rPr>
          <w:rStyle w:val="FootnoteReference"/>
          <w:rFonts w:asciiTheme="majorHAnsi" w:hAnsiTheme="majorHAnsi"/>
          <w:color w:val="000000" w:themeColor="text1"/>
          <w:sz w:val="16"/>
          <w:szCs w:val="16"/>
        </w:rPr>
        <w:footnoteRef/>
      </w:r>
      <w:hyperlink r:id="rId7" w:history="1">
        <w:r w:rsidRPr="00F90674">
          <w:rPr>
            <w:rStyle w:val="Hyperlink"/>
            <w:rFonts w:asciiTheme="majorHAnsi" w:hAnsiTheme="majorHAnsi"/>
            <w:color w:val="000000" w:themeColor="text1"/>
            <w:sz w:val="16"/>
            <w:szCs w:val="16"/>
            <w:u w:val="none"/>
            <w:lang w:val="lv-LV"/>
          </w:rPr>
          <w:t>http://eur-lex.europa.eu/LexUriServ/LexUriServ.do?uri=OJ:L:2013:347:0289:0302:EN:PDF</w:t>
        </w:r>
      </w:hyperlink>
    </w:p>
  </w:footnote>
  <w:footnote w:id="9">
    <w:p w:rsidR="00EC4A1B" w:rsidRPr="00195379" w:rsidRDefault="00EC4A1B" w:rsidP="00044845">
      <w:pPr>
        <w:pStyle w:val="FootnoteText"/>
        <w:jc w:val="both"/>
        <w:rPr>
          <w:rFonts w:asciiTheme="majorHAnsi" w:hAnsiTheme="majorHAnsi"/>
          <w:sz w:val="16"/>
          <w:szCs w:val="16"/>
          <w:lang w:val="lv-LV"/>
        </w:rPr>
      </w:pPr>
      <w:r w:rsidRPr="00F90674">
        <w:rPr>
          <w:rStyle w:val="FootnoteReference"/>
          <w:rFonts w:asciiTheme="majorHAnsi" w:hAnsiTheme="majorHAnsi"/>
          <w:color w:val="000000" w:themeColor="text1"/>
          <w:sz w:val="16"/>
          <w:szCs w:val="16"/>
        </w:rPr>
        <w:footnoteRef/>
      </w:r>
      <w:r w:rsidRPr="00F90674">
        <w:rPr>
          <w:rStyle w:val="HTMLCite"/>
          <w:rFonts w:asciiTheme="majorHAnsi" w:hAnsiTheme="majorHAnsi" w:cs="Arial"/>
          <w:i w:val="0"/>
          <w:color w:val="000000" w:themeColor="text1"/>
          <w:sz w:val="16"/>
          <w:szCs w:val="16"/>
        </w:rPr>
        <w:t>ec.europa.eu/social/</w:t>
      </w:r>
      <w:proofErr w:type="spellStart"/>
      <w:r w:rsidRPr="00F90674">
        <w:rPr>
          <w:rStyle w:val="HTMLCite"/>
          <w:rFonts w:asciiTheme="majorHAnsi" w:hAnsiTheme="majorHAnsi" w:cs="Arial"/>
          <w:i w:val="0"/>
          <w:color w:val="000000" w:themeColor="text1"/>
          <w:sz w:val="16"/>
          <w:szCs w:val="16"/>
        </w:rPr>
        <w:t>BlobServlet?docId</w:t>
      </w:r>
      <w:proofErr w:type="spellEnd"/>
      <w:r w:rsidRPr="00F90674">
        <w:rPr>
          <w:rStyle w:val="HTMLCite"/>
          <w:rFonts w:asciiTheme="majorHAnsi" w:hAnsiTheme="majorHAnsi" w:cs="Arial"/>
          <w:i w:val="0"/>
          <w:color w:val="000000" w:themeColor="text1"/>
          <w:sz w:val="16"/>
          <w:szCs w:val="16"/>
        </w:rPr>
        <w:t>=7858&amp;langId=en</w:t>
      </w:r>
    </w:p>
  </w:footnote>
  <w:footnote w:id="10">
    <w:p w:rsidR="00EC4A1B" w:rsidRPr="00885682" w:rsidRDefault="00EC4A1B" w:rsidP="00195379">
      <w:pPr>
        <w:pStyle w:val="FootnoteText"/>
        <w:jc w:val="both"/>
        <w:rPr>
          <w:rFonts w:asciiTheme="majorHAnsi" w:hAnsiTheme="majorHAnsi"/>
          <w:sz w:val="16"/>
          <w:szCs w:val="16"/>
          <w:lang w:val="lv-LV"/>
        </w:rPr>
      </w:pPr>
      <w:r w:rsidRPr="00195379">
        <w:rPr>
          <w:rStyle w:val="FootnoteReference"/>
          <w:rFonts w:asciiTheme="majorHAnsi" w:hAnsiTheme="majorHAnsi"/>
          <w:sz w:val="16"/>
          <w:szCs w:val="16"/>
        </w:rPr>
        <w:footnoteRef/>
      </w:r>
      <w:hyperlink r:id="rId8" w:history="1">
        <w:r w:rsidRPr="00885682">
          <w:rPr>
            <w:rStyle w:val="Hyperlink"/>
            <w:rFonts w:asciiTheme="majorHAnsi" w:hAnsiTheme="majorHAnsi"/>
            <w:color w:val="000000" w:themeColor="text1"/>
            <w:sz w:val="16"/>
            <w:szCs w:val="16"/>
            <w:u w:val="none"/>
            <w:lang w:val="lv-LV"/>
          </w:rPr>
          <w:t>http://new.eur-lex.europa.eu/legal-content/EN/TXT/?uri=CELEX:32013R1303</w:t>
        </w:r>
      </w:hyperlink>
    </w:p>
  </w:footnote>
  <w:footnote w:id="11">
    <w:p w:rsidR="00EC4A1B" w:rsidRPr="00195379" w:rsidRDefault="00EC4A1B" w:rsidP="00195379">
      <w:pPr>
        <w:pStyle w:val="FootnoteText"/>
        <w:jc w:val="both"/>
        <w:rPr>
          <w:rFonts w:asciiTheme="majorHAnsi" w:hAnsiTheme="majorHAnsi"/>
          <w:sz w:val="16"/>
          <w:szCs w:val="16"/>
          <w:lang w:val="lv-LV"/>
        </w:rPr>
      </w:pPr>
      <w:r w:rsidRPr="00195379">
        <w:rPr>
          <w:rStyle w:val="FootnoteReference"/>
          <w:rFonts w:asciiTheme="majorHAnsi" w:hAnsiTheme="majorHAnsi"/>
          <w:sz w:val="16"/>
          <w:szCs w:val="16"/>
        </w:rPr>
        <w:footnoteRef/>
      </w:r>
      <w:r w:rsidRPr="00195379">
        <w:rPr>
          <w:rFonts w:asciiTheme="majorHAnsi" w:hAnsiTheme="majorHAnsi"/>
          <w:sz w:val="16"/>
          <w:szCs w:val="16"/>
          <w:lang w:val="lv-LV"/>
        </w:rPr>
        <w:t xml:space="preserve"> http://new.eur-lex.europa.eu/legal-content/EN/TXT/?uri=CELEX:32013R1303</w:t>
      </w:r>
    </w:p>
  </w:footnote>
  <w:footnote w:id="12">
    <w:p w:rsidR="00EC4A1B" w:rsidRPr="00195379" w:rsidRDefault="00EC4A1B" w:rsidP="00195379">
      <w:pPr>
        <w:pStyle w:val="FootnoteText"/>
        <w:jc w:val="both"/>
        <w:rPr>
          <w:rFonts w:asciiTheme="majorHAnsi" w:hAnsiTheme="majorHAnsi"/>
          <w:sz w:val="16"/>
          <w:szCs w:val="16"/>
          <w:lang w:val="lv-LV"/>
        </w:rPr>
      </w:pPr>
      <w:r w:rsidRPr="00195379">
        <w:rPr>
          <w:rStyle w:val="FootnoteReference"/>
          <w:rFonts w:asciiTheme="majorHAnsi" w:hAnsiTheme="majorHAnsi"/>
          <w:sz w:val="16"/>
          <w:szCs w:val="16"/>
        </w:rPr>
        <w:footnoteRef/>
      </w:r>
      <w:r w:rsidRPr="00195379">
        <w:rPr>
          <w:rFonts w:asciiTheme="majorHAnsi" w:hAnsiTheme="majorHAnsi"/>
          <w:sz w:val="16"/>
          <w:szCs w:val="16"/>
          <w:lang w:val="lv-LV"/>
        </w:rPr>
        <w:t xml:space="preserve"> http://ec.europa.eu/regional_policy/sources/docoffic/2014/working/wd_2014_en.pdf</w:t>
      </w:r>
    </w:p>
  </w:footnote>
  <w:footnote w:id="13">
    <w:p w:rsidR="00EC4A1B" w:rsidRPr="00195379" w:rsidRDefault="00EC4A1B" w:rsidP="00044845">
      <w:pPr>
        <w:pStyle w:val="FootnoteText"/>
        <w:jc w:val="both"/>
        <w:rPr>
          <w:rFonts w:asciiTheme="majorHAnsi" w:hAnsiTheme="majorHAnsi"/>
          <w:sz w:val="16"/>
          <w:szCs w:val="16"/>
          <w:lang w:val="lv-LV"/>
        </w:rPr>
      </w:pPr>
      <w:r w:rsidRPr="00195379">
        <w:rPr>
          <w:rStyle w:val="FootnoteReference"/>
          <w:rFonts w:asciiTheme="majorHAnsi" w:hAnsiTheme="majorHAnsi"/>
          <w:sz w:val="16"/>
          <w:szCs w:val="16"/>
        </w:rPr>
        <w:footnoteRef/>
      </w:r>
      <w:r w:rsidRPr="00195379">
        <w:rPr>
          <w:rFonts w:asciiTheme="majorHAnsi" w:hAnsiTheme="majorHAnsi"/>
          <w:sz w:val="16"/>
          <w:szCs w:val="16"/>
          <w:lang w:val="lv-LV"/>
        </w:rPr>
        <w:t xml:space="preserve"> http://new.eur-lex.europa.eu/legal-content/EN/TXT/?uri=CELEX:32013R1303</w:t>
      </w:r>
    </w:p>
  </w:footnote>
  <w:footnote w:id="14">
    <w:p w:rsidR="00EC4A1B" w:rsidRPr="00195379" w:rsidRDefault="00EC4A1B" w:rsidP="00195379">
      <w:pPr>
        <w:pStyle w:val="FootnoteText"/>
        <w:jc w:val="both"/>
        <w:rPr>
          <w:rFonts w:asciiTheme="majorHAnsi" w:hAnsiTheme="majorHAnsi"/>
          <w:sz w:val="16"/>
          <w:szCs w:val="16"/>
          <w:lang w:val="lv-LV"/>
        </w:rPr>
      </w:pPr>
      <w:r w:rsidRPr="00195379">
        <w:rPr>
          <w:rStyle w:val="FootnoteReference"/>
          <w:rFonts w:asciiTheme="majorHAnsi" w:hAnsiTheme="majorHAnsi"/>
          <w:sz w:val="16"/>
          <w:szCs w:val="16"/>
        </w:rPr>
        <w:footnoteRef/>
      </w:r>
      <w:hyperlink r:id="rId9" w:history="1">
        <w:r w:rsidRPr="00195379">
          <w:rPr>
            <w:rStyle w:val="Hyperlink"/>
            <w:rFonts w:asciiTheme="majorHAnsi" w:hAnsiTheme="majorHAnsi"/>
            <w:color w:val="auto"/>
            <w:sz w:val="16"/>
            <w:szCs w:val="16"/>
            <w:u w:val="none"/>
            <w:lang w:val="lv-LV"/>
          </w:rPr>
          <w:t>http://new.eur-lex.europa.eu/legal-content/EN/TXT/?uri=CELEX:32013R1303</w:t>
        </w:r>
      </w:hyperlink>
    </w:p>
  </w:footnote>
  <w:footnote w:id="15">
    <w:p w:rsidR="00EC4A1B" w:rsidRPr="00195379" w:rsidRDefault="00EC4A1B" w:rsidP="00195379">
      <w:pPr>
        <w:pStyle w:val="FootnoteText"/>
        <w:jc w:val="both"/>
        <w:rPr>
          <w:rFonts w:asciiTheme="majorHAnsi" w:hAnsiTheme="majorHAnsi"/>
          <w:sz w:val="16"/>
          <w:szCs w:val="16"/>
          <w:lang w:val="lv-LV"/>
        </w:rPr>
      </w:pPr>
      <w:r w:rsidRPr="00195379">
        <w:rPr>
          <w:rStyle w:val="FootnoteReference"/>
          <w:rFonts w:asciiTheme="majorHAnsi" w:hAnsiTheme="majorHAnsi"/>
          <w:sz w:val="16"/>
          <w:szCs w:val="16"/>
        </w:rPr>
        <w:footnoteRef/>
      </w:r>
      <w:hyperlink r:id="rId10" w:history="1">
        <w:r w:rsidRPr="00195379">
          <w:rPr>
            <w:rStyle w:val="Hyperlink"/>
            <w:rFonts w:asciiTheme="majorHAnsi" w:hAnsiTheme="majorHAnsi"/>
            <w:color w:val="auto"/>
            <w:sz w:val="16"/>
            <w:szCs w:val="16"/>
            <w:u w:val="none"/>
            <w:lang w:val="lv-LV"/>
          </w:rPr>
          <w:t>http://ec.europa.eu/europe2020/europe-2020-in-a-nutshell/targets/index_en.htm</w:t>
        </w:r>
      </w:hyperlink>
    </w:p>
  </w:footnote>
  <w:footnote w:id="16">
    <w:p w:rsidR="00EC4A1B" w:rsidRPr="00195379" w:rsidRDefault="00EC4A1B" w:rsidP="00195379">
      <w:pPr>
        <w:pStyle w:val="FootnoteText1"/>
        <w:jc w:val="both"/>
        <w:rPr>
          <w:rFonts w:asciiTheme="majorHAnsi" w:hAnsiTheme="majorHAnsi"/>
          <w:sz w:val="16"/>
          <w:szCs w:val="16"/>
          <w:lang w:val="lv-LV"/>
        </w:rPr>
      </w:pPr>
      <w:r w:rsidRPr="00195379">
        <w:rPr>
          <w:rStyle w:val="FootnoteReference"/>
          <w:rFonts w:asciiTheme="majorHAnsi" w:hAnsiTheme="majorHAnsi"/>
          <w:sz w:val="16"/>
          <w:szCs w:val="16"/>
        </w:rPr>
        <w:footnoteRef/>
      </w:r>
      <w:hyperlink r:id="rId11" w:history="1">
        <w:r w:rsidRPr="00195379">
          <w:rPr>
            <w:rStyle w:val="Hyperlink"/>
            <w:rFonts w:asciiTheme="majorHAnsi" w:hAnsiTheme="majorHAnsi"/>
            <w:color w:val="000000" w:themeColor="text1"/>
            <w:sz w:val="16"/>
            <w:szCs w:val="16"/>
            <w:u w:val="none"/>
            <w:lang w:val="lv-LV"/>
          </w:rPr>
          <w:t>http://www.latlit.eu/uploaded_files/Programme/Legal%20Framework/LATLIT%20Midterm%20evaluation_Final%20Report%20_08062011JD.pdf</w:t>
        </w:r>
      </w:hyperlink>
    </w:p>
  </w:footnote>
  <w:footnote w:id="17">
    <w:p w:rsidR="00EC4A1B" w:rsidRPr="00195379" w:rsidRDefault="00EC4A1B" w:rsidP="00195379">
      <w:pPr>
        <w:pStyle w:val="FootnoteText"/>
        <w:jc w:val="both"/>
        <w:rPr>
          <w:rFonts w:asciiTheme="majorHAnsi" w:hAnsiTheme="majorHAnsi"/>
          <w:sz w:val="16"/>
          <w:szCs w:val="16"/>
          <w:lang w:val="lv-LV"/>
        </w:rPr>
      </w:pPr>
      <w:r w:rsidRPr="00195379">
        <w:rPr>
          <w:rStyle w:val="FootnoteReference"/>
          <w:rFonts w:asciiTheme="majorHAnsi" w:hAnsiTheme="majorHAnsi"/>
          <w:sz w:val="16"/>
          <w:szCs w:val="16"/>
        </w:rPr>
        <w:footnoteRef/>
      </w:r>
      <w:r w:rsidRPr="00195379">
        <w:rPr>
          <w:rFonts w:asciiTheme="majorHAnsi" w:hAnsiTheme="majorHAnsi"/>
          <w:sz w:val="16"/>
          <w:szCs w:val="16"/>
          <w:lang w:val="lv-LV"/>
        </w:rPr>
        <w:t xml:space="preserve"> http://eur-lex.europa.eu/LexUriServ/LexUriServ.do?uri=CELEX:32001L0042:EN:NOT</w:t>
      </w:r>
    </w:p>
  </w:footnote>
  <w:footnote w:id="18">
    <w:p w:rsidR="00EC4A1B" w:rsidRPr="00195379" w:rsidRDefault="00EC4A1B" w:rsidP="00195379">
      <w:pPr>
        <w:pStyle w:val="FootnoteText"/>
        <w:jc w:val="both"/>
        <w:rPr>
          <w:rFonts w:asciiTheme="majorHAnsi" w:hAnsiTheme="majorHAnsi"/>
          <w:sz w:val="16"/>
          <w:szCs w:val="16"/>
          <w:lang w:val="lv-LV"/>
        </w:rPr>
      </w:pPr>
      <w:r w:rsidRPr="00195379">
        <w:rPr>
          <w:rStyle w:val="FootnoteReference"/>
          <w:rFonts w:asciiTheme="majorHAnsi" w:hAnsiTheme="majorHAnsi"/>
          <w:sz w:val="16"/>
          <w:szCs w:val="16"/>
        </w:rPr>
        <w:footnoteRef/>
      </w:r>
      <w:hyperlink r:id="rId12" w:history="1">
        <w:r w:rsidRPr="004825B6">
          <w:rPr>
            <w:rStyle w:val="Hyperlink"/>
            <w:rFonts w:asciiTheme="majorHAnsi" w:hAnsiTheme="majorHAnsi"/>
            <w:color w:val="auto"/>
            <w:sz w:val="16"/>
            <w:szCs w:val="16"/>
            <w:u w:val="none"/>
            <w:lang w:val="lv-LV"/>
          </w:rPr>
          <w:t>http://ec.europa.eu/environment/eia/pdf/030923_sea_guidance.pdf</w:t>
        </w:r>
      </w:hyperlink>
    </w:p>
  </w:footnote>
  <w:footnote w:id="19">
    <w:p w:rsidR="00EC4A1B" w:rsidRPr="006A6C7E" w:rsidRDefault="00EC4A1B" w:rsidP="00195379">
      <w:pPr>
        <w:pStyle w:val="FootnoteText"/>
        <w:jc w:val="both"/>
        <w:rPr>
          <w:rFonts w:asciiTheme="majorHAnsi" w:hAnsiTheme="majorHAnsi"/>
          <w:sz w:val="16"/>
          <w:szCs w:val="16"/>
          <w:lang w:val="lv-LV"/>
        </w:rPr>
      </w:pPr>
      <w:r w:rsidRPr="006A6C7E">
        <w:rPr>
          <w:rStyle w:val="FootnoteReference"/>
          <w:rFonts w:asciiTheme="majorHAnsi" w:hAnsiTheme="majorHAnsi"/>
          <w:sz w:val="16"/>
          <w:szCs w:val="16"/>
        </w:rPr>
        <w:footnoteRef/>
      </w:r>
      <w:hyperlink r:id="rId13" w:history="1">
        <w:r w:rsidRPr="004825B6">
          <w:rPr>
            <w:rStyle w:val="Hyperlink"/>
            <w:rFonts w:asciiTheme="majorHAnsi" w:hAnsiTheme="majorHAnsi"/>
            <w:color w:val="auto"/>
            <w:sz w:val="16"/>
            <w:szCs w:val="16"/>
            <w:u w:val="none"/>
            <w:lang w:val="lv-LV"/>
          </w:rPr>
          <w:t>http://new.eur-lex.europa.eu/legal-content/EN/TXT/?uri=CELEX:32013R1303</w:t>
        </w:r>
      </w:hyperlink>
    </w:p>
  </w:footnote>
  <w:footnote w:id="20">
    <w:p w:rsidR="00EC4A1B" w:rsidRPr="006A6C7E" w:rsidRDefault="00EC4A1B" w:rsidP="00195379">
      <w:pPr>
        <w:pStyle w:val="FootnoteText"/>
        <w:jc w:val="both"/>
        <w:rPr>
          <w:rFonts w:asciiTheme="majorHAnsi" w:hAnsiTheme="majorHAnsi"/>
          <w:sz w:val="16"/>
          <w:szCs w:val="16"/>
          <w:lang w:val="lv-LV"/>
        </w:rPr>
      </w:pPr>
      <w:r w:rsidRPr="006A6C7E">
        <w:rPr>
          <w:rStyle w:val="FootnoteReference"/>
          <w:rFonts w:asciiTheme="majorHAnsi" w:hAnsiTheme="majorHAnsi"/>
          <w:sz w:val="16"/>
          <w:szCs w:val="16"/>
        </w:rPr>
        <w:footnoteRef/>
      </w:r>
      <w:r w:rsidRPr="006A6C7E">
        <w:rPr>
          <w:rStyle w:val="HTMLCite"/>
          <w:rFonts w:asciiTheme="majorHAnsi" w:hAnsiTheme="majorHAnsi" w:cs="Arial"/>
          <w:i w:val="0"/>
          <w:sz w:val="16"/>
          <w:szCs w:val="16"/>
        </w:rPr>
        <w:t>ec.europa.eu/social/</w:t>
      </w:r>
      <w:proofErr w:type="spellStart"/>
      <w:r w:rsidRPr="006A6C7E">
        <w:rPr>
          <w:rStyle w:val="HTMLCite"/>
          <w:rFonts w:asciiTheme="majorHAnsi" w:hAnsiTheme="majorHAnsi" w:cs="Arial"/>
          <w:i w:val="0"/>
          <w:sz w:val="16"/>
          <w:szCs w:val="16"/>
        </w:rPr>
        <w:t>BlobServlet?docId</w:t>
      </w:r>
      <w:proofErr w:type="spellEnd"/>
      <w:r w:rsidRPr="006A6C7E">
        <w:rPr>
          <w:rStyle w:val="HTMLCite"/>
          <w:rFonts w:asciiTheme="majorHAnsi" w:hAnsiTheme="majorHAnsi" w:cs="Arial"/>
          <w:i w:val="0"/>
          <w:sz w:val="16"/>
          <w:szCs w:val="16"/>
        </w:rPr>
        <w:t>=7858&amp;langId=en</w:t>
      </w:r>
    </w:p>
  </w:footnote>
  <w:footnote w:id="21">
    <w:p w:rsidR="00EC4A1B" w:rsidRPr="00195379" w:rsidRDefault="00EC4A1B" w:rsidP="00195379">
      <w:pPr>
        <w:pStyle w:val="FootnoteText"/>
        <w:jc w:val="both"/>
        <w:rPr>
          <w:rFonts w:asciiTheme="majorHAnsi" w:hAnsiTheme="majorHAnsi"/>
          <w:sz w:val="16"/>
          <w:szCs w:val="16"/>
          <w:lang w:val="lv-LV"/>
        </w:rPr>
      </w:pPr>
      <w:r w:rsidRPr="006A6C7E">
        <w:rPr>
          <w:rStyle w:val="FootnoteReference"/>
          <w:rFonts w:asciiTheme="majorHAnsi" w:hAnsiTheme="majorHAnsi"/>
          <w:sz w:val="16"/>
          <w:szCs w:val="16"/>
        </w:rPr>
        <w:footnoteRef/>
      </w:r>
      <w:hyperlink r:id="rId14" w:history="1">
        <w:r w:rsidRPr="00910EB9">
          <w:rPr>
            <w:rStyle w:val="Hyperlink"/>
            <w:rFonts w:asciiTheme="majorHAnsi" w:hAnsiTheme="majorHAnsi"/>
            <w:color w:val="auto"/>
            <w:sz w:val="16"/>
            <w:szCs w:val="16"/>
            <w:u w:val="none"/>
            <w:lang w:val="lv-LV"/>
          </w:rPr>
          <w:t>http://eur-lex.europa.eu/LexUriServ/LexUriServ.do?uri=OJ:L:2013:347:0259:0280:EN:PDF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margin" w:tblpY="1248"/>
      <w:tblOverlap w:val="never"/>
      <w:tblW w:w="5000" w:type="pct"/>
      <w:tblBorders>
        <w:top w:val="single" w:sz="6" w:space="0" w:color="DC6900" w:themeColor="text2"/>
        <w:left w:val="single" w:sz="6" w:space="0" w:color="DC690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tblPr>
    <w:tblGrid>
      <w:gridCol w:w="7568"/>
    </w:tblGrid>
    <w:tr w:rsidR="00EC4A1B">
      <w:trPr>
        <w:trHeight w:hRule="exact" w:val="227"/>
      </w:trPr>
      <w:tc>
        <w:tcPr>
          <w:tcW w:w="5000" w:type="pct"/>
        </w:tcPr>
        <w:p w:rsidR="00EC4A1B" w:rsidRDefault="004B1DED">
          <w:pPr>
            <w:rPr>
              <w:sz w:val="14"/>
              <w:szCs w:val="14"/>
            </w:rPr>
          </w:pPr>
          <w:r w:rsidRPr="004B1DED">
            <w:rPr>
              <w:rFonts w:asciiTheme="minorHAnsi" w:hAnsiTheme="minorHAnsi" w:cstheme="minorHAnsi"/>
              <w:noProof/>
              <w:sz w:val="19"/>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margin-left:0;margin-top:0;width:412.4pt;height:247.45pt;rotation:315;z-index:-2515486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4B1DED">
            <w:rPr>
              <w:rFonts w:asciiTheme="minorHAnsi" w:hAnsiTheme="minorHAnsi" w:cstheme="minorHAnsi"/>
              <w:noProof/>
              <w:sz w:val="19"/>
              <w:lang w:val="en-US" w:eastAsia="zh-TW"/>
            </w:rPr>
            <w:pict>
              <v:shape id="_x0000_s2066" type="#_x0000_t136" style="position:absolute;margin-left:0;margin-top:0;width:412.4pt;height:247.45pt;rotation:315;z-index:-2515548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4B1DED">
            <w:rPr>
              <w:rFonts w:asciiTheme="minorHAnsi" w:hAnsiTheme="minorHAnsi" w:cstheme="minorHAnsi"/>
              <w:noProof/>
              <w:sz w:val="19"/>
              <w:lang w:val="en-US" w:eastAsia="zh-TW"/>
            </w:rPr>
            <w:pict>
              <v:shape id="_x0000_s2065" type="#_x0000_t136" style="position:absolute;margin-left:0;margin-top:0;width:412.4pt;height:247.45pt;rotation:315;z-index:-2515609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4B1DED">
            <w:rPr>
              <w:rFonts w:asciiTheme="minorHAnsi" w:hAnsiTheme="minorHAnsi" w:cstheme="minorHAnsi"/>
              <w:noProof/>
              <w:sz w:val="19"/>
              <w:lang w:val="en-US" w:eastAsia="zh-TW"/>
            </w:rPr>
            <w:pict>
              <v:shape id="_x0000_s2064" type="#_x0000_t136" style="position:absolute;margin-left:0;margin-top:0;width:412.4pt;height:247.45pt;rotation:315;z-index:-2515671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4B1DED">
            <w:rPr>
              <w:rFonts w:asciiTheme="minorHAnsi" w:hAnsiTheme="minorHAnsi" w:cstheme="minorHAnsi"/>
              <w:noProof/>
              <w:sz w:val="19"/>
              <w:lang w:val="en-US" w:eastAsia="zh-TW"/>
            </w:rPr>
            <w:pict>
              <v:shape id="_x0000_s2063" type="#_x0000_t136" style="position:absolute;margin-left:0;margin-top:0;width:412.4pt;height:247.45pt;rotation:315;z-index:-2515732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4B1DED">
            <w:rPr>
              <w:rFonts w:asciiTheme="minorHAnsi" w:hAnsiTheme="minorHAnsi" w:cstheme="minorHAnsi"/>
              <w:noProof/>
              <w:sz w:val="19"/>
              <w:lang w:val="en-US" w:eastAsia="zh-TW"/>
            </w:rPr>
            <w:pict>
              <v:shape id="_x0000_s2062" type="#_x0000_t136" style="position:absolute;margin-left:0;margin-top:0;width:412.4pt;height:247.45pt;rotation:315;z-index:-2515793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4B1DED">
            <w:rPr>
              <w:rFonts w:asciiTheme="minorHAnsi" w:hAnsiTheme="minorHAnsi" w:cstheme="minorHAnsi"/>
              <w:noProof/>
              <w:sz w:val="19"/>
              <w:lang w:val="en-US" w:eastAsia="zh-TW"/>
            </w:rPr>
            <w:pict>
              <v:shape id="_x0000_s2060" type="#_x0000_t136" style="position:absolute;margin-left:0;margin-top:0;width:412.4pt;height:247.45pt;rotation:315;z-index:-2515855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4B1DED">
            <w:rPr>
              <w:rFonts w:asciiTheme="minorHAnsi" w:hAnsiTheme="minorHAnsi" w:cstheme="minorHAnsi"/>
              <w:noProof/>
              <w:sz w:val="19"/>
              <w:lang w:val="en-US" w:eastAsia="zh-TW"/>
            </w:rPr>
            <w:pict>
              <v:shape id="_x0000_s2058" type="#_x0000_t136" style="position:absolute;margin-left:0;margin-top:0;width:412.4pt;height:247.45pt;rotation:315;z-index:-251591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4B1DED">
            <w:rPr>
              <w:rFonts w:asciiTheme="minorHAnsi" w:hAnsiTheme="minorHAnsi" w:cstheme="minorHAnsi"/>
              <w:noProof/>
              <w:sz w:val="19"/>
              <w:lang w:val="en-US" w:eastAsia="zh-TW"/>
            </w:rPr>
            <w:pict>
              <v:shape id="_x0000_s2056" type="#_x0000_t136" style="position:absolute;margin-left:0;margin-top:0;width:412.4pt;height:247.45pt;rotation:315;z-index:-2515978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4B1DED">
            <w:rPr>
              <w:rFonts w:asciiTheme="minorHAnsi" w:hAnsiTheme="minorHAnsi" w:cstheme="minorHAnsi"/>
              <w:noProof/>
              <w:sz w:val="19"/>
              <w:lang w:val="en-US" w:eastAsia="zh-TW"/>
            </w:rPr>
            <w:pict>
              <v:shape id="_x0000_s2054" type="#_x0000_t136" style="position:absolute;margin-left:0;margin-top:0;width:412.4pt;height:247.45pt;rotation:315;z-index:-2516039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4B1DED">
            <w:rPr>
              <w:rFonts w:asciiTheme="minorHAnsi" w:hAnsiTheme="minorHAnsi" w:cstheme="minorHAnsi"/>
              <w:noProof/>
              <w:sz w:val="19"/>
              <w:lang w:val="en-US" w:eastAsia="zh-TW"/>
            </w:rPr>
            <w:pict>
              <v:shape id="_x0000_s2051" type="#_x0000_t136" style="position:absolute;margin-left:0;margin-top:0;width:412.4pt;height:247.4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4B1DED">
            <w:rPr>
              <w:rFonts w:asciiTheme="minorHAnsi" w:hAnsiTheme="minorHAnsi" w:cstheme="minorHAnsi"/>
              <w:noProof/>
              <w:sz w:val="19"/>
              <w:lang w:val="en-US" w:eastAsia="zh-TW"/>
            </w:rPr>
            <w:pict>
              <v:shape id="_x0000_s2050"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tc>
    </w:tr>
  </w:tbl>
  <w:p w:rsidR="00EC4A1B" w:rsidRDefault="00EC4A1B">
    <w:pPr>
      <w:pStyle w:val="Header"/>
    </w:pPr>
    <w:r>
      <w:t>Header goes here</w:t>
    </w:r>
    <w:r>
      <w:ptab w:relativeTo="margin" w:alignment="center" w:leader="none"/>
    </w:r>
    <w:r>
      <w:ptab w:relativeTo="margin" w:alignment="right" w:leader="none"/>
    </w:r>
    <w:r>
      <w:t>Draft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margin" w:tblpY="1248"/>
      <w:tblOverlap w:val="never"/>
      <w:tblW w:w="5000" w:type="pct"/>
      <w:tblBorders>
        <w:top w:val="single" w:sz="6" w:space="0" w:color="DC6900" w:themeColor="text2"/>
        <w:left w:val="single" w:sz="6" w:space="0" w:color="DC690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tblPr>
    <w:tblGrid>
      <w:gridCol w:w="7568"/>
    </w:tblGrid>
    <w:tr w:rsidR="00EC4A1B">
      <w:trPr>
        <w:trHeight w:hRule="exact" w:val="227"/>
      </w:trPr>
      <w:tc>
        <w:tcPr>
          <w:tcW w:w="5000" w:type="pct"/>
        </w:tcPr>
        <w:p w:rsidR="00EC4A1B" w:rsidRDefault="00EC4A1B">
          <w:pPr>
            <w:rPr>
              <w:sz w:val="14"/>
              <w:szCs w:val="14"/>
            </w:rPr>
          </w:pPr>
        </w:p>
      </w:tc>
    </w:tr>
  </w:tbl>
  <w:p w:rsidR="00EC4A1B" w:rsidRDefault="00EC4A1B">
    <w:pPr>
      <w:pStyle w:val="Header"/>
    </w:pPr>
    <w:r>
      <w:t>Header goes here</w:t>
    </w:r>
    <w:r>
      <w:ptab w:relativeTo="margin" w:alignment="center" w:leader="none"/>
    </w:r>
    <w:r>
      <w:ptab w:relativeTo="margin" w:alignment="right" w:leader="none"/>
    </w:r>
    <w:r>
      <w:t>Draft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margin" w:tblpY="2071"/>
      <w:tblOverlap w:val="never"/>
      <w:tblW w:w="5000" w:type="pct"/>
      <w:tblBorders>
        <w:top w:val="single" w:sz="6" w:space="0" w:color="DC6900" w:themeColor="text2"/>
        <w:left w:val="single" w:sz="6" w:space="0" w:color="DC690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tblPr>
    <w:tblGrid>
      <w:gridCol w:w="7568"/>
    </w:tblGrid>
    <w:tr w:rsidR="00EC4A1B" w:rsidRPr="0022763A">
      <w:trPr>
        <w:trHeight w:hRule="exact" w:val="227"/>
      </w:trPr>
      <w:tc>
        <w:tcPr>
          <w:tcW w:w="5000" w:type="pct"/>
        </w:tcPr>
        <w:p w:rsidR="00EC4A1B" w:rsidRPr="0022763A" w:rsidRDefault="004B1DED">
          <w:pPr>
            <w:rPr>
              <w:sz w:val="14"/>
              <w:szCs w:val="14"/>
            </w:rPr>
          </w:pPr>
          <w:r w:rsidRPr="004B1DED">
            <w:rPr>
              <w:rFonts w:asciiTheme="minorHAnsi" w:hAnsiTheme="minorHAnsi" w:cstheme="minorHAnsi"/>
              <w:noProof/>
              <w:sz w:val="19"/>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412.4pt;height:247.45pt;rotation:315;z-index:-2515814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4B1DED">
            <w:rPr>
              <w:rFonts w:asciiTheme="minorHAnsi" w:hAnsiTheme="minorHAnsi" w:cstheme="minorHAnsi"/>
              <w:noProof/>
              <w:sz w:val="19"/>
              <w:lang w:val="en-US" w:eastAsia="zh-TW"/>
            </w:rPr>
            <w:pict>
              <v:shape id="_x0000_s2059" type="#_x0000_t136" style="position:absolute;margin-left:0;margin-top:0;width:412.4pt;height:247.45pt;rotation:315;z-index:-2515875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4B1DED">
            <w:rPr>
              <w:rFonts w:asciiTheme="minorHAnsi" w:hAnsiTheme="minorHAnsi" w:cstheme="minorHAnsi"/>
              <w:noProof/>
              <w:sz w:val="19"/>
              <w:lang w:val="en-US" w:eastAsia="zh-TW"/>
            </w:rPr>
            <w:pict>
              <v:shape id="_x0000_s2057" type="#_x0000_t136" style="position:absolute;margin-left:0;margin-top:0;width:412.4pt;height:247.45pt;rotation:315;z-index:-251593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4B1DED">
            <w:rPr>
              <w:rFonts w:asciiTheme="minorHAnsi" w:hAnsiTheme="minorHAnsi" w:cstheme="minorHAnsi"/>
              <w:noProof/>
              <w:sz w:val="19"/>
              <w:lang w:val="en-US" w:eastAsia="zh-TW"/>
            </w:rPr>
            <w:pict>
              <v:shape id="_x0000_s2055" type="#_x0000_t136" style="position:absolute;margin-left:0;margin-top:0;width:412.4pt;height:247.45pt;rotation:315;z-index:-2515998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4B1DED">
            <w:rPr>
              <w:rFonts w:asciiTheme="minorHAnsi" w:hAnsiTheme="minorHAnsi" w:cstheme="minorHAnsi"/>
              <w:noProof/>
              <w:sz w:val="19"/>
              <w:lang w:val="en-US" w:eastAsia="zh-TW"/>
            </w:rPr>
            <w:pict>
              <v:shape id="_x0000_s2053" type="#_x0000_t136" style="position:absolute;margin-left:0;margin-top:0;width:412.4pt;height:247.45pt;rotation:315;z-index:-2516060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4B1DED">
            <w:rPr>
              <w:rFonts w:asciiTheme="minorHAnsi" w:hAnsiTheme="minorHAnsi" w:cstheme="minorHAnsi"/>
              <w:noProof/>
              <w:sz w:val="19"/>
              <w:lang w:val="en-US" w:eastAsia="zh-TW"/>
            </w:rPr>
            <w:pict>
              <v:shape id="PowerPlusWaterMarkObject357831064" o:spid="_x0000_s2049"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tc>
    </w:tr>
  </w:tbl>
  <w:p w:rsidR="00EC4A1B" w:rsidRPr="004539D0" w:rsidRDefault="00EC4A1B">
    <w:pPr>
      <w:pStyle w:val="Header"/>
      <w:rPr>
        <w:rFonts w:asciiTheme="majorHAnsi" w:hAnsiTheme="majorHAnsi" w:cstheme="minorHAnsi"/>
      </w:rPr>
    </w:pPr>
    <w:r w:rsidRPr="004539D0">
      <w:rPr>
        <w:rFonts w:asciiTheme="majorHAnsi" w:hAnsiTheme="majorHAnsi" w:cstheme="minorHAnsi"/>
      </w:rPr>
      <w:t>www.pwc.lv</w:t>
    </w:r>
    <w:r w:rsidRPr="004539D0">
      <w:rPr>
        <w:rFonts w:asciiTheme="majorHAnsi" w:hAnsiTheme="majorHAnsi" w:cstheme="minorHAnsi"/>
      </w:rPr>
      <w:ptab w:relativeTo="margin" w:alignment="right" w:leader="none"/>
    </w:r>
    <w:r w:rsidRPr="004539D0">
      <w:rPr>
        <w:rFonts w:asciiTheme="majorHAnsi" w:hAnsiTheme="majorHAnsi" w:cstheme="minorHAnsi"/>
      </w:rPr>
      <w:t>Draft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margin" w:tblpY="1248"/>
      <w:tblOverlap w:val="never"/>
      <w:tblW w:w="5000" w:type="pct"/>
      <w:tblBorders>
        <w:top w:val="single" w:sz="6" w:space="0" w:color="DC6900" w:themeColor="text2"/>
        <w:left w:val="single" w:sz="6" w:space="0" w:color="DC690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tblPr>
    <w:tblGrid>
      <w:gridCol w:w="10091"/>
    </w:tblGrid>
    <w:tr w:rsidR="00EC4A1B">
      <w:trPr>
        <w:trHeight w:hRule="exact" w:val="227"/>
      </w:trPr>
      <w:tc>
        <w:tcPr>
          <w:tcW w:w="5000" w:type="pct"/>
        </w:tcPr>
        <w:p w:rsidR="00EC4A1B" w:rsidRDefault="004B1DED">
          <w:pPr>
            <w:rPr>
              <w:sz w:val="14"/>
              <w:szCs w:val="14"/>
            </w:rPr>
          </w:pPr>
          <w:r w:rsidRPr="004B1DED">
            <w:rPr>
              <w:rFonts w:asciiTheme="minorHAnsi" w:hAnsiTheme="minorHAnsi" w:cstheme="minorHAnsi"/>
              <w:noProof/>
              <w:sz w:val="19"/>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12.4pt;height:247.45pt;rotation:315;z-index:-2516080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tc>
    </w:tr>
  </w:tbl>
  <w:p w:rsidR="00EC4A1B" w:rsidRPr="004539D0" w:rsidRDefault="00EC4A1B">
    <w:pPr>
      <w:pStyle w:val="Header"/>
      <w:rPr>
        <w:rFonts w:asciiTheme="majorHAnsi" w:hAnsiTheme="majorHAnsi"/>
      </w:rPr>
    </w:pPr>
    <w:r w:rsidRPr="004539D0">
      <w:rPr>
        <w:rFonts w:asciiTheme="majorHAnsi" w:hAnsiTheme="majorHAnsi"/>
      </w:rPr>
      <w:t xml:space="preserve">Ex-ante evaluation of Latvia–Lithuania Cross Border Cooperation Programme for 2014–2020 </w:t>
    </w:r>
    <w:r w:rsidRPr="004539D0">
      <w:rPr>
        <w:rFonts w:asciiTheme="majorHAnsi" w:hAnsiTheme="majorHAnsi"/>
      </w:rPr>
      <w:ptab w:relativeTo="margin" w:alignment="right" w:leader="none"/>
    </w:r>
    <w:r w:rsidRPr="004539D0">
      <w:rPr>
        <w:rFonts w:asciiTheme="majorHAnsi" w:hAnsiTheme="majorHAnsi"/>
      </w:rPr>
      <w:t>Draft</w:t>
    </w:r>
  </w:p>
  <w:p w:rsidR="00EC4A1B" w:rsidRDefault="00EC4A1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nsid w:val="166849C4"/>
    <w:multiLevelType w:val="multilevel"/>
    <w:tmpl w:val="CD4C98AE"/>
    <w:name w:val="PwCListBullets12"/>
    <w:numStyleLink w:val="PwCListBullets1"/>
  </w:abstractNum>
  <w:abstractNum w:abstractNumId="2">
    <w:nsid w:val="1E0849F5"/>
    <w:multiLevelType w:val="multilevel"/>
    <w:tmpl w:val="EE3860A0"/>
    <w:name w:val="PwCListNumbers12"/>
    <w:numStyleLink w:val="PwCListNumbers1"/>
  </w:abstractNum>
  <w:abstractNum w:abstractNumId="3">
    <w:nsid w:val="223629F2"/>
    <w:multiLevelType w:val="multilevel"/>
    <w:tmpl w:val="A762F5FC"/>
    <w:lvl w:ilvl="0">
      <w:start w:val="3"/>
      <w:numFmt w:val="decimal"/>
      <w:lvlText w:val="%1."/>
      <w:lvlJc w:val="left"/>
      <w:pPr>
        <w:ind w:left="555" w:hanging="555"/>
      </w:pPr>
      <w:rPr>
        <w:rFonts w:asciiTheme="majorHAnsi" w:eastAsiaTheme="majorEastAsia" w:hAnsiTheme="majorHAnsi" w:cstheme="majorBidi" w:hint="default"/>
        <w:b/>
        <w:i/>
        <w:color w:val="DC6900" w:themeColor="text2"/>
        <w:sz w:val="32"/>
      </w:rPr>
    </w:lvl>
    <w:lvl w:ilvl="1">
      <w:start w:val="1"/>
      <w:numFmt w:val="decimal"/>
      <w:lvlText w:val="%1.%2."/>
      <w:lvlJc w:val="left"/>
      <w:pPr>
        <w:ind w:left="1004" w:hanging="720"/>
      </w:pPr>
      <w:rPr>
        <w:rFonts w:asciiTheme="majorHAnsi" w:eastAsiaTheme="majorEastAsia" w:hAnsiTheme="majorHAnsi" w:cstheme="majorBidi" w:hint="default"/>
        <w:b/>
        <w:i/>
        <w:color w:val="DC6900" w:themeColor="text2"/>
        <w:sz w:val="32"/>
      </w:rPr>
    </w:lvl>
    <w:lvl w:ilvl="2">
      <w:start w:val="1"/>
      <w:numFmt w:val="decimal"/>
      <w:lvlText w:val="%1.%2.%3."/>
      <w:lvlJc w:val="left"/>
      <w:pPr>
        <w:ind w:left="1288" w:hanging="720"/>
      </w:pPr>
      <w:rPr>
        <w:rFonts w:asciiTheme="majorHAnsi" w:eastAsiaTheme="majorEastAsia" w:hAnsiTheme="majorHAnsi" w:cstheme="majorBidi" w:hint="default"/>
        <w:b/>
        <w:i/>
        <w:color w:val="DC6900" w:themeColor="text2"/>
        <w:sz w:val="32"/>
      </w:rPr>
    </w:lvl>
    <w:lvl w:ilvl="3">
      <w:start w:val="1"/>
      <w:numFmt w:val="decimal"/>
      <w:lvlText w:val="%1.%2.%3.%4."/>
      <w:lvlJc w:val="left"/>
      <w:pPr>
        <w:ind w:left="1932" w:hanging="1080"/>
      </w:pPr>
      <w:rPr>
        <w:rFonts w:asciiTheme="majorHAnsi" w:eastAsiaTheme="majorEastAsia" w:hAnsiTheme="majorHAnsi" w:cstheme="majorBidi" w:hint="default"/>
        <w:b/>
        <w:i/>
        <w:color w:val="DC6900" w:themeColor="text2"/>
        <w:sz w:val="32"/>
      </w:rPr>
    </w:lvl>
    <w:lvl w:ilvl="4">
      <w:start w:val="1"/>
      <w:numFmt w:val="decimal"/>
      <w:lvlText w:val="%1.%2.%3.%4.%5."/>
      <w:lvlJc w:val="left"/>
      <w:pPr>
        <w:ind w:left="2216" w:hanging="1080"/>
      </w:pPr>
      <w:rPr>
        <w:rFonts w:asciiTheme="majorHAnsi" w:eastAsiaTheme="majorEastAsia" w:hAnsiTheme="majorHAnsi" w:cstheme="majorBidi" w:hint="default"/>
        <w:b/>
        <w:i/>
        <w:color w:val="DC6900" w:themeColor="text2"/>
        <w:sz w:val="32"/>
      </w:rPr>
    </w:lvl>
    <w:lvl w:ilvl="5">
      <w:start w:val="1"/>
      <w:numFmt w:val="decimal"/>
      <w:lvlText w:val="%1.%2.%3.%4.%5.%6."/>
      <w:lvlJc w:val="left"/>
      <w:pPr>
        <w:ind w:left="2860" w:hanging="1440"/>
      </w:pPr>
      <w:rPr>
        <w:rFonts w:asciiTheme="majorHAnsi" w:eastAsiaTheme="majorEastAsia" w:hAnsiTheme="majorHAnsi" w:cstheme="majorBidi" w:hint="default"/>
        <w:b/>
        <w:i/>
        <w:color w:val="DC6900" w:themeColor="text2"/>
        <w:sz w:val="32"/>
      </w:rPr>
    </w:lvl>
    <w:lvl w:ilvl="6">
      <w:start w:val="1"/>
      <w:numFmt w:val="decimal"/>
      <w:lvlText w:val="%1.%2.%3.%4.%5.%6.%7."/>
      <w:lvlJc w:val="left"/>
      <w:pPr>
        <w:ind w:left="3144" w:hanging="1440"/>
      </w:pPr>
      <w:rPr>
        <w:rFonts w:asciiTheme="majorHAnsi" w:eastAsiaTheme="majorEastAsia" w:hAnsiTheme="majorHAnsi" w:cstheme="majorBidi" w:hint="default"/>
        <w:b/>
        <w:i/>
        <w:color w:val="DC6900" w:themeColor="text2"/>
        <w:sz w:val="32"/>
      </w:rPr>
    </w:lvl>
    <w:lvl w:ilvl="7">
      <w:start w:val="1"/>
      <w:numFmt w:val="decimal"/>
      <w:lvlText w:val="%1.%2.%3.%4.%5.%6.%7.%8."/>
      <w:lvlJc w:val="left"/>
      <w:pPr>
        <w:ind w:left="3788" w:hanging="1800"/>
      </w:pPr>
      <w:rPr>
        <w:rFonts w:asciiTheme="majorHAnsi" w:eastAsiaTheme="majorEastAsia" w:hAnsiTheme="majorHAnsi" w:cstheme="majorBidi" w:hint="default"/>
        <w:b/>
        <w:i/>
        <w:color w:val="DC6900" w:themeColor="text2"/>
        <w:sz w:val="32"/>
      </w:rPr>
    </w:lvl>
    <w:lvl w:ilvl="8">
      <w:start w:val="1"/>
      <w:numFmt w:val="decimal"/>
      <w:lvlText w:val="%1.%2.%3.%4.%5.%6.%7.%8.%9."/>
      <w:lvlJc w:val="left"/>
      <w:pPr>
        <w:ind w:left="4072" w:hanging="1800"/>
      </w:pPr>
      <w:rPr>
        <w:rFonts w:asciiTheme="majorHAnsi" w:eastAsiaTheme="majorEastAsia" w:hAnsiTheme="majorHAnsi" w:cstheme="majorBidi" w:hint="default"/>
        <w:b/>
        <w:i/>
        <w:color w:val="DC6900" w:themeColor="text2"/>
        <w:sz w:val="32"/>
      </w:rPr>
    </w:lvl>
  </w:abstractNum>
  <w:abstractNum w:abstractNumId="4">
    <w:nsid w:val="28905486"/>
    <w:multiLevelType w:val="multilevel"/>
    <w:tmpl w:val="CD4C98AE"/>
    <w:numStyleLink w:val="PwCListBullets1"/>
  </w:abstractNum>
  <w:abstractNum w:abstractNumId="5">
    <w:nsid w:val="2F326024"/>
    <w:multiLevelType w:val="hybridMultilevel"/>
    <w:tmpl w:val="30F230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E40077"/>
    <w:multiLevelType w:val="multilevel"/>
    <w:tmpl w:val="9C98E20E"/>
    <w:lvl w:ilvl="0">
      <w:start w:val="3"/>
      <w:numFmt w:val="decimal"/>
      <w:lvlText w:val="%1."/>
      <w:lvlJc w:val="left"/>
      <w:pPr>
        <w:ind w:left="675" w:hanging="675"/>
      </w:pPr>
      <w:rPr>
        <w:rFonts w:eastAsia="Times New Roman" w:hint="default"/>
      </w:rPr>
    </w:lvl>
    <w:lvl w:ilvl="1">
      <w:start w:val="2"/>
      <w:numFmt w:val="decimal"/>
      <w:lvlText w:val="%1.%2."/>
      <w:lvlJc w:val="left"/>
      <w:pPr>
        <w:ind w:left="1020" w:hanging="720"/>
      </w:pPr>
      <w:rPr>
        <w:rFonts w:eastAsia="Times New Roman" w:hint="default"/>
      </w:rPr>
    </w:lvl>
    <w:lvl w:ilvl="2">
      <w:start w:val="1"/>
      <w:numFmt w:val="decimal"/>
      <w:lvlText w:val="%3)"/>
      <w:lvlJc w:val="left"/>
      <w:pPr>
        <w:ind w:left="1080" w:hanging="1080"/>
      </w:pPr>
      <w:rPr>
        <w:rFonts w:hint="default"/>
      </w:rPr>
    </w:lvl>
    <w:lvl w:ilvl="3">
      <w:start w:val="1"/>
      <w:numFmt w:val="decimal"/>
      <w:lvlText w:val="%1.%2.%3.%4."/>
      <w:lvlJc w:val="left"/>
      <w:pPr>
        <w:ind w:left="1980" w:hanging="1080"/>
      </w:pPr>
      <w:rPr>
        <w:rFonts w:eastAsia="Times New Roman" w:hint="default"/>
      </w:rPr>
    </w:lvl>
    <w:lvl w:ilvl="4">
      <w:start w:val="1"/>
      <w:numFmt w:val="decimal"/>
      <w:lvlText w:val="%1.%2.%3.%4.%5."/>
      <w:lvlJc w:val="left"/>
      <w:pPr>
        <w:ind w:left="2640" w:hanging="1440"/>
      </w:pPr>
      <w:rPr>
        <w:rFonts w:eastAsia="Times New Roman" w:hint="default"/>
      </w:rPr>
    </w:lvl>
    <w:lvl w:ilvl="5">
      <w:start w:val="1"/>
      <w:numFmt w:val="decimal"/>
      <w:lvlText w:val="%1.%2.%3.%4.%5.%6."/>
      <w:lvlJc w:val="left"/>
      <w:pPr>
        <w:ind w:left="3300" w:hanging="1800"/>
      </w:pPr>
      <w:rPr>
        <w:rFonts w:eastAsia="Times New Roman" w:hint="default"/>
      </w:rPr>
    </w:lvl>
    <w:lvl w:ilvl="6">
      <w:start w:val="1"/>
      <w:numFmt w:val="decimal"/>
      <w:lvlText w:val="%1.%2.%3.%4.%5.%6.%7."/>
      <w:lvlJc w:val="left"/>
      <w:pPr>
        <w:ind w:left="3600" w:hanging="1800"/>
      </w:pPr>
      <w:rPr>
        <w:rFonts w:eastAsia="Times New Roman" w:hint="default"/>
      </w:rPr>
    </w:lvl>
    <w:lvl w:ilvl="7">
      <w:start w:val="1"/>
      <w:numFmt w:val="decimal"/>
      <w:lvlText w:val="%1.%2.%3.%4.%5.%6.%7.%8."/>
      <w:lvlJc w:val="left"/>
      <w:pPr>
        <w:ind w:left="4260" w:hanging="2160"/>
      </w:pPr>
      <w:rPr>
        <w:rFonts w:eastAsia="Times New Roman" w:hint="default"/>
      </w:rPr>
    </w:lvl>
    <w:lvl w:ilvl="8">
      <w:start w:val="1"/>
      <w:numFmt w:val="decimal"/>
      <w:lvlText w:val="%1.%2.%3.%4.%5.%6.%7.%8.%9."/>
      <w:lvlJc w:val="left"/>
      <w:pPr>
        <w:ind w:left="4920" w:hanging="2520"/>
      </w:pPr>
      <w:rPr>
        <w:rFonts w:eastAsia="Times New Roman" w:hint="default"/>
      </w:rPr>
    </w:lvl>
  </w:abstractNum>
  <w:abstractNum w:abstractNumId="7">
    <w:nsid w:val="3A57486E"/>
    <w:multiLevelType w:val="multilevel"/>
    <w:tmpl w:val="EE3860A0"/>
    <w:name w:val="PwCListNumbers13"/>
    <w:numStyleLink w:val="PwCListNumbers1"/>
  </w:abstractNum>
  <w:abstractNum w:abstractNumId="8">
    <w:nsid w:val="3C455F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C874339"/>
    <w:multiLevelType w:val="multilevel"/>
    <w:tmpl w:val="2854A5C8"/>
    <w:lvl w:ilvl="0">
      <w:start w:val="4"/>
      <w:numFmt w:val="decimal"/>
      <w:lvlText w:val="%1."/>
      <w:lvlJc w:val="left"/>
      <w:pPr>
        <w:ind w:left="675" w:hanging="675"/>
      </w:pPr>
      <w:rPr>
        <w:rFonts w:eastAsia="Times New Roman" w:hint="default"/>
      </w:rPr>
    </w:lvl>
    <w:lvl w:ilvl="1">
      <w:start w:val="1"/>
      <w:numFmt w:val="decimal"/>
      <w:lvlText w:val="%1.%2."/>
      <w:lvlJc w:val="left"/>
      <w:pPr>
        <w:ind w:left="1020" w:hanging="720"/>
      </w:pPr>
      <w:rPr>
        <w:rFonts w:eastAsia="Times New Roman" w:hint="default"/>
      </w:rPr>
    </w:lvl>
    <w:lvl w:ilvl="2">
      <w:start w:val="2"/>
      <w:numFmt w:val="decimal"/>
      <w:lvlText w:val="%1.%2.%3."/>
      <w:lvlJc w:val="left"/>
      <w:pPr>
        <w:ind w:left="1080" w:hanging="1080"/>
      </w:pPr>
      <w:rPr>
        <w:rFonts w:eastAsia="Times New Roman" w:hint="default"/>
      </w:rPr>
    </w:lvl>
    <w:lvl w:ilvl="3">
      <w:start w:val="1"/>
      <w:numFmt w:val="decimal"/>
      <w:lvlText w:val="%1.%2.%3.%4."/>
      <w:lvlJc w:val="left"/>
      <w:pPr>
        <w:ind w:left="1980" w:hanging="1080"/>
      </w:pPr>
      <w:rPr>
        <w:rFonts w:eastAsia="Times New Roman" w:hint="default"/>
      </w:rPr>
    </w:lvl>
    <w:lvl w:ilvl="4">
      <w:start w:val="1"/>
      <w:numFmt w:val="decimal"/>
      <w:lvlText w:val="%1.%2.%3.%4.%5."/>
      <w:lvlJc w:val="left"/>
      <w:pPr>
        <w:ind w:left="2640" w:hanging="1440"/>
      </w:pPr>
      <w:rPr>
        <w:rFonts w:eastAsia="Times New Roman" w:hint="default"/>
      </w:rPr>
    </w:lvl>
    <w:lvl w:ilvl="5">
      <w:start w:val="1"/>
      <w:numFmt w:val="decimal"/>
      <w:lvlText w:val="%1.%2.%3.%4.%5.%6."/>
      <w:lvlJc w:val="left"/>
      <w:pPr>
        <w:ind w:left="3300" w:hanging="1800"/>
      </w:pPr>
      <w:rPr>
        <w:rFonts w:eastAsia="Times New Roman" w:hint="default"/>
      </w:rPr>
    </w:lvl>
    <w:lvl w:ilvl="6">
      <w:start w:val="1"/>
      <w:numFmt w:val="decimal"/>
      <w:lvlText w:val="%1.%2.%3.%4.%5.%6.%7."/>
      <w:lvlJc w:val="left"/>
      <w:pPr>
        <w:ind w:left="3600" w:hanging="1800"/>
      </w:pPr>
      <w:rPr>
        <w:rFonts w:eastAsia="Times New Roman" w:hint="default"/>
      </w:rPr>
    </w:lvl>
    <w:lvl w:ilvl="7">
      <w:start w:val="1"/>
      <w:numFmt w:val="decimal"/>
      <w:lvlText w:val="%1.%2.%3.%4.%5.%6.%7.%8."/>
      <w:lvlJc w:val="left"/>
      <w:pPr>
        <w:ind w:left="4260" w:hanging="2160"/>
      </w:pPr>
      <w:rPr>
        <w:rFonts w:eastAsia="Times New Roman" w:hint="default"/>
      </w:rPr>
    </w:lvl>
    <w:lvl w:ilvl="8">
      <w:start w:val="1"/>
      <w:numFmt w:val="decimal"/>
      <w:lvlText w:val="%1.%2.%3.%4.%5.%6.%7.%8.%9."/>
      <w:lvlJc w:val="left"/>
      <w:pPr>
        <w:ind w:left="4920" w:hanging="2520"/>
      </w:pPr>
      <w:rPr>
        <w:rFonts w:eastAsia="Times New Roman" w:hint="default"/>
      </w:rPr>
    </w:lvl>
  </w:abstractNum>
  <w:abstractNum w:abstractNumId="10">
    <w:nsid w:val="44EE2318"/>
    <w:multiLevelType w:val="hybridMultilevel"/>
    <w:tmpl w:val="EE7A64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974A98"/>
    <w:multiLevelType w:val="hybridMultilevel"/>
    <w:tmpl w:val="CA20CED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A21731B"/>
    <w:multiLevelType w:val="multilevel"/>
    <w:tmpl w:val="5480421C"/>
    <w:lvl w:ilvl="0">
      <w:start w:val="1"/>
      <w:numFmt w:val="decimal"/>
      <w:lvlText w:val="%1."/>
      <w:lvlJc w:val="left"/>
      <w:pPr>
        <w:ind w:left="749" w:hanging="465"/>
      </w:pPr>
      <w:rPr>
        <w:rFonts w:hint="default"/>
        <w:sz w:val="44"/>
        <w:szCs w:val="44"/>
      </w:rPr>
    </w:lvl>
    <w:lvl w:ilvl="1">
      <w:start w:val="1"/>
      <w:numFmt w:val="decimal"/>
      <w:isLgl/>
      <w:lvlText w:val="%1.%2."/>
      <w:lvlJc w:val="left"/>
      <w:pPr>
        <w:ind w:left="1004" w:hanging="720"/>
      </w:pPr>
      <w:rPr>
        <w:rFonts w:hint="default"/>
        <w:b/>
        <w:u w:val="none"/>
      </w:rPr>
    </w:lvl>
    <w:lvl w:ilvl="2">
      <w:start w:val="1"/>
      <w:numFmt w:val="decimal"/>
      <w:isLgl/>
      <w:lvlText w:val="%1.%2.%3."/>
      <w:lvlJc w:val="left"/>
      <w:pPr>
        <w:ind w:left="1004" w:hanging="720"/>
      </w:pPr>
      <w:rPr>
        <w:rFonts w:hint="default"/>
        <w:b/>
        <w:u w:val="single"/>
      </w:rPr>
    </w:lvl>
    <w:lvl w:ilvl="3">
      <w:start w:val="1"/>
      <w:numFmt w:val="decimal"/>
      <w:isLgl/>
      <w:lvlText w:val="%1.%2.%3.%4."/>
      <w:lvlJc w:val="left"/>
      <w:pPr>
        <w:ind w:left="1364" w:hanging="1080"/>
      </w:pPr>
      <w:rPr>
        <w:rFonts w:hint="default"/>
        <w:b/>
        <w:u w:val="single"/>
      </w:rPr>
    </w:lvl>
    <w:lvl w:ilvl="4">
      <w:start w:val="1"/>
      <w:numFmt w:val="decimal"/>
      <w:isLgl/>
      <w:lvlText w:val="%1.%2.%3.%4.%5."/>
      <w:lvlJc w:val="left"/>
      <w:pPr>
        <w:ind w:left="1364" w:hanging="1080"/>
      </w:pPr>
      <w:rPr>
        <w:rFonts w:hint="default"/>
        <w:b/>
        <w:u w:val="single"/>
      </w:rPr>
    </w:lvl>
    <w:lvl w:ilvl="5">
      <w:start w:val="1"/>
      <w:numFmt w:val="decimal"/>
      <w:isLgl/>
      <w:lvlText w:val="%1.%2.%3.%4.%5.%6."/>
      <w:lvlJc w:val="left"/>
      <w:pPr>
        <w:ind w:left="1724" w:hanging="1440"/>
      </w:pPr>
      <w:rPr>
        <w:rFonts w:hint="default"/>
        <w:b/>
        <w:u w:val="single"/>
      </w:rPr>
    </w:lvl>
    <w:lvl w:ilvl="6">
      <w:start w:val="1"/>
      <w:numFmt w:val="decimal"/>
      <w:isLgl/>
      <w:lvlText w:val="%1.%2.%3.%4.%5.%6.%7."/>
      <w:lvlJc w:val="left"/>
      <w:pPr>
        <w:ind w:left="1724" w:hanging="1440"/>
      </w:pPr>
      <w:rPr>
        <w:rFonts w:hint="default"/>
        <w:b/>
        <w:u w:val="single"/>
      </w:rPr>
    </w:lvl>
    <w:lvl w:ilvl="7">
      <w:start w:val="1"/>
      <w:numFmt w:val="decimal"/>
      <w:isLgl/>
      <w:lvlText w:val="%1.%2.%3.%4.%5.%6.%7.%8."/>
      <w:lvlJc w:val="left"/>
      <w:pPr>
        <w:ind w:left="2084" w:hanging="1800"/>
      </w:pPr>
      <w:rPr>
        <w:rFonts w:hint="default"/>
        <w:b/>
        <w:u w:val="single"/>
      </w:rPr>
    </w:lvl>
    <w:lvl w:ilvl="8">
      <w:start w:val="1"/>
      <w:numFmt w:val="decimal"/>
      <w:isLgl/>
      <w:lvlText w:val="%1.%2.%3.%4.%5.%6.%7.%8.%9."/>
      <w:lvlJc w:val="left"/>
      <w:pPr>
        <w:ind w:left="2084" w:hanging="1800"/>
      </w:pPr>
      <w:rPr>
        <w:rFonts w:hint="default"/>
        <w:b/>
        <w:u w:val="single"/>
      </w:rPr>
    </w:lvl>
  </w:abstractNum>
  <w:abstractNum w:abstractNumId="13">
    <w:nsid w:val="5E6C1787"/>
    <w:multiLevelType w:val="hybridMultilevel"/>
    <w:tmpl w:val="1F3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CC4527"/>
    <w:multiLevelType w:val="hybridMultilevel"/>
    <w:tmpl w:val="486AA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591CA9"/>
    <w:multiLevelType w:val="multilevel"/>
    <w:tmpl w:val="CD4C98AE"/>
    <w:name w:val="PwCListBullets1"/>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Georgia" w:hAnsi="Georgia" w:hint="default"/>
        <w:b/>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6">
    <w:nsid w:val="73A973FD"/>
    <w:multiLevelType w:val="hybridMultilevel"/>
    <w:tmpl w:val="6668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232417"/>
    <w:multiLevelType w:val="hybridMultilevel"/>
    <w:tmpl w:val="0FF0EF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0"/>
  </w:num>
  <w:num w:numId="3">
    <w:abstractNumId w:val="7"/>
  </w:num>
  <w:num w:numId="4">
    <w:abstractNumId w:val="4"/>
  </w:num>
  <w:num w:numId="5">
    <w:abstractNumId w:val="12"/>
  </w:num>
  <w:num w:numId="6">
    <w:abstractNumId w:val="6"/>
  </w:num>
  <w:num w:numId="7">
    <w:abstractNumId w:val="9"/>
  </w:num>
  <w:num w:numId="8">
    <w:abstractNumId w:val="17"/>
  </w:num>
  <w:num w:numId="9">
    <w:abstractNumId w:val="8"/>
  </w:num>
  <w:num w:numId="10">
    <w:abstractNumId w:val="13"/>
  </w:num>
  <w:num w:numId="11">
    <w:abstractNumId w:val="3"/>
  </w:num>
  <w:num w:numId="12">
    <w:abstractNumId w:val="11"/>
  </w:num>
  <w:num w:numId="13">
    <w:abstractNumId w:val="10"/>
  </w:num>
  <w:num w:numId="14">
    <w:abstractNumId w:val="5"/>
  </w:num>
  <w:num w:numId="15">
    <w:abstractNumId w:val="16"/>
  </w:num>
  <w:num w:numId="16">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stylePaneSortMethod w:val="0000"/>
  <w:defaultTabStop w:val="720"/>
  <w:drawingGridHorizontalSpacing w:val="100"/>
  <w:drawingGridVerticalSpacing w:val="873"/>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097464"/>
    <w:rsid w:val="00000B47"/>
    <w:rsid w:val="00000EAB"/>
    <w:rsid w:val="0000135E"/>
    <w:rsid w:val="00001AFC"/>
    <w:rsid w:val="00001F9C"/>
    <w:rsid w:val="000033F9"/>
    <w:rsid w:val="00004EEE"/>
    <w:rsid w:val="0000658E"/>
    <w:rsid w:val="00006A82"/>
    <w:rsid w:val="000074DF"/>
    <w:rsid w:val="00007B83"/>
    <w:rsid w:val="00010600"/>
    <w:rsid w:val="00010B4B"/>
    <w:rsid w:val="00010EB5"/>
    <w:rsid w:val="00010FA9"/>
    <w:rsid w:val="00010FE9"/>
    <w:rsid w:val="000110F5"/>
    <w:rsid w:val="00011A7B"/>
    <w:rsid w:val="000124E2"/>
    <w:rsid w:val="0001262C"/>
    <w:rsid w:val="000129EA"/>
    <w:rsid w:val="00012CA6"/>
    <w:rsid w:val="00015539"/>
    <w:rsid w:val="00016A3F"/>
    <w:rsid w:val="00017C7F"/>
    <w:rsid w:val="00020728"/>
    <w:rsid w:val="00020736"/>
    <w:rsid w:val="00021C84"/>
    <w:rsid w:val="00021D94"/>
    <w:rsid w:val="00022DB9"/>
    <w:rsid w:val="00023241"/>
    <w:rsid w:val="00024674"/>
    <w:rsid w:val="00025169"/>
    <w:rsid w:val="00025839"/>
    <w:rsid w:val="00027004"/>
    <w:rsid w:val="000279B7"/>
    <w:rsid w:val="00031606"/>
    <w:rsid w:val="00031C6E"/>
    <w:rsid w:val="00033B50"/>
    <w:rsid w:val="00033B51"/>
    <w:rsid w:val="00034148"/>
    <w:rsid w:val="00034981"/>
    <w:rsid w:val="00034F87"/>
    <w:rsid w:val="000365D0"/>
    <w:rsid w:val="00036761"/>
    <w:rsid w:val="00036FC7"/>
    <w:rsid w:val="00037525"/>
    <w:rsid w:val="00037F2A"/>
    <w:rsid w:val="0004055A"/>
    <w:rsid w:val="00041185"/>
    <w:rsid w:val="00041742"/>
    <w:rsid w:val="0004192D"/>
    <w:rsid w:val="00041AF2"/>
    <w:rsid w:val="00042DF6"/>
    <w:rsid w:val="00043CCE"/>
    <w:rsid w:val="00044845"/>
    <w:rsid w:val="00045413"/>
    <w:rsid w:val="000454C2"/>
    <w:rsid w:val="00046317"/>
    <w:rsid w:val="0004649D"/>
    <w:rsid w:val="00047F24"/>
    <w:rsid w:val="00051B28"/>
    <w:rsid w:val="0005201F"/>
    <w:rsid w:val="000520F4"/>
    <w:rsid w:val="00053204"/>
    <w:rsid w:val="00053EC4"/>
    <w:rsid w:val="0005469D"/>
    <w:rsid w:val="000550A7"/>
    <w:rsid w:val="0005671C"/>
    <w:rsid w:val="00056F0F"/>
    <w:rsid w:val="000570C9"/>
    <w:rsid w:val="00060FA5"/>
    <w:rsid w:val="00061366"/>
    <w:rsid w:val="000613A7"/>
    <w:rsid w:val="000620BA"/>
    <w:rsid w:val="00062CE7"/>
    <w:rsid w:val="00063AE0"/>
    <w:rsid w:val="00063B8E"/>
    <w:rsid w:val="00064135"/>
    <w:rsid w:val="00065D16"/>
    <w:rsid w:val="00066381"/>
    <w:rsid w:val="00066F3A"/>
    <w:rsid w:val="00067297"/>
    <w:rsid w:val="00067FC5"/>
    <w:rsid w:val="0007220D"/>
    <w:rsid w:val="000722FC"/>
    <w:rsid w:val="000726F5"/>
    <w:rsid w:val="000729AA"/>
    <w:rsid w:val="00073976"/>
    <w:rsid w:val="00073AAD"/>
    <w:rsid w:val="000743E5"/>
    <w:rsid w:val="0007476D"/>
    <w:rsid w:val="00075B82"/>
    <w:rsid w:val="00077407"/>
    <w:rsid w:val="0007740D"/>
    <w:rsid w:val="00080271"/>
    <w:rsid w:val="000805FC"/>
    <w:rsid w:val="000827D5"/>
    <w:rsid w:val="000837CD"/>
    <w:rsid w:val="00083F7C"/>
    <w:rsid w:val="000841A8"/>
    <w:rsid w:val="000869E8"/>
    <w:rsid w:val="0008716B"/>
    <w:rsid w:val="00087C1C"/>
    <w:rsid w:val="00087DBF"/>
    <w:rsid w:val="00090018"/>
    <w:rsid w:val="0009047F"/>
    <w:rsid w:val="00090891"/>
    <w:rsid w:val="00090A51"/>
    <w:rsid w:val="00090F1D"/>
    <w:rsid w:val="000926F4"/>
    <w:rsid w:val="00092E35"/>
    <w:rsid w:val="00094602"/>
    <w:rsid w:val="00094F65"/>
    <w:rsid w:val="0009675B"/>
    <w:rsid w:val="00097464"/>
    <w:rsid w:val="000977AB"/>
    <w:rsid w:val="000978E3"/>
    <w:rsid w:val="00097C9B"/>
    <w:rsid w:val="000A002D"/>
    <w:rsid w:val="000A0C6F"/>
    <w:rsid w:val="000A1F56"/>
    <w:rsid w:val="000A2026"/>
    <w:rsid w:val="000A2C8B"/>
    <w:rsid w:val="000A3354"/>
    <w:rsid w:val="000A63D9"/>
    <w:rsid w:val="000A663C"/>
    <w:rsid w:val="000A69A4"/>
    <w:rsid w:val="000A7A32"/>
    <w:rsid w:val="000B07C3"/>
    <w:rsid w:val="000B0DD1"/>
    <w:rsid w:val="000B2122"/>
    <w:rsid w:val="000B2346"/>
    <w:rsid w:val="000B369A"/>
    <w:rsid w:val="000B4106"/>
    <w:rsid w:val="000B4B15"/>
    <w:rsid w:val="000B4EE0"/>
    <w:rsid w:val="000B56B5"/>
    <w:rsid w:val="000B5D25"/>
    <w:rsid w:val="000B5F4B"/>
    <w:rsid w:val="000B65EE"/>
    <w:rsid w:val="000B74BF"/>
    <w:rsid w:val="000B7E4E"/>
    <w:rsid w:val="000C0E1E"/>
    <w:rsid w:val="000C13DD"/>
    <w:rsid w:val="000C25D4"/>
    <w:rsid w:val="000C290B"/>
    <w:rsid w:val="000C292F"/>
    <w:rsid w:val="000C30B1"/>
    <w:rsid w:val="000C3491"/>
    <w:rsid w:val="000C50F8"/>
    <w:rsid w:val="000C5E07"/>
    <w:rsid w:val="000C5E4C"/>
    <w:rsid w:val="000C62DC"/>
    <w:rsid w:val="000C67FB"/>
    <w:rsid w:val="000C71CC"/>
    <w:rsid w:val="000C7442"/>
    <w:rsid w:val="000D0430"/>
    <w:rsid w:val="000D1A0F"/>
    <w:rsid w:val="000D3595"/>
    <w:rsid w:val="000D3722"/>
    <w:rsid w:val="000D3944"/>
    <w:rsid w:val="000D3FC1"/>
    <w:rsid w:val="000D4830"/>
    <w:rsid w:val="000D50F9"/>
    <w:rsid w:val="000D56CB"/>
    <w:rsid w:val="000D6E16"/>
    <w:rsid w:val="000D787F"/>
    <w:rsid w:val="000D7D40"/>
    <w:rsid w:val="000E0747"/>
    <w:rsid w:val="000E0C04"/>
    <w:rsid w:val="000E1839"/>
    <w:rsid w:val="000E2438"/>
    <w:rsid w:val="000E44C4"/>
    <w:rsid w:val="000E56B9"/>
    <w:rsid w:val="000E5E7A"/>
    <w:rsid w:val="000E608B"/>
    <w:rsid w:val="000F089A"/>
    <w:rsid w:val="000F2A6E"/>
    <w:rsid w:val="000F339D"/>
    <w:rsid w:val="000F373B"/>
    <w:rsid w:val="000F3B20"/>
    <w:rsid w:val="000F4137"/>
    <w:rsid w:val="000F46ED"/>
    <w:rsid w:val="000F4853"/>
    <w:rsid w:val="000F5AFC"/>
    <w:rsid w:val="000F66F5"/>
    <w:rsid w:val="000F6802"/>
    <w:rsid w:val="000F7468"/>
    <w:rsid w:val="00100168"/>
    <w:rsid w:val="00101D3F"/>
    <w:rsid w:val="00101E5E"/>
    <w:rsid w:val="001045BA"/>
    <w:rsid w:val="001060A1"/>
    <w:rsid w:val="00107CBD"/>
    <w:rsid w:val="00111C65"/>
    <w:rsid w:val="00121CB4"/>
    <w:rsid w:val="0012205A"/>
    <w:rsid w:val="001225BF"/>
    <w:rsid w:val="00123756"/>
    <w:rsid w:val="00124155"/>
    <w:rsid w:val="00124459"/>
    <w:rsid w:val="00124A5B"/>
    <w:rsid w:val="001250AD"/>
    <w:rsid w:val="001254E3"/>
    <w:rsid w:val="00125B09"/>
    <w:rsid w:val="001271D4"/>
    <w:rsid w:val="0012793B"/>
    <w:rsid w:val="001300DE"/>
    <w:rsid w:val="00130913"/>
    <w:rsid w:val="00131CB5"/>
    <w:rsid w:val="00131DD3"/>
    <w:rsid w:val="0013234C"/>
    <w:rsid w:val="00132DF1"/>
    <w:rsid w:val="001332FF"/>
    <w:rsid w:val="00133997"/>
    <w:rsid w:val="001345C8"/>
    <w:rsid w:val="00136369"/>
    <w:rsid w:val="001363F2"/>
    <w:rsid w:val="0013643F"/>
    <w:rsid w:val="001366D9"/>
    <w:rsid w:val="00136A5C"/>
    <w:rsid w:val="001400F2"/>
    <w:rsid w:val="001403BC"/>
    <w:rsid w:val="00140F74"/>
    <w:rsid w:val="00141C23"/>
    <w:rsid w:val="0014229D"/>
    <w:rsid w:val="0014263F"/>
    <w:rsid w:val="00144A85"/>
    <w:rsid w:val="00145C92"/>
    <w:rsid w:val="00145F88"/>
    <w:rsid w:val="001465B9"/>
    <w:rsid w:val="001465F2"/>
    <w:rsid w:val="001467B5"/>
    <w:rsid w:val="0014706A"/>
    <w:rsid w:val="00147B11"/>
    <w:rsid w:val="00150113"/>
    <w:rsid w:val="001519A3"/>
    <w:rsid w:val="00151FCD"/>
    <w:rsid w:val="001527A5"/>
    <w:rsid w:val="00153489"/>
    <w:rsid w:val="00153656"/>
    <w:rsid w:val="00153790"/>
    <w:rsid w:val="00155D1C"/>
    <w:rsid w:val="00156344"/>
    <w:rsid w:val="00156E2E"/>
    <w:rsid w:val="001603BD"/>
    <w:rsid w:val="00161001"/>
    <w:rsid w:val="00161523"/>
    <w:rsid w:val="00163DAA"/>
    <w:rsid w:val="00165243"/>
    <w:rsid w:val="00165D2E"/>
    <w:rsid w:val="0016631C"/>
    <w:rsid w:val="0016657B"/>
    <w:rsid w:val="001669D1"/>
    <w:rsid w:val="001671FE"/>
    <w:rsid w:val="00167853"/>
    <w:rsid w:val="00170407"/>
    <w:rsid w:val="00170E1B"/>
    <w:rsid w:val="00171BE8"/>
    <w:rsid w:val="00171D75"/>
    <w:rsid w:val="001725E7"/>
    <w:rsid w:val="00172ED4"/>
    <w:rsid w:val="001734C0"/>
    <w:rsid w:val="001746FF"/>
    <w:rsid w:val="00174A3B"/>
    <w:rsid w:val="00175159"/>
    <w:rsid w:val="0017640D"/>
    <w:rsid w:val="00176649"/>
    <w:rsid w:val="0017676C"/>
    <w:rsid w:val="00180148"/>
    <w:rsid w:val="001808B7"/>
    <w:rsid w:val="00180E4B"/>
    <w:rsid w:val="0018137B"/>
    <w:rsid w:val="0018159F"/>
    <w:rsid w:val="00182269"/>
    <w:rsid w:val="00183359"/>
    <w:rsid w:val="00183EAE"/>
    <w:rsid w:val="00183F19"/>
    <w:rsid w:val="00183F8B"/>
    <w:rsid w:val="001840F6"/>
    <w:rsid w:val="00184385"/>
    <w:rsid w:val="001843FB"/>
    <w:rsid w:val="00184781"/>
    <w:rsid w:val="001850F9"/>
    <w:rsid w:val="001874CE"/>
    <w:rsid w:val="00187BFC"/>
    <w:rsid w:val="00187E4F"/>
    <w:rsid w:val="00190A8B"/>
    <w:rsid w:val="0019146C"/>
    <w:rsid w:val="001917B9"/>
    <w:rsid w:val="001928EB"/>
    <w:rsid w:val="00193A2B"/>
    <w:rsid w:val="00193A30"/>
    <w:rsid w:val="001941A8"/>
    <w:rsid w:val="0019493C"/>
    <w:rsid w:val="00195379"/>
    <w:rsid w:val="00197C6D"/>
    <w:rsid w:val="00197E2B"/>
    <w:rsid w:val="001A1CA4"/>
    <w:rsid w:val="001A210F"/>
    <w:rsid w:val="001A26C0"/>
    <w:rsid w:val="001A2BDD"/>
    <w:rsid w:val="001A3151"/>
    <w:rsid w:val="001A339D"/>
    <w:rsid w:val="001A46B2"/>
    <w:rsid w:val="001A514B"/>
    <w:rsid w:val="001A5636"/>
    <w:rsid w:val="001A6546"/>
    <w:rsid w:val="001B0FF2"/>
    <w:rsid w:val="001B11F1"/>
    <w:rsid w:val="001B1B89"/>
    <w:rsid w:val="001B25C2"/>
    <w:rsid w:val="001B2F16"/>
    <w:rsid w:val="001B41FE"/>
    <w:rsid w:val="001B4287"/>
    <w:rsid w:val="001B4332"/>
    <w:rsid w:val="001B49DD"/>
    <w:rsid w:val="001B545A"/>
    <w:rsid w:val="001B5646"/>
    <w:rsid w:val="001B624A"/>
    <w:rsid w:val="001B6429"/>
    <w:rsid w:val="001B6D0B"/>
    <w:rsid w:val="001B71C1"/>
    <w:rsid w:val="001B73EB"/>
    <w:rsid w:val="001B74E2"/>
    <w:rsid w:val="001C0DF4"/>
    <w:rsid w:val="001C2E3B"/>
    <w:rsid w:val="001C6F72"/>
    <w:rsid w:val="001C7BF1"/>
    <w:rsid w:val="001D0184"/>
    <w:rsid w:val="001D0C64"/>
    <w:rsid w:val="001D1ABF"/>
    <w:rsid w:val="001D214F"/>
    <w:rsid w:val="001D269E"/>
    <w:rsid w:val="001D420B"/>
    <w:rsid w:val="001D5021"/>
    <w:rsid w:val="001D52AE"/>
    <w:rsid w:val="001D54D0"/>
    <w:rsid w:val="001D5780"/>
    <w:rsid w:val="001D57C5"/>
    <w:rsid w:val="001D5B17"/>
    <w:rsid w:val="001D5B7C"/>
    <w:rsid w:val="001D67A4"/>
    <w:rsid w:val="001D74C3"/>
    <w:rsid w:val="001D767C"/>
    <w:rsid w:val="001D7F86"/>
    <w:rsid w:val="001E2378"/>
    <w:rsid w:val="001E2F39"/>
    <w:rsid w:val="001E3932"/>
    <w:rsid w:val="001E3989"/>
    <w:rsid w:val="001E42E2"/>
    <w:rsid w:val="001E4CE9"/>
    <w:rsid w:val="001E5129"/>
    <w:rsid w:val="001E5974"/>
    <w:rsid w:val="001E5B2A"/>
    <w:rsid w:val="001E615A"/>
    <w:rsid w:val="001E7702"/>
    <w:rsid w:val="001E7E94"/>
    <w:rsid w:val="001F0B22"/>
    <w:rsid w:val="001F1010"/>
    <w:rsid w:val="001F1111"/>
    <w:rsid w:val="001F157B"/>
    <w:rsid w:val="001F16DC"/>
    <w:rsid w:val="001F179E"/>
    <w:rsid w:val="001F1E0E"/>
    <w:rsid w:val="001F2061"/>
    <w:rsid w:val="001F237B"/>
    <w:rsid w:val="001F2F75"/>
    <w:rsid w:val="001F42B2"/>
    <w:rsid w:val="001F49A0"/>
    <w:rsid w:val="001F58CC"/>
    <w:rsid w:val="001F7970"/>
    <w:rsid w:val="001F79FA"/>
    <w:rsid w:val="0020084B"/>
    <w:rsid w:val="00202304"/>
    <w:rsid w:val="00202B80"/>
    <w:rsid w:val="002038FF"/>
    <w:rsid w:val="00203F98"/>
    <w:rsid w:val="00205F57"/>
    <w:rsid w:val="00206907"/>
    <w:rsid w:val="0020723B"/>
    <w:rsid w:val="00207741"/>
    <w:rsid w:val="0021004F"/>
    <w:rsid w:val="0021058E"/>
    <w:rsid w:val="0021207F"/>
    <w:rsid w:val="00212E37"/>
    <w:rsid w:val="00213A2B"/>
    <w:rsid w:val="00215903"/>
    <w:rsid w:val="00215A66"/>
    <w:rsid w:val="00215E3D"/>
    <w:rsid w:val="00216CA1"/>
    <w:rsid w:val="0022019D"/>
    <w:rsid w:val="00220D4F"/>
    <w:rsid w:val="002210EB"/>
    <w:rsid w:val="002214A3"/>
    <w:rsid w:val="00221C6C"/>
    <w:rsid w:val="00222B2A"/>
    <w:rsid w:val="00223F3C"/>
    <w:rsid w:val="00224EF7"/>
    <w:rsid w:val="0022507F"/>
    <w:rsid w:val="0022532B"/>
    <w:rsid w:val="002263BC"/>
    <w:rsid w:val="0022763A"/>
    <w:rsid w:val="00227962"/>
    <w:rsid w:val="0023029D"/>
    <w:rsid w:val="00232CBE"/>
    <w:rsid w:val="002338E3"/>
    <w:rsid w:val="0023390D"/>
    <w:rsid w:val="002348DB"/>
    <w:rsid w:val="00237354"/>
    <w:rsid w:val="00240486"/>
    <w:rsid w:val="002419D7"/>
    <w:rsid w:val="00243F1E"/>
    <w:rsid w:val="0024438C"/>
    <w:rsid w:val="002444DE"/>
    <w:rsid w:val="00244532"/>
    <w:rsid w:val="00244C65"/>
    <w:rsid w:val="00245021"/>
    <w:rsid w:val="00245593"/>
    <w:rsid w:val="00246706"/>
    <w:rsid w:val="00246857"/>
    <w:rsid w:val="00246A05"/>
    <w:rsid w:val="002471C0"/>
    <w:rsid w:val="00247717"/>
    <w:rsid w:val="00250269"/>
    <w:rsid w:val="002505FB"/>
    <w:rsid w:val="00250A15"/>
    <w:rsid w:val="00250CE8"/>
    <w:rsid w:val="00252BC1"/>
    <w:rsid w:val="0025337A"/>
    <w:rsid w:val="002533F0"/>
    <w:rsid w:val="002557CC"/>
    <w:rsid w:val="00255B85"/>
    <w:rsid w:val="00256B81"/>
    <w:rsid w:val="00257090"/>
    <w:rsid w:val="002572D8"/>
    <w:rsid w:val="00260694"/>
    <w:rsid w:val="0026086E"/>
    <w:rsid w:val="00260E41"/>
    <w:rsid w:val="00261C04"/>
    <w:rsid w:val="00261D8C"/>
    <w:rsid w:val="00262118"/>
    <w:rsid w:val="00263278"/>
    <w:rsid w:val="00263CBA"/>
    <w:rsid w:val="00263DF9"/>
    <w:rsid w:val="00264595"/>
    <w:rsid w:val="00264F23"/>
    <w:rsid w:val="002652C1"/>
    <w:rsid w:val="00265EC3"/>
    <w:rsid w:val="002664EF"/>
    <w:rsid w:val="00266591"/>
    <w:rsid w:val="0027089D"/>
    <w:rsid w:val="002714EC"/>
    <w:rsid w:val="00271C7B"/>
    <w:rsid w:val="00271D43"/>
    <w:rsid w:val="002723C6"/>
    <w:rsid w:val="0027341E"/>
    <w:rsid w:val="00273977"/>
    <w:rsid w:val="00273E73"/>
    <w:rsid w:val="00274A3F"/>
    <w:rsid w:val="002763F8"/>
    <w:rsid w:val="00276745"/>
    <w:rsid w:val="00280B30"/>
    <w:rsid w:val="00281342"/>
    <w:rsid w:val="00281506"/>
    <w:rsid w:val="0028299B"/>
    <w:rsid w:val="002830A2"/>
    <w:rsid w:val="002833B2"/>
    <w:rsid w:val="00283E57"/>
    <w:rsid w:val="0028425E"/>
    <w:rsid w:val="00284421"/>
    <w:rsid w:val="00285FF4"/>
    <w:rsid w:val="0028729F"/>
    <w:rsid w:val="0029112B"/>
    <w:rsid w:val="00292092"/>
    <w:rsid w:val="00292167"/>
    <w:rsid w:val="002923D6"/>
    <w:rsid w:val="00292419"/>
    <w:rsid w:val="00292ACD"/>
    <w:rsid w:val="00294AB5"/>
    <w:rsid w:val="00294BDE"/>
    <w:rsid w:val="00296C6F"/>
    <w:rsid w:val="00296D11"/>
    <w:rsid w:val="002975BB"/>
    <w:rsid w:val="002A013F"/>
    <w:rsid w:val="002A04F2"/>
    <w:rsid w:val="002A050A"/>
    <w:rsid w:val="002A27A7"/>
    <w:rsid w:val="002A2EC6"/>
    <w:rsid w:val="002A2FAF"/>
    <w:rsid w:val="002A38AE"/>
    <w:rsid w:val="002A3C81"/>
    <w:rsid w:val="002A3DB9"/>
    <w:rsid w:val="002A61FD"/>
    <w:rsid w:val="002A690D"/>
    <w:rsid w:val="002A69E1"/>
    <w:rsid w:val="002A6E51"/>
    <w:rsid w:val="002A7C53"/>
    <w:rsid w:val="002A7EC9"/>
    <w:rsid w:val="002B1A9A"/>
    <w:rsid w:val="002B1CD7"/>
    <w:rsid w:val="002B1EBB"/>
    <w:rsid w:val="002B2471"/>
    <w:rsid w:val="002B2ED7"/>
    <w:rsid w:val="002B33F2"/>
    <w:rsid w:val="002B398F"/>
    <w:rsid w:val="002B3DC0"/>
    <w:rsid w:val="002B3E50"/>
    <w:rsid w:val="002B40FE"/>
    <w:rsid w:val="002B43A2"/>
    <w:rsid w:val="002B5214"/>
    <w:rsid w:val="002B5AC4"/>
    <w:rsid w:val="002B64FE"/>
    <w:rsid w:val="002B718C"/>
    <w:rsid w:val="002B7B83"/>
    <w:rsid w:val="002C063D"/>
    <w:rsid w:val="002C246E"/>
    <w:rsid w:val="002C35A5"/>
    <w:rsid w:val="002C35A8"/>
    <w:rsid w:val="002C46A4"/>
    <w:rsid w:val="002C57EB"/>
    <w:rsid w:val="002C584F"/>
    <w:rsid w:val="002C5E91"/>
    <w:rsid w:val="002C5F50"/>
    <w:rsid w:val="002C63CE"/>
    <w:rsid w:val="002C6ACA"/>
    <w:rsid w:val="002D030C"/>
    <w:rsid w:val="002D0C0E"/>
    <w:rsid w:val="002D118A"/>
    <w:rsid w:val="002D1677"/>
    <w:rsid w:val="002D28CF"/>
    <w:rsid w:val="002D2A1A"/>
    <w:rsid w:val="002D399E"/>
    <w:rsid w:val="002D4285"/>
    <w:rsid w:val="002D46C4"/>
    <w:rsid w:val="002D4AA7"/>
    <w:rsid w:val="002D5976"/>
    <w:rsid w:val="002D5BAF"/>
    <w:rsid w:val="002D5EFB"/>
    <w:rsid w:val="002D62E3"/>
    <w:rsid w:val="002D7315"/>
    <w:rsid w:val="002D7CE4"/>
    <w:rsid w:val="002E103C"/>
    <w:rsid w:val="002E1F48"/>
    <w:rsid w:val="002E2AB1"/>
    <w:rsid w:val="002E348E"/>
    <w:rsid w:val="002E3F29"/>
    <w:rsid w:val="002E4884"/>
    <w:rsid w:val="002E66DF"/>
    <w:rsid w:val="002E693B"/>
    <w:rsid w:val="002E7877"/>
    <w:rsid w:val="002E7D24"/>
    <w:rsid w:val="002E7EC1"/>
    <w:rsid w:val="002F3004"/>
    <w:rsid w:val="002F30DB"/>
    <w:rsid w:val="002F328B"/>
    <w:rsid w:val="002F3C2B"/>
    <w:rsid w:val="002F51C8"/>
    <w:rsid w:val="002F582A"/>
    <w:rsid w:val="002F5C8C"/>
    <w:rsid w:val="002F643C"/>
    <w:rsid w:val="002F6F30"/>
    <w:rsid w:val="002F7CCB"/>
    <w:rsid w:val="0030079D"/>
    <w:rsid w:val="00300956"/>
    <w:rsid w:val="00301C10"/>
    <w:rsid w:val="00302B02"/>
    <w:rsid w:val="00302E4C"/>
    <w:rsid w:val="003031DC"/>
    <w:rsid w:val="003035DF"/>
    <w:rsid w:val="003049D8"/>
    <w:rsid w:val="003059B0"/>
    <w:rsid w:val="00307BAB"/>
    <w:rsid w:val="003105B0"/>
    <w:rsid w:val="0031184E"/>
    <w:rsid w:val="00311F51"/>
    <w:rsid w:val="00312362"/>
    <w:rsid w:val="00312E3D"/>
    <w:rsid w:val="00314016"/>
    <w:rsid w:val="00314BAA"/>
    <w:rsid w:val="003166B8"/>
    <w:rsid w:val="00316838"/>
    <w:rsid w:val="0031764F"/>
    <w:rsid w:val="003209AB"/>
    <w:rsid w:val="00320D7A"/>
    <w:rsid w:val="003214DE"/>
    <w:rsid w:val="00321CD4"/>
    <w:rsid w:val="00321E8F"/>
    <w:rsid w:val="003228A9"/>
    <w:rsid w:val="00322C1E"/>
    <w:rsid w:val="003231F5"/>
    <w:rsid w:val="00324BA4"/>
    <w:rsid w:val="00324EB6"/>
    <w:rsid w:val="003251B5"/>
    <w:rsid w:val="003257D5"/>
    <w:rsid w:val="00326EFB"/>
    <w:rsid w:val="0032709F"/>
    <w:rsid w:val="00327579"/>
    <w:rsid w:val="00330DA0"/>
    <w:rsid w:val="003313A9"/>
    <w:rsid w:val="00332E06"/>
    <w:rsid w:val="00334A81"/>
    <w:rsid w:val="00334BE7"/>
    <w:rsid w:val="003351D1"/>
    <w:rsid w:val="0033788E"/>
    <w:rsid w:val="00340671"/>
    <w:rsid w:val="0034072C"/>
    <w:rsid w:val="003418BA"/>
    <w:rsid w:val="003421DF"/>
    <w:rsid w:val="00342738"/>
    <w:rsid w:val="00342EB7"/>
    <w:rsid w:val="003432F4"/>
    <w:rsid w:val="00343FF3"/>
    <w:rsid w:val="00344574"/>
    <w:rsid w:val="00346A11"/>
    <w:rsid w:val="00346ED0"/>
    <w:rsid w:val="0034711A"/>
    <w:rsid w:val="00350D40"/>
    <w:rsid w:val="003520D9"/>
    <w:rsid w:val="003528AC"/>
    <w:rsid w:val="00352F51"/>
    <w:rsid w:val="00354361"/>
    <w:rsid w:val="00354991"/>
    <w:rsid w:val="003554E1"/>
    <w:rsid w:val="00355777"/>
    <w:rsid w:val="00355B13"/>
    <w:rsid w:val="003561F0"/>
    <w:rsid w:val="003561F7"/>
    <w:rsid w:val="00356ACF"/>
    <w:rsid w:val="00360DCD"/>
    <w:rsid w:val="0036100E"/>
    <w:rsid w:val="00361603"/>
    <w:rsid w:val="0036247F"/>
    <w:rsid w:val="00363711"/>
    <w:rsid w:val="00363863"/>
    <w:rsid w:val="00363E5A"/>
    <w:rsid w:val="00364198"/>
    <w:rsid w:val="003644AD"/>
    <w:rsid w:val="00366564"/>
    <w:rsid w:val="003670B9"/>
    <w:rsid w:val="00367EC7"/>
    <w:rsid w:val="00370176"/>
    <w:rsid w:val="003705C6"/>
    <w:rsid w:val="00373218"/>
    <w:rsid w:val="00374E95"/>
    <w:rsid w:val="00375DE3"/>
    <w:rsid w:val="0037726F"/>
    <w:rsid w:val="00377340"/>
    <w:rsid w:val="00377B68"/>
    <w:rsid w:val="00377D63"/>
    <w:rsid w:val="00383633"/>
    <w:rsid w:val="003836ED"/>
    <w:rsid w:val="00384276"/>
    <w:rsid w:val="00384D9F"/>
    <w:rsid w:val="00385566"/>
    <w:rsid w:val="003859C6"/>
    <w:rsid w:val="00386C1B"/>
    <w:rsid w:val="00386C92"/>
    <w:rsid w:val="0038700B"/>
    <w:rsid w:val="00387BF6"/>
    <w:rsid w:val="00387E6A"/>
    <w:rsid w:val="003903C1"/>
    <w:rsid w:val="00390842"/>
    <w:rsid w:val="00390D73"/>
    <w:rsid w:val="003917D2"/>
    <w:rsid w:val="00392376"/>
    <w:rsid w:val="00392559"/>
    <w:rsid w:val="0039263B"/>
    <w:rsid w:val="00392A8C"/>
    <w:rsid w:val="00392BEF"/>
    <w:rsid w:val="00393435"/>
    <w:rsid w:val="00394661"/>
    <w:rsid w:val="003947F0"/>
    <w:rsid w:val="00394BD8"/>
    <w:rsid w:val="00395633"/>
    <w:rsid w:val="00395B9D"/>
    <w:rsid w:val="003961FE"/>
    <w:rsid w:val="0039626A"/>
    <w:rsid w:val="003966CA"/>
    <w:rsid w:val="003978A6"/>
    <w:rsid w:val="003A1976"/>
    <w:rsid w:val="003A20BF"/>
    <w:rsid w:val="003A2BB0"/>
    <w:rsid w:val="003A2D2C"/>
    <w:rsid w:val="003A4A67"/>
    <w:rsid w:val="003A4E37"/>
    <w:rsid w:val="003A57F9"/>
    <w:rsid w:val="003A597D"/>
    <w:rsid w:val="003A5A11"/>
    <w:rsid w:val="003A62FD"/>
    <w:rsid w:val="003A7294"/>
    <w:rsid w:val="003B0CCA"/>
    <w:rsid w:val="003B2884"/>
    <w:rsid w:val="003B289B"/>
    <w:rsid w:val="003B2BEC"/>
    <w:rsid w:val="003B3E11"/>
    <w:rsid w:val="003B45EB"/>
    <w:rsid w:val="003B5279"/>
    <w:rsid w:val="003B5A31"/>
    <w:rsid w:val="003C02B8"/>
    <w:rsid w:val="003C0D02"/>
    <w:rsid w:val="003C0D59"/>
    <w:rsid w:val="003C1606"/>
    <w:rsid w:val="003C1B5C"/>
    <w:rsid w:val="003C1CE2"/>
    <w:rsid w:val="003C255D"/>
    <w:rsid w:val="003C2C52"/>
    <w:rsid w:val="003C2D04"/>
    <w:rsid w:val="003C2F14"/>
    <w:rsid w:val="003C3616"/>
    <w:rsid w:val="003C36F2"/>
    <w:rsid w:val="003C3B38"/>
    <w:rsid w:val="003C3EBD"/>
    <w:rsid w:val="003C4CBC"/>
    <w:rsid w:val="003C5519"/>
    <w:rsid w:val="003C624D"/>
    <w:rsid w:val="003C6C12"/>
    <w:rsid w:val="003D0153"/>
    <w:rsid w:val="003D13F1"/>
    <w:rsid w:val="003D20E1"/>
    <w:rsid w:val="003D2495"/>
    <w:rsid w:val="003D24B0"/>
    <w:rsid w:val="003D41CC"/>
    <w:rsid w:val="003D4D4F"/>
    <w:rsid w:val="003D5BE3"/>
    <w:rsid w:val="003D5D10"/>
    <w:rsid w:val="003D5E04"/>
    <w:rsid w:val="003D63B8"/>
    <w:rsid w:val="003D6C8A"/>
    <w:rsid w:val="003D6ED5"/>
    <w:rsid w:val="003E0144"/>
    <w:rsid w:val="003E095D"/>
    <w:rsid w:val="003E128B"/>
    <w:rsid w:val="003E2346"/>
    <w:rsid w:val="003E24B5"/>
    <w:rsid w:val="003E294C"/>
    <w:rsid w:val="003E2CDD"/>
    <w:rsid w:val="003E2F38"/>
    <w:rsid w:val="003E33F9"/>
    <w:rsid w:val="003E3ABC"/>
    <w:rsid w:val="003E6B75"/>
    <w:rsid w:val="003E70E4"/>
    <w:rsid w:val="003E7512"/>
    <w:rsid w:val="003F0375"/>
    <w:rsid w:val="003F113C"/>
    <w:rsid w:val="003F38FA"/>
    <w:rsid w:val="003F4841"/>
    <w:rsid w:val="003F4F65"/>
    <w:rsid w:val="003F51C3"/>
    <w:rsid w:val="003F5279"/>
    <w:rsid w:val="003F6064"/>
    <w:rsid w:val="003F632D"/>
    <w:rsid w:val="003F684D"/>
    <w:rsid w:val="003F7838"/>
    <w:rsid w:val="003F7B95"/>
    <w:rsid w:val="00400DAF"/>
    <w:rsid w:val="0040117E"/>
    <w:rsid w:val="0040173E"/>
    <w:rsid w:val="004019D4"/>
    <w:rsid w:val="00403AA4"/>
    <w:rsid w:val="00403EED"/>
    <w:rsid w:val="00404261"/>
    <w:rsid w:val="00404351"/>
    <w:rsid w:val="00404ED2"/>
    <w:rsid w:val="00406336"/>
    <w:rsid w:val="004071B1"/>
    <w:rsid w:val="00407EE1"/>
    <w:rsid w:val="0041085F"/>
    <w:rsid w:val="00411B1E"/>
    <w:rsid w:val="00411F3A"/>
    <w:rsid w:val="00412E84"/>
    <w:rsid w:val="00413214"/>
    <w:rsid w:val="004134F5"/>
    <w:rsid w:val="0041382B"/>
    <w:rsid w:val="00413ADF"/>
    <w:rsid w:val="00414AE3"/>
    <w:rsid w:val="00415E53"/>
    <w:rsid w:val="00421403"/>
    <w:rsid w:val="004219AE"/>
    <w:rsid w:val="00423094"/>
    <w:rsid w:val="00424A6B"/>
    <w:rsid w:val="00425D84"/>
    <w:rsid w:val="00425F0D"/>
    <w:rsid w:val="00430857"/>
    <w:rsid w:val="00430A7D"/>
    <w:rsid w:val="00430FD0"/>
    <w:rsid w:val="0043319D"/>
    <w:rsid w:val="004352D3"/>
    <w:rsid w:val="0043663C"/>
    <w:rsid w:val="0043693E"/>
    <w:rsid w:val="00436A4A"/>
    <w:rsid w:val="00436A5F"/>
    <w:rsid w:val="00436C2D"/>
    <w:rsid w:val="00437ED7"/>
    <w:rsid w:val="004400CF"/>
    <w:rsid w:val="0044051A"/>
    <w:rsid w:val="00440A42"/>
    <w:rsid w:val="00441601"/>
    <w:rsid w:val="004416D2"/>
    <w:rsid w:val="00442578"/>
    <w:rsid w:val="00442FD4"/>
    <w:rsid w:val="00443510"/>
    <w:rsid w:val="00443738"/>
    <w:rsid w:val="00443B69"/>
    <w:rsid w:val="0044493F"/>
    <w:rsid w:val="00445394"/>
    <w:rsid w:val="0044639F"/>
    <w:rsid w:val="004472B9"/>
    <w:rsid w:val="00447433"/>
    <w:rsid w:val="00450520"/>
    <w:rsid w:val="004518A7"/>
    <w:rsid w:val="004518EE"/>
    <w:rsid w:val="00451B20"/>
    <w:rsid w:val="004525D3"/>
    <w:rsid w:val="0045342F"/>
    <w:rsid w:val="004539D0"/>
    <w:rsid w:val="00453A33"/>
    <w:rsid w:val="00453DFD"/>
    <w:rsid w:val="00455846"/>
    <w:rsid w:val="00455BCC"/>
    <w:rsid w:val="004569F5"/>
    <w:rsid w:val="0046020A"/>
    <w:rsid w:val="004614F1"/>
    <w:rsid w:val="004617FF"/>
    <w:rsid w:val="00463D9C"/>
    <w:rsid w:val="00464194"/>
    <w:rsid w:val="004641DF"/>
    <w:rsid w:val="00464427"/>
    <w:rsid w:val="00464479"/>
    <w:rsid w:val="00464547"/>
    <w:rsid w:val="0046532B"/>
    <w:rsid w:val="00465A7D"/>
    <w:rsid w:val="00465ECC"/>
    <w:rsid w:val="00466F41"/>
    <w:rsid w:val="00471114"/>
    <w:rsid w:val="00471F5F"/>
    <w:rsid w:val="004722C5"/>
    <w:rsid w:val="004730B5"/>
    <w:rsid w:val="0047376C"/>
    <w:rsid w:val="00474618"/>
    <w:rsid w:val="00475FE2"/>
    <w:rsid w:val="00476BAB"/>
    <w:rsid w:val="004801BE"/>
    <w:rsid w:val="00480545"/>
    <w:rsid w:val="00480CA1"/>
    <w:rsid w:val="00480D00"/>
    <w:rsid w:val="00482174"/>
    <w:rsid w:val="004825B6"/>
    <w:rsid w:val="00482B67"/>
    <w:rsid w:val="004835DB"/>
    <w:rsid w:val="004839ED"/>
    <w:rsid w:val="004852A1"/>
    <w:rsid w:val="00485695"/>
    <w:rsid w:val="0048613B"/>
    <w:rsid w:val="0048623B"/>
    <w:rsid w:val="004863B9"/>
    <w:rsid w:val="00487E17"/>
    <w:rsid w:val="0049054E"/>
    <w:rsid w:val="00492C22"/>
    <w:rsid w:val="00493803"/>
    <w:rsid w:val="00494524"/>
    <w:rsid w:val="00495367"/>
    <w:rsid w:val="004953F2"/>
    <w:rsid w:val="004955DA"/>
    <w:rsid w:val="00495B6C"/>
    <w:rsid w:val="00496418"/>
    <w:rsid w:val="00496922"/>
    <w:rsid w:val="00496FB6"/>
    <w:rsid w:val="00497850"/>
    <w:rsid w:val="004A15E4"/>
    <w:rsid w:val="004A19D1"/>
    <w:rsid w:val="004A1F2B"/>
    <w:rsid w:val="004A2FA6"/>
    <w:rsid w:val="004A3DF0"/>
    <w:rsid w:val="004A40D2"/>
    <w:rsid w:val="004A5A7A"/>
    <w:rsid w:val="004A5DDB"/>
    <w:rsid w:val="004A5E63"/>
    <w:rsid w:val="004A69AD"/>
    <w:rsid w:val="004A6A92"/>
    <w:rsid w:val="004B026D"/>
    <w:rsid w:val="004B172F"/>
    <w:rsid w:val="004B1DED"/>
    <w:rsid w:val="004B21B6"/>
    <w:rsid w:val="004B22A3"/>
    <w:rsid w:val="004B2CF6"/>
    <w:rsid w:val="004B3149"/>
    <w:rsid w:val="004B37E7"/>
    <w:rsid w:val="004B3A03"/>
    <w:rsid w:val="004B4628"/>
    <w:rsid w:val="004B494D"/>
    <w:rsid w:val="004B499C"/>
    <w:rsid w:val="004B4AA0"/>
    <w:rsid w:val="004B506C"/>
    <w:rsid w:val="004B69F4"/>
    <w:rsid w:val="004B6D36"/>
    <w:rsid w:val="004B7146"/>
    <w:rsid w:val="004C2394"/>
    <w:rsid w:val="004C23C0"/>
    <w:rsid w:val="004C2AC3"/>
    <w:rsid w:val="004C3CB2"/>
    <w:rsid w:val="004C6581"/>
    <w:rsid w:val="004D0009"/>
    <w:rsid w:val="004D00B2"/>
    <w:rsid w:val="004D0D29"/>
    <w:rsid w:val="004D179E"/>
    <w:rsid w:val="004D1A83"/>
    <w:rsid w:val="004D1A97"/>
    <w:rsid w:val="004D222F"/>
    <w:rsid w:val="004D2E25"/>
    <w:rsid w:val="004D3151"/>
    <w:rsid w:val="004D3D13"/>
    <w:rsid w:val="004D4B8B"/>
    <w:rsid w:val="004D5702"/>
    <w:rsid w:val="004D5BBC"/>
    <w:rsid w:val="004D5E7B"/>
    <w:rsid w:val="004D6386"/>
    <w:rsid w:val="004D657A"/>
    <w:rsid w:val="004D667D"/>
    <w:rsid w:val="004D7005"/>
    <w:rsid w:val="004E0199"/>
    <w:rsid w:val="004E038E"/>
    <w:rsid w:val="004E0926"/>
    <w:rsid w:val="004E097C"/>
    <w:rsid w:val="004E1164"/>
    <w:rsid w:val="004E16E0"/>
    <w:rsid w:val="004E20F8"/>
    <w:rsid w:val="004E2198"/>
    <w:rsid w:val="004E2767"/>
    <w:rsid w:val="004E4647"/>
    <w:rsid w:val="004E4F7C"/>
    <w:rsid w:val="004E78EF"/>
    <w:rsid w:val="004E7CB7"/>
    <w:rsid w:val="004E7FCD"/>
    <w:rsid w:val="004F2B3F"/>
    <w:rsid w:val="004F38ED"/>
    <w:rsid w:val="004F43BB"/>
    <w:rsid w:val="004F48E8"/>
    <w:rsid w:val="004F4DA5"/>
    <w:rsid w:val="004F6574"/>
    <w:rsid w:val="004F753B"/>
    <w:rsid w:val="00500E78"/>
    <w:rsid w:val="0050141E"/>
    <w:rsid w:val="00501CDC"/>
    <w:rsid w:val="005022C1"/>
    <w:rsid w:val="0050445E"/>
    <w:rsid w:val="00505080"/>
    <w:rsid w:val="005055C6"/>
    <w:rsid w:val="00506F3D"/>
    <w:rsid w:val="005105A7"/>
    <w:rsid w:val="005112B4"/>
    <w:rsid w:val="0051133D"/>
    <w:rsid w:val="00512D94"/>
    <w:rsid w:val="00513189"/>
    <w:rsid w:val="00514235"/>
    <w:rsid w:val="005149A4"/>
    <w:rsid w:val="00514C9F"/>
    <w:rsid w:val="00515B57"/>
    <w:rsid w:val="005206AC"/>
    <w:rsid w:val="00520727"/>
    <w:rsid w:val="00520CE9"/>
    <w:rsid w:val="00521556"/>
    <w:rsid w:val="00521D70"/>
    <w:rsid w:val="00521DA1"/>
    <w:rsid w:val="00521E69"/>
    <w:rsid w:val="00521F40"/>
    <w:rsid w:val="00522F1A"/>
    <w:rsid w:val="00523114"/>
    <w:rsid w:val="00523519"/>
    <w:rsid w:val="00523E27"/>
    <w:rsid w:val="005261E6"/>
    <w:rsid w:val="0052648A"/>
    <w:rsid w:val="0052693A"/>
    <w:rsid w:val="00527C59"/>
    <w:rsid w:val="00527FC1"/>
    <w:rsid w:val="00531C68"/>
    <w:rsid w:val="00531D74"/>
    <w:rsid w:val="00531FE7"/>
    <w:rsid w:val="0053209A"/>
    <w:rsid w:val="005321B5"/>
    <w:rsid w:val="005329FE"/>
    <w:rsid w:val="00532C5B"/>
    <w:rsid w:val="00532E53"/>
    <w:rsid w:val="005334DC"/>
    <w:rsid w:val="005350F4"/>
    <w:rsid w:val="005360E6"/>
    <w:rsid w:val="0053636F"/>
    <w:rsid w:val="00537635"/>
    <w:rsid w:val="00540D42"/>
    <w:rsid w:val="0054148E"/>
    <w:rsid w:val="00542E9D"/>
    <w:rsid w:val="00545270"/>
    <w:rsid w:val="0054527B"/>
    <w:rsid w:val="005459E6"/>
    <w:rsid w:val="00546775"/>
    <w:rsid w:val="0054751C"/>
    <w:rsid w:val="00547987"/>
    <w:rsid w:val="0055254A"/>
    <w:rsid w:val="00553072"/>
    <w:rsid w:val="005532EB"/>
    <w:rsid w:val="005536C9"/>
    <w:rsid w:val="00554701"/>
    <w:rsid w:val="005547ED"/>
    <w:rsid w:val="00554D46"/>
    <w:rsid w:val="00555CC3"/>
    <w:rsid w:val="00556AB4"/>
    <w:rsid w:val="00560A53"/>
    <w:rsid w:val="00561063"/>
    <w:rsid w:val="00561933"/>
    <w:rsid w:val="005634E4"/>
    <w:rsid w:val="00565586"/>
    <w:rsid w:val="00565FF8"/>
    <w:rsid w:val="005661C3"/>
    <w:rsid w:val="00566FBD"/>
    <w:rsid w:val="005675F2"/>
    <w:rsid w:val="00570335"/>
    <w:rsid w:val="00570FF8"/>
    <w:rsid w:val="00571D97"/>
    <w:rsid w:val="00572F1A"/>
    <w:rsid w:val="00573D8E"/>
    <w:rsid w:val="00574137"/>
    <w:rsid w:val="00576010"/>
    <w:rsid w:val="00576CAF"/>
    <w:rsid w:val="00576CD8"/>
    <w:rsid w:val="005773DD"/>
    <w:rsid w:val="00577487"/>
    <w:rsid w:val="00580956"/>
    <w:rsid w:val="00581332"/>
    <w:rsid w:val="00581C78"/>
    <w:rsid w:val="00582C20"/>
    <w:rsid w:val="00583EAC"/>
    <w:rsid w:val="005849B4"/>
    <w:rsid w:val="00585155"/>
    <w:rsid w:val="005857BA"/>
    <w:rsid w:val="005869E0"/>
    <w:rsid w:val="00587055"/>
    <w:rsid w:val="00590312"/>
    <w:rsid w:val="00590A1B"/>
    <w:rsid w:val="00591514"/>
    <w:rsid w:val="00591DFC"/>
    <w:rsid w:val="005929F3"/>
    <w:rsid w:val="00593354"/>
    <w:rsid w:val="0059371A"/>
    <w:rsid w:val="00593EBA"/>
    <w:rsid w:val="00594017"/>
    <w:rsid w:val="00595D8F"/>
    <w:rsid w:val="005A019E"/>
    <w:rsid w:val="005A09FF"/>
    <w:rsid w:val="005A170E"/>
    <w:rsid w:val="005A18CB"/>
    <w:rsid w:val="005A1EB1"/>
    <w:rsid w:val="005A2EC6"/>
    <w:rsid w:val="005A2EFF"/>
    <w:rsid w:val="005A3646"/>
    <w:rsid w:val="005A3D44"/>
    <w:rsid w:val="005A40F6"/>
    <w:rsid w:val="005A5BBA"/>
    <w:rsid w:val="005B2783"/>
    <w:rsid w:val="005B2FC9"/>
    <w:rsid w:val="005B4A7F"/>
    <w:rsid w:val="005B517F"/>
    <w:rsid w:val="005B716E"/>
    <w:rsid w:val="005B759C"/>
    <w:rsid w:val="005B7976"/>
    <w:rsid w:val="005B7FD7"/>
    <w:rsid w:val="005C0331"/>
    <w:rsid w:val="005C0DE4"/>
    <w:rsid w:val="005C1337"/>
    <w:rsid w:val="005C1FFC"/>
    <w:rsid w:val="005C430B"/>
    <w:rsid w:val="005C4A8B"/>
    <w:rsid w:val="005C5379"/>
    <w:rsid w:val="005C686E"/>
    <w:rsid w:val="005C794F"/>
    <w:rsid w:val="005C7F47"/>
    <w:rsid w:val="005D098E"/>
    <w:rsid w:val="005D0EA9"/>
    <w:rsid w:val="005D1B06"/>
    <w:rsid w:val="005D1DA4"/>
    <w:rsid w:val="005D2041"/>
    <w:rsid w:val="005D238A"/>
    <w:rsid w:val="005D2F37"/>
    <w:rsid w:val="005D434B"/>
    <w:rsid w:val="005D4575"/>
    <w:rsid w:val="005D5190"/>
    <w:rsid w:val="005D545F"/>
    <w:rsid w:val="005D62BA"/>
    <w:rsid w:val="005D68D3"/>
    <w:rsid w:val="005D7D40"/>
    <w:rsid w:val="005D7E71"/>
    <w:rsid w:val="005D7ED5"/>
    <w:rsid w:val="005E0914"/>
    <w:rsid w:val="005E0C46"/>
    <w:rsid w:val="005E0C5D"/>
    <w:rsid w:val="005E12BA"/>
    <w:rsid w:val="005E1B6E"/>
    <w:rsid w:val="005E1D5E"/>
    <w:rsid w:val="005E2511"/>
    <w:rsid w:val="005E2AF7"/>
    <w:rsid w:val="005E523E"/>
    <w:rsid w:val="005E640C"/>
    <w:rsid w:val="005E6745"/>
    <w:rsid w:val="005E6ABC"/>
    <w:rsid w:val="005E7C66"/>
    <w:rsid w:val="005F0FDA"/>
    <w:rsid w:val="005F20FF"/>
    <w:rsid w:val="005F2E94"/>
    <w:rsid w:val="005F3327"/>
    <w:rsid w:val="005F390C"/>
    <w:rsid w:val="005F58EF"/>
    <w:rsid w:val="005F5EC7"/>
    <w:rsid w:val="005F60F8"/>
    <w:rsid w:val="005F6E32"/>
    <w:rsid w:val="005F7D03"/>
    <w:rsid w:val="005F7DD2"/>
    <w:rsid w:val="006009D8"/>
    <w:rsid w:val="00600AAA"/>
    <w:rsid w:val="00601627"/>
    <w:rsid w:val="00601941"/>
    <w:rsid w:val="006019AF"/>
    <w:rsid w:val="00602E20"/>
    <w:rsid w:val="00605552"/>
    <w:rsid w:val="00605C2A"/>
    <w:rsid w:val="00605D73"/>
    <w:rsid w:val="00605FB4"/>
    <w:rsid w:val="00607140"/>
    <w:rsid w:val="00607B2E"/>
    <w:rsid w:val="00607F8B"/>
    <w:rsid w:val="00612152"/>
    <w:rsid w:val="00612239"/>
    <w:rsid w:val="00612D93"/>
    <w:rsid w:val="006162A9"/>
    <w:rsid w:val="00616ED7"/>
    <w:rsid w:val="006201B7"/>
    <w:rsid w:val="00620D17"/>
    <w:rsid w:val="0062146B"/>
    <w:rsid w:val="00621C84"/>
    <w:rsid w:val="00622030"/>
    <w:rsid w:val="006224F3"/>
    <w:rsid w:val="006229AC"/>
    <w:rsid w:val="0062410D"/>
    <w:rsid w:val="006248DE"/>
    <w:rsid w:val="00624C1A"/>
    <w:rsid w:val="00624C7A"/>
    <w:rsid w:val="0062512D"/>
    <w:rsid w:val="006256A4"/>
    <w:rsid w:val="00626164"/>
    <w:rsid w:val="00626953"/>
    <w:rsid w:val="00626D47"/>
    <w:rsid w:val="00627711"/>
    <w:rsid w:val="006316B0"/>
    <w:rsid w:val="00632B31"/>
    <w:rsid w:val="0063351A"/>
    <w:rsid w:val="006335C4"/>
    <w:rsid w:val="00635660"/>
    <w:rsid w:val="00636F33"/>
    <w:rsid w:val="006374D6"/>
    <w:rsid w:val="006402BC"/>
    <w:rsid w:val="00640F22"/>
    <w:rsid w:val="00642621"/>
    <w:rsid w:val="006432FD"/>
    <w:rsid w:val="0064337B"/>
    <w:rsid w:val="006443B8"/>
    <w:rsid w:val="0064521B"/>
    <w:rsid w:val="00645DCA"/>
    <w:rsid w:val="0064600C"/>
    <w:rsid w:val="00650D76"/>
    <w:rsid w:val="00652D95"/>
    <w:rsid w:val="006530CA"/>
    <w:rsid w:val="0065340F"/>
    <w:rsid w:val="00654B15"/>
    <w:rsid w:val="00655763"/>
    <w:rsid w:val="00656441"/>
    <w:rsid w:val="006564E2"/>
    <w:rsid w:val="006568BF"/>
    <w:rsid w:val="0065692B"/>
    <w:rsid w:val="00656A5C"/>
    <w:rsid w:val="006577D7"/>
    <w:rsid w:val="00660E5A"/>
    <w:rsid w:val="0066166E"/>
    <w:rsid w:val="0066270B"/>
    <w:rsid w:val="00662F69"/>
    <w:rsid w:val="00663CD8"/>
    <w:rsid w:val="006647CE"/>
    <w:rsid w:val="006649C3"/>
    <w:rsid w:val="0066502C"/>
    <w:rsid w:val="0066504F"/>
    <w:rsid w:val="006661B2"/>
    <w:rsid w:val="00667BA7"/>
    <w:rsid w:val="00667CB8"/>
    <w:rsid w:val="00670673"/>
    <w:rsid w:val="00670AD8"/>
    <w:rsid w:val="00671666"/>
    <w:rsid w:val="00673844"/>
    <w:rsid w:val="00673D0A"/>
    <w:rsid w:val="00673FA9"/>
    <w:rsid w:val="00674BB4"/>
    <w:rsid w:val="006750DB"/>
    <w:rsid w:val="00676B2C"/>
    <w:rsid w:val="006808A7"/>
    <w:rsid w:val="00682B6F"/>
    <w:rsid w:val="00684704"/>
    <w:rsid w:val="00684C89"/>
    <w:rsid w:val="006872E8"/>
    <w:rsid w:val="00687942"/>
    <w:rsid w:val="00691395"/>
    <w:rsid w:val="006914FE"/>
    <w:rsid w:val="00692733"/>
    <w:rsid w:val="006932A0"/>
    <w:rsid w:val="00694044"/>
    <w:rsid w:val="006946FC"/>
    <w:rsid w:val="006951AB"/>
    <w:rsid w:val="006951F2"/>
    <w:rsid w:val="00695A16"/>
    <w:rsid w:val="00696B2B"/>
    <w:rsid w:val="00696DD3"/>
    <w:rsid w:val="00696FFC"/>
    <w:rsid w:val="00697324"/>
    <w:rsid w:val="006A06CB"/>
    <w:rsid w:val="006A1416"/>
    <w:rsid w:val="006A200B"/>
    <w:rsid w:val="006A2D1F"/>
    <w:rsid w:val="006A3118"/>
    <w:rsid w:val="006A330D"/>
    <w:rsid w:val="006A3470"/>
    <w:rsid w:val="006A4CCC"/>
    <w:rsid w:val="006A4EC7"/>
    <w:rsid w:val="006A6C7E"/>
    <w:rsid w:val="006A7EA1"/>
    <w:rsid w:val="006B0048"/>
    <w:rsid w:val="006B0C71"/>
    <w:rsid w:val="006B23C2"/>
    <w:rsid w:val="006B299E"/>
    <w:rsid w:val="006B2CE4"/>
    <w:rsid w:val="006B32A0"/>
    <w:rsid w:val="006B4545"/>
    <w:rsid w:val="006B4990"/>
    <w:rsid w:val="006B50A7"/>
    <w:rsid w:val="006B5AA3"/>
    <w:rsid w:val="006B5C2D"/>
    <w:rsid w:val="006B66ED"/>
    <w:rsid w:val="006B75AB"/>
    <w:rsid w:val="006B7B18"/>
    <w:rsid w:val="006C15AA"/>
    <w:rsid w:val="006C17B8"/>
    <w:rsid w:val="006C17F2"/>
    <w:rsid w:val="006C1E90"/>
    <w:rsid w:val="006C1F75"/>
    <w:rsid w:val="006C20F1"/>
    <w:rsid w:val="006C323C"/>
    <w:rsid w:val="006C47CA"/>
    <w:rsid w:val="006C5235"/>
    <w:rsid w:val="006C525A"/>
    <w:rsid w:val="006C5297"/>
    <w:rsid w:val="006C5E0A"/>
    <w:rsid w:val="006C6C65"/>
    <w:rsid w:val="006C7E65"/>
    <w:rsid w:val="006D12BC"/>
    <w:rsid w:val="006D1B43"/>
    <w:rsid w:val="006D2E2B"/>
    <w:rsid w:val="006D3099"/>
    <w:rsid w:val="006D3411"/>
    <w:rsid w:val="006D3E8B"/>
    <w:rsid w:val="006D4760"/>
    <w:rsid w:val="006D4A57"/>
    <w:rsid w:val="006D7757"/>
    <w:rsid w:val="006D776D"/>
    <w:rsid w:val="006E0465"/>
    <w:rsid w:val="006E112C"/>
    <w:rsid w:val="006E14D2"/>
    <w:rsid w:val="006E18FE"/>
    <w:rsid w:val="006E1B55"/>
    <w:rsid w:val="006E313D"/>
    <w:rsid w:val="006E40E5"/>
    <w:rsid w:val="006E42C1"/>
    <w:rsid w:val="006E5EEF"/>
    <w:rsid w:val="006E60ED"/>
    <w:rsid w:val="006E645F"/>
    <w:rsid w:val="006E6E6F"/>
    <w:rsid w:val="006E7520"/>
    <w:rsid w:val="006F0480"/>
    <w:rsid w:val="006F0577"/>
    <w:rsid w:val="006F0747"/>
    <w:rsid w:val="006F1007"/>
    <w:rsid w:val="006F1D3A"/>
    <w:rsid w:val="006F3D48"/>
    <w:rsid w:val="006F4D6F"/>
    <w:rsid w:val="006F5410"/>
    <w:rsid w:val="006F562D"/>
    <w:rsid w:val="006F5D2B"/>
    <w:rsid w:val="006F6414"/>
    <w:rsid w:val="00701951"/>
    <w:rsid w:val="00701AEA"/>
    <w:rsid w:val="00702F71"/>
    <w:rsid w:val="0070302E"/>
    <w:rsid w:val="00703345"/>
    <w:rsid w:val="00703DE5"/>
    <w:rsid w:val="007052D5"/>
    <w:rsid w:val="00705CCE"/>
    <w:rsid w:val="007071F1"/>
    <w:rsid w:val="00707E12"/>
    <w:rsid w:val="00707E28"/>
    <w:rsid w:val="00710B1A"/>
    <w:rsid w:val="00711005"/>
    <w:rsid w:val="00711904"/>
    <w:rsid w:val="00712AB3"/>
    <w:rsid w:val="00712DB6"/>
    <w:rsid w:val="00713C6F"/>
    <w:rsid w:val="007144A7"/>
    <w:rsid w:val="00714C8B"/>
    <w:rsid w:val="00714EDC"/>
    <w:rsid w:val="00720F8A"/>
    <w:rsid w:val="00721C4B"/>
    <w:rsid w:val="0072241E"/>
    <w:rsid w:val="00722B42"/>
    <w:rsid w:val="00724068"/>
    <w:rsid w:val="0072462A"/>
    <w:rsid w:val="00725043"/>
    <w:rsid w:val="00725798"/>
    <w:rsid w:val="00726C5F"/>
    <w:rsid w:val="00727AA7"/>
    <w:rsid w:val="00727F9D"/>
    <w:rsid w:val="00730F81"/>
    <w:rsid w:val="00731838"/>
    <w:rsid w:val="007347C5"/>
    <w:rsid w:val="00734F39"/>
    <w:rsid w:val="007364F4"/>
    <w:rsid w:val="0073657E"/>
    <w:rsid w:val="00736F26"/>
    <w:rsid w:val="00737534"/>
    <w:rsid w:val="0073776C"/>
    <w:rsid w:val="00741CCB"/>
    <w:rsid w:val="00741D0F"/>
    <w:rsid w:val="00741E23"/>
    <w:rsid w:val="007421EA"/>
    <w:rsid w:val="007424B5"/>
    <w:rsid w:val="00743CD6"/>
    <w:rsid w:val="00743E7F"/>
    <w:rsid w:val="00744648"/>
    <w:rsid w:val="00750316"/>
    <w:rsid w:val="007508D0"/>
    <w:rsid w:val="007511FF"/>
    <w:rsid w:val="007517CC"/>
    <w:rsid w:val="00752361"/>
    <w:rsid w:val="007529EC"/>
    <w:rsid w:val="00753242"/>
    <w:rsid w:val="007537B3"/>
    <w:rsid w:val="00754A52"/>
    <w:rsid w:val="00755FE8"/>
    <w:rsid w:val="00756336"/>
    <w:rsid w:val="007564A6"/>
    <w:rsid w:val="007565E3"/>
    <w:rsid w:val="007576C7"/>
    <w:rsid w:val="0075784D"/>
    <w:rsid w:val="00757DF0"/>
    <w:rsid w:val="0076232C"/>
    <w:rsid w:val="007623C4"/>
    <w:rsid w:val="0076301D"/>
    <w:rsid w:val="00763D21"/>
    <w:rsid w:val="00764137"/>
    <w:rsid w:val="0076467B"/>
    <w:rsid w:val="0076529A"/>
    <w:rsid w:val="00765CF1"/>
    <w:rsid w:val="00765DFA"/>
    <w:rsid w:val="007666BC"/>
    <w:rsid w:val="00766F23"/>
    <w:rsid w:val="00767248"/>
    <w:rsid w:val="00767A11"/>
    <w:rsid w:val="007706CB"/>
    <w:rsid w:val="00771058"/>
    <w:rsid w:val="00772C76"/>
    <w:rsid w:val="00773060"/>
    <w:rsid w:val="007738A8"/>
    <w:rsid w:val="00774586"/>
    <w:rsid w:val="007746D3"/>
    <w:rsid w:val="00774A3A"/>
    <w:rsid w:val="00774C5F"/>
    <w:rsid w:val="00775E54"/>
    <w:rsid w:val="00776C95"/>
    <w:rsid w:val="007778C9"/>
    <w:rsid w:val="0078089D"/>
    <w:rsid w:val="007815C5"/>
    <w:rsid w:val="00781DBB"/>
    <w:rsid w:val="007826FD"/>
    <w:rsid w:val="00782B0A"/>
    <w:rsid w:val="00783A87"/>
    <w:rsid w:val="007842C0"/>
    <w:rsid w:val="00785502"/>
    <w:rsid w:val="007856EB"/>
    <w:rsid w:val="00790AC7"/>
    <w:rsid w:val="00790B3A"/>
    <w:rsid w:val="00791152"/>
    <w:rsid w:val="007911BE"/>
    <w:rsid w:val="00791852"/>
    <w:rsid w:val="00792679"/>
    <w:rsid w:val="00792A91"/>
    <w:rsid w:val="007938A3"/>
    <w:rsid w:val="007941FE"/>
    <w:rsid w:val="00794D47"/>
    <w:rsid w:val="0079506A"/>
    <w:rsid w:val="0079511D"/>
    <w:rsid w:val="007952E6"/>
    <w:rsid w:val="00795F1B"/>
    <w:rsid w:val="00796264"/>
    <w:rsid w:val="00797132"/>
    <w:rsid w:val="007A010A"/>
    <w:rsid w:val="007A05CD"/>
    <w:rsid w:val="007A0F2E"/>
    <w:rsid w:val="007A1257"/>
    <w:rsid w:val="007A215A"/>
    <w:rsid w:val="007A22CB"/>
    <w:rsid w:val="007A2E9E"/>
    <w:rsid w:val="007A33CF"/>
    <w:rsid w:val="007A34F4"/>
    <w:rsid w:val="007A3783"/>
    <w:rsid w:val="007A3DC1"/>
    <w:rsid w:val="007A4BC9"/>
    <w:rsid w:val="007A4E14"/>
    <w:rsid w:val="007A7116"/>
    <w:rsid w:val="007B02C9"/>
    <w:rsid w:val="007B1378"/>
    <w:rsid w:val="007B230D"/>
    <w:rsid w:val="007B3C4A"/>
    <w:rsid w:val="007B47BB"/>
    <w:rsid w:val="007B4DFF"/>
    <w:rsid w:val="007B6AD0"/>
    <w:rsid w:val="007B71AB"/>
    <w:rsid w:val="007B73AF"/>
    <w:rsid w:val="007B7EDF"/>
    <w:rsid w:val="007C0480"/>
    <w:rsid w:val="007C04E8"/>
    <w:rsid w:val="007C07B5"/>
    <w:rsid w:val="007C0FE7"/>
    <w:rsid w:val="007C1B3C"/>
    <w:rsid w:val="007C2636"/>
    <w:rsid w:val="007C2C0F"/>
    <w:rsid w:val="007C3D91"/>
    <w:rsid w:val="007C4D37"/>
    <w:rsid w:val="007C4DDE"/>
    <w:rsid w:val="007C4E9D"/>
    <w:rsid w:val="007C551C"/>
    <w:rsid w:val="007C5C8E"/>
    <w:rsid w:val="007C6D47"/>
    <w:rsid w:val="007C7045"/>
    <w:rsid w:val="007C754C"/>
    <w:rsid w:val="007C7CF1"/>
    <w:rsid w:val="007D11F7"/>
    <w:rsid w:val="007D142F"/>
    <w:rsid w:val="007D1863"/>
    <w:rsid w:val="007D1CD9"/>
    <w:rsid w:val="007D1D93"/>
    <w:rsid w:val="007D22F8"/>
    <w:rsid w:val="007D2900"/>
    <w:rsid w:val="007D2B55"/>
    <w:rsid w:val="007D2FAF"/>
    <w:rsid w:val="007D4931"/>
    <w:rsid w:val="007D4D29"/>
    <w:rsid w:val="007D58F7"/>
    <w:rsid w:val="007D5DD1"/>
    <w:rsid w:val="007D6536"/>
    <w:rsid w:val="007D697B"/>
    <w:rsid w:val="007D6E64"/>
    <w:rsid w:val="007D7506"/>
    <w:rsid w:val="007D7D57"/>
    <w:rsid w:val="007E0912"/>
    <w:rsid w:val="007E1CEE"/>
    <w:rsid w:val="007E2156"/>
    <w:rsid w:val="007E28E4"/>
    <w:rsid w:val="007E290A"/>
    <w:rsid w:val="007E2929"/>
    <w:rsid w:val="007E2CD5"/>
    <w:rsid w:val="007E3078"/>
    <w:rsid w:val="007E5AF2"/>
    <w:rsid w:val="007E5E30"/>
    <w:rsid w:val="007E75DF"/>
    <w:rsid w:val="007F2997"/>
    <w:rsid w:val="007F32B2"/>
    <w:rsid w:val="007F333F"/>
    <w:rsid w:val="007F3C03"/>
    <w:rsid w:val="007F3D81"/>
    <w:rsid w:val="007F46A8"/>
    <w:rsid w:val="007F524B"/>
    <w:rsid w:val="007F5AD0"/>
    <w:rsid w:val="007F6541"/>
    <w:rsid w:val="007F74F6"/>
    <w:rsid w:val="007F7CEC"/>
    <w:rsid w:val="008000C9"/>
    <w:rsid w:val="00800B2F"/>
    <w:rsid w:val="00800B3F"/>
    <w:rsid w:val="00800E62"/>
    <w:rsid w:val="008019C5"/>
    <w:rsid w:val="00801F2E"/>
    <w:rsid w:val="00802DA5"/>
    <w:rsid w:val="00807248"/>
    <w:rsid w:val="00807296"/>
    <w:rsid w:val="008075CE"/>
    <w:rsid w:val="00807AD2"/>
    <w:rsid w:val="008115A0"/>
    <w:rsid w:val="00813FFB"/>
    <w:rsid w:val="00816E0D"/>
    <w:rsid w:val="00817587"/>
    <w:rsid w:val="00817BCD"/>
    <w:rsid w:val="0082065A"/>
    <w:rsid w:val="008210E7"/>
    <w:rsid w:val="00821130"/>
    <w:rsid w:val="008228C9"/>
    <w:rsid w:val="00822CE8"/>
    <w:rsid w:val="008231E5"/>
    <w:rsid w:val="008251DA"/>
    <w:rsid w:val="00826633"/>
    <w:rsid w:val="00826B31"/>
    <w:rsid w:val="00827905"/>
    <w:rsid w:val="0083041B"/>
    <w:rsid w:val="00830C35"/>
    <w:rsid w:val="008320DA"/>
    <w:rsid w:val="00833525"/>
    <w:rsid w:val="008350C8"/>
    <w:rsid w:val="00835BE0"/>
    <w:rsid w:val="008363FD"/>
    <w:rsid w:val="0083664C"/>
    <w:rsid w:val="0083699E"/>
    <w:rsid w:val="00836BC6"/>
    <w:rsid w:val="00840CEB"/>
    <w:rsid w:val="008416F1"/>
    <w:rsid w:val="00841D06"/>
    <w:rsid w:val="0084385F"/>
    <w:rsid w:val="00843DAF"/>
    <w:rsid w:val="0084403A"/>
    <w:rsid w:val="00844B40"/>
    <w:rsid w:val="00844CD3"/>
    <w:rsid w:val="00844DF6"/>
    <w:rsid w:val="008453DC"/>
    <w:rsid w:val="00845F3D"/>
    <w:rsid w:val="008461C6"/>
    <w:rsid w:val="008474C2"/>
    <w:rsid w:val="008479AE"/>
    <w:rsid w:val="00847B92"/>
    <w:rsid w:val="00847F1E"/>
    <w:rsid w:val="0085032D"/>
    <w:rsid w:val="00850A75"/>
    <w:rsid w:val="00851DD7"/>
    <w:rsid w:val="00852D41"/>
    <w:rsid w:val="00854532"/>
    <w:rsid w:val="0085477D"/>
    <w:rsid w:val="00855B94"/>
    <w:rsid w:val="00855E22"/>
    <w:rsid w:val="008561F9"/>
    <w:rsid w:val="0085669C"/>
    <w:rsid w:val="008603D0"/>
    <w:rsid w:val="008604CF"/>
    <w:rsid w:val="008612A9"/>
    <w:rsid w:val="00861D57"/>
    <w:rsid w:val="00862316"/>
    <w:rsid w:val="00862543"/>
    <w:rsid w:val="00863593"/>
    <w:rsid w:val="00863C10"/>
    <w:rsid w:val="00863E70"/>
    <w:rsid w:val="00864924"/>
    <w:rsid w:val="0086522C"/>
    <w:rsid w:val="0086543E"/>
    <w:rsid w:val="00865CD2"/>
    <w:rsid w:val="00866A55"/>
    <w:rsid w:val="0086726B"/>
    <w:rsid w:val="00867BF1"/>
    <w:rsid w:val="00867D96"/>
    <w:rsid w:val="00870857"/>
    <w:rsid w:val="00870AD8"/>
    <w:rsid w:val="00870BD0"/>
    <w:rsid w:val="00871194"/>
    <w:rsid w:val="0087204F"/>
    <w:rsid w:val="008745C2"/>
    <w:rsid w:val="008749EA"/>
    <w:rsid w:val="00875C38"/>
    <w:rsid w:val="00875FFC"/>
    <w:rsid w:val="008763C9"/>
    <w:rsid w:val="00876633"/>
    <w:rsid w:val="00876CA2"/>
    <w:rsid w:val="0087762C"/>
    <w:rsid w:val="008802C3"/>
    <w:rsid w:val="00880B64"/>
    <w:rsid w:val="00880D10"/>
    <w:rsid w:val="00881058"/>
    <w:rsid w:val="00881085"/>
    <w:rsid w:val="00881330"/>
    <w:rsid w:val="00881C4A"/>
    <w:rsid w:val="00882647"/>
    <w:rsid w:val="00882BA4"/>
    <w:rsid w:val="00882F06"/>
    <w:rsid w:val="00884C5A"/>
    <w:rsid w:val="00885194"/>
    <w:rsid w:val="008852DF"/>
    <w:rsid w:val="00885682"/>
    <w:rsid w:val="00885D24"/>
    <w:rsid w:val="0088668C"/>
    <w:rsid w:val="008868A2"/>
    <w:rsid w:val="00887486"/>
    <w:rsid w:val="008876E7"/>
    <w:rsid w:val="0089011E"/>
    <w:rsid w:val="008903A7"/>
    <w:rsid w:val="00890DC8"/>
    <w:rsid w:val="008914DB"/>
    <w:rsid w:val="0089189D"/>
    <w:rsid w:val="00891AF0"/>
    <w:rsid w:val="00892D37"/>
    <w:rsid w:val="008936B2"/>
    <w:rsid w:val="00893BB5"/>
    <w:rsid w:val="00893FB2"/>
    <w:rsid w:val="008941B8"/>
    <w:rsid w:val="008942FF"/>
    <w:rsid w:val="00894768"/>
    <w:rsid w:val="00895137"/>
    <w:rsid w:val="00895338"/>
    <w:rsid w:val="00895684"/>
    <w:rsid w:val="00896AAD"/>
    <w:rsid w:val="00896C4E"/>
    <w:rsid w:val="00896DB1"/>
    <w:rsid w:val="00897072"/>
    <w:rsid w:val="0089792A"/>
    <w:rsid w:val="008A109B"/>
    <w:rsid w:val="008A217D"/>
    <w:rsid w:val="008A2935"/>
    <w:rsid w:val="008A2B93"/>
    <w:rsid w:val="008A3CAF"/>
    <w:rsid w:val="008A465F"/>
    <w:rsid w:val="008A4D55"/>
    <w:rsid w:val="008A4D6D"/>
    <w:rsid w:val="008A5C6E"/>
    <w:rsid w:val="008A60EB"/>
    <w:rsid w:val="008A64CE"/>
    <w:rsid w:val="008A7647"/>
    <w:rsid w:val="008B12BA"/>
    <w:rsid w:val="008B1AD0"/>
    <w:rsid w:val="008B1BD9"/>
    <w:rsid w:val="008B1FD4"/>
    <w:rsid w:val="008B2DB7"/>
    <w:rsid w:val="008B4445"/>
    <w:rsid w:val="008B5896"/>
    <w:rsid w:val="008B5E27"/>
    <w:rsid w:val="008B5EA7"/>
    <w:rsid w:val="008B5EE3"/>
    <w:rsid w:val="008B61AB"/>
    <w:rsid w:val="008B66A6"/>
    <w:rsid w:val="008B7577"/>
    <w:rsid w:val="008C09E1"/>
    <w:rsid w:val="008C1171"/>
    <w:rsid w:val="008C3334"/>
    <w:rsid w:val="008C34A1"/>
    <w:rsid w:val="008C3AF3"/>
    <w:rsid w:val="008C451C"/>
    <w:rsid w:val="008C487D"/>
    <w:rsid w:val="008C50F4"/>
    <w:rsid w:val="008C5ECF"/>
    <w:rsid w:val="008C6A81"/>
    <w:rsid w:val="008C7A7F"/>
    <w:rsid w:val="008D010E"/>
    <w:rsid w:val="008D050E"/>
    <w:rsid w:val="008D06D3"/>
    <w:rsid w:val="008D1784"/>
    <w:rsid w:val="008D1C9C"/>
    <w:rsid w:val="008D2683"/>
    <w:rsid w:val="008D2A09"/>
    <w:rsid w:val="008D2BEA"/>
    <w:rsid w:val="008D3B44"/>
    <w:rsid w:val="008D56D4"/>
    <w:rsid w:val="008D74A7"/>
    <w:rsid w:val="008D77EC"/>
    <w:rsid w:val="008E0517"/>
    <w:rsid w:val="008E0985"/>
    <w:rsid w:val="008E17F5"/>
    <w:rsid w:val="008E18C1"/>
    <w:rsid w:val="008E1C42"/>
    <w:rsid w:val="008E20D7"/>
    <w:rsid w:val="008E2597"/>
    <w:rsid w:val="008E2FD9"/>
    <w:rsid w:val="008E43B7"/>
    <w:rsid w:val="008E4540"/>
    <w:rsid w:val="008E4CE2"/>
    <w:rsid w:val="008E5558"/>
    <w:rsid w:val="008E585A"/>
    <w:rsid w:val="008E6220"/>
    <w:rsid w:val="008E7F49"/>
    <w:rsid w:val="008F1456"/>
    <w:rsid w:val="008F191F"/>
    <w:rsid w:val="008F3764"/>
    <w:rsid w:val="008F44C8"/>
    <w:rsid w:val="008F4D38"/>
    <w:rsid w:val="008F5DEA"/>
    <w:rsid w:val="008F618E"/>
    <w:rsid w:val="008F662A"/>
    <w:rsid w:val="008F74CF"/>
    <w:rsid w:val="009003D5"/>
    <w:rsid w:val="009024D2"/>
    <w:rsid w:val="0090396F"/>
    <w:rsid w:val="009058C6"/>
    <w:rsid w:val="00905C88"/>
    <w:rsid w:val="00905D22"/>
    <w:rsid w:val="00905D51"/>
    <w:rsid w:val="00906845"/>
    <w:rsid w:val="009071B4"/>
    <w:rsid w:val="0090739D"/>
    <w:rsid w:val="00907A0C"/>
    <w:rsid w:val="00910EB9"/>
    <w:rsid w:val="00912564"/>
    <w:rsid w:val="00913B74"/>
    <w:rsid w:val="00913E6E"/>
    <w:rsid w:val="0091402B"/>
    <w:rsid w:val="00915167"/>
    <w:rsid w:val="0091554D"/>
    <w:rsid w:val="009167CB"/>
    <w:rsid w:val="00917295"/>
    <w:rsid w:val="00917896"/>
    <w:rsid w:val="00920929"/>
    <w:rsid w:val="00920B25"/>
    <w:rsid w:val="00920E09"/>
    <w:rsid w:val="009228A7"/>
    <w:rsid w:val="00922CE8"/>
    <w:rsid w:val="00924219"/>
    <w:rsid w:val="00925A39"/>
    <w:rsid w:val="00926006"/>
    <w:rsid w:val="00926D86"/>
    <w:rsid w:val="00927489"/>
    <w:rsid w:val="00927DC9"/>
    <w:rsid w:val="00927EDA"/>
    <w:rsid w:val="00930590"/>
    <w:rsid w:val="00930EB1"/>
    <w:rsid w:val="00931F20"/>
    <w:rsid w:val="009324B4"/>
    <w:rsid w:val="00932DA2"/>
    <w:rsid w:val="0093344C"/>
    <w:rsid w:val="00933C62"/>
    <w:rsid w:val="009346F5"/>
    <w:rsid w:val="0093751D"/>
    <w:rsid w:val="00937533"/>
    <w:rsid w:val="009379FE"/>
    <w:rsid w:val="00940825"/>
    <w:rsid w:val="009413E8"/>
    <w:rsid w:val="00942318"/>
    <w:rsid w:val="009437B0"/>
    <w:rsid w:val="00943889"/>
    <w:rsid w:val="009442C6"/>
    <w:rsid w:val="00944F78"/>
    <w:rsid w:val="00945026"/>
    <w:rsid w:val="00945A8D"/>
    <w:rsid w:val="0094644D"/>
    <w:rsid w:val="00954463"/>
    <w:rsid w:val="00954720"/>
    <w:rsid w:val="0095514C"/>
    <w:rsid w:val="0095649D"/>
    <w:rsid w:val="0096112F"/>
    <w:rsid w:val="00962BEC"/>
    <w:rsid w:val="009641F4"/>
    <w:rsid w:val="009642AB"/>
    <w:rsid w:val="00964C98"/>
    <w:rsid w:val="0096588B"/>
    <w:rsid w:val="00965919"/>
    <w:rsid w:val="00965975"/>
    <w:rsid w:val="009678F4"/>
    <w:rsid w:val="00970C55"/>
    <w:rsid w:val="009713A3"/>
    <w:rsid w:val="009715E5"/>
    <w:rsid w:val="00971ABF"/>
    <w:rsid w:val="00972257"/>
    <w:rsid w:val="009735FE"/>
    <w:rsid w:val="00973A59"/>
    <w:rsid w:val="0097497C"/>
    <w:rsid w:val="00974B35"/>
    <w:rsid w:val="00974C1F"/>
    <w:rsid w:val="00975380"/>
    <w:rsid w:val="0097764A"/>
    <w:rsid w:val="0097770A"/>
    <w:rsid w:val="00982CF7"/>
    <w:rsid w:val="009839D5"/>
    <w:rsid w:val="00983C0D"/>
    <w:rsid w:val="00984E6F"/>
    <w:rsid w:val="00986005"/>
    <w:rsid w:val="00986172"/>
    <w:rsid w:val="00987A64"/>
    <w:rsid w:val="00987F9E"/>
    <w:rsid w:val="00990087"/>
    <w:rsid w:val="00991ED7"/>
    <w:rsid w:val="00991FF5"/>
    <w:rsid w:val="009922FC"/>
    <w:rsid w:val="0099252C"/>
    <w:rsid w:val="00992E10"/>
    <w:rsid w:val="0099306C"/>
    <w:rsid w:val="00993265"/>
    <w:rsid w:val="00993565"/>
    <w:rsid w:val="00994C89"/>
    <w:rsid w:val="00996147"/>
    <w:rsid w:val="009968E7"/>
    <w:rsid w:val="00996C29"/>
    <w:rsid w:val="009979BC"/>
    <w:rsid w:val="009A05B1"/>
    <w:rsid w:val="009A09A4"/>
    <w:rsid w:val="009A16AC"/>
    <w:rsid w:val="009A1A19"/>
    <w:rsid w:val="009A6303"/>
    <w:rsid w:val="009A6AAA"/>
    <w:rsid w:val="009A6D66"/>
    <w:rsid w:val="009A7D29"/>
    <w:rsid w:val="009B2909"/>
    <w:rsid w:val="009B4034"/>
    <w:rsid w:val="009B453B"/>
    <w:rsid w:val="009B4BD2"/>
    <w:rsid w:val="009B516E"/>
    <w:rsid w:val="009B6054"/>
    <w:rsid w:val="009B7137"/>
    <w:rsid w:val="009B7F14"/>
    <w:rsid w:val="009B7F83"/>
    <w:rsid w:val="009C014F"/>
    <w:rsid w:val="009C06C5"/>
    <w:rsid w:val="009C1B2E"/>
    <w:rsid w:val="009C2E04"/>
    <w:rsid w:val="009C4241"/>
    <w:rsid w:val="009C47C0"/>
    <w:rsid w:val="009C773A"/>
    <w:rsid w:val="009D02EF"/>
    <w:rsid w:val="009D0452"/>
    <w:rsid w:val="009D0A57"/>
    <w:rsid w:val="009D197E"/>
    <w:rsid w:val="009D2031"/>
    <w:rsid w:val="009D2145"/>
    <w:rsid w:val="009D3143"/>
    <w:rsid w:val="009D39B6"/>
    <w:rsid w:val="009D3D25"/>
    <w:rsid w:val="009D413F"/>
    <w:rsid w:val="009D48F2"/>
    <w:rsid w:val="009D63D9"/>
    <w:rsid w:val="009D7092"/>
    <w:rsid w:val="009D7200"/>
    <w:rsid w:val="009E1FC5"/>
    <w:rsid w:val="009E2426"/>
    <w:rsid w:val="009E2CF8"/>
    <w:rsid w:val="009E3B9B"/>
    <w:rsid w:val="009E48D9"/>
    <w:rsid w:val="009E5265"/>
    <w:rsid w:val="009E56AB"/>
    <w:rsid w:val="009E5CB3"/>
    <w:rsid w:val="009E5E6B"/>
    <w:rsid w:val="009E75F5"/>
    <w:rsid w:val="009E7D6C"/>
    <w:rsid w:val="009F1B8D"/>
    <w:rsid w:val="009F298D"/>
    <w:rsid w:val="009F524C"/>
    <w:rsid w:val="009F53CD"/>
    <w:rsid w:val="009F56A8"/>
    <w:rsid w:val="009F7009"/>
    <w:rsid w:val="009F7197"/>
    <w:rsid w:val="009F7519"/>
    <w:rsid w:val="00A0058F"/>
    <w:rsid w:val="00A00E3C"/>
    <w:rsid w:val="00A00FEC"/>
    <w:rsid w:val="00A0126D"/>
    <w:rsid w:val="00A0154F"/>
    <w:rsid w:val="00A016E7"/>
    <w:rsid w:val="00A01CF1"/>
    <w:rsid w:val="00A01D88"/>
    <w:rsid w:val="00A01EBE"/>
    <w:rsid w:val="00A0208C"/>
    <w:rsid w:val="00A02E4B"/>
    <w:rsid w:val="00A039EE"/>
    <w:rsid w:val="00A04D1F"/>
    <w:rsid w:val="00A0700C"/>
    <w:rsid w:val="00A075E1"/>
    <w:rsid w:val="00A07A83"/>
    <w:rsid w:val="00A10283"/>
    <w:rsid w:val="00A102B2"/>
    <w:rsid w:val="00A118F2"/>
    <w:rsid w:val="00A11983"/>
    <w:rsid w:val="00A11D51"/>
    <w:rsid w:val="00A121C0"/>
    <w:rsid w:val="00A12923"/>
    <w:rsid w:val="00A1299F"/>
    <w:rsid w:val="00A12E2F"/>
    <w:rsid w:val="00A13776"/>
    <w:rsid w:val="00A13ED1"/>
    <w:rsid w:val="00A1466E"/>
    <w:rsid w:val="00A166C7"/>
    <w:rsid w:val="00A170B1"/>
    <w:rsid w:val="00A17F15"/>
    <w:rsid w:val="00A2204C"/>
    <w:rsid w:val="00A22DE7"/>
    <w:rsid w:val="00A23449"/>
    <w:rsid w:val="00A23F62"/>
    <w:rsid w:val="00A25188"/>
    <w:rsid w:val="00A264AE"/>
    <w:rsid w:val="00A266B8"/>
    <w:rsid w:val="00A26AE8"/>
    <w:rsid w:val="00A2751D"/>
    <w:rsid w:val="00A276DE"/>
    <w:rsid w:val="00A30358"/>
    <w:rsid w:val="00A31C77"/>
    <w:rsid w:val="00A32470"/>
    <w:rsid w:val="00A3247B"/>
    <w:rsid w:val="00A325A1"/>
    <w:rsid w:val="00A3367C"/>
    <w:rsid w:val="00A34F47"/>
    <w:rsid w:val="00A352E3"/>
    <w:rsid w:val="00A35D5B"/>
    <w:rsid w:val="00A361A3"/>
    <w:rsid w:val="00A36EF3"/>
    <w:rsid w:val="00A37960"/>
    <w:rsid w:val="00A412B7"/>
    <w:rsid w:val="00A418EC"/>
    <w:rsid w:val="00A41BDE"/>
    <w:rsid w:val="00A41F31"/>
    <w:rsid w:val="00A425FE"/>
    <w:rsid w:val="00A426AE"/>
    <w:rsid w:val="00A444EE"/>
    <w:rsid w:val="00A446AD"/>
    <w:rsid w:val="00A44934"/>
    <w:rsid w:val="00A46A6F"/>
    <w:rsid w:val="00A46FDF"/>
    <w:rsid w:val="00A47A18"/>
    <w:rsid w:val="00A47D69"/>
    <w:rsid w:val="00A503A3"/>
    <w:rsid w:val="00A50C53"/>
    <w:rsid w:val="00A51C85"/>
    <w:rsid w:val="00A54F80"/>
    <w:rsid w:val="00A55B6F"/>
    <w:rsid w:val="00A56283"/>
    <w:rsid w:val="00A56337"/>
    <w:rsid w:val="00A56AE4"/>
    <w:rsid w:val="00A57058"/>
    <w:rsid w:val="00A6019F"/>
    <w:rsid w:val="00A60771"/>
    <w:rsid w:val="00A60B50"/>
    <w:rsid w:val="00A60C52"/>
    <w:rsid w:val="00A62C1A"/>
    <w:rsid w:val="00A64350"/>
    <w:rsid w:val="00A645BA"/>
    <w:rsid w:val="00A650E7"/>
    <w:rsid w:val="00A6528A"/>
    <w:rsid w:val="00A655DB"/>
    <w:rsid w:val="00A65735"/>
    <w:rsid w:val="00A668F5"/>
    <w:rsid w:val="00A66A46"/>
    <w:rsid w:val="00A715CD"/>
    <w:rsid w:val="00A73EDB"/>
    <w:rsid w:val="00A74A06"/>
    <w:rsid w:val="00A75428"/>
    <w:rsid w:val="00A8139E"/>
    <w:rsid w:val="00A81C45"/>
    <w:rsid w:val="00A824B6"/>
    <w:rsid w:val="00A8269C"/>
    <w:rsid w:val="00A83EB1"/>
    <w:rsid w:val="00A8444F"/>
    <w:rsid w:val="00A8490F"/>
    <w:rsid w:val="00A84C61"/>
    <w:rsid w:val="00A84F10"/>
    <w:rsid w:val="00A851FE"/>
    <w:rsid w:val="00A85CA4"/>
    <w:rsid w:val="00A8633F"/>
    <w:rsid w:val="00A87D7E"/>
    <w:rsid w:val="00A90413"/>
    <w:rsid w:val="00A9063F"/>
    <w:rsid w:val="00A90FC0"/>
    <w:rsid w:val="00A911D7"/>
    <w:rsid w:val="00A91711"/>
    <w:rsid w:val="00A91BA6"/>
    <w:rsid w:val="00A91D57"/>
    <w:rsid w:val="00A9284E"/>
    <w:rsid w:val="00A92C79"/>
    <w:rsid w:val="00A9301A"/>
    <w:rsid w:val="00A931B1"/>
    <w:rsid w:val="00A93291"/>
    <w:rsid w:val="00A93506"/>
    <w:rsid w:val="00A942D7"/>
    <w:rsid w:val="00A94529"/>
    <w:rsid w:val="00A9471E"/>
    <w:rsid w:val="00A94CD5"/>
    <w:rsid w:val="00A955B5"/>
    <w:rsid w:val="00A973DD"/>
    <w:rsid w:val="00AA01D5"/>
    <w:rsid w:val="00AA06D8"/>
    <w:rsid w:val="00AA075D"/>
    <w:rsid w:val="00AA0D54"/>
    <w:rsid w:val="00AA2564"/>
    <w:rsid w:val="00AA300A"/>
    <w:rsid w:val="00AA3732"/>
    <w:rsid w:val="00AA394F"/>
    <w:rsid w:val="00AA3951"/>
    <w:rsid w:val="00AA39EF"/>
    <w:rsid w:val="00AA3FF5"/>
    <w:rsid w:val="00AA4114"/>
    <w:rsid w:val="00AA5267"/>
    <w:rsid w:val="00AA6EB3"/>
    <w:rsid w:val="00AB0B36"/>
    <w:rsid w:val="00AB12EC"/>
    <w:rsid w:val="00AB1AF8"/>
    <w:rsid w:val="00AB234D"/>
    <w:rsid w:val="00AB25BB"/>
    <w:rsid w:val="00AB3347"/>
    <w:rsid w:val="00AB4D3E"/>
    <w:rsid w:val="00AB5B17"/>
    <w:rsid w:val="00AB5EAD"/>
    <w:rsid w:val="00AB62A4"/>
    <w:rsid w:val="00AB6516"/>
    <w:rsid w:val="00AB6760"/>
    <w:rsid w:val="00AB7373"/>
    <w:rsid w:val="00AC0F27"/>
    <w:rsid w:val="00AC13B1"/>
    <w:rsid w:val="00AC23D7"/>
    <w:rsid w:val="00AC23E5"/>
    <w:rsid w:val="00AC3188"/>
    <w:rsid w:val="00AC380A"/>
    <w:rsid w:val="00AC388F"/>
    <w:rsid w:val="00AC4167"/>
    <w:rsid w:val="00AC45AA"/>
    <w:rsid w:val="00AC467A"/>
    <w:rsid w:val="00AC7880"/>
    <w:rsid w:val="00AD0A5C"/>
    <w:rsid w:val="00AD1AF6"/>
    <w:rsid w:val="00AD1FD0"/>
    <w:rsid w:val="00AD2796"/>
    <w:rsid w:val="00AD3015"/>
    <w:rsid w:val="00AD373C"/>
    <w:rsid w:val="00AD4420"/>
    <w:rsid w:val="00AD44A0"/>
    <w:rsid w:val="00AD5641"/>
    <w:rsid w:val="00AD593F"/>
    <w:rsid w:val="00AD69DD"/>
    <w:rsid w:val="00AD7F1A"/>
    <w:rsid w:val="00AE0F7A"/>
    <w:rsid w:val="00AE1FD3"/>
    <w:rsid w:val="00AE38DE"/>
    <w:rsid w:val="00AE48DE"/>
    <w:rsid w:val="00AE4D29"/>
    <w:rsid w:val="00AE55D6"/>
    <w:rsid w:val="00AE5E6D"/>
    <w:rsid w:val="00AE6D0D"/>
    <w:rsid w:val="00AE7484"/>
    <w:rsid w:val="00AE79B8"/>
    <w:rsid w:val="00AF02B3"/>
    <w:rsid w:val="00AF0E25"/>
    <w:rsid w:val="00AF1017"/>
    <w:rsid w:val="00AF11BF"/>
    <w:rsid w:val="00AF1F19"/>
    <w:rsid w:val="00AF25EB"/>
    <w:rsid w:val="00AF509C"/>
    <w:rsid w:val="00B001EE"/>
    <w:rsid w:val="00B0168D"/>
    <w:rsid w:val="00B016A8"/>
    <w:rsid w:val="00B01826"/>
    <w:rsid w:val="00B0270C"/>
    <w:rsid w:val="00B02875"/>
    <w:rsid w:val="00B03612"/>
    <w:rsid w:val="00B0460A"/>
    <w:rsid w:val="00B05EAD"/>
    <w:rsid w:val="00B06186"/>
    <w:rsid w:val="00B0645B"/>
    <w:rsid w:val="00B076AE"/>
    <w:rsid w:val="00B07A98"/>
    <w:rsid w:val="00B1000A"/>
    <w:rsid w:val="00B102A5"/>
    <w:rsid w:val="00B104A2"/>
    <w:rsid w:val="00B10DC5"/>
    <w:rsid w:val="00B10E8C"/>
    <w:rsid w:val="00B11239"/>
    <w:rsid w:val="00B11E9F"/>
    <w:rsid w:val="00B12012"/>
    <w:rsid w:val="00B121AE"/>
    <w:rsid w:val="00B129C2"/>
    <w:rsid w:val="00B136DF"/>
    <w:rsid w:val="00B14D48"/>
    <w:rsid w:val="00B14E3F"/>
    <w:rsid w:val="00B15C5C"/>
    <w:rsid w:val="00B15CF2"/>
    <w:rsid w:val="00B1620B"/>
    <w:rsid w:val="00B16897"/>
    <w:rsid w:val="00B17057"/>
    <w:rsid w:val="00B1789C"/>
    <w:rsid w:val="00B205FD"/>
    <w:rsid w:val="00B2137A"/>
    <w:rsid w:val="00B21BB3"/>
    <w:rsid w:val="00B23CED"/>
    <w:rsid w:val="00B24287"/>
    <w:rsid w:val="00B24BF2"/>
    <w:rsid w:val="00B25838"/>
    <w:rsid w:val="00B260E8"/>
    <w:rsid w:val="00B2625F"/>
    <w:rsid w:val="00B277FF"/>
    <w:rsid w:val="00B27A38"/>
    <w:rsid w:val="00B27F79"/>
    <w:rsid w:val="00B3010A"/>
    <w:rsid w:val="00B30431"/>
    <w:rsid w:val="00B3089F"/>
    <w:rsid w:val="00B316C5"/>
    <w:rsid w:val="00B321E6"/>
    <w:rsid w:val="00B3274C"/>
    <w:rsid w:val="00B3361A"/>
    <w:rsid w:val="00B338BA"/>
    <w:rsid w:val="00B3409B"/>
    <w:rsid w:val="00B34A18"/>
    <w:rsid w:val="00B36504"/>
    <w:rsid w:val="00B37149"/>
    <w:rsid w:val="00B37CBA"/>
    <w:rsid w:val="00B40116"/>
    <w:rsid w:val="00B418C9"/>
    <w:rsid w:val="00B41BB1"/>
    <w:rsid w:val="00B4234A"/>
    <w:rsid w:val="00B4272D"/>
    <w:rsid w:val="00B42999"/>
    <w:rsid w:val="00B433E9"/>
    <w:rsid w:val="00B439FA"/>
    <w:rsid w:val="00B44CD9"/>
    <w:rsid w:val="00B45003"/>
    <w:rsid w:val="00B45ED8"/>
    <w:rsid w:val="00B461A2"/>
    <w:rsid w:val="00B46E5D"/>
    <w:rsid w:val="00B4720E"/>
    <w:rsid w:val="00B474B3"/>
    <w:rsid w:val="00B50FFD"/>
    <w:rsid w:val="00B5148B"/>
    <w:rsid w:val="00B51659"/>
    <w:rsid w:val="00B517B7"/>
    <w:rsid w:val="00B52AFC"/>
    <w:rsid w:val="00B52B6A"/>
    <w:rsid w:val="00B52E9A"/>
    <w:rsid w:val="00B52F8E"/>
    <w:rsid w:val="00B54DD5"/>
    <w:rsid w:val="00B54F41"/>
    <w:rsid w:val="00B5514F"/>
    <w:rsid w:val="00B555E5"/>
    <w:rsid w:val="00B55988"/>
    <w:rsid w:val="00B55D58"/>
    <w:rsid w:val="00B56200"/>
    <w:rsid w:val="00B569DB"/>
    <w:rsid w:val="00B61963"/>
    <w:rsid w:val="00B61B57"/>
    <w:rsid w:val="00B640D6"/>
    <w:rsid w:val="00B64287"/>
    <w:rsid w:val="00B652E3"/>
    <w:rsid w:val="00B65322"/>
    <w:rsid w:val="00B660D8"/>
    <w:rsid w:val="00B6627E"/>
    <w:rsid w:val="00B667F6"/>
    <w:rsid w:val="00B66C9A"/>
    <w:rsid w:val="00B66E39"/>
    <w:rsid w:val="00B67220"/>
    <w:rsid w:val="00B672D4"/>
    <w:rsid w:val="00B67D24"/>
    <w:rsid w:val="00B70F5C"/>
    <w:rsid w:val="00B717D6"/>
    <w:rsid w:val="00B73BD5"/>
    <w:rsid w:val="00B74C49"/>
    <w:rsid w:val="00B751ED"/>
    <w:rsid w:val="00B75C86"/>
    <w:rsid w:val="00B77FE8"/>
    <w:rsid w:val="00B81879"/>
    <w:rsid w:val="00B81DCD"/>
    <w:rsid w:val="00B82E86"/>
    <w:rsid w:val="00B83333"/>
    <w:rsid w:val="00B834E0"/>
    <w:rsid w:val="00B84DBC"/>
    <w:rsid w:val="00B86474"/>
    <w:rsid w:val="00B8699A"/>
    <w:rsid w:val="00B8727F"/>
    <w:rsid w:val="00B8733F"/>
    <w:rsid w:val="00B87406"/>
    <w:rsid w:val="00B87B48"/>
    <w:rsid w:val="00B91A51"/>
    <w:rsid w:val="00B929F9"/>
    <w:rsid w:val="00B93A04"/>
    <w:rsid w:val="00B94CC7"/>
    <w:rsid w:val="00B9518F"/>
    <w:rsid w:val="00B96842"/>
    <w:rsid w:val="00B97056"/>
    <w:rsid w:val="00BA0198"/>
    <w:rsid w:val="00BA0956"/>
    <w:rsid w:val="00BA0A54"/>
    <w:rsid w:val="00BA176B"/>
    <w:rsid w:val="00BA17C4"/>
    <w:rsid w:val="00BA2098"/>
    <w:rsid w:val="00BA2466"/>
    <w:rsid w:val="00BA26D4"/>
    <w:rsid w:val="00BA288B"/>
    <w:rsid w:val="00BA3F92"/>
    <w:rsid w:val="00BA40B5"/>
    <w:rsid w:val="00BA4FE1"/>
    <w:rsid w:val="00BA56F1"/>
    <w:rsid w:val="00BA5ED7"/>
    <w:rsid w:val="00BB01B5"/>
    <w:rsid w:val="00BB01E3"/>
    <w:rsid w:val="00BB0E64"/>
    <w:rsid w:val="00BB3812"/>
    <w:rsid w:val="00BB48BA"/>
    <w:rsid w:val="00BB4EF8"/>
    <w:rsid w:val="00BB596A"/>
    <w:rsid w:val="00BB5ED7"/>
    <w:rsid w:val="00BB68CA"/>
    <w:rsid w:val="00BB72D1"/>
    <w:rsid w:val="00BC02F1"/>
    <w:rsid w:val="00BC327D"/>
    <w:rsid w:val="00BC37E4"/>
    <w:rsid w:val="00BC47B2"/>
    <w:rsid w:val="00BC5A6A"/>
    <w:rsid w:val="00BC5E1F"/>
    <w:rsid w:val="00BC6A8E"/>
    <w:rsid w:val="00BD0056"/>
    <w:rsid w:val="00BD1409"/>
    <w:rsid w:val="00BD154D"/>
    <w:rsid w:val="00BD18BF"/>
    <w:rsid w:val="00BD2C1C"/>
    <w:rsid w:val="00BD3E94"/>
    <w:rsid w:val="00BD4669"/>
    <w:rsid w:val="00BD5C9F"/>
    <w:rsid w:val="00BD650B"/>
    <w:rsid w:val="00BD6F7D"/>
    <w:rsid w:val="00BE0516"/>
    <w:rsid w:val="00BE26E1"/>
    <w:rsid w:val="00BE2E5A"/>
    <w:rsid w:val="00BE48DD"/>
    <w:rsid w:val="00BE59F7"/>
    <w:rsid w:val="00BE6B59"/>
    <w:rsid w:val="00BF02A7"/>
    <w:rsid w:val="00BF0C43"/>
    <w:rsid w:val="00BF1BCF"/>
    <w:rsid w:val="00BF223A"/>
    <w:rsid w:val="00BF229A"/>
    <w:rsid w:val="00BF2555"/>
    <w:rsid w:val="00BF3006"/>
    <w:rsid w:val="00BF3D8F"/>
    <w:rsid w:val="00BF4576"/>
    <w:rsid w:val="00BF509C"/>
    <w:rsid w:val="00BF52C2"/>
    <w:rsid w:val="00BF6667"/>
    <w:rsid w:val="00BF69E3"/>
    <w:rsid w:val="00BF6BCF"/>
    <w:rsid w:val="00BF7583"/>
    <w:rsid w:val="00BF79C8"/>
    <w:rsid w:val="00BF7A08"/>
    <w:rsid w:val="00C00961"/>
    <w:rsid w:val="00C00A71"/>
    <w:rsid w:val="00C01266"/>
    <w:rsid w:val="00C046D1"/>
    <w:rsid w:val="00C04A04"/>
    <w:rsid w:val="00C057A1"/>
    <w:rsid w:val="00C059E8"/>
    <w:rsid w:val="00C06811"/>
    <w:rsid w:val="00C10BC2"/>
    <w:rsid w:val="00C10C17"/>
    <w:rsid w:val="00C1240A"/>
    <w:rsid w:val="00C12E68"/>
    <w:rsid w:val="00C130B4"/>
    <w:rsid w:val="00C13697"/>
    <w:rsid w:val="00C14F17"/>
    <w:rsid w:val="00C16A04"/>
    <w:rsid w:val="00C179A0"/>
    <w:rsid w:val="00C179E0"/>
    <w:rsid w:val="00C2028E"/>
    <w:rsid w:val="00C208BB"/>
    <w:rsid w:val="00C21FFB"/>
    <w:rsid w:val="00C22687"/>
    <w:rsid w:val="00C22C15"/>
    <w:rsid w:val="00C23AA4"/>
    <w:rsid w:val="00C2577C"/>
    <w:rsid w:val="00C32A2F"/>
    <w:rsid w:val="00C32C12"/>
    <w:rsid w:val="00C33236"/>
    <w:rsid w:val="00C3327E"/>
    <w:rsid w:val="00C34B75"/>
    <w:rsid w:val="00C35DB6"/>
    <w:rsid w:val="00C37B67"/>
    <w:rsid w:val="00C37C8C"/>
    <w:rsid w:val="00C40577"/>
    <w:rsid w:val="00C406FB"/>
    <w:rsid w:val="00C40BE6"/>
    <w:rsid w:val="00C40C53"/>
    <w:rsid w:val="00C419BD"/>
    <w:rsid w:val="00C4253D"/>
    <w:rsid w:val="00C42E35"/>
    <w:rsid w:val="00C43F7C"/>
    <w:rsid w:val="00C44069"/>
    <w:rsid w:val="00C44F2E"/>
    <w:rsid w:val="00C45324"/>
    <w:rsid w:val="00C4553B"/>
    <w:rsid w:val="00C468F8"/>
    <w:rsid w:val="00C46A7A"/>
    <w:rsid w:val="00C47016"/>
    <w:rsid w:val="00C47178"/>
    <w:rsid w:val="00C47A9F"/>
    <w:rsid w:val="00C47BC1"/>
    <w:rsid w:val="00C500CB"/>
    <w:rsid w:val="00C501FA"/>
    <w:rsid w:val="00C5067A"/>
    <w:rsid w:val="00C50FAF"/>
    <w:rsid w:val="00C5242E"/>
    <w:rsid w:val="00C5255D"/>
    <w:rsid w:val="00C547A7"/>
    <w:rsid w:val="00C55A9F"/>
    <w:rsid w:val="00C563C3"/>
    <w:rsid w:val="00C569FD"/>
    <w:rsid w:val="00C57C8E"/>
    <w:rsid w:val="00C60421"/>
    <w:rsid w:val="00C612C1"/>
    <w:rsid w:val="00C61B69"/>
    <w:rsid w:val="00C625FC"/>
    <w:rsid w:val="00C62CE2"/>
    <w:rsid w:val="00C63509"/>
    <w:rsid w:val="00C63582"/>
    <w:rsid w:val="00C637F7"/>
    <w:rsid w:val="00C64957"/>
    <w:rsid w:val="00C6513E"/>
    <w:rsid w:val="00C66DA5"/>
    <w:rsid w:val="00C672F7"/>
    <w:rsid w:val="00C674DA"/>
    <w:rsid w:val="00C70256"/>
    <w:rsid w:val="00C70885"/>
    <w:rsid w:val="00C71DB3"/>
    <w:rsid w:val="00C71E8C"/>
    <w:rsid w:val="00C72702"/>
    <w:rsid w:val="00C7294D"/>
    <w:rsid w:val="00C7298B"/>
    <w:rsid w:val="00C73E91"/>
    <w:rsid w:val="00C74724"/>
    <w:rsid w:val="00C749BC"/>
    <w:rsid w:val="00C75F1F"/>
    <w:rsid w:val="00C776F0"/>
    <w:rsid w:val="00C77CF5"/>
    <w:rsid w:val="00C80E6F"/>
    <w:rsid w:val="00C82569"/>
    <w:rsid w:val="00C82D20"/>
    <w:rsid w:val="00C82E97"/>
    <w:rsid w:val="00C8685A"/>
    <w:rsid w:val="00C86A2F"/>
    <w:rsid w:val="00C877AD"/>
    <w:rsid w:val="00C87FBC"/>
    <w:rsid w:val="00C9025B"/>
    <w:rsid w:val="00C90494"/>
    <w:rsid w:val="00C91262"/>
    <w:rsid w:val="00C927E3"/>
    <w:rsid w:val="00C92990"/>
    <w:rsid w:val="00C93A87"/>
    <w:rsid w:val="00C9426C"/>
    <w:rsid w:val="00C9453E"/>
    <w:rsid w:val="00C95720"/>
    <w:rsid w:val="00C9664D"/>
    <w:rsid w:val="00C96A92"/>
    <w:rsid w:val="00CA18C2"/>
    <w:rsid w:val="00CA21B5"/>
    <w:rsid w:val="00CA2DB8"/>
    <w:rsid w:val="00CA3570"/>
    <w:rsid w:val="00CA4E87"/>
    <w:rsid w:val="00CA5847"/>
    <w:rsid w:val="00CA5A30"/>
    <w:rsid w:val="00CA5E39"/>
    <w:rsid w:val="00CA671C"/>
    <w:rsid w:val="00CA6BDB"/>
    <w:rsid w:val="00CA7F1B"/>
    <w:rsid w:val="00CB06C6"/>
    <w:rsid w:val="00CB0826"/>
    <w:rsid w:val="00CB2505"/>
    <w:rsid w:val="00CB2648"/>
    <w:rsid w:val="00CB30B9"/>
    <w:rsid w:val="00CB3328"/>
    <w:rsid w:val="00CB403B"/>
    <w:rsid w:val="00CB4611"/>
    <w:rsid w:val="00CB5EF1"/>
    <w:rsid w:val="00CB5FF2"/>
    <w:rsid w:val="00CB6397"/>
    <w:rsid w:val="00CB6521"/>
    <w:rsid w:val="00CB7413"/>
    <w:rsid w:val="00CB7650"/>
    <w:rsid w:val="00CC02A5"/>
    <w:rsid w:val="00CC0353"/>
    <w:rsid w:val="00CC0E06"/>
    <w:rsid w:val="00CC1E51"/>
    <w:rsid w:val="00CC22CE"/>
    <w:rsid w:val="00CC3CB0"/>
    <w:rsid w:val="00CC492A"/>
    <w:rsid w:val="00CC4A75"/>
    <w:rsid w:val="00CC5EFF"/>
    <w:rsid w:val="00CC63A1"/>
    <w:rsid w:val="00CC6E75"/>
    <w:rsid w:val="00CD0DB7"/>
    <w:rsid w:val="00CD1261"/>
    <w:rsid w:val="00CD1900"/>
    <w:rsid w:val="00CD1C85"/>
    <w:rsid w:val="00CD4817"/>
    <w:rsid w:val="00CD5FE8"/>
    <w:rsid w:val="00CD6223"/>
    <w:rsid w:val="00CD6AA8"/>
    <w:rsid w:val="00CD6C8C"/>
    <w:rsid w:val="00CE0538"/>
    <w:rsid w:val="00CE0858"/>
    <w:rsid w:val="00CE374D"/>
    <w:rsid w:val="00CE38B2"/>
    <w:rsid w:val="00CE4CD2"/>
    <w:rsid w:val="00CE4D2A"/>
    <w:rsid w:val="00CE54FF"/>
    <w:rsid w:val="00CE579B"/>
    <w:rsid w:val="00CE593A"/>
    <w:rsid w:val="00CE6029"/>
    <w:rsid w:val="00CE67E3"/>
    <w:rsid w:val="00CE6C58"/>
    <w:rsid w:val="00CE6EE7"/>
    <w:rsid w:val="00CE6F55"/>
    <w:rsid w:val="00CE7D62"/>
    <w:rsid w:val="00CF09A9"/>
    <w:rsid w:val="00CF176C"/>
    <w:rsid w:val="00CF2188"/>
    <w:rsid w:val="00CF2791"/>
    <w:rsid w:val="00CF2BE8"/>
    <w:rsid w:val="00CF2DB0"/>
    <w:rsid w:val="00CF31D5"/>
    <w:rsid w:val="00CF3866"/>
    <w:rsid w:val="00CF49D1"/>
    <w:rsid w:val="00CF57EB"/>
    <w:rsid w:val="00CF5EF5"/>
    <w:rsid w:val="00CF78DA"/>
    <w:rsid w:val="00CF7CFE"/>
    <w:rsid w:val="00D009A1"/>
    <w:rsid w:val="00D0118C"/>
    <w:rsid w:val="00D020D3"/>
    <w:rsid w:val="00D023A4"/>
    <w:rsid w:val="00D0353A"/>
    <w:rsid w:val="00D03A80"/>
    <w:rsid w:val="00D04B9C"/>
    <w:rsid w:val="00D05E38"/>
    <w:rsid w:val="00D05ED0"/>
    <w:rsid w:val="00D05F22"/>
    <w:rsid w:val="00D069C0"/>
    <w:rsid w:val="00D11330"/>
    <w:rsid w:val="00D11380"/>
    <w:rsid w:val="00D11A96"/>
    <w:rsid w:val="00D122AC"/>
    <w:rsid w:val="00D122E1"/>
    <w:rsid w:val="00D129B2"/>
    <w:rsid w:val="00D13225"/>
    <w:rsid w:val="00D15181"/>
    <w:rsid w:val="00D1611F"/>
    <w:rsid w:val="00D16489"/>
    <w:rsid w:val="00D16603"/>
    <w:rsid w:val="00D16C22"/>
    <w:rsid w:val="00D16C30"/>
    <w:rsid w:val="00D172C6"/>
    <w:rsid w:val="00D17F6F"/>
    <w:rsid w:val="00D22DFF"/>
    <w:rsid w:val="00D22E99"/>
    <w:rsid w:val="00D2608A"/>
    <w:rsid w:val="00D262D4"/>
    <w:rsid w:val="00D264B3"/>
    <w:rsid w:val="00D26803"/>
    <w:rsid w:val="00D2786F"/>
    <w:rsid w:val="00D3050B"/>
    <w:rsid w:val="00D316AA"/>
    <w:rsid w:val="00D31C4F"/>
    <w:rsid w:val="00D31DB6"/>
    <w:rsid w:val="00D31F6D"/>
    <w:rsid w:val="00D32051"/>
    <w:rsid w:val="00D3299B"/>
    <w:rsid w:val="00D32C7F"/>
    <w:rsid w:val="00D331A4"/>
    <w:rsid w:val="00D3320D"/>
    <w:rsid w:val="00D3337F"/>
    <w:rsid w:val="00D333A2"/>
    <w:rsid w:val="00D334D6"/>
    <w:rsid w:val="00D33859"/>
    <w:rsid w:val="00D34681"/>
    <w:rsid w:val="00D35252"/>
    <w:rsid w:val="00D3550A"/>
    <w:rsid w:val="00D35B4E"/>
    <w:rsid w:val="00D35BC0"/>
    <w:rsid w:val="00D35CD9"/>
    <w:rsid w:val="00D35DD6"/>
    <w:rsid w:val="00D37648"/>
    <w:rsid w:val="00D4004A"/>
    <w:rsid w:val="00D40645"/>
    <w:rsid w:val="00D40819"/>
    <w:rsid w:val="00D40DCE"/>
    <w:rsid w:val="00D41952"/>
    <w:rsid w:val="00D420D8"/>
    <w:rsid w:val="00D429C9"/>
    <w:rsid w:val="00D42BA2"/>
    <w:rsid w:val="00D42D7F"/>
    <w:rsid w:val="00D42FA5"/>
    <w:rsid w:val="00D45B21"/>
    <w:rsid w:val="00D462D5"/>
    <w:rsid w:val="00D47172"/>
    <w:rsid w:val="00D47571"/>
    <w:rsid w:val="00D477E1"/>
    <w:rsid w:val="00D478AE"/>
    <w:rsid w:val="00D506B5"/>
    <w:rsid w:val="00D50E1D"/>
    <w:rsid w:val="00D50EB2"/>
    <w:rsid w:val="00D53B54"/>
    <w:rsid w:val="00D54325"/>
    <w:rsid w:val="00D5582A"/>
    <w:rsid w:val="00D559E1"/>
    <w:rsid w:val="00D561E2"/>
    <w:rsid w:val="00D5630B"/>
    <w:rsid w:val="00D56AA3"/>
    <w:rsid w:val="00D60019"/>
    <w:rsid w:val="00D60B7B"/>
    <w:rsid w:val="00D60EE5"/>
    <w:rsid w:val="00D625A4"/>
    <w:rsid w:val="00D62BC3"/>
    <w:rsid w:val="00D64A00"/>
    <w:rsid w:val="00D64EE5"/>
    <w:rsid w:val="00D66DC0"/>
    <w:rsid w:val="00D67850"/>
    <w:rsid w:val="00D702CC"/>
    <w:rsid w:val="00D709CA"/>
    <w:rsid w:val="00D70D67"/>
    <w:rsid w:val="00D70FCE"/>
    <w:rsid w:val="00D71A66"/>
    <w:rsid w:val="00D7332E"/>
    <w:rsid w:val="00D73A31"/>
    <w:rsid w:val="00D73B96"/>
    <w:rsid w:val="00D76B8D"/>
    <w:rsid w:val="00D77399"/>
    <w:rsid w:val="00D80841"/>
    <w:rsid w:val="00D80AC8"/>
    <w:rsid w:val="00D81158"/>
    <w:rsid w:val="00D81273"/>
    <w:rsid w:val="00D82E4A"/>
    <w:rsid w:val="00D82F51"/>
    <w:rsid w:val="00D837C2"/>
    <w:rsid w:val="00D8494C"/>
    <w:rsid w:val="00D851D8"/>
    <w:rsid w:val="00D8666B"/>
    <w:rsid w:val="00D877D3"/>
    <w:rsid w:val="00D87912"/>
    <w:rsid w:val="00D87F6F"/>
    <w:rsid w:val="00D90529"/>
    <w:rsid w:val="00D91229"/>
    <w:rsid w:val="00D91A6A"/>
    <w:rsid w:val="00D91D6E"/>
    <w:rsid w:val="00D91DBB"/>
    <w:rsid w:val="00D9240B"/>
    <w:rsid w:val="00D925AB"/>
    <w:rsid w:val="00D92814"/>
    <w:rsid w:val="00D92913"/>
    <w:rsid w:val="00D937C0"/>
    <w:rsid w:val="00D95CC5"/>
    <w:rsid w:val="00D97A24"/>
    <w:rsid w:val="00D97FF2"/>
    <w:rsid w:val="00DA0B69"/>
    <w:rsid w:val="00DA1AD6"/>
    <w:rsid w:val="00DA2A72"/>
    <w:rsid w:val="00DA2ADD"/>
    <w:rsid w:val="00DA2DAD"/>
    <w:rsid w:val="00DA392F"/>
    <w:rsid w:val="00DA3CE7"/>
    <w:rsid w:val="00DA3EDE"/>
    <w:rsid w:val="00DA48C7"/>
    <w:rsid w:val="00DA6111"/>
    <w:rsid w:val="00DA6F4E"/>
    <w:rsid w:val="00DA75FF"/>
    <w:rsid w:val="00DB0233"/>
    <w:rsid w:val="00DB0CCF"/>
    <w:rsid w:val="00DB2469"/>
    <w:rsid w:val="00DB36B3"/>
    <w:rsid w:val="00DB3BF1"/>
    <w:rsid w:val="00DB4B19"/>
    <w:rsid w:val="00DB4D86"/>
    <w:rsid w:val="00DB5F3A"/>
    <w:rsid w:val="00DB60ED"/>
    <w:rsid w:val="00DB6D72"/>
    <w:rsid w:val="00DB707C"/>
    <w:rsid w:val="00DB7A38"/>
    <w:rsid w:val="00DC03F3"/>
    <w:rsid w:val="00DC13EF"/>
    <w:rsid w:val="00DC1914"/>
    <w:rsid w:val="00DC1F27"/>
    <w:rsid w:val="00DC31B8"/>
    <w:rsid w:val="00DC3E49"/>
    <w:rsid w:val="00DC41E4"/>
    <w:rsid w:val="00DC43CD"/>
    <w:rsid w:val="00DC4CE7"/>
    <w:rsid w:val="00DC5E12"/>
    <w:rsid w:val="00DC622F"/>
    <w:rsid w:val="00DC6252"/>
    <w:rsid w:val="00DC7DCC"/>
    <w:rsid w:val="00DC7F64"/>
    <w:rsid w:val="00DD06A7"/>
    <w:rsid w:val="00DD097C"/>
    <w:rsid w:val="00DD264F"/>
    <w:rsid w:val="00DD26DD"/>
    <w:rsid w:val="00DD4E01"/>
    <w:rsid w:val="00DD53C6"/>
    <w:rsid w:val="00DD6B3B"/>
    <w:rsid w:val="00DD75A2"/>
    <w:rsid w:val="00DD7DAD"/>
    <w:rsid w:val="00DE1018"/>
    <w:rsid w:val="00DE1997"/>
    <w:rsid w:val="00DE20F0"/>
    <w:rsid w:val="00DE22C8"/>
    <w:rsid w:val="00DE2C3C"/>
    <w:rsid w:val="00DE2F34"/>
    <w:rsid w:val="00DE36A1"/>
    <w:rsid w:val="00DE536D"/>
    <w:rsid w:val="00DE5A90"/>
    <w:rsid w:val="00DE6766"/>
    <w:rsid w:val="00DE7C2C"/>
    <w:rsid w:val="00DF0606"/>
    <w:rsid w:val="00DF0A9C"/>
    <w:rsid w:val="00DF1D22"/>
    <w:rsid w:val="00DF1F91"/>
    <w:rsid w:val="00DF3863"/>
    <w:rsid w:val="00DF436E"/>
    <w:rsid w:val="00DF585D"/>
    <w:rsid w:val="00DF5BEA"/>
    <w:rsid w:val="00DF6127"/>
    <w:rsid w:val="00DF6210"/>
    <w:rsid w:val="00DF639E"/>
    <w:rsid w:val="00DF657A"/>
    <w:rsid w:val="00DF74E1"/>
    <w:rsid w:val="00E0030E"/>
    <w:rsid w:val="00E01DEF"/>
    <w:rsid w:val="00E02051"/>
    <w:rsid w:val="00E050BA"/>
    <w:rsid w:val="00E06BD9"/>
    <w:rsid w:val="00E06CAC"/>
    <w:rsid w:val="00E07255"/>
    <w:rsid w:val="00E07753"/>
    <w:rsid w:val="00E07A92"/>
    <w:rsid w:val="00E10D39"/>
    <w:rsid w:val="00E11A32"/>
    <w:rsid w:val="00E1219B"/>
    <w:rsid w:val="00E1284B"/>
    <w:rsid w:val="00E12F42"/>
    <w:rsid w:val="00E14144"/>
    <w:rsid w:val="00E158E1"/>
    <w:rsid w:val="00E15F80"/>
    <w:rsid w:val="00E16B0E"/>
    <w:rsid w:val="00E206D1"/>
    <w:rsid w:val="00E22B34"/>
    <w:rsid w:val="00E22DF9"/>
    <w:rsid w:val="00E24594"/>
    <w:rsid w:val="00E24EF4"/>
    <w:rsid w:val="00E262B2"/>
    <w:rsid w:val="00E2630E"/>
    <w:rsid w:val="00E26C47"/>
    <w:rsid w:val="00E26C53"/>
    <w:rsid w:val="00E2772F"/>
    <w:rsid w:val="00E277E0"/>
    <w:rsid w:val="00E27BC7"/>
    <w:rsid w:val="00E305FF"/>
    <w:rsid w:val="00E31503"/>
    <w:rsid w:val="00E32EC7"/>
    <w:rsid w:val="00E33C91"/>
    <w:rsid w:val="00E33E45"/>
    <w:rsid w:val="00E33FF9"/>
    <w:rsid w:val="00E358DD"/>
    <w:rsid w:val="00E35F64"/>
    <w:rsid w:val="00E40225"/>
    <w:rsid w:val="00E41137"/>
    <w:rsid w:val="00E41521"/>
    <w:rsid w:val="00E425BF"/>
    <w:rsid w:val="00E426E9"/>
    <w:rsid w:val="00E4320F"/>
    <w:rsid w:val="00E43292"/>
    <w:rsid w:val="00E43480"/>
    <w:rsid w:val="00E4388D"/>
    <w:rsid w:val="00E43A82"/>
    <w:rsid w:val="00E4415C"/>
    <w:rsid w:val="00E4427E"/>
    <w:rsid w:val="00E44D2C"/>
    <w:rsid w:val="00E465FB"/>
    <w:rsid w:val="00E4736E"/>
    <w:rsid w:val="00E50015"/>
    <w:rsid w:val="00E5236E"/>
    <w:rsid w:val="00E53F1F"/>
    <w:rsid w:val="00E54505"/>
    <w:rsid w:val="00E561E2"/>
    <w:rsid w:val="00E56CA5"/>
    <w:rsid w:val="00E56DB7"/>
    <w:rsid w:val="00E572F6"/>
    <w:rsid w:val="00E57F02"/>
    <w:rsid w:val="00E60299"/>
    <w:rsid w:val="00E604F0"/>
    <w:rsid w:val="00E609F5"/>
    <w:rsid w:val="00E618FA"/>
    <w:rsid w:val="00E62265"/>
    <w:rsid w:val="00E622EC"/>
    <w:rsid w:val="00E62334"/>
    <w:rsid w:val="00E63ED0"/>
    <w:rsid w:val="00E642F1"/>
    <w:rsid w:val="00E64EA4"/>
    <w:rsid w:val="00E65764"/>
    <w:rsid w:val="00E65821"/>
    <w:rsid w:val="00E65CD8"/>
    <w:rsid w:val="00E65EFA"/>
    <w:rsid w:val="00E70345"/>
    <w:rsid w:val="00E704CB"/>
    <w:rsid w:val="00E70B1C"/>
    <w:rsid w:val="00E70CD2"/>
    <w:rsid w:val="00E7154B"/>
    <w:rsid w:val="00E71B26"/>
    <w:rsid w:val="00E724C0"/>
    <w:rsid w:val="00E7384E"/>
    <w:rsid w:val="00E7433A"/>
    <w:rsid w:val="00E745FA"/>
    <w:rsid w:val="00E74A91"/>
    <w:rsid w:val="00E76128"/>
    <w:rsid w:val="00E76426"/>
    <w:rsid w:val="00E76B2D"/>
    <w:rsid w:val="00E777CA"/>
    <w:rsid w:val="00E77922"/>
    <w:rsid w:val="00E81804"/>
    <w:rsid w:val="00E8251C"/>
    <w:rsid w:val="00E8303A"/>
    <w:rsid w:val="00E83273"/>
    <w:rsid w:val="00E838DF"/>
    <w:rsid w:val="00E83E37"/>
    <w:rsid w:val="00E83F09"/>
    <w:rsid w:val="00E84716"/>
    <w:rsid w:val="00E857CF"/>
    <w:rsid w:val="00E85B72"/>
    <w:rsid w:val="00E8633F"/>
    <w:rsid w:val="00E86370"/>
    <w:rsid w:val="00E86971"/>
    <w:rsid w:val="00E86A40"/>
    <w:rsid w:val="00E87272"/>
    <w:rsid w:val="00E8739D"/>
    <w:rsid w:val="00E877C1"/>
    <w:rsid w:val="00E91942"/>
    <w:rsid w:val="00E91B36"/>
    <w:rsid w:val="00E93819"/>
    <w:rsid w:val="00E9383A"/>
    <w:rsid w:val="00E94553"/>
    <w:rsid w:val="00E94BA6"/>
    <w:rsid w:val="00E96243"/>
    <w:rsid w:val="00E9682D"/>
    <w:rsid w:val="00E9721F"/>
    <w:rsid w:val="00E97E59"/>
    <w:rsid w:val="00EA0293"/>
    <w:rsid w:val="00EA0EAA"/>
    <w:rsid w:val="00EA0FF4"/>
    <w:rsid w:val="00EA1C73"/>
    <w:rsid w:val="00EA209E"/>
    <w:rsid w:val="00EA2DC6"/>
    <w:rsid w:val="00EA64DA"/>
    <w:rsid w:val="00EA77C7"/>
    <w:rsid w:val="00EB1086"/>
    <w:rsid w:val="00EB1795"/>
    <w:rsid w:val="00EB2857"/>
    <w:rsid w:val="00EB3390"/>
    <w:rsid w:val="00EB473C"/>
    <w:rsid w:val="00EB53F3"/>
    <w:rsid w:val="00EB569B"/>
    <w:rsid w:val="00EB5CCC"/>
    <w:rsid w:val="00EB60B0"/>
    <w:rsid w:val="00EB6314"/>
    <w:rsid w:val="00EB756F"/>
    <w:rsid w:val="00EB7C0F"/>
    <w:rsid w:val="00EC0CE7"/>
    <w:rsid w:val="00EC13E9"/>
    <w:rsid w:val="00EC1444"/>
    <w:rsid w:val="00EC1C42"/>
    <w:rsid w:val="00EC29D8"/>
    <w:rsid w:val="00EC3893"/>
    <w:rsid w:val="00EC45A3"/>
    <w:rsid w:val="00EC4A1B"/>
    <w:rsid w:val="00EC549E"/>
    <w:rsid w:val="00EC5B81"/>
    <w:rsid w:val="00EC7759"/>
    <w:rsid w:val="00ED0890"/>
    <w:rsid w:val="00ED0FD9"/>
    <w:rsid w:val="00ED1025"/>
    <w:rsid w:val="00ED19C6"/>
    <w:rsid w:val="00ED1D26"/>
    <w:rsid w:val="00ED3249"/>
    <w:rsid w:val="00ED3662"/>
    <w:rsid w:val="00ED41E4"/>
    <w:rsid w:val="00ED48DF"/>
    <w:rsid w:val="00ED522B"/>
    <w:rsid w:val="00ED52F6"/>
    <w:rsid w:val="00ED5C72"/>
    <w:rsid w:val="00EE0F64"/>
    <w:rsid w:val="00EE2629"/>
    <w:rsid w:val="00EE279A"/>
    <w:rsid w:val="00EE29A0"/>
    <w:rsid w:val="00EE3DD8"/>
    <w:rsid w:val="00EE3EF5"/>
    <w:rsid w:val="00EE4822"/>
    <w:rsid w:val="00EE60C5"/>
    <w:rsid w:val="00EE71B3"/>
    <w:rsid w:val="00EE738C"/>
    <w:rsid w:val="00EE7623"/>
    <w:rsid w:val="00EE79A8"/>
    <w:rsid w:val="00EF043F"/>
    <w:rsid w:val="00EF0482"/>
    <w:rsid w:val="00EF0797"/>
    <w:rsid w:val="00EF23E8"/>
    <w:rsid w:val="00EF32DD"/>
    <w:rsid w:val="00EF42B4"/>
    <w:rsid w:val="00EF4646"/>
    <w:rsid w:val="00EF4A2E"/>
    <w:rsid w:val="00EF4B50"/>
    <w:rsid w:val="00EF6407"/>
    <w:rsid w:val="00EF69BF"/>
    <w:rsid w:val="00EF6E9B"/>
    <w:rsid w:val="00F003BF"/>
    <w:rsid w:val="00F0249B"/>
    <w:rsid w:val="00F04457"/>
    <w:rsid w:val="00F07323"/>
    <w:rsid w:val="00F07E1A"/>
    <w:rsid w:val="00F07F9E"/>
    <w:rsid w:val="00F10DB3"/>
    <w:rsid w:val="00F11AFC"/>
    <w:rsid w:val="00F11B92"/>
    <w:rsid w:val="00F11CA2"/>
    <w:rsid w:val="00F11F60"/>
    <w:rsid w:val="00F11FDE"/>
    <w:rsid w:val="00F12CDA"/>
    <w:rsid w:val="00F12E7B"/>
    <w:rsid w:val="00F13078"/>
    <w:rsid w:val="00F132E0"/>
    <w:rsid w:val="00F13A55"/>
    <w:rsid w:val="00F14E03"/>
    <w:rsid w:val="00F1561D"/>
    <w:rsid w:val="00F214A8"/>
    <w:rsid w:val="00F21972"/>
    <w:rsid w:val="00F21CAB"/>
    <w:rsid w:val="00F23B9A"/>
    <w:rsid w:val="00F23C28"/>
    <w:rsid w:val="00F241C1"/>
    <w:rsid w:val="00F24C52"/>
    <w:rsid w:val="00F24EDD"/>
    <w:rsid w:val="00F25626"/>
    <w:rsid w:val="00F25C52"/>
    <w:rsid w:val="00F25F52"/>
    <w:rsid w:val="00F2623C"/>
    <w:rsid w:val="00F26E50"/>
    <w:rsid w:val="00F27777"/>
    <w:rsid w:val="00F301E6"/>
    <w:rsid w:val="00F30260"/>
    <w:rsid w:val="00F303EE"/>
    <w:rsid w:val="00F30817"/>
    <w:rsid w:val="00F317EB"/>
    <w:rsid w:val="00F31B76"/>
    <w:rsid w:val="00F3218F"/>
    <w:rsid w:val="00F32A9A"/>
    <w:rsid w:val="00F3348D"/>
    <w:rsid w:val="00F34CFF"/>
    <w:rsid w:val="00F356FC"/>
    <w:rsid w:val="00F363FD"/>
    <w:rsid w:val="00F36B02"/>
    <w:rsid w:val="00F40667"/>
    <w:rsid w:val="00F409C3"/>
    <w:rsid w:val="00F41152"/>
    <w:rsid w:val="00F41595"/>
    <w:rsid w:val="00F41820"/>
    <w:rsid w:val="00F4258B"/>
    <w:rsid w:val="00F425C6"/>
    <w:rsid w:val="00F4308B"/>
    <w:rsid w:val="00F4366E"/>
    <w:rsid w:val="00F43937"/>
    <w:rsid w:val="00F45109"/>
    <w:rsid w:val="00F45E5B"/>
    <w:rsid w:val="00F46722"/>
    <w:rsid w:val="00F47301"/>
    <w:rsid w:val="00F4788A"/>
    <w:rsid w:val="00F50D7A"/>
    <w:rsid w:val="00F51180"/>
    <w:rsid w:val="00F51433"/>
    <w:rsid w:val="00F517D7"/>
    <w:rsid w:val="00F52D0A"/>
    <w:rsid w:val="00F5355B"/>
    <w:rsid w:val="00F545EB"/>
    <w:rsid w:val="00F54AAB"/>
    <w:rsid w:val="00F54B47"/>
    <w:rsid w:val="00F54CF9"/>
    <w:rsid w:val="00F57516"/>
    <w:rsid w:val="00F62A2F"/>
    <w:rsid w:val="00F6370E"/>
    <w:rsid w:val="00F6396B"/>
    <w:rsid w:val="00F6434F"/>
    <w:rsid w:val="00F64E09"/>
    <w:rsid w:val="00F658E1"/>
    <w:rsid w:val="00F65F73"/>
    <w:rsid w:val="00F66165"/>
    <w:rsid w:val="00F66973"/>
    <w:rsid w:val="00F66A6D"/>
    <w:rsid w:val="00F67477"/>
    <w:rsid w:val="00F72890"/>
    <w:rsid w:val="00F72CB7"/>
    <w:rsid w:val="00F730E9"/>
    <w:rsid w:val="00F73A4A"/>
    <w:rsid w:val="00F73E8F"/>
    <w:rsid w:val="00F73EE7"/>
    <w:rsid w:val="00F741D3"/>
    <w:rsid w:val="00F75081"/>
    <w:rsid w:val="00F76892"/>
    <w:rsid w:val="00F801E9"/>
    <w:rsid w:val="00F80AC8"/>
    <w:rsid w:val="00F81F20"/>
    <w:rsid w:val="00F827B7"/>
    <w:rsid w:val="00F82833"/>
    <w:rsid w:val="00F82E7F"/>
    <w:rsid w:val="00F84BA6"/>
    <w:rsid w:val="00F8500B"/>
    <w:rsid w:val="00F86E88"/>
    <w:rsid w:val="00F90674"/>
    <w:rsid w:val="00F90EED"/>
    <w:rsid w:val="00F91EE4"/>
    <w:rsid w:val="00F927F5"/>
    <w:rsid w:val="00F92BE6"/>
    <w:rsid w:val="00F92FA0"/>
    <w:rsid w:val="00F93E57"/>
    <w:rsid w:val="00F93F61"/>
    <w:rsid w:val="00F95689"/>
    <w:rsid w:val="00F97066"/>
    <w:rsid w:val="00F971D8"/>
    <w:rsid w:val="00F974C3"/>
    <w:rsid w:val="00F97E95"/>
    <w:rsid w:val="00FA070A"/>
    <w:rsid w:val="00FA0CE5"/>
    <w:rsid w:val="00FA10A3"/>
    <w:rsid w:val="00FA1417"/>
    <w:rsid w:val="00FA1488"/>
    <w:rsid w:val="00FA173A"/>
    <w:rsid w:val="00FA2A3B"/>
    <w:rsid w:val="00FA45E3"/>
    <w:rsid w:val="00FA460B"/>
    <w:rsid w:val="00FA5C74"/>
    <w:rsid w:val="00FA6954"/>
    <w:rsid w:val="00FA7E82"/>
    <w:rsid w:val="00FB0097"/>
    <w:rsid w:val="00FB01AE"/>
    <w:rsid w:val="00FB04FA"/>
    <w:rsid w:val="00FB1011"/>
    <w:rsid w:val="00FB14A6"/>
    <w:rsid w:val="00FB18FA"/>
    <w:rsid w:val="00FB2195"/>
    <w:rsid w:val="00FB229D"/>
    <w:rsid w:val="00FB5AD5"/>
    <w:rsid w:val="00FB678A"/>
    <w:rsid w:val="00FC0044"/>
    <w:rsid w:val="00FC0B69"/>
    <w:rsid w:val="00FC1E60"/>
    <w:rsid w:val="00FC2214"/>
    <w:rsid w:val="00FC2330"/>
    <w:rsid w:val="00FC2FA4"/>
    <w:rsid w:val="00FC44A0"/>
    <w:rsid w:val="00FC4BA6"/>
    <w:rsid w:val="00FC6E93"/>
    <w:rsid w:val="00FC7020"/>
    <w:rsid w:val="00FC7657"/>
    <w:rsid w:val="00FD0CF6"/>
    <w:rsid w:val="00FD12E3"/>
    <w:rsid w:val="00FD2375"/>
    <w:rsid w:val="00FD3F4A"/>
    <w:rsid w:val="00FD61F3"/>
    <w:rsid w:val="00FD7BEA"/>
    <w:rsid w:val="00FD7EE5"/>
    <w:rsid w:val="00FE0B36"/>
    <w:rsid w:val="00FE1146"/>
    <w:rsid w:val="00FE38B9"/>
    <w:rsid w:val="00FE4FDE"/>
    <w:rsid w:val="00FE56E4"/>
    <w:rsid w:val="00FE617B"/>
    <w:rsid w:val="00FE699D"/>
    <w:rsid w:val="00FE6C2D"/>
    <w:rsid w:val="00FE75DE"/>
    <w:rsid w:val="00FF0215"/>
    <w:rsid w:val="00FF1BB4"/>
    <w:rsid w:val="00FF26F7"/>
    <w:rsid w:val="00FF2A42"/>
    <w:rsid w:val="00FF5660"/>
    <w:rsid w:val="00FF6524"/>
    <w:rsid w:val="00FF70B0"/>
    <w:rsid w:val="00FF72D4"/>
    <w:rsid w:val="00FF756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iPriority="10" w:unhideWhenUsed="0" w:qFormat="1"/>
    <w:lsdException w:name="Default Paragraph Font" w:uiPriority="1"/>
    <w:lsdException w:name="Body Text" w:uiPriority="0" w:qFormat="1"/>
    <w:lsdException w:name="List Continue" w:qFormat="1"/>
    <w:lsdException w:name="List Continue 2" w:qFormat="1"/>
    <w:lsdException w:name="List Continue 3"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BC6A8E"/>
  </w:style>
  <w:style w:type="paragraph" w:styleId="Heading1">
    <w:name w:val="heading 1"/>
    <w:basedOn w:val="Normal"/>
    <w:next w:val="Heading2"/>
    <w:link w:val="Heading1Char"/>
    <w:uiPriority w:val="9"/>
    <w:qFormat/>
    <w:rsid w:val="00097464"/>
    <w:pPr>
      <w:keepNext/>
      <w:keepLines/>
      <w:spacing w:after="480" w:line="600" w:lineRule="atLeast"/>
      <w:outlineLvl w:val="0"/>
    </w:pPr>
    <w:rPr>
      <w:rFonts w:asciiTheme="majorHAnsi" w:eastAsiaTheme="majorEastAsia" w:hAnsiTheme="majorHAnsi" w:cstheme="majorBidi"/>
      <w:b/>
      <w:bCs/>
      <w:i/>
      <w:sz w:val="56"/>
      <w:szCs w:val="28"/>
    </w:rPr>
  </w:style>
  <w:style w:type="paragraph" w:styleId="Heading2">
    <w:name w:val="heading 2"/>
    <w:basedOn w:val="Normal"/>
    <w:next w:val="BodyText"/>
    <w:link w:val="Heading2Char"/>
    <w:uiPriority w:val="9"/>
    <w:unhideWhenUsed/>
    <w:qFormat/>
    <w:rsid w:val="00097464"/>
    <w:pPr>
      <w:keepNext/>
      <w:keepLines/>
      <w:spacing w:after="40" w:line="240" w:lineRule="auto"/>
      <w:outlineLvl w:val="1"/>
    </w:pPr>
    <w:rPr>
      <w:rFonts w:asciiTheme="majorHAnsi" w:eastAsiaTheme="majorEastAsia" w:hAnsiTheme="majorHAnsi" w:cstheme="majorBidi"/>
      <w:b/>
      <w:bCs/>
      <w:i/>
      <w:color w:val="DC6900" w:themeColor="text2"/>
      <w:sz w:val="32"/>
      <w:szCs w:val="26"/>
    </w:rPr>
  </w:style>
  <w:style w:type="paragraph" w:styleId="Heading3">
    <w:name w:val="heading 3"/>
    <w:basedOn w:val="Normal"/>
    <w:next w:val="BodyText"/>
    <w:link w:val="Heading3Char"/>
    <w:uiPriority w:val="9"/>
    <w:unhideWhenUsed/>
    <w:qFormat/>
    <w:rsid w:val="00097464"/>
    <w:pPr>
      <w:keepNext/>
      <w:keepLines/>
      <w:spacing w:after="40" w:line="240" w:lineRule="auto"/>
      <w:outlineLvl w:val="2"/>
    </w:pPr>
    <w:rPr>
      <w:rFonts w:asciiTheme="majorHAnsi" w:eastAsiaTheme="majorEastAsia" w:hAnsiTheme="majorHAnsi" w:cstheme="majorBidi"/>
      <w:bCs/>
      <w:i/>
      <w:color w:val="DC6900" w:themeColor="text2"/>
      <w:sz w:val="32"/>
    </w:rPr>
  </w:style>
  <w:style w:type="paragraph" w:styleId="Heading4">
    <w:name w:val="heading 4"/>
    <w:basedOn w:val="Normal"/>
    <w:next w:val="BodyText"/>
    <w:link w:val="Heading4Char"/>
    <w:uiPriority w:val="9"/>
    <w:unhideWhenUsed/>
    <w:qFormat/>
    <w:rsid w:val="00097464"/>
    <w:pPr>
      <w:keepNext/>
      <w:keepLines/>
      <w:spacing w:after="40" w:line="240" w:lineRule="auto"/>
      <w:outlineLvl w:val="3"/>
    </w:pPr>
    <w:rPr>
      <w:rFonts w:asciiTheme="majorHAnsi" w:eastAsiaTheme="majorEastAsia" w:hAnsiTheme="majorHAnsi" w:cstheme="majorBidi"/>
      <w:bCs/>
      <w:iCs/>
      <w:color w:val="DC6900" w:themeColor="text2"/>
      <w:sz w:val="32"/>
    </w:rPr>
  </w:style>
  <w:style w:type="paragraph" w:styleId="Heading5">
    <w:name w:val="heading 5"/>
    <w:basedOn w:val="Normal"/>
    <w:next w:val="BodyText"/>
    <w:link w:val="Heading5Char"/>
    <w:uiPriority w:val="9"/>
    <w:unhideWhenUsed/>
    <w:qFormat/>
    <w:rsid w:val="00097464"/>
    <w:pPr>
      <w:keepNext/>
      <w:keepLines/>
      <w:spacing w:after="40" w:line="240" w:lineRule="auto"/>
      <w:outlineLvl w:val="4"/>
    </w:pPr>
    <w:rPr>
      <w:rFonts w:asciiTheme="majorHAnsi" w:eastAsiaTheme="majorEastAsia" w:hAnsiTheme="majorHAnsi" w:cstheme="majorBidi"/>
      <w:color w:val="DC6900" w:themeColor="text2"/>
    </w:rPr>
  </w:style>
  <w:style w:type="paragraph" w:styleId="Heading6">
    <w:name w:val="heading 6"/>
    <w:basedOn w:val="Normal"/>
    <w:next w:val="Normal"/>
    <w:link w:val="Heading6Char"/>
    <w:uiPriority w:val="9"/>
    <w:semiHidden/>
    <w:unhideWhenUsed/>
    <w:qFormat/>
    <w:rsid w:val="00097464"/>
    <w:pPr>
      <w:keepNext/>
      <w:keepLines/>
      <w:spacing w:after="40" w:line="240" w:lineRule="auto"/>
      <w:outlineLvl w:val="5"/>
    </w:pPr>
    <w:rPr>
      <w:rFonts w:asciiTheme="majorHAnsi" w:eastAsiaTheme="majorEastAsia" w:hAnsiTheme="majorHAnsi" w:cstheme="majorBidi"/>
      <w:iCs/>
      <w:color w:val="DC6900" w:themeColor="text2"/>
    </w:rPr>
  </w:style>
  <w:style w:type="paragraph" w:styleId="Heading7">
    <w:name w:val="heading 7"/>
    <w:basedOn w:val="Normal"/>
    <w:next w:val="Normal"/>
    <w:link w:val="Heading7Char"/>
    <w:uiPriority w:val="9"/>
    <w:semiHidden/>
    <w:unhideWhenUsed/>
    <w:qFormat/>
    <w:rsid w:val="00097464"/>
    <w:pPr>
      <w:keepNext/>
      <w:keepLines/>
      <w:spacing w:after="40" w:line="240" w:lineRule="auto"/>
      <w:outlineLvl w:val="6"/>
    </w:pPr>
    <w:rPr>
      <w:rFonts w:asciiTheme="majorHAnsi" w:eastAsiaTheme="majorEastAsia" w:hAnsiTheme="majorHAnsi" w:cstheme="majorBidi"/>
      <w:iCs/>
      <w:color w:val="DC6900" w:themeColor="text2"/>
    </w:rPr>
  </w:style>
  <w:style w:type="paragraph" w:styleId="Heading8">
    <w:name w:val="heading 8"/>
    <w:basedOn w:val="Normal"/>
    <w:next w:val="Normal"/>
    <w:link w:val="Heading8Char"/>
    <w:uiPriority w:val="9"/>
    <w:semiHidden/>
    <w:unhideWhenUsed/>
    <w:qFormat/>
    <w:rsid w:val="00097464"/>
    <w:pPr>
      <w:keepNext/>
      <w:keepLines/>
      <w:spacing w:after="40" w:line="240" w:lineRule="auto"/>
      <w:outlineLvl w:val="7"/>
    </w:pPr>
    <w:rPr>
      <w:rFonts w:asciiTheme="majorHAnsi" w:eastAsiaTheme="majorEastAsia" w:hAnsiTheme="majorHAnsi" w:cstheme="majorBidi"/>
      <w:color w:val="DC6900" w:themeColor="text2"/>
    </w:rPr>
  </w:style>
  <w:style w:type="paragraph" w:styleId="Heading9">
    <w:name w:val="heading 9"/>
    <w:basedOn w:val="Normal"/>
    <w:next w:val="Normal"/>
    <w:link w:val="Heading9Char"/>
    <w:uiPriority w:val="9"/>
    <w:semiHidden/>
    <w:unhideWhenUsed/>
    <w:qFormat/>
    <w:rsid w:val="00097464"/>
    <w:pPr>
      <w:keepNext/>
      <w:keepLines/>
      <w:spacing w:after="40" w:line="240" w:lineRule="auto"/>
      <w:outlineLvl w:val="8"/>
    </w:pPr>
    <w:rPr>
      <w:rFonts w:asciiTheme="majorHAnsi" w:eastAsiaTheme="majorEastAsia" w:hAnsiTheme="majorHAnsi" w:cstheme="majorBidi"/>
      <w:iCs/>
      <w:color w:val="DC69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097464"/>
  </w:style>
  <w:style w:type="character" w:customStyle="1" w:styleId="BodyTextChar">
    <w:name w:val="Body Text Char"/>
    <w:basedOn w:val="DefaultParagraphFont"/>
    <w:link w:val="BodyText"/>
    <w:rsid w:val="00097464"/>
  </w:style>
  <w:style w:type="paragraph" w:customStyle="1" w:styleId="BodySingle">
    <w:name w:val="Body Single"/>
    <w:basedOn w:val="BodyText"/>
    <w:link w:val="BodySingleChar"/>
    <w:uiPriority w:val="1"/>
    <w:qFormat/>
    <w:rsid w:val="00097464"/>
    <w:pPr>
      <w:spacing w:after="0"/>
    </w:pPr>
  </w:style>
  <w:style w:type="paragraph" w:styleId="Header">
    <w:name w:val="header"/>
    <w:basedOn w:val="Normal"/>
    <w:link w:val="HeaderChar"/>
    <w:uiPriority w:val="99"/>
    <w:unhideWhenUsed/>
    <w:rsid w:val="00097464"/>
    <w:pPr>
      <w:spacing w:after="0" w:line="240" w:lineRule="auto"/>
    </w:pPr>
    <w:rPr>
      <w:rFonts w:asciiTheme="minorHAnsi" w:hAnsiTheme="minorHAnsi"/>
      <w:sz w:val="19"/>
    </w:rPr>
  </w:style>
  <w:style w:type="character" w:customStyle="1" w:styleId="BodySingleChar">
    <w:name w:val="Body Single Char"/>
    <w:basedOn w:val="BodyTextChar"/>
    <w:link w:val="BodySingle"/>
    <w:uiPriority w:val="1"/>
    <w:rsid w:val="00097464"/>
  </w:style>
  <w:style w:type="character" w:customStyle="1" w:styleId="HeaderChar">
    <w:name w:val="Header Char"/>
    <w:basedOn w:val="DefaultParagraphFont"/>
    <w:link w:val="Header"/>
    <w:uiPriority w:val="99"/>
    <w:rsid w:val="00097464"/>
    <w:rPr>
      <w:rFonts w:asciiTheme="minorHAnsi" w:hAnsiTheme="minorHAnsi"/>
      <w:sz w:val="19"/>
    </w:rPr>
  </w:style>
  <w:style w:type="paragraph" w:styleId="Footer">
    <w:name w:val="footer"/>
    <w:basedOn w:val="Normal"/>
    <w:link w:val="FooterChar"/>
    <w:uiPriority w:val="99"/>
    <w:unhideWhenUsed/>
    <w:rsid w:val="00097464"/>
    <w:pPr>
      <w:spacing w:after="0" w:line="240" w:lineRule="auto"/>
    </w:pPr>
    <w:rPr>
      <w:rFonts w:asciiTheme="minorHAnsi" w:hAnsiTheme="minorHAnsi"/>
      <w:sz w:val="19"/>
    </w:rPr>
  </w:style>
  <w:style w:type="character" w:customStyle="1" w:styleId="FooterChar">
    <w:name w:val="Footer Char"/>
    <w:basedOn w:val="DefaultParagraphFont"/>
    <w:link w:val="Footer"/>
    <w:uiPriority w:val="99"/>
    <w:rsid w:val="00097464"/>
    <w:rPr>
      <w:rFonts w:asciiTheme="minorHAnsi" w:hAnsiTheme="minorHAnsi"/>
      <w:sz w:val="19"/>
    </w:rPr>
  </w:style>
  <w:style w:type="character" w:customStyle="1" w:styleId="Heading1Char">
    <w:name w:val="Heading 1 Char"/>
    <w:basedOn w:val="DefaultParagraphFont"/>
    <w:link w:val="Heading1"/>
    <w:uiPriority w:val="9"/>
    <w:rsid w:val="00097464"/>
    <w:rPr>
      <w:rFonts w:asciiTheme="majorHAnsi" w:eastAsiaTheme="majorEastAsia" w:hAnsiTheme="majorHAnsi" w:cstheme="majorBidi"/>
      <w:b/>
      <w:bCs/>
      <w:i/>
      <w:sz w:val="56"/>
      <w:szCs w:val="28"/>
    </w:rPr>
  </w:style>
  <w:style w:type="character" w:customStyle="1" w:styleId="Heading2Char">
    <w:name w:val="Heading 2 Char"/>
    <w:basedOn w:val="DefaultParagraphFont"/>
    <w:link w:val="Heading2"/>
    <w:uiPriority w:val="9"/>
    <w:rsid w:val="00097464"/>
    <w:rPr>
      <w:rFonts w:asciiTheme="majorHAnsi" w:eastAsiaTheme="majorEastAsia" w:hAnsiTheme="majorHAnsi" w:cstheme="majorBidi"/>
      <w:b/>
      <w:bCs/>
      <w:i/>
      <w:color w:val="DC6900" w:themeColor="text2"/>
      <w:sz w:val="32"/>
      <w:szCs w:val="26"/>
    </w:rPr>
  </w:style>
  <w:style w:type="character" w:customStyle="1" w:styleId="Heading3Char">
    <w:name w:val="Heading 3 Char"/>
    <w:basedOn w:val="DefaultParagraphFont"/>
    <w:link w:val="Heading3"/>
    <w:uiPriority w:val="9"/>
    <w:rsid w:val="00097464"/>
    <w:rPr>
      <w:rFonts w:asciiTheme="majorHAnsi" w:eastAsiaTheme="majorEastAsia" w:hAnsiTheme="majorHAnsi" w:cstheme="majorBidi"/>
      <w:bCs/>
      <w:i/>
      <w:color w:val="DC6900" w:themeColor="text2"/>
      <w:sz w:val="32"/>
    </w:rPr>
  </w:style>
  <w:style w:type="character" w:customStyle="1" w:styleId="Heading4Char">
    <w:name w:val="Heading 4 Char"/>
    <w:basedOn w:val="DefaultParagraphFont"/>
    <w:link w:val="Heading4"/>
    <w:uiPriority w:val="9"/>
    <w:rsid w:val="00097464"/>
    <w:rPr>
      <w:rFonts w:asciiTheme="majorHAnsi" w:eastAsiaTheme="majorEastAsia" w:hAnsiTheme="majorHAnsi" w:cstheme="majorBidi"/>
      <w:bCs/>
      <w:iCs/>
      <w:color w:val="DC6900" w:themeColor="text2"/>
      <w:sz w:val="32"/>
    </w:rPr>
  </w:style>
  <w:style w:type="character" w:customStyle="1" w:styleId="Heading5Char">
    <w:name w:val="Heading 5 Char"/>
    <w:basedOn w:val="DefaultParagraphFont"/>
    <w:link w:val="Heading5"/>
    <w:uiPriority w:val="9"/>
    <w:rsid w:val="00097464"/>
    <w:rPr>
      <w:rFonts w:asciiTheme="majorHAnsi" w:eastAsiaTheme="majorEastAsia" w:hAnsiTheme="majorHAnsi" w:cstheme="majorBidi"/>
      <w:color w:val="DC6900" w:themeColor="text2"/>
    </w:rPr>
  </w:style>
  <w:style w:type="paragraph" w:styleId="Title">
    <w:name w:val="Title"/>
    <w:basedOn w:val="Normal"/>
    <w:next w:val="Subtitle"/>
    <w:link w:val="TitleChar"/>
    <w:uiPriority w:val="10"/>
    <w:qFormat/>
    <w:rsid w:val="00097464"/>
    <w:pPr>
      <w:spacing w:after="0" w:line="240" w:lineRule="auto"/>
      <w:contextualSpacing/>
    </w:pPr>
    <w:rPr>
      <w:rFonts w:asciiTheme="majorHAnsi" w:eastAsiaTheme="majorEastAsia" w:hAnsiTheme="majorHAnsi" w:cstheme="majorBidi"/>
      <w:b/>
      <w:i/>
      <w:spacing w:val="5"/>
      <w:kern w:val="28"/>
      <w:sz w:val="80"/>
      <w:szCs w:val="52"/>
    </w:rPr>
  </w:style>
  <w:style w:type="character" w:customStyle="1" w:styleId="TitleChar">
    <w:name w:val="Title Char"/>
    <w:basedOn w:val="DefaultParagraphFont"/>
    <w:link w:val="Title"/>
    <w:uiPriority w:val="10"/>
    <w:rsid w:val="00097464"/>
    <w:rPr>
      <w:rFonts w:asciiTheme="majorHAnsi" w:eastAsiaTheme="majorEastAsia" w:hAnsiTheme="majorHAnsi" w:cstheme="majorBidi"/>
      <w:b/>
      <w:i/>
      <w:spacing w:val="5"/>
      <w:kern w:val="28"/>
      <w:sz w:val="80"/>
      <w:szCs w:val="52"/>
    </w:rPr>
  </w:style>
  <w:style w:type="paragraph" w:styleId="TOCHeading">
    <w:name w:val="TOC Heading"/>
    <w:basedOn w:val="Heading1"/>
    <w:next w:val="Normal"/>
    <w:uiPriority w:val="39"/>
    <w:unhideWhenUsed/>
    <w:qFormat/>
    <w:rsid w:val="00097464"/>
    <w:pPr>
      <w:outlineLvl w:val="9"/>
    </w:pPr>
    <w:rPr>
      <w:lang w:val="en-US"/>
    </w:rPr>
  </w:style>
  <w:style w:type="paragraph" w:styleId="Subtitle">
    <w:name w:val="Subtitle"/>
    <w:basedOn w:val="Normal"/>
    <w:next w:val="Normal"/>
    <w:link w:val="SubtitleChar"/>
    <w:uiPriority w:val="11"/>
    <w:qFormat/>
    <w:rsid w:val="00097464"/>
    <w:pPr>
      <w:numPr>
        <w:ilvl w:val="1"/>
      </w:numPr>
      <w:spacing w:after="1200" w:line="240" w:lineRule="auto"/>
    </w:pPr>
    <w:rPr>
      <w:rFonts w:asciiTheme="majorHAnsi" w:eastAsiaTheme="majorEastAsia" w:hAnsiTheme="majorHAnsi" w:cstheme="majorBidi"/>
      <w:iCs/>
      <w:spacing w:val="15"/>
      <w:sz w:val="80"/>
      <w:szCs w:val="24"/>
    </w:rPr>
  </w:style>
  <w:style w:type="character" w:customStyle="1" w:styleId="SubtitleChar">
    <w:name w:val="Subtitle Char"/>
    <w:basedOn w:val="DefaultParagraphFont"/>
    <w:link w:val="Subtitle"/>
    <w:uiPriority w:val="11"/>
    <w:rsid w:val="00097464"/>
    <w:rPr>
      <w:rFonts w:asciiTheme="majorHAnsi" w:eastAsiaTheme="majorEastAsia" w:hAnsiTheme="majorHAnsi" w:cstheme="majorBidi"/>
      <w:iCs/>
      <w:spacing w:val="15"/>
      <w:sz w:val="80"/>
      <w:szCs w:val="24"/>
    </w:rPr>
  </w:style>
  <w:style w:type="paragraph" w:styleId="TOC1">
    <w:name w:val="toc 1"/>
    <w:basedOn w:val="Normal"/>
    <w:next w:val="Normal"/>
    <w:autoRedefine/>
    <w:uiPriority w:val="39"/>
    <w:unhideWhenUsed/>
    <w:rsid w:val="00097464"/>
    <w:pPr>
      <w:pBdr>
        <w:top w:val="single" w:sz="8" w:space="4" w:color="DC6900" w:themeColor="text2"/>
      </w:pBdr>
      <w:spacing w:before="120" w:after="120"/>
      <w:ind w:left="284" w:hanging="284"/>
    </w:pPr>
  </w:style>
  <w:style w:type="paragraph" w:styleId="TOC2">
    <w:name w:val="toc 2"/>
    <w:basedOn w:val="Normal"/>
    <w:next w:val="Normal"/>
    <w:autoRedefine/>
    <w:uiPriority w:val="39"/>
    <w:unhideWhenUsed/>
    <w:rsid w:val="008A5C6E"/>
    <w:pPr>
      <w:pBdr>
        <w:top w:val="dotted" w:sz="8" w:space="4" w:color="DC6900" w:themeColor="text2"/>
      </w:pBdr>
      <w:tabs>
        <w:tab w:val="left" w:pos="568"/>
        <w:tab w:val="right" w:pos="9854"/>
      </w:tabs>
      <w:spacing w:before="120" w:after="120"/>
      <w:ind w:left="567" w:hanging="567"/>
    </w:pPr>
  </w:style>
  <w:style w:type="paragraph" w:styleId="TOC3">
    <w:name w:val="toc 3"/>
    <w:basedOn w:val="Normal"/>
    <w:next w:val="Normal"/>
    <w:autoRedefine/>
    <w:uiPriority w:val="39"/>
    <w:unhideWhenUsed/>
    <w:rsid w:val="00097464"/>
    <w:pPr>
      <w:spacing w:before="120" w:after="120"/>
      <w:ind w:left="568" w:hanging="284"/>
    </w:pPr>
  </w:style>
  <w:style w:type="character" w:styleId="Hyperlink">
    <w:name w:val="Hyperlink"/>
    <w:basedOn w:val="DefaultParagraphFont"/>
    <w:uiPriority w:val="99"/>
    <w:unhideWhenUsed/>
    <w:rsid w:val="00097464"/>
    <w:rPr>
      <w:color w:val="DC6900" w:themeColor="hyperlink"/>
      <w:u w:val="single"/>
    </w:rPr>
  </w:style>
  <w:style w:type="paragraph" w:styleId="BalloonText">
    <w:name w:val="Balloon Text"/>
    <w:basedOn w:val="Normal"/>
    <w:link w:val="BalloonTextChar"/>
    <w:uiPriority w:val="99"/>
    <w:semiHidden/>
    <w:unhideWhenUsed/>
    <w:rsid w:val="00097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464"/>
    <w:rPr>
      <w:rFonts w:ascii="Tahoma" w:hAnsi="Tahoma" w:cs="Tahoma"/>
      <w:sz w:val="16"/>
      <w:szCs w:val="16"/>
    </w:rPr>
  </w:style>
  <w:style w:type="paragraph" w:styleId="ListBullet">
    <w:name w:val="List Bullet"/>
    <w:basedOn w:val="Normal"/>
    <w:uiPriority w:val="13"/>
    <w:unhideWhenUsed/>
    <w:qFormat/>
    <w:rsid w:val="00097464"/>
    <w:pPr>
      <w:numPr>
        <w:numId w:val="4"/>
      </w:numPr>
      <w:contextualSpacing/>
    </w:pPr>
  </w:style>
  <w:style w:type="numbering" w:customStyle="1" w:styleId="PwCListBullets1">
    <w:name w:val="PwC List Bullets 1"/>
    <w:uiPriority w:val="99"/>
    <w:rsid w:val="00097464"/>
    <w:pPr>
      <w:numPr>
        <w:numId w:val="1"/>
      </w:numPr>
    </w:pPr>
  </w:style>
  <w:style w:type="numbering" w:customStyle="1" w:styleId="PwCListNumbers1">
    <w:name w:val="PwC List Numbers 1"/>
    <w:uiPriority w:val="99"/>
    <w:rsid w:val="00097464"/>
    <w:pPr>
      <w:numPr>
        <w:numId w:val="2"/>
      </w:numPr>
    </w:pPr>
  </w:style>
  <w:style w:type="paragraph" w:styleId="ListNumber">
    <w:name w:val="List Number"/>
    <w:basedOn w:val="Normal"/>
    <w:uiPriority w:val="13"/>
    <w:unhideWhenUsed/>
    <w:qFormat/>
    <w:rsid w:val="00097464"/>
    <w:pPr>
      <w:numPr>
        <w:numId w:val="3"/>
      </w:numPr>
      <w:contextualSpacing/>
    </w:pPr>
  </w:style>
  <w:style w:type="paragraph" w:styleId="ListBullet2">
    <w:name w:val="List Bullet 2"/>
    <w:basedOn w:val="Normal"/>
    <w:uiPriority w:val="13"/>
    <w:unhideWhenUsed/>
    <w:qFormat/>
    <w:rsid w:val="00097464"/>
    <w:pPr>
      <w:numPr>
        <w:ilvl w:val="1"/>
        <w:numId w:val="4"/>
      </w:numPr>
      <w:contextualSpacing/>
    </w:pPr>
  </w:style>
  <w:style w:type="paragraph" w:styleId="ListBullet3">
    <w:name w:val="List Bullet 3"/>
    <w:basedOn w:val="Normal"/>
    <w:uiPriority w:val="13"/>
    <w:unhideWhenUsed/>
    <w:qFormat/>
    <w:rsid w:val="00097464"/>
    <w:pPr>
      <w:numPr>
        <w:ilvl w:val="2"/>
        <w:numId w:val="4"/>
      </w:numPr>
      <w:contextualSpacing/>
    </w:pPr>
  </w:style>
  <w:style w:type="paragraph" w:styleId="ListBullet4">
    <w:name w:val="List Bullet 4"/>
    <w:basedOn w:val="Normal"/>
    <w:uiPriority w:val="13"/>
    <w:unhideWhenUsed/>
    <w:rsid w:val="00097464"/>
    <w:pPr>
      <w:numPr>
        <w:ilvl w:val="3"/>
        <w:numId w:val="4"/>
      </w:numPr>
      <w:contextualSpacing/>
    </w:pPr>
  </w:style>
  <w:style w:type="paragraph" w:styleId="ListBullet5">
    <w:name w:val="List Bullet 5"/>
    <w:basedOn w:val="Normal"/>
    <w:uiPriority w:val="13"/>
    <w:unhideWhenUsed/>
    <w:rsid w:val="00097464"/>
    <w:pPr>
      <w:numPr>
        <w:ilvl w:val="4"/>
        <w:numId w:val="4"/>
      </w:numPr>
      <w:contextualSpacing/>
    </w:pPr>
  </w:style>
  <w:style w:type="paragraph" w:styleId="ListNumber2">
    <w:name w:val="List Number 2"/>
    <w:basedOn w:val="Normal"/>
    <w:uiPriority w:val="13"/>
    <w:unhideWhenUsed/>
    <w:qFormat/>
    <w:rsid w:val="00097464"/>
    <w:pPr>
      <w:numPr>
        <w:ilvl w:val="1"/>
        <w:numId w:val="3"/>
      </w:numPr>
      <w:contextualSpacing/>
    </w:pPr>
  </w:style>
  <w:style w:type="paragraph" w:styleId="ListNumber3">
    <w:name w:val="List Number 3"/>
    <w:basedOn w:val="Normal"/>
    <w:uiPriority w:val="13"/>
    <w:unhideWhenUsed/>
    <w:qFormat/>
    <w:rsid w:val="00097464"/>
    <w:pPr>
      <w:numPr>
        <w:ilvl w:val="2"/>
        <w:numId w:val="3"/>
      </w:numPr>
      <w:contextualSpacing/>
    </w:pPr>
  </w:style>
  <w:style w:type="paragraph" w:styleId="ListNumber4">
    <w:name w:val="List Number 4"/>
    <w:basedOn w:val="Normal"/>
    <w:uiPriority w:val="13"/>
    <w:unhideWhenUsed/>
    <w:rsid w:val="00097464"/>
    <w:pPr>
      <w:numPr>
        <w:ilvl w:val="3"/>
        <w:numId w:val="3"/>
      </w:numPr>
      <w:contextualSpacing/>
    </w:pPr>
  </w:style>
  <w:style w:type="paragraph" w:styleId="ListNumber5">
    <w:name w:val="List Number 5"/>
    <w:basedOn w:val="Normal"/>
    <w:uiPriority w:val="13"/>
    <w:unhideWhenUsed/>
    <w:rsid w:val="00097464"/>
    <w:pPr>
      <w:numPr>
        <w:ilvl w:val="4"/>
        <w:numId w:val="3"/>
      </w:numPr>
      <w:contextualSpacing/>
    </w:pPr>
  </w:style>
  <w:style w:type="paragraph" w:styleId="List">
    <w:name w:val="List"/>
    <w:basedOn w:val="Normal"/>
    <w:uiPriority w:val="99"/>
    <w:semiHidden/>
    <w:unhideWhenUsed/>
    <w:rsid w:val="00097464"/>
    <w:pPr>
      <w:ind w:left="567" w:hanging="567"/>
      <w:contextualSpacing/>
    </w:pPr>
  </w:style>
  <w:style w:type="paragraph" w:styleId="List2">
    <w:name w:val="List 2"/>
    <w:basedOn w:val="Normal"/>
    <w:uiPriority w:val="99"/>
    <w:semiHidden/>
    <w:unhideWhenUsed/>
    <w:rsid w:val="00097464"/>
    <w:pPr>
      <w:ind w:left="1134" w:hanging="567"/>
      <w:contextualSpacing/>
    </w:pPr>
  </w:style>
  <w:style w:type="paragraph" w:styleId="ListContinue">
    <w:name w:val="List Continue"/>
    <w:basedOn w:val="Normal"/>
    <w:uiPriority w:val="14"/>
    <w:unhideWhenUsed/>
    <w:qFormat/>
    <w:rsid w:val="00097464"/>
    <w:pPr>
      <w:spacing w:after="120"/>
      <w:ind w:left="567"/>
      <w:contextualSpacing/>
    </w:pPr>
  </w:style>
  <w:style w:type="paragraph" w:styleId="ListContinue2">
    <w:name w:val="List Continue 2"/>
    <w:basedOn w:val="Normal"/>
    <w:uiPriority w:val="14"/>
    <w:unhideWhenUsed/>
    <w:qFormat/>
    <w:rsid w:val="00097464"/>
    <w:pPr>
      <w:spacing w:after="120"/>
      <w:ind w:left="1134"/>
      <w:contextualSpacing/>
    </w:pPr>
  </w:style>
  <w:style w:type="paragraph" w:styleId="ListContinue3">
    <w:name w:val="List Continue 3"/>
    <w:basedOn w:val="Normal"/>
    <w:uiPriority w:val="14"/>
    <w:unhideWhenUsed/>
    <w:qFormat/>
    <w:rsid w:val="00097464"/>
    <w:pPr>
      <w:spacing w:after="120"/>
      <w:ind w:left="1701"/>
      <w:contextualSpacing/>
    </w:pPr>
  </w:style>
  <w:style w:type="paragraph" w:styleId="ListContinue4">
    <w:name w:val="List Continue 4"/>
    <w:basedOn w:val="Normal"/>
    <w:uiPriority w:val="14"/>
    <w:semiHidden/>
    <w:unhideWhenUsed/>
    <w:rsid w:val="00097464"/>
    <w:pPr>
      <w:spacing w:after="120"/>
      <w:ind w:left="2268"/>
      <w:contextualSpacing/>
    </w:pPr>
  </w:style>
  <w:style w:type="paragraph" w:styleId="ListContinue5">
    <w:name w:val="List Continue 5"/>
    <w:basedOn w:val="Normal"/>
    <w:uiPriority w:val="14"/>
    <w:semiHidden/>
    <w:unhideWhenUsed/>
    <w:rsid w:val="00097464"/>
    <w:pPr>
      <w:spacing w:after="120"/>
      <w:ind w:left="2835"/>
      <w:contextualSpacing/>
    </w:pPr>
  </w:style>
  <w:style w:type="paragraph" w:styleId="List3">
    <w:name w:val="List 3"/>
    <w:basedOn w:val="Normal"/>
    <w:uiPriority w:val="99"/>
    <w:semiHidden/>
    <w:unhideWhenUsed/>
    <w:rsid w:val="00097464"/>
    <w:pPr>
      <w:ind w:left="1701" w:hanging="567"/>
      <w:contextualSpacing/>
    </w:pPr>
  </w:style>
  <w:style w:type="paragraph" w:styleId="List4">
    <w:name w:val="List 4"/>
    <w:basedOn w:val="Normal"/>
    <w:uiPriority w:val="99"/>
    <w:semiHidden/>
    <w:unhideWhenUsed/>
    <w:rsid w:val="00097464"/>
    <w:pPr>
      <w:ind w:left="2268" w:hanging="567"/>
      <w:contextualSpacing/>
    </w:pPr>
  </w:style>
  <w:style w:type="paragraph" w:styleId="List5">
    <w:name w:val="List 5"/>
    <w:basedOn w:val="Normal"/>
    <w:uiPriority w:val="99"/>
    <w:semiHidden/>
    <w:unhideWhenUsed/>
    <w:rsid w:val="00097464"/>
    <w:pPr>
      <w:ind w:left="2835" w:hanging="567"/>
      <w:contextualSpacing/>
    </w:pPr>
  </w:style>
  <w:style w:type="table" w:styleId="TableGrid">
    <w:name w:val="Table Grid"/>
    <w:basedOn w:val="TableNormal"/>
    <w:uiPriority w:val="59"/>
    <w:rsid w:val="000974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wCTableFigures">
    <w:name w:val="PwC Table Figures"/>
    <w:basedOn w:val="TableNormal"/>
    <w:uiPriority w:val="99"/>
    <w:qFormat/>
    <w:rsid w:val="00097464"/>
    <w:pPr>
      <w:tabs>
        <w:tab w:val="decimal" w:pos="1134"/>
      </w:tabs>
      <w:spacing w:before="60" w:after="60" w:line="240" w:lineRule="auto"/>
    </w:pPr>
    <w:rPr>
      <w:rFonts w:asciiTheme="minorHAnsi" w:hAnsiTheme="minorHAnsi"/>
    </w:rPr>
    <w:tblPr>
      <w:tblInd w:w="0" w:type="dxa"/>
      <w:tblBorders>
        <w:insideH w:val="dotted" w:sz="4" w:space="0" w:color="DC6900" w:themeColor="text2"/>
      </w:tblBorders>
      <w:tblCellMar>
        <w:top w:w="0" w:type="dxa"/>
        <w:left w:w="108" w:type="dxa"/>
        <w:bottom w:w="0" w:type="dxa"/>
        <w:right w:w="108" w:type="dxa"/>
      </w:tblCellMar>
    </w:tblPr>
    <w:tblStylePr w:type="firstRow">
      <w:rPr>
        <w:b/>
      </w:rPr>
      <w:tblPr/>
      <w:tcPr>
        <w:tcBorders>
          <w:top w:val="single" w:sz="6" w:space="0" w:color="DC6900" w:themeColor="text2"/>
          <w:left w:val="nil"/>
          <w:bottom w:val="single" w:sz="6" w:space="0" w:color="DC6900"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DC6900" w:themeColor="text2"/>
          <w:left w:val="nil"/>
          <w:bottom w:val="single" w:sz="6" w:space="0" w:color="DC6900" w:themeColor="text2"/>
          <w:right w:val="nil"/>
          <w:insideH w:val="nil"/>
          <w:insideV w:val="nil"/>
          <w:tl2br w:val="nil"/>
          <w:tr2bl w:val="nil"/>
        </w:tcBorders>
      </w:tcPr>
    </w:tblStylePr>
  </w:style>
  <w:style w:type="table" w:customStyle="1" w:styleId="PwCTableText">
    <w:name w:val="PwC Table Text"/>
    <w:basedOn w:val="TableNormal"/>
    <w:uiPriority w:val="99"/>
    <w:qFormat/>
    <w:rsid w:val="00097464"/>
    <w:pPr>
      <w:spacing w:before="60" w:after="60" w:line="240" w:lineRule="auto"/>
    </w:pPr>
    <w:tblPr>
      <w:tblStyleRowBandSize w:val="1"/>
      <w:tblInd w:w="0" w:type="dxa"/>
      <w:tblBorders>
        <w:insideH w:val="dotted" w:sz="4" w:space="0" w:color="DC6900" w:themeColor="text2"/>
      </w:tblBorders>
      <w:tblCellMar>
        <w:top w:w="0" w:type="dxa"/>
        <w:left w:w="108" w:type="dxa"/>
        <w:bottom w:w="0" w:type="dxa"/>
        <w:right w:w="108" w:type="dxa"/>
      </w:tblCellMar>
    </w:tblPr>
    <w:tblStylePr w:type="firstRow">
      <w:rPr>
        <w:b/>
      </w:rPr>
      <w:tblPr/>
      <w:tcPr>
        <w:tcBorders>
          <w:top w:val="single" w:sz="6" w:space="0" w:color="DC6900" w:themeColor="text2"/>
          <w:bottom w:val="single" w:sz="6" w:space="0" w:color="DC6900" w:themeColor="text2"/>
        </w:tcBorders>
      </w:tcPr>
    </w:tblStylePr>
    <w:tblStylePr w:type="lastRow">
      <w:rPr>
        <w:b/>
      </w:rPr>
      <w:tblPr/>
      <w:tcPr>
        <w:tcBorders>
          <w:top w:val="single" w:sz="6" w:space="0" w:color="DC6900" w:themeColor="text2"/>
          <w:bottom w:val="single" w:sz="6" w:space="0" w:color="DC6900" w:themeColor="text2"/>
        </w:tcBorders>
      </w:tcPr>
    </w:tblStylePr>
    <w:tblStylePr w:type="band1Horz">
      <w:tblPr/>
      <w:tcPr>
        <w:tcBorders>
          <w:bottom w:val="nil"/>
        </w:tcBorders>
      </w:tcPr>
    </w:tblStylePr>
  </w:style>
  <w:style w:type="paragraph" w:customStyle="1" w:styleId="SubHeading">
    <w:name w:val="Sub Heading"/>
    <w:basedOn w:val="Heading1"/>
    <w:uiPriority w:val="99"/>
    <w:qFormat/>
    <w:rsid w:val="00097464"/>
    <w:rPr>
      <w:b w:val="0"/>
      <w:i w:val="0"/>
    </w:rPr>
  </w:style>
  <w:style w:type="paragraph" w:customStyle="1" w:styleId="Heading1NoSpacing">
    <w:name w:val="Heading 1 No Spacing"/>
    <w:basedOn w:val="Heading1"/>
    <w:next w:val="Heading2"/>
    <w:link w:val="Heading1NoSpacingChar"/>
    <w:uiPriority w:val="9"/>
    <w:qFormat/>
    <w:rsid w:val="008E2FD9"/>
    <w:pPr>
      <w:spacing w:after="0"/>
    </w:pPr>
    <w:rPr>
      <w:sz w:val="44"/>
    </w:rPr>
  </w:style>
  <w:style w:type="character" w:customStyle="1" w:styleId="Heading1NoSpacingChar">
    <w:name w:val="Heading 1 No Spacing Char"/>
    <w:basedOn w:val="Heading1Char"/>
    <w:link w:val="Heading1NoSpacing"/>
    <w:uiPriority w:val="9"/>
    <w:rsid w:val="008E2FD9"/>
    <w:rPr>
      <w:rFonts w:asciiTheme="majorHAnsi" w:eastAsiaTheme="majorEastAsia" w:hAnsiTheme="majorHAnsi" w:cstheme="majorBidi"/>
      <w:b/>
      <w:bCs/>
      <w:i/>
      <w:sz w:val="44"/>
      <w:szCs w:val="28"/>
    </w:rPr>
  </w:style>
  <w:style w:type="character" w:customStyle="1" w:styleId="Heading6Char">
    <w:name w:val="Heading 6 Char"/>
    <w:basedOn w:val="DefaultParagraphFont"/>
    <w:link w:val="Heading6"/>
    <w:uiPriority w:val="9"/>
    <w:semiHidden/>
    <w:rsid w:val="00097464"/>
    <w:rPr>
      <w:rFonts w:asciiTheme="majorHAnsi" w:eastAsiaTheme="majorEastAsia" w:hAnsiTheme="majorHAnsi" w:cstheme="majorBidi"/>
      <w:iCs/>
      <w:color w:val="DC6900" w:themeColor="text2"/>
    </w:rPr>
  </w:style>
  <w:style w:type="character" w:customStyle="1" w:styleId="Heading7Char">
    <w:name w:val="Heading 7 Char"/>
    <w:basedOn w:val="DefaultParagraphFont"/>
    <w:link w:val="Heading7"/>
    <w:uiPriority w:val="9"/>
    <w:semiHidden/>
    <w:rsid w:val="00097464"/>
    <w:rPr>
      <w:rFonts w:asciiTheme="majorHAnsi" w:eastAsiaTheme="majorEastAsia" w:hAnsiTheme="majorHAnsi" w:cstheme="majorBidi"/>
      <w:iCs/>
      <w:color w:val="DC6900" w:themeColor="text2"/>
    </w:rPr>
  </w:style>
  <w:style w:type="character" w:customStyle="1" w:styleId="Heading8Char">
    <w:name w:val="Heading 8 Char"/>
    <w:basedOn w:val="DefaultParagraphFont"/>
    <w:link w:val="Heading8"/>
    <w:uiPriority w:val="9"/>
    <w:semiHidden/>
    <w:rsid w:val="00097464"/>
    <w:rPr>
      <w:rFonts w:asciiTheme="majorHAnsi" w:eastAsiaTheme="majorEastAsia" w:hAnsiTheme="majorHAnsi" w:cstheme="majorBidi"/>
      <w:color w:val="DC6900" w:themeColor="text2"/>
    </w:rPr>
  </w:style>
  <w:style w:type="character" w:customStyle="1" w:styleId="Heading9Char">
    <w:name w:val="Heading 9 Char"/>
    <w:basedOn w:val="DefaultParagraphFont"/>
    <w:link w:val="Heading9"/>
    <w:uiPriority w:val="9"/>
    <w:semiHidden/>
    <w:rsid w:val="00097464"/>
    <w:rPr>
      <w:rFonts w:asciiTheme="majorHAnsi" w:eastAsiaTheme="majorEastAsia" w:hAnsiTheme="majorHAnsi" w:cstheme="majorBidi"/>
      <w:iCs/>
      <w:color w:val="DC6900" w:themeColor="text2"/>
    </w:rPr>
  </w:style>
  <w:style w:type="paragraph" w:styleId="TOC4">
    <w:name w:val="toc 4"/>
    <w:basedOn w:val="Normal"/>
    <w:next w:val="Normal"/>
    <w:autoRedefine/>
    <w:uiPriority w:val="39"/>
    <w:unhideWhenUsed/>
    <w:rsid w:val="00097464"/>
    <w:pPr>
      <w:spacing w:after="120"/>
      <w:ind w:left="851" w:hanging="284"/>
    </w:pPr>
  </w:style>
  <w:style w:type="paragraph" w:styleId="TOC5">
    <w:name w:val="toc 5"/>
    <w:basedOn w:val="Normal"/>
    <w:next w:val="Normal"/>
    <w:autoRedefine/>
    <w:uiPriority w:val="39"/>
    <w:unhideWhenUsed/>
    <w:rsid w:val="00097464"/>
    <w:pPr>
      <w:spacing w:after="120"/>
      <w:ind w:left="1135" w:hanging="284"/>
    </w:pPr>
  </w:style>
  <w:style w:type="paragraph" w:styleId="TOC6">
    <w:name w:val="toc 6"/>
    <w:basedOn w:val="Normal"/>
    <w:next w:val="Normal"/>
    <w:autoRedefine/>
    <w:uiPriority w:val="39"/>
    <w:semiHidden/>
    <w:unhideWhenUsed/>
    <w:rsid w:val="00097464"/>
    <w:pPr>
      <w:spacing w:after="120"/>
      <w:ind w:left="1418" w:hanging="284"/>
    </w:pPr>
  </w:style>
  <w:style w:type="paragraph" w:styleId="TOC7">
    <w:name w:val="toc 7"/>
    <w:basedOn w:val="Normal"/>
    <w:next w:val="Normal"/>
    <w:autoRedefine/>
    <w:uiPriority w:val="39"/>
    <w:semiHidden/>
    <w:unhideWhenUsed/>
    <w:rsid w:val="00097464"/>
    <w:pPr>
      <w:spacing w:after="120"/>
      <w:ind w:left="1702" w:hanging="284"/>
    </w:pPr>
  </w:style>
  <w:style w:type="paragraph" w:styleId="TOC8">
    <w:name w:val="toc 8"/>
    <w:basedOn w:val="Normal"/>
    <w:next w:val="Normal"/>
    <w:autoRedefine/>
    <w:uiPriority w:val="39"/>
    <w:semiHidden/>
    <w:unhideWhenUsed/>
    <w:rsid w:val="00097464"/>
    <w:pPr>
      <w:spacing w:after="120"/>
      <w:ind w:left="1985" w:hanging="284"/>
    </w:pPr>
  </w:style>
  <w:style w:type="paragraph" w:styleId="TOC9">
    <w:name w:val="toc 9"/>
    <w:basedOn w:val="Normal"/>
    <w:next w:val="Normal"/>
    <w:autoRedefine/>
    <w:uiPriority w:val="39"/>
    <w:semiHidden/>
    <w:unhideWhenUsed/>
    <w:rsid w:val="00097464"/>
    <w:pPr>
      <w:spacing w:after="120"/>
      <w:ind w:left="2269" w:hanging="284"/>
    </w:pPr>
  </w:style>
  <w:style w:type="character" w:styleId="Emphasis">
    <w:name w:val="Emphasis"/>
    <w:basedOn w:val="DefaultParagraphFont"/>
    <w:uiPriority w:val="20"/>
    <w:qFormat/>
    <w:rsid w:val="00097464"/>
    <w:rPr>
      <w:i/>
      <w:iCs/>
    </w:rPr>
  </w:style>
  <w:style w:type="paragraph" w:styleId="Quote">
    <w:name w:val="Quote"/>
    <w:basedOn w:val="Normal"/>
    <w:next w:val="Normal"/>
    <w:link w:val="QuoteChar"/>
    <w:uiPriority w:val="29"/>
    <w:qFormat/>
    <w:rsid w:val="00097464"/>
    <w:rPr>
      <w:i/>
      <w:iCs/>
      <w:color w:val="000000" w:themeColor="text1"/>
    </w:rPr>
  </w:style>
  <w:style w:type="character" w:customStyle="1" w:styleId="QuoteChar">
    <w:name w:val="Quote Char"/>
    <w:basedOn w:val="DefaultParagraphFont"/>
    <w:link w:val="Quote"/>
    <w:uiPriority w:val="29"/>
    <w:rsid w:val="00097464"/>
    <w:rPr>
      <w:i/>
      <w:iCs/>
      <w:color w:val="000000" w:themeColor="text1"/>
    </w:rPr>
  </w:style>
  <w:style w:type="paragraph" w:styleId="BlockText">
    <w:name w:val="Block Text"/>
    <w:basedOn w:val="Normal"/>
    <w:next w:val="BodyText3"/>
    <w:uiPriority w:val="99"/>
    <w:unhideWhenUsed/>
    <w:qFormat/>
    <w:rsid w:val="00097464"/>
    <w:pPr>
      <w:spacing w:line="240" w:lineRule="auto"/>
    </w:pPr>
    <w:rPr>
      <w:b/>
      <w:i/>
      <w:color w:val="DC6900" w:themeColor="text2"/>
      <w:sz w:val="48"/>
      <w:szCs w:val="48"/>
    </w:rPr>
  </w:style>
  <w:style w:type="paragraph" w:customStyle="1" w:styleId="BlockText2">
    <w:name w:val="Block Text 2"/>
    <w:basedOn w:val="Normal"/>
    <w:uiPriority w:val="99"/>
    <w:qFormat/>
    <w:rsid w:val="00097464"/>
    <w:pPr>
      <w:pBdr>
        <w:top w:val="single" w:sz="2" w:space="10" w:color="DC6900" w:themeColor="text2"/>
        <w:left w:val="single" w:sz="2" w:space="10" w:color="DC6900" w:themeColor="text2"/>
        <w:bottom w:val="single" w:sz="2" w:space="10" w:color="DC6900" w:themeColor="text2"/>
        <w:right w:val="single" w:sz="2" w:space="10" w:color="DC6900" w:themeColor="text2"/>
      </w:pBdr>
      <w:shd w:val="clear" w:color="auto" w:fill="DC6900" w:themeFill="text2"/>
      <w:spacing w:line="240" w:lineRule="auto"/>
      <w:ind w:left="227" w:right="227"/>
    </w:pPr>
    <w:rPr>
      <w:i/>
      <w:color w:val="FFFFFF" w:themeColor="background2"/>
      <w:sz w:val="48"/>
      <w:szCs w:val="48"/>
    </w:rPr>
  </w:style>
  <w:style w:type="paragraph" w:customStyle="1" w:styleId="BlockText3">
    <w:name w:val="Block Text 3"/>
    <w:basedOn w:val="BlockText"/>
    <w:uiPriority w:val="99"/>
    <w:qFormat/>
    <w:rsid w:val="00097464"/>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color w:val="DC6900" w:themeColor="accent1"/>
      <w:sz w:val="96"/>
      <w:szCs w:val="20"/>
    </w:rPr>
  </w:style>
  <w:style w:type="paragraph" w:styleId="BodyText3">
    <w:name w:val="Body Text 3"/>
    <w:basedOn w:val="Normal"/>
    <w:link w:val="BodyText3Char"/>
    <w:uiPriority w:val="99"/>
    <w:semiHidden/>
    <w:unhideWhenUsed/>
    <w:rsid w:val="00097464"/>
    <w:pPr>
      <w:spacing w:after="120"/>
    </w:pPr>
    <w:rPr>
      <w:sz w:val="16"/>
      <w:szCs w:val="16"/>
    </w:rPr>
  </w:style>
  <w:style w:type="character" w:customStyle="1" w:styleId="BodyText3Char">
    <w:name w:val="Body Text 3 Char"/>
    <w:basedOn w:val="DefaultParagraphFont"/>
    <w:link w:val="BodyText3"/>
    <w:uiPriority w:val="99"/>
    <w:semiHidden/>
    <w:rsid w:val="00097464"/>
    <w:rPr>
      <w:sz w:val="16"/>
      <w:szCs w:val="16"/>
    </w:rPr>
  </w:style>
  <w:style w:type="paragraph" w:customStyle="1" w:styleId="Address">
    <w:name w:val="Address"/>
    <w:basedOn w:val="Normal"/>
    <w:link w:val="AddressChar"/>
    <w:qFormat/>
    <w:rsid w:val="00DB6D72"/>
    <w:pPr>
      <w:spacing w:after="0" w:line="200" w:lineRule="atLeast"/>
    </w:pPr>
    <w:rPr>
      <w:i/>
      <w:noProof/>
      <w:sz w:val="18"/>
      <w:szCs w:val="22"/>
      <w:lang w:eastAsia="en-GB"/>
    </w:rPr>
  </w:style>
  <w:style w:type="character" w:customStyle="1" w:styleId="AddressChar">
    <w:name w:val="Address Char"/>
    <w:basedOn w:val="DefaultParagraphFont"/>
    <w:link w:val="Address"/>
    <w:rsid w:val="00DB6D72"/>
    <w:rPr>
      <w:i/>
      <w:noProof/>
      <w:sz w:val="18"/>
      <w:szCs w:val="22"/>
      <w:lang w:eastAsia="en-GB"/>
    </w:rPr>
  </w:style>
  <w:style w:type="table" w:customStyle="1" w:styleId="LightGrid-Accent11">
    <w:name w:val="Light Grid - Accent 11"/>
    <w:basedOn w:val="TableNormal"/>
    <w:uiPriority w:val="62"/>
    <w:rsid w:val="00F301E6"/>
    <w:pPr>
      <w:spacing w:after="0" w:line="240" w:lineRule="auto"/>
    </w:pPr>
    <w:tblPr>
      <w:tblStyleRowBandSize w:val="1"/>
      <w:tblStyleColBandSize w:val="1"/>
      <w:tblInd w:w="0" w:type="dxa"/>
      <w:tblBorders>
        <w:top w:val="single" w:sz="8" w:space="0" w:color="DC6900" w:themeColor="accent1"/>
        <w:left w:val="single" w:sz="8" w:space="0" w:color="DC6900" w:themeColor="accent1"/>
        <w:bottom w:val="single" w:sz="8" w:space="0" w:color="DC6900" w:themeColor="accent1"/>
        <w:right w:val="single" w:sz="8" w:space="0" w:color="DC6900" w:themeColor="accent1"/>
        <w:insideH w:val="single" w:sz="8" w:space="0" w:color="DC6900" w:themeColor="accent1"/>
        <w:insideV w:val="single" w:sz="8" w:space="0" w:color="DC690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C6900" w:themeColor="accent1"/>
          <w:left w:val="single" w:sz="8" w:space="0" w:color="DC6900" w:themeColor="accent1"/>
          <w:bottom w:val="single" w:sz="18" w:space="0" w:color="DC6900" w:themeColor="accent1"/>
          <w:right w:val="single" w:sz="8" w:space="0" w:color="DC6900" w:themeColor="accent1"/>
          <w:insideH w:val="nil"/>
          <w:insideV w:val="single" w:sz="8" w:space="0" w:color="DC69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insideH w:val="nil"/>
          <w:insideV w:val="single" w:sz="8" w:space="0" w:color="DC69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shd w:val="clear" w:color="auto" w:fill="FFD9B7" w:themeFill="accent1" w:themeFillTint="3F"/>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insideV w:val="single" w:sz="8" w:space="0" w:color="DC6900" w:themeColor="accent1"/>
        </w:tcBorders>
        <w:shd w:val="clear" w:color="auto" w:fill="FFD9B7" w:themeFill="accent1" w:themeFillTint="3F"/>
      </w:tcPr>
    </w:tblStylePr>
    <w:tblStylePr w:type="band2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insideV w:val="single" w:sz="8" w:space="0" w:color="DC6900" w:themeColor="accent1"/>
        </w:tcBorders>
      </w:tcPr>
    </w:tblStylePr>
  </w:style>
  <w:style w:type="paragraph" w:styleId="ListParagraph">
    <w:name w:val="List Paragraph"/>
    <w:basedOn w:val="Normal"/>
    <w:link w:val="ListParagraphChar"/>
    <w:uiPriority w:val="34"/>
    <w:qFormat/>
    <w:rsid w:val="00482B67"/>
    <w:pPr>
      <w:ind w:left="720"/>
      <w:contextualSpacing/>
    </w:pPr>
  </w:style>
  <w:style w:type="character" w:customStyle="1" w:styleId="ListParagraphChar">
    <w:name w:val="List Paragraph Char"/>
    <w:basedOn w:val="DefaultParagraphFont"/>
    <w:link w:val="ListParagraph"/>
    <w:uiPriority w:val="34"/>
    <w:rsid w:val="00482B67"/>
  </w:style>
  <w:style w:type="paragraph" w:styleId="FootnoteText">
    <w:name w:val="footnote text"/>
    <w:basedOn w:val="Normal"/>
    <w:link w:val="FootnoteTextChar"/>
    <w:uiPriority w:val="99"/>
    <w:unhideWhenUsed/>
    <w:rsid w:val="00ED0FD9"/>
    <w:pPr>
      <w:spacing w:after="0" w:line="240" w:lineRule="auto"/>
    </w:pPr>
  </w:style>
  <w:style w:type="character" w:customStyle="1" w:styleId="FootnoteTextChar">
    <w:name w:val="Footnote Text Char"/>
    <w:basedOn w:val="DefaultParagraphFont"/>
    <w:link w:val="FootnoteText"/>
    <w:uiPriority w:val="99"/>
    <w:rsid w:val="00ED0FD9"/>
  </w:style>
  <w:style w:type="character" w:styleId="FootnoteReference">
    <w:name w:val="footnote reference"/>
    <w:basedOn w:val="DefaultParagraphFont"/>
    <w:uiPriority w:val="99"/>
    <w:semiHidden/>
    <w:unhideWhenUsed/>
    <w:rsid w:val="00ED0FD9"/>
    <w:rPr>
      <w:vertAlign w:val="superscript"/>
    </w:rPr>
  </w:style>
  <w:style w:type="character" w:styleId="CommentReference">
    <w:name w:val="annotation reference"/>
    <w:basedOn w:val="DefaultParagraphFont"/>
    <w:uiPriority w:val="99"/>
    <w:semiHidden/>
    <w:unhideWhenUsed/>
    <w:rsid w:val="00212E37"/>
    <w:rPr>
      <w:sz w:val="16"/>
      <w:szCs w:val="16"/>
    </w:rPr>
  </w:style>
  <w:style w:type="paragraph" w:styleId="CommentText">
    <w:name w:val="annotation text"/>
    <w:basedOn w:val="Normal"/>
    <w:link w:val="CommentTextChar"/>
    <w:uiPriority w:val="99"/>
    <w:unhideWhenUsed/>
    <w:rsid w:val="00212E37"/>
    <w:pPr>
      <w:spacing w:line="240" w:lineRule="auto"/>
    </w:pPr>
  </w:style>
  <w:style w:type="character" w:customStyle="1" w:styleId="CommentTextChar">
    <w:name w:val="Comment Text Char"/>
    <w:basedOn w:val="DefaultParagraphFont"/>
    <w:link w:val="CommentText"/>
    <w:uiPriority w:val="99"/>
    <w:rsid w:val="00212E37"/>
  </w:style>
  <w:style w:type="paragraph" w:styleId="CommentSubject">
    <w:name w:val="annotation subject"/>
    <w:basedOn w:val="CommentText"/>
    <w:next w:val="CommentText"/>
    <w:link w:val="CommentSubjectChar"/>
    <w:uiPriority w:val="99"/>
    <w:semiHidden/>
    <w:unhideWhenUsed/>
    <w:rsid w:val="00212E37"/>
    <w:rPr>
      <w:b/>
      <w:bCs/>
    </w:rPr>
  </w:style>
  <w:style w:type="character" w:customStyle="1" w:styleId="CommentSubjectChar">
    <w:name w:val="Comment Subject Char"/>
    <w:basedOn w:val="CommentTextChar"/>
    <w:link w:val="CommentSubject"/>
    <w:uiPriority w:val="99"/>
    <w:semiHidden/>
    <w:rsid w:val="00212E37"/>
    <w:rPr>
      <w:b/>
      <w:bCs/>
    </w:rPr>
  </w:style>
  <w:style w:type="paragraph" w:customStyle="1" w:styleId="Default">
    <w:name w:val="Default"/>
    <w:rsid w:val="00B418C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1">
    <w:name w:val="Text 1"/>
    <w:basedOn w:val="Normal"/>
    <w:link w:val="Text1Char"/>
    <w:rsid w:val="00385566"/>
    <w:pPr>
      <w:spacing w:after="120" w:line="276" w:lineRule="auto"/>
      <w:ind w:left="482"/>
      <w:jc w:val="both"/>
    </w:pPr>
    <w:rPr>
      <w:rFonts w:ascii="Times New Roman" w:eastAsia="Times New Roman" w:hAnsi="Times New Roman" w:cs="Times New Roman"/>
      <w:sz w:val="24"/>
    </w:rPr>
  </w:style>
  <w:style w:type="character" w:customStyle="1" w:styleId="Text1Char">
    <w:name w:val="Text 1 Char"/>
    <w:link w:val="Text1"/>
    <w:locked/>
    <w:rsid w:val="00385566"/>
    <w:rPr>
      <w:rFonts w:ascii="Times New Roman" w:eastAsia="Times New Roman" w:hAnsi="Times New Roman" w:cs="Times New Roman"/>
      <w:sz w:val="24"/>
    </w:rPr>
  </w:style>
  <w:style w:type="character" w:styleId="FollowedHyperlink">
    <w:name w:val="FollowedHyperlink"/>
    <w:basedOn w:val="DefaultParagraphFont"/>
    <w:uiPriority w:val="99"/>
    <w:semiHidden/>
    <w:unhideWhenUsed/>
    <w:rsid w:val="006568BF"/>
    <w:rPr>
      <w:color w:val="DC6900" w:themeColor="followedHyperlink"/>
      <w:u w:val="single"/>
    </w:rPr>
  </w:style>
  <w:style w:type="table" w:styleId="LightGrid-Accent6">
    <w:name w:val="Light Grid Accent 6"/>
    <w:basedOn w:val="TableNormal"/>
    <w:uiPriority w:val="62"/>
    <w:rsid w:val="004C23C0"/>
    <w:pPr>
      <w:spacing w:after="0" w:line="240" w:lineRule="auto"/>
    </w:pPr>
    <w:rPr>
      <w:rFonts w:asciiTheme="minorHAnsi" w:hAnsiTheme="minorHAnsi"/>
      <w:sz w:val="22"/>
      <w:szCs w:val="22"/>
    </w:rPr>
    <w:tblPr>
      <w:tblStyleRowBandSize w:val="1"/>
      <w:tblStyleColBandSize w:val="1"/>
      <w:tblInd w:w="0" w:type="dxa"/>
      <w:tblBorders>
        <w:top w:val="single" w:sz="8" w:space="0" w:color="E0301E" w:themeColor="accent6"/>
        <w:left w:val="single" w:sz="8" w:space="0" w:color="E0301E" w:themeColor="accent6"/>
        <w:bottom w:val="single" w:sz="8" w:space="0" w:color="E0301E" w:themeColor="accent6"/>
        <w:right w:val="single" w:sz="8" w:space="0" w:color="E0301E" w:themeColor="accent6"/>
        <w:insideH w:val="single" w:sz="8" w:space="0" w:color="E0301E" w:themeColor="accent6"/>
        <w:insideV w:val="single" w:sz="8" w:space="0" w:color="E0301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0301E" w:themeColor="accent6"/>
          <w:left w:val="single" w:sz="8" w:space="0" w:color="E0301E" w:themeColor="accent6"/>
          <w:bottom w:val="single" w:sz="18" w:space="0" w:color="E0301E" w:themeColor="accent6"/>
          <w:right w:val="single" w:sz="8" w:space="0" w:color="E0301E" w:themeColor="accent6"/>
          <w:insideH w:val="nil"/>
          <w:insideV w:val="single" w:sz="8" w:space="0" w:color="E0301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insideH w:val="nil"/>
          <w:insideV w:val="single" w:sz="8" w:space="0" w:color="E0301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shd w:val="clear" w:color="auto" w:fill="F7CBC7" w:themeFill="accent6" w:themeFillTint="3F"/>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insideV w:val="single" w:sz="8" w:space="0" w:color="E0301E" w:themeColor="accent6"/>
        </w:tcBorders>
        <w:shd w:val="clear" w:color="auto" w:fill="F7CBC7" w:themeFill="accent6" w:themeFillTint="3F"/>
      </w:tcPr>
    </w:tblStylePr>
    <w:tblStylePr w:type="band2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insideV w:val="single" w:sz="8" w:space="0" w:color="E0301E" w:themeColor="accent6"/>
        </w:tcBorders>
      </w:tcPr>
    </w:tblStylePr>
  </w:style>
  <w:style w:type="table" w:customStyle="1" w:styleId="MediumShading1-Accent11">
    <w:name w:val="Medium Shading 1 - Accent 11"/>
    <w:basedOn w:val="TableNormal"/>
    <w:uiPriority w:val="63"/>
    <w:rsid w:val="004C23C0"/>
    <w:pPr>
      <w:spacing w:after="0" w:line="240" w:lineRule="auto"/>
    </w:pPr>
    <w:tblPr>
      <w:tblStyleRowBandSize w:val="1"/>
      <w:tblStyleColBandSize w:val="1"/>
      <w:tblInd w:w="0" w:type="dxa"/>
      <w:tbl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single" w:sz="8" w:space="0" w:color="FF8C2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shd w:val="clear" w:color="auto" w:fill="DC6900" w:themeFill="accent1"/>
      </w:tcPr>
    </w:tblStylePr>
    <w:tblStylePr w:type="lastRow">
      <w:pPr>
        <w:spacing w:before="0" w:after="0" w:line="240" w:lineRule="auto"/>
      </w:pPr>
      <w:rPr>
        <w:b/>
        <w:bCs/>
      </w:rPr>
      <w:tblPr/>
      <w:tcPr>
        <w:tcBorders>
          <w:top w:val="double" w:sz="6"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9B7" w:themeFill="accent1" w:themeFillTint="3F"/>
      </w:tcPr>
    </w:tblStylePr>
    <w:tblStylePr w:type="band1Horz">
      <w:tblPr/>
      <w:tcPr>
        <w:tcBorders>
          <w:insideH w:val="nil"/>
          <w:insideV w:val="nil"/>
        </w:tcBorders>
        <w:shd w:val="clear" w:color="auto" w:fill="FFD9B7" w:themeFill="accent1" w:themeFillTint="3F"/>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F827B7"/>
    <w:pPr>
      <w:spacing w:after="0" w:line="240" w:lineRule="auto"/>
    </w:pPr>
    <w:rPr>
      <w:color w:val="A44E00" w:themeColor="accent1" w:themeShade="BF"/>
    </w:rPr>
    <w:tblPr>
      <w:tblStyleRowBandSize w:val="1"/>
      <w:tblStyleColBandSize w:val="1"/>
      <w:tblInd w:w="0" w:type="dxa"/>
      <w:tblBorders>
        <w:top w:val="single" w:sz="8" w:space="0" w:color="DC6900" w:themeColor="accent1"/>
        <w:bottom w:val="single" w:sz="8" w:space="0" w:color="DC69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la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7" w:themeFill="accent1" w:themeFillTint="3F"/>
      </w:tcPr>
    </w:tblStylePr>
    <w:tblStylePr w:type="band1Horz">
      <w:tblPr/>
      <w:tcPr>
        <w:tcBorders>
          <w:left w:val="nil"/>
          <w:right w:val="nil"/>
          <w:insideH w:val="nil"/>
          <w:insideV w:val="nil"/>
        </w:tcBorders>
        <w:shd w:val="clear" w:color="auto" w:fill="FFD9B7" w:themeFill="accent1" w:themeFillTint="3F"/>
      </w:tcPr>
    </w:tblStylePr>
  </w:style>
  <w:style w:type="table" w:styleId="LightShading-Accent2">
    <w:name w:val="Light Shading Accent 2"/>
    <w:basedOn w:val="TableNormal"/>
    <w:uiPriority w:val="60"/>
    <w:rsid w:val="00F827B7"/>
    <w:pPr>
      <w:spacing w:after="0" w:line="240" w:lineRule="auto"/>
    </w:pPr>
    <w:rPr>
      <w:color w:val="BF8800" w:themeColor="accent2" w:themeShade="BF"/>
    </w:rPr>
    <w:tblPr>
      <w:tblStyleRowBandSize w:val="1"/>
      <w:tblStyleColBandSize w:val="1"/>
      <w:tblInd w:w="0" w:type="dxa"/>
      <w:tblBorders>
        <w:top w:val="single" w:sz="8" w:space="0" w:color="FFB600" w:themeColor="accent2"/>
        <w:bottom w:val="single" w:sz="8" w:space="0" w:color="FFB6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B600" w:themeColor="accent2"/>
          <w:left w:val="nil"/>
          <w:bottom w:val="single" w:sz="8" w:space="0" w:color="FFB600" w:themeColor="accent2"/>
          <w:right w:val="nil"/>
          <w:insideH w:val="nil"/>
          <w:insideV w:val="nil"/>
        </w:tcBorders>
      </w:tcPr>
    </w:tblStylePr>
    <w:tblStylePr w:type="lastRow">
      <w:pPr>
        <w:spacing w:before="0" w:after="0" w:line="240" w:lineRule="auto"/>
      </w:pPr>
      <w:rPr>
        <w:b/>
        <w:bCs/>
      </w:rPr>
      <w:tblPr/>
      <w:tcPr>
        <w:tcBorders>
          <w:top w:val="single" w:sz="8" w:space="0" w:color="FFB600" w:themeColor="accent2"/>
          <w:left w:val="nil"/>
          <w:bottom w:val="single" w:sz="8" w:space="0" w:color="FFB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0" w:themeFill="accent2" w:themeFillTint="3F"/>
      </w:tcPr>
    </w:tblStylePr>
    <w:tblStylePr w:type="band1Horz">
      <w:tblPr/>
      <w:tcPr>
        <w:tcBorders>
          <w:left w:val="nil"/>
          <w:right w:val="nil"/>
          <w:insideH w:val="nil"/>
          <w:insideV w:val="nil"/>
        </w:tcBorders>
        <w:shd w:val="clear" w:color="auto" w:fill="FFECC0" w:themeFill="accent2" w:themeFillTint="3F"/>
      </w:tcPr>
    </w:tblStylePr>
  </w:style>
  <w:style w:type="table" w:customStyle="1" w:styleId="LightList-Accent11">
    <w:name w:val="Light List - Accent 11"/>
    <w:basedOn w:val="TableNormal"/>
    <w:uiPriority w:val="61"/>
    <w:rsid w:val="00F827B7"/>
    <w:pPr>
      <w:spacing w:after="0" w:line="240" w:lineRule="auto"/>
    </w:pPr>
    <w:tblPr>
      <w:tblStyleRowBandSize w:val="1"/>
      <w:tblStyleColBandSize w:val="1"/>
      <w:tblInd w:w="0" w:type="dxa"/>
      <w:tblBorders>
        <w:top w:val="single" w:sz="8" w:space="0" w:color="DC6900" w:themeColor="accent1"/>
        <w:left w:val="single" w:sz="8" w:space="0" w:color="DC6900" w:themeColor="accent1"/>
        <w:bottom w:val="single" w:sz="8" w:space="0" w:color="DC6900" w:themeColor="accent1"/>
        <w:right w:val="single" w:sz="8" w:space="0" w:color="DC69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C6900" w:themeFill="accent1"/>
      </w:tcPr>
    </w:tblStylePr>
    <w:tblStylePr w:type="lastRow">
      <w:pPr>
        <w:spacing w:before="0" w:after="0" w:line="240" w:lineRule="auto"/>
      </w:pPr>
      <w:rPr>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tcBorders>
      </w:tcPr>
    </w:tblStylePr>
    <w:tblStylePr w:type="firstCol">
      <w:rPr>
        <w:b/>
        <w:bCs/>
      </w:rPr>
    </w:tblStylePr>
    <w:tblStylePr w:type="lastCol">
      <w:rPr>
        <w:b/>
        <w:bCs/>
      </w:r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style>
  <w:style w:type="table" w:styleId="LightList-Accent2">
    <w:name w:val="Light List Accent 2"/>
    <w:basedOn w:val="TableNormal"/>
    <w:uiPriority w:val="61"/>
    <w:rsid w:val="00F827B7"/>
    <w:pPr>
      <w:spacing w:after="0" w:line="240" w:lineRule="auto"/>
    </w:pPr>
    <w:tblPr>
      <w:tblStyleRowBandSize w:val="1"/>
      <w:tblStyleColBandSize w:val="1"/>
      <w:tblInd w:w="0" w:type="dxa"/>
      <w:tblBorders>
        <w:top w:val="single" w:sz="8" w:space="0" w:color="FFB600" w:themeColor="accent2"/>
        <w:left w:val="single" w:sz="8" w:space="0" w:color="FFB600" w:themeColor="accent2"/>
        <w:bottom w:val="single" w:sz="8" w:space="0" w:color="FFB600" w:themeColor="accent2"/>
        <w:right w:val="single" w:sz="8" w:space="0" w:color="FFB60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B600" w:themeFill="accent2"/>
      </w:tcPr>
    </w:tblStylePr>
    <w:tblStylePr w:type="lastRow">
      <w:pPr>
        <w:spacing w:before="0" w:after="0" w:line="240" w:lineRule="auto"/>
      </w:pPr>
      <w:rPr>
        <w:b/>
        <w:bCs/>
      </w:rPr>
      <w:tblPr/>
      <w:tcPr>
        <w:tcBorders>
          <w:top w:val="double" w:sz="6" w:space="0" w:color="FFB600" w:themeColor="accent2"/>
          <w:left w:val="single" w:sz="8" w:space="0" w:color="FFB600" w:themeColor="accent2"/>
          <w:bottom w:val="single" w:sz="8" w:space="0" w:color="FFB600" w:themeColor="accent2"/>
          <w:right w:val="single" w:sz="8" w:space="0" w:color="FFB600" w:themeColor="accent2"/>
        </w:tcBorders>
      </w:tcPr>
    </w:tblStylePr>
    <w:tblStylePr w:type="firstCol">
      <w:rPr>
        <w:b/>
        <w:bCs/>
      </w:rPr>
    </w:tblStylePr>
    <w:tblStylePr w:type="lastCol">
      <w:rPr>
        <w:b/>
        <w:bCs/>
      </w:rPr>
    </w:tblStylePr>
    <w:tblStylePr w:type="band1Vert">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tcPr>
    </w:tblStylePr>
    <w:tblStylePr w:type="band1Horz">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tcPr>
    </w:tblStylePr>
  </w:style>
  <w:style w:type="character" w:customStyle="1" w:styleId="st1">
    <w:name w:val="st1"/>
    <w:basedOn w:val="DefaultParagraphFont"/>
    <w:rsid w:val="0044639F"/>
  </w:style>
  <w:style w:type="table" w:customStyle="1" w:styleId="LightList-Accent110">
    <w:name w:val="Light List - Accent 11"/>
    <w:basedOn w:val="TableNormal"/>
    <w:next w:val="LightList-Accent11"/>
    <w:uiPriority w:val="61"/>
    <w:rsid w:val="00083F7C"/>
    <w:pPr>
      <w:spacing w:after="0" w:line="240" w:lineRule="auto"/>
    </w:pPr>
    <w:tblPr>
      <w:tblStyleRowBandSize w:val="1"/>
      <w:tblStyleColBandSize w:val="1"/>
      <w:tblInd w:w="0" w:type="dxa"/>
      <w:tblBorders>
        <w:top w:val="single" w:sz="8" w:space="0" w:color="DC6900"/>
        <w:left w:val="single" w:sz="8" w:space="0" w:color="DC6900"/>
        <w:bottom w:val="single" w:sz="8" w:space="0" w:color="DC6900"/>
        <w:right w:val="single" w:sz="8" w:space="0" w:color="DC69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DC6900"/>
      </w:tcPr>
    </w:tblStylePr>
    <w:tblStylePr w:type="lastRow">
      <w:pPr>
        <w:spacing w:before="0" w:after="0" w:line="240" w:lineRule="auto"/>
      </w:pPr>
      <w:rPr>
        <w:b/>
        <w:bCs/>
      </w:rPr>
      <w:tblPr/>
      <w:tcPr>
        <w:tcBorders>
          <w:top w:val="double" w:sz="6" w:space="0" w:color="DC6900"/>
          <w:left w:val="single" w:sz="8" w:space="0" w:color="DC6900"/>
          <w:bottom w:val="single" w:sz="8" w:space="0" w:color="DC6900"/>
          <w:right w:val="single" w:sz="8" w:space="0" w:color="DC6900"/>
        </w:tcBorders>
      </w:tcPr>
    </w:tblStylePr>
    <w:tblStylePr w:type="firstCol">
      <w:rPr>
        <w:b/>
        <w:bCs/>
      </w:rPr>
    </w:tblStylePr>
    <w:tblStylePr w:type="lastCol">
      <w:rPr>
        <w:b/>
        <w:bCs/>
      </w:rPr>
    </w:tblStylePr>
    <w:tblStylePr w:type="band1Vert">
      <w:tblPr/>
      <w:tcPr>
        <w:tcBorders>
          <w:top w:val="single" w:sz="8" w:space="0" w:color="DC6900"/>
          <w:left w:val="single" w:sz="8" w:space="0" w:color="DC6900"/>
          <w:bottom w:val="single" w:sz="8" w:space="0" w:color="DC6900"/>
          <w:right w:val="single" w:sz="8" w:space="0" w:color="DC6900"/>
        </w:tcBorders>
      </w:tcPr>
    </w:tblStylePr>
    <w:tblStylePr w:type="band1Horz">
      <w:tblPr/>
      <w:tcPr>
        <w:tcBorders>
          <w:top w:val="single" w:sz="8" w:space="0" w:color="DC6900"/>
          <w:left w:val="single" w:sz="8" w:space="0" w:color="DC6900"/>
          <w:bottom w:val="single" w:sz="8" w:space="0" w:color="DC6900"/>
          <w:right w:val="single" w:sz="8" w:space="0" w:color="DC6900"/>
        </w:tcBorders>
      </w:tcPr>
    </w:tblStylePr>
  </w:style>
  <w:style w:type="character" w:styleId="HTMLCite">
    <w:name w:val="HTML Cite"/>
    <w:basedOn w:val="DefaultParagraphFont"/>
    <w:uiPriority w:val="99"/>
    <w:semiHidden/>
    <w:unhideWhenUsed/>
    <w:rsid w:val="00083F7C"/>
    <w:rPr>
      <w:i/>
      <w:iCs/>
    </w:rPr>
  </w:style>
  <w:style w:type="character" w:customStyle="1" w:styleId="Hyperlink1">
    <w:name w:val="Hyperlink1"/>
    <w:basedOn w:val="DefaultParagraphFont"/>
    <w:uiPriority w:val="99"/>
    <w:unhideWhenUsed/>
    <w:rsid w:val="00266591"/>
    <w:rPr>
      <w:color w:val="0000FF"/>
      <w:u w:val="single"/>
    </w:rPr>
  </w:style>
  <w:style w:type="paragraph" w:customStyle="1" w:styleId="FootnoteText1">
    <w:name w:val="Footnote Text1"/>
    <w:basedOn w:val="Normal"/>
    <w:next w:val="FootnoteText"/>
    <w:uiPriority w:val="99"/>
    <w:unhideWhenUsed/>
    <w:rsid w:val="00266591"/>
    <w:pPr>
      <w:spacing w:after="0" w:line="240" w:lineRule="auto"/>
    </w:pPr>
    <w:rPr>
      <w:rFonts w:asciiTheme="minorHAnsi" w:hAnsiTheme="minorHAnsi"/>
      <w:sz w:val="22"/>
      <w:szCs w:val="22"/>
    </w:rPr>
  </w:style>
  <w:style w:type="paragraph" w:customStyle="1" w:styleId="CommentText1">
    <w:name w:val="Comment Text1"/>
    <w:basedOn w:val="Normal"/>
    <w:next w:val="CommentText"/>
    <w:uiPriority w:val="99"/>
    <w:semiHidden/>
    <w:unhideWhenUsed/>
    <w:rsid w:val="00266591"/>
    <w:pPr>
      <w:spacing w:line="240" w:lineRule="auto"/>
    </w:pPr>
    <w:rPr>
      <w:rFonts w:asciiTheme="minorHAnsi" w:hAnsiTheme="minorHAnsi"/>
      <w:sz w:val="22"/>
      <w:szCs w:val="22"/>
    </w:rPr>
  </w:style>
  <w:style w:type="paragraph" w:customStyle="1" w:styleId="CM1">
    <w:name w:val="CM1"/>
    <w:basedOn w:val="Default"/>
    <w:next w:val="Default"/>
    <w:uiPriority w:val="99"/>
    <w:rsid w:val="00D71A66"/>
    <w:rPr>
      <w:rFonts w:ascii="EUAlbertina" w:hAnsi="EUAlbertina" w:cstheme="minorBidi"/>
      <w:color w:val="auto"/>
    </w:rPr>
  </w:style>
  <w:style w:type="paragraph" w:customStyle="1" w:styleId="CM3">
    <w:name w:val="CM3"/>
    <w:basedOn w:val="Default"/>
    <w:next w:val="Default"/>
    <w:uiPriority w:val="99"/>
    <w:rsid w:val="00D71A66"/>
    <w:rPr>
      <w:rFonts w:ascii="EUAlbertina" w:hAnsi="EUAlbertina" w:cstheme="minorBidi"/>
      <w:color w:val="auto"/>
    </w:rPr>
  </w:style>
  <w:style w:type="paragraph" w:styleId="Caption">
    <w:name w:val="caption"/>
    <w:basedOn w:val="Normal"/>
    <w:next w:val="Normal"/>
    <w:uiPriority w:val="35"/>
    <w:unhideWhenUsed/>
    <w:qFormat/>
    <w:rsid w:val="00311F51"/>
    <w:pPr>
      <w:spacing w:after="200" w:line="240" w:lineRule="auto"/>
    </w:pPr>
    <w:rPr>
      <w:b/>
      <w:bCs/>
      <w:color w:val="DC6900" w:themeColor="accent1"/>
      <w:sz w:val="18"/>
      <w:szCs w:val="18"/>
    </w:rPr>
  </w:style>
  <w:style w:type="paragraph" w:styleId="NormalWeb">
    <w:name w:val="Normal (Web)"/>
    <w:basedOn w:val="Normal"/>
    <w:uiPriority w:val="99"/>
    <w:semiHidden/>
    <w:unhideWhenUsed/>
    <w:rsid w:val="00B316C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rsid w:val="00480D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111">
    <w:name w:val="Light List - Accent 111"/>
    <w:basedOn w:val="TableNormal"/>
    <w:next w:val="LightList-Accent11"/>
    <w:uiPriority w:val="61"/>
    <w:rsid w:val="00DC7F64"/>
    <w:pPr>
      <w:spacing w:after="0" w:line="240" w:lineRule="auto"/>
    </w:pPr>
    <w:tblPr>
      <w:tblStyleRowBandSize w:val="1"/>
      <w:tblStyleColBandSize w:val="1"/>
      <w:tblInd w:w="0" w:type="dxa"/>
      <w:tblBorders>
        <w:top w:val="single" w:sz="8" w:space="0" w:color="DC6900"/>
        <w:left w:val="single" w:sz="8" w:space="0" w:color="DC6900"/>
        <w:bottom w:val="single" w:sz="8" w:space="0" w:color="DC6900"/>
        <w:right w:val="single" w:sz="8" w:space="0" w:color="DC69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DC6900"/>
      </w:tcPr>
    </w:tblStylePr>
    <w:tblStylePr w:type="lastRow">
      <w:pPr>
        <w:spacing w:before="0" w:after="0" w:line="240" w:lineRule="auto"/>
      </w:pPr>
      <w:rPr>
        <w:b/>
        <w:bCs/>
      </w:rPr>
      <w:tblPr/>
      <w:tcPr>
        <w:tcBorders>
          <w:top w:val="double" w:sz="6" w:space="0" w:color="DC6900"/>
          <w:left w:val="single" w:sz="8" w:space="0" w:color="DC6900"/>
          <w:bottom w:val="single" w:sz="8" w:space="0" w:color="DC6900"/>
          <w:right w:val="single" w:sz="8" w:space="0" w:color="DC6900"/>
        </w:tcBorders>
      </w:tcPr>
    </w:tblStylePr>
    <w:tblStylePr w:type="firstCol">
      <w:rPr>
        <w:b/>
        <w:bCs/>
      </w:rPr>
    </w:tblStylePr>
    <w:tblStylePr w:type="lastCol">
      <w:rPr>
        <w:b/>
        <w:bCs/>
      </w:rPr>
    </w:tblStylePr>
    <w:tblStylePr w:type="band1Vert">
      <w:tblPr/>
      <w:tcPr>
        <w:tcBorders>
          <w:top w:val="single" w:sz="8" w:space="0" w:color="DC6900"/>
          <w:left w:val="single" w:sz="8" w:space="0" w:color="DC6900"/>
          <w:bottom w:val="single" w:sz="8" w:space="0" w:color="DC6900"/>
          <w:right w:val="single" w:sz="8" w:space="0" w:color="DC6900"/>
        </w:tcBorders>
      </w:tcPr>
    </w:tblStylePr>
    <w:tblStylePr w:type="band1Horz">
      <w:tblPr/>
      <w:tcPr>
        <w:tcBorders>
          <w:top w:val="single" w:sz="8" w:space="0" w:color="DC6900"/>
          <w:left w:val="single" w:sz="8" w:space="0" w:color="DC6900"/>
          <w:bottom w:val="single" w:sz="8" w:space="0" w:color="DC6900"/>
          <w:right w:val="single" w:sz="8" w:space="0" w:color="DC6900"/>
        </w:tcBorders>
      </w:tcPr>
    </w:tblStylePr>
  </w:style>
  <w:style w:type="paragraph" w:styleId="Revision">
    <w:name w:val="Revision"/>
    <w:hidden/>
    <w:uiPriority w:val="99"/>
    <w:semiHidden/>
    <w:rsid w:val="0095649D"/>
    <w:pPr>
      <w:spacing w:after="0" w:line="240" w:lineRule="auto"/>
    </w:pPr>
  </w:style>
  <w:style w:type="paragraph" w:styleId="BodyText2">
    <w:name w:val="Body Text 2"/>
    <w:basedOn w:val="Normal"/>
    <w:link w:val="BodyText2Char"/>
    <w:uiPriority w:val="99"/>
    <w:unhideWhenUsed/>
    <w:rsid w:val="00077407"/>
    <w:pPr>
      <w:tabs>
        <w:tab w:val="left" w:pos="1328"/>
      </w:tabs>
      <w:jc w:val="both"/>
    </w:pPr>
  </w:style>
  <w:style w:type="character" w:customStyle="1" w:styleId="BodyText2Char">
    <w:name w:val="Body Text 2 Char"/>
    <w:basedOn w:val="DefaultParagraphFont"/>
    <w:link w:val="BodyText2"/>
    <w:uiPriority w:val="99"/>
    <w:rsid w:val="000774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iPriority="10" w:unhideWhenUsed="0" w:qFormat="1"/>
    <w:lsdException w:name="Default Paragraph Font" w:uiPriority="1"/>
    <w:lsdException w:name="Body Text" w:uiPriority="0" w:qFormat="1"/>
    <w:lsdException w:name="List Continue" w:qFormat="1"/>
    <w:lsdException w:name="List Continue 2" w:qFormat="1"/>
    <w:lsdException w:name="List Continue 3"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BC6A8E"/>
  </w:style>
  <w:style w:type="paragraph" w:styleId="Heading1">
    <w:name w:val="heading 1"/>
    <w:basedOn w:val="Normal"/>
    <w:next w:val="Heading2"/>
    <w:link w:val="Heading1Char"/>
    <w:uiPriority w:val="9"/>
    <w:qFormat/>
    <w:rsid w:val="00097464"/>
    <w:pPr>
      <w:keepNext/>
      <w:keepLines/>
      <w:spacing w:after="480" w:line="600" w:lineRule="atLeast"/>
      <w:outlineLvl w:val="0"/>
    </w:pPr>
    <w:rPr>
      <w:rFonts w:asciiTheme="majorHAnsi" w:eastAsiaTheme="majorEastAsia" w:hAnsiTheme="majorHAnsi" w:cstheme="majorBidi"/>
      <w:b/>
      <w:bCs/>
      <w:i/>
      <w:sz w:val="56"/>
      <w:szCs w:val="28"/>
    </w:rPr>
  </w:style>
  <w:style w:type="paragraph" w:styleId="Heading2">
    <w:name w:val="heading 2"/>
    <w:basedOn w:val="Normal"/>
    <w:next w:val="BodyText"/>
    <w:link w:val="Heading2Char"/>
    <w:uiPriority w:val="9"/>
    <w:unhideWhenUsed/>
    <w:qFormat/>
    <w:rsid w:val="00097464"/>
    <w:pPr>
      <w:keepNext/>
      <w:keepLines/>
      <w:spacing w:after="40" w:line="240" w:lineRule="auto"/>
      <w:outlineLvl w:val="1"/>
    </w:pPr>
    <w:rPr>
      <w:rFonts w:asciiTheme="majorHAnsi" w:eastAsiaTheme="majorEastAsia" w:hAnsiTheme="majorHAnsi" w:cstheme="majorBidi"/>
      <w:b/>
      <w:bCs/>
      <w:i/>
      <w:color w:val="DC6900" w:themeColor="text2"/>
      <w:sz w:val="32"/>
      <w:szCs w:val="26"/>
    </w:rPr>
  </w:style>
  <w:style w:type="paragraph" w:styleId="Heading3">
    <w:name w:val="heading 3"/>
    <w:basedOn w:val="Normal"/>
    <w:next w:val="BodyText"/>
    <w:link w:val="Heading3Char"/>
    <w:uiPriority w:val="9"/>
    <w:unhideWhenUsed/>
    <w:qFormat/>
    <w:rsid w:val="00097464"/>
    <w:pPr>
      <w:keepNext/>
      <w:keepLines/>
      <w:spacing w:after="40" w:line="240" w:lineRule="auto"/>
      <w:outlineLvl w:val="2"/>
    </w:pPr>
    <w:rPr>
      <w:rFonts w:asciiTheme="majorHAnsi" w:eastAsiaTheme="majorEastAsia" w:hAnsiTheme="majorHAnsi" w:cstheme="majorBidi"/>
      <w:bCs/>
      <w:i/>
      <w:color w:val="DC6900" w:themeColor="text2"/>
      <w:sz w:val="32"/>
    </w:rPr>
  </w:style>
  <w:style w:type="paragraph" w:styleId="Heading4">
    <w:name w:val="heading 4"/>
    <w:basedOn w:val="Normal"/>
    <w:next w:val="BodyText"/>
    <w:link w:val="Heading4Char"/>
    <w:uiPriority w:val="9"/>
    <w:unhideWhenUsed/>
    <w:qFormat/>
    <w:rsid w:val="00097464"/>
    <w:pPr>
      <w:keepNext/>
      <w:keepLines/>
      <w:spacing w:after="40" w:line="240" w:lineRule="auto"/>
      <w:outlineLvl w:val="3"/>
    </w:pPr>
    <w:rPr>
      <w:rFonts w:asciiTheme="majorHAnsi" w:eastAsiaTheme="majorEastAsia" w:hAnsiTheme="majorHAnsi" w:cstheme="majorBidi"/>
      <w:bCs/>
      <w:iCs/>
      <w:color w:val="DC6900" w:themeColor="text2"/>
      <w:sz w:val="32"/>
    </w:rPr>
  </w:style>
  <w:style w:type="paragraph" w:styleId="Heading5">
    <w:name w:val="heading 5"/>
    <w:basedOn w:val="Normal"/>
    <w:next w:val="BodyText"/>
    <w:link w:val="Heading5Char"/>
    <w:uiPriority w:val="9"/>
    <w:unhideWhenUsed/>
    <w:qFormat/>
    <w:rsid w:val="00097464"/>
    <w:pPr>
      <w:keepNext/>
      <w:keepLines/>
      <w:spacing w:after="40" w:line="240" w:lineRule="auto"/>
      <w:outlineLvl w:val="4"/>
    </w:pPr>
    <w:rPr>
      <w:rFonts w:asciiTheme="majorHAnsi" w:eastAsiaTheme="majorEastAsia" w:hAnsiTheme="majorHAnsi" w:cstheme="majorBidi"/>
      <w:color w:val="DC6900" w:themeColor="text2"/>
    </w:rPr>
  </w:style>
  <w:style w:type="paragraph" w:styleId="Heading6">
    <w:name w:val="heading 6"/>
    <w:basedOn w:val="Normal"/>
    <w:next w:val="Normal"/>
    <w:link w:val="Heading6Char"/>
    <w:uiPriority w:val="9"/>
    <w:semiHidden/>
    <w:unhideWhenUsed/>
    <w:qFormat/>
    <w:rsid w:val="00097464"/>
    <w:pPr>
      <w:keepNext/>
      <w:keepLines/>
      <w:spacing w:after="40" w:line="240" w:lineRule="auto"/>
      <w:outlineLvl w:val="5"/>
    </w:pPr>
    <w:rPr>
      <w:rFonts w:asciiTheme="majorHAnsi" w:eastAsiaTheme="majorEastAsia" w:hAnsiTheme="majorHAnsi" w:cstheme="majorBidi"/>
      <w:iCs/>
      <w:color w:val="DC6900" w:themeColor="text2"/>
    </w:rPr>
  </w:style>
  <w:style w:type="paragraph" w:styleId="Heading7">
    <w:name w:val="heading 7"/>
    <w:basedOn w:val="Normal"/>
    <w:next w:val="Normal"/>
    <w:link w:val="Heading7Char"/>
    <w:uiPriority w:val="9"/>
    <w:semiHidden/>
    <w:unhideWhenUsed/>
    <w:qFormat/>
    <w:rsid w:val="00097464"/>
    <w:pPr>
      <w:keepNext/>
      <w:keepLines/>
      <w:spacing w:after="40" w:line="240" w:lineRule="auto"/>
      <w:outlineLvl w:val="6"/>
    </w:pPr>
    <w:rPr>
      <w:rFonts w:asciiTheme="majorHAnsi" w:eastAsiaTheme="majorEastAsia" w:hAnsiTheme="majorHAnsi" w:cstheme="majorBidi"/>
      <w:iCs/>
      <w:color w:val="DC6900" w:themeColor="text2"/>
    </w:rPr>
  </w:style>
  <w:style w:type="paragraph" w:styleId="Heading8">
    <w:name w:val="heading 8"/>
    <w:basedOn w:val="Normal"/>
    <w:next w:val="Normal"/>
    <w:link w:val="Heading8Char"/>
    <w:uiPriority w:val="9"/>
    <w:semiHidden/>
    <w:unhideWhenUsed/>
    <w:qFormat/>
    <w:rsid w:val="00097464"/>
    <w:pPr>
      <w:keepNext/>
      <w:keepLines/>
      <w:spacing w:after="40" w:line="240" w:lineRule="auto"/>
      <w:outlineLvl w:val="7"/>
    </w:pPr>
    <w:rPr>
      <w:rFonts w:asciiTheme="majorHAnsi" w:eastAsiaTheme="majorEastAsia" w:hAnsiTheme="majorHAnsi" w:cstheme="majorBidi"/>
      <w:color w:val="DC6900" w:themeColor="text2"/>
    </w:rPr>
  </w:style>
  <w:style w:type="paragraph" w:styleId="Heading9">
    <w:name w:val="heading 9"/>
    <w:basedOn w:val="Normal"/>
    <w:next w:val="Normal"/>
    <w:link w:val="Heading9Char"/>
    <w:uiPriority w:val="9"/>
    <w:semiHidden/>
    <w:unhideWhenUsed/>
    <w:qFormat/>
    <w:rsid w:val="00097464"/>
    <w:pPr>
      <w:keepNext/>
      <w:keepLines/>
      <w:spacing w:after="40" w:line="240" w:lineRule="auto"/>
      <w:outlineLvl w:val="8"/>
    </w:pPr>
    <w:rPr>
      <w:rFonts w:asciiTheme="majorHAnsi" w:eastAsiaTheme="majorEastAsia" w:hAnsiTheme="majorHAnsi" w:cstheme="majorBidi"/>
      <w:iCs/>
      <w:color w:val="DC69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097464"/>
  </w:style>
  <w:style w:type="character" w:customStyle="1" w:styleId="BodyTextChar">
    <w:name w:val="Body Text Char"/>
    <w:basedOn w:val="DefaultParagraphFont"/>
    <w:link w:val="BodyText"/>
    <w:rsid w:val="00097464"/>
  </w:style>
  <w:style w:type="paragraph" w:customStyle="1" w:styleId="BodySingle">
    <w:name w:val="Body Single"/>
    <w:basedOn w:val="BodyText"/>
    <w:link w:val="BodySingleChar"/>
    <w:uiPriority w:val="1"/>
    <w:qFormat/>
    <w:rsid w:val="00097464"/>
    <w:pPr>
      <w:spacing w:after="0"/>
    </w:pPr>
  </w:style>
  <w:style w:type="paragraph" w:styleId="Header">
    <w:name w:val="header"/>
    <w:basedOn w:val="Normal"/>
    <w:link w:val="HeaderChar"/>
    <w:uiPriority w:val="99"/>
    <w:unhideWhenUsed/>
    <w:rsid w:val="00097464"/>
    <w:pPr>
      <w:spacing w:after="0" w:line="240" w:lineRule="auto"/>
    </w:pPr>
    <w:rPr>
      <w:rFonts w:asciiTheme="minorHAnsi" w:hAnsiTheme="minorHAnsi"/>
      <w:sz w:val="19"/>
    </w:rPr>
  </w:style>
  <w:style w:type="character" w:customStyle="1" w:styleId="BodySingleChar">
    <w:name w:val="Body Single Char"/>
    <w:basedOn w:val="BodyTextChar"/>
    <w:link w:val="BodySingle"/>
    <w:uiPriority w:val="1"/>
    <w:rsid w:val="00097464"/>
  </w:style>
  <w:style w:type="character" w:customStyle="1" w:styleId="HeaderChar">
    <w:name w:val="Header Char"/>
    <w:basedOn w:val="DefaultParagraphFont"/>
    <w:link w:val="Header"/>
    <w:uiPriority w:val="99"/>
    <w:rsid w:val="00097464"/>
    <w:rPr>
      <w:rFonts w:asciiTheme="minorHAnsi" w:hAnsiTheme="minorHAnsi"/>
      <w:sz w:val="19"/>
    </w:rPr>
  </w:style>
  <w:style w:type="paragraph" w:styleId="Footer">
    <w:name w:val="footer"/>
    <w:basedOn w:val="Normal"/>
    <w:link w:val="FooterChar"/>
    <w:uiPriority w:val="99"/>
    <w:unhideWhenUsed/>
    <w:rsid w:val="00097464"/>
    <w:pPr>
      <w:spacing w:after="0" w:line="240" w:lineRule="auto"/>
    </w:pPr>
    <w:rPr>
      <w:rFonts w:asciiTheme="minorHAnsi" w:hAnsiTheme="minorHAnsi"/>
      <w:sz w:val="19"/>
    </w:rPr>
  </w:style>
  <w:style w:type="character" w:customStyle="1" w:styleId="FooterChar">
    <w:name w:val="Footer Char"/>
    <w:basedOn w:val="DefaultParagraphFont"/>
    <w:link w:val="Footer"/>
    <w:uiPriority w:val="99"/>
    <w:rsid w:val="00097464"/>
    <w:rPr>
      <w:rFonts w:asciiTheme="minorHAnsi" w:hAnsiTheme="minorHAnsi"/>
      <w:sz w:val="19"/>
    </w:rPr>
  </w:style>
  <w:style w:type="character" w:customStyle="1" w:styleId="Heading1Char">
    <w:name w:val="Heading 1 Char"/>
    <w:basedOn w:val="DefaultParagraphFont"/>
    <w:link w:val="Heading1"/>
    <w:uiPriority w:val="9"/>
    <w:rsid w:val="00097464"/>
    <w:rPr>
      <w:rFonts w:asciiTheme="majorHAnsi" w:eastAsiaTheme="majorEastAsia" w:hAnsiTheme="majorHAnsi" w:cstheme="majorBidi"/>
      <w:b/>
      <w:bCs/>
      <w:i/>
      <w:sz w:val="56"/>
      <w:szCs w:val="28"/>
    </w:rPr>
  </w:style>
  <w:style w:type="character" w:customStyle="1" w:styleId="Heading2Char">
    <w:name w:val="Heading 2 Char"/>
    <w:basedOn w:val="DefaultParagraphFont"/>
    <w:link w:val="Heading2"/>
    <w:uiPriority w:val="9"/>
    <w:rsid w:val="00097464"/>
    <w:rPr>
      <w:rFonts w:asciiTheme="majorHAnsi" w:eastAsiaTheme="majorEastAsia" w:hAnsiTheme="majorHAnsi" w:cstheme="majorBidi"/>
      <w:b/>
      <w:bCs/>
      <w:i/>
      <w:color w:val="DC6900" w:themeColor="text2"/>
      <w:sz w:val="32"/>
      <w:szCs w:val="26"/>
    </w:rPr>
  </w:style>
  <w:style w:type="character" w:customStyle="1" w:styleId="Heading3Char">
    <w:name w:val="Heading 3 Char"/>
    <w:basedOn w:val="DefaultParagraphFont"/>
    <w:link w:val="Heading3"/>
    <w:uiPriority w:val="9"/>
    <w:rsid w:val="00097464"/>
    <w:rPr>
      <w:rFonts w:asciiTheme="majorHAnsi" w:eastAsiaTheme="majorEastAsia" w:hAnsiTheme="majorHAnsi" w:cstheme="majorBidi"/>
      <w:bCs/>
      <w:i/>
      <w:color w:val="DC6900" w:themeColor="text2"/>
      <w:sz w:val="32"/>
    </w:rPr>
  </w:style>
  <w:style w:type="character" w:customStyle="1" w:styleId="Heading4Char">
    <w:name w:val="Heading 4 Char"/>
    <w:basedOn w:val="DefaultParagraphFont"/>
    <w:link w:val="Heading4"/>
    <w:uiPriority w:val="9"/>
    <w:rsid w:val="00097464"/>
    <w:rPr>
      <w:rFonts w:asciiTheme="majorHAnsi" w:eastAsiaTheme="majorEastAsia" w:hAnsiTheme="majorHAnsi" w:cstheme="majorBidi"/>
      <w:bCs/>
      <w:iCs/>
      <w:color w:val="DC6900" w:themeColor="text2"/>
      <w:sz w:val="32"/>
    </w:rPr>
  </w:style>
  <w:style w:type="character" w:customStyle="1" w:styleId="Heading5Char">
    <w:name w:val="Heading 5 Char"/>
    <w:basedOn w:val="DefaultParagraphFont"/>
    <w:link w:val="Heading5"/>
    <w:uiPriority w:val="9"/>
    <w:rsid w:val="00097464"/>
    <w:rPr>
      <w:rFonts w:asciiTheme="majorHAnsi" w:eastAsiaTheme="majorEastAsia" w:hAnsiTheme="majorHAnsi" w:cstheme="majorBidi"/>
      <w:color w:val="DC6900" w:themeColor="text2"/>
    </w:rPr>
  </w:style>
  <w:style w:type="paragraph" w:styleId="Title">
    <w:name w:val="Title"/>
    <w:basedOn w:val="Normal"/>
    <w:next w:val="Subtitle"/>
    <w:link w:val="TitleChar"/>
    <w:uiPriority w:val="10"/>
    <w:qFormat/>
    <w:rsid w:val="00097464"/>
    <w:pPr>
      <w:spacing w:after="0" w:line="240" w:lineRule="auto"/>
      <w:contextualSpacing/>
    </w:pPr>
    <w:rPr>
      <w:rFonts w:asciiTheme="majorHAnsi" w:eastAsiaTheme="majorEastAsia" w:hAnsiTheme="majorHAnsi" w:cstheme="majorBidi"/>
      <w:b/>
      <w:i/>
      <w:spacing w:val="5"/>
      <w:kern w:val="28"/>
      <w:sz w:val="80"/>
      <w:szCs w:val="52"/>
    </w:rPr>
  </w:style>
  <w:style w:type="character" w:customStyle="1" w:styleId="TitleChar">
    <w:name w:val="Title Char"/>
    <w:basedOn w:val="DefaultParagraphFont"/>
    <w:link w:val="Title"/>
    <w:uiPriority w:val="10"/>
    <w:rsid w:val="00097464"/>
    <w:rPr>
      <w:rFonts w:asciiTheme="majorHAnsi" w:eastAsiaTheme="majorEastAsia" w:hAnsiTheme="majorHAnsi" w:cstheme="majorBidi"/>
      <w:b/>
      <w:i/>
      <w:spacing w:val="5"/>
      <w:kern w:val="28"/>
      <w:sz w:val="80"/>
      <w:szCs w:val="52"/>
    </w:rPr>
  </w:style>
  <w:style w:type="paragraph" w:styleId="TOCHeading">
    <w:name w:val="TOC Heading"/>
    <w:basedOn w:val="Heading1"/>
    <w:next w:val="Normal"/>
    <w:uiPriority w:val="39"/>
    <w:unhideWhenUsed/>
    <w:qFormat/>
    <w:rsid w:val="00097464"/>
    <w:pPr>
      <w:outlineLvl w:val="9"/>
    </w:pPr>
    <w:rPr>
      <w:lang w:val="en-US"/>
    </w:rPr>
  </w:style>
  <w:style w:type="paragraph" w:styleId="Subtitle">
    <w:name w:val="Subtitle"/>
    <w:basedOn w:val="Normal"/>
    <w:next w:val="Normal"/>
    <w:link w:val="SubtitleChar"/>
    <w:uiPriority w:val="11"/>
    <w:qFormat/>
    <w:rsid w:val="00097464"/>
    <w:pPr>
      <w:numPr>
        <w:ilvl w:val="1"/>
      </w:numPr>
      <w:spacing w:after="1200" w:line="240" w:lineRule="auto"/>
    </w:pPr>
    <w:rPr>
      <w:rFonts w:asciiTheme="majorHAnsi" w:eastAsiaTheme="majorEastAsia" w:hAnsiTheme="majorHAnsi" w:cstheme="majorBidi"/>
      <w:iCs/>
      <w:spacing w:val="15"/>
      <w:sz w:val="80"/>
      <w:szCs w:val="24"/>
    </w:rPr>
  </w:style>
  <w:style w:type="character" w:customStyle="1" w:styleId="SubtitleChar">
    <w:name w:val="Subtitle Char"/>
    <w:basedOn w:val="DefaultParagraphFont"/>
    <w:link w:val="Subtitle"/>
    <w:uiPriority w:val="11"/>
    <w:rsid w:val="00097464"/>
    <w:rPr>
      <w:rFonts w:asciiTheme="majorHAnsi" w:eastAsiaTheme="majorEastAsia" w:hAnsiTheme="majorHAnsi" w:cstheme="majorBidi"/>
      <w:iCs/>
      <w:spacing w:val="15"/>
      <w:sz w:val="80"/>
      <w:szCs w:val="24"/>
    </w:rPr>
  </w:style>
  <w:style w:type="paragraph" w:styleId="TOC1">
    <w:name w:val="toc 1"/>
    <w:basedOn w:val="Normal"/>
    <w:next w:val="Normal"/>
    <w:autoRedefine/>
    <w:uiPriority w:val="39"/>
    <w:unhideWhenUsed/>
    <w:rsid w:val="00097464"/>
    <w:pPr>
      <w:pBdr>
        <w:top w:val="single" w:sz="8" w:space="4" w:color="DC6900" w:themeColor="text2"/>
      </w:pBdr>
      <w:spacing w:before="120" w:after="120"/>
      <w:ind w:left="284" w:hanging="284"/>
    </w:pPr>
  </w:style>
  <w:style w:type="paragraph" w:styleId="TOC2">
    <w:name w:val="toc 2"/>
    <w:basedOn w:val="Normal"/>
    <w:next w:val="Normal"/>
    <w:autoRedefine/>
    <w:uiPriority w:val="39"/>
    <w:unhideWhenUsed/>
    <w:rsid w:val="008A5C6E"/>
    <w:pPr>
      <w:pBdr>
        <w:top w:val="dotted" w:sz="8" w:space="4" w:color="DC6900" w:themeColor="text2"/>
      </w:pBdr>
      <w:tabs>
        <w:tab w:val="left" w:pos="568"/>
        <w:tab w:val="right" w:pos="9854"/>
      </w:tabs>
      <w:spacing w:before="120" w:after="120"/>
      <w:ind w:left="567" w:hanging="567"/>
    </w:pPr>
  </w:style>
  <w:style w:type="paragraph" w:styleId="TOC3">
    <w:name w:val="toc 3"/>
    <w:basedOn w:val="Normal"/>
    <w:next w:val="Normal"/>
    <w:autoRedefine/>
    <w:uiPriority w:val="39"/>
    <w:unhideWhenUsed/>
    <w:rsid w:val="00097464"/>
    <w:pPr>
      <w:spacing w:before="120" w:after="120"/>
      <w:ind w:left="568" w:hanging="284"/>
    </w:pPr>
  </w:style>
  <w:style w:type="character" w:styleId="Hyperlink">
    <w:name w:val="Hyperlink"/>
    <w:basedOn w:val="DefaultParagraphFont"/>
    <w:uiPriority w:val="99"/>
    <w:unhideWhenUsed/>
    <w:rsid w:val="00097464"/>
    <w:rPr>
      <w:color w:val="DC6900" w:themeColor="hyperlink"/>
      <w:u w:val="single"/>
    </w:rPr>
  </w:style>
  <w:style w:type="paragraph" w:styleId="BalloonText">
    <w:name w:val="Balloon Text"/>
    <w:basedOn w:val="Normal"/>
    <w:link w:val="BalloonTextChar"/>
    <w:uiPriority w:val="99"/>
    <w:semiHidden/>
    <w:unhideWhenUsed/>
    <w:rsid w:val="00097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464"/>
    <w:rPr>
      <w:rFonts w:ascii="Tahoma" w:hAnsi="Tahoma" w:cs="Tahoma"/>
      <w:sz w:val="16"/>
      <w:szCs w:val="16"/>
    </w:rPr>
  </w:style>
  <w:style w:type="paragraph" w:styleId="ListBullet">
    <w:name w:val="List Bullet"/>
    <w:basedOn w:val="Normal"/>
    <w:uiPriority w:val="13"/>
    <w:unhideWhenUsed/>
    <w:qFormat/>
    <w:rsid w:val="00097464"/>
    <w:pPr>
      <w:numPr>
        <w:numId w:val="4"/>
      </w:numPr>
      <w:contextualSpacing/>
    </w:pPr>
  </w:style>
  <w:style w:type="numbering" w:customStyle="1" w:styleId="PwCListBullets1">
    <w:name w:val="PwC List Bullets 1"/>
    <w:uiPriority w:val="99"/>
    <w:rsid w:val="00097464"/>
    <w:pPr>
      <w:numPr>
        <w:numId w:val="1"/>
      </w:numPr>
    </w:pPr>
  </w:style>
  <w:style w:type="numbering" w:customStyle="1" w:styleId="PwCListNumbers1">
    <w:name w:val="PwC List Numbers 1"/>
    <w:uiPriority w:val="99"/>
    <w:rsid w:val="00097464"/>
    <w:pPr>
      <w:numPr>
        <w:numId w:val="2"/>
      </w:numPr>
    </w:pPr>
  </w:style>
  <w:style w:type="paragraph" w:styleId="ListNumber">
    <w:name w:val="List Number"/>
    <w:basedOn w:val="Normal"/>
    <w:uiPriority w:val="13"/>
    <w:unhideWhenUsed/>
    <w:qFormat/>
    <w:rsid w:val="00097464"/>
    <w:pPr>
      <w:numPr>
        <w:numId w:val="3"/>
      </w:numPr>
      <w:contextualSpacing/>
    </w:pPr>
  </w:style>
  <w:style w:type="paragraph" w:styleId="ListBullet2">
    <w:name w:val="List Bullet 2"/>
    <w:basedOn w:val="Normal"/>
    <w:uiPriority w:val="13"/>
    <w:unhideWhenUsed/>
    <w:qFormat/>
    <w:rsid w:val="00097464"/>
    <w:pPr>
      <w:numPr>
        <w:ilvl w:val="1"/>
        <w:numId w:val="4"/>
      </w:numPr>
      <w:contextualSpacing/>
    </w:pPr>
  </w:style>
  <w:style w:type="paragraph" w:styleId="ListBullet3">
    <w:name w:val="List Bullet 3"/>
    <w:basedOn w:val="Normal"/>
    <w:uiPriority w:val="13"/>
    <w:unhideWhenUsed/>
    <w:qFormat/>
    <w:rsid w:val="00097464"/>
    <w:pPr>
      <w:numPr>
        <w:ilvl w:val="2"/>
        <w:numId w:val="4"/>
      </w:numPr>
      <w:contextualSpacing/>
    </w:pPr>
  </w:style>
  <w:style w:type="paragraph" w:styleId="ListBullet4">
    <w:name w:val="List Bullet 4"/>
    <w:basedOn w:val="Normal"/>
    <w:uiPriority w:val="13"/>
    <w:unhideWhenUsed/>
    <w:rsid w:val="00097464"/>
    <w:pPr>
      <w:numPr>
        <w:ilvl w:val="3"/>
        <w:numId w:val="4"/>
      </w:numPr>
      <w:contextualSpacing/>
    </w:pPr>
  </w:style>
  <w:style w:type="paragraph" w:styleId="ListBullet5">
    <w:name w:val="List Bullet 5"/>
    <w:basedOn w:val="Normal"/>
    <w:uiPriority w:val="13"/>
    <w:unhideWhenUsed/>
    <w:rsid w:val="00097464"/>
    <w:pPr>
      <w:numPr>
        <w:ilvl w:val="4"/>
        <w:numId w:val="4"/>
      </w:numPr>
      <w:contextualSpacing/>
    </w:pPr>
  </w:style>
  <w:style w:type="paragraph" w:styleId="ListNumber2">
    <w:name w:val="List Number 2"/>
    <w:basedOn w:val="Normal"/>
    <w:uiPriority w:val="13"/>
    <w:unhideWhenUsed/>
    <w:qFormat/>
    <w:rsid w:val="00097464"/>
    <w:pPr>
      <w:numPr>
        <w:ilvl w:val="1"/>
        <w:numId w:val="3"/>
      </w:numPr>
      <w:contextualSpacing/>
    </w:pPr>
  </w:style>
  <w:style w:type="paragraph" w:styleId="ListNumber3">
    <w:name w:val="List Number 3"/>
    <w:basedOn w:val="Normal"/>
    <w:uiPriority w:val="13"/>
    <w:unhideWhenUsed/>
    <w:qFormat/>
    <w:rsid w:val="00097464"/>
    <w:pPr>
      <w:numPr>
        <w:ilvl w:val="2"/>
        <w:numId w:val="3"/>
      </w:numPr>
      <w:contextualSpacing/>
    </w:pPr>
  </w:style>
  <w:style w:type="paragraph" w:styleId="ListNumber4">
    <w:name w:val="List Number 4"/>
    <w:basedOn w:val="Normal"/>
    <w:uiPriority w:val="13"/>
    <w:unhideWhenUsed/>
    <w:rsid w:val="00097464"/>
    <w:pPr>
      <w:numPr>
        <w:ilvl w:val="3"/>
        <w:numId w:val="3"/>
      </w:numPr>
      <w:contextualSpacing/>
    </w:pPr>
  </w:style>
  <w:style w:type="paragraph" w:styleId="ListNumber5">
    <w:name w:val="List Number 5"/>
    <w:basedOn w:val="Normal"/>
    <w:uiPriority w:val="13"/>
    <w:unhideWhenUsed/>
    <w:rsid w:val="00097464"/>
    <w:pPr>
      <w:numPr>
        <w:ilvl w:val="4"/>
        <w:numId w:val="3"/>
      </w:numPr>
      <w:contextualSpacing/>
    </w:pPr>
  </w:style>
  <w:style w:type="paragraph" w:styleId="List">
    <w:name w:val="List"/>
    <w:basedOn w:val="Normal"/>
    <w:uiPriority w:val="99"/>
    <w:semiHidden/>
    <w:unhideWhenUsed/>
    <w:rsid w:val="00097464"/>
    <w:pPr>
      <w:ind w:left="567" w:hanging="567"/>
      <w:contextualSpacing/>
    </w:pPr>
  </w:style>
  <w:style w:type="paragraph" w:styleId="List2">
    <w:name w:val="List 2"/>
    <w:basedOn w:val="Normal"/>
    <w:uiPriority w:val="99"/>
    <w:semiHidden/>
    <w:unhideWhenUsed/>
    <w:rsid w:val="00097464"/>
    <w:pPr>
      <w:ind w:left="1134" w:hanging="567"/>
      <w:contextualSpacing/>
    </w:pPr>
  </w:style>
  <w:style w:type="paragraph" w:styleId="ListContinue">
    <w:name w:val="List Continue"/>
    <w:basedOn w:val="Normal"/>
    <w:uiPriority w:val="14"/>
    <w:unhideWhenUsed/>
    <w:qFormat/>
    <w:rsid w:val="00097464"/>
    <w:pPr>
      <w:spacing w:after="120"/>
      <w:ind w:left="567"/>
      <w:contextualSpacing/>
    </w:pPr>
  </w:style>
  <w:style w:type="paragraph" w:styleId="ListContinue2">
    <w:name w:val="List Continue 2"/>
    <w:basedOn w:val="Normal"/>
    <w:uiPriority w:val="14"/>
    <w:unhideWhenUsed/>
    <w:qFormat/>
    <w:rsid w:val="00097464"/>
    <w:pPr>
      <w:spacing w:after="120"/>
      <w:ind w:left="1134"/>
      <w:contextualSpacing/>
    </w:pPr>
  </w:style>
  <w:style w:type="paragraph" w:styleId="ListContinue3">
    <w:name w:val="List Continue 3"/>
    <w:basedOn w:val="Normal"/>
    <w:uiPriority w:val="14"/>
    <w:unhideWhenUsed/>
    <w:qFormat/>
    <w:rsid w:val="00097464"/>
    <w:pPr>
      <w:spacing w:after="120"/>
      <w:ind w:left="1701"/>
      <w:contextualSpacing/>
    </w:pPr>
  </w:style>
  <w:style w:type="paragraph" w:styleId="ListContinue4">
    <w:name w:val="List Continue 4"/>
    <w:basedOn w:val="Normal"/>
    <w:uiPriority w:val="14"/>
    <w:semiHidden/>
    <w:unhideWhenUsed/>
    <w:rsid w:val="00097464"/>
    <w:pPr>
      <w:spacing w:after="120"/>
      <w:ind w:left="2268"/>
      <w:contextualSpacing/>
    </w:pPr>
  </w:style>
  <w:style w:type="paragraph" w:styleId="ListContinue5">
    <w:name w:val="List Continue 5"/>
    <w:basedOn w:val="Normal"/>
    <w:uiPriority w:val="14"/>
    <w:semiHidden/>
    <w:unhideWhenUsed/>
    <w:rsid w:val="00097464"/>
    <w:pPr>
      <w:spacing w:after="120"/>
      <w:ind w:left="2835"/>
      <w:contextualSpacing/>
    </w:pPr>
  </w:style>
  <w:style w:type="paragraph" w:styleId="List3">
    <w:name w:val="List 3"/>
    <w:basedOn w:val="Normal"/>
    <w:uiPriority w:val="99"/>
    <w:semiHidden/>
    <w:unhideWhenUsed/>
    <w:rsid w:val="00097464"/>
    <w:pPr>
      <w:ind w:left="1701" w:hanging="567"/>
      <w:contextualSpacing/>
    </w:pPr>
  </w:style>
  <w:style w:type="paragraph" w:styleId="List4">
    <w:name w:val="List 4"/>
    <w:basedOn w:val="Normal"/>
    <w:uiPriority w:val="99"/>
    <w:semiHidden/>
    <w:unhideWhenUsed/>
    <w:rsid w:val="00097464"/>
    <w:pPr>
      <w:ind w:left="2268" w:hanging="567"/>
      <w:contextualSpacing/>
    </w:pPr>
  </w:style>
  <w:style w:type="paragraph" w:styleId="List5">
    <w:name w:val="List 5"/>
    <w:basedOn w:val="Normal"/>
    <w:uiPriority w:val="99"/>
    <w:semiHidden/>
    <w:unhideWhenUsed/>
    <w:rsid w:val="00097464"/>
    <w:pPr>
      <w:ind w:left="2835" w:hanging="567"/>
      <w:contextualSpacing/>
    </w:pPr>
  </w:style>
  <w:style w:type="table" w:styleId="TableGrid">
    <w:name w:val="Table Grid"/>
    <w:basedOn w:val="TableNormal"/>
    <w:uiPriority w:val="59"/>
    <w:rsid w:val="000974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wCTableFigures">
    <w:name w:val="PwC Table Figures"/>
    <w:basedOn w:val="TableNormal"/>
    <w:uiPriority w:val="99"/>
    <w:qFormat/>
    <w:rsid w:val="00097464"/>
    <w:pPr>
      <w:tabs>
        <w:tab w:val="decimal" w:pos="1134"/>
      </w:tabs>
      <w:spacing w:before="60" w:after="60" w:line="240" w:lineRule="auto"/>
    </w:pPr>
    <w:rPr>
      <w:rFonts w:asciiTheme="minorHAnsi" w:hAnsiTheme="minorHAnsi"/>
    </w:rPr>
    <w:tblPr>
      <w:tblInd w:w="0" w:type="dxa"/>
      <w:tblBorders>
        <w:insideH w:val="dotted" w:sz="4" w:space="0" w:color="DC6900" w:themeColor="text2"/>
      </w:tblBorders>
      <w:tblCellMar>
        <w:top w:w="0" w:type="dxa"/>
        <w:left w:w="108" w:type="dxa"/>
        <w:bottom w:w="0" w:type="dxa"/>
        <w:right w:w="108" w:type="dxa"/>
      </w:tblCellMar>
    </w:tblPr>
    <w:tblStylePr w:type="firstRow">
      <w:rPr>
        <w:b/>
      </w:rPr>
      <w:tblPr/>
      <w:tcPr>
        <w:tcBorders>
          <w:top w:val="single" w:sz="6" w:space="0" w:color="DC6900" w:themeColor="text2"/>
          <w:left w:val="nil"/>
          <w:bottom w:val="single" w:sz="6" w:space="0" w:color="DC6900"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DC6900" w:themeColor="text2"/>
          <w:left w:val="nil"/>
          <w:bottom w:val="single" w:sz="6" w:space="0" w:color="DC6900" w:themeColor="text2"/>
          <w:right w:val="nil"/>
          <w:insideH w:val="nil"/>
          <w:insideV w:val="nil"/>
          <w:tl2br w:val="nil"/>
          <w:tr2bl w:val="nil"/>
        </w:tcBorders>
      </w:tcPr>
    </w:tblStylePr>
  </w:style>
  <w:style w:type="table" w:customStyle="1" w:styleId="PwCTableText">
    <w:name w:val="PwC Table Text"/>
    <w:basedOn w:val="TableNormal"/>
    <w:uiPriority w:val="99"/>
    <w:qFormat/>
    <w:rsid w:val="00097464"/>
    <w:pPr>
      <w:spacing w:before="60" w:after="60" w:line="240" w:lineRule="auto"/>
    </w:pPr>
    <w:tblPr>
      <w:tblStyleRowBandSize w:val="1"/>
      <w:tblInd w:w="0" w:type="dxa"/>
      <w:tblBorders>
        <w:insideH w:val="dotted" w:sz="4" w:space="0" w:color="DC6900" w:themeColor="text2"/>
      </w:tblBorders>
      <w:tblCellMar>
        <w:top w:w="0" w:type="dxa"/>
        <w:left w:w="108" w:type="dxa"/>
        <w:bottom w:w="0" w:type="dxa"/>
        <w:right w:w="108" w:type="dxa"/>
      </w:tblCellMar>
    </w:tblPr>
    <w:tblStylePr w:type="firstRow">
      <w:rPr>
        <w:b/>
      </w:rPr>
      <w:tblPr/>
      <w:tcPr>
        <w:tcBorders>
          <w:top w:val="single" w:sz="6" w:space="0" w:color="DC6900" w:themeColor="text2"/>
          <w:bottom w:val="single" w:sz="6" w:space="0" w:color="DC6900" w:themeColor="text2"/>
        </w:tcBorders>
      </w:tcPr>
    </w:tblStylePr>
    <w:tblStylePr w:type="lastRow">
      <w:rPr>
        <w:b/>
      </w:rPr>
      <w:tblPr/>
      <w:tcPr>
        <w:tcBorders>
          <w:top w:val="single" w:sz="6" w:space="0" w:color="DC6900" w:themeColor="text2"/>
          <w:bottom w:val="single" w:sz="6" w:space="0" w:color="DC6900" w:themeColor="text2"/>
        </w:tcBorders>
      </w:tcPr>
    </w:tblStylePr>
    <w:tblStylePr w:type="band1Horz">
      <w:tblPr/>
      <w:tcPr>
        <w:tcBorders>
          <w:bottom w:val="nil"/>
        </w:tcBorders>
      </w:tcPr>
    </w:tblStylePr>
  </w:style>
  <w:style w:type="paragraph" w:customStyle="1" w:styleId="SubHeading">
    <w:name w:val="Sub Heading"/>
    <w:basedOn w:val="Heading1"/>
    <w:uiPriority w:val="99"/>
    <w:qFormat/>
    <w:rsid w:val="00097464"/>
    <w:rPr>
      <w:b w:val="0"/>
      <w:i w:val="0"/>
    </w:rPr>
  </w:style>
  <w:style w:type="paragraph" w:customStyle="1" w:styleId="Heading1NoSpacing">
    <w:name w:val="Heading 1 No Spacing"/>
    <w:basedOn w:val="Heading1"/>
    <w:next w:val="Heading2"/>
    <w:link w:val="Heading1NoSpacingChar"/>
    <w:uiPriority w:val="9"/>
    <w:qFormat/>
    <w:rsid w:val="008E2FD9"/>
    <w:pPr>
      <w:spacing w:after="0"/>
    </w:pPr>
    <w:rPr>
      <w:sz w:val="44"/>
    </w:rPr>
  </w:style>
  <w:style w:type="character" w:customStyle="1" w:styleId="Heading1NoSpacingChar">
    <w:name w:val="Heading 1 No Spacing Char"/>
    <w:basedOn w:val="Heading1Char"/>
    <w:link w:val="Heading1NoSpacing"/>
    <w:uiPriority w:val="9"/>
    <w:rsid w:val="008E2FD9"/>
    <w:rPr>
      <w:rFonts w:asciiTheme="majorHAnsi" w:eastAsiaTheme="majorEastAsia" w:hAnsiTheme="majorHAnsi" w:cstheme="majorBidi"/>
      <w:b/>
      <w:bCs/>
      <w:i/>
      <w:sz w:val="44"/>
      <w:szCs w:val="28"/>
    </w:rPr>
  </w:style>
  <w:style w:type="character" w:customStyle="1" w:styleId="Heading6Char">
    <w:name w:val="Heading 6 Char"/>
    <w:basedOn w:val="DefaultParagraphFont"/>
    <w:link w:val="Heading6"/>
    <w:uiPriority w:val="9"/>
    <w:semiHidden/>
    <w:rsid w:val="00097464"/>
    <w:rPr>
      <w:rFonts w:asciiTheme="majorHAnsi" w:eastAsiaTheme="majorEastAsia" w:hAnsiTheme="majorHAnsi" w:cstheme="majorBidi"/>
      <w:iCs/>
      <w:color w:val="DC6900" w:themeColor="text2"/>
    </w:rPr>
  </w:style>
  <w:style w:type="character" w:customStyle="1" w:styleId="Heading7Char">
    <w:name w:val="Heading 7 Char"/>
    <w:basedOn w:val="DefaultParagraphFont"/>
    <w:link w:val="Heading7"/>
    <w:uiPriority w:val="9"/>
    <w:semiHidden/>
    <w:rsid w:val="00097464"/>
    <w:rPr>
      <w:rFonts w:asciiTheme="majorHAnsi" w:eastAsiaTheme="majorEastAsia" w:hAnsiTheme="majorHAnsi" w:cstheme="majorBidi"/>
      <w:iCs/>
      <w:color w:val="DC6900" w:themeColor="text2"/>
    </w:rPr>
  </w:style>
  <w:style w:type="character" w:customStyle="1" w:styleId="Heading8Char">
    <w:name w:val="Heading 8 Char"/>
    <w:basedOn w:val="DefaultParagraphFont"/>
    <w:link w:val="Heading8"/>
    <w:uiPriority w:val="9"/>
    <w:semiHidden/>
    <w:rsid w:val="00097464"/>
    <w:rPr>
      <w:rFonts w:asciiTheme="majorHAnsi" w:eastAsiaTheme="majorEastAsia" w:hAnsiTheme="majorHAnsi" w:cstheme="majorBidi"/>
      <w:color w:val="DC6900" w:themeColor="text2"/>
    </w:rPr>
  </w:style>
  <w:style w:type="character" w:customStyle="1" w:styleId="Heading9Char">
    <w:name w:val="Heading 9 Char"/>
    <w:basedOn w:val="DefaultParagraphFont"/>
    <w:link w:val="Heading9"/>
    <w:uiPriority w:val="9"/>
    <w:semiHidden/>
    <w:rsid w:val="00097464"/>
    <w:rPr>
      <w:rFonts w:asciiTheme="majorHAnsi" w:eastAsiaTheme="majorEastAsia" w:hAnsiTheme="majorHAnsi" w:cstheme="majorBidi"/>
      <w:iCs/>
      <w:color w:val="DC6900" w:themeColor="text2"/>
    </w:rPr>
  </w:style>
  <w:style w:type="paragraph" w:styleId="TOC4">
    <w:name w:val="toc 4"/>
    <w:basedOn w:val="Normal"/>
    <w:next w:val="Normal"/>
    <w:autoRedefine/>
    <w:uiPriority w:val="39"/>
    <w:unhideWhenUsed/>
    <w:rsid w:val="00097464"/>
    <w:pPr>
      <w:spacing w:after="120"/>
      <w:ind w:left="851" w:hanging="284"/>
    </w:pPr>
  </w:style>
  <w:style w:type="paragraph" w:styleId="TOC5">
    <w:name w:val="toc 5"/>
    <w:basedOn w:val="Normal"/>
    <w:next w:val="Normal"/>
    <w:autoRedefine/>
    <w:uiPriority w:val="39"/>
    <w:unhideWhenUsed/>
    <w:rsid w:val="00097464"/>
    <w:pPr>
      <w:spacing w:after="120"/>
      <w:ind w:left="1135" w:hanging="284"/>
    </w:pPr>
  </w:style>
  <w:style w:type="paragraph" w:styleId="TOC6">
    <w:name w:val="toc 6"/>
    <w:basedOn w:val="Normal"/>
    <w:next w:val="Normal"/>
    <w:autoRedefine/>
    <w:uiPriority w:val="39"/>
    <w:semiHidden/>
    <w:unhideWhenUsed/>
    <w:rsid w:val="00097464"/>
    <w:pPr>
      <w:spacing w:after="120"/>
      <w:ind w:left="1418" w:hanging="284"/>
    </w:pPr>
  </w:style>
  <w:style w:type="paragraph" w:styleId="TOC7">
    <w:name w:val="toc 7"/>
    <w:basedOn w:val="Normal"/>
    <w:next w:val="Normal"/>
    <w:autoRedefine/>
    <w:uiPriority w:val="39"/>
    <w:semiHidden/>
    <w:unhideWhenUsed/>
    <w:rsid w:val="00097464"/>
    <w:pPr>
      <w:spacing w:after="120"/>
      <w:ind w:left="1702" w:hanging="284"/>
    </w:pPr>
  </w:style>
  <w:style w:type="paragraph" w:styleId="TOC8">
    <w:name w:val="toc 8"/>
    <w:basedOn w:val="Normal"/>
    <w:next w:val="Normal"/>
    <w:autoRedefine/>
    <w:uiPriority w:val="39"/>
    <w:semiHidden/>
    <w:unhideWhenUsed/>
    <w:rsid w:val="00097464"/>
    <w:pPr>
      <w:spacing w:after="120"/>
      <w:ind w:left="1985" w:hanging="284"/>
    </w:pPr>
  </w:style>
  <w:style w:type="paragraph" w:styleId="TOC9">
    <w:name w:val="toc 9"/>
    <w:basedOn w:val="Normal"/>
    <w:next w:val="Normal"/>
    <w:autoRedefine/>
    <w:uiPriority w:val="39"/>
    <w:semiHidden/>
    <w:unhideWhenUsed/>
    <w:rsid w:val="00097464"/>
    <w:pPr>
      <w:spacing w:after="120"/>
      <w:ind w:left="2269" w:hanging="284"/>
    </w:pPr>
  </w:style>
  <w:style w:type="character" w:styleId="Emphasis">
    <w:name w:val="Emphasis"/>
    <w:basedOn w:val="DefaultParagraphFont"/>
    <w:uiPriority w:val="20"/>
    <w:qFormat/>
    <w:rsid w:val="00097464"/>
    <w:rPr>
      <w:i/>
      <w:iCs/>
    </w:rPr>
  </w:style>
  <w:style w:type="paragraph" w:styleId="Quote">
    <w:name w:val="Quote"/>
    <w:basedOn w:val="Normal"/>
    <w:next w:val="Normal"/>
    <w:link w:val="QuoteChar"/>
    <w:uiPriority w:val="29"/>
    <w:qFormat/>
    <w:rsid w:val="00097464"/>
    <w:rPr>
      <w:i/>
      <w:iCs/>
      <w:color w:val="000000" w:themeColor="text1"/>
    </w:rPr>
  </w:style>
  <w:style w:type="character" w:customStyle="1" w:styleId="QuoteChar">
    <w:name w:val="Quote Char"/>
    <w:basedOn w:val="DefaultParagraphFont"/>
    <w:link w:val="Quote"/>
    <w:uiPriority w:val="29"/>
    <w:rsid w:val="00097464"/>
    <w:rPr>
      <w:i/>
      <w:iCs/>
      <w:color w:val="000000" w:themeColor="text1"/>
    </w:rPr>
  </w:style>
  <w:style w:type="paragraph" w:styleId="BlockText">
    <w:name w:val="Block Text"/>
    <w:basedOn w:val="Normal"/>
    <w:next w:val="BodyText3"/>
    <w:uiPriority w:val="99"/>
    <w:unhideWhenUsed/>
    <w:qFormat/>
    <w:rsid w:val="00097464"/>
    <w:pPr>
      <w:spacing w:line="240" w:lineRule="auto"/>
    </w:pPr>
    <w:rPr>
      <w:b/>
      <w:i/>
      <w:color w:val="DC6900" w:themeColor="text2"/>
      <w:sz w:val="48"/>
      <w:szCs w:val="48"/>
    </w:rPr>
  </w:style>
  <w:style w:type="paragraph" w:customStyle="1" w:styleId="BlockText2">
    <w:name w:val="Block Text 2"/>
    <w:basedOn w:val="Normal"/>
    <w:uiPriority w:val="99"/>
    <w:qFormat/>
    <w:rsid w:val="00097464"/>
    <w:pPr>
      <w:pBdr>
        <w:top w:val="single" w:sz="2" w:space="10" w:color="DC6900" w:themeColor="text2"/>
        <w:left w:val="single" w:sz="2" w:space="10" w:color="DC6900" w:themeColor="text2"/>
        <w:bottom w:val="single" w:sz="2" w:space="10" w:color="DC6900" w:themeColor="text2"/>
        <w:right w:val="single" w:sz="2" w:space="10" w:color="DC6900" w:themeColor="text2"/>
      </w:pBdr>
      <w:shd w:val="clear" w:color="auto" w:fill="DC6900" w:themeFill="text2"/>
      <w:spacing w:line="240" w:lineRule="auto"/>
      <w:ind w:left="227" w:right="227"/>
    </w:pPr>
    <w:rPr>
      <w:i/>
      <w:color w:val="FFFFFF" w:themeColor="background2"/>
      <w:sz w:val="48"/>
      <w:szCs w:val="48"/>
    </w:rPr>
  </w:style>
  <w:style w:type="paragraph" w:customStyle="1" w:styleId="BlockText3">
    <w:name w:val="Block Text 3"/>
    <w:basedOn w:val="BlockText"/>
    <w:uiPriority w:val="99"/>
    <w:qFormat/>
    <w:rsid w:val="00097464"/>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color w:val="DC6900" w:themeColor="accent1"/>
      <w:sz w:val="96"/>
      <w:szCs w:val="20"/>
    </w:rPr>
  </w:style>
  <w:style w:type="paragraph" w:styleId="BodyText3">
    <w:name w:val="Body Text 3"/>
    <w:basedOn w:val="Normal"/>
    <w:link w:val="BodyText3Char"/>
    <w:uiPriority w:val="99"/>
    <w:semiHidden/>
    <w:unhideWhenUsed/>
    <w:rsid w:val="00097464"/>
    <w:pPr>
      <w:spacing w:after="120"/>
    </w:pPr>
    <w:rPr>
      <w:sz w:val="16"/>
      <w:szCs w:val="16"/>
    </w:rPr>
  </w:style>
  <w:style w:type="character" w:customStyle="1" w:styleId="BodyText3Char">
    <w:name w:val="Body Text 3 Char"/>
    <w:basedOn w:val="DefaultParagraphFont"/>
    <w:link w:val="BodyText3"/>
    <w:uiPriority w:val="99"/>
    <w:semiHidden/>
    <w:rsid w:val="00097464"/>
    <w:rPr>
      <w:sz w:val="16"/>
      <w:szCs w:val="16"/>
    </w:rPr>
  </w:style>
  <w:style w:type="paragraph" w:customStyle="1" w:styleId="Address">
    <w:name w:val="Address"/>
    <w:basedOn w:val="Normal"/>
    <w:link w:val="AddressChar"/>
    <w:qFormat/>
    <w:rsid w:val="00DB6D72"/>
    <w:pPr>
      <w:spacing w:after="0" w:line="200" w:lineRule="atLeast"/>
    </w:pPr>
    <w:rPr>
      <w:i/>
      <w:noProof/>
      <w:sz w:val="18"/>
      <w:szCs w:val="22"/>
      <w:lang w:eastAsia="en-GB"/>
    </w:rPr>
  </w:style>
  <w:style w:type="character" w:customStyle="1" w:styleId="AddressChar">
    <w:name w:val="Address Char"/>
    <w:basedOn w:val="DefaultParagraphFont"/>
    <w:link w:val="Address"/>
    <w:rsid w:val="00DB6D72"/>
    <w:rPr>
      <w:i/>
      <w:noProof/>
      <w:sz w:val="18"/>
      <w:szCs w:val="22"/>
      <w:lang w:eastAsia="en-GB"/>
    </w:rPr>
  </w:style>
  <w:style w:type="table" w:customStyle="1" w:styleId="LightGrid-Accent11">
    <w:name w:val="Light Grid - Accent 11"/>
    <w:basedOn w:val="TableNormal"/>
    <w:uiPriority w:val="62"/>
    <w:rsid w:val="00F301E6"/>
    <w:pPr>
      <w:spacing w:after="0" w:line="240" w:lineRule="auto"/>
    </w:pPr>
    <w:tblPr>
      <w:tblStyleRowBandSize w:val="1"/>
      <w:tblStyleColBandSize w:val="1"/>
      <w:tblInd w:w="0" w:type="dxa"/>
      <w:tblBorders>
        <w:top w:val="single" w:sz="8" w:space="0" w:color="DC6900" w:themeColor="accent1"/>
        <w:left w:val="single" w:sz="8" w:space="0" w:color="DC6900" w:themeColor="accent1"/>
        <w:bottom w:val="single" w:sz="8" w:space="0" w:color="DC6900" w:themeColor="accent1"/>
        <w:right w:val="single" w:sz="8" w:space="0" w:color="DC6900" w:themeColor="accent1"/>
        <w:insideH w:val="single" w:sz="8" w:space="0" w:color="DC6900" w:themeColor="accent1"/>
        <w:insideV w:val="single" w:sz="8" w:space="0" w:color="DC690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C6900" w:themeColor="accent1"/>
          <w:left w:val="single" w:sz="8" w:space="0" w:color="DC6900" w:themeColor="accent1"/>
          <w:bottom w:val="single" w:sz="18" w:space="0" w:color="DC6900" w:themeColor="accent1"/>
          <w:right w:val="single" w:sz="8" w:space="0" w:color="DC6900" w:themeColor="accent1"/>
          <w:insideH w:val="nil"/>
          <w:insideV w:val="single" w:sz="8" w:space="0" w:color="DC69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insideH w:val="nil"/>
          <w:insideV w:val="single" w:sz="8" w:space="0" w:color="DC69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shd w:val="clear" w:color="auto" w:fill="FFD9B7" w:themeFill="accent1" w:themeFillTint="3F"/>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insideV w:val="single" w:sz="8" w:space="0" w:color="DC6900" w:themeColor="accent1"/>
        </w:tcBorders>
        <w:shd w:val="clear" w:color="auto" w:fill="FFD9B7" w:themeFill="accent1" w:themeFillTint="3F"/>
      </w:tcPr>
    </w:tblStylePr>
    <w:tblStylePr w:type="band2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insideV w:val="single" w:sz="8" w:space="0" w:color="DC6900" w:themeColor="accent1"/>
        </w:tcBorders>
      </w:tcPr>
    </w:tblStylePr>
  </w:style>
  <w:style w:type="paragraph" w:styleId="ListParagraph">
    <w:name w:val="List Paragraph"/>
    <w:basedOn w:val="Normal"/>
    <w:link w:val="ListParagraphChar"/>
    <w:uiPriority w:val="34"/>
    <w:qFormat/>
    <w:rsid w:val="00482B67"/>
    <w:pPr>
      <w:ind w:left="720"/>
      <w:contextualSpacing/>
    </w:pPr>
  </w:style>
  <w:style w:type="character" w:customStyle="1" w:styleId="ListParagraphChar">
    <w:name w:val="List Paragraph Char"/>
    <w:basedOn w:val="DefaultParagraphFont"/>
    <w:link w:val="ListParagraph"/>
    <w:uiPriority w:val="34"/>
    <w:rsid w:val="00482B67"/>
  </w:style>
  <w:style w:type="paragraph" w:styleId="FootnoteText">
    <w:name w:val="footnote text"/>
    <w:basedOn w:val="Normal"/>
    <w:link w:val="FootnoteTextChar"/>
    <w:uiPriority w:val="99"/>
    <w:unhideWhenUsed/>
    <w:rsid w:val="00ED0FD9"/>
    <w:pPr>
      <w:spacing w:after="0" w:line="240" w:lineRule="auto"/>
    </w:pPr>
  </w:style>
  <w:style w:type="character" w:customStyle="1" w:styleId="FootnoteTextChar">
    <w:name w:val="Footnote Text Char"/>
    <w:basedOn w:val="DefaultParagraphFont"/>
    <w:link w:val="FootnoteText"/>
    <w:uiPriority w:val="99"/>
    <w:rsid w:val="00ED0FD9"/>
  </w:style>
  <w:style w:type="character" w:styleId="FootnoteReference">
    <w:name w:val="footnote reference"/>
    <w:basedOn w:val="DefaultParagraphFont"/>
    <w:uiPriority w:val="99"/>
    <w:semiHidden/>
    <w:unhideWhenUsed/>
    <w:rsid w:val="00ED0FD9"/>
    <w:rPr>
      <w:vertAlign w:val="superscript"/>
    </w:rPr>
  </w:style>
  <w:style w:type="character" w:styleId="CommentReference">
    <w:name w:val="annotation reference"/>
    <w:basedOn w:val="DefaultParagraphFont"/>
    <w:uiPriority w:val="99"/>
    <w:semiHidden/>
    <w:unhideWhenUsed/>
    <w:rsid w:val="00212E37"/>
    <w:rPr>
      <w:sz w:val="16"/>
      <w:szCs w:val="16"/>
    </w:rPr>
  </w:style>
  <w:style w:type="paragraph" w:styleId="CommentText">
    <w:name w:val="annotation text"/>
    <w:basedOn w:val="Normal"/>
    <w:link w:val="CommentTextChar"/>
    <w:uiPriority w:val="99"/>
    <w:unhideWhenUsed/>
    <w:rsid w:val="00212E37"/>
    <w:pPr>
      <w:spacing w:line="240" w:lineRule="auto"/>
    </w:pPr>
  </w:style>
  <w:style w:type="character" w:customStyle="1" w:styleId="CommentTextChar">
    <w:name w:val="Comment Text Char"/>
    <w:basedOn w:val="DefaultParagraphFont"/>
    <w:link w:val="CommentText"/>
    <w:uiPriority w:val="99"/>
    <w:rsid w:val="00212E37"/>
  </w:style>
  <w:style w:type="paragraph" w:styleId="CommentSubject">
    <w:name w:val="annotation subject"/>
    <w:basedOn w:val="CommentText"/>
    <w:next w:val="CommentText"/>
    <w:link w:val="CommentSubjectChar"/>
    <w:uiPriority w:val="99"/>
    <w:semiHidden/>
    <w:unhideWhenUsed/>
    <w:rsid w:val="00212E37"/>
    <w:rPr>
      <w:b/>
      <w:bCs/>
    </w:rPr>
  </w:style>
  <w:style w:type="character" w:customStyle="1" w:styleId="CommentSubjectChar">
    <w:name w:val="Comment Subject Char"/>
    <w:basedOn w:val="CommentTextChar"/>
    <w:link w:val="CommentSubject"/>
    <w:uiPriority w:val="99"/>
    <w:semiHidden/>
    <w:rsid w:val="00212E37"/>
    <w:rPr>
      <w:b/>
      <w:bCs/>
    </w:rPr>
  </w:style>
  <w:style w:type="paragraph" w:customStyle="1" w:styleId="Default">
    <w:name w:val="Default"/>
    <w:rsid w:val="00B418C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1">
    <w:name w:val="Text 1"/>
    <w:basedOn w:val="Normal"/>
    <w:link w:val="Text1Char"/>
    <w:rsid w:val="00385566"/>
    <w:pPr>
      <w:spacing w:after="120" w:line="276" w:lineRule="auto"/>
      <w:ind w:left="482"/>
      <w:jc w:val="both"/>
    </w:pPr>
    <w:rPr>
      <w:rFonts w:ascii="Times New Roman" w:eastAsia="Times New Roman" w:hAnsi="Times New Roman" w:cs="Times New Roman"/>
      <w:sz w:val="24"/>
    </w:rPr>
  </w:style>
  <w:style w:type="character" w:customStyle="1" w:styleId="Text1Char">
    <w:name w:val="Text 1 Char"/>
    <w:link w:val="Text1"/>
    <w:locked/>
    <w:rsid w:val="00385566"/>
    <w:rPr>
      <w:rFonts w:ascii="Times New Roman" w:eastAsia="Times New Roman" w:hAnsi="Times New Roman" w:cs="Times New Roman"/>
      <w:sz w:val="24"/>
    </w:rPr>
  </w:style>
  <w:style w:type="character" w:styleId="FollowedHyperlink">
    <w:name w:val="FollowedHyperlink"/>
    <w:basedOn w:val="DefaultParagraphFont"/>
    <w:uiPriority w:val="99"/>
    <w:semiHidden/>
    <w:unhideWhenUsed/>
    <w:rsid w:val="006568BF"/>
    <w:rPr>
      <w:color w:val="DC6900" w:themeColor="followedHyperlink"/>
      <w:u w:val="single"/>
    </w:rPr>
  </w:style>
  <w:style w:type="table" w:styleId="LightGrid-Accent6">
    <w:name w:val="Light Grid Accent 6"/>
    <w:basedOn w:val="TableNormal"/>
    <w:uiPriority w:val="62"/>
    <w:rsid w:val="004C23C0"/>
    <w:pPr>
      <w:spacing w:after="0" w:line="240" w:lineRule="auto"/>
    </w:pPr>
    <w:rPr>
      <w:rFonts w:asciiTheme="minorHAnsi" w:hAnsiTheme="minorHAnsi"/>
      <w:sz w:val="22"/>
      <w:szCs w:val="22"/>
    </w:rPr>
    <w:tblPr>
      <w:tblStyleRowBandSize w:val="1"/>
      <w:tblStyleColBandSize w:val="1"/>
      <w:tblInd w:w="0" w:type="dxa"/>
      <w:tblBorders>
        <w:top w:val="single" w:sz="8" w:space="0" w:color="E0301E" w:themeColor="accent6"/>
        <w:left w:val="single" w:sz="8" w:space="0" w:color="E0301E" w:themeColor="accent6"/>
        <w:bottom w:val="single" w:sz="8" w:space="0" w:color="E0301E" w:themeColor="accent6"/>
        <w:right w:val="single" w:sz="8" w:space="0" w:color="E0301E" w:themeColor="accent6"/>
        <w:insideH w:val="single" w:sz="8" w:space="0" w:color="E0301E" w:themeColor="accent6"/>
        <w:insideV w:val="single" w:sz="8" w:space="0" w:color="E0301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0301E" w:themeColor="accent6"/>
          <w:left w:val="single" w:sz="8" w:space="0" w:color="E0301E" w:themeColor="accent6"/>
          <w:bottom w:val="single" w:sz="18" w:space="0" w:color="E0301E" w:themeColor="accent6"/>
          <w:right w:val="single" w:sz="8" w:space="0" w:color="E0301E" w:themeColor="accent6"/>
          <w:insideH w:val="nil"/>
          <w:insideV w:val="single" w:sz="8" w:space="0" w:color="E0301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insideH w:val="nil"/>
          <w:insideV w:val="single" w:sz="8" w:space="0" w:color="E0301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shd w:val="clear" w:color="auto" w:fill="F7CBC7" w:themeFill="accent6" w:themeFillTint="3F"/>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insideV w:val="single" w:sz="8" w:space="0" w:color="E0301E" w:themeColor="accent6"/>
        </w:tcBorders>
        <w:shd w:val="clear" w:color="auto" w:fill="F7CBC7" w:themeFill="accent6" w:themeFillTint="3F"/>
      </w:tcPr>
    </w:tblStylePr>
    <w:tblStylePr w:type="band2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insideV w:val="single" w:sz="8" w:space="0" w:color="E0301E" w:themeColor="accent6"/>
        </w:tcBorders>
      </w:tcPr>
    </w:tblStylePr>
  </w:style>
  <w:style w:type="table" w:customStyle="1" w:styleId="MediumShading1-Accent11">
    <w:name w:val="Medium Shading 1 - Accent 11"/>
    <w:basedOn w:val="TableNormal"/>
    <w:uiPriority w:val="63"/>
    <w:rsid w:val="004C23C0"/>
    <w:pPr>
      <w:spacing w:after="0" w:line="240" w:lineRule="auto"/>
    </w:pPr>
    <w:tblPr>
      <w:tblStyleRowBandSize w:val="1"/>
      <w:tblStyleColBandSize w:val="1"/>
      <w:tblInd w:w="0" w:type="dxa"/>
      <w:tbl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single" w:sz="8" w:space="0" w:color="FF8C2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shd w:val="clear" w:color="auto" w:fill="DC6900" w:themeFill="accent1"/>
      </w:tcPr>
    </w:tblStylePr>
    <w:tblStylePr w:type="lastRow">
      <w:pPr>
        <w:spacing w:before="0" w:after="0" w:line="240" w:lineRule="auto"/>
      </w:pPr>
      <w:rPr>
        <w:b/>
        <w:bCs/>
      </w:rPr>
      <w:tblPr/>
      <w:tcPr>
        <w:tcBorders>
          <w:top w:val="double" w:sz="6"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9B7" w:themeFill="accent1" w:themeFillTint="3F"/>
      </w:tcPr>
    </w:tblStylePr>
    <w:tblStylePr w:type="band1Horz">
      <w:tblPr/>
      <w:tcPr>
        <w:tcBorders>
          <w:insideH w:val="nil"/>
          <w:insideV w:val="nil"/>
        </w:tcBorders>
        <w:shd w:val="clear" w:color="auto" w:fill="FFD9B7" w:themeFill="accent1" w:themeFillTint="3F"/>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F827B7"/>
    <w:pPr>
      <w:spacing w:after="0" w:line="240" w:lineRule="auto"/>
    </w:pPr>
    <w:rPr>
      <w:color w:val="A44E00" w:themeColor="accent1" w:themeShade="BF"/>
    </w:rPr>
    <w:tblPr>
      <w:tblStyleRowBandSize w:val="1"/>
      <w:tblStyleColBandSize w:val="1"/>
      <w:tblInd w:w="0" w:type="dxa"/>
      <w:tblBorders>
        <w:top w:val="single" w:sz="8" w:space="0" w:color="DC6900" w:themeColor="accent1"/>
        <w:bottom w:val="single" w:sz="8" w:space="0" w:color="DC69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la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7" w:themeFill="accent1" w:themeFillTint="3F"/>
      </w:tcPr>
    </w:tblStylePr>
    <w:tblStylePr w:type="band1Horz">
      <w:tblPr/>
      <w:tcPr>
        <w:tcBorders>
          <w:left w:val="nil"/>
          <w:right w:val="nil"/>
          <w:insideH w:val="nil"/>
          <w:insideV w:val="nil"/>
        </w:tcBorders>
        <w:shd w:val="clear" w:color="auto" w:fill="FFD9B7" w:themeFill="accent1" w:themeFillTint="3F"/>
      </w:tcPr>
    </w:tblStylePr>
  </w:style>
  <w:style w:type="table" w:styleId="LightShading-Accent2">
    <w:name w:val="Light Shading Accent 2"/>
    <w:basedOn w:val="TableNormal"/>
    <w:uiPriority w:val="60"/>
    <w:rsid w:val="00F827B7"/>
    <w:pPr>
      <w:spacing w:after="0" w:line="240" w:lineRule="auto"/>
    </w:pPr>
    <w:rPr>
      <w:color w:val="BF8800" w:themeColor="accent2" w:themeShade="BF"/>
    </w:rPr>
    <w:tblPr>
      <w:tblStyleRowBandSize w:val="1"/>
      <w:tblStyleColBandSize w:val="1"/>
      <w:tblInd w:w="0" w:type="dxa"/>
      <w:tblBorders>
        <w:top w:val="single" w:sz="8" w:space="0" w:color="FFB600" w:themeColor="accent2"/>
        <w:bottom w:val="single" w:sz="8" w:space="0" w:color="FFB6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B600" w:themeColor="accent2"/>
          <w:left w:val="nil"/>
          <w:bottom w:val="single" w:sz="8" w:space="0" w:color="FFB600" w:themeColor="accent2"/>
          <w:right w:val="nil"/>
          <w:insideH w:val="nil"/>
          <w:insideV w:val="nil"/>
        </w:tcBorders>
      </w:tcPr>
    </w:tblStylePr>
    <w:tblStylePr w:type="lastRow">
      <w:pPr>
        <w:spacing w:before="0" w:after="0" w:line="240" w:lineRule="auto"/>
      </w:pPr>
      <w:rPr>
        <w:b/>
        <w:bCs/>
      </w:rPr>
      <w:tblPr/>
      <w:tcPr>
        <w:tcBorders>
          <w:top w:val="single" w:sz="8" w:space="0" w:color="FFB600" w:themeColor="accent2"/>
          <w:left w:val="nil"/>
          <w:bottom w:val="single" w:sz="8" w:space="0" w:color="FFB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0" w:themeFill="accent2" w:themeFillTint="3F"/>
      </w:tcPr>
    </w:tblStylePr>
    <w:tblStylePr w:type="band1Horz">
      <w:tblPr/>
      <w:tcPr>
        <w:tcBorders>
          <w:left w:val="nil"/>
          <w:right w:val="nil"/>
          <w:insideH w:val="nil"/>
          <w:insideV w:val="nil"/>
        </w:tcBorders>
        <w:shd w:val="clear" w:color="auto" w:fill="FFECC0" w:themeFill="accent2" w:themeFillTint="3F"/>
      </w:tcPr>
    </w:tblStylePr>
  </w:style>
  <w:style w:type="table" w:customStyle="1" w:styleId="LightList-Accent11">
    <w:name w:val="Light List - Accent 11"/>
    <w:basedOn w:val="TableNormal"/>
    <w:uiPriority w:val="61"/>
    <w:rsid w:val="00F827B7"/>
    <w:pPr>
      <w:spacing w:after="0" w:line="240" w:lineRule="auto"/>
    </w:pPr>
    <w:tblPr>
      <w:tblStyleRowBandSize w:val="1"/>
      <w:tblStyleColBandSize w:val="1"/>
      <w:tblInd w:w="0" w:type="dxa"/>
      <w:tblBorders>
        <w:top w:val="single" w:sz="8" w:space="0" w:color="DC6900" w:themeColor="accent1"/>
        <w:left w:val="single" w:sz="8" w:space="0" w:color="DC6900" w:themeColor="accent1"/>
        <w:bottom w:val="single" w:sz="8" w:space="0" w:color="DC6900" w:themeColor="accent1"/>
        <w:right w:val="single" w:sz="8" w:space="0" w:color="DC69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C6900" w:themeFill="accent1"/>
      </w:tcPr>
    </w:tblStylePr>
    <w:tblStylePr w:type="lastRow">
      <w:pPr>
        <w:spacing w:before="0" w:after="0" w:line="240" w:lineRule="auto"/>
      </w:pPr>
      <w:rPr>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tcBorders>
      </w:tcPr>
    </w:tblStylePr>
    <w:tblStylePr w:type="firstCol">
      <w:rPr>
        <w:b/>
        <w:bCs/>
      </w:rPr>
    </w:tblStylePr>
    <w:tblStylePr w:type="lastCol">
      <w:rPr>
        <w:b/>
        <w:bCs/>
      </w:r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style>
  <w:style w:type="table" w:styleId="LightList-Accent2">
    <w:name w:val="Light List Accent 2"/>
    <w:basedOn w:val="TableNormal"/>
    <w:uiPriority w:val="61"/>
    <w:rsid w:val="00F827B7"/>
    <w:pPr>
      <w:spacing w:after="0" w:line="240" w:lineRule="auto"/>
    </w:pPr>
    <w:tblPr>
      <w:tblStyleRowBandSize w:val="1"/>
      <w:tblStyleColBandSize w:val="1"/>
      <w:tblInd w:w="0" w:type="dxa"/>
      <w:tblBorders>
        <w:top w:val="single" w:sz="8" w:space="0" w:color="FFB600" w:themeColor="accent2"/>
        <w:left w:val="single" w:sz="8" w:space="0" w:color="FFB600" w:themeColor="accent2"/>
        <w:bottom w:val="single" w:sz="8" w:space="0" w:color="FFB600" w:themeColor="accent2"/>
        <w:right w:val="single" w:sz="8" w:space="0" w:color="FFB60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B600" w:themeFill="accent2"/>
      </w:tcPr>
    </w:tblStylePr>
    <w:tblStylePr w:type="lastRow">
      <w:pPr>
        <w:spacing w:before="0" w:after="0" w:line="240" w:lineRule="auto"/>
      </w:pPr>
      <w:rPr>
        <w:b/>
        <w:bCs/>
      </w:rPr>
      <w:tblPr/>
      <w:tcPr>
        <w:tcBorders>
          <w:top w:val="double" w:sz="6" w:space="0" w:color="FFB600" w:themeColor="accent2"/>
          <w:left w:val="single" w:sz="8" w:space="0" w:color="FFB600" w:themeColor="accent2"/>
          <w:bottom w:val="single" w:sz="8" w:space="0" w:color="FFB600" w:themeColor="accent2"/>
          <w:right w:val="single" w:sz="8" w:space="0" w:color="FFB600" w:themeColor="accent2"/>
        </w:tcBorders>
      </w:tcPr>
    </w:tblStylePr>
    <w:tblStylePr w:type="firstCol">
      <w:rPr>
        <w:b/>
        <w:bCs/>
      </w:rPr>
    </w:tblStylePr>
    <w:tblStylePr w:type="lastCol">
      <w:rPr>
        <w:b/>
        <w:bCs/>
      </w:rPr>
    </w:tblStylePr>
    <w:tblStylePr w:type="band1Vert">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tcPr>
    </w:tblStylePr>
    <w:tblStylePr w:type="band1Horz">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tcPr>
    </w:tblStylePr>
  </w:style>
  <w:style w:type="character" w:customStyle="1" w:styleId="st1">
    <w:name w:val="st1"/>
    <w:basedOn w:val="DefaultParagraphFont"/>
    <w:rsid w:val="0044639F"/>
  </w:style>
  <w:style w:type="table" w:customStyle="1" w:styleId="LightList-Accent110">
    <w:name w:val="Light List - Accent 11"/>
    <w:basedOn w:val="TableNormal"/>
    <w:next w:val="LightList-Accent11"/>
    <w:uiPriority w:val="61"/>
    <w:rsid w:val="00083F7C"/>
    <w:pPr>
      <w:spacing w:after="0" w:line="240" w:lineRule="auto"/>
    </w:pPr>
    <w:tblPr>
      <w:tblStyleRowBandSize w:val="1"/>
      <w:tblStyleColBandSize w:val="1"/>
      <w:tblInd w:w="0" w:type="dxa"/>
      <w:tblBorders>
        <w:top w:val="single" w:sz="8" w:space="0" w:color="DC6900"/>
        <w:left w:val="single" w:sz="8" w:space="0" w:color="DC6900"/>
        <w:bottom w:val="single" w:sz="8" w:space="0" w:color="DC6900"/>
        <w:right w:val="single" w:sz="8" w:space="0" w:color="DC69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DC6900"/>
      </w:tcPr>
    </w:tblStylePr>
    <w:tblStylePr w:type="lastRow">
      <w:pPr>
        <w:spacing w:before="0" w:after="0" w:line="240" w:lineRule="auto"/>
      </w:pPr>
      <w:rPr>
        <w:b/>
        <w:bCs/>
      </w:rPr>
      <w:tblPr/>
      <w:tcPr>
        <w:tcBorders>
          <w:top w:val="double" w:sz="6" w:space="0" w:color="DC6900"/>
          <w:left w:val="single" w:sz="8" w:space="0" w:color="DC6900"/>
          <w:bottom w:val="single" w:sz="8" w:space="0" w:color="DC6900"/>
          <w:right w:val="single" w:sz="8" w:space="0" w:color="DC6900"/>
        </w:tcBorders>
      </w:tcPr>
    </w:tblStylePr>
    <w:tblStylePr w:type="firstCol">
      <w:rPr>
        <w:b/>
        <w:bCs/>
      </w:rPr>
    </w:tblStylePr>
    <w:tblStylePr w:type="lastCol">
      <w:rPr>
        <w:b/>
        <w:bCs/>
      </w:rPr>
    </w:tblStylePr>
    <w:tblStylePr w:type="band1Vert">
      <w:tblPr/>
      <w:tcPr>
        <w:tcBorders>
          <w:top w:val="single" w:sz="8" w:space="0" w:color="DC6900"/>
          <w:left w:val="single" w:sz="8" w:space="0" w:color="DC6900"/>
          <w:bottom w:val="single" w:sz="8" w:space="0" w:color="DC6900"/>
          <w:right w:val="single" w:sz="8" w:space="0" w:color="DC6900"/>
        </w:tcBorders>
      </w:tcPr>
    </w:tblStylePr>
    <w:tblStylePr w:type="band1Horz">
      <w:tblPr/>
      <w:tcPr>
        <w:tcBorders>
          <w:top w:val="single" w:sz="8" w:space="0" w:color="DC6900"/>
          <w:left w:val="single" w:sz="8" w:space="0" w:color="DC6900"/>
          <w:bottom w:val="single" w:sz="8" w:space="0" w:color="DC6900"/>
          <w:right w:val="single" w:sz="8" w:space="0" w:color="DC6900"/>
        </w:tcBorders>
      </w:tcPr>
    </w:tblStylePr>
  </w:style>
  <w:style w:type="character" w:styleId="HTMLCite">
    <w:name w:val="HTML Cite"/>
    <w:basedOn w:val="DefaultParagraphFont"/>
    <w:uiPriority w:val="99"/>
    <w:semiHidden/>
    <w:unhideWhenUsed/>
    <w:rsid w:val="00083F7C"/>
    <w:rPr>
      <w:i/>
      <w:iCs/>
    </w:rPr>
  </w:style>
  <w:style w:type="character" w:customStyle="1" w:styleId="Hyperlink1">
    <w:name w:val="Hyperlink1"/>
    <w:basedOn w:val="DefaultParagraphFont"/>
    <w:uiPriority w:val="99"/>
    <w:unhideWhenUsed/>
    <w:rsid w:val="00266591"/>
    <w:rPr>
      <w:color w:val="0000FF"/>
      <w:u w:val="single"/>
    </w:rPr>
  </w:style>
  <w:style w:type="paragraph" w:customStyle="1" w:styleId="FootnoteText1">
    <w:name w:val="Footnote Text1"/>
    <w:basedOn w:val="Normal"/>
    <w:next w:val="FootnoteText"/>
    <w:uiPriority w:val="99"/>
    <w:unhideWhenUsed/>
    <w:rsid w:val="00266591"/>
    <w:pPr>
      <w:spacing w:after="0" w:line="240" w:lineRule="auto"/>
    </w:pPr>
    <w:rPr>
      <w:rFonts w:asciiTheme="minorHAnsi" w:hAnsiTheme="minorHAnsi"/>
      <w:sz w:val="22"/>
      <w:szCs w:val="22"/>
    </w:rPr>
  </w:style>
  <w:style w:type="paragraph" w:customStyle="1" w:styleId="CommentText1">
    <w:name w:val="Comment Text1"/>
    <w:basedOn w:val="Normal"/>
    <w:next w:val="CommentText"/>
    <w:uiPriority w:val="99"/>
    <w:semiHidden/>
    <w:unhideWhenUsed/>
    <w:rsid w:val="00266591"/>
    <w:pPr>
      <w:spacing w:line="240" w:lineRule="auto"/>
    </w:pPr>
    <w:rPr>
      <w:rFonts w:asciiTheme="minorHAnsi" w:hAnsiTheme="minorHAnsi"/>
      <w:sz w:val="22"/>
      <w:szCs w:val="22"/>
    </w:rPr>
  </w:style>
  <w:style w:type="paragraph" w:customStyle="1" w:styleId="CM1">
    <w:name w:val="CM1"/>
    <w:basedOn w:val="Default"/>
    <w:next w:val="Default"/>
    <w:uiPriority w:val="99"/>
    <w:rsid w:val="00D71A66"/>
    <w:rPr>
      <w:rFonts w:ascii="EUAlbertina" w:hAnsi="EUAlbertina" w:cstheme="minorBidi"/>
      <w:color w:val="auto"/>
    </w:rPr>
  </w:style>
  <w:style w:type="paragraph" w:customStyle="1" w:styleId="CM3">
    <w:name w:val="CM3"/>
    <w:basedOn w:val="Default"/>
    <w:next w:val="Default"/>
    <w:uiPriority w:val="99"/>
    <w:rsid w:val="00D71A66"/>
    <w:rPr>
      <w:rFonts w:ascii="EUAlbertina" w:hAnsi="EUAlbertina" w:cstheme="minorBidi"/>
      <w:color w:val="auto"/>
    </w:rPr>
  </w:style>
  <w:style w:type="paragraph" w:styleId="Caption">
    <w:name w:val="caption"/>
    <w:basedOn w:val="Normal"/>
    <w:next w:val="Normal"/>
    <w:uiPriority w:val="35"/>
    <w:unhideWhenUsed/>
    <w:qFormat/>
    <w:rsid w:val="00311F51"/>
    <w:pPr>
      <w:spacing w:after="200" w:line="240" w:lineRule="auto"/>
    </w:pPr>
    <w:rPr>
      <w:b/>
      <w:bCs/>
      <w:color w:val="DC6900" w:themeColor="accent1"/>
      <w:sz w:val="18"/>
      <w:szCs w:val="18"/>
    </w:rPr>
  </w:style>
  <w:style w:type="paragraph" w:styleId="NormalWeb">
    <w:name w:val="Normal (Web)"/>
    <w:basedOn w:val="Normal"/>
    <w:uiPriority w:val="99"/>
    <w:semiHidden/>
    <w:unhideWhenUsed/>
    <w:rsid w:val="00B316C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rsid w:val="00480D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111">
    <w:name w:val="Light List - Accent 111"/>
    <w:basedOn w:val="TableNormal"/>
    <w:next w:val="LightList-Accent11"/>
    <w:uiPriority w:val="61"/>
    <w:rsid w:val="00DC7F64"/>
    <w:pPr>
      <w:spacing w:after="0" w:line="240" w:lineRule="auto"/>
    </w:pPr>
    <w:tblPr>
      <w:tblStyleRowBandSize w:val="1"/>
      <w:tblStyleColBandSize w:val="1"/>
      <w:tblInd w:w="0" w:type="dxa"/>
      <w:tblBorders>
        <w:top w:val="single" w:sz="8" w:space="0" w:color="DC6900"/>
        <w:left w:val="single" w:sz="8" w:space="0" w:color="DC6900"/>
        <w:bottom w:val="single" w:sz="8" w:space="0" w:color="DC6900"/>
        <w:right w:val="single" w:sz="8" w:space="0" w:color="DC69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DC6900"/>
      </w:tcPr>
    </w:tblStylePr>
    <w:tblStylePr w:type="lastRow">
      <w:pPr>
        <w:spacing w:before="0" w:after="0" w:line="240" w:lineRule="auto"/>
      </w:pPr>
      <w:rPr>
        <w:b/>
        <w:bCs/>
      </w:rPr>
      <w:tblPr/>
      <w:tcPr>
        <w:tcBorders>
          <w:top w:val="double" w:sz="6" w:space="0" w:color="DC6900"/>
          <w:left w:val="single" w:sz="8" w:space="0" w:color="DC6900"/>
          <w:bottom w:val="single" w:sz="8" w:space="0" w:color="DC6900"/>
          <w:right w:val="single" w:sz="8" w:space="0" w:color="DC6900"/>
        </w:tcBorders>
      </w:tcPr>
    </w:tblStylePr>
    <w:tblStylePr w:type="firstCol">
      <w:rPr>
        <w:b/>
        <w:bCs/>
      </w:rPr>
    </w:tblStylePr>
    <w:tblStylePr w:type="lastCol">
      <w:rPr>
        <w:b/>
        <w:bCs/>
      </w:rPr>
    </w:tblStylePr>
    <w:tblStylePr w:type="band1Vert">
      <w:tblPr/>
      <w:tcPr>
        <w:tcBorders>
          <w:top w:val="single" w:sz="8" w:space="0" w:color="DC6900"/>
          <w:left w:val="single" w:sz="8" w:space="0" w:color="DC6900"/>
          <w:bottom w:val="single" w:sz="8" w:space="0" w:color="DC6900"/>
          <w:right w:val="single" w:sz="8" w:space="0" w:color="DC6900"/>
        </w:tcBorders>
      </w:tcPr>
    </w:tblStylePr>
    <w:tblStylePr w:type="band1Horz">
      <w:tblPr/>
      <w:tcPr>
        <w:tcBorders>
          <w:top w:val="single" w:sz="8" w:space="0" w:color="DC6900"/>
          <w:left w:val="single" w:sz="8" w:space="0" w:color="DC6900"/>
          <w:bottom w:val="single" w:sz="8" w:space="0" w:color="DC6900"/>
          <w:right w:val="single" w:sz="8" w:space="0" w:color="DC6900"/>
        </w:tcBorders>
      </w:tcPr>
    </w:tblStylePr>
  </w:style>
  <w:style w:type="paragraph" w:styleId="Revision">
    <w:name w:val="Revision"/>
    <w:hidden/>
    <w:uiPriority w:val="99"/>
    <w:semiHidden/>
    <w:rsid w:val="0095649D"/>
    <w:pPr>
      <w:spacing w:after="0" w:line="240" w:lineRule="auto"/>
    </w:pPr>
  </w:style>
  <w:style w:type="paragraph" w:styleId="BodyText2">
    <w:name w:val="Body Text 2"/>
    <w:basedOn w:val="Normal"/>
    <w:link w:val="BodyText2Char"/>
    <w:uiPriority w:val="99"/>
    <w:unhideWhenUsed/>
    <w:rsid w:val="00077407"/>
    <w:pPr>
      <w:tabs>
        <w:tab w:val="left" w:pos="1328"/>
      </w:tabs>
      <w:jc w:val="both"/>
    </w:pPr>
  </w:style>
  <w:style w:type="character" w:customStyle="1" w:styleId="BodyText2Char">
    <w:name w:val="Body Text 2 Char"/>
    <w:basedOn w:val="DefaultParagraphFont"/>
    <w:link w:val="BodyText2"/>
    <w:uiPriority w:val="99"/>
    <w:rsid w:val="00077407"/>
  </w:style>
</w:styles>
</file>

<file path=word/webSettings.xml><?xml version="1.0" encoding="utf-8"?>
<w:webSettings xmlns:r="http://schemas.openxmlformats.org/officeDocument/2006/relationships" xmlns:w="http://schemas.openxmlformats.org/wordprocessingml/2006/main">
  <w:divs>
    <w:div w:id="318389028">
      <w:bodyDiv w:val="1"/>
      <w:marLeft w:val="0"/>
      <w:marRight w:val="0"/>
      <w:marTop w:val="0"/>
      <w:marBottom w:val="0"/>
      <w:divBdr>
        <w:top w:val="none" w:sz="0" w:space="0" w:color="auto"/>
        <w:left w:val="none" w:sz="0" w:space="0" w:color="auto"/>
        <w:bottom w:val="none" w:sz="0" w:space="0" w:color="auto"/>
        <w:right w:val="none" w:sz="0" w:space="0" w:color="auto"/>
      </w:divBdr>
      <w:divsChild>
        <w:div w:id="888759140">
          <w:marLeft w:val="0"/>
          <w:marRight w:val="0"/>
          <w:marTop w:val="0"/>
          <w:marBottom w:val="0"/>
          <w:divBdr>
            <w:top w:val="none" w:sz="0" w:space="0" w:color="auto"/>
            <w:left w:val="none" w:sz="0" w:space="0" w:color="auto"/>
            <w:bottom w:val="none" w:sz="0" w:space="0" w:color="auto"/>
            <w:right w:val="none" w:sz="0" w:space="0" w:color="auto"/>
          </w:divBdr>
        </w:div>
        <w:div w:id="604769421">
          <w:marLeft w:val="0"/>
          <w:marRight w:val="0"/>
          <w:marTop w:val="0"/>
          <w:marBottom w:val="0"/>
          <w:divBdr>
            <w:top w:val="none" w:sz="0" w:space="0" w:color="auto"/>
            <w:left w:val="none" w:sz="0" w:space="0" w:color="auto"/>
            <w:bottom w:val="none" w:sz="0" w:space="0" w:color="auto"/>
            <w:right w:val="none" w:sz="0" w:space="0" w:color="auto"/>
          </w:divBdr>
        </w:div>
        <w:div w:id="404455070">
          <w:marLeft w:val="0"/>
          <w:marRight w:val="0"/>
          <w:marTop w:val="0"/>
          <w:marBottom w:val="0"/>
          <w:divBdr>
            <w:top w:val="none" w:sz="0" w:space="0" w:color="auto"/>
            <w:left w:val="none" w:sz="0" w:space="0" w:color="auto"/>
            <w:bottom w:val="none" w:sz="0" w:space="0" w:color="auto"/>
            <w:right w:val="none" w:sz="0" w:space="0" w:color="auto"/>
          </w:divBdr>
        </w:div>
        <w:div w:id="500976154">
          <w:marLeft w:val="0"/>
          <w:marRight w:val="0"/>
          <w:marTop w:val="0"/>
          <w:marBottom w:val="0"/>
          <w:divBdr>
            <w:top w:val="none" w:sz="0" w:space="0" w:color="auto"/>
            <w:left w:val="none" w:sz="0" w:space="0" w:color="auto"/>
            <w:bottom w:val="none" w:sz="0" w:space="0" w:color="auto"/>
            <w:right w:val="none" w:sz="0" w:space="0" w:color="auto"/>
          </w:divBdr>
        </w:div>
        <w:div w:id="1804496581">
          <w:marLeft w:val="0"/>
          <w:marRight w:val="0"/>
          <w:marTop w:val="0"/>
          <w:marBottom w:val="0"/>
          <w:divBdr>
            <w:top w:val="none" w:sz="0" w:space="0" w:color="auto"/>
            <w:left w:val="none" w:sz="0" w:space="0" w:color="auto"/>
            <w:bottom w:val="none" w:sz="0" w:space="0" w:color="auto"/>
            <w:right w:val="none" w:sz="0" w:space="0" w:color="auto"/>
          </w:divBdr>
        </w:div>
        <w:div w:id="298461065">
          <w:marLeft w:val="0"/>
          <w:marRight w:val="0"/>
          <w:marTop w:val="0"/>
          <w:marBottom w:val="0"/>
          <w:divBdr>
            <w:top w:val="none" w:sz="0" w:space="0" w:color="auto"/>
            <w:left w:val="none" w:sz="0" w:space="0" w:color="auto"/>
            <w:bottom w:val="none" w:sz="0" w:space="0" w:color="auto"/>
            <w:right w:val="none" w:sz="0" w:space="0" w:color="auto"/>
          </w:divBdr>
        </w:div>
        <w:div w:id="1478719991">
          <w:marLeft w:val="0"/>
          <w:marRight w:val="0"/>
          <w:marTop w:val="0"/>
          <w:marBottom w:val="0"/>
          <w:divBdr>
            <w:top w:val="none" w:sz="0" w:space="0" w:color="auto"/>
            <w:left w:val="none" w:sz="0" w:space="0" w:color="auto"/>
            <w:bottom w:val="none" w:sz="0" w:space="0" w:color="auto"/>
            <w:right w:val="none" w:sz="0" w:space="0" w:color="auto"/>
          </w:divBdr>
        </w:div>
        <w:div w:id="380523310">
          <w:marLeft w:val="0"/>
          <w:marRight w:val="0"/>
          <w:marTop w:val="0"/>
          <w:marBottom w:val="0"/>
          <w:divBdr>
            <w:top w:val="none" w:sz="0" w:space="0" w:color="auto"/>
            <w:left w:val="none" w:sz="0" w:space="0" w:color="auto"/>
            <w:bottom w:val="none" w:sz="0" w:space="0" w:color="auto"/>
            <w:right w:val="none" w:sz="0" w:space="0" w:color="auto"/>
          </w:divBdr>
        </w:div>
        <w:div w:id="1003167499">
          <w:marLeft w:val="0"/>
          <w:marRight w:val="0"/>
          <w:marTop w:val="0"/>
          <w:marBottom w:val="0"/>
          <w:divBdr>
            <w:top w:val="none" w:sz="0" w:space="0" w:color="auto"/>
            <w:left w:val="none" w:sz="0" w:space="0" w:color="auto"/>
            <w:bottom w:val="none" w:sz="0" w:space="0" w:color="auto"/>
            <w:right w:val="none" w:sz="0" w:space="0" w:color="auto"/>
          </w:divBdr>
        </w:div>
        <w:div w:id="147289738">
          <w:marLeft w:val="0"/>
          <w:marRight w:val="0"/>
          <w:marTop w:val="0"/>
          <w:marBottom w:val="0"/>
          <w:divBdr>
            <w:top w:val="none" w:sz="0" w:space="0" w:color="auto"/>
            <w:left w:val="none" w:sz="0" w:space="0" w:color="auto"/>
            <w:bottom w:val="none" w:sz="0" w:space="0" w:color="auto"/>
            <w:right w:val="none" w:sz="0" w:space="0" w:color="auto"/>
          </w:divBdr>
        </w:div>
        <w:div w:id="1181235630">
          <w:marLeft w:val="0"/>
          <w:marRight w:val="0"/>
          <w:marTop w:val="0"/>
          <w:marBottom w:val="0"/>
          <w:divBdr>
            <w:top w:val="none" w:sz="0" w:space="0" w:color="auto"/>
            <w:left w:val="none" w:sz="0" w:space="0" w:color="auto"/>
            <w:bottom w:val="none" w:sz="0" w:space="0" w:color="auto"/>
            <w:right w:val="none" w:sz="0" w:space="0" w:color="auto"/>
          </w:divBdr>
        </w:div>
        <w:div w:id="1761828067">
          <w:marLeft w:val="0"/>
          <w:marRight w:val="0"/>
          <w:marTop w:val="0"/>
          <w:marBottom w:val="0"/>
          <w:divBdr>
            <w:top w:val="none" w:sz="0" w:space="0" w:color="auto"/>
            <w:left w:val="none" w:sz="0" w:space="0" w:color="auto"/>
            <w:bottom w:val="none" w:sz="0" w:space="0" w:color="auto"/>
            <w:right w:val="none" w:sz="0" w:space="0" w:color="auto"/>
          </w:divBdr>
        </w:div>
      </w:divsChild>
    </w:div>
    <w:div w:id="1247493053">
      <w:bodyDiv w:val="1"/>
      <w:marLeft w:val="0"/>
      <w:marRight w:val="0"/>
      <w:marTop w:val="0"/>
      <w:marBottom w:val="0"/>
      <w:divBdr>
        <w:top w:val="none" w:sz="0" w:space="0" w:color="auto"/>
        <w:left w:val="none" w:sz="0" w:space="0" w:color="auto"/>
        <w:bottom w:val="none" w:sz="0" w:space="0" w:color="auto"/>
        <w:right w:val="none" w:sz="0" w:space="0" w:color="auto"/>
      </w:divBdr>
      <w:divsChild>
        <w:div w:id="5208301">
          <w:marLeft w:val="0"/>
          <w:marRight w:val="0"/>
          <w:marTop w:val="0"/>
          <w:marBottom w:val="0"/>
          <w:divBdr>
            <w:top w:val="none" w:sz="0" w:space="0" w:color="auto"/>
            <w:left w:val="none" w:sz="0" w:space="0" w:color="auto"/>
            <w:bottom w:val="none" w:sz="0" w:space="0" w:color="auto"/>
            <w:right w:val="none" w:sz="0" w:space="0" w:color="auto"/>
          </w:divBdr>
          <w:divsChild>
            <w:div w:id="1039666817">
              <w:marLeft w:val="0"/>
              <w:marRight w:val="0"/>
              <w:marTop w:val="0"/>
              <w:marBottom w:val="0"/>
              <w:divBdr>
                <w:top w:val="none" w:sz="0" w:space="0" w:color="auto"/>
                <w:left w:val="none" w:sz="0" w:space="0" w:color="auto"/>
                <w:bottom w:val="none" w:sz="0" w:space="0" w:color="auto"/>
                <w:right w:val="none" w:sz="0" w:space="0" w:color="auto"/>
              </w:divBdr>
            </w:div>
            <w:div w:id="200331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7731">
      <w:bodyDiv w:val="1"/>
      <w:marLeft w:val="0"/>
      <w:marRight w:val="0"/>
      <w:marTop w:val="0"/>
      <w:marBottom w:val="0"/>
      <w:divBdr>
        <w:top w:val="none" w:sz="0" w:space="0" w:color="auto"/>
        <w:left w:val="none" w:sz="0" w:space="0" w:color="auto"/>
        <w:bottom w:val="none" w:sz="0" w:space="0" w:color="auto"/>
        <w:right w:val="none" w:sz="0" w:space="0" w:color="auto"/>
      </w:divBdr>
    </w:div>
    <w:div w:id="1484733525">
      <w:bodyDiv w:val="1"/>
      <w:marLeft w:val="0"/>
      <w:marRight w:val="0"/>
      <w:marTop w:val="0"/>
      <w:marBottom w:val="0"/>
      <w:divBdr>
        <w:top w:val="none" w:sz="0" w:space="0" w:color="auto"/>
        <w:left w:val="none" w:sz="0" w:space="0" w:color="auto"/>
        <w:bottom w:val="none" w:sz="0" w:space="0" w:color="auto"/>
        <w:right w:val="none" w:sz="0" w:space="0" w:color="auto"/>
      </w:divBdr>
    </w:div>
    <w:div w:id="1550190760">
      <w:bodyDiv w:val="1"/>
      <w:marLeft w:val="0"/>
      <w:marRight w:val="0"/>
      <w:marTop w:val="0"/>
      <w:marBottom w:val="0"/>
      <w:divBdr>
        <w:top w:val="none" w:sz="0" w:space="0" w:color="auto"/>
        <w:left w:val="none" w:sz="0" w:space="0" w:color="auto"/>
        <w:bottom w:val="none" w:sz="0" w:space="0" w:color="auto"/>
        <w:right w:val="none" w:sz="0" w:space="0" w:color="auto"/>
      </w:divBdr>
      <w:divsChild>
        <w:div w:id="638077982">
          <w:marLeft w:val="0"/>
          <w:marRight w:val="0"/>
          <w:marTop w:val="0"/>
          <w:marBottom w:val="0"/>
          <w:divBdr>
            <w:top w:val="none" w:sz="0" w:space="0" w:color="auto"/>
            <w:left w:val="none" w:sz="0" w:space="0" w:color="auto"/>
            <w:bottom w:val="none" w:sz="0" w:space="0" w:color="auto"/>
            <w:right w:val="none" w:sz="0" w:space="0" w:color="auto"/>
          </w:divBdr>
        </w:div>
        <w:div w:id="1081374090">
          <w:marLeft w:val="0"/>
          <w:marRight w:val="0"/>
          <w:marTop w:val="0"/>
          <w:marBottom w:val="0"/>
          <w:divBdr>
            <w:top w:val="none" w:sz="0" w:space="0" w:color="auto"/>
            <w:left w:val="none" w:sz="0" w:space="0" w:color="auto"/>
            <w:bottom w:val="none" w:sz="0" w:space="0" w:color="auto"/>
            <w:right w:val="none" w:sz="0" w:space="0" w:color="auto"/>
          </w:divBdr>
        </w:div>
        <w:div w:id="1325889741">
          <w:marLeft w:val="0"/>
          <w:marRight w:val="0"/>
          <w:marTop w:val="0"/>
          <w:marBottom w:val="0"/>
          <w:divBdr>
            <w:top w:val="none" w:sz="0" w:space="0" w:color="auto"/>
            <w:left w:val="none" w:sz="0" w:space="0" w:color="auto"/>
            <w:bottom w:val="none" w:sz="0" w:space="0" w:color="auto"/>
            <w:right w:val="none" w:sz="0" w:space="0" w:color="auto"/>
          </w:divBdr>
        </w:div>
        <w:div w:id="1816751173">
          <w:marLeft w:val="0"/>
          <w:marRight w:val="0"/>
          <w:marTop w:val="0"/>
          <w:marBottom w:val="0"/>
          <w:divBdr>
            <w:top w:val="none" w:sz="0" w:space="0" w:color="auto"/>
            <w:left w:val="none" w:sz="0" w:space="0" w:color="auto"/>
            <w:bottom w:val="none" w:sz="0" w:space="0" w:color="auto"/>
            <w:right w:val="none" w:sz="0" w:space="0" w:color="auto"/>
          </w:divBdr>
        </w:div>
        <w:div w:id="1107193449">
          <w:marLeft w:val="0"/>
          <w:marRight w:val="0"/>
          <w:marTop w:val="0"/>
          <w:marBottom w:val="0"/>
          <w:divBdr>
            <w:top w:val="none" w:sz="0" w:space="0" w:color="auto"/>
            <w:left w:val="none" w:sz="0" w:space="0" w:color="auto"/>
            <w:bottom w:val="none" w:sz="0" w:space="0" w:color="auto"/>
            <w:right w:val="none" w:sz="0" w:space="0" w:color="auto"/>
          </w:divBdr>
        </w:div>
        <w:div w:id="1639648600">
          <w:marLeft w:val="0"/>
          <w:marRight w:val="0"/>
          <w:marTop w:val="0"/>
          <w:marBottom w:val="0"/>
          <w:divBdr>
            <w:top w:val="none" w:sz="0" w:space="0" w:color="auto"/>
            <w:left w:val="none" w:sz="0" w:space="0" w:color="auto"/>
            <w:bottom w:val="none" w:sz="0" w:space="0" w:color="auto"/>
            <w:right w:val="none" w:sz="0" w:space="0" w:color="auto"/>
          </w:divBdr>
        </w:div>
        <w:div w:id="1925524985">
          <w:marLeft w:val="0"/>
          <w:marRight w:val="0"/>
          <w:marTop w:val="0"/>
          <w:marBottom w:val="0"/>
          <w:divBdr>
            <w:top w:val="none" w:sz="0" w:space="0" w:color="auto"/>
            <w:left w:val="none" w:sz="0" w:space="0" w:color="auto"/>
            <w:bottom w:val="none" w:sz="0" w:space="0" w:color="auto"/>
            <w:right w:val="none" w:sz="0" w:space="0" w:color="auto"/>
          </w:divBdr>
        </w:div>
        <w:div w:id="1241057489">
          <w:marLeft w:val="0"/>
          <w:marRight w:val="0"/>
          <w:marTop w:val="0"/>
          <w:marBottom w:val="0"/>
          <w:divBdr>
            <w:top w:val="none" w:sz="0" w:space="0" w:color="auto"/>
            <w:left w:val="none" w:sz="0" w:space="0" w:color="auto"/>
            <w:bottom w:val="none" w:sz="0" w:space="0" w:color="auto"/>
            <w:right w:val="none" w:sz="0" w:space="0" w:color="auto"/>
          </w:divBdr>
        </w:div>
        <w:div w:id="1169366530">
          <w:marLeft w:val="0"/>
          <w:marRight w:val="0"/>
          <w:marTop w:val="0"/>
          <w:marBottom w:val="0"/>
          <w:divBdr>
            <w:top w:val="none" w:sz="0" w:space="0" w:color="auto"/>
            <w:left w:val="none" w:sz="0" w:space="0" w:color="auto"/>
            <w:bottom w:val="none" w:sz="0" w:space="0" w:color="auto"/>
            <w:right w:val="none" w:sz="0" w:space="0" w:color="auto"/>
          </w:divBdr>
        </w:div>
        <w:div w:id="1362126268">
          <w:marLeft w:val="0"/>
          <w:marRight w:val="0"/>
          <w:marTop w:val="0"/>
          <w:marBottom w:val="0"/>
          <w:divBdr>
            <w:top w:val="none" w:sz="0" w:space="0" w:color="auto"/>
            <w:left w:val="none" w:sz="0" w:space="0" w:color="auto"/>
            <w:bottom w:val="none" w:sz="0" w:space="0" w:color="auto"/>
            <w:right w:val="none" w:sz="0" w:space="0" w:color="auto"/>
          </w:divBdr>
        </w:div>
        <w:div w:id="2069448420">
          <w:marLeft w:val="0"/>
          <w:marRight w:val="0"/>
          <w:marTop w:val="0"/>
          <w:marBottom w:val="0"/>
          <w:divBdr>
            <w:top w:val="none" w:sz="0" w:space="0" w:color="auto"/>
            <w:left w:val="none" w:sz="0" w:space="0" w:color="auto"/>
            <w:bottom w:val="none" w:sz="0" w:space="0" w:color="auto"/>
            <w:right w:val="none" w:sz="0" w:space="0" w:color="auto"/>
          </w:divBdr>
        </w:div>
        <w:div w:id="1073697940">
          <w:marLeft w:val="0"/>
          <w:marRight w:val="0"/>
          <w:marTop w:val="0"/>
          <w:marBottom w:val="0"/>
          <w:divBdr>
            <w:top w:val="none" w:sz="0" w:space="0" w:color="auto"/>
            <w:left w:val="none" w:sz="0" w:space="0" w:color="auto"/>
            <w:bottom w:val="none" w:sz="0" w:space="0" w:color="auto"/>
            <w:right w:val="none" w:sz="0" w:space="0" w:color="auto"/>
          </w:divBdr>
        </w:div>
        <w:div w:id="1700936009">
          <w:marLeft w:val="0"/>
          <w:marRight w:val="0"/>
          <w:marTop w:val="0"/>
          <w:marBottom w:val="0"/>
          <w:divBdr>
            <w:top w:val="none" w:sz="0" w:space="0" w:color="auto"/>
            <w:left w:val="none" w:sz="0" w:space="0" w:color="auto"/>
            <w:bottom w:val="none" w:sz="0" w:space="0" w:color="auto"/>
            <w:right w:val="none" w:sz="0" w:space="0" w:color="auto"/>
          </w:divBdr>
        </w:div>
        <w:div w:id="1279799168">
          <w:marLeft w:val="0"/>
          <w:marRight w:val="0"/>
          <w:marTop w:val="0"/>
          <w:marBottom w:val="0"/>
          <w:divBdr>
            <w:top w:val="none" w:sz="0" w:space="0" w:color="auto"/>
            <w:left w:val="none" w:sz="0" w:space="0" w:color="auto"/>
            <w:bottom w:val="none" w:sz="0" w:space="0" w:color="auto"/>
            <w:right w:val="none" w:sz="0" w:space="0" w:color="auto"/>
          </w:divBdr>
        </w:div>
      </w:divsChild>
    </w:div>
    <w:div w:id="1848908522">
      <w:bodyDiv w:val="1"/>
      <w:marLeft w:val="0"/>
      <w:marRight w:val="0"/>
      <w:marTop w:val="0"/>
      <w:marBottom w:val="0"/>
      <w:divBdr>
        <w:top w:val="none" w:sz="0" w:space="0" w:color="auto"/>
        <w:left w:val="none" w:sz="0" w:space="0" w:color="auto"/>
        <w:bottom w:val="none" w:sz="0" w:space="0" w:color="auto"/>
        <w:right w:val="none" w:sz="0" w:space="0" w:color="auto"/>
      </w:divBdr>
      <w:divsChild>
        <w:div w:id="1054504696">
          <w:marLeft w:val="0"/>
          <w:marRight w:val="0"/>
          <w:marTop w:val="0"/>
          <w:marBottom w:val="0"/>
          <w:divBdr>
            <w:top w:val="none" w:sz="0" w:space="0" w:color="auto"/>
            <w:left w:val="none" w:sz="0" w:space="0" w:color="auto"/>
            <w:bottom w:val="none" w:sz="0" w:space="0" w:color="auto"/>
            <w:right w:val="none" w:sz="0" w:space="0" w:color="auto"/>
          </w:divBdr>
        </w:div>
        <w:div w:id="629475965">
          <w:marLeft w:val="0"/>
          <w:marRight w:val="0"/>
          <w:marTop w:val="0"/>
          <w:marBottom w:val="0"/>
          <w:divBdr>
            <w:top w:val="none" w:sz="0" w:space="0" w:color="auto"/>
            <w:left w:val="none" w:sz="0" w:space="0" w:color="auto"/>
            <w:bottom w:val="none" w:sz="0" w:space="0" w:color="auto"/>
            <w:right w:val="none" w:sz="0" w:space="0" w:color="auto"/>
          </w:divBdr>
        </w:div>
      </w:divsChild>
    </w:div>
    <w:div w:id="1902709518">
      <w:bodyDiv w:val="1"/>
      <w:marLeft w:val="0"/>
      <w:marRight w:val="0"/>
      <w:marTop w:val="0"/>
      <w:marBottom w:val="0"/>
      <w:divBdr>
        <w:top w:val="none" w:sz="0" w:space="0" w:color="auto"/>
        <w:left w:val="none" w:sz="0" w:space="0" w:color="auto"/>
        <w:bottom w:val="none" w:sz="0" w:space="0" w:color="auto"/>
        <w:right w:val="none" w:sz="0" w:space="0" w:color="auto"/>
      </w:divBdr>
    </w:div>
    <w:div w:id="1938976374">
      <w:bodyDiv w:val="1"/>
      <w:marLeft w:val="0"/>
      <w:marRight w:val="0"/>
      <w:marTop w:val="0"/>
      <w:marBottom w:val="0"/>
      <w:divBdr>
        <w:top w:val="none" w:sz="0" w:space="0" w:color="auto"/>
        <w:left w:val="none" w:sz="0" w:space="0" w:color="auto"/>
        <w:bottom w:val="none" w:sz="0" w:space="0" w:color="auto"/>
        <w:right w:val="none" w:sz="0" w:space="0" w:color="auto"/>
      </w:divBdr>
      <w:divsChild>
        <w:div w:id="458424873">
          <w:marLeft w:val="0"/>
          <w:marRight w:val="0"/>
          <w:marTop w:val="0"/>
          <w:marBottom w:val="0"/>
          <w:divBdr>
            <w:top w:val="none" w:sz="0" w:space="0" w:color="auto"/>
            <w:left w:val="none" w:sz="0" w:space="0" w:color="auto"/>
            <w:bottom w:val="none" w:sz="0" w:space="0" w:color="auto"/>
            <w:right w:val="none" w:sz="0" w:space="0" w:color="auto"/>
          </w:divBdr>
        </w:div>
        <w:div w:id="1781487545">
          <w:marLeft w:val="0"/>
          <w:marRight w:val="0"/>
          <w:marTop w:val="0"/>
          <w:marBottom w:val="0"/>
          <w:divBdr>
            <w:top w:val="none" w:sz="0" w:space="0" w:color="auto"/>
            <w:left w:val="none" w:sz="0" w:space="0" w:color="auto"/>
            <w:bottom w:val="none" w:sz="0" w:space="0" w:color="auto"/>
            <w:right w:val="none" w:sz="0" w:space="0" w:color="auto"/>
          </w:divBdr>
        </w:div>
      </w:divsChild>
    </w:div>
    <w:div w:id="2014257770">
      <w:bodyDiv w:val="1"/>
      <w:marLeft w:val="0"/>
      <w:marRight w:val="0"/>
      <w:marTop w:val="0"/>
      <w:marBottom w:val="0"/>
      <w:divBdr>
        <w:top w:val="none" w:sz="0" w:space="0" w:color="auto"/>
        <w:left w:val="none" w:sz="0" w:space="0" w:color="auto"/>
        <w:bottom w:val="none" w:sz="0" w:space="0" w:color="auto"/>
        <w:right w:val="none" w:sz="0" w:space="0" w:color="auto"/>
      </w:divBdr>
      <w:divsChild>
        <w:div w:id="172455771">
          <w:marLeft w:val="0"/>
          <w:marRight w:val="0"/>
          <w:marTop w:val="0"/>
          <w:marBottom w:val="0"/>
          <w:divBdr>
            <w:top w:val="none" w:sz="0" w:space="0" w:color="auto"/>
            <w:left w:val="none" w:sz="0" w:space="0" w:color="auto"/>
            <w:bottom w:val="none" w:sz="0" w:space="0" w:color="auto"/>
            <w:right w:val="none" w:sz="0" w:space="0" w:color="auto"/>
          </w:divBdr>
          <w:divsChild>
            <w:div w:id="1375153659">
              <w:marLeft w:val="0"/>
              <w:marRight w:val="0"/>
              <w:marTop w:val="0"/>
              <w:marBottom w:val="0"/>
              <w:divBdr>
                <w:top w:val="none" w:sz="0" w:space="0" w:color="auto"/>
                <w:left w:val="single" w:sz="6" w:space="0" w:color="003399"/>
                <w:bottom w:val="none" w:sz="0" w:space="0" w:color="auto"/>
                <w:right w:val="single" w:sz="6" w:space="0" w:color="003399"/>
              </w:divBdr>
              <w:divsChild>
                <w:div w:id="758717130">
                  <w:marLeft w:val="0"/>
                  <w:marRight w:val="0"/>
                  <w:marTop w:val="0"/>
                  <w:marBottom w:val="0"/>
                  <w:divBdr>
                    <w:top w:val="none" w:sz="0" w:space="0" w:color="auto"/>
                    <w:left w:val="none" w:sz="0" w:space="0" w:color="auto"/>
                    <w:bottom w:val="none" w:sz="0" w:space="0" w:color="auto"/>
                    <w:right w:val="none" w:sz="0" w:space="0" w:color="auto"/>
                  </w:divBdr>
                  <w:divsChild>
                    <w:div w:id="408311181">
                      <w:marLeft w:val="0"/>
                      <w:marRight w:val="0"/>
                      <w:marTop w:val="0"/>
                      <w:marBottom w:val="0"/>
                      <w:divBdr>
                        <w:top w:val="none" w:sz="0" w:space="0" w:color="auto"/>
                        <w:left w:val="none" w:sz="0" w:space="0" w:color="auto"/>
                        <w:bottom w:val="none" w:sz="0" w:space="0" w:color="auto"/>
                        <w:right w:val="none" w:sz="0" w:space="0" w:color="auto"/>
                      </w:divBdr>
                      <w:divsChild>
                        <w:div w:id="752313545">
                          <w:marLeft w:val="-3150"/>
                          <w:marRight w:val="0"/>
                          <w:marTop w:val="0"/>
                          <w:marBottom w:val="0"/>
                          <w:divBdr>
                            <w:top w:val="none" w:sz="0" w:space="0" w:color="auto"/>
                            <w:left w:val="none" w:sz="0" w:space="0" w:color="auto"/>
                            <w:bottom w:val="none" w:sz="0" w:space="0" w:color="auto"/>
                            <w:right w:val="none" w:sz="0" w:space="0" w:color="auto"/>
                          </w:divBdr>
                          <w:divsChild>
                            <w:div w:id="1067726659">
                              <w:marLeft w:val="3150"/>
                              <w:marRight w:val="0"/>
                              <w:marTop w:val="0"/>
                              <w:marBottom w:val="0"/>
                              <w:divBdr>
                                <w:top w:val="none" w:sz="0" w:space="0" w:color="auto"/>
                                <w:left w:val="none" w:sz="0" w:space="0" w:color="auto"/>
                                <w:bottom w:val="none" w:sz="0" w:space="0" w:color="auto"/>
                                <w:right w:val="none" w:sz="0" w:space="0" w:color="auto"/>
                              </w:divBdr>
                              <w:divsChild>
                                <w:div w:id="1629512249">
                                  <w:marLeft w:val="0"/>
                                  <w:marRight w:val="-3000"/>
                                  <w:marTop w:val="0"/>
                                  <w:marBottom w:val="0"/>
                                  <w:divBdr>
                                    <w:top w:val="none" w:sz="0" w:space="0" w:color="auto"/>
                                    <w:left w:val="none" w:sz="0" w:space="0" w:color="auto"/>
                                    <w:bottom w:val="none" w:sz="0" w:space="0" w:color="auto"/>
                                    <w:right w:val="none" w:sz="0" w:space="0" w:color="auto"/>
                                  </w:divBdr>
                                  <w:divsChild>
                                    <w:div w:id="679165298">
                                      <w:marLeft w:val="0"/>
                                      <w:marRight w:val="3000"/>
                                      <w:marTop w:val="0"/>
                                      <w:marBottom w:val="0"/>
                                      <w:divBdr>
                                        <w:top w:val="none" w:sz="0" w:space="0" w:color="auto"/>
                                        <w:left w:val="none" w:sz="0" w:space="0" w:color="auto"/>
                                        <w:bottom w:val="none" w:sz="0" w:space="0" w:color="auto"/>
                                        <w:right w:val="none" w:sz="0" w:space="0" w:color="auto"/>
                                      </w:divBdr>
                                      <w:divsChild>
                                        <w:div w:id="1043291390">
                                          <w:marLeft w:val="0"/>
                                          <w:marRight w:val="0"/>
                                          <w:marTop w:val="0"/>
                                          <w:marBottom w:val="0"/>
                                          <w:divBdr>
                                            <w:top w:val="single" w:sz="6" w:space="4" w:color="E6E6E6"/>
                                            <w:left w:val="none" w:sz="0" w:space="0" w:color="auto"/>
                                            <w:bottom w:val="none" w:sz="0" w:space="0" w:color="auto"/>
                                            <w:right w:val="none" w:sz="0" w:space="0" w:color="auto"/>
                                          </w:divBdr>
                                          <w:divsChild>
                                            <w:div w:id="328825212">
                                              <w:marLeft w:val="0"/>
                                              <w:marRight w:val="0"/>
                                              <w:marTop w:val="150"/>
                                              <w:marBottom w:val="15"/>
                                              <w:divBdr>
                                                <w:top w:val="none" w:sz="0" w:space="0" w:color="auto"/>
                                                <w:left w:val="none" w:sz="0" w:space="0" w:color="auto"/>
                                                <w:bottom w:val="single" w:sz="6" w:space="0" w:color="E6E6E6"/>
                                                <w:right w:val="none" w:sz="0" w:space="0" w:color="auto"/>
                                              </w:divBdr>
                                            </w:div>
                                          </w:divsChild>
                                        </w:div>
                                      </w:divsChild>
                                    </w:div>
                                  </w:divsChild>
                                </w:div>
                              </w:divsChild>
                            </w:div>
                          </w:divsChild>
                        </w:div>
                      </w:divsChild>
                    </w:div>
                  </w:divsChild>
                </w:div>
              </w:divsChild>
            </w:div>
          </w:divsChild>
        </w:div>
      </w:divsChild>
    </w:div>
    <w:div w:id="208086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diagramLayout" Target="diagrams/layout2.xml"/><Relationship Id="rId34" Type="http://schemas.openxmlformats.org/officeDocument/2006/relationships/hyperlink" Target="http://ec.europa.eu/regional_policy/sources/docgener/evaluation/evalsed/index_en.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5" Type="http://schemas.openxmlformats.org/officeDocument/2006/relationships/header" Target="header4.xml"/><Relationship Id="rId33" Type="http://schemas.openxmlformats.org/officeDocument/2006/relationships/hyperlink" Target="http://ec.europa.eu/regional_policy/sources/docoffic/2014/working/wd_2014_en.pdf"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Data" Target="diagrams/data2.xml"/><Relationship Id="rId29" Type="http://schemas.openxmlformats.org/officeDocument/2006/relationships/hyperlink" Target="http://ec.europa.eu/europe2020/reaching-the-goals/monitoring-progress/recommendations-2011/index_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diagramDrawing" Target="diagrams/drawing2.xml"/><Relationship Id="rId32" Type="http://schemas.openxmlformats.org/officeDocument/2006/relationships/hyperlink" Target="http://ec.europa.eu/europe2020/pdf/nrp/nrp_lithuania_en.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diagramColors" Target="diagrams/colors2.xml"/><Relationship Id="rId28" Type="http://schemas.openxmlformats.org/officeDocument/2006/relationships/hyperlink" Target="http://ec.europa.eu/regional_policy/sources/docoffic/2014/working/ex_ante_en.pdf"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1.xml"/><Relationship Id="rId31" Type="http://schemas.openxmlformats.org/officeDocument/2006/relationships/hyperlink" Target="http://ec.europa.eu/europe2020/pdf/nrp/nrp_latvia_en.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diagramQuickStyle" Target="diagrams/quickStyle2.xml"/><Relationship Id="rId27" Type="http://schemas.openxmlformats.org/officeDocument/2006/relationships/hyperlink" Target="http://ec.europa.eu/regional_policy/what/future/proposals_2014_2020_en.cfm" TargetMode="External"/><Relationship Id="rId30" Type="http://schemas.openxmlformats.org/officeDocument/2006/relationships/hyperlink" Target="http://ec.europa.eu/regional_policy/sources/docoffic/working/strategic_framework/swd_2012_106_en.pdf" TargetMode="External"/><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new.eur-lex.europa.eu/legal-content/EN/TXT/?uri=CELEX:32013R1303" TargetMode="External"/><Relationship Id="rId13" Type="http://schemas.openxmlformats.org/officeDocument/2006/relationships/hyperlink" Target="http://new.eur-lex.europa.eu/legal-content/EN/TXT/?uri=CELEX:32013R1303" TargetMode="External"/><Relationship Id="rId3" Type="http://schemas.openxmlformats.org/officeDocument/2006/relationships/hyperlink" Target="http://eur-lex.europa.eu/LexUriServ/LexUriServ.do?uri=OJ:L:2013:347:0289:0302:EN:PDF" TargetMode="External"/><Relationship Id="rId7" Type="http://schemas.openxmlformats.org/officeDocument/2006/relationships/hyperlink" Target="http://eur-lex.europa.eu/LexUriServ/LexUriServ.do?uri=OJ:L:2013:347:0289:0302:EN:PDF" TargetMode="External"/><Relationship Id="rId12" Type="http://schemas.openxmlformats.org/officeDocument/2006/relationships/hyperlink" Target="http://ec.europa.eu/environment/eia/pdf/030923_sea_guidance.pdf" TargetMode="External"/><Relationship Id="rId2" Type="http://schemas.openxmlformats.org/officeDocument/2006/relationships/hyperlink" Target="http://eur-lex.europa.eu/LexUriServ/LexUriServ.do?uri=OJ:L:2013:347:0259:0280:EN:PDF" TargetMode="External"/><Relationship Id="rId1" Type="http://schemas.openxmlformats.org/officeDocument/2006/relationships/hyperlink" Target="http://new.eur-lex.europa.eu/legal-content/EN/TXT/?uri=CELEX:32013R1303" TargetMode="External"/><Relationship Id="rId6" Type="http://schemas.openxmlformats.org/officeDocument/2006/relationships/hyperlink" Target="http://eur-lex.europa.eu/LexUriServ/LexUriServ.do?uri=OJ:L:2013:347:0259:0280:EN:PDF" TargetMode="External"/><Relationship Id="rId11" Type="http://schemas.openxmlformats.org/officeDocument/2006/relationships/hyperlink" Target="http://www.latlit.eu/uploaded_files/Programme/Legal%20Framework/LATLIT%20Midterm%20evaluation_Final%20Report%20_08062011JD.pdf" TargetMode="External"/><Relationship Id="rId5" Type="http://schemas.openxmlformats.org/officeDocument/2006/relationships/hyperlink" Target="http://new.eur-lex.europa.eu/legal-content/EN/TXT/?uri=CELEX:32013R1303" TargetMode="External"/><Relationship Id="rId10" Type="http://schemas.openxmlformats.org/officeDocument/2006/relationships/hyperlink" Target="http://ec.europa.eu/europe2020/europe-2020-in-a-nutshell/targets/index_en.htm" TargetMode="External"/><Relationship Id="rId4" Type="http://schemas.openxmlformats.org/officeDocument/2006/relationships/hyperlink" Target="http://new.eur-lex.europa.eu/legal-content/EN/TXT/?uri=CELEX:32013R1303" TargetMode="External"/><Relationship Id="rId9" Type="http://schemas.openxmlformats.org/officeDocument/2006/relationships/hyperlink" Target="http://new.eur-lex.europa.eu/legal-content/EN/TXT/?uri=CELEX:32013R1303" TargetMode="External"/><Relationship Id="rId14" Type="http://schemas.openxmlformats.org/officeDocument/2006/relationships/hyperlink" Target="http://eur-lex.europa.eu/LexUriServ/LexUriServ.do?uri=OJ:L:2013:347:0259:0280:EN: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pieChart>
        <c:varyColors val="1"/>
        <c:ser>
          <c:idx val="0"/>
          <c:order val="0"/>
          <c:tx>
            <c:strRef>
              <c:f>Sheet1!$B$1</c:f>
              <c:strCache>
                <c:ptCount val="1"/>
                <c:pt idx="0">
                  <c:v>Financial allocation</c:v>
                </c:pt>
              </c:strCache>
            </c:strRef>
          </c:tx>
          <c:dLbls>
            <c:txPr>
              <a:bodyPr/>
              <a:lstStyle/>
              <a:p>
                <a:pPr>
                  <a:defRPr lang="en-GB"/>
                </a:pPr>
                <a:endParaRPr lang="lv-LV"/>
              </a:p>
            </c:txPr>
            <c:showCatName val="1"/>
            <c:showPercent val="1"/>
            <c:showLeaderLines val="1"/>
          </c:dLbls>
          <c:cat>
            <c:strRef>
              <c:f>Sheet1!$A$2:$A$5</c:f>
              <c:strCache>
                <c:ptCount val="4"/>
                <c:pt idx="0">
                  <c:v>TO6</c:v>
                </c:pt>
                <c:pt idx="1">
                  <c:v>TO8</c:v>
                </c:pt>
                <c:pt idx="2">
                  <c:v>TO9</c:v>
                </c:pt>
                <c:pt idx="3">
                  <c:v>TO11</c:v>
                </c:pt>
              </c:strCache>
            </c:strRef>
          </c:cat>
          <c:val>
            <c:numRef>
              <c:f>Sheet1!$B$2:$B$5</c:f>
              <c:numCache>
                <c:formatCode>General</c:formatCode>
                <c:ptCount val="4"/>
                <c:pt idx="0">
                  <c:v>13950422</c:v>
                </c:pt>
                <c:pt idx="1">
                  <c:v>18083880</c:v>
                </c:pt>
                <c:pt idx="2">
                  <c:v>10333646</c:v>
                </c:pt>
                <c:pt idx="3">
                  <c:v>9300281</c:v>
                </c:pt>
              </c:numCache>
            </c:numRef>
          </c:val>
        </c:ser>
        <c:firstSliceAng val="0"/>
      </c:pieChart>
    </c:plotArea>
    <c:legend>
      <c:legendPos val="r"/>
      <c:layout>
        <c:manualLayout>
          <c:xMode val="edge"/>
          <c:yMode val="edge"/>
          <c:x val="0.73047428659104763"/>
          <c:y val="0.32033592611857481"/>
          <c:w val="0.1808295872790707"/>
          <c:h val="0.34920372994378041"/>
        </c:manualLayout>
      </c:layout>
      <c:txPr>
        <a:bodyPr/>
        <a:lstStyle/>
        <a:p>
          <a:pPr>
            <a:defRPr lang="en-GB"/>
          </a:pPr>
          <a:endParaRPr lang="lv-LV"/>
        </a:p>
      </c:txPr>
    </c:legend>
    <c:plotVisOnly val="1"/>
    <c:dispBlanksAs val="zero"/>
  </c:chart>
  <c:spPr>
    <a:ln>
      <a:noFill/>
    </a:ln>
  </c:spPr>
  <c:txPr>
    <a:bodyPr/>
    <a:lstStyle/>
    <a:p>
      <a:pPr>
        <a:defRPr>
          <a:latin typeface="+mj-lt"/>
        </a:defRPr>
      </a:pPr>
      <a:endParaRPr lang="lv-LV"/>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1DAA88-9A8B-4278-820B-68D43600C5AB}"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GB"/>
        </a:p>
      </dgm:t>
    </dgm:pt>
    <dgm:pt modelId="{6A2DAE03-82D8-4DA9-8E3D-5BC6AD3F80EC}">
      <dgm:prSet phldrT="[Text]" custT="1"/>
      <dgm:spPr/>
      <dgm:t>
        <a:bodyPr/>
        <a:lstStyle/>
        <a:p>
          <a:r>
            <a:rPr lang="lv-LV" sz="800" b="1">
              <a:latin typeface="+mj-lt"/>
            </a:rPr>
            <a:t>Discussions</a:t>
          </a:r>
        </a:p>
        <a:p>
          <a:r>
            <a:rPr lang="lv-LV" sz="800">
              <a:latin typeface="+mj-lt"/>
            </a:rPr>
            <a:t>R</a:t>
          </a:r>
          <a:r>
            <a:rPr lang="en-GB" sz="800">
              <a:latin typeface="+mj-lt"/>
            </a:rPr>
            <a:t>egular meetings of the </a:t>
          </a:r>
          <a:r>
            <a:rPr lang="lv-LV" sz="800">
              <a:latin typeface="+mj-lt"/>
            </a:rPr>
            <a:t>JPC </a:t>
          </a:r>
          <a:r>
            <a:rPr lang="en-GB" sz="800">
              <a:latin typeface="+mj-lt"/>
            </a:rPr>
            <a:t>based on the results of the </a:t>
          </a:r>
          <a:r>
            <a:rPr lang="lv-LV" sz="800">
              <a:latin typeface="+mj-lt"/>
            </a:rPr>
            <a:t>above </a:t>
          </a:r>
          <a:r>
            <a:rPr lang="en-GB" sz="800">
              <a:latin typeface="+mj-lt"/>
            </a:rPr>
            <a:t>mentioned analysis</a:t>
          </a:r>
        </a:p>
      </dgm:t>
    </dgm:pt>
    <dgm:pt modelId="{C9F314FD-8DB1-44EF-9109-5B8AAB6401A7}" type="parTrans" cxnId="{BAE70B4D-3EBC-4AFA-AC35-CCC9697DCA7D}">
      <dgm:prSet/>
      <dgm:spPr/>
      <dgm:t>
        <a:bodyPr/>
        <a:lstStyle/>
        <a:p>
          <a:endParaRPr lang="en-GB"/>
        </a:p>
      </dgm:t>
    </dgm:pt>
    <dgm:pt modelId="{8A290F40-4D03-499C-9BB8-BEB69A980C10}" type="sibTrans" cxnId="{BAE70B4D-3EBC-4AFA-AC35-CCC9697DCA7D}">
      <dgm:prSet/>
      <dgm:spPr/>
      <dgm:t>
        <a:bodyPr/>
        <a:lstStyle/>
        <a:p>
          <a:endParaRPr lang="en-GB"/>
        </a:p>
      </dgm:t>
    </dgm:pt>
    <dgm:pt modelId="{013301A7-99E9-4C30-8C1B-283F4010114A}">
      <dgm:prSet phldrT="[Text]" custT="1"/>
      <dgm:spPr/>
      <dgm:t>
        <a:bodyPr/>
        <a:lstStyle/>
        <a:p>
          <a:r>
            <a:rPr lang="lv-LV" sz="800" b="1">
              <a:latin typeface="+mj-lt"/>
            </a:rPr>
            <a:t>Analysis</a:t>
          </a:r>
        </a:p>
        <a:p>
          <a:r>
            <a:rPr lang="en-GB" sz="800">
              <a:latin typeface="+mj-lt"/>
            </a:rPr>
            <a:t>The Thematic Objectives of 2014-2020 and Perspective of Future Projects: Contribution of Projects Financed by the Latvia – Lithuania Programme 2007-2013</a:t>
          </a:r>
          <a:endParaRPr lang="lv-LV" sz="800">
            <a:latin typeface="+mj-lt"/>
          </a:endParaRPr>
        </a:p>
      </dgm:t>
    </dgm:pt>
    <dgm:pt modelId="{11CD0178-2AB2-46D2-97FF-2F61C5E7266F}" type="parTrans" cxnId="{C238863E-70A9-4AD0-8B35-13329CBB6F7B}">
      <dgm:prSet/>
      <dgm:spPr/>
      <dgm:t>
        <a:bodyPr/>
        <a:lstStyle/>
        <a:p>
          <a:endParaRPr lang="en-GB"/>
        </a:p>
      </dgm:t>
    </dgm:pt>
    <dgm:pt modelId="{A9C8058B-9578-4A32-B591-2099904536E7}" type="sibTrans" cxnId="{C238863E-70A9-4AD0-8B35-13329CBB6F7B}">
      <dgm:prSet/>
      <dgm:spPr/>
      <dgm:t>
        <a:bodyPr/>
        <a:lstStyle/>
        <a:p>
          <a:endParaRPr lang="en-GB"/>
        </a:p>
      </dgm:t>
    </dgm:pt>
    <dgm:pt modelId="{B309578D-E069-4B2F-A95C-35F2F4371B6F}">
      <dgm:prSet phldrT="[Text]" custT="1"/>
      <dgm:spPr/>
      <dgm:t>
        <a:bodyPr/>
        <a:lstStyle/>
        <a:p>
          <a:pPr algn="ctr"/>
          <a:r>
            <a:rPr lang="lv-LV" sz="800" b="1">
              <a:latin typeface="+mj-lt"/>
            </a:rPr>
            <a:t>Analysis</a:t>
          </a:r>
        </a:p>
        <a:p>
          <a:pPr algn="ctr"/>
          <a:r>
            <a:rPr lang="en-GB" sz="800">
              <a:latin typeface="+mj-lt"/>
            </a:rPr>
            <a:t>Overview of the Discussions, Assessment and Feedback Received  During Programming of LV-LT 2014-2020</a:t>
          </a:r>
          <a:endParaRPr lang="lv-LV" sz="800">
            <a:latin typeface="+mj-lt"/>
          </a:endParaRPr>
        </a:p>
      </dgm:t>
    </dgm:pt>
    <dgm:pt modelId="{60B666D8-EC21-424A-A9E7-C38BF06C4AFE}" type="sibTrans" cxnId="{B6CD3CD0-500F-42D5-875B-EA6857710A3D}">
      <dgm:prSet/>
      <dgm:spPr/>
      <dgm:t>
        <a:bodyPr/>
        <a:lstStyle/>
        <a:p>
          <a:endParaRPr lang="en-GB"/>
        </a:p>
      </dgm:t>
    </dgm:pt>
    <dgm:pt modelId="{8BAC12D0-999E-4392-ADD6-79624EB49592}" type="parTrans" cxnId="{B6CD3CD0-500F-42D5-875B-EA6857710A3D}">
      <dgm:prSet/>
      <dgm:spPr/>
      <dgm:t>
        <a:bodyPr/>
        <a:lstStyle/>
        <a:p>
          <a:endParaRPr lang="en-GB"/>
        </a:p>
      </dgm:t>
    </dgm:pt>
    <dgm:pt modelId="{F960EEC3-D9A7-4D15-BCEB-AF5A9692A772}" type="pres">
      <dgm:prSet presAssocID="{991DAA88-9A8B-4278-820B-68D43600C5AB}" presName="cycle" presStyleCnt="0">
        <dgm:presLayoutVars>
          <dgm:chMax val="1"/>
          <dgm:dir/>
          <dgm:animLvl val="ctr"/>
          <dgm:resizeHandles val="exact"/>
        </dgm:presLayoutVars>
      </dgm:prSet>
      <dgm:spPr/>
      <dgm:t>
        <a:bodyPr/>
        <a:lstStyle/>
        <a:p>
          <a:endParaRPr lang="en-GB"/>
        </a:p>
      </dgm:t>
    </dgm:pt>
    <dgm:pt modelId="{77754BA6-1DB8-4B2C-AFD1-30298E03E3D7}" type="pres">
      <dgm:prSet presAssocID="{6A2DAE03-82D8-4DA9-8E3D-5BC6AD3F80EC}" presName="centerShape" presStyleLbl="node0" presStyleIdx="0" presStyleCnt="1" custScaleX="154476" custScaleY="100137"/>
      <dgm:spPr/>
      <dgm:t>
        <a:bodyPr/>
        <a:lstStyle/>
        <a:p>
          <a:endParaRPr lang="en-GB"/>
        </a:p>
      </dgm:t>
    </dgm:pt>
    <dgm:pt modelId="{2992BFFE-1E27-41F0-8D29-C3F471D53A4C}" type="pres">
      <dgm:prSet presAssocID="{11CD0178-2AB2-46D2-97FF-2F61C5E7266F}" presName="parTrans" presStyleLbl="bgSibTrans2D1" presStyleIdx="0" presStyleCnt="2"/>
      <dgm:spPr/>
      <dgm:t>
        <a:bodyPr/>
        <a:lstStyle/>
        <a:p>
          <a:endParaRPr lang="en-GB"/>
        </a:p>
      </dgm:t>
    </dgm:pt>
    <dgm:pt modelId="{6E0B5C32-8F92-415E-8F64-FF0C5503140D}" type="pres">
      <dgm:prSet presAssocID="{013301A7-99E9-4C30-8C1B-283F4010114A}" presName="node" presStyleLbl="node1" presStyleIdx="0" presStyleCnt="2" custScaleX="114628" custScaleY="115875">
        <dgm:presLayoutVars>
          <dgm:bulletEnabled val="1"/>
        </dgm:presLayoutVars>
      </dgm:prSet>
      <dgm:spPr/>
      <dgm:t>
        <a:bodyPr/>
        <a:lstStyle/>
        <a:p>
          <a:endParaRPr lang="en-GB"/>
        </a:p>
      </dgm:t>
    </dgm:pt>
    <dgm:pt modelId="{A7FF9AE3-E1F4-4728-8856-A7EC2465DA7B}" type="pres">
      <dgm:prSet presAssocID="{8BAC12D0-999E-4392-ADD6-79624EB49592}" presName="parTrans" presStyleLbl="bgSibTrans2D1" presStyleIdx="1" presStyleCnt="2"/>
      <dgm:spPr/>
      <dgm:t>
        <a:bodyPr/>
        <a:lstStyle/>
        <a:p>
          <a:endParaRPr lang="en-GB"/>
        </a:p>
      </dgm:t>
    </dgm:pt>
    <dgm:pt modelId="{03A8341F-9461-47FD-8D81-8D94FA50E319}" type="pres">
      <dgm:prSet presAssocID="{B309578D-E069-4B2F-A95C-35F2F4371B6F}" presName="node" presStyleLbl="node1" presStyleIdx="1" presStyleCnt="2" custScaleX="117292" custScaleY="116139">
        <dgm:presLayoutVars>
          <dgm:bulletEnabled val="1"/>
        </dgm:presLayoutVars>
      </dgm:prSet>
      <dgm:spPr/>
      <dgm:t>
        <a:bodyPr/>
        <a:lstStyle/>
        <a:p>
          <a:endParaRPr lang="en-GB"/>
        </a:p>
      </dgm:t>
    </dgm:pt>
  </dgm:ptLst>
  <dgm:cxnLst>
    <dgm:cxn modelId="{3859E877-045A-427B-93EC-937CC749BF4B}" type="presOf" srcId="{991DAA88-9A8B-4278-820B-68D43600C5AB}" destId="{F960EEC3-D9A7-4D15-BCEB-AF5A9692A772}" srcOrd="0" destOrd="0" presId="urn:microsoft.com/office/officeart/2005/8/layout/radial4"/>
    <dgm:cxn modelId="{FFE8C578-A965-4FEE-A4D0-57544FDD1B99}" type="presOf" srcId="{11CD0178-2AB2-46D2-97FF-2F61C5E7266F}" destId="{2992BFFE-1E27-41F0-8D29-C3F471D53A4C}" srcOrd="0" destOrd="0" presId="urn:microsoft.com/office/officeart/2005/8/layout/radial4"/>
    <dgm:cxn modelId="{D7020F17-9CF7-4648-935A-DF7B56B6E08A}" type="presOf" srcId="{6A2DAE03-82D8-4DA9-8E3D-5BC6AD3F80EC}" destId="{77754BA6-1DB8-4B2C-AFD1-30298E03E3D7}" srcOrd="0" destOrd="0" presId="urn:microsoft.com/office/officeart/2005/8/layout/radial4"/>
    <dgm:cxn modelId="{FC20F19A-1784-4A06-8AC2-41822CBD5191}" type="presOf" srcId="{B309578D-E069-4B2F-A95C-35F2F4371B6F}" destId="{03A8341F-9461-47FD-8D81-8D94FA50E319}" srcOrd="0" destOrd="0" presId="urn:microsoft.com/office/officeart/2005/8/layout/radial4"/>
    <dgm:cxn modelId="{BAE70B4D-3EBC-4AFA-AC35-CCC9697DCA7D}" srcId="{991DAA88-9A8B-4278-820B-68D43600C5AB}" destId="{6A2DAE03-82D8-4DA9-8E3D-5BC6AD3F80EC}" srcOrd="0" destOrd="0" parTransId="{C9F314FD-8DB1-44EF-9109-5B8AAB6401A7}" sibTransId="{8A290F40-4D03-499C-9BB8-BEB69A980C10}"/>
    <dgm:cxn modelId="{B6CD3CD0-500F-42D5-875B-EA6857710A3D}" srcId="{6A2DAE03-82D8-4DA9-8E3D-5BC6AD3F80EC}" destId="{B309578D-E069-4B2F-A95C-35F2F4371B6F}" srcOrd="1" destOrd="0" parTransId="{8BAC12D0-999E-4392-ADD6-79624EB49592}" sibTransId="{60B666D8-EC21-424A-A9E7-C38BF06C4AFE}"/>
    <dgm:cxn modelId="{C238863E-70A9-4AD0-8B35-13329CBB6F7B}" srcId="{6A2DAE03-82D8-4DA9-8E3D-5BC6AD3F80EC}" destId="{013301A7-99E9-4C30-8C1B-283F4010114A}" srcOrd="0" destOrd="0" parTransId="{11CD0178-2AB2-46D2-97FF-2F61C5E7266F}" sibTransId="{A9C8058B-9578-4A32-B591-2099904536E7}"/>
    <dgm:cxn modelId="{427632C8-3559-4D43-AF38-E7062FBAAB0F}" type="presOf" srcId="{013301A7-99E9-4C30-8C1B-283F4010114A}" destId="{6E0B5C32-8F92-415E-8F64-FF0C5503140D}" srcOrd="0" destOrd="0" presId="urn:microsoft.com/office/officeart/2005/8/layout/radial4"/>
    <dgm:cxn modelId="{3261C98B-736E-49C6-8BC0-89CB4F9F61AE}" type="presOf" srcId="{8BAC12D0-999E-4392-ADD6-79624EB49592}" destId="{A7FF9AE3-E1F4-4728-8856-A7EC2465DA7B}" srcOrd="0" destOrd="0" presId="urn:microsoft.com/office/officeart/2005/8/layout/radial4"/>
    <dgm:cxn modelId="{FA89A1B6-200F-404A-BCAE-6BBCEB24FB44}" type="presParOf" srcId="{F960EEC3-D9A7-4D15-BCEB-AF5A9692A772}" destId="{77754BA6-1DB8-4B2C-AFD1-30298E03E3D7}" srcOrd="0" destOrd="0" presId="urn:microsoft.com/office/officeart/2005/8/layout/radial4"/>
    <dgm:cxn modelId="{E5240D95-6BA6-4EB1-A10D-B5624A83DAD1}" type="presParOf" srcId="{F960EEC3-D9A7-4D15-BCEB-AF5A9692A772}" destId="{2992BFFE-1E27-41F0-8D29-C3F471D53A4C}" srcOrd="1" destOrd="0" presId="urn:microsoft.com/office/officeart/2005/8/layout/radial4"/>
    <dgm:cxn modelId="{338358D2-C192-466C-A5BE-557C109308CA}" type="presParOf" srcId="{F960EEC3-D9A7-4D15-BCEB-AF5A9692A772}" destId="{6E0B5C32-8F92-415E-8F64-FF0C5503140D}" srcOrd="2" destOrd="0" presId="urn:microsoft.com/office/officeart/2005/8/layout/radial4"/>
    <dgm:cxn modelId="{17372B51-976B-41F1-BF94-7F7E0885862B}" type="presParOf" srcId="{F960EEC3-D9A7-4D15-BCEB-AF5A9692A772}" destId="{A7FF9AE3-E1F4-4728-8856-A7EC2465DA7B}" srcOrd="3" destOrd="0" presId="urn:microsoft.com/office/officeart/2005/8/layout/radial4"/>
    <dgm:cxn modelId="{7E6EE665-08E7-4DB4-B578-1C881B3EEC9E}" type="presParOf" srcId="{F960EEC3-D9A7-4D15-BCEB-AF5A9692A772}" destId="{03A8341F-9461-47FD-8D81-8D94FA50E319}" srcOrd="4" destOrd="0" presId="urn:microsoft.com/office/officeart/2005/8/layout/radial4"/>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500C6DB-7AF7-4143-92A1-C7EF5E8DBF80}" type="doc">
      <dgm:prSet loTypeId="urn:microsoft.com/office/officeart/2005/8/layout/vList5" loCatId="list" qsTypeId="urn:microsoft.com/office/officeart/2005/8/quickstyle/simple1" qsCatId="simple" csTypeId="urn:microsoft.com/office/officeart/2005/8/colors/accent0_3" csCatId="mainScheme" phldr="1"/>
      <dgm:spPr/>
      <dgm:t>
        <a:bodyPr/>
        <a:lstStyle/>
        <a:p>
          <a:endParaRPr lang="en-GB"/>
        </a:p>
      </dgm:t>
    </dgm:pt>
    <dgm:pt modelId="{0C10863D-8F9B-4E3F-9396-41D3810301FA}">
      <dgm:prSet phldrT="[Text]"/>
      <dgm:spPr/>
      <dgm:t>
        <a:bodyPr/>
        <a:lstStyle/>
        <a:p>
          <a:pPr algn="l"/>
          <a:endParaRPr lang="en-GB" sz="800">
            <a:latin typeface="+mj-lt"/>
          </a:endParaRPr>
        </a:p>
      </dgm:t>
    </dgm:pt>
    <dgm:pt modelId="{11A650F0-4E22-45B1-848F-47A0C54E47CA}" type="parTrans" cxnId="{043B8564-2485-40AC-810D-3D61420D75DE}">
      <dgm:prSet/>
      <dgm:spPr/>
      <dgm:t>
        <a:bodyPr/>
        <a:lstStyle/>
        <a:p>
          <a:pPr algn="l"/>
          <a:endParaRPr lang="en-GB"/>
        </a:p>
      </dgm:t>
    </dgm:pt>
    <dgm:pt modelId="{13104AEC-D3FB-41A3-9703-19A4AD795DA1}" type="sibTrans" cxnId="{043B8564-2485-40AC-810D-3D61420D75DE}">
      <dgm:prSet/>
      <dgm:spPr/>
      <dgm:t>
        <a:bodyPr/>
        <a:lstStyle/>
        <a:p>
          <a:pPr algn="l"/>
          <a:endParaRPr lang="en-GB"/>
        </a:p>
      </dgm:t>
    </dgm:pt>
    <dgm:pt modelId="{9A4AFD28-1271-45F2-A59D-B4F53AC12AF5}">
      <dgm:prSet phldrT="[Text]" custT="1"/>
      <dgm:spPr/>
      <dgm:t>
        <a:bodyPr/>
        <a:lstStyle/>
        <a:p>
          <a:pPr algn="ctr"/>
          <a:r>
            <a:rPr lang="lv-LV" sz="1000" b="1">
              <a:latin typeface="+mj-lt"/>
            </a:rPr>
            <a:t>3.</a:t>
          </a:r>
          <a:endParaRPr lang="en-GB" sz="1000" b="1">
            <a:latin typeface="+mj-lt"/>
          </a:endParaRPr>
        </a:p>
      </dgm:t>
    </dgm:pt>
    <dgm:pt modelId="{10917127-D975-4F8F-86BB-69D8BAE74453}" type="parTrans" cxnId="{9B213AA0-9B60-48ED-9C20-9142EF7427E8}">
      <dgm:prSet/>
      <dgm:spPr/>
      <dgm:t>
        <a:bodyPr/>
        <a:lstStyle/>
        <a:p>
          <a:pPr algn="l"/>
          <a:endParaRPr lang="en-GB"/>
        </a:p>
      </dgm:t>
    </dgm:pt>
    <dgm:pt modelId="{14C4B63B-4D16-48D6-ADC3-83AEB7D432F6}" type="sibTrans" cxnId="{9B213AA0-9B60-48ED-9C20-9142EF7427E8}">
      <dgm:prSet/>
      <dgm:spPr/>
      <dgm:t>
        <a:bodyPr/>
        <a:lstStyle/>
        <a:p>
          <a:pPr algn="l"/>
          <a:endParaRPr lang="en-GB"/>
        </a:p>
      </dgm:t>
    </dgm:pt>
    <dgm:pt modelId="{D7553BAA-EDB2-456C-9FAC-CD9D24A28454}">
      <dgm:prSet phldrT="[Text]" custT="1"/>
      <dgm:spPr/>
      <dgm:t>
        <a:bodyPr/>
        <a:lstStyle/>
        <a:p>
          <a:r>
            <a:rPr lang="en-GB" sz="700" b="1">
              <a:latin typeface="+mj-lt"/>
            </a:rPr>
            <a:t>Climate change and energy sustainability</a:t>
          </a:r>
        </a:p>
      </dgm:t>
    </dgm:pt>
    <dgm:pt modelId="{8C3780FA-46BA-4785-A029-F03B6BB8A32E}" type="parTrans" cxnId="{BC03B028-540D-4A91-ACAF-66BB5765FA6C}">
      <dgm:prSet/>
      <dgm:spPr/>
      <dgm:t>
        <a:bodyPr/>
        <a:lstStyle/>
        <a:p>
          <a:pPr algn="l"/>
          <a:endParaRPr lang="en-GB"/>
        </a:p>
      </dgm:t>
    </dgm:pt>
    <dgm:pt modelId="{C8DF1FFD-F396-4748-BA27-17CD5F29D3DC}" type="sibTrans" cxnId="{BC03B028-540D-4A91-ACAF-66BB5765FA6C}">
      <dgm:prSet/>
      <dgm:spPr/>
      <dgm:t>
        <a:bodyPr/>
        <a:lstStyle/>
        <a:p>
          <a:pPr algn="l"/>
          <a:endParaRPr lang="en-GB"/>
        </a:p>
      </dgm:t>
    </dgm:pt>
    <dgm:pt modelId="{E9F79E63-9943-4E48-AAE0-59E7B8FDC752}">
      <dgm:prSet phldrT="[Text]" custT="1"/>
      <dgm:spPr/>
      <dgm:t>
        <a:bodyPr/>
        <a:lstStyle/>
        <a:p>
          <a:pPr algn="l"/>
          <a:r>
            <a:rPr lang="en-GB" sz="700" b="1">
              <a:latin typeface="+mj-lt"/>
            </a:rPr>
            <a:t>Research &amp; Development</a:t>
          </a:r>
          <a:endParaRPr lang="en-GB" sz="700">
            <a:latin typeface="+mj-lt"/>
          </a:endParaRPr>
        </a:p>
      </dgm:t>
    </dgm:pt>
    <dgm:pt modelId="{9BBA5624-9652-4B82-AFFD-43330C1F507E}" type="sibTrans" cxnId="{2E8A4064-FB51-49D1-A6B1-7C66D5F4EC58}">
      <dgm:prSet/>
      <dgm:spPr/>
      <dgm:t>
        <a:bodyPr/>
        <a:lstStyle/>
        <a:p>
          <a:pPr algn="l"/>
          <a:endParaRPr lang="en-GB"/>
        </a:p>
      </dgm:t>
    </dgm:pt>
    <dgm:pt modelId="{801BA0CF-1EF9-486D-AAE7-CDFB83E11041}" type="parTrans" cxnId="{2E8A4064-FB51-49D1-A6B1-7C66D5F4EC58}">
      <dgm:prSet/>
      <dgm:spPr/>
      <dgm:t>
        <a:bodyPr/>
        <a:lstStyle/>
        <a:p>
          <a:pPr algn="l"/>
          <a:endParaRPr lang="en-GB"/>
        </a:p>
      </dgm:t>
    </dgm:pt>
    <dgm:pt modelId="{813531A7-7290-4C70-B696-B11200926A84}">
      <dgm:prSet phldrT="[Text]" custT="1"/>
      <dgm:spPr/>
      <dgm:t>
        <a:bodyPr/>
        <a:lstStyle/>
        <a:p>
          <a:pPr algn="ctr"/>
          <a:r>
            <a:rPr lang="lv-LV" sz="1000" b="1">
              <a:latin typeface="+mj-lt"/>
            </a:rPr>
            <a:t>2.</a:t>
          </a:r>
          <a:endParaRPr lang="en-GB" sz="1000" b="1">
            <a:latin typeface="+mj-lt"/>
          </a:endParaRPr>
        </a:p>
      </dgm:t>
    </dgm:pt>
    <dgm:pt modelId="{DE93D0AF-76C0-42EB-89F4-4AD2E45656AA}" type="sibTrans" cxnId="{C7CF7014-ABF3-48AA-A059-1815A07F1782}">
      <dgm:prSet/>
      <dgm:spPr/>
      <dgm:t>
        <a:bodyPr/>
        <a:lstStyle/>
        <a:p>
          <a:pPr algn="l"/>
          <a:endParaRPr lang="en-GB"/>
        </a:p>
      </dgm:t>
    </dgm:pt>
    <dgm:pt modelId="{8C5AADF8-CDB1-4871-ABAF-F20289F76EFF}" type="parTrans" cxnId="{C7CF7014-ABF3-48AA-A059-1815A07F1782}">
      <dgm:prSet/>
      <dgm:spPr/>
      <dgm:t>
        <a:bodyPr/>
        <a:lstStyle/>
        <a:p>
          <a:pPr algn="l"/>
          <a:endParaRPr lang="en-GB"/>
        </a:p>
      </dgm:t>
    </dgm:pt>
    <dgm:pt modelId="{76538172-944B-4B10-B3D8-CA4F1CF8726F}">
      <dgm:prSet phldrT="[Text]" custT="1"/>
      <dgm:spPr/>
      <dgm:t>
        <a:bodyPr/>
        <a:lstStyle/>
        <a:p>
          <a:pPr algn="ctr"/>
          <a:r>
            <a:rPr lang="lv-LV" sz="1000" b="1">
              <a:latin typeface="+mj-lt"/>
            </a:rPr>
            <a:t>1.</a:t>
          </a:r>
          <a:endParaRPr lang="en-GB" sz="1000" b="1">
            <a:latin typeface="+mj-lt"/>
          </a:endParaRPr>
        </a:p>
      </dgm:t>
    </dgm:pt>
    <dgm:pt modelId="{1E992BDB-2535-4BCE-9BF2-3BC2E90CD4A8}" type="sibTrans" cxnId="{1D7A25A4-613D-4A80-B2C2-62D5FD175936}">
      <dgm:prSet/>
      <dgm:spPr/>
      <dgm:t>
        <a:bodyPr/>
        <a:lstStyle/>
        <a:p>
          <a:pPr algn="l"/>
          <a:endParaRPr lang="en-GB"/>
        </a:p>
      </dgm:t>
    </dgm:pt>
    <dgm:pt modelId="{0D781520-C4FD-4AB7-9ABC-A8026C05551E}" type="parTrans" cxnId="{1D7A25A4-613D-4A80-B2C2-62D5FD175936}">
      <dgm:prSet/>
      <dgm:spPr/>
      <dgm:t>
        <a:bodyPr/>
        <a:lstStyle/>
        <a:p>
          <a:pPr algn="l"/>
          <a:endParaRPr lang="en-GB"/>
        </a:p>
      </dgm:t>
    </dgm:pt>
    <dgm:pt modelId="{C1C0AB52-430C-410B-BD0C-A7986C170BED}">
      <dgm:prSet custT="1"/>
      <dgm:spPr/>
      <dgm:t>
        <a:bodyPr/>
        <a:lstStyle/>
        <a:p>
          <a:r>
            <a:rPr lang="lv-LV" sz="1000" b="1">
              <a:latin typeface="+mj-lt"/>
            </a:rPr>
            <a:t>4.</a:t>
          </a:r>
          <a:endParaRPr lang="en-GB" sz="1000" b="1">
            <a:latin typeface="+mj-lt"/>
          </a:endParaRPr>
        </a:p>
      </dgm:t>
    </dgm:pt>
    <dgm:pt modelId="{FA434CA3-8BFA-4F87-8746-54EC29E57579}" type="parTrans" cxnId="{25453EA7-1F09-4A48-8261-E81C994B59A3}">
      <dgm:prSet/>
      <dgm:spPr/>
      <dgm:t>
        <a:bodyPr/>
        <a:lstStyle/>
        <a:p>
          <a:endParaRPr lang="en-GB"/>
        </a:p>
      </dgm:t>
    </dgm:pt>
    <dgm:pt modelId="{AC852907-7168-4CFC-9F46-609006CAF121}" type="sibTrans" cxnId="{25453EA7-1F09-4A48-8261-E81C994B59A3}">
      <dgm:prSet/>
      <dgm:spPr/>
      <dgm:t>
        <a:bodyPr/>
        <a:lstStyle/>
        <a:p>
          <a:endParaRPr lang="en-GB"/>
        </a:p>
      </dgm:t>
    </dgm:pt>
    <dgm:pt modelId="{8414F306-537D-44C8-8C0F-0CA1A7F53A45}">
      <dgm:prSet custT="1"/>
      <dgm:spPr/>
      <dgm:t>
        <a:bodyPr/>
        <a:lstStyle/>
        <a:p>
          <a:r>
            <a:rPr lang="en-GB" sz="700" b="1">
              <a:latin typeface="+mj-lt"/>
            </a:rPr>
            <a:t>Education</a:t>
          </a:r>
          <a:endParaRPr lang="en-GB" sz="700" b="1"/>
        </a:p>
      </dgm:t>
    </dgm:pt>
    <dgm:pt modelId="{DCFE224F-AF8C-4082-965A-A430CC1517C7}" type="parTrans" cxnId="{E18813F3-288C-470D-BEB9-91697AA6D16A}">
      <dgm:prSet/>
      <dgm:spPr/>
      <dgm:t>
        <a:bodyPr/>
        <a:lstStyle/>
        <a:p>
          <a:endParaRPr lang="en-GB"/>
        </a:p>
      </dgm:t>
    </dgm:pt>
    <dgm:pt modelId="{646DE7B4-2E26-48BF-9F15-B162535733A9}" type="sibTrans" cxnId="{E18813F3-288C-470D-BEB9-91697AA6D16A}">
      <dgm:prSet/>
      <dgm:spPr/>
      <dgm:t>
        <a:bodyPr/>
        <a:lstStyle/>
        <a:p>
          <a:endParaRPr lang="en-GB"/>
        </a:p>
      </dgm:t>
    </dgm:pt>
    <dgm:pt modelId="{B15E4B2A-6633-4836-BD71-230C9D5708E8}">
      <dgm:prSet custT="1"/>
      <dgm:spPr/>
      <dgm:t>
        <a:bodyPr/>
        <a:lstStyle/>
        <a:p>
          <a:r>
            <a:rPr lang="lv-LV" sz="1000" b="1">
              <a:latin typeface="+mj-lt"/>
            </a:rPr>
            <a:t>5.</a:t>
          </a:r>
          <a:endParaRPr lang="en-GB" sz="1000" b="1">
            <a:latin typeface="+mj-lt"/>
          </a:endParaRPr>
        </a:p>
      </dgm:t>
    </dgm:pt>
    <dgm:pt modelId="{4829FFF8-AF2E-4D34-BF53-FF00C2E3FD6A}" type="parTrans" cxnId="{5C0ABD62-0459-46AE-8562-830EFE3A2328}">
      <dgm:prSet/>
      <dgm:spPr/>
      <dgm:t>
        <a:bodyPr/>
        <a:lstStyle/>
        <a:p>
          <a:endParaRPr lang="en-GB"/>
        </a:p>
      </dgm:t>
    </dgm:pt>
    <dgm:pt modelId="{4A497382-DD9D-4E9C-A924-E9FA28324231}" type="sibTrans" cxnId="{5C0ABD62-0459-46AE-8562-830EFE3A2328}">
      <dgm:prSet/>
      <dgm:spPr/>
      <dgm:t>
        <a:bodyPr/>
        <a:lstStyle/>
        <a:p>
          <a:endParaRPr lang="en-GB"/>
        </a:p>
      </dgm:t>
    </dgm:pt>
    <dgm:pt modelId="{91AB46C4-072A-4E23-90EF-BA1FE8236A9E}">
      <dgm:prSet/>
      <dgm:spPr/>
      <dgm:t>
        <a:bodyPr/>
        <a:lstStyle/>
        <a:p>
          <a:endParaRPr lang="en-GB" sz="500"/>
        </a:p>
      </dgm:t>
    </dgm:pt>
    <dgm:pt modelId="{B4A9E7D8-B596-491A-B558-D2A1A3F0557E}" type="parTrans" cxnId="{44739BD5-E351-46F6-945C-B7C7C1B51DF6}">
      <dgm:prSet/>
      <dgm:spPr/>
      <dgm:t>
        <a:bodyPr/>
        <a:lstStyle/>
        <a:p>
          <a:endParaRPr lang="en-GB"/>
        </a:p>
      </dgm:t>
    </dgm:pt>
    <dgm:pt modelId="{0C3DDE86-8890-4EC0-AD0C-B9AC4F2F0469}" type="sibTrans" cxnId="{44739BD5-E351-46F6-945C-B7C7C1B51DF6}">
      <dgm:prSet/>
      <dgm:spPr/>
      <dgm:t>
        <a:bodyPr/>
        <a:lstStyle/>
        <a:p>
          <a:endParaRPr lang="en-GB"/>
        </a:p>
      </dgm:t>
    </dgm:pt>
    <dgm:pt modelId="{5839CAF6-733F-44BA-9DC1-5AE141FFDC22}">
      <dgm:prSet custT="1"/>
      <dgm:spPr/>
      <dgm:t>
        <a:bodyPr/>
        <a:lstStyle/>
        <a:p>
          <a:r>
            <a:rPr lang="en-GB" sz="700" b="1">
              <a:latin typeface="+mj-lt"/>
            </a:rPr>
            <a:t>Employment</a:t>
          </a:r>
          <a:endParaRPr lang="en-GB" sz="700">
            <a:latin typeface="+mj-lt"/>
          </a:endParaRPr>
        </a:p>
      </dgm:t>
    </dgm:pt>
    <dgm:pt modelId="{F760A9B6-CE77-4544-B45B-9A33F433FEE0}" type="parTrans" cxnId="{137FC100-C706-402D-BB73-42C0F2D82579}">
      <dgm:prSet/>
      <dgm:spPr/>
      <dgm:t>
        <a:bodyPr/>
        <a:lstStyle/>
        <a:p>
          <a:endParaRPr lang="en-GB"/>
        </a:p>
      </dgm:t>
    </dgm:pt>
    <dgm:pt modelId="{2DF2ABBE-66A4-4DC0-81AE-7AFD535E24EE}" type="sibTrans" cxnId="{137FC100-C706-402D-BB73-42C0F2D82579}">
      <dgm:prSet/>
      <dgm:spPr/>
      <dgm:t>
        <a:bodyPr/>
        <a:lstStyle/>
        <a:p>
          <a:endParaRPr lang="en-GB"/>
        </a:p>
      </dgm:t>
    </dgm:pt>
    <dgm:pt modelId="{56C9C356-82A8-43CF-B2EB-77BD424254CC}">
      <dgm:prSet custT="1"/>
      <dgm:spPr/>
      <dgm:t>
        <a:bodyPr/>
        <a:lstStyle/>
        <a:p>
          <a:r>
            <a:rPr lang="en-GB" sz="700">
              <a:latin typeface="+mj-lt"/>
            </a:rPr>
            <a:t>75% of the 20-64 year-olds to be employed</a:t>
          </a:r>
        </a:p>
      </dgm:t>
    </dgm:pt>
    <dgm:pt modelId="{F5FE45BF-944E-4AB4-A9BC-64234046ED5E}" type="parTrans" cxnId="{32DA4BBC-6BF9-41F4-A580-6864F857730F}">
      <dgm:prSet/>
      <dgm:spPr/>
      <dgm:t>
        <a:bodyPr/>
        <a:lstStyle/>
        <a:p>
          <a:endParaRPr lang="en-GB"/>
        </a:p>
      </dgm:t>
    </dgm:pt>
    <dgm:pt modelId="{041DF932-7586-4DE3-B2D6-8C95A75CBE53}" type="sibTrans" cxnId="{32DA4BBC-6BF9-41F4-A580-6864F857730F}">
      <dgm:prSet/>
      <dgm:spPr/>
      <dgm:t>
        <a:bodyPr/>
        <a:lstStyle/>
        <a:p>
          <a:endParaRPr lang="en-GB"/>
        </a:p>
      </dgm:t>
    </dgm:pt>
    <dgm:pt modelId="{D4AF1005-1F1C-4063-9B2A-CD82606FF94C}">
      <dgm:prSet phldrT="[Text]" custT="1"/>
      <dgm:spPr/>
      <dgm:t>
        <a:bodyPr/>
        <a:lstStyle/>
        <a:p>
          <a:r>
            <a:rPr lang="en-GB" sz="700">
              <a:latin typeface="+mj-lt"/>
            </a:rPr>
            <a:t>20% increase in energy efficiency</a:t>
          </a:r>
        </a:p>
      </dgm:t>
    </dgm:pt>
    <dgm:pt modelId="{95623D9A-FB0E-4165-88D3-FBA381E947FD}" type="parTrans" cxnId="{0567D376-CDA2-495D-AFCC-2A5B9CABF07A}">
      <dgm:prSet/>
      <dgm:spPr/>
      <dgm:t>
        <a:bodyPr/>
        <a:lstStyle/>
        <a:p>
          <a:endParaRPr lang="en-GB"/>
        </a:p>
      </dgm:t>
    </dgm:pt>
    <dgm:pt modelId="{FC91C713-5F6D-4CF0-865E-C780EFAE64A7}" type="sibTrans" cxnId="{0567D376-CDA2-495D-AFCC-2A5B9CABF07A}">
      <dgm:prSet/>
      <dgm:spPr/>
      <dgm:t>
        <a:bodyPr/>
        <a:lstStyle/>
        <a:p>
          <a:endParaRPr lang="en-GB"/>
        </a:p>
      </dgm:t>
    </dgm:pt>
    <dgm:pt modelId="{E86B6DC9-0855-479E-B275-5BFC87D3E573}">
      <dgm:prSet phldrT="[Text]" custT="1"/>
      <dgm:spPr/>
      <dgm:t>
        <a:bodyPr/>
        <a:lstStyle/>
        <a:p>
          <a:endParaRPr lang="en-GB" sz="800">
            <a:latin typeface="+mj-lt"/>
          </a:endParaRPr>
        </a:p>
      </dgm:t>
    </dgm:pt>
    <dgm:pt modelId="{8FFF4F78-D6EB-4189-88D6-167F66C96C03}" type="parTrans" cxnId="{9DDE5859-C77B-46C9-958C-F3D0C3381B32}">
      <dgm:prSet/>
      <dgm:spPr/>
      <dgm:t>
        <a:bodyPr/>
        <a:lstStyle/>
        <a:p>
          <a:endParaRPr lang="en-GB"/>
        </a:p>
      </dgm:t>
    </dgm:pt>
    <dgm:pt modelId="{9683DDA3-346F-4A5A-9FDC-ABA10F6AC5B4}" type="sibTrans" cxnId="{9DDE5859-C77B-46C9-958C-F3D0C3381B32}">
      <dgm:prSet/>
      <dgm:spPr/>
      <dgm:t>
        <a:bodyPr/>
        <a:lstStyle/>
        <a:p>
          <a:endParaRPr lang="en-GB"/>
        </a:p>
      </dgm:t>
    </dgm:pt>
    <dgm:pt modelId="{C325AFAF-F2A0-40C8-9BBB-541127DD4DBF}">
      <dgm:prSet phldrT="[Text]" custT="1"/>
      <dgm:spPr/>
      <dgm:t>
        <a:bodyPr/>
        <a:lstStyle/>
        <a:p>
          <a:endParaRPr lang="en-GB" sz="400">
            <a:latin typeface="+mj-lt"/>
          </a:endParaRPr>
        </a:p>
      </dgm:t>
    </dgm:pt>
    <dgm:pt modelId="{447B23BC-DAD1-4FEB-8EBB-5CE2E0C23EE3}" type="parTrans" cxnId="{41EBAF58-0C7F-4FA1-A01C-A6BB2A1030BA}">
      <dgm:prSet/>
      <dgm:spPr/>
      <dgm:t>
        <a:bodyPr/>
        <a:lstStyle/>
        <a:p>
          <a:endParaRPr lang="en-GB"/>
        </a:p>
      </dgm:t>
    </dgm:pt>
    <dgm:pt modelId="{44366D10-99C2-4C79-B158-9BBB4E58663C}" type="sibTrans" cxnId="{41EBAF58-0C7F-4FA1-A01C-A6BB2A1030BA}">
      <dgm:prSet/>
      <dgm:spPr/>
      <dgm:t>
        <a:bodyPr/>
        <a:lstStyle/>
        <a:p>
          <a:endParaRPr lang="en-GB"/>
        </a:p>
      </dgm:t>
    </dgm:pt>
    <dgm:pt modelId="{77FEB35F-1440-436A-8965-259DA62659C7}">
      <dgm:prSet phldrT="[Text]" custT="1"/>
      <dgm:spPr/>
      <dgm:t>
        <a:bodyPr/>
        <a:lstStyle/>
        <a:p>
          <a:endParaRPr lang="en-GB" sz="400">
            <a:latin typeface="+mj-lt"/>
          </a:endParaRPr>
        </a:p>
      </dgm:t>
    </dgm:pt>
    <dgm:pt modelId="{0CE30CAD-222B-40E2-87C8-AC01A3672E05}" type="parTrans" cxnId="{93642C2F-F4D4-4F2D-970A-13946DC29B07}">
      <dgm:prSet/>
      <dgm:spPr/>
      <dgm:t>
        <a:bodyPr/>
        <a:lstStyle/>
        <a:p>
          <a:endParaRPr lang="en-GB"/>
        </a:p>
      </dgm:t>
    </dgm:pt>
    <dgm:pt modelId="{408FB541-0507-4270-9152-F3D59BD48EEB}" type="sibTrans" cxnId="{93642C2F-F4D4-4F2D-970A-13946DC29B07}">
      <dgm:prSet/>
      <dgm:spPr/>
      <dgm:t>
        <a:bodyPr/>
        <a:lstStyle/>
        <a:p>
          <a:endParaRPr lang="en-GB"/>
        </a:p>
      </dgm:t>
    </dgm:pt>
    <dgm:pt modelId="{268B39CE-B535-4A8A-98A9-7F274D295E22}">
      <dgm:prSet phldrT="[Text]" custT="1"/>
      <dgm:spPr/>
      <dgm:t>
        <a:bodyPr/>
        <a:lstStyle/>
        <a:p>
          <a:endParaRPr lang="en-GB" sz="400">
            <a:latin typeface="+mj-lt"/>
          </a:endParaRPr>
        </a:p>
      </dgm:t>
    </dgm:pt>
    <dgm:pt modelId="{76B6DE43-FD84-443F-8E42-1D33AF6042DB}" type="parTrans" cxnId="{C6DE5AA2-3824-455F-BA35-F9851E18BAD2}">
      <dgm:prSet/>
      <dgm:spPr/>
      <dgm:t>
        <a:bodyPr/>
        <a:lstStyle/>
        <a:p>
          <a:endParaRPr lang="en-GB"/>
        </a:p>
      </dgm:t>
    </dgm:pt>
    <dgm:pt modelId="{FE08A1BC-3F7F-4FB7-AAE7-1E9FFA95087B}" type="sibTrans" cxnId="{C6DE5AA2-3824-455F-BA35-F9851E18BAD2}">
      <dgm:prSet/>
      <dgm:spPr/>
      <dgm:t>
        <a:bodyPr/>
        <a:lstStyle/>
        <a:p>
          <a:endParaRPr lang="en-GB"/>
        </a:p>
      </dgm:t>
    </dgm:pt>
    <dgm:pt modelId="{AB1CD731-3E13-4FB5-96A7-0AB81CCA9E54}">
      <dgm:prSet phldrT="[Text]" custT="1"/>
      <dgm:spPr/>
      <dgm:t>
        <a:bodyPr/>
        <a:lstStyle/>
        <a:p>
          <a:r>
            <a:rPr lang="en-GB" sz="700">
              <a:latin typeface="+mj-lt"/>
            </a:rPr>
            <a:t>greenhouse gas emissions 20%</a:t>
          </a:r>
        </a:p>
      </dgm:t>
    </dgm:pt>
    <dgm:pt modelId="{522D78BB-7171-4724-9E37-B2A37F4D58FB}" type="parTrans" cxnId="{047C0FB3-94B8-4858-B675-BC6EE894AD4C}">
      <dgm:prSet/>
      <dgm:spPr/>
      <dgm:t>
        <a:bodyPr/>
        <a:lstStyle/>
        <a:p>
          <a:endParaRPr lang="en-GB"/>
        </a:p>
      </dgm:t>
    </dgm:pt>
    <dgm:pt modelId="{52D91327-8A5A-473E-A5E5-A3C69FBD51EE}" type="sibTrans" cxnId="{047C0FB3-94B8-4858-B675-BC6EE894AD4C}">
      <dgm:prSet/>
      <dgm:spPr/>
      <dgm:t>
        <a:bodyPr/>
        <a:lstStyle/>
        <a:p>
          <a:endParaRPr lang="en-GB"/>
        </a:p>
      </dgm:t>
    </dgm:pt>
    <dgm:pt modelId="{A9DFF6E4-177F-4F20-A624-C657BFB1788C}">
      <dgm:prSet custT="1"/>
      <dgm:spPr/>
      <dgm:t>
        <a:bodyPr/>
        <a:lstStyle/>
        <a:p>
          <a:r>
            <a:rPr lang="en-GB" sz="700">
              <a:latin typeface="+mj-lt"/>
            </a:rPr>
            <a:t>reducing the rates of early school leaving below 10%</a:t>
          </a:r>
        </a:p>
      </dgm:t>
    </dgm:pt>
    <dgm:pt modelId="{7776D4F6-0D0E-4892-BD35-EA41B800A2A6}" type="parTrans" cxnId="{8C57A681-6A0E-4081-9330-54893AD6FF94}">
      <dgm:prSet/>
      <dgm:spPr/>
      <dgm:t>
        <a:bodyPr/>
        <a:lstStyle/>
        <a:p>
          <a:endParaRPr lang="en-GB"/>
        </a:p>
      </dgm:t>
    </dgm:pt>
    <dgm:pt modelId="{88AFB5C2-FD75-4F9A-8A9C-148C4B1B715A}" type="sibTrans" cxnId="{8C57A681-6A0E-4081-9330-54893AD6FF94}">
      <dgm:prSet/>
      <dgm:spPr/>
      <dgm:t>
        <a:bodyPr/>
        <a:lstStyle/>
        <a:p>
          <a:endParaRPr lang="en-GB"/>
        </a:p>
      </dgm:t>
    </dgm:pt>
    <dgm:pt modelId="{F1423470-8209-4B13-8117-6BD57D55C229}">
      <dgm:prSet custT="1"/>
      <dgm:spPr/>
      <dgm:t>
        <a:bodyPr/>
        <a:lstStyle/>
        <a:p>
          <a:r>
            <a:rPr lang="en-GB" sz="700">
              <a:latin typeface="+mj-lt"/>
            </a:rPr>
            <a:t>at least 40% of 30-34–year-olds completing third level education</a:t>
          </a:r>
        </a:p>
      </dgm:t>
    </dgm:pt>
    <dgm:pt modelId="{A9948338-9F0B-4F4A-B3E6-07E3D464D8D0}" type="parTrans" cxnId="{3D024D8B-6841-413D-B106-B3CB2028A09F}">
      <dgm:prSet/>
      <dgm:spPr/>
      <dgm:t>
        <a:bodyPr/>
        <a:lstStyle/>
        <a:p>
          <a:endParaRPr lang="en-GB"/>
        </a:p>
      </dgm:t>
    </dgm:pt>
    <dgm:pt modelId="{DE98C728-6D01-47F1-8CFC-4548E370E113}" type="sibTrans" cxnId="{3D024D8B-6841-413D-B106-B3CB2028A09F}">
      <dgm:prSet/>
      <dgm:spPr/>
      <dgm:t>
        <a:bodyPr/>
        <a:lstStyle/>
        <a:p>
          <a:endParaRPr lang="en-GB"/>
        </a:p>
      </dgm:t>
    </dgm:pt>
    <dgm:pt modelId="{D43DCCA2-6B2C-4EC7-9350-56EF3B60B832}">
      <dgm:prSet custT="1"/>
      <dgm:spPr/>
      <dgm:t>
        <a:bodyPr/>
        <a:lstStyle/>
        <a:p>
          <a:r>
            <a:rPr lang="en-GB" sz="700" b="1">
              <a:latin typeface="+mj-lt"/>
            </a:rPr>
            <a:t>Fighting poverty and social exclusion</a:t>
          </a:r>
        </a:p>
      </dgm:t>
    </dgm:pt>
    <dgm:pt modelId="{ADF1FC7A-5F6F-4552-BFB2-D49FC96A8636}" type="sibTrans" cxnId="{1F9B7FE3-5F5C-4537-9DF1-110C9F8F89EA}">
      <dgm:prSet/>
      <dgm:spPr/>
      <dgm:t>
        <a:bodyPr/>
        <a:lstStyle/>
        <a:p>
          <a:endParaRPr lang="en-GB"/>
        </a:p>
      </dgm:t>
    </dgm:pt>
    <dgm:pt modelId="{9E7721E5-486E-4DA2-87B8-DF8F22771FC7}" type="parTrans" cxnId="{1F9B7FE3-5F5C-4537-9DF1-110C9F8F89EA}">
      <dgm:prSet/>
      <dgm:spPr/>
      <dgm:t>
        <a:bodyPr/>
        <a:lstStyle/>
        <a:p>
          <a:endParaRPr lang="en-GB"/>
        </a:p>
      </dgm:t>
    </dgm:pt>
    <dgm:pt modelId="{6BBA984A-B9E5-4EBD-A9C7-3A523F99A1B7}">
      <dgm:prSet custT="1"/>
      <dgm:spPr/>
      <dgm:t>
        <a:bodyPr/>
        <a:lstStyle/>
        <a:p>
          <a:endParaRPr lang="en-GB" sz="800">
            <a:latin typeface="+mj-lt"/>
          </a:endParaRPr>
        </a:p>
      </dgm:t>
    </dgm:pt>
    <dgm:pt modelId="{B4F8A032-04D1-48F3-B8C1-AA7B2E853FDE}" type="parTrans" cxnId="{CFA86C8A-40BA-4B85-AA9A-04DB9A92B07F}">
      <dgm:prSet/>
      <dgm:spPr/>
      <dgm:t>
        <a:bodyPr/>
        <a:lstStyle/>
        <a:p>
          <a:endParaRPr lang="en-GB"/>
        </a:p>
      </dgm:t>
    </dgm:pt>
    <dgm:pt modelId="{65324446-D5CB-4C70-80FA-B6B4A064742A}" type="sibTrans" cxnId="{CFA86C8A-40BA-4B85-AA9A-04DB9A92B07F}">
      <dgm:prSet/>
      <dgm:spPr/>
      <dgm:t>
        <a:bodyPr/>
        <a:lstStyle/>
        <a:p>
          <a:endParaRPr lang="en-GB"/>
        </a:p>
      </dgm:t>
    </dgm:pt>
    <dgm:pt modelId="{A21F8B8B-BE58-44EE-A95E-07147A78DC78}">
      <dgm:prSet custT="1"/>
      <dgm:spPr/>
      <dgm:t>
        <a:bodyPr/>
        <a:lstStyle/>
        <a:p>
          <a:r>
            <a:rPr lang="en-GB" sz="700">
              <a:latin typeface="+mj-lt"/>
            </a:rPr>
            <a:t>at least 20 million fewer people in or at risk of poverty and social exclusion</a:t>
          </a:r>
        </a:p>
      </dgm:t>
    </dgm:pt>
    <dgm:pt modelId="{D8E6BE61-806B-426E-93B1-F4E6C665FA02}" type="parTrans" cxnId="{F52332F9-2CB5-4B1E-A330-A16E464865E1}">
      <dgm:prSet/>
      <dgm:spPr/>
      <dgm:t>
        <a:bodyPr/>
        <a:lstStyle/>
        <a:p>
          <a:endParaRPr lang="en-GB"/>
        </a:p>
      </dgm:t>
    </dgm:pt>
    <dgm:pt modelId="{2D23A137-40DA-4EDB-B7EF-20091F96D38A}" type="sibTrans" cxnId="{F52332F9-2CB5-4B1E-A330-A16E464865E1}">
      <dgm:prSet/>
      <dgm:spPr/>
      <dgm:t>
        <a:bodyPr/>
        <a:lstStyle/>
        <a:p>
          <a:endParaRPr lang="en-GB"/>
        </a:p>
      </dgm:t>
    </dgm:pt>
    <dgm:pt modelId="{E1C35D8F-4523-4FA0-8BD6-0197F502EF21}">
      <dgm:prSet phldrT="[Text]" custT="1"/>
      <dgm:spPr/>
      <dgm:t>
        <a:bodyPr/>
        <a:lstStyle/>
        <a:p>
          <a:pPr algn="l"/>
          <a:r>
            <a:rPr lang="en-GB" sz="700">
              <a:latin typeface="+mj-lt"/>
            </a:rPr>
            <a:t>3% of the EU's GDP to be invested in R&amp;D</a:t>
          </a:r>
        </a:p>
      </dgm:t>
    </dgm:pt>
    <dgm:pt modelId="{4740C925-46CF-4B63-8ED0-DE78AB60E151}" type="parTrans" cxnId="{9BE96738-102B-4BDA-8D7F-89D3C7BEC31E}">
      <dgm:prSet/>
      <dgm:spPr/>
      <dgm:t>
        <a:bodyPr/>
        <a:lstStyle/>
        <a:p>
          <a:endParaRPr lang="en-GB"/>
        </a:p>
      </dgm:t>
    </dgm:pt>
    <dgm:pt modelId="{9DB66919-C434-4100-AD69-5F1F4F693BED}" type="sibTrans" cxnId="{9BE96738-102B-4BDA-8D7F-89D3C7BEC31E}">
      <dgm:prSet/>
      <dgm:spPr/>
      <dgm:t>
        <a:bodyPr/>
        <a:lstStyle/>
        <a:p>
          <a:endParaRPr lang="en-GB"/>
        </a:p>
      </dgm:t>
    </dgm:pt>
    <dgm:pt modelId="{3D6FFED2-2054-491F-A7AE-01714774EBCE}">
      <dgm:prSet phldrT="[Text]" custT="1"/>
      <dgm:spPr/>
      <dgm:t>
        <a:bodyPr/>
        <a:lstStyle/>
        <a:p>
          <a:r>
            <a:rPr lang="en-GB" sz="700">
              <a:latin typeface="+mj-lt"/>
            </a:rPr>
            <a:t>20% of energy from renewables</a:t>
          </a:r>
        </a:p>
      </dgm:t>
    </dgm:pt>
    <dgm:pt modelId="{CEF2F941-BC86-40A0-AC59-504AB78A16E5}" type="parTrans" cxnId="{B88C5432-38A9-4FD1-9CE8-F0007EA4874F}">
      <dgm:prSet/>
      <dgm:spPr/>
      <dgm:t>
        <a:bodyPr/>
        <a:lstStyle/>
        <a:p>
          <a:endParaRPr lang="en-GB"/>
        </a:p>
      </dgm:t>
    </dgm:pt>
    <dgm:pt modelId="{143C4721-9164-42E2-859B-F913BCB2356D}" type="sibTrans" cxnId="{B88C5432-38A9-4FD1-9CE8-F0007EA4874F}">
      <dgm:prSet/>
      <dgm:spPr/>
      <dgm:t>
        <a:bodyPr/>
        <a:lstStyle/>
        <a:p>
          <a:endParaRPr lang="en-GB"/>
        </a:p>
      </dgm:t>
    </dgm:pt>
    <dgm:pt modelId="{BEC2F119-1B2E-432C-B9EC-9AC0D71D8A3E}" type="pres">
      <dgm:prSet presAssocID="{2500C6DB-7AF7-4143-92A1-C7EF5E8DBF80}" presName="Name0" presStyleCnt="0">
        <dgm:presLayoutVars>
          <dgm:dir/>
          <dgm:animLvl val="lvl"/>
          <dgm:resizeHandles val="exact"/>
        </dgm:presLayoutVars>
      </dgm:prSet>
      <dgm:spPr/>
      <dgm:t>
        <a:bodyPr/>
        <a:lstStyle/>
        <a:p>
          <a:endParaRPr lang="en-GB"/>
        </a:p>
      </dgm:t>
    </dgm:pt>
    <dgm:pt modelId="{8B599118-AA25-408D-B578-6B5B1FE2C1AF}" type="pres">
      <dgm:prSet presAssocID="{76538172-944B-4B10-B3D8-CA4F1CF8726F}" presName="linNode" presStyleCnt="0"/>
      <dgm:spPr/>
    </dgm:pt>
    <dgm:pt modelId="{9460957F-3C04-4EBA-ADF6-9619E0B2C80F}" type="pres">
      <dgm:prSet presAssocID="{76538172-944B-4B10-B3D8-CA4F1CF8726F}" presName="parentText" presStyleLbl="node1" presStyleIdx="0" presStyleCnt="5" custScaleX="38010">
        <dgm:presLayoutVars>
          <dgm:chMax val="1"/>
          <dgm:bulletEnabled val="1"/>
        </dgm:presLayoutVars>
      </dgm:prSet>
      <dgm:spPr/>
      <dgm:t>
        <a:bodyPr/>
        <a:lstStyle/>
        <a:p>
          <a:endParaRPr lang="en-GB"/>
        </a:p>
      </dgm:t>
    </dgm:pt>
    <dgm:pt modelId="{778D5DD5-39F8-47C5-9CE6-F279E8D84307}" type="pres">
      <dgm:prSet presAssocID="{76538172-944B-4B10-B3D8-CA4F1CF8726F}" presName="descendantText" presStyleLbl="alignAccFollowNode1" presStyleIdx="0" presStyleCnt="5" custScaleX="123532">
        <dgm:presLayoutVars>
          <dgm:bulletEnabled val="1"/>
        </dgm:presLayoutVars>
      </dgm:prSet>
      <dgm:spPr/>
      <dgm:t>
        <a:bodyPr/>
        <a:lstStyle/>
        <a:p>
          <a:endParaRPr lang="en-GB"/>
        </a:p>
      </dgm:t>
    </dgm:pt>
    <dgm:pt modelId="{276AD592-CD4F-484E-BF57-360DBD170B3F}" type="pres">
      <dgm:prSet presAssocID="{1E992BDB-2535-4BCE-9BF2-3BC2E90CD4A8}" presName="sp" presStyleCnt="0"/>
      <dgm:spPr/>
    </dgm:pt>
    <dgm:pt modelId="{E112AA6A-9CD4-4CF4-B902-3D0426AE5B52}" type="pres">
      <dgm:prSet presAssocID="{813531A7-7290-4C70-B696-B11200926A84}" presName="linNode" presStyleCnt="0"/>
      <dgm:spPr/>
    </dgm:pt>
    <dgm:pt modelId="{B605D4C9-682B-42C2-87FA-22276784335D}" type="pres">
      <dgm:prSet presAssocID="{813531A7-7290-4C70-B696-B11200926A84}" presName="parentText" presStyleLbl="node1" presStyleIdx="1" presStyleCnt="5" custScaleX="38072">
        <dgm:presLayoutVars>
          <dgm:chMax val="1"/>
          <dgm:bulletEnabled val="1"/>
        </dgm:presLayoutVars>
      </dgm:prSet>
      <dgm:spPr/>
      <dgm:t>
        <a:bodyPr/>
        <a:lstStyle/>
        <a:p>
          <a:endParaRPr lang="en-GB"/>
        </a:p>
      </dgm:t>
    </dgm:pt>
    <dgm:pt modelId="{C98C8E7F-310B-4019-B571-DDB6CF71BDE2}" type="pres">
      <dgm:prSet presAssocID="{813531A7-7290-4C70-B696-B11200926A84}" presName="descendantText" presStyleLbl="alignAccFollowNode1" presStyleIdx="1" presStyleCnt="5" custScaleX="122998">
        <dgm:presLayoutVars>
          <dgm:bulletEnabled val="1"/>
        </dgm:presLayoutVars>
      </dgm:prSet>
      <dgm:spPr/>
      <dgm:t>
        <a:bodyPr/>
        <a:lstStyle/>
        <a:p>
          <a:endParaRPr lang="en-GB"/>
        </a:p>
      </dgm:t>
    </dgm:pt>
    <dgm:pt modelId="{E5C8E078-8BF8-4E69-99F6-F771A0EC7CF1}" type="pres">
      <dgm:prSet presAssocID="{DE93D0AF-76C0-42EB-89F4-4AD2E45656AA}" presName="sp" presStyleCnt="0"/>
      <dgm:spPr/>
    </dgm:pt>
    <dgm:pt modelId="{E0C28263-6B7F-4B95-92B2-A2AE40955E3E}" type="pres">
      <dgm:prSet presAssocID="{9A4AFD28-1271-45F2-A59D-B4F53AC12AF5}" presName="linNode" presStyleCnt="0"/>
      <dgm:spPr/>
    </dgm:pt>
    <dgm:pt modelId="{A6671B60-3280-4919-BE40-F12058FC1ACE}" type="pres">
      <dgm:prSet presAssocID="{9A4AFD28-1271-45F2-A59D-B4F53AC12AF5}" presName="parentText" presStyleLbl="node1" presStyleIdx="2" presStyleCnt="5" custScaleX="37662">
        <dgm:presLayoutVars>
          <dgm:chMax val="1"/>
          <dgm:bulletEnabled val="1"/>
        </dgm:presLayoutVars>
      </dgm:prSet>
      <dgm:spPr/>
      <dgm:t>
        <a:bodyPr/>
        <a:lstStyle/>
        <a:p>
          <a:endParaRPr lang="en-GB"/>
        </a:p>
      </dgm:t>
    </dgm:pt>
    <dgm:pt modelId="{B5ED4920-87A8-4843-9AE6-E13D7AC7A339}" type="pres">
      <dgm:prSet presAssocID="{9A4AFD28-1271-45F2-A59D-B4F53AC12AF5}" presName="descendantText" presStyleLbl="alignAccFollowNode1" presStyleIdx="2" presStyleCnt="5" custScaleX="123728" custLinFactNeighborX="2">
        <dgm:presLayoutVars>
          <dgm:bulletEnabled val="1"/>
        </dgm:presLayoutVars>
      </dgm:prSet>
      <dgm:spPr/>
      <dgm:t>
        <a:bodyPr/>
        <a:lstStyle/>
        <a:p>
          <a:endParaRPr lang="en-GB"/>
        </a:p>
      </dgm:t>
    </dgm:pt>
    <dgm:pt modelId="{F93AEB83-AE39-4722-A8D7-0ED056EAADA5}" type="pres">
      <dgm:prSet presAssocID="{14C4B63B-4D16-48D6-ADC3-83AEB7D432F6}" presName="sp" presStyleCnt="0"/>
      <dgm:spPr/>
    </dgm:pt>
    <dgm:pt modelId="{3C6732C9-8598-4A17-94C1-FB46EA10379B}" type="pres">
      <dgm:prSet presAssocID="{C1C0AB52-430C-410B-BD0C-A7986C170BED}" presName="linNode" presStyleCnt="0"/>
      <dgm:spPr/>
    </dgm:pt>
    <dgm:pt modelId="{5BBDAD93-0F76-454E-B110-40112D5C8FAC}" type="pres">
      <dgm:prSet presAssocID="{C1C0AB52-430C-410B-BD0C-A7986C170BED}" presName="parentText" presStyleLbl="node1" presStyleIdx="3" presStyleCnt="5" custScaleX="36854">
        <dgm:presLayoutVars>
          <dgm:chMax val="1"/>
          <dgm:bulletEnabled val="1"/>
        </dgm:presLayoutVars>
      </dgm:prSet>
      <dgm:spPr/>
      <dgm:t>
        <a:bodyPr/>
        <a:lstStyle/>
        <a:p>
          <a:endParaRPr lang="en-GB"/>
        </a:p>
      </dgm:t>
    </dgm:pt>
    <dgm:pt modelId="{BD76450C-341A-441A-9FE3-326FBEE39021}" type="pres">
      <dgm:prSet presAssocID="{C1C0AB52-430C-410B-BD0C-A7986C170BED}" presName="descendantText" presStyleLbl="alignAccFollowNode1" presStyleIdx="3" presStyleCnt="5" custScaleX="124143">
        <dgm:presLayoutVars>
          <dgm:bulletEnabled val="1"/>
        </dgm:presLayoutVars>
      </dgm:prSet>
      <dgm:spPr/>
      <dgm:t>
        <a:bodyPr/>
        <a:lstStyle/>
        <a:p>
          <a:endParaRPr lang="en-GB"/>
        </a:p>
      </dgm:t>
    </dgm:pt>
    <dgm:pt modelId="{93CAFEEC-CC72-4F9F-B79A-7A037BE33B78}" type="pres">
      <dgm:prSet presAssocID="{AC852907-7168-4CFC-9F46-609006CAF121}" presName="sp" presStyleCnt="0"/>
      <dgm:spPr/>
    </dgm:pt>
    <dgm:pt modelId="{1E6443C0-DD39-4C3C-9B3C-85C2BF5287FA}" type="pres">
      <dgm:prSet presAssocID="{B15E4B2A-6633-4836-BD71-230C9D5708E8}" presName="linNode" presStyleCnt="0"/>
      <dgm:spPr/>
    </dgm:pt>
    <dgm:pt modelId="{3BDCEE1E-CBBE-4D05-9FDC-B5369C5E6201}" type="pres">
      <dgm:prSet presAssocID="{B15E4B2A-6633-4836-BD71-230C9D5708E8}" presName="parentText" presStyleLbl="node1" presStyleIdx="4" presStyleCnt="5" custScaleX="37535">
        <dgm:presLayoutVars>
          <dgm:chMax val="1"/>
          <dgm:bulletEnabled val="1"/>
        </dgm:presLayoutVars>
      </dgm:prSet>
      <dgm:spPr/>
      <dgm:t>
        <a:bodyPr/>
        <a:lstStyle/>
        <a:p>
          <a:endParaRPr lang="en-GB"/>
        </a:p>
      </dgm:t>
    </dgm:pt>
    <dgm:pt modelId="{291B863A-4DF0-4D93-BE52-D1AB1A730DD8}" type="pres">
      <dgm:prSet presAssocID="{B15E4B2A-6633-4836-BD71-230C9D5708E8}" presName="descendantText" presStyleLbl="alignAccFollowNode1" presStyleIdx="4" presStyleCnt="5" custScaleX="123846" custLinFactNeighborX="1744" custLinFactNeighborY="-5078">
        <dgm:presLayoutVars>
          <dgm:bulletEnabled val="1"/>
        </dgm:presLayoutVars>
      </dgm:prSet>
      <dgm:spPr/>
      <dgm:t>
        <a:bodyPr/>
        <a:lstStyle/>
        <a:p>
          <a:endParaRPr lang="en-GB"/>
        </a:p>
      </dgm:t>
    </dgm:pt>
  </dgm:ptLst>
  <dgm:cxnLst>
    <dgm:cxn modelId="{27DDDD8F-CF18-4833-802C-7CBE7159A010}" type="presOf" srcId="{F1423470-8209-4B13-8117-6BD57D55C229}" destId="{BD76450C-341A-441A-9FE3-326FBEE39021}" srcOrd="0" destOrd="2" presId="urn:microsoft.com/office/officeart/2005/8/layout/vList5"/>
    <dgm:cxn modelId="{BC03B028-540D-4A91-ACAF-66BB5765FA6C}" srcId="{9A4AFD28-1271-45F2-A59D-B4F53AC12AF5}" destId="{D7553BAA-EDB2-456C-9FAC-CD9D24A28454}" srcOrd="3" destOrd="0" parTransId="{8C3780FA-46BA-4785-A029-F03B6BB8A32E}" sibTransId="{C8DF1FFD-F396-4748-BA27-17CD5F29D3DC}"/>
    <dgm:cxn modelId="{98CCA19C-4DAA-49FB-8E19-DBDBDBD2F347}" type="presOf" srcId="{91AB46C4-072A-4E23-90EF-BA1FE8236A9E}" destId="{291B863A-4DF0-4D93-BE52-D1AB1A730DD8}" srcOrd="0" destOrd="0" presId="urn:microsoft.com/office/officeart/2005/8/layout/vList5"/>
    <dgm:cxn modelId="{B3986E1A-E012-4C43-A35B-36D74FDD7383}" type="presOf" srcId="{D4AF1005-1F1C-4063-9B2A-CD82606FF94C}" destId="{B5ED4920-87A8-4843-9AE6-E13D7AC7A339}" srcOrd="0" destOrd="6" presId="urn:microsoft.com/office/officeart/2005/8/layout/vList5"/>
    <dgm:cxn modelId="{1F9B7FE3-5F5C-4537-9DF1-110C9F8F89EA}" srcId="{B15E4B2A-6633-4836-BD71-230C9D5708E8}" destId="{D43DCCA2-6B2C-4EC7-9350-56EF3B60B832}" srcOrd="1" destOrd="0" parTransId="{9E7721E5-486E-4DA2-87B8-DF8F22771FC7}" sibTransId="{ADF1FC7A-5F6F-4552-BFB2-D49FC96A8636}"/>
    <dgm:cxn modelId="{047C0FB3-94B8-4858-B675-BC6EE894AD4C}" srcId="{9A4AFD28-1271-45F2-A59D-B4F53AC12AF5}" destId="{AB1CD731-3E13-4FB5-96A7-0AB81CCA9E54}" srcOrd="4" destOrd="0" parTransId="{522D78BB-7171-4724-9E37-B2A37F4D58FB}" sibTransId="{52D91327-8A5A-473E-A5E5-A3C69FBD51EE}"/>
    <dgm:cxn modelId="{72B5D65F-664C-4828-B211-D5B7D24E590B}" type="presOf" srcId="{0C10863D-8F9B-4E3F-9396-41D3810301FA}" destId="{778D5DD5-39F8-47C5-9CE6-F279E8D84307}" srcOrd="0" destOrd="0" presId="urn:microsoft.com/office/officeart/2005/8/layout/vList5"/>
    <dgm:cxn modelId="{2E8A4064-FB51-49D1-A6B1-7C66D5F4EC58}" srcId="{813531A7-7290-4C70-B696-B11200926A84}" destId="{E9F79E63-9943-4E48-AAE0-59E7B8FDC752}" srcOrd="0" destOrd="0" parTransId="{801BA0CF-1EF9-486D-AAE7-CDFB83E11041}" sibTransId="{9BBA5624-9652-4B82-AFFD-43330C1F507E}"/>
    <dgm:cxn modelId="{41EBAF58-0C7F-4FA1-A01C-A6BB2A1030BA}" srcId="{9A4AFD28-1271-45F2-A59D-B4F53AC12AF5}" destId="{C325AFAF-F2A0-40C8-9BBB-541127DD4DBF}" srcOrd="0" destOrd="0" parTransId="{447B23BC-DAD1-4FEB-8EBB-5CE2E0C23EE3}" sibTransId="{44366D10-99C2-4C79-B158-9BBB4E58663C}"/>
    <dgm:cxn modelId="{23D994A3-F406-4F09-B172-4E126C4F2E59}" type="presOf" srcId="{A9DFF6E4-177F-4F20-A624-C657BFB1788C}" destId="{BD76450C-341A-441A-9FE3-326FBEE39021}" srcOrd="0" destOrd="1" presId="urn:microsoft.com/office/officeart/2005/8/layout/vList5"/>
    <dgm:cxn modelId="{5C0ABD62-0459-46AE-8562-830EFE3A2328}" srcId="{2500C6DB-7AF7-4143-92A1-C7EF5E8DBF80}" destId="{B15E4B2A-6633-4836-BD71-230C9D5708E8}" srcOrd="4" destOrd="0" parTransId="{4829FFF8-AF2E-4D34-BF53-FF00C2E3FD6A}" sibTransId="{4A497382-DD9D-4E9C-A924-E9FA28324231}"/>
    <dgm:cxn modelId="{9DA09D8E-AD5A-4BA2-A268-1858029856C8}" type="presOf" srcId="{B15E4B2A-6633-4836-BD71-230C9D5708E8}" destId="{3BDCEE1E-CBBE-4D05-9FDC-B5369C5E6201}" srcOrd="0" destOrd="0" presId="urn:microsoft.com/office/officeart/2005/8/layout/vList5"/>
    <dgm:cxn modelId="{C7CF7014-ABF3-48AA-A059-1815A07F1782}" srcId="{2500C6DB-7AF7-4143-92A1-C7EF5E8DBF80}" destId="{813531A7-7290-4C70-B696-B11200926A84}" srcOrd="1" destOrd="0" parTransId="{8C5AADF8-CDB1-4871-ABAF-F20289F76EFF}" sibTransId="{DE93D0AF-76C0-42EB-89F4-4AD2E45656AA}"/>
    <dgm:cxn modelId="{A64F9C27-8C83-439C-82C5-041D6F62E5BE}" type="presOf" srcId="{6BBA984A-B9E5-4EBD-A9C7-3A523F99A1B7}" destId="{291B863A-4DF0-4D93-BE52-D1AB1A730DD8}" srcOrd="0" destOrd="3" presId="urn:microsoft.com/office/officeart/2005/8/layout/vList5"/>
    <dgm:cxn modelId="{A4CDC837-2C7F-406A-9D39-402F36CF192C}" type="presOf" srcId="{E86B6DC9-0855-479E-B275-5BFC87D3E573}" destId="{B5ED4920-87A8-4843-9AE6-E13D7AC7A339}" srcOrd="0" destOrd="7" presId="urn:microsoft.com/office/officeart/2005/8/layout/vList5"/>
    <dgm:cxn modelId="{A954C444-30FB-4EC6-B8F6-93FC184BF76A}" type="presOf" srcId="{77FEB35F-1440-436A-8965-259DA62659C7}" destId="{B5ED4920-87A8-4843-9AE6-E13D7AC7A339}" srcOrd="0" destOrd="1" presId="urn:microsoft.com/office/officeart/2005/8/layout/vList5"/>
    <dgm:cxn modelId="{2B3C991A-9D4A-4EB2-A621-34D6C993E1B0}" type="presOf" srcId="{268B39CE-B535-4A8A-98A9-7F274D295E22}" destId="{B5ED4920-87A8-4843-9AE6-E13D7AC7A339}" srcOrd="0" destOrd="2" presId="urn:microsoft.com/office/officeart/2005/8/layout/vList5"/>
    <dgm:cxn modelId="{F52332F9-2CB5-4B1E-A330-A16E464865E1}" srcId="{B15E4B2A-6633-4836-BD71-230C9D5708E8}" destId="{A21F8B8B-BE58-44EE-A95E-07147A78DC78}" srcOrd="2" destOrd="0" parTransId="{D8E6BE61-806B-426E-93B1-F4E6C665FA02}" sibTransId="{2D23A137-40DA-4EDB-B7EF-20091F96D38A}"/>
    <dgm:cxn modelId="{9DDE5859-C77B-46C9-958C-F3D0C3381B32}" srcId="{9A4AFD28-1271-45F2-A59D-B4F53AC12AF5}" destId="{E86B6DC9-0855-479E-B275-5BFC87D3E573}" srcOrd="7" destOrd="0" parTransId="{8FFF4F78-D6EB-4189-88D6-167F66C96C03}" sibTransId="{9683DDA3-346F-4A5A-9FDC-ABA10F6AC5B4}"/>
    <dgm:cxn modelId="{CFA86C8A-40BA-4B85-AA9A-04DB9A92B07F}" srcId="{B15E4B2A-6633-4836-BD71-230C9D5708E8}" destId="{6BBA984A-B9E5-4EBD-A9C7-3A523F99A1B7}" srcOrd="3" destOrd="0" parTransId="{B4F8A032-04D1-48F3-B8C1-AA7B2E853FDE}" sibTransId="{65324446-D5CB-4C70-80FA-B6B4A064742A}"/>
    <dgm:cxn modelId="{EB616719-8019-4827-B15C-92C7EB6B4903}" type="presOf" srcId="{E1C35D8F-4523-4FA0-8BD6-0197F502EF21}" destId="{C98C8E7F-310B-4019-B571-DDB6CF71BDE2}" srcOrd="0" destOrd="1" presId="urn:microsoft.com/office/officeart/2005/8/layout/vList5"/>
    <dgm:cxn modelId="{22428106-AEE8-4822-BF2D-2C9F0CF09E46}" type="presOf" srcId="{2500C6DB-7AF7-4143-92A1-C7EF5E8DBF80}" destId="{BEC2F119-1B2E-432C-B9EC-9AC0D71D8A3E}" srcOrd="0" destOrd="0" presId="urn:microsoft.com/office/officeart/2005/8/layout/vList5"/>
    <dgm:cxn modelId="{3D024D8B-6841-413D-B106-B3CB2028A09F}" srcId="{C1C0AB52-430C-410B-BD0C-A7986C170BED}" destId="{F1423470-8209-4B13-8117-6BD57D55C229}" srcOrd="2" destOrd="0" parTransId="{A9948338-9F0B-4F4A-B3E6-07E3D464D8D0}" sibTransId="{DE98C728-6D01-47F1-8CFC-4548E370E113}"/>
    <dgm:cxn modelId="{7CC9A9AD-41D9-4E29-BEF4-CCB7EFFA4439}" type="presOf" srcId="{3D6FFED2-2054-491F-A7AE-01714774EBCE}" destId="{B5ED4920-87A8-4843-9AE6-E13D7AC7A339}" srcOrd="0" destOrd="5" presId="urn:microsoft.com/office/officeart/2005/8/layout/vList5"/>
    <dgm:cxn modelId="{9BE96738-102B-4BDA-8D7F-89D3C7BEC31E}" srcId="{813531A7-7290-4C70-B696-B11200926A84}" destId="{E1C35D8F-4523-4FA0-8BD6-0197F502EF21}" srcOrd="1" destOrd="0" parTransId="{4740C925-46CF-4B63-8ED0-DE78AB60E151}" sibTransId="{9DB66919-C434-4100-AD69-5F1F4F693BED}"/>
    <dgm:cxn modelId="{8C57A681-6A0E-4081-9330-54893AD6FF94}" srcId="{C1C0AB52-430C-410B-BD0C-A7986C170BED}" destId="{A9DFF6E4-177F-4F20-A624-C657BFB1788C}" srcOrd="1" destOrd="0" parTransId="{7776D4F6-0D0E-4892-BD35-EA41B800A2A6}" sibTransId="{88AFB5C2-FD75-4F9A-8A9C-148C4B1B715A}"/>
    <dgm:cxn modelId="{83C7C5AA-A3B9-4866-B383-51D7CD91B5A4}" type="presOf" srcId="{5839CAF6-733F-44BA-9DC1-5AE141FFDC22}" destId="{778D5DD5-39F8-47C5-9CE6-F279E8D84307}" srcOrd="0" destOrd="1" presId="urn:microsoft.com/office/officeart/2005/8/layout/vList5"/>
    <dgm:cxn modelId="{ECCBFF9E-FF47-44A5-B010-6CBB536406A0}" type="presOf" srcId="{56C9C356-82A8-43CF-B2EB-77BD424254CC}" destId="{778D5DD5-39F8-47C5-9CE6-F279E8D84307}" srcOrd="0" destOrd="2" presId="urn:microsoft.com/office/officeart/2005/8/layout/vList5"/>
    <dgm:cxn modelId="{44739BD5-E351-46F6-945C-B7C7C1B51DF6}" srcId="{B15E4B2A-6633-4836-BD71-230C9D5708E8}" destId="{91AB46C4-072A-4E23-90EF-BA1FE8236A9E}" srcOrd="0" destOrd="0" parTransId="{B4A9E7D8-B596-491A-B558-D2A1A3F0557E}" sibTransId="{0C3DDE86-8890-4EC0-AD0C-B9AC4F2F0469}"/>
    <dgm:cxn modelId="{B7DD1CCD-5BF3-460E-B81F-0FE2C96DE563}" type="presOf" srcId="{A21F8B8B-BE58-44EE-A95E-07147A78DC78}" destId="{291B863A-4DF0-4D93-BE52-D1AB1A730DD8}" srcOrd="0" destOrd="2" presId="urn:microsoft.com/office/officeart/2005/8/layout/vList5"/>
    <dgm:cxn modelId="{8F4C20A9-3245-447D-9314-2D6DEE802259}" type="presOf" srcId="{813531A7-7290-4C70-B696-B11200926A84}" destId="{B605D4C9-682B-42C2-87FA-22276784335D}" srcOrd="0" destOrd="0" presId="urn:microsoft.com/office/officeart/2005/8/layout/vList5"/>
    <dgm:cxn modelId="{2403FBEF-DC6A-41FB-AD82-81892B0159D9}" type="presOf" srcId="{76538172-944B-4B10-B3D8-CA4F1CF8726F}" destId="{9460957F-3C04-4EBA-ADF6-9619E0B2C80F}" srcOrd="0" destOrd="0" presId="urn:microsoft.com/office/officeart/2005/8/layout/vList5"/>
    <dgm:cxn modelId="{E18813F3-288C-470D-BEB9-91697AA6D16A}" srcId="{C1C0AB52-430C-410B-BD0C-A7986C170BED}" destId="{8414F306-537D-44C8-8C0F-0CA1A7F53A45}" srcOrd="0" destOrd="0" parTransId="{DCFE224F-AF8C-4082-965A-A430CC1517C7}" sibTransId="{646DE7B4-2E26-48BF-9F15-B162535733A9}"/>
    <dgm:cxn modelId="{0567D376-CDA2-495D-AFCC-2A5B9CABF07A}" srcId="{9A4AFD28-1271-45F2-A59D-B4F53AC12AF5}" destId="{D4AF1005-1F1C-4063-9B2A-CD82606FF94C}" srcOrd="6" destOrd="0" parTransId="{95623D9A-FB0E-4165-88D3-FBA381E947FD}" sibTransId="{FC91C713-5F6D-4CF0-865E-C780EFAE64A7}"/>
    <dgm:cxn modelId="{B88C5432-38A9-4FD1-9CE8-F0007EA4874F}" srcId="{9A4AFD28-1271-45F2-A59D-B4F53AC12AF5}" destId="{3D6FFED2-2054-491F-A7AE-01714774EBCE}" srcOrd="5" destOrd="0" parTransId="{CEF2F941-BC86-40A0-AC59-504AB78A16E5}" sibTransId="{143C4721-9164-42E2-859B-F913BCB2356D}"/>
    <dgm:cxn modelId="{B67C508C-5CA6-4084-A5EE-FF73EC6AF0CC}" type="presOf" srcId="{D43DCCA2-6B2C-4EC7-9350-56EF3B60B832}" destId="{291B863A-4DF0-4D93-BE52-D1AB1A730DD8}" srcOrd="0" destOrd="1" presId="urn:microsoft.com/office/officeart/2005/8/layout/vList5"/>
    <dgm:cxn modelId="{137FC100-C706-402D-BB73-42C0F2D82579}" srcId="{76538172-944B-4B10-B3D8-CA4F1CF8726F}" destId="{5839CAF6-733F-44BA-9DC1-5AE141FFDC22}" srcOrd="1" destOrd="0" parTransId="{F760A9B6-CE77-4544-B45B-9A33F433FEE0}" sibTransId="{2DF2ABBE-66A4-4DC0-81AE-7AFD535E24EE}"/>
    <dgm:cxn modelId="{043B8564-2485-40AC-810D-3D61420D75DE}" srcId="{76538172-944B-4B10-B3D8-CA4F1CF8726F}" destId="{0C10863D-8F9B-4E3F-9396-41D3810301FA}" srcOrd="0" destOrd="0" parTransId="{11A650F0-4E22-45B1-848F-47A0C54E47CA}" sibTransId="{13104AEC-D3FB-41A3-9703-19A4AD795DA1}"/>
    <dgm:cxn modelId="{A4E0EC4C-48B1-479B-987D-1AF554E158E2}" type="presOf" srcId="{C1C0AB52-430C-410B-BD0C-A7986C170BED}" destId="{5BBDAD93-0F76-454E-B110-40112D5C8FAC}" srcOrd="0" destOrd="0" presId="urn:microsoft.com/office/officeart/2005/8/layout/vList5"/>
    <dgm:cxn modelId="{93642C2F-F4D4-4F2D-970A-13946DC29B07}" srcId="{9A4AFD28-1271-45F2-A59D-B4F53AC12AF5}" destId="{77FEB35F-1440-436A-8965-259DA62659C7}" srcOrd="1" destOrd="0" parTransId="{0CE30CAD-222B-40E2-87C8-AC01A3672E05}" sibTransId="{408FB541-0507-4270-9152-F3D59BD48EEB}"/>
    <dgm:cxn modelId="{B82C33B2-4697-4CAB-A6D7-96029684DE40}" type="presOf" srcId="{8414F306-537D-44C8-8C0F-0CA1A7F53A45}" destId="{BD76450C-341A-441A-9FE3-326FBEE39021}" srcOrd="0" destOrd="0" presId="urn:microsoft.com/office/officeart/2005/8/layout/vList5"/>
    <dgm:cxn modelId="{BA3158EB-5B12-4A3B-A98C-B3D9F9983BF5}" type="presOf" srcId="{E9F79E63-9943-4E48-AAE0-59E7B8FDC752}" destId="{C98C8E7F-310B-4019-B571-DDB6CF71BDE2}" srcOrd="0" destOrd="0" presId="urn:microsoft.com/office/officeart/2005/8/layout/vList5"/>
    <dgm:cxn modelId="{9B213AA0-9B60-48ED-9C20-9142EF7427E8}" srcId="{2500C6DB-7AF7-4143-92A1-C7EF5E8DBF80}" destId="{9A4AFD28-1271-45F2-A59D-B4F53AC12AF5}" srcOrd="2" destOrd="0" parTransId="{10917127-D975-4F8F-86BB-69D8BAE74453}" sibTransId="{14C4B63B-4D16-48D6-ADC3-83AEB7D432F6}"/>
    <dgm:cxn modelId="{C6DE5AA2-3824-455F-BA35-F9851E18BAD2}" srcId="{9A4AFD28-1271-45F2-A59D-B4F53AC12AF5}" destId="{268B39CE-B535-4A8A-98A9-7F274D295E22}" srcOrd="2" destOrd="0" parTransId="{76B6DE43-FD84-443F-8E42-1D33AF6042DB}" sibTransId="{FE08A1BC-3F7F-4FB7-AAE7-1E9FFA95087B}"/>
    <dgm:cxn modelId="{667D5F81-FF7F-40DA-9509-F9999DDFB3E2}" type="presOf" srcId="{9A4AFD28-1271-45F2-A59D-B4F53AC12AF5}" destId="{A6671B60-3280-4919-BE40-F12058FC1ACE}" srcOrd="0" destOrd="0" presId="urn:microsoft.com/office/officeart/2005/8/layout/vList5"/>
    <dgm:cxn modelId="{25453EA7-1F09-4A48-8261-E81C994B59A3}" srcId="{2500C6DB-7AF7-4143-92A1-C7EF5E8DBF80}" destId="{C1C0AB52-430C-410B-BD0C-A7986C170BED}" srcOrd="3" destOrd="0" parTransId="{FA434CA3-8BFA-4F87-8746-54EC29E57579}" sibTransId="{AC852907-7168-4CFC-9F46-609006CAF121}"/>
    <dgm:cxn modelId="{A85A841E-9786-4A55-A99B-08D7A24D2751}" type="presOf" srcId="{C325AFAF-F2A0-40C8-9BBB-541127DD4DBF}" destId="{B5ED4920-87A8-4843-9AE6-E13D7AC7A339}" srcOrd="0" destOrd="0" presId="urn:microsoft.com/office/officeart/2005/8/layout/vList5"/>
    <dgm:cxn modelId="{99744A9E-F414-4725-A1B2-1A96B64DE10B}" type="presOf" srcId="{D7553BAA-EDB2-456C-9FAC-CD9D24A28454}" destId="{B5ED4920-87A8-4843-9AE6-E13D7AC7A339}" srcOrd="0" destOrd="3" presId="urn:microsoft.com/office/officeart/2005/8/layout/vList5"/>
    <dgm:cxn modelId="{32DA4BBC-6BF9-41F4-A580-6864F857730F}" srcId="{76538172-944B-4B10-B3D8-CA4F1CF8726F}" destId="{56C9C356-82A8-43CF-B2EB-77BD424254CC}" srcOrd="2" destOrd="0" parTransId="{F5FE45BF-944E-4AB4-A9BC-64234046ED5E}" sibTransId="{041DF932-7586-4DE3-B2D6-8C95A75CBE53}"/>
    <dgm:cxn modelId="{1D7A25A4-613D-4A80-B2C2-62D5FD175936}" srcId="{2500C6DB-7AF7-4143-92A1-C7EF5E8DBF80}" destId="{76538172-944B-4B10-B3D8-CA4F1CF8726F}" srcOrd="0" destOrd="0" parTransId="{0D781520-C4FD-4AB7-9ABC-A8026C05551E}" sibTransId="{1E992BDB-2535-4BCE-9BF2-3BC2E90CD4A8}"/>
    <dgm:cxn modelId="{C15E4A38-0989-4C76-BE72-563E03B1ED87}" type="presOf" srcId="{AB1CD731-3E13-4FB5-96A7-0AB81CCA9E54}" destId="{B5ED4920-87A8-4843-9AE6-E13D7AC7A339}" srcOrd="0" destOrd="4" presId="urn:microsoft.com/office/officeart/2005/8/layout/vList5"/>
    <dgm:cxn modelId="{5E44336D-F2ED-45EE-AF96-AFEB7D31B0B7}" type="presParOf" srcId="{BEC2F119-1B2E-432C-B9EC-9AC0D71D8A3E}" destId="{8B599118-AA25-408D-B578-6B5B1FE2C1AF}" srcOrd="0" destOrd="0" presId="urn:microsoft.com/office/officeart/2005/8/layout/vList5"/>
    <dgm:cxn modelId="{338424C3-F0D9-4CD3-AB5F-03FD765D94C8}" type="presParOf" srcId="{8B599118-AA25-408D-B578-6B5B1FE2C1AF}" destId="{9460957F-3C04-4EBA-ADF6-9619E0B2C80F}" srcOrd="0" destOrd="0" presId="urn:microsoft.com/office/officeart/2005/8/layout/vList5"/>
    <dgm:cxn modelId="{356ED532-1F7C-4816-B1D7-AFE1E3A77E9A}" type="presParOf" srcId="{8B599118-AA25-408D-B578-6B5B1FE2C1AF}" destId="{778D5DD5-39F8-47C5-9CE6-F279E8D84307}" srcOrd="1" destOrd="0" presId="urn:microsoft.com/office/officeart/2005/8/layout/vList5"/>
    <dgm:cxn modelId="{09F05867-F508-4847-860B-C93A01986735}" type="presParOf" srcId="{BEC2F119-1B2E-432C-B9EC-9AC0D71D8A3E}" destId="{276AD592-CD4F-484E-BF57-360DBD170B3F}" srcOrd="1" destOrd="0" presId="urn:microsoft.com/office/officeart/2005/8/layout/vList5"/>
    <dgm:cxn modelId="{AB07C57B-A7C6-455A-B4AC-446650B3CFCA}" type="presParOf" srcId="{BEC2F119-1B2E-432C-B9EC-9AC0D71D8A3E}" destId="{E112AA6A-9CD4-4CF4-B902-3D0426AE5B52}" srcOrd="2" destOrd="0" presId="urn:microsoft.com/office/officeart/2005/8/layout/vList5"/>
    <dgm:cxn modelId="{98E94DC4-2FB0-4B17-B999-D3EA7FAA924A}" type="presParOf" srcId="{E112AA6A-9CD4-4CF4-B902-3D0426AE5B52}" destId="{B605D4C9-682B-42C2-87FA-22276784335D}" srcOrd="0" destOrd="0" presId="urn:microsoft.com/office/officeart/2005/8/layout/vList5"/>
    <dgm:cxn modelId="{F1ABDC50-1775-4154-B051-0F60DC6E7AFF}" type="presParOf" srcId="{E112AA6A-9CD4-4CF4-B902-3D0426AE5B52}" destId="{C98C8E7F-310B-4019-B571-DDB6CF71BDE2}" srcOrd="1" destOrd="0" presId="urn:microsoft.com/office/officeart/2005/8/layout/vList5"/>
    <dgm:cxn modelId="{6942533B-8678-4DFE-A876-DCB367DB1FD6}" type="presParOf" srcId="{BEC2F119-1B2E-432C-B9EC-9AC0D71D8A3E}" destId="{E5C8E078-8BF8-4E69-99F6-F771A0EC7CF1}" srcOrd="3" destOrd="0" presId="urn:microsoft.com/office/officeart/2005/8/layout/vList5"/>
    <dgm:cxn modelId="{6A794527-E95C-4339-A9A9-17E7102827BB}" type="presParOf" srcId="{BEC2F119-1B2E-432C-B9EC-9AC0D71D8A3E}" destId="{E0C28263-6B7F-4B95-92B2-A2AE40955E3E}" srcOrd="4" destOrd="0" presId="urn:microsoft.com/office/officeart/2005/8/layout/vList5"/>
    <dgm:cxn modelId="{678DAFB5-4281-4E44-8672-C4CB7FE08344}" type="presParOf" srcId="{E0C28263-6B7F-4B95-92B2-A2AE40955E3E}" destId="{A6671B60-3280-4919-BE40-F12058FC1ACE}" srcOrd="0" destOrd="0" presId="urn:microsoft.com/office/officeart/2005/8/layout/vList5"/>
    <dgm:cxn modelId="{42793E88-8DE4-40F2-9681-614557EE9760}" type="presParOf" srcId="{E0C28263-6B7F-4B95-92B2-A2AE40955E3E}" destId="{B5ED4920-87A8-4843-9AE6-E13D7AC7A339}" srcOrd="1" destOrd="0" presId="urn:microsoft.com/office/officeart/2005/8/layout/vList5"/>
    <dgm:cxn modelId="{DC79E734-796E-4B57-A12A-8B7ADCD5EEB6}" type="presParOf" srcId="{BEC2F119-1B2E-432C-B9EC-9AC0D71D8A3E}" destId="{F93AEB83-AE39-4722-A8D7-0ED056EAADA5}" srcOrd="5" destOrd="0" presId="urn:microsoft.com/office/officeart/2005/8/layout/vList5"/>
    <dgm:cxn modelId="{A833D825-277A-44E0-987F-DB1143731178}" type="presParOf" srcId="{BEC2F119-1B2E-432C-B9EC-9AC0D71D8A3E}" destId="{3C6732C9-8598-4A17-94C1-FB46EA10379B}" srcOrd="6" destOrd="0" presId="urn:microsoft.com/office/officeart/2005/8/layout/vList5"/>
    <dgm:cxn modelId="{DF357A90-E730-4600-9EE2-37FB7C1965BA}" type="presParOf" srcId="{3C6732C9-8598-4A17-94C1-FB46EA10379B}" destId="{5BBDAD93-0F76-454E-B110-40112D5C8FAC}" srcOrd="0" destOrd="0" presId="urn:microsoft.com/office/officeart/2005/8/layout/vList5"/>
    <dgm:cxn modelId="{7CBE9BC7-F8B8-4BD1-8D3A-C1DE9F25462E}" type="presParOf" srcId="{3C6732C9-8598-4A17-94C1-FB46EA10379B}" destId="{BD76450C-341A-441A-9FE3-326FBEE39021}" srcOrd="1" destOrd="0" presId="urn:microsoft.com/office/officeart/2005/8/layout/vList5"/>
    <dgm:cxn modelId="{FB5B7052-ECE2-4FD4-BC1D-FFEC747D8ECF}" type="presParOf" srcId="{BEC2F119-1B2E-432C-B9EC-9AC0D71D8A3E}" destId="{93CAFEEC-CC72-4F9F-B79A-7A037BE33B78}" srcOrd="7" destOrd="0" presId="urn:microsoft.com/office/officeart/2005/8/layout/vList5"/>
    <dgm:cxn modelId="{D55547AB-89B3-4EB0-88AC-521C86671470}" type="presParOf" srcId="{BEC2F119-1B2E-432C-B9EC-9AC0D71D8A3E}" destId="{1E6443C0-DD39-4C3C-9B3C-85C2BF5287FA}" srcOrd="8" destOrd="0" presId="urn:microsoft.com/office/officeart/2005/8/layout/vList5"/>
    <dgm:cxn modelId="{925B2FAF-A801-45FA-AD9F-99F44316E3F3}" type="presParOf" srcId="{1E6443C0-DD39-4C3C-9B3C-85C2BF5287FA}" destId="{3BDCEE1E-CBBE-4D05-9FDC-B5369C5E6201}" srcOrd="0" destOrd="0" presId="urn:microsoft.com/office/officeart/2005/8/layout/vList5"/>
    <dgm:cxn modelId="{1CCC2D55-311B-46F3-BBDB-DA7B7145F5DD}" type="presParOf" srcId="{1E6443C0-DD39-4C3C-9B3C-85C2BF5287FA}" destId="{291B863A-4DF0-4D93-BE52-D1AB1A730DD8}" srcOrd="1" destOrd="0" presId="urn:microsoft.com/office/officeart/2005/8/layout/vList5"/>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7754BA6-1DB8-4B2C-AFD1-30298E03E3D7}">
      <dsp:nvSpPr>
        <dsp:cNvPr id="0" name=""/>
        <dsp:cNvSpPr/>
      </dsp:nvSpPr>
      <dsp:spPr>
        <a:xfrm>
          <a:off x="1280943" y="946931"/>
          <a:ext cx="1843879" cy="119527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b="1" kern="1200">
              <a:latin typeface="+mj-lt"/>
            </a:rPr>
            <a:t>Discussions</a:t>
          </a:r>
        </a:p>
        <a:p>
          <a:pPr lvl="0" algn="ctr" defTabSz="355600">
            <a:lnSpc>
              <a:spcPct val="90000"/>
            </a:lnSpc>
            <a:spcBef>
              <a:spcPct val="0"/>
            </a:spcBef>
            <a:spcAft>
              <a:spcPct val="35000"/>
            </a:spcAft>
          </a:pPr>
          <a:r>
            <a:rPr lang="lv-LV" sz="800" kern="1200">
              <a:latin typeface="+mj-lt"/>
            </a:rPr>
            <a:t>R</a:t>
          </a:r>
          <a:r>
            <a:rPr lang="en-GB" sz="800" kern="1200">
              <a:latin typeface="+mj-lt"/>
            </a:rPr>
            <a:t>egular meetings of the </a:t>
          </a:r>
          <a:r>
            <a:rPr lang="lv-LV" sz="800" kern="1200">
              <a:latin typeface="+mj-lt"/>
            </a:rPr>
            <a:t>JPC </a:t>
          </a:r>
          <a:r>
            <a:rPr lang="en-GB" sz="800" kern="1200">
              <a:latin typeface="+mj-lt"/>
            </a:rPr>
            <a:t>based on the results of the </a:t>
          </a:r>
          <a:r>
            <a:rPr lang="lv-LV" sz="800" kern="1200">
              <a:latin typeface="+mj-lt"/>
            </a:rPr>
            <a:t>above </a:t>
          </a:r>
          <a:r>
            <a:rPr lang="en-GB" sz="800" kern="1200">
              <a:latin typeface="+mj-lt"/>
            </a:rPr>
            <a:t>mentioned analysis</a:t>
          </a:r>
        </a:p>
      </dsp:txBody>
      <dsp:txXfrm>
        <a:off x="1280943" y="946931"/>
        <a:ext cx="1843879" cy="1195270"/>
      </dsp:txXfrm>
    </dsp:sp>
    <dsp:sp modelId="{2992BFFE-1E27-41F0-8D29-C3F471D53A4C}">
      <dsp:nvSpPr>
        <dsp:cNvPr id="0" name=""/>
        <dsp:cNvSpPr/>
      </dsp:nvSpPr>
      <dsp:spPr>
        <a:xfrm rot="12900000">
          <a:off x="607418" y="611771"/>
          <a:ext cx="1012424" cy="34018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E0B5C32-8F92-415E-8F64-FF0C5503140D}">
      <dsp:nvSpPr>
        <dsp:cNvPr id="0" name=""/>
        <dsp:cNvSpPr/>
      </dsp:nvSpPr>
      <dsp:spPr>
        <a:xfrm>
          <a:off x="49051" y="-34074"/>
          <a:ext cx="1299827" cy="10511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lv-LV" sz="800" b="1" kern="1200">
              <a:latin typeface="+mj-lt"/>
            </a:rPr>
            <a:t>Analysis</a:t>
          </a:r>
        </a:p>
        <a:p>
          <a:pPr lvl="0" algn="ctr" defTabSz="355600">
            <a:lnSpc>
              <a:spcPct val="90000"/>
            </a:lnSpc>
            <a:spcBef>
              <a:spcPct val="0"/>
            </a:spcBef>
            <a:spcAft>
              <a:spcPct val="35000"/>
            </a:spcAft>
          </a:pPr>
          <a:r>
            <a:rPr lang="en-GB" sz="800" kern="1200">
              <a:latin typeface="+mj-lt"/>
            </a:rPr>
            <a:t>The Thematic Objectives of 2014-2020 and Perspective of Future Projects: Contribution of Projects Financed by the Latvia – Lithuania Programme 2007-2013</a:t>
          </a:r>
          <a:endParaRPr lang="lv-LV" sz="800" kern="1200">
            <a:latin typeface="+mj-lt"/>
          </a:endParaRPr>
        </a:p>
      </dsp:txBody>
      <dsp:txXfrm>
        <a:off x="49051" y="-34074"/>
        <a:ext cx="1299827" cy="1051174"/>
      </dsp:txXfrm>
    </dsp:sp>
    <dsp:sp modelId="{A7FF9AE3-E1F4-4728-8856-A7EC2465DA7B}">
      <dsp:nvSpPr>
        <dsp:cNvPr id="0" name=""/>
        <dsp:cNvSpPr/>
      </dsp:nvSpPr>
      <dsp:spPr>
        <a:xfrm rot="19500000">
          <a:off x="2785922" y="611771"/>
          <a:ext cx="1012424" cy="34018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3A8341F-9461-47FD-8D81-8D94FA50E319}">
      <dsp:nvSpPr>
        <dsp:cNvPr id="0" name=""/>
        <dsp:cNvSpPr/>
      </dsp:nvSpPr>
      <dsp:spPr>
        <a:xfrm>
          <a:off x="3041781" y="-35271"/>
          <a:ext cx="1330036" cy="10535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lv-LV" sz="800" b="1" kern="1200">
              <a:latin typeface="+mj-lt"/>
            </a:rPr>
            <a:t>Analysis</a:t>
          </a:r>
        </a:p>
        <a:p>
          <a:pPr lvl="0" algn="ctr" defTabSz="355600">
            <a:lnSpc>
              <a:spcPct val="90000"/>
            </a:lnSpc>
            <a:spcBef>
              <a:spcPct val="0"/>
            </a:spcBef>
            <a:spcAft>
              <a:spcPct val="35000"/>
            </a:spcAft>
          </a:pPr>
          <a:r>
            <a:rPr lang="en-GB" sz="800" kern="1200">
              <a:latin typeface="+mj-lt"/>
            </a:rPr>
            <a:t>Overview of the Discussions, Assessment and Feedback Received  During Programming of LV-LT 2014-2020</a:t>
          </a:r>
          <a:endParaRPr lang="lv-LV" sz="800" kern="1200">
            <a:latin typeface="+mj-lt"/>
          </a:endParaRPr>
        </a:p>
      </dsp:txBody>
      <dsp:txXfrm>
        <a:off x="3041781" y="-35271"/>
        <a:ext cx="1330036" cy="105356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78D5DD5-39F8-47C5-9CE6-F279E8D84307}">
      <dsp:nvSpPr>
        <dsp:cNvPr id="0" name=""/>
        <dsp:cNvSpPr/>
      </dsp:nvSpPr>
      <dsp:spPr>
        <a:xfrm rot="5400000">
          <a:off x="2408199" y="-1555291"/>
          <a:ext cx="428199" cy="3648281"/>
        </a:xfrm>
        <a:prstGeom prst="round2Same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endParaRPr lang="en-GB" sz="800" kern="1200">
            <a:latin typeface="+mj-lt"/>
          </a:endParaRPr>
        </a:p>
        <a:p>
          <a:pPr marL="57150" lvl="1" indent="-57150" algn="l" defTabSz="311150">
            <a:lnSpc>
              <a:spcPct val="90000"/>
            </a:lnSpc>
            <a:spcBef>
              <a:spcPct val="0"/>
            </a:spcBef>
            <a:spcAft>
              <a:spcPct val="15000"/>
            </a:spcAft>
            <a:buChar char="••"/>
          </a:pPr>
          <a:r>
            <a:rPr lang="en-GB" sz="700" b="1" kern="1200">
              <a:latin typeface="+mj-lt"/>
            </a:rPr>
            <a:t>Employment</a:t>
          </a:r>
          <a:endParaRPr lang="en-GB" sz="700" kern="1200">
            <a:latin typeface="+mj-lt"/>
          </a:endParaRPr>
        </a:p>
        <a:p>
          <a:pPr marL="57150" lvl="1" indent="-57150" algn="l" defTabSz="311150">
            <a:lnSpc>
              <a:spcPct val="90000"/>
            </a:lnSpc>
            <a:spcBef>
              <a:spcPct val="0"/>
            </a:spcBef>
            <a:spcAft>
              <a:spcPct val="15000"/>
            </a:spcAft>
            <a:buChar char="••"/>
          </a:pPr>
          <a:r>
            <a:rPr lang="en-GB" sz="700" kern="1200">
              <a:latin typeface="+mj-lt"/>
            </a:rPr>
            <a:t>75% of the 20-64 year-olds to be employed</a:t>
          </a:r>
        </a:p>
      </dsp:txBody>
      <dsp:txXfrm rot="5400000">
        <a:off x="2408199" y="-1555291"/>
        <a:ext cx="428199" cy="3648281"/>
      </dsp:txXfrm>
    </dsp:sp>
    <dsp:sp modelId="{9460957F-3C04-4EBA-ADF6-9619E0B2C80F}">
      <dsp:nvSpPr>
        <dsp:cNvPr id="0" name=""/>
        <dsp:cNvSpPr/>
      </dsp:nvSpPr>
      <dsp:spPr>
        <a:xfrm>
          <a:off x="166722" y="1224"/>
          <a:ext cx="631435" cy="535249"/>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lv-LV" sz="1000" b="1" kern="1200">
              <a:latin typeface="+mj-lt"/>
            </a:rPr>
            <a:t>1.</a:t>
          </a:r>
          <a:endParaRPr lang="en-GB" sz="1000" b="1" kern="1200">
            <a:latin typeface="+mj-lt"/>
          </a:endParaRPr>
        </a:p>
      </dsp:txBody>
      <dsp:txXfrm>
        <a:off x="166722" y="1224"/>
        <a:ext cx="631435" cy="535249"/>
      </dsp:txXfrm>
    </dsp:sp>
    <dsp:sp modelId="{C98C8E7F-310B-4019-B571-DDB6CF71BDE2}">
      <dsp:nvSpPr>
        <dsp:cNvPr id="0" name=""/>
        <dsp:cNvSpPr/>
      </dsp:nvSpPr>
      <dsp:spPr>
        <a:xfrm rot="5400000">
          <a:off x="2401344" y="-985394"/>
          <a:ext cx="428199" cy="3632510"/>
        </a:xfrm>
        <a:prstGeom prst="round2Same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11150">
            <a:lnSpc>
              <a:spcPct val="90000"/>
            </a:lnSpc>
            <a:spcBef>
              <a:spcPct val="0"/>
            </a:spcBef>
            <a:spcAft>
              <a:spcPct val="15000"/>
            </a:spcAft>
            <a:buChar char="••"/>
          </a:pPr>
          <a:r>
            <a:rPr lang="en-GB" sz="700" b="1" kern="1200">
              <a:latin typeface="+mj-lt"/>
            </a:rPr>
            <a:t>Research &amp; Development</a:t>
          </a:r>
          <a:endParaRPr lang="en-GB" sz="700" kern="1200">
            <a:latin typeface="+mj-lt"/>
          </a:endParaRPr>
        </a:p>
        <a:p>
          <a:pPr marL="57150" lvl="1" indent="-57150" algn="l" defTabSz="311150">
            <a:lnSpc>
              <a:spcPct val="90000"/>
            </a:lnSpc>
            <a:spcBef>
              <a:spcPct val="0"/>
            </a:spcBef>
            <a:spcAft>
              <a:spcPct val="15000"/>
            </a:spcAft>
            <a:buChar char="••"/>
          </a:pPr>
          <a:r>
            <a:rPr lang="en-GB" sz="700" kern="1200">
              <a:latin typeface="+mj-lt"/>
            </a:rPr>
            <a:t>3% of the EU's GDP to be invested in R&amp;D</a:t>
          </a:r>
        </a:p>
      </dsp:txBody>
      <dsp:txXfrm rot="5400000">
        <a:off x="2401344" y="-985394"/>
        <a:ext cx="428199" cy="3632510"/>
      </dsp:txXfrm>
    </dsp:sp>
    <dsp:sp modelId="{B605D4C9-682B-42C2-87FA-22276784335D}">
      <dsp:nvSpPr>
        <dsp:cNvPr id="0" name=""/>
        <dsp:cNvSpPr/>
      </dsp:nvSpPr>
      <dsp:spPr>
        <a:xfrm>
          <a:off x="166722" y="563236"/>
          <a:ext cx="632465" cy="535249"/>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lv-LV" sz="1000" b="1" kern="1200">
              <a:latin typeface="+mj-lt"/>
            </a:rPr>
            <a:t>2.</a:t>
          </a:r>
          <a:endParaRPr lang="en-GB" sz="1000" b="1" kern="1200">
            <a:latin typeface="+mj-lt"/>
          </a:endParaRPr>
        </a:p>
      </dsp:txBody>
      <dsp:txXfrm>
        <a:off x="166722" y="563236"/>
        <a:ext cx="632465" cy="535249"/>
      </dsp:txXfrm>
    </dsp:sp>
    <dsp:sp modelId="{B5ED4920-87A8-4843-9AE6-E13D7AC7A339}">
      <dsp:nvSpPr>
        <dsp:cNvPr id="0" name=""/>
        <dsp:cNvSpPr/>
      </dsp:nvSpPr>
      <dsp:spPr>
        <a:xfrm rot="5400000">
          <a:off x="2405345" y="-434162"/>
          <a:ext cx="428199" cy="3654069"/>
        </a:xfrm>
        <a:prstGeom prst="round2Same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177800">
            <a:lnSpc>
              <a:spcPct val="90000"/>
            </a:lnSpc>
            <a:spcBef>
              <a:spcPct val="0"/>
            </a:spcBef>
            <a:spcAft>
              <a:spcPct val="15000"/>
            </a:spcAft>
            <a:buChar char="••"/>
          </a:pPr>
          <a:endParaRPr lang="en-GB" sz="400" kern="1200">
            <a:latin typeface="+mj-lt"/>
          </a:endParaRPr>
        </a:p>
        <a:p>
          <a:pPr marL="57150" lvl="1" indent="-57150" algn="l" defTabSz="177800">
            <a:lnSpc>
              <a:spcPct val="90000"/>
            </a:lnSpc>
            <a:spcBef>
              <a:spcPct val="0"/>
            </a:spcBef>
            <a:spcAft>
              <a:spcPct val="15000"/>
            </a:spcAft>
            <a:buChar char="••"/>
          </a:pPr>
          <a:endParaRPr lang="en-GB" sz="400" kern="1200">
            <a:latin typeface="+mj-lt"/>
          </a:endParaRPr>
        </a:p>
        <a:p>
          <a:pPr marL="57150" lvl="1" indent="-57150" algn="l" defTabSz="177800">
            <a:lnSpc>
              <a:spcPct val="90000"/>
            </a:lnSpc>
            <a:spcBef>
              <a:spcPct val="0"/>
            </a:spcBef>
            <a:spcAft>
              <a:spcPct val="15000"/>
            </a:spcAft>
            <a:buChar char="••"/>
          </a:pPr>
          <a:endParaRPr lang="en-GB" sz="400" kern="1200">
            <a:latin typeface="+mj-lt"/>
          </a:endParaRPr>
        </a:p>
        <a:p>
          <a:pPr marL="57150" lvl="1" indent="-57150" algn="l" defTabSz="311150">
            <a:lnSpc>
              <a:spcPct val="90000"/>
            </a:lnSpc>
            <a:spcBef>
              <a:spcPct val="0"/>
            </a:spcBef>
            <a:spcAft>
              <a:spcPct val="15000"/>
            </a:spcAft>
            <a:buChar char="••"/>
          </a:pPr>
          <a:r>
            <a:rPr lang="en-GB" sz="700" b="1" kern="1200">
              <a:latin typeface="+mj-lt"/>
            </a:rPr>
            <a:t>Climate change and energy sustainability</a:t>
          </a:r>
        </a:p>
        <a:p>
          <a:pPr marL="57150" lvl="1" indent="-57150" algn="l" defTabSz="311150">
            <a:lnSpc>
              <a:spcPct val="90000"/>
            </a:lnSpc>
            <a:spcBef>
              <a:spcPct val="0"/>
            </a:spcBef>
            <a:spcAft>
              <a:spcPct val="15000"/>
            </a:spcAft>
            <a:buChar char="••"/>
          </a:pPr>
          <a:r>
            <a:rPr lang="en-GB" sz="700" kern="1200">
              <a:latin typeface="+mj-lt"/>
            </a:rPr>
            <a:t>greenhouse gas emissions 20%</a:t>
          </a:r>
        </a:p>
        <a:p>
          <a:pPr marL="57150" lvl="1" indent="-57150" algn="l" defTabSz="311150">
            <a:lnSpc>
              <a:spcPct val="90000"/>
            </a:lnSpc>
            <a:spcBef>
              <a:spcPct val="0"/>
            </a:spcBef>
            <a:spcAft>
              <a:spcPct val="15000"/>
            </a:spcAft>
            <a:buChar char="••"/>
          </a:pPr>
          <a:r>
            <a:rPr lang="en-GB" sz="700" kern="1200">
              <a:latin typeface="+mj-lt"/>
            </a:rPr>
            <a:t>20% of energy from renewables</a:t>
          </a:r>
        </a:p>
        <a:p>
          <a:pPr marL="57150" lvl="1" indent="-57150" algn="l" defTabSz="311150">
            <a:lnSpc>
              <a:spcPct val="90000"/>
            </a:lnSpc>
            <a:spcBef>
              <a:spcPct val="0"/>
            </a:spcBef>
            <a:spcAft>
              <a:spcPct val="15000"/>
            </a:spcAft>
            <a:buChar char="••"/>
          </a:pPr>
          <a:r>
            <a:rPr lang="en-GB" sz="700" kern="1200">
              <a:latin typeface="+mj-lt"/>
            </a:rPr>
            <a:t>20% increase in energy efficiency</a:t>
          </a:r>
        </a:p>
        <a:p>
          <a:pPr marL="57150" lvl="1" indent="-57150" algn="l" defTabSz="355600">
            <a:lnSpc>
              <a:spcPct val="90000"/>
            </a:lnSpc>
            <a:spcBef>
              <a:spcPct val="0"/>
            </a:spcBef>
            <a:spcAft>
              <a:spcPct val="15000"/>
            </a:spcAft>
            <a:buChar char="••"/>
          </a:pPr>
          <a:endParaRPr lang="en-GB" sz="800" kern="1200">
            <a:latin typeface="+mj-lt"/>
          </a:endParaRPr>
        </a:p>
      </dsp:txBody>
      <dsp:txXfrm rot="5400000">
        <a:off x="2405345" y="-434162"/>
        <a:ext cx="428199" cy="3654069"/>
      </dsp:txXfrm>
    </dsp:sp>
    <dsp:sp modelId="{A6671B60-3280-4919-BE40-F12058FC1ACE}">
      <dsp:nvSpPr>
        <dsp:cNvPr id="0" name=""/>
        <dsp:cNvSpPr/>
      </dsp:nvSpPr>
      <dsp:spPr>
        <a:xfrm>
          <a:off x="166722" y="1125247"/>
          <a:ext cx="625654" cy="535249"/>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lv-LV" sz="1000" b="1" kern="1200">
              <a:latin typeface="+mj-lt"/>
            </a:rPr>
            <a:t>3.</a:t>
          </a:r>
          <a:endParaRPr lang="en-GB" sz="1000" b="1" kern="1200">
            <a:latin typeface="+mj-lt"/>
          </a:endParaRPr>
        </a:p>
      </dsp:txBody>
      <dsp:txXfrm>
        <a:off x="166722" y="1125247"/>
        <a:ext cx="625654" cy="535249"/>
      </dsp:txXfrm>
    </dsp:sp>
    <dsp:sp modelId="{BD76450C-341A-441A-9FE3-326FBEE39021}">
      <dsp:nvSpPr>
        <dsp:cNvPr id="0" name=""/>
        <dsp:cNvSpPr/>
      </dsp:nvSpPr>
      <dsp:spPr>
        <a:xfrm rot="5400000">
          <a:off x="2398017" y="121721"/>
          <a:ext cx="428199" cy="3666326"/>
        </a:xfrm>
        <a:prstGeom prst="round2Same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11150">
            <a:lnSpc>
              <a:spcPct val="90000"/>
            </a:lnSpc>
            <a:spcBef>
              <a:spcPct val="0"/>
            </a:spcBef>
            <a:spcAft>
              <a:spcPct val="15000"/>
            </a:spcAft>
            <a:buChar char="••"/>
          </a:pPr>
          <a:r>
            <a:rPr lang="en-GB" sz="700" b="1" kern="1200">
              <a:latin typeface="+mj-lt"/>
            </a:rPr>
            <a:t>Education</a:t>
          </a:r>
          <a:endParaRPr lang="en-GB" sz="700" b="1" kern="1200"/>
        </a:p>
        <a:p>
          <a:pPr marL="57150" lvl="1" indent="-57150" algn="l" defTabSz="311150">
            <a:lnSpc>
              <a:spcPct val="90000"/>
            </a:lnSpc>
            <a:spcBef>
              <a:spcPct val="0"/>
            </a:spcBef>
            <a:spcAft>
              <a:spcPct val="15000"/>
            </a:spcAft>
            <a:buChar char="••"/>
          </a:pPr>
          <a:r>
            <a:rPr lang="en-GB" sz="700" kern="1200">
              <a:latin typeface="+mj-lt"/>
            </a:rPr>
            <a:t>reducing the rates of early school leaving below 10%</a:t>
          </a:r>
        </a:p>
        <a:p>
          <a:pPr marL="57150" lvl="1" indent="-57150" algn="l" defTabSz="311150">
            <a:lnSpc>
              <a:spcPct val="90000"/>
            </a:lnSpc>
            <a:spcBef>
              <a:spcPct val="0"/>
            </a:spcBef>
            <a:spcAft>
              <a:spcPct val="15000"/>
            </a:spcAft>
            <a:buChar char="••"/>
          </a:pPr>
          <a:r>
            <a:rPr lang="en-GB" sz="700" kern="1200">
              <a:latin typeface="+mj-lt"/>
            </a:rPr>
            <a:t>at least 40% of 30-34–year-olds completing third level education</a:t>
          </a:r>
        </a:p>
      </dsp:txBody>
      <dsp:txXfrm rot="5400000">
        <a:off x="2398017" y="121721"/>
        <a:ext cx="428199" cy="3666326"/>
      </dsp:txXfrm>
    </dsp:sp>
    <dsp:sp modelId="{5BBDAD93-0F76-454E-B110-40112D5C8FAC}">
      <dsp:nvSpPr>
        <dsp:cNvPr id="0" name=""/>
        <dsp:cNvSpPr/>
      </dsp:nvSpPr>
      <dsp:spPr>
        <a:xfrm>
          <a:off x="166722" y="1687259"/>
          <a:ext cx="612231" cy="535249"/>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lv-LV" sz="1000" b="1" kern="1200">
              <a:latin typeface="+mj-lt"/>
            </a:rPr>
            <a:t>4.</a:t>
          </a:r>
          <a:endParaRPr lang="en-GB" sz="1000" b="1" kern="1200">
            <a:latin typeface="+mj-lt"/>
          </a:endParaRPr>
        </a:p>
      </dsp:txBody>
      <dsp:txXfrm>
        <a:off x="166722" y="1687259"/>
        <a:ext cx="612231" cy="535249"/>
      </dsp:txXfrm>
    </dsp:sp>
    <dsp:sp modelId="{291B863A-4DF0-4D93-BE52-D1AB1A730DD8}">
      <dsp:nvSpPr>
        <dsp:cNvPr id="0" name=""/>
        <dsp:cNvSpPr/>
      </dsp:nvSpPr>
      <dsp:spPr>
        <a:xfrm rot="5400000">
          <a:off x="2433917" y="666374"/>
          <a:ext cx="428199" cy="3657554"/>
        </a:xfrm>
        <a:prstGeom prst="round2Same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222250">
            <a:lnSpc>
              <a:spcPct val="90000"/>
            </a:lnSpc>
            <a:spcBef>
              <a:spcPct val="0"/>
            </a:spcBef>
            <a:spcAft>
              <a:spcPct val="15000"/>
            </a:spcAft>
            <a:buChar char="••"/>
          </a:pPr>
          <a:endParaRPr lang="en-GB" sz="500" kern="1200"/>
        </a:p>
        <a:p>
          <a:pPr marL="57150" lvl="1" indent="-57150" algn="l" defTabSz="311150">
            <a:lnSpc>
              <a:spcPct val="90000"/>
            </a:lnSpc>
            <a:spcBef>
              <a:spcPct val="0"/>
            </a:spcBef>
            <a:spcAft>
              <a:spcPct val="15000"/>
            </a:spcAft>
            <a:buChar char="••"/>
          </a:pPr>
          <a:r>
            <a:rPr lang="en-GB" sz="700" b="1" kern="1200">
              <a:latin typeface="+mj-lt"/>
            </a:rPr>
            <a:t>Fighting poverty and social exclusion</a:t>
          </a:r>
        </a:p>
        <a:p>
          <a:pPr marL="57150" lvl="1" indent="-57150" algn="l" defTabSz="311150">
            <a:lnSpc>
              <a:spcPct val="90000"/>
            </a:lnSpc>
            <a:spcBef>
              <a:spcPct val="0"/>
            </a:spcBef>
            <a:spcAft>
              <a:spcPct val="15000"/>
            </a:spcAft>
            <a:buChar char="••"/>
          </a:pPr>
          <a:r>
            <a:rPr lang="en-GB" sz="700" kern="1200">
              <a:latin typeface="+mj-lt"/>
            </a:rPr>
            <a:t>at least 20 million fewer people in or at risk of poverty and social exclusion</a:t>
          </a:r>
        </a:p>
        <a:p>
          <a:pPr marL="57150" lvl="1" indent="-57150" algn="l" defTabSz="355600">
            <a:lnSpc>
              <a:spcPct val="90000"/>
            </a:lnSpc>
            <a:spcBef>
              <a:spcPct val="0"/>
            </a:spcBef>
            <a:spcAft>
              <a:spcPct val="15000"/>
            </a:spcAft>
            <a:buChar char="••"/>
          </a:pPr>
          <a:endParaRPr lang="en-GB" sz="800" kern="1200">
            <a:latin typeface="+mj-lt"/>
          </a:endParaRPr>
        </a:p>
      </dsp:txBody>
      <dsp:txXfrm rot="5400000">
        <a:off x="2433917" y="666374"/>
        <a:ext cx="428199" cy="3657554"/>
      </dsp:txXfrm>
    </dsp:sp>
    <dsp:sp modelId="{3BDCEE1E-CBBE-4D05-9FDC-B5369C5E6201}">
      <dsp:nvSpPr>
        <dsp:cNvPr id="0" name=""/>
        <dsp:cNvSpPr/>
      </dsp:nvSpPr>
      <dsp:spPr>
        <a:xfrm>
          <a:off x="166722" y="2249271"/>
          <a:ext cx="623545" cy="535249"/>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lv-LV" sz="1000" b="1" kern="1200">
              <a:latin typeface="+mj-lt"/>
            </a:rPr>
            <a:t>5.</a:t>
          </a:r>
          <a:endParaRPr lang="en-GB" sz="1000" b="1" kern="1200">
            <a:latin typeface="+mj-lt"/>
          </a:endParaRPr>
        </a:p>
      </dsp:txBody>
      <dsp:txXfrm>
        <a:off x="166722" y="2249271"/>
        <a:ext cx="623545" cy="535249"/>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DB536A"/>
      </a:accent4>
      <a:accent5>
        <a:srgbClr val="A32020"/>
      </a:accent5>
      <a:accent6>
        <a:srgbClr val="E0301E"/>
      </a:accent6>
      <a:hlink>
        <a:srgbClr val="DC6900"/>
      </a:hlink>
      <a:folHlink>
        <a:srgbClr val="DC690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1C3A9-CF9A-467E-A0BB-C71AE2A6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44871</Words>
  <Characters>25577</Characters>
  <Application>Microsoft Office Word</Application>
  <DocSecurity>0</DocSecurity>
  <Lines>213</Lines>
  <Paragraphs>140</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70308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PwC</dc:creator>
  <cp:lastModifiedBy>Vita Prokopovica</cp:lastModifiedBy>
  <cp:revision>7</cp:revision>
  <cp:lastPrinted>2014-06-19T10:51:00Z</cp:lastPrinted>
  <dcterms:created xsi:type="dcterms:W3CDTF">2014-07-29T11:26:00Z</dcterms:created>
  <dcterms:modified xsi:type="dcterms:W3CDTF">2014-07-31T07:29:00Z</dcterms:modified>
</cp:coreProperties>
</file>