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79" w:rsidRDefault="00404C79" w:rsidP="00E302F6">
      <w:pPr>
        <w:tabs>
          <w:tab w:val="left" w:pos="1418"/>
        </w:tabs>
        <w:spacing w:before="120" w:line="240" w:lineRule="auto"/>
        <w:jc w:val="left"/>
        <w:rPr>
          <w:lang w:val="lv-LV"/>
        </w:rPr>
      </w:pPr>
    </w:p>
    <w:p w:rsidR="00172D96" w:rsidRPr="00543A74" w:rsidRDefault="00172D96" w:rsidP="00E302F6">
      <w:pPr>
        <w:spacing w:before="120" w:line="240" w:lineRule="auto"/>
        <w:jc w:val="left"/>
        <w:rPr>
          <w:lang w:val="lv-LV"/>
        </w:rPr>
      </w:pPr>
    </w:p>
    <w:p w:rsidR="00172D96" w:rsidRPr="00543A74" w:rsidRDefault="00172D96" w:rsidP="00E302F6">
      <w:pPr>
        <w:spacing w:before="120" w:line="240" w:lineRule="auto"/>
        <w:jc w:val="left"/>
        <w:rPr>
          <w:lang w:val="lv-LV"/>
        </w:rPr>
      </w:pPr>
    </w:p>
    <w:p w:rsidR="00172D96" w:rsidRPr="00543A74" w:rsidRDefault="00172D96" w:rsidP="00E302F6">
      <w:pPr>
        <w:spacing w:before="120" w:line="240" w:lineRule="auto"/>
        <w:jc w:val="left"/>
        <w:rPr>
          <w:lang w:val="lv-LV"/>
        </w:rPr>
      </w:pPr>
    </w:p>
    <w:p w:rsidR="004544E0" w:rsidRPr="00543A74" w:rsidRDefault="004544E0" w:rsidP="00E302F6">
      <w:pPr>
        <w:spacing w:before="120" w:line="240" w:lineRule="auto"/>
        <w:jc w:val="left"/>
        <w:rPr>
          <w:lang w:val="lv-LV"/>
        </w:rPr>
      </w:pPr>
    </w:p>
    <w:p w:rsidR="004544E0" w:rsidRPr="00543A74" w:rsidRDefault="004544E0" w:rsidP="00E302F6">
      <w:pPr>
        <w:spacing w:before="120" w:line="240" w:lineRule="auto"/>
        <w:jc w:val="left"/>
        <w:rPr>
          <w:lang w:val="lv-LV"/>
        </w:rPr>
      </w:pPr>
    </w:p>
    <w:p w:rsidR="004544E0" w:rsidRPr="00543A74" w:rsidRDefault="004544E0" w:rsidP="00E302F6">
      <w:pPr>
        <w:spacing w:before="120" w:line="240" w:lineRule="auto"/>
        <w:jc w:val="left"/>
        <w:rPr>
          <w:lang w:val="lv-LV"/>
        </w:rPr>
      </w:pPr>
    </w:p>
    <w:p w:rsidR="004544E0" w:rsidRPr="00543A74" w:rsidRDefault="004544E0" w:rsidP="00E302F6">
      <w:pPr>
        <w:spacing w:before="120" w:line="240" w:lineRule="auto"/>
        <w:jc w:val="left"/>
        <w:rPr>
          <w:lang w:val="lv-LV"/>
        </w:rPr>
      </w:pPr>
    </w:p>
    <w:p w:rsidR="004544E0" w:rsidRPr="00543A74" w:rsidRDefault="004544E0" w:rsidP="00E302F6">
      <w:pPr>
        <w:spacing w:before="120" w:line="240" w:lineRule="auto"/>
        <w:jc w:val="left"/>
        <w:rPr>
          <w:lang w:val="lv-LV"/>
        </w:rPr>
      </w:pPr>
    </w:p>
    <w:p w:rsidR="004544E0" w:rsidRPr="00543A74" w:rsidRDefault="004544E0" w:rsidP="00E302F6">
      <w:pPr>
        <w:spacing w:before="120" w:line="240" w:lineRule="auto"/>
        <w:jc w:val="center"/>
        <w:rPr>
          <w:lang w:val="lv-LV"/>
        </w:rPr>
      </w:pPr>
    </w:p>
    <w:p w:rsidR="004544E0" w:rsidRPr="00714469" w:rsidRDefault="002114DB" w:rsidP="00E302F6">
      <w:pPr>
        <w:spacing w:before="120" w:line="240" w:lineRule="auto"/>
        <w:jc w:val="center"/>
        <w:rPr>
          <w:rFonts w:ascii="Times New Roman" w:hAnsi="Times New Roman"/>
          <w:b/>
          <w:sz w:val="40"/>
          <w:szCs w:val="40"/>
          <w:lang w:val="lv-LV"/>
        </w:rPr>
      </w:pPr>
      <w:r w:rsidRPr="00714469">
        <w:rPr>
          <w:rFonts w:ascii="Times New Roman" w:hAnsi="Times New Roman"/>
          <w:b/>
          <w:sz w:val="40"/>
          <w:szCs w:val="40"/>
          <w:lang w:val="lv-LV"/>
        </w:rPr>
        <w:t>Latvijas – Lietuvas p</w:t>
      </w:r>
      <w:r w:rsidR="00251971" w:rsidRPr="00714469">
        <w:rPr>
          <w:rFonts w:ascii="Times New Roman" w:hAnsi="Times New Roman"/>
          <w:b/>
          <w:sz w:val="40"/>
          <w:szCs w:val="40"/>
          <w:lang w:val="lv-LV"/>
        </w:rPr>
        <w:t xml:space="preserve">rogramma </w:t>
      </w:r>
      <w:r w:rsidR="004544E0" w:rsidRPr="00714469">
        <w:rPr>
          <w:rFonts w:ascii="Times New Roman" w:hAnsi="Times New Roman"/>
          <w:b/>
          <w:sz w:val="40"/>
          <w:szCs w:val="40"/>
          <w:lang w:val="lv-LV"/>
        </w:rPr>
        <w:br/>
        <w:t>2014</w:t>
      </w:r>
      <w:r w:rsidR="00251971" w:rsidRPr="00714469">
        <w:rPr>
          <w:rFonts w:ascii="Times New Roman" w:hAnsi="Times New Roman"/>
          <w:b/>
          <w:sz w:val="40"/>
          <w:szCs w:val="40"/>
          <w:lang w:val="lv-LV"/>
        </w:rPr>
        <w:t>.</w:t>
      </w:r>
      <w:r w:rsidR="004544E0" w:rsidRPr="00714469">
        <w:rPr>
          <w:rFonts w:ascii="Times New Roman" w:hAnsi="Times New Roman"/>
          <w:b/>
          <w:sz w:val="40"/>
          <w:szCs w:val="40"/>
          <w:lang w:val="lv-LV"/>
        </w:rPr>
        <w:t>-2020</w:t>
      </w:r>
      <w:r w:rsidR="00251971" w:rsidRPr="00714469">
        <w:rPr>
          <w:rFonts w:ascii="Times New Roman" w:hAnsi="Times New Roman"/>
          <w:b/>
          <w:sz w:val="40"/>
          <w:szCs w:val="40"/>
          <w:lang w:val="lv-LV"/>
        </w:rPr>
        <w:t>. gadam</w:t>
      </w:r>
    </w:p>
    <w:p w:rsidR="004544E0" w:rsidRPr="00543A74" w:rsidRDefault="004544E0" w:rsidP="00E302F6">
      <w:pPr>
        <w:spacing w:before="120" w:line="240" w:lineRule="auto"/>
        <w:jc w:val="center"/>
        <w:rPr>
          <w:lang w:val="lv-LV"/>
        </w:rPr>
      </w:pPr>
    </w:p>
    <w:p w:rsidR="004544E0" w:rsidRPr="00714469" w:rsidRDefault="00251971" w:rsidP="00E302F6">
      <w:pPr>
        <w:spacing w:before="120" w:line="240" w:lineRule="auto"/>
        <w:jc w:val="center"/>
        <w:rPr>
          <w:rFonts w:ascii="Times New Roman" w:hAnsi="Times New Roman"/>
          <w:lang w:val="lv-LV"/>
        </w:rPr>
      </w:pPr>
      <w:r w:rsidRPr="00714469">
        <w:rPr>
          <w:rFonts w:ascii="Times New Roman" w:hAnsi="Times New Roman"/>
          <w:lang w:val="lv-LV"/>
        </w:rPr>
        <w:t>Pārrobežu sadarbības programma Eiropas teritoriālās sadarbības (ETS) mērķa ietvaros</w:t>
      </w: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4544E0" w:rsidRPr="00543A74" w:rsidRDefault="004544E0" w:rsidP="00E302F6">
      <w:pPr>
        <w:spacing w:before="120" w:line="240" w:lineRule="auto"/>
        <w:jc w:val="center"/>
        <w:rPr>
          <w:lang w:val="lv-LV"/>
        </w:rPr>
      </w:pPr>
    </w:p>
    <w:p w:rsidR="007419A3" w:rsidRPr="00714469" w:rsidRDefault="00385A9F" w:rsidP="00E302F6">
      <w:pPr>
        <w:tabs>
          <w:tab w:val="left" w:pos="530"/>
          <w:tab w:val="center" w:pos="4320"/>
        </w:tabs>
        <w:spacing w:before="120" w:line="240" w:lineRule="auto"/>
        <w:jc w:val="left"/>
        <w:rPr>
          <w:rFonts w:ascii="Times New Roman" w:hAnsi="Times New Roman"/>
          <w:lang w:val="lv-LV"/>
        </w:rPr>
      </w:pPr>
      <w:r w:rsidRPr="00543A74">
        <w:rPr>
          <w:lang w:val="lv-LV"/>
        </w:rPr>
        <w:tab/>
      </w:r>
      <w:r w:rsidRPr="00543A74">
        <w:rPr>
          <w:lang w:val="lv-LV"/>
        </w:rPr>
        <w:tab/>
      </w:r>
    </w:p>
    <w:p w:rsidR="004544E0" w:rsidRDefault="007419A3" w:rsidP="00E302F6">
      <w:pPr>
        <w:spacing w:before="120" w:line="240" w:lineRule="auto"/>
        <w:jc w:val="left"/>
        <w:rPr>
          <w:rFonts w:ascii="Times New Roman" w:hAnsi="Times New Roman"/>
          <w:b/>
          <w:sz w:val="28"/>
          <w:szCs w:val="28"/>
          <w:lang w:val="lv-LV"/>
        </w:rPr>
      </w:pPr>
      <w:r w:rsidRPr="00543A74">
        <w:rPr>
          <w:lang w:val="lv-LV"/>
        </w:rPr>
        <w:br w:type="page"/>
      </w:r>
      <w:r w:rsidR="001F4DA7" w:rsidRPr="00714469">
        <w:rPr>
          <w:rFonts w:ascii="Times New Roman" w:hAnsi="Times New Roman"/>
          <w:b/>
          <w:sz w:val="28"/>
          <w:szCs w:val="28"/>
          <w:lang w:val="lv-LV"/>
        </w:rPr>
        <w:lastRenderedPageBreak/>
        <w:t>Saturs</w:t>
      </w:r>
    </w:p>
    <w:p w:rsidR="00714469" w:rsidRPr="00714469" w:rsidRDefault="00714469" w:rsidP="00E302F6">
      <w:pPr>
        <w:spacing w:before="120" w:line="240" w:lineRule="auto"/>
        <w:jc w:val="left"/>
        <w:rPr>
          <w:rFonts w:ascii="Times New Roman" w:hAnsi="Times New Roman"/>
          <w:b/>
          <w:sz w:val="28"/>
          <w:szCs w:val="28"/>
          <w:lang w:val="lv-LV"/>
        </w:rPr>
      </w:pPr>
    </w:p>
    <w:p w:rsidR="00DB6FDE" w:rsidRPr="00755612" w:rsidRDefault="001C1E6F" w:rsidP="00755612">
      <w:pPr>
        <w:pStyle w:val="TOC1"/>
        <w:rPr>
          <w:lang w:val="en-US"/>
        </w:rPr>
      </w:pPr>
      <w:r w:rsidRPr="00755612">
        <w:fldChar w:fldCharType="begin"/>
      </w:r>
      <w:r w:rsidR="004544E0" w:rsidRPr="00755612">
        <w:instrText xml:space="preserve"> TOC \o "1-3" \h \z \u </w:instrText>
      </w:r>
      <w:r w:rsidRPr="00755612">
        <w:fldChar w:fldCharType="separate"/>
      </w:r>
      <w:hyperlink w:anchor="_Toc384383723" w:history="1">
        <w:r w:rsidR="00991225" w:rsidRPr="00755612">
          <w:rPr>
            <w:rStyle w:val="Hyperlink"/>
          </w:rPr>
          <w:t>1. NODAĻA:  PROGRAMMAS STRATĒĢIJA</w:t>
        </w:r>
        <w:r w:rsidR="004E0D5B" w:rsidRPr="00755612">
          <w:rPr>
            <w:webHidden/>
          </w:rPr>
          <w:tab/>
        </w:r>
        <w:r w:rsidRPr="00755612">
          <w:rPr>
            <w:webHidden/>
          </w:rPr>
          <w:fldChar w:fldCharType="begin"/>
        </w:r>
        <w:r w:rsidR="004E0D5B" w:rsidRPr="00755612">
          <w:rPr>
            <w:webHidden/>
          </w:rPr>
          <w:instrText xml:space="preserve"> PAGEREF _Toc384383723 \h </w:instrText>
        </w:r>
        <w:r w:rsidRPr="00755612">
          <w:rPr>
            <w:webHidden/>
          </w:rPr>
        </w:r>
        <w:r w:rsidRPr="00755612">
          <w:rPr>
            <w:webHidden/>
          </w:rPr>
          <w:fldChar w:fldCharType="separate"/>
        </w:r>
        <w:r w:rsidR="00775C7A" w:rsidRPr="00755612">
          <w:rPr>
            <w:webHidden/>
          </w:rPr>
          <w:t>5</w:t>
        </w:r>
        <w:r w:rsidRPr="00755612">
          <w:rPr>
            <w:webHidden/>
          </w:rPr>
          <w:fldChar w:fldCharType="end"/>
        </w:r>
      </w:hyperlink>
    </w:p>
    <w:p w:rsidR="00DB6FDE" w:rsidRPr="00755612" w:rsidRDefault="001C1E6F" w:rsidP="00755612">
      <w:pPr>
        <w:pStyle w:val="TOC2"/>
        <w:rPr>
          <w:rFonts w:ascii="Times New Roman" w:hAnsi="Times New Roman"/>
          <w:noProof/>
          <w:lang w:val="en-US"/>
        </w:rPr>
      </w:pPr>
      <w:hyperlink w:anchor="_Toc384383724" w:history="1">
        <w:r w:rsidR="00991225" w:rsidRPr="00755612">
          <w:rPr>
            <w:rStyle w:val="Hyperlink"/>
            <w:rFonts w:ascii="Times New Roman" w:hAnsi="Times New Roman"/>
            <w:noProof/>
            <w:lang w:val="lv-LV"/>
          </w:rPr>
          <w:t>1.1. Plāns un darbības principi attiecībā uz sadarbības programmas ieguldījumu Eiropas Savienības gudras, ilgtspējīgas un integrējošas izaugsmes un ekonomiskās, sociālās un teritoriālās kohēzijas sasniegšanas stratēģijā</w:t>
        </w:r>
        <w:r w:rsidR="004E0D5B" w:rsidRPr="00755612">
          <w:rPr>
            <w:rFonts w:ascii="Times New Roman" w:hAnsi="Times New Roman"/>
            <w:noProof/>
            <w:webHidden/>
          </w:rPr>
          <w:tab/>
        </w:r>
        <w:r w:rsidRPr="00755612">
          <w:rPr>
            <w:rFonts w:ascii="Times New Roman" w:hAnsi="Times New Roman"/>
            <w:noProof/>
            <w:webHidden/>
          </w:rPr>
          <w:fldChar w:fldCharType="begin"/>
        </w:r>
        <w:r w:rsidR="004E0D5B" w:rsidRPr="00755612">
          <w:rPr>
            <w:rFonts w:ascii="Times New Roman" w:hAnsi="Times New Roman"/>
            <w:noProof/>
            <w:webHidden/>
          </w:rPr>
          <w:instrText xml:space="preserve"> PAGEREF _Toc384383724 \h </w:instrText>
        </w:r>
        <w:r w:rsidRPr="00755612">
          <w:rPr>
            <w:rFonts w:ascii="Times New Roman" w:hAnsi="Times New Roman"/>
            <w:noProof/>
            <w:webHidden/>
          </w:rPr>
        </w:r>
        <w:r w:rsidRPr="00755612">
          <w:rPr>
            <w:rFonts w:ascii="Times New Roman" w:hAnsi="Times New Roman"/>
            <w:noProof/>
            <w:webHidden/>
          </w:rPr>
          <w:fldChar w:fldCharType="separate"/>
        </w:r>
        <w:r w:rsidR="00775C7A" w:rsidRPr="00755612">
          <w:rPr>
            <w:rFonts w:ascii="Times New Roman" w:hAnsi="Times New Roman"/>
            <w:noProof/>
            <w:webHidden/>
          </w:rPr>
          <w:t>5</w:t>
        </w:r>
        <w:r w:rsidRPr="00755612">
          <w:rPr>
            <w:rFonts w:ascii="Times New Roman" w:hAnsi="Times New Roman"/>
            <w:noProof/>
            <w:webHidden/>
          </w:rPr>
          <w:fldChar w:fldCharType="end"/>
        </w:r>
      </w:hyperlink>
    </w:p>
    <w:p w:rsidR="00DB6FDE" w:rsidRPr="00755612" w:rsidRDefault="001C1E6F" w:rsidP="00755612">
      <w:pPr>
        <w:pStyle w:val="TOC2"/>
        <w:rPr>
          <w:rFonts w:ascii="Times New Roman" w:hAnsi="Times New Roman"/>
          <w:noProof/>
          <w:lang w:val="en-US"/>
        </w:rPr>
      </w:pPr>
      <w:hyperlink w:anchor="_Toc384383725" w:history="1">
        <w:r w:rsidR="00991225" w:rsidRPr="00755612">
          <w:rPr>
            <w:rStyle w:val="Hyperlink"/>
            <w:rFonts w:ascii="Times New Roman" w:hAnsi="Times New Roman"/>
            <w:noProof/>
            <w:lang w:val="lv-LV"/>
          </w:rPr>
          <w:t>1.2. Līdzekļu piešķiršanas pamatojums</w:t>
        </w:r>
        <w:r w:rsidR="004E0D5B" w:rsidRPr="00755612">
          <w:rPr>
            <w:rFonts w:ascii="Times New Roman" w:hAnsi="Times New Roman"/>
            <w:noProof/>
            <w:webHidden/>
          </w:rPr>
          <w:tab/>
        </w:r>
        <w:r w:rsidR="008778F9" w:rsidRPr="00755612">
          <w:rPr>
            <w:rFonts w:ascii="Times New Roman" w:hAnsi="Times New Roman"/>
            <w:noProof/>
            <w:webHidden/>
          </w:rPr>
          <w:t>18</w:t>
        </w:r>
      </w:hyperlink>
    </w:p>
    <w:p w:rsidR="00DB6FDE" w:rsidRPr="00755612" w:rsidRDefault="001C1E6F" w:rsidP="00755612">
      <w:pPr>
        <w:pStyle w:val="TOC1"/>
        <w:rPr>
          <w:lang w:val="en-US"/>
        </w:rPr>
      </w:pPr>
      <w:hyperlink w:anchor="_Toc384383726" w:history="1">
        <w:r w:rsidR="00991225" w:rsidRPr="00755612">
          <w:rPr>
            <w:rStyle w:val="Hyperlink"/>
          </w:rPr>
          <w:t>2. NODAĻA PROGRAMMAS PRIORITĀŠU APRAKSTS</w:t>
        </w:r>
        <w:r w:rsidR="004E0D5B" w:rsidRPr="00755612">
          <w:rPr>
            <w:webHidden/>
          </w:rPr>
          <w:tab/>
        </w:r>
        <w:r w:rsidR="008778F9" w:rsidRPr="00755612">
          <w:rPr>
            <w:webHidden/>
          </w:rPr>
          <w:t>22</w:t>
        </w:r>
      </w:hyperlink>
    </w:p>
    <w:p w:rsidR="00DB6FDE" w:rsidRPr="00755612" w:rsidRDefault="001C1E6F" w:rsidP="00755612">
      <w:pPr>
        <w:pStyle w:val="TOC2"/>
        <w:rPr>
          <w:rFonts w:ascii="Times New Roman" w:hAnsi="Times New Roman"/>
          <w:noProof/>
          <w:lang w:val="en-US"/>
        </w:rPr>
      </w:pPr>
      <w:hyperlink w:anchor="_Toc384383727" w:history="1">
        <w:r w:rsidR="00451AD5" w:rsidRPr="00755612">
          <w:rPr>
            <w:rStyle w:val="Hyperlink"/>
            <w:rFonts w:ascii="Times New Roman" w:hAnsi="Times New Roman"/>
            <w:noProof/>
            <w:lang w:val="lv-LV"/>
          </w:rPr>
          <w:t>2.1. I Prioritāte: ilgtspējīga un tīra vide sadarbības rezultātā</w:t>
        </w:r>
        <w:r w:rsidR="00451AD5" w:rsidRPr="00755612">
          <w:rPr>
            <w:rFonts w:ascii="Times New Roman" w:hAnsi="Times New Roman"/>
            <w:noProof/>
            <w:webHidden/>
          </w:rPr>
          <w:tab/>
        </w:r>
        <w:r w:rsidR="008778F9" w:rsidRPr="00755612">
          <w:rPr>
            <w:rFonts w:ascii="Times New Roman" w:hAnsi="Times New Roman"/>
            <w:noProof/>
            <w:webHidden/>
          </w:rPr>
          <w:t>22</w:t>
        </w:r>
      </w:hyperlink>
    </w:p>
    <w:p w:rsidR="00DB6FDE" w:rsidRPr="00755612" w:rsidRDefault="001C1E6F" w:rsidP="00755612">
      <w:pPr>
        <w:pStyle w:val="TOC2"/>
        <w:rPr>
          <w:rFonts w:ascii="Times New Roman" w:hAnsi="Times New Roman"/>
          <w:noProof/>
          <w:lang w:val="en-US"/>
        </w:rPr>
      </w:pPr>
      <w:hyperlink w:anchor="_Toc384383728" w:history="1">
        <w:r w:rsidR="00991225" w:rsidRPr="00755612">
          <w:rPr>
            <w:rStyle w:val="Hyperlink"/>
            <w:rFonts w:ascii="Times New Roman" w:hAnsi="Times New Roman"/>
            <w:noProof/>
            <w:lang w:val="lv-LV"/>
          </w:rPr>
          <w:t>2.2. II Prioritāte: nodarbinātības un darbaspēka mobilitātes uzlabošana</w:t>
        </w:r>
        <w:r w:rsidR="004E0D5B" w:rsidRPr="00755612">
          <w:rPr>
            <w:rFonts w:ascii="Times New Roman" w:hAnsi="Times New Roman"/>
            <w:noProof/>
            <w:webHidden/>
          </w:rPr>
          <w:tab/>
        </w:r>
        <w:r w:rsidR="008778F9" w:rsidRPr="00755612">
          <w:rPr>
            <w:rFonts w:ascii="Times New Roman" w:hAnsi="Times New Roman"/>
            <w:noProof/>
            <w:webHidden/>
          </w:rPr>
          <w:t>28</w:t>
        </w:r>
      </w:hyperlink>
    </w:p>
    <w:p w:rsidR="00DB6FDE" w:rsidRPr="00755612" w:rsidRDefault="001C1E6F" w:rsidP="00755612">
      <w:pPr>
        <w:pStyle w:val="TOC2"/>
        <w:rPr>
          <w:rFonts w:ascii="Times New Roman" w:hAnsi="Times New Roman"/>
          <w:noProof/>
          <w:lang w:val="en-US"/>
        </w:rPr>
      </w:pPr>
      <w:hyperlink w:anchor="_Toc384383729" w:history="1">
        <w:r w:rsidR="00991225" w:rsidRPr="00755612">
          <w:rPr>
            <w:rStyle w:val="Hyperlink"/>
            <w:rFonts w:ascii="Times New Roman" w:hAnsi="Times New Roman"/>
            <w:noProof/>
            <w:lang w:val="lv-LV"/>
          </w:rPr>
          <w:t>2.3. III Prioritāte: sociālā iekļaušana kā teritoriālās attīstības priekšnoteikums</w:t>
        </w:r>
        <w:r w:rsidR="004E0D5B" w:rsidRPr="00755612">
          <w:rPr>
            <w:rFonts w:ascii="Times New Roman" w:hAnsi="Times New Roman"/>
            <w:noProof/>
            <w:webHidden/>
          </w:rPr>
          <w:tab/>
        </w:r>
        <w:r w:rsidR="008778F9" w:rsidRPr="00755612">
          <w:rPr>
            <w:rFonts w:ascii="Times New Roman" w:hAnsi="Times New Roman"/>
            <w:noProof/>
            <w:webHidden/>
          </w:rPr>
          <w:t>34</w:t>
        </w:r>
      </w:hyperlink>
    </w:p>
    <w:p w:rsidR="00DB6FDE" w:rsidRPr="00755612" w:rsidRDefault="001C1E6F" w:rsidP="00755612">
      <w:pPr>
        <w:pStyle w:val="TOC2"/>
        <w:rPr>
          <w:rFonts w:ascii="Times New Roman" w:hAnsi="Times New Roman"/>
          <w:noProof/>
          <w:lang w:val="en-US"/>
        </w:rPr>
      </w:pPr>
      <w:hyperlink w:anchor="_Toc384383730" w:history="1">
        <w:r w:rsidR="00991225" w:rsidRPr="00755612">
          <w:rPr>
            <w:rStyle w:val="Hyperlink"/>
            <w:rFonts w:ascii="Times New Roman" w:hAnsi="Times New Roman"/>
            <w:noProof/>
            <w:lang w:val="lv-LV"/>
          </w:rPr>
          <w:t>2.4. IV Prioritāte: uzlabota dzīves kvalitāte efektīvu publisko pakalpojumu un pārvaldes rezultātā</w:t>
        </w:r>
        <w:r w:rsidR="004E0D5B" w:rsidRPr="00755612">
          <w:rPr>
            <w:rFonts w:ascii="Times New Roman" w:hAnsi="Times New Roman"/>
            <w:noProof/>
            <w:webHidden/>
          </w:rPr>
          <w:tab/>
        </w:r>
        <w:r w:rsidR="008778F9" w:rsidRPr="00755612">
          <w:rPr>
            <w:rFonts w:ascii="Times New Roman" w:hAnsi="Times New Roman"/>
            <w:noProof/>
            <w:webHidden/>
          </w:rPr>
          <w:t>38</w:t>
        </w:r>
      </w:hyperlink>
    </w:p>
    <w:p w:rsidR="00DB6FDE" w:rsidRPr="00755612" w:rsidRDefault="001C1E6F" w:rsidP="00755612">
      <w:pPr>
        <w:pStyle w:val="TOC2"/>
        <w:rPr>
          <w:rFonts w:ascii="Times New Roman" w:hAnsi="Times New Roman"/>
          <w:noProof/>
          <w:lang w:val="en-US"/>
        </w:rPr>
      </w:pPr>
      <w:hyperlink w:anchor="_Toc384383731" w:history="1">
        <w:r w:rsidR="00991225" w:rsidRPr="00755612">
          <w:rPr>
            <w:rStyle w:val="Hyperlink"/>
            <w:rFonts w:ascii="Times New Roman" w:hAnsi="Times New Roman"/>
            <w:noProof/>
            <w:lang w:val="lv-LV"/>
          </w:rPr>
          <w:t xml:space="preserve">2.5. </w:t>
        </w:r>
        <w:r w:rsidR="00061FB1" w:rsidRPr="00755612">
          <w:rPr>
            <w:rStyle w:val="Hyperlink"/>
            <w:rFonts w:ascii="Times New Roman" w:hAnsi="Times New Roman"/>
            <w:noProof/>
            <w:lang w:val="lv-LV"/>
          </w:rPr>
          <w:t>Darbības rezultātu satvars</w:t>
        </w:r>
        <w:r w:rsidR="004E0D5B" w:rsidRPr="00755612">
          <w:rPr>
            <w:rFonts w:ascii="Times New Roman" w:hAnsi="Times New Roman"/>
            <w:noProof/>
            <w:webHidden/>
          </w:rPr>
          <w:tab/>
        </w:r>
        <w:r w:rsidR="008778F9" w:rsidRPr="00755612">
          <w:rPr>
            <w:rFonts w:ascii="Times New Roman" w:hAnsi="Times New Roman"/>
            <w:noProof/>
            <w:webHidden/>
          </w:rPr>
          <w:t>40</w:t>
        </w:r>
      </w:hyperlink>
    </w:p>
    <w:p w:rsidR="00DB6FDE" w:rsidRPr="00755612" w:rsidRDefault="001C1E6F" w:rsidP="00755612">
      <w:pPr>
        <w:pStyle w:val="TOC2"/>
        <w:rPr>
          <w:rFonts w:ascii="Times New Roman" w:hAnsi="Times New Roman"/>
          <w:noProof/>
          <w:lang w:val="en-US"/>
        </w:rPr>
      </w:pPr>
      <w:hyperlink w:anchor="_Toc384383732" w:history="1">
        <w:r w:rsidR="00991225" w:rsidRPr="00755612">
          <w:rPr>
            <w:rStyle w:val="Hyperlink"/>
            <w:rFonts w:ascii="Times New Roman" w:hAnsi="Times New Roman"/>
            <w:noProof/>
            <w:lang w:val="lv-LV"/>
          </w:rPr>
          <w:t xml:space="preserve">2.6. </w:t>
        </w:r>
        <w:r w:rsidR="00061FB1" w:rsidRPr="00755612">
          <w:rPr>
            <w:rStyle w:val="Hyperlink"/>
            <w:rFonts w:ascii="Times New Roman" w:hAnsi="Times New Roman"/>
            <w:noProof/>
            <w:lang w:val="lv-LV"/>
          </w:rPr>
          <w:t>Intervences</w:t>
        </w:r>
        <w:r w:rsidR="00991225" w:rsidRPr="00755612">
          <w:rPr>
            <w:rStyle w:val="Hyperlink"/>
            <w:rFonts w:ascii="Times New Roman" w:hAnsi="Times New Roman"/>
            <w:noProof/>
            <w:lang w:val="lv-LV"/>
          </w:rPr>
          <w:t xml:space="preserve"> kategorijas</w:t>
        </w:r>
        <w:r w:rsidR="004E0D5B" w:rsidRPr="00755612">
          <w:rPr>
            <w:rFonts w:ascii="Times New Roman" w:hAnsi="Times New Roman"/>
            <w:noProof/>
            <w:webHidden/>
          </w:rPr>
          <w:tab/>
        </w:r>
        <w:r w:rsidR="008778F9" w:rsidRPr="00755612">
          <w:rPr>
            <w:rFonts w:ascii="Times New Roman" w:hAnsi="Times New Roman"/>
            <w:noProof/>
            <w:webHidden/>
          </w:rPr>
          <w:t>42</w:t>
        </w:r>
      </w:hyperlink>
    </w:p>
    <w:p w:rsidR="00DB6FDE" w:rsidRPr="00755612" w:rsidRDefault="001C1E6F" w:rsidP="00755612">
      <w:pPr>
        <w:pStyle w:val="TOC2"/>
        <w:rPr>
          <w:rFonts w:ascii="Times New Roman" w:hAnsi="Times New Roman"/>
          <w:noProof/>
          <w:lang w:val="en-US"/>
        </w:rPr>
      </w:pPr>
      <w:hyperlink w:anchor="_Toc384383733" w:history="1">
        <w:r w:rsidR="00991225" w:rsidRPr="00755612">
          <w:rPr>
            <w:rStyle w:val="Hyperlink"/>
            <w:rFonts w:ascii="Times New Roman" w:hAnsi="Times New Roman"/>
            <w:noProof/>
            <w:lang w:val="lv-LV"/>
          </w:rPr>
          <w:t>2.7. Tehniskās palīdzības budžets</w:t>
        </w:r>
        <w:r w:rsidR="004E0D5B" w:rsidRPr="00755612">
          <w:rPr>
            <w:rFonts w:ascii="Times New Roman" w:hAnsi="Times New Roman"/>
            <w:noProof/>
            <w:webHidden/>
          </w:rPr>
          <w:tab/>
        </w:r>
        <w:r w:rsidR="008778F9" w:rsidRPr="00755612">
          <w:rPr>
            <w:rFonts w:ascii="Times New Roman" w:hAnsi="Times New Roman"/>
            <w:noProof/>
            <w:webHidden/>
          </w:rPr>
          <w:t>45</w:t>
        </w:r>
      </w:hyperlink>
    </w:p>
    <w:p w:rsidR="00DB6FDE" w:rsidRPr="00755612" w:rsidRDefault="001C1E6F" w:rsidP="00755612">
      <w:pPr>
        <w:pStyle w:val="TOC1"/>
        <w:rPr>
          <w:lang w:val="en-US"/>
        </w:rPr>
      </w:pPr>
      <w:hyperlink w:anchor="_Toc384383734" w:history="1">
        <w:r w:rsidR="00991225" w:rsidRPr="00755612">
          <w:rPr>
            <w:rStyle w:val="Hyperlink"/>
          </w:rPr>
          <w:t>3. NODAĻA FINANSĒJUMA PLĀNS</w:t>
        </w:r>
        <w:r w:rsidR="004E0D5B" w:rsidRPr="00755612">
          <w:rPr>
            <w:webHidden/>
          </w:rPr>
          <w:tab/>
        </w:r>
        <w:r w:rsidRPr="00755612">
          <w:rPr>
            <w:webHidden/>
          </w:rPr>
          <w:fldChar w:fldCharType="begin"/>
        </w:r>
        <w:r w:rsidR="004E0D5B" w:rsidRPr="00755612">
          <w:rPr>
            <w:webHidden/>
          </w:rPr>
          <w:instrText xml:space="preserve"> PAGEREF _Toc384383734 \h </w:instrText>
        </w:r>
        <w:r w:rsidRPr="00755612">
          <w:rPr>
            <w:webHidden/>
          </w:rPr>
        </w:r>
        <w:r w:rsidRPr="00755612">
          <w:rPr>
            <w:webHidden/>
          </w:rPr>
          <w:fldChar w:fldCharType="separate"/>
        </w:r>
        <w:r w:rsidR="00775C7A" w:rsidRPr="00755612">
          <w:rPr>
            <w:webHidden/>
          </w:rPr>
          <w:t>47</w:t>
        </w:r>
        <w:r w:rsidRPr="00755612">
          <w:rPr>
            <w:webHidden/>
          </w:rPr>
          <w:fldChar w:fldCharType="end"/>
        </w:r>
      </w:hyperlink>
    </w:p>
    <w:p w:rsidR="00DB6FDE" w:rsidRPr="00755612" w:rsidRDefault="001C1E6F" w:rsidP="00755612">
      <w:pPr>
        <w:pStyle w:val="TOC1"/>
        <w:rPr>
          <w:lang w:val="en-US"/>
        </w:rPr>
      </w:pPr>
      <w:hyperlink w:anchor="_Toc384383735" w:history="1">
        <w:r w:rsidR="00991225" w:rsidRPr="00755612">
          <w:rPr>
            <w:rStyle w:val="Hyperlink"/>
          </w:rPr>
          <w:t>4. NODAĻA INTEGRĒTĀ PIEEJA TERITORIĀLAJAI ATTĪSTĪBAI</w:t>
        </w:r>
        <w:r w:rsidR="004E0D5B" w:rsidRPr="00755612">
          <w:rPr>
            <w:webHidden/>
          </w:rPr>
          <w:tab/>
        </w:r>
        <w:r w:rsidR="008778F9" w:rsidRPr="00755612">
          <w:rPr>
            <w:webHidden/>
          </w:rPr>
          <w:t>51</w:t>
        </w:r>
      </w:hyperlink>
    </w:p>
    <w:p w:rsidR="00DB6FDE" w:rsidRPr="00755612" w:rsidRDefault="001C1E6F" w:rsidP="00755612">
      <w:pPr>
        <w:pStyle w:val="TOC1"/>
        <w:rPr>
          <w:lang w:val="en-US"/>
        </w:rPr>
      </w:pPr>
      <w:hyperlink w:anchor="_Toc384383736" w:history="1">
        <w:r w:rsidR="00991225" w:rsidRPr="00755612">
          <w:rPr>
            <w:rStyle w:val="Hyperlink"/>
            <w:color w:val="auto"/>
          </w:rPr>
          <w:t xml:space="preserve">5. NODAĻA SADARBĪBAS PROGRAMMAS </w:t>
        </w:r>
        <w:r w:rsidR="004E0D5B" w:rsidRPr="00755612">
          <w:t>ĪSTENOŠANAS NOTEIKUMI</w:t>
        </w:r>
        <w:r w:rsidR="004E0D5B" w:rsidRPr="00755612">
          <w:rPr>
            <w:webHidden/>
          </w:rPr>
          <w:tab/>
        </w:r>
        <w:r w:rsidR="008778F9" w:rsidRPr="00755612">
          <w:rPr>
            <w:webHidden/>
          </w:rPr>
          <w:t>53</w:t>
        </w:r>
      </w:hyperlink>
    </w:p>
    <w:p w:rsidR="00DB6FDE" w:rsidRPr="00755612" w:rsidRDefault="001C1E6F" w:rsidP="00755612">
      <w:pPr>
        <w:pStyle w:val="TOC2"/>
        <w:rPr>
          <w:rFonts w:ascii="Times New Roman" w:hAnsi="Times New Roman"/>
          <w:noProof/>
          <w:lang w:val="en-US"/>
        </w:rPr>
      </w:pPr>
      <w:hyperlink w:anchor="_Toc384383737" w:history="1">
        <w:r w:rsidR="00DB6FDE" w:rsidRPr="00755612">
          <w:rPr>
            <w:rStyle w:val="Hyperlink"/>
            <w:rFonts w:ascii="Times New Roman" w:hAnsi="Times New Roman"/>
            <w:noProof/>
            <w:lang w:val="lv-LV"/>
          </w:rPr>
          <w:t>5.1. Atbilstošo institūciju un iestāžu noteikšana</w:t>
        </w:r>
        <w:r w:rsidR="00DB6FDE" w:rsidRPr="00755612">
          <w:rPr>
            <w:rFonts w:ascii="Times New Roman" w:hAnsi="Times New Roman"/>
            <w:noProof/>
            <w:webHidden/>
          </w:rPr>
          <w:tab/>
        </w:r>
        <w:r w:rsidR="008778F9" w:rsidRPr="00755612">
          <w:rPr>
            <w:rFonts w:ascii="Times New Roman" w:hAnsi="Times New Roman"/>
            <w:noProof/>
            <w:webHidden/>
          </w:rPr>
          <w:t>53</w:t>
        </w:r>
      </w:hyperlink>
    </w:p>
    <w:p w:rsidR="00DB6FDE" w:rsidRPr="00755612" w:rsidRDefault="001C1E6F" w:rsidP="00755612">
      <w:pPr>
        <w:pStyle w:val="TOC2"/>
        <w:rPr>
          <w:rFonts w:ascii="Times New Roman" w:hAnsi="Times New Roman"/>
          <w:noProof/>
          <w:lang w:val="en-US"/>
        </w:rPr>
      </w:pPr>
      <w:hyperlink w:anchor="_Toc384383738" w:history="1">
        <w:r w:rsidR="00DB6FDE" w:rsidRPr="00755612">
          <w:rPr>
            <w:rStyle w:val="Hyperlink"/>
            <w:rFonts w:ascii="Times New Roman" w:hAnsi="Times New Roman"/>
            <w:noProof/>
            <w:lang w:val="lv-LV"/>
          </w:rPr>
          <w:t xml:space="preserve">5.2. </w:t>
        </w:r>
        <w:r w:rsidR="006B1EA8" w:rsidRPr="00755612">
          <w:rPr>
            <w:rStyle w:val="Hyperlink"/>
            <w:rFonts w:ascii="Times New Roman" w:hAnsi="Times New Roman"/>
            <w:noProof/>
            <w:lang w:val="lv-LV"/>
          </w:rPr>
          <w:t xml:space="preserve">Procedūra </w:t>
        </w:r>
        <w:r w:rsidR="00EE4C29" w:rsidRPr="00755612">
          <w:rPr>
            <w:rStyle w:val="Hyperlink"/>
            <w:rFonts w:ascii="Times New Roman" w:hAnsi="Times New Roman"/>
            <w:noProof/>
            <w:lang w:val="lv-LV"/>
          </w:rPr>
          <w:t xml:space="preserve">Kopīgā </w:t>
        </w:r>
        <w:r w:rsidR="006B1EA8" w:rsidRPr="00755612">
          <w:rPr>
            <w:rStyle w:val="Hyperlink"/>
            <w:rFonts w:ascii="Times New Roman" w:hAnsi="Times New Roman"/>
            <w:noProof/>
            <w:lang w:val="lv-LV"/>
          </w:rPr>
          <w:t xml:space="preserve">sekretariāta izveidei </w:t>
        </w:r>
        <w:r w:rsidR="00DB6FDE" w:rsidRPr="00755612">
          <w:rPr>
            <w:rFonts w:ascii="Times New Roman" w:hAnsi="Times New Roman"/>
            <w:noProof/>
            <w:webHidden/>
          </w:rPr>
          <w:tab/>
        </w:r>
        <w:r w:rsidR="008778F9" w:rsidRPr="00755612">
          <w:rPr>
            <w:rFonts w:ascii="Times New Roman" w:hAnsi="Times New Roman"/>
            <w:noProof/>
            <w:webHidden/>
          </w:rPr>
          <w:t>54</w:t>
        </w:r>
      </w:hyperlink>
    </w:p>
    <w:p w:rsidR="00DB6FDE" w:rsidRPr="00755612" w:rsidRDefault="001C1E6F" w:rsidP="00755612">
      <w:pPr>
        <w:pStyle w:val="TOC2"/>
        <w:rPr>
          <w:rFonts w:ascii="Times New Roman" w:hAnsi="Times New Roman"/>
          <w:noProof/>
          <w:lang w:val="en-US"/>
        </w:rPr>
      </w:pPr>
      <w:hyperlink w:anchor="_Toc384383739" w:history="1">
        <w:r w:rsidR="00DB6FDE" w:rsidRPr="00755612">
          <w:rPr>
            <w:rStyle w:val="Hyperlink"/>
            <w:rFonts w:ascii="Times New Roman" w:hAnsi="Times New Roman"/>
            <w:noProof/>
            <w:lang w:val="lv-LV"/>
          </w:rPr>
          <w:t>5.3.</w:t>
        </w:r>
        <w:r w:rsidR="00714469" w:rsidRPr="00755612">
          <w:rPr>
            <w:rFonts w:ascii="Times New Roman" w:hAnsi="Times New Roman"/>
            <w:noProof/>
            <w:lang w:val="en-US"/>
          </w:rPr>
          <w:t xml:space="preserve"> </w:t>
        </w:r>
        <w:r w:rsidR="008778F9" w:rsidRPr="00755612">
          <w:rPr>
            <w:rFonts w:ascii="Times New Roman" w:hAnsi="Times New Roman"/>
          </w:rPr>
          <w:t>Pārvaldības un kontroles procedūru apraksta kopsavilkums</w:t>
        </w:r>
        <w:r w:rsidR="00DB6FDE" w:rsidRPr="00755612">
          <w:rPr>
            <w:rFonts w:ascii="Times New Roman" w:hAnsi="Times New Roman"/>
            <w:noProof/>
            <w:webHidden/>
          </w:rPr>
          <w:tab/>
        </w:r>
        <w:r w:rsidR="008778F9" w:rsidRPr="00755612">
          <w:rPr>
            <w:rFonts w:ascii="Times New Roman" w:hAnsi="Times New Roman"/>
            <w:noProof/>
            <w:webHidden/>
          </w:rPr>
          <w:t>54</w:t>
        </w:r>
      </w:hyperlink>
    </w:p>
    <w:p w:rsidR="00DB6FDE" w:rsidRPr="00755612" w:rsidRDefault="001C1E6F" w:rsidP="00755612">
      <w:pPr>
        <w:pStyle w:val="TOC2"/>
        <w:rPr>
          <w:rFonts w:ascii="Times New Roman" w:hAnsi="Times New Roman"/>
          <w:noProof/>
          <w:lang w:val="en-US"/>
        </w:rPr>
      </w:pPr>
      <w:hyperlink w:anchor="_Toc384383740" w:history="1">
        <w:r w:rsidR="00DB6FDE" w:rsidRPr="00755612">
          <w:rPr>
            <w:rStyle w:val="Hyperlink"/>
            <w:rFonts w:ascii="Times New Roman" w:hAnsi="Times New Roman"/>
            <w:noProof/>
            <w:lang w:val="lv-LV"/>
          </w:rPr>
          <w:t>5.4.</w:t>
        </w:r>
        <w:r w:rsidR="00714469" w:rsidRPr="00755612">
          <w:rPr>
            <w:rFonts w:ascii="Times New Roman" w:hAnsi="Times New Roman"/>
            <w:noProof/>
            <w:lang w:val="en-US"/>
          </w:rPr>
          <w:t xml:space="preserve"> </w:t>
        </w:r>
        <w:r w:rsidR="00DB6FDE" w:rsidRPr="00755612">
          <w:rPr>
            <w:rStyle w:val="Hyperlink"/>
            <w:rFonts w:ascii="Times New Roman" w:hAnsi="Times New Roman"/>
            <w:noProof/>
            <w:lang w:val="lv-LV"/>
          </w:rPr>
          <w:t>Pienākumu sadale starp Dalībvalstīm gadījumā, ja Vadošā iestāde vai Eiropas Komisija uzdod veikt finanšu korekcijas</w:t>
        </w:r>
        <w:r w:rsidR="00DB6FDE" w:rsidRPr="00755612">
          <w:rPr>
            <w:rFonts w:ascii="Times New Roman" w:hAnsi="Times New Roman"/>
            <w:noProof/>
            <w:webHidden/>
          </w:rPr>
          <w:tab/>
        </w:r>
        <w:r w:rsidR="008778F9" w:rsidRPr="00755612">
          <w:rPr>
            <w:rFonts w:ascii="Times New Roman" w:hAnsi="Times New Roman"/>
            <w:noProof/>
            <w:webHidden/>
          </w:rPr>
          <w:t>58</w:t>
        </w:r>
      </w:hyperlink>
    </w:p>
    <w:p w:rsidR="00DB6FDE" w:rsidRPr="00755612" w:rsidRDefault="001C1E6F" w:rsidP="00755612">
      <w:pPr>
        <w:pStyle w:val="TOC2"/>
        <w:rPr>
          <w:rFonts w:ascii="Times New Roman" w:hAnsi="Times New Roman"/>
          <w:noProof/>
          <w:lang w:val="en-US"/>
        </w:rPr>
      </w:pPr>
      <w:hyperlink w:anchor="_Toc384383741" w:history="1">
        <w:r w:rsidR="00DB6FDE" w:rsidRPr="00755612">
          <w:rPr>
            <w:rStyle w:val="Hyperlink"/>
            <w:rFonts w:ascii="Times New Roman" w:hAnsi="Times New Roman"/>
            <w:noProof/>
            <w:lang w:val="lv-LV"/>
          </w:rPr>
          <w:t>5.5.</w:t>
        </w:r>
        <w:r w:rsidR="00755612" w:rsidRPr="00755612">
          <w:t xml:space="preserve"> </w:t>
        </w:r>
        <w:r w:rsidR="00755612" w:rsidRPr="00755612">
          <w:rPr>
            <w:rStyle w:val="Hyperlink"/>
            <w:rFonts w:ascii="Times New Roman" w:hAnsi="Times New Roman"/>
            <w:noProof/>
            <w:lang w:val="lv-LV"/>
          </w:rPr>
          <w:t>Eiro izmantošana</w:t>
        </w:r>
        <w:r w:rsidR="00DB6FDE" w:rsidRPr="00755612">
          <w:rPr>
            <w:rFonts w:ascii="Times New Roman" w:hAnsi="Times New Roman"/>
            <w:noProof/>
            <w:webHidden/>
          </w:rPr>
          <w:tab/>
        </w:r>
        <w:r w:rsidR="008778F9" w:rsidRPr="00755612">
          <w:rPr>
            <w:rFonts w:ascii="Times New Roman" w:hAnsi="Times New Roman"/>
            <w:noProof/>
            <w:webHidden/>
          </w:rPr>
          <w:t>59</w:t>
        </w:r>
      </w:hyperlink>
    </w:p>
    <w:p w:rsidR="00DB6FDE" w:rsidRPr="00755612" w:rsidRDefault="001C1E6F" w:rsidP="00755612">
      <w:pPr>
        <w:pStyle w:val="TOC2"/>
        <w:rPr>
          <w:rFonts w:ascii="Times New Roman" w:hAnsi="Times New Roman"/>
          <w:noProof/>
          <w:lang w:val="en-US"/>
        </w:rPr>
      </w:pPr>
      <w:hyperlink w:anchor="_Toc384383742" w:history="1">
        <w:r w:rsidR="00DB6FDE" w:rsidRPr="00755612">
          <w:rPr>
            <w:rStyle w:val="Hyperlink"/>
            <w:rFonts w:ascii="Times New Roman" w:hAnsi="Times New Roman"/>
            <w:noProof/>
            <w:lang w:val="lv-LV"/>
          </w:rPr>
          <w:t>5.6. Partneru iesaistīšana</w:t>
        </w:r>
        <w:r w:rsidR="00DB6FDE" w:rsidRPr="00755612">
          <w:rPr>
            <w:rFonts w:ascii="Times New Roman" w:hAnsi="Times New Roman"/>
            <w:noProof/>
            <w:webHidden/>
          </w:rPr>
          <w:tab/>
        </w:r>
        <w:r w:rsidR="008778F9" w:rsidRPr="00755612">
          <w:rPr>
            <w:rFonts w:ascii="Times New Roman" w:hAnsi="Times New Roman"/>
            <w:noProof/>
            <w:webHidden/>
          </w:rPr>
          <w:t>59</w:t>
        </w:r>
      </w:hyperlink>
    </w:p>
    <w:p w:rsidR="00DB6FDE" w:rsidRPr="00755612" w:rsidRDefault="001C1E6F" w:rsidP="00755612">
      <w:pPr>
        <w:pStyle w:val="TOC1"/>
        <w:rPr>
          <w:lang w:val="en-US"/>
        </w:rPr>
      </w:pPr>
      <w:hyperlink w:anchor="_Toc384383743" w:history="1">
        <w:r w:rsidR="00DB6FDE" w:rsidRPr="00755612">
          <w:rPr>
            <w:rStyle w:val="Hyperlink"/>
          </w:rPr>
          <w:t>6. NODAĻA: KOORDINĒŠANA</w:t>
        </w:r>
        <w:r w:rsidR="00DB6FDE" w:rsidRPr="00755612">
          <w:rPr>
            <w:webHidden/>
          </w:rPr>
          <w:tab/>
        </w:r>
        <w:r w:rsidRPr="00755612">
          <w:rPr>
            <w:webHidden/>
          </w:rPr>
          <w:fldChar w:fldCharType="begin"/>
        </w:r>
        <w:r w:rsidR="00DB6FDE" w:rsidRPr="00755612">
          <w:rPr>
            <w:webHidden/>
          </w:rPr>
          <w:instrText xml:space="preserve"> PAGEREF _Toc384383743 \h </w:instrText>
        </w:r>
        <w:r w:rsidRPr="00755612">
          <w:rPr>
            <w:webHidden/>
          </w:rPr>
        </w:r>
        <w:r w:rsidRPr="00755612">
          <w:rPr>
            <w:webHidden/>
          </w:rPr>
          <w:fldChar w:fldCharType="separate"/>
        </w:r>
        <w:r w:rsidR="00775C7A" w:rsidRPr="00755612">
          <w:rPr>
            <w:webHidden/>
          </w:rPr>
          <w:t>63</w:t>
        </w:r>
        <w:r w:rsidRPr="00755612">
          <w:rPr>
            <w:webHidden/>
          </w:rPr>
          <w:fldChar w:fldCharType="end"/>
        </w:r>
      </w:hyperlink>
    </w:p>
    <w:p w:rsidR="00DB6FDE" w:rsidRPr="00755612" w:rsidRDefault="001C1E6F" w:rsidP="00755612">
      <w:pPr>
        <w:pStyle w:val="TOC1"/>
        <w:rPr>
          <w:lang w:val="en-US"/>
        </w:rPr>
      </w:pPr>
      <w:hyperlink w:anchor="_Toc384383744" w:history="1">
        <w:r w:rsidR="00DB6FDE" w:rsidRPr="00755612">
          <w:rPr>
            <w:rStyle w:val="Hyperlink"/>
          </w:rPr>
          <w:t>7. NODAĻA: ADMINISTRATĪVĀ SLOGA SAMAZINĀŠANA PROJEKTA PARTNERIEM</w:t>
        </w:r>
        <w:r w:rsidR="00DB6FDE" w:rsidRPr="00755612">
          <w:rPr>
            <w:webHidden/>
          </w:rPr>
          <w:tab/>
        </w:r>
        <w:r w:rsidR="008778F9" w:rsidRPr="00755612">
          <w:rPr>
            <w:webHidden/>
          </w:rPr>
          <w:t>61</w:t>
        </w:r>
      </w:hyperlink>
    </w:p>
    <w:p w:rsidR="00DB6FDE" w:rsidRPr="00755612" w:rsidRDefault="001C1E6F" w:rsidP="00755612">
      <w:pPr>
        <w:pStyle w:val="TOC1"/>
        <w:rPr>
          <w:lang w:val="en-US"/>
        </w:rPr>
      </w:pPr>
      <w:hyperlink w:anchor="_Toc384383745" w:history="1">
        <w:r w:rsidR="00DB6FDE" w:rsidRPr="00755612">
          <w:rPr>
            <w:rStyle w:val="Hyperlink"/>
          </w:rPr>
          <w:t>8. NODAĻA: HORIZONTĀLIE PRINCIPI</w:t>
        </w:r>
        <w:r w:rsidR="00DB6FDE" w:rsidRPr="00755612">
          <w:rPr>
            <w:webHidden/>
          </w:rPr>
          <w:tab/>
        </w:r>
        <w:r w:rsidR="008778F9" w:rsidRPr="00755612">
          <w:rPr>
            <w:webHidden/>
          </w:rPr>
          <w:t>64</w:t>
        </w:r>
      </w:hyperlink>
    </w:p>
    <w:p w:rsidR="00DB6FDE" w:rsidRPr="00755612" w:rsidRDefault="001C1E6F" w:rsidP="00755612">
      <w:pPr>
        <w:pStyle w:val="TOC2"/>
        <w:rPr>
          <w:rFonts w:ascii="Times New Roman" w:hAnsi="Times New Roman"/>
          <w:noProof/>
          <w:lang w:val="en-US"/>
        </w:rPr>
      </w:pPr>
      <w:hyperlink w:anchor="_Toc384383746" w:history="1">
        <w:r w:rsidR="00DB6FDE" w:rsidRPr="00755612">
          <w:rPr>
            <w:rStyle w:val="Hyperlink"/>
            <w:rFonts w:ascii="Times New Roman" w:hAnsi="Times New Roman"/>
            <w:noProof/>
            <w:lang w:val="lv-LV"/>
          </w:rPr>
          <w:t>8.1. Ilgtspējīga attīstība</w:t>
        </w:r>
        <w:r w:rsidR="00DB6FDE" w:rsidRPr="00755612">
          <w:rPr>
            <w:rFonts w:ascii="Times New Roman" w:hAnsi="Times New Roman"/>
            <w:noProof/>
            <w:webHidden/>
          </w:rPr>
          <w:tab/>
        </w:r>
        <w:r w:rsidR="008778F9" w:rsidRPr="00755612">
          <w:rPr>
            <w:rFonts w:ascii="Times New Roman" w:hAnsi="Times New Roman"/>
            <w:noProof/>
            <w:webHidden/>
          </w:rPr>
          <w:t>64</w:t>
        </w:r>
      </w:hyperlink>
    </w:p>
    <w:p w:rsidR="00DB6FDE" w:rsidRPr="00755612" w:rsidRDefault="001C1E6F" w:rsidP="00755612">
      <w:pPr>
        <w:pStyle w:val="TOC2"/>
        <w:rPr>
          <w:rFonts w:ascii="Times New Roman" w:hAnsi="Times New Roman"/>
          <w:noProof/>
          <w:lang w:val="en-US"/>
        </w:rPr>
      </w:pPr>
      <w:hyperlink w:anchor="_Toc384383747" w:history="1">
        <w:r w:rsidR="00DB6FDE" w:rsidRPr="00755612">
          <w:rPr>
            <w:rStyle w:val="Hyperlink"/>
            <w:rFonts w:ascii="Times New Roman" w:hAnsi="Times New Roman"/>
            <w:noProof/>
            <w:lang w:val="lv-LV"/>
          </w:rPr>
          <w:t xml:space="preserve">8.2. </w:t>
        </w:r>
        <w:r w:rsidR="002E417D" w:rsidRPr="00755612">
          <w:rPr>
            <w:rStyle w:val="Hyperlink"/>
            <w:rFonts w:ascii="Times New Roman" w:hAnsi="Times New Roman"/>
            <w:noProof/>
            <w:lang w:val="lv-LV"/>
          </w:rPr>
          <w:t xml:space="preserve">Vienlīdzīgas </w:t>
        </w:r>
        <w:r w:rsidR="00DB6FDE" w:rsidRPr="00755612">
          <w:rPr>
            <w:rStyle w:val="Hyperlink"/>
            <w:rFonts w:ascii="Times New Roman" w:hAnsi="Times New Roman"/>
            <w:noProof/>
            <w:lang w:val="lv-LV"/>
          </w:rPr>
          <w:t xml:space="preserve">iespējas un </w:t>
        </w:r>
        <w:r w:rsidR="002E417D" w:rsidRPr="00755612">
          <w:rPr>
            <w:rStyle w:val="Hyperlink"/>
            <w:rFonts w:ascii="Times New Roman" w:hAnsi="Times New Roman"/>
            <w:noProof/>
            <w:lang w:val="lv-LV"/>
          </w:rPr>
          <w:t>nediskriminācija</w:t>
        </w:r>
        <w:r w:rsidR="00DB6FDE" w:rsidRPr="00755612">
          <w:rPr>
            <w:rFonts w:ascii="Times New Roman" w:hAnsi="Times New Roman"/>
            <w:noProof/>
            <w:webHidden/>
          </w:rPr>
          <w:tab/>
        </w:r>
        <w:r w:rsidR="008778F9" w:rsidRPr="00755612">
          <w:rPr>
            <w:rFonts w:ascii="Times New Roman" w:hAnsi="Times New Roman"/>
            <w:noProof/>
            <w:webHidden/>
          </w:rPr>
          <w:t>64</w:t>
        </w:r>
      </w:hyperlink>
    </w:p>
    <w:p w:rsidR="00DB6FDE" w:rsidRPr="00755612" w:rsidRDefault="001C1E6F" w:rsidP="00755612">
      <w:pPr>
        <w:pStyle w:val="TOC2"/>
        <w:rPr>
          <w:rFonts w:ascii="Times New Roman" w:hAnsi="Times New Roman"/>
          <w:noProof/>
          <w:lang w:val="en-US"/>
        </w:rPr>
      </w:pPr>
      <w:hyperlink w:anchor="_Toc384383748" w:history="1">
        <w:r w:rsidR="00DB6FDE" w:rsidRPr="00755612">
          <w:rPr>
            <w:rStyle w:val="Hyperlink"/>
            <w:rFonts w:ascii="Times New Roman" w:hAnsi="Times New Roman"/>
            <w:noProof/>
            <w:lang w:val="lv-LV"/>
          </w:rPr>
          <w:t>8.3.</w:t>
        </w:r>
        <w:r w:rsidR="008778F9" w:rsidRPr="00755612">
          <w:rPr>
            <w:rStyle w:val="Hyperlink"/>
            <w:rFonts w:ascii="Times New Roman" w:hAnsi="Times New Roman"/>
            <w:noProof/>
            <w:lang w:val="lv-LV"/>
          </w:rPr>
          <w:t xml:space="preserve"> Vīriešu un sieviešu līdztiesība</w:t>
        </w:r>
        <w:r w:rsidR="00DB6FDE" w:rsidRPr="00755612">
          <w:rPr>
            <w:rFonts w:ascii="Times New Roman" w:hAnsi="Times New Roman"/>
            <w:noProof/>
            <w:webHidden/>
          </w:rPr>
          <w:tab/>
        </w:r>
        <w:r w:rsidR="008778F9" w:rsidRPr="00755612">
          <w:rPr>
            <w:rFonts w:ascii="Times New Roman" w:hAnsi="Times New Roman"/>
            <w:noProof/>
            <w:webHidden/>
          </w:rPr>
          <w:t>65</w:t>
        </w:r>
      </w:hyperlink>
    </w:p>
    <w:p w:rsidR="00DB6FDE" w:rsidRPr="00755612" w:rsidRDefault="001C1E6F" w:rsidP="00755612">
      <w:pPr>
        <w:pStyle w:val="TOC1"/>
      </w:pPr>
      <w:hyperlink w:anchor="_Toc384383749" w:history="1">
        <w:r w:rsidR="00DB6FDE" w:rsidRPr="00755612">
          <w:rPr>
            <w:rStyle w:val="Hyperlink"/>
          </w:rPr>
          <w:t>1. PIELIKUMS</w:t>
        </w:r>
        <w:r w:rsidR="00DB6FDE" w:rsidRPr="00755612">
          <w:rPr>
            <w:webHidden/>
          </w:rPr>
          <w:tab/>
        </w:r>
        <w:r w:rsidRPr="00755612">
          <w:rPr>
            <w:webHidden/>
          </w:rPr>
          <w:fldChar w:fldCharType="begin"/>
        </w:r>
        <w:r w:rsidR="00DB6FDE" w:rsidRPr="00755612">
          <w:rPr>
            <w:webHidden/>
          </w:rPr>
          <w:instrText xml:space="preserve"> PAGEREF _Toc384383749 \h </w:instrText>
        </w:r>
        <w:r w:rsidRPr="00755612">
          <w:rPr>
            <w:webHidden/>
          </w:rPr>
        </w:r>
        <w:r w:rsidRPr="00755612">
          <w:rPr>
            <w:webHidden/>
          </w:rPr>
          <w:fldChar w:fldCharType="separate"/>
        </w:r>
        <w:r w:rsidR="008778F9" w:rsidRPr="00755612">
          <w:rPr>
            <w:bCs/>
            <w:webHidden/>
            <w:lang w:val="en-US"/>
          </w:rPr>
          <w:t>6</w:t>
        </w:r>
        <w:r w:rsidRPr="00755612">
          <w:rPr>
            <w:webHidden/>
          </w:rPr>
          <w:fldChar w:fldCharType="end"/>
        </w:r>
      </w:hyperlink>
      <w:r w:rsidR="008778F9" w:rsidRPr="00755612">
        <w:t>6</w:t>
      </w:r>
    </w:p>
    <w:p w:rsidR="008778F9" w:rsidRPr="00755612" w:rsidRDefault="008778F9" w:rsidP="008778F9">
      <w:pPr>
        <w:rPr>
          <w:rFonts w:ascii="Times New Roman" w:hAnsi="Times New Roman"/>
          <w:lang w:val="lv-LV"/>
        </w:rPr>
      </w:pPr>
      <w:r w:rsidRPr="00755612">
        <w:rPr>
          <w:rFonts w:ascii="Times New Roman" w:hAnsi="Times New Roman"/>
          <w:lang w:val="lv-LV"/>
        </w:rPr>
        <w:t>2.</w:t>
      </w:r>
      <w:r w:rsidR="0030029A">
        <w:rPr>
          <w:rFonts w:ascii="Times New Roman" w:hAnsi="Times New Roman"/>
          <w:lang w:val="lv-LV"/>
        </w:rPr>
        <w:t xml:space="preserve"> </w:t>
      </w:r>
      <w:r w:rsidRPr="00755612">
        <w:rPr>
          <w:rFonts w:ascii="Times New Roman" w:hAnsi="Times New Roman"/>
          <w:lang w:val="lv-LV"/>
        </w:rPr>
        <w:t>PIELIKUMS.............................................................................................</w:t>
      </w:r>
      <w:r w:rsidR="0030029A">
        <w:rPr>
          <w:rFonts w:ascii="Times New Roman" w:hAnsi="Times New Roman"/>
          <w:lang w:val="lv-LV"/>
        </w:rPr>
        <w:t>..</w:t>
      </w:r>
      <w:r w:rsidRPr="00755612">
        <w:rPr>
          <w:rFonts w:ascii="Times New Roman" w:hAnsi="Times New Roman"/>
          <w:lang w:val="lv-LV"/>
        </w:rPr>
        <w:t xml:space="preserve">...............68 </w:t>
      </w:r>
    </w:p>
    <w:p w:rsidR="007C3139" w:rsidRPr="00755612" w:rsidRDefault="001C1E6F" w:rsidP="00E302F6">
      <w:pPr>
        <w:spacing w:before="120" w:line="240" w:lineRule="auto"/>
        <w:rPr>
          <w:rFonts w:ascii="Times New Roman" w:hAnsi="Times New Roman"/>
          <w:sz w:val="20"/>
          <w:szCs w:val="20"/>
          <w:lang w:val="lv-LV"/>
        </w:rPr>
      </w:pPr>
      <w:r w:rsidRPr="00755612">
        <w:rPr>
          <w:rFonts w:ascii="Times New Roman" w:hAnsi="Times New Roman"/>
          <w:lang w:val="lv-LV"/>
        </w:rPr>
        <w:fldChar w:fldCharType="end"/>
      </w:r>
    </w:p>
    <w:p w:rsidR="004544E0" w:rsidRPr="00714469" w:rsidRDefault="007C3139" w:rsidP="00E302F6">
      <w:pPr>
        <w:spacing w:before="120" w:line="240" w:lineRule="auto"/>
        <w:jc w:val="left"/>
        <w:rPr>
          <w:rFonts w:ascii="Times New Roman" w:hAnsi="Times New Roman"/>
          <w:b/>
          <w:lang w:val="lv-LV"/>
        </w:rPr>
      </w:pPr>
      <w:r w:rsidRPr="00543A74">
        <w:rPr>
          <w:lang w:val="lv-LV"/>
        </w:rPr>
        <w:br w:type="page"/>
      </w:r>
      <w:bookmarkStart w:id="0" w:name="_Toc372107588"/>
      <w:r w:rsidR="00B21A7A" w:rsidRPr="00714469">
        <w:rPr>
          <w:rFonts w:ascii="Times New Roman" w:hAnsi="Times New Roman"/>
          <w:b/>
          <w:lang w:val="lv-LV"/>
        </w:rPr>
        <w:lastRenderedPageBreak/>
        <w:t>IZMANTOTIE SAĪSINĀJUMI</w:t>
      </w:r>
    </w:p>
    <w:p w:rsidR="00FA4661" w:rsidRPr="00714469" w:rsidRDefault="001D6903"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RI</w:t>
      </w:r>
      <w:r w:rsidR="00FA4661" w:rsidRPr="00714469">
        <w:rPr>
          <w:rFonts w:ascii="Times New Roman" w:hAnsi="Times New Roman"/>
          <w:lang w:val="lv-LV"/>
        </w:rPr>
        <w:t xml:space="preserve"> – </w:t>
      </w:r>
      <w:r w:rsidRPr="00714469">
        <w:rPr>
          <w:rFonts w:ascii="Times New Roman" w:hAnsi="Times New Roman"/>
          <w:lang w:val="lv-LV"/>
        </w:rPr>
        <w:t>Revīzijas iestāde</w:t>
      </w:r>
      <w:r w:rsidR="00E23B10" w:rsidRPr="00714469">
        <w:rPr>
          <w:rFonts w:ascii="Times New Roman" w:hAnsi="Times New Roman"/>
          <w:lang w:val="lv-LV"/>
        </w:rPr>
        <w:t>;</w:t>
      </w:r>
    </w:p>
    <w:p w:rsidR="00FA4661" w:rsidRDefault="001D6903"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SI</w:t>
      </w:r>
      <w:r w:rsidR="00FA4661" w:rsidRPr="00714469">
        <w:rPr>
          <w:rFonts w:ascii="Times New Roman" w:hAnsi="Times New Roman"/>
          <w:lang w:val="lv-LV"/>
        </w:rPr>
        <w:t xml:space="preserve"> – </w:t>
      </w:r>
      <w:r w:rsidR="00B416CF" w:rsidRPr="00714469">
        <w:rPr>
          <w:rFonts w:ascii="Times New Roman" w:hAnsi="Times New Roman"/>
          <w:lang w:val="lv-LV"/>
        </w:rPr>
        <w:t xml:space="preserve">Sertifikācijas </w:t>
      </w:r>
      <w:r w:rsidRPr="00714469">
        <w:rPr>
          <w:rFonts w:ascii="Times New Roman" w:hAnsi="Times New Roman"/>
          <w:lang w:val="lv-LV"/>
        </w:rPr>
        <w:t>iestāde</w:t>
      </w:r>
      <w:r w:rsidR="00E23B10" w:rsidRPr="00714469">
        <w:rPr>
          <w:rFonts w:ascii="Times New Roman" w:hAnsi="Times New Roman"/>
          <w:lang w:val="lv-LV"/>
        </w:rPr>
        <w:t>;</w:t>
      </w:r>
    </w:p>
    <w:p w:rsidR="007E0AEC" w:rsidRDefault="007E0AEC" w:rsidP="00E302F6">
      <w:pPr>
        <w:widowControl w:val="0"/>
        <w:autoSpaceDE w:val="0"/>
        <w:autoSpaceDN w:val="0"/>
        <w:adjustRightInd w:val="0"/>
        <w:spacing w:before="120" w:line="240" w:lineRule="auto"/>
        <w:rPr>
          <w:rFonts w:ascii="Times New Roman" w:hAnsi="Times New Roman"/>
          <w:lang w:val="lv-LV"/>
        </w:rPr>
      </w:pPr>
      <w:r>
        <w:rPr>
          <w:rFonts w:ascii="Times New Roman" w:hAnsi="Times New Roman"/>
          <w:lang w:val="lv-LV"/>
        </w:rPr>
        <w:t>RG- Revidentu grupa</w:t>
      </w:r>
    </w:p>
    <w:p w:rsidR="007E0AEC" w:rsidRDefault="007E0AEC" w:rsidP="00E302F6">
      <w:pPr>
        <w:widowControl w:val="0"/>
        <w:autoSpaceDE w:val="0"/>
        <w:autoSpaceDN w:val="0"/>
        <w:adjustRightInd w:val="0"/>
        <w:spacing w:before="120" w:line="240" w:lineRule="auto"/>
        <w:rPr>
          <w:rFonts w:ascii="Times New Roman" w:hAnsi="Times New Roman"/>
          <w:lang w:val="lv-LV"/>
        </w:rPr>
      </w:pPr>
      <w:r>
        <w:rPr>
          <w:rFonts w:ascii="Times New Roman" w:hAnsi="Times New Roman"/>
          <w:lang w:val="lv-LV"/>
        </w:rPr>
        <w:t>ERAF – Eiropas Reģionālās attīstības fonds</w:t>
      </w:r>
    </w:p>
    <w:p w:rsidR="007E0AEC" w:rsidRPr="00714469" w:rsidRDefault="007E0AEC" w:rsidP="00E302F6">
      <w:pPr>
        <w:widowControl w:val="0"/>
        <w:autoSpaceDE w:val="0"/>
        <w:autoSpaceDN w:val="0"/>
        <w:adjustRightInd w:val="0"/>
        <w:spacing w:before="120" w:line="240" w:lineRule="auto"/>
        <w:rPr>
          <w:rFonts w:ascii="Times New Roman" w:hAnsi="Times New Roman"/>
          <w:lang w:val="lv-LV"/>
        </w:rPr>
      </w:pPr>
      <w:r>
        <w:rPr>
          <w:rFonts w:ascii="Times New Roman" w:hAnsi="Times New Roman"/>
          <w:lang w:val="lv-LV"/>
        </w:rPr>
        <w:t>ESF – Eiropas Sociālaisfonds</w:t>
      </w:r>
    </w:p>
    <w:p w:rsidR="00FA4661" w:rsidRPr="00714469" w:rsidRDefault="00FA4661"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 xml:space="preserve">ESI </w:t>
      </w:r>
      <w:r w:rsidR="001D6903" w:rsidRPr="00714469">
        <w:rPr>
          <w:rFonts w:ascii="Times New Roman" w:hAnsi="Times New Roman"/>
          <w:u w:val="single"/>
          <w:lang w:val="lv-LV"/>
        </w:rPr>
        <w:t>fond</w:t>
      </w:r>
      <w:r w:rsidR="00E1225A" w:rsidRPr="00714469">
        <w:rPr>
          <w:rFonts w:ascii="Times New Roman" w:hAnsi="Times New Roman"/>
          <w:u w:val="single"/>
          <w:lang w:val="lv-LV"/>
        </w:rPr>
        <w:t>i</w:t>
      </w:r>
      <w:r w:rsidRPr="00714469">
        <w:rPr>
          <w:rFonts w:ascii="Times New Roman" w:hAnsi="Times New Roman"/>
          <w:lang w:val="lv-LV"/>
        </w:rPr>
        <w:t xml:space="preserve"> </w:t>
      </w:r>
      <w:r w:rsidR="001D6903" w:rsidRPr="00714469">
        <w:rPr>
          <w:rFonts w:ascii="Times New Roman" w:hAnsi="Times New Roman"/>
          <w:lang w:val="lv-LV"/>
        </w:rPr>
        <w:t>–</w:t>
      </w:r>
      <w:r w:rsidRPr="00714469">
        <w:rPr>
          <w:rFonts w:ascii="Times New Roman" w:hAnsi="Times New Roman"/>
          <w:lang w:val="lv-LV"/>
        </w:rPr>
        <w:t xml:space="preserve"> </w:t>
      </w:r>
      <w:r w:rsidR="001D6903" w:rsidRPr="00714469">
        <w:rPr>
          <w:rFonts w:ascii="Times New Roman" w:hAnsi="Times New Roman"/>
          <w:lang w:val="lv-LV"/>
        </w:rPr>
        <w:t>Eiropas strukturālie un investīciju fondi</w:t>
      </w:r>
      <w:r w:rsidR="00E23B10" w:rsidRPr="00714469">
        <w:rPr>
          <w:rFonts w:ascii="Times New Roman" w:hAnsi="Times New Roman"/>
          <w:lang w:val="lv-LV"/>
        </w:rPr>
        <w:t>;</w:t>
      </w:r>
    </w:p>
    <w:p w:rsidR="00FA4661" w:rsidRPr="00714469" w:rsidRDefault="00FA4661"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ET</w:t>
      </w:r>
      <w:r w:rsidR="001D6903" w:rsidRPr="00714469">
        <w:rPr>
          <w:rFonts w:ascii="Times New Roman" w:hAnsi="Times New Roman"/>
          <w:u w:val="single"/>
          <w:lang w:val="lv-LV"/>
        </w:rPr>
        <w:t>S</w:t>
      </w:r>
      <w:r w:rsidRPr="00714469">
        <w:rPr>
          <w:rFonts w:ascii="Times New Roman" w:hAnsi="Times New Roman"/>
          <w:lang w:val="lv-LV"/>
        </w:rPr>
        <w:t xml:space="preserve"> – </w:t>
      </w:r>
      <w:r w:rsidR="001D6903" w:rsidRPr="00714469">
        <w:rPr>
          <w:rFonts w:ascii="Times New Roman" w:hAnsi="Times New Roman"/>
          <w:lang w:val="lv-LV"/>
        </w:rPr>
        <w:t>Eiropas teritoriālā sadarbība</w:t>
      </w:r>
      <w:r w:rsidR="00E23B10" w:rsidRPr="00714469">
        <w:rPr>
          <w:rFonts w:ascii="Times New Roman" w:hAnsi="Times New Roman"/>
          <w:lang w:val="lv-LV"/>
        </w:rPr>
        <w:t>;</w:t>
      </w:r>
    </w:p>
    <w:p w:rsidR="00FA4661" w:rsidRPr="00714469" w:rsidRDefault="00FA4661"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E</w:t>
      </w:r>
      <w:r w:rsidR="00BA5946" w:rsidRPr="00714469">
        <w:rPr>
          <w:rFonts w:ascii="Times New Roman" w:hAnsi="Times New Roman"/>
          <w:u w:val="single"/>
          <w:lang w:val="lv-LV"/>
        </w:rPr>
        <w:t>S</w:t>
      </w:r>
      <w:r w:rsidRPr="00714469">
        <w:rPr>
          <w:rFonts w:ascii="Times New Roman" w:hAnsi="Times New Roman"/>
          <w:lang w:val="lv-LV"/>
        </w:rPr>
        <w:t xml:space="preserve"> – </w:t>
      </w:r>
      <w:r w:rsidR="00BA5946" w:rsidRPr="00714469">
        <w:rPr>
          <w:rFonts w:ascii="Times New Roman" w:hAnsi="Times New Roman"/>
          <w:lang w:val="lv-LV"/>
        </w:rPr>
        <w:t>Eiropas Savienība</w:t>
      </w:r>
      <w:r w:rsidR="00E23B10" w:rsidRPr="00714469">
        <w:rPr>
          <w:rFonts w:ascii="Times New Roman" w:hAnsi="Times New Roman"/>
          <w:lang w:val="lv-LV"/>
        </w:rPr>
        <w:t>;</w:t>
      </w:r>
    </w:p>
    <w:p w:rsidR="00FA4661" w:rsidRPr="00714469" w:rsidRDefault="007E0AEC" w:rsidP="00E302F6">
      <w:pPr>
        <w:widowControl w:val="0"/>
        <w:autoSpaceDE w:val="0"/>
        <w:autoSpaceDN w:val="0"/>
        <w:adjustRightInd w:val="0"/>
        <w:spacing w:before="120" w:line="240" w:lineRule="auto"/>
        <w:rPr>
          <w:rFonts w:ascii="Times New Roman" w:hAnsi="Times New Roman"/>
          <w:lang w:val="lv-LV"/>
        </w:rPr>
      </w:pPr>
      <w:r>
        <w:rPr>
          <w:rFonts w:ascii="Times New Roman" w:hAnsi="Times New Roman"/>
          <w:u w:val="single"/>
          <w:lang w:val="lv-LV"/>
        </w:rPr>
        <w:t xml:space="preserve">Eiropa </w:t>
      </w:r>
      <w:r w:rsidR="00FA4661" w:rsidRPr="00714469">
        <w:rPr>
          <w:rFonts w:ascii="Times New Roman" w:hAnsi="Times New Roman"/>
          <w:u w:val="single"/>
          <w:lang w:val="lv-LV"/>
        </w:rPr>
        <w:t>2020</w:t>
      </w:r>
      <w:r w:rsidR="00FA4661" w:rsidRPr="00714469">
        <w:rPr>
          <w:rFonts w:ascii="Times New Roman" w:hAnsi="Times New Roman"/>
          <w:lang w:val="lv-LV"/>
        </w:rPr>
        <w:t xml:space="preserve"> – </w:t>
      </w:r>
      <w:r w:rsidR="00B416CF" w:rsidRPr="00714469">
        <w:rPr>
          <w:rFonts w:ascii="Times New Roman" w:hAnsi="Times New Roman"/>
          <w:lang w:val="lv-LV"/>
        </w:rPr>
        <w:t>Eiropa 2020: stratēģija gudrai, ilgtspējīgai un iekļaujošai izaugsmei</w:t>
      </w:r>
      <w:r w:rsidR="00E23B10" w:rsidRPr="00714469">
        <w:rPr>
          <w:rFonts w:ascii="Times New Roman" w:hAnsi="Times New Roman"/>
          <w:lang w:val="lv-LV"/>
        </w:rPr>
        <w:t>;</w:t>
      </w:r>
    </w:p>
    <w:p w:rsidR="00FA4661" w:rsidRPr="00714469" w:rsidRDefault="001758DD"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ESSBJR</w:t>
      </w:r>
      <w:r w:rsidR="00FA4661" w:rsidRPr="00714469">
        <w:rPr>
          <w:rFonts w:ascii="Times New Roman" w:hAnsi="Times New Roman"/>
          <w:lang w:val="lv-LV"/>
        </w:rPr>
        <w:t xml:space="preserve"> </w:t>
      </w:r>
      <w:r w:rsidRPr="00714469">
        <w:rPr>
          <w:rFonts w:ascii="Times New Roman" w:hAnsi="Times New Roman"/>
          <w:lang w:val="lv-LV"/>
        </w:rPr>
        <w:t>–</w:t>
      </w:r>
      <w:r w:rsidR="00FA4661" w:rsidRPr="00714469">
        <w:rPr>
          <w:rFonts w:ascii="Times New Roman" w:hAnsi="Times New Roman"/>
          <w:lang w:val="lv-LV"/>
        </w:rPr>
        <w:t xml:space="preserve"> </w:t>
      </w:r>
      <w:r w:rsidRPr="00714469">
        <w:rPr>
          <w:rFonts w:ascii="Times New Roman" w:hAnsi="Times New Roman"/>
          <w:lang w:val="lv-LV"/>
        </w:rPr>
        <w:t>Eiropas Savienības stratēģija Baltijas jūras reģion</w:t>
      </w:r>
      <w:r w:rsidR="00195D32" w:rsidRPr="00714469">
        <w:rPr>
          <w:rFonts w:ascii="Times New Roman" w:hAnsi="Times New Roman"/>
          <w:lang w:val="lv-LV"/>
        </w:rPr>
        <w:t>am</w:t>
      </w:r>
      <w:r w:rsidR="00E23B10" w:rsidRPr="00714469">
        <w:rPr>
          <w:rFonts w:ascii="Times New Roman" w:hAnsi="Times New Roman"/>
          <w:lang w:val="lv-LV"/>
        </w:rPr>
        <w:t>;</w:t>
      </w:r>
    </w:p>
    <w:p w:rsidR="00FA4661" w:rsidRPr="00714469" w:rsidRDefault="00000ED3" w:rsidP="00E302F6">
      <w:pPr>
        <w:widowControl w:val="0"/>
        <w:autoSpaceDE w:val="0"/>
        <w:autoSpaceDN w:val="0"/>
        <w:adjustRightInd w:val="0"/>
        <w:spacing w:before="120" w:line="240" w:lineRule="auto"/>
        <w:rPr>
          <w:rFonts w:ascii="Times New Roman" w:hAnsi="Times New Roman"/>
          <w:lang w:val="lv-LV"/>
        </w:rPr>
      </w:pPr>
      <w:r>
        <w:rPr>
          <w:rFonts w:ascii="Times New Roman" w:hAnsi="Times New Roman"/>
          <w:u w:val="single"/>
          <w:lang w:val="lv-LV"/>
        </w:rPr>
        <w:t>F</w:t>
      </w:r>
      <w:r w:rsidR="001758DD" w:rsidRPr="00714469">
        <w:rPr>
          <w:rFonts w:ascii="Times New Roman" w:hAnsi="Times New Roman"/>
          <w:u w:val="single"/>
          <w:lang w:val="lv-LV"/>
        </w:rPr>
        <w:t>K</w:t>
      </w:r>
      <w:r w:rsidR="00FA4661" w:rsidRPr="00714469">
        <w:rPr>
          <w:rFonts w:ascii="Times New Roman" w:hAnsi="Times New Roman"/>
          <w:lang w:val="lv-LV"/>
        </w:rPr>
        <w:t xml:space="preserve"> – </w:t>
      </w:r>
      <w:r>
        <w:rPr>
          <w:rFonts w:ascii="Times New Roman" w:hAnsi="Times New Roman"/>
          <w:lang w:val="lv-LV"/>
        </w:rPr>
        <w:t>Finanšu</w:t>
      </w:r>
      <w:r w:rsidR="001D5B1F">
        <w:rPr>
          <w:rFonts w:ascii="Times New Roman" w:hAnsi="Times New Roman"/>
          <w:lang w:val="lv-LV"/>
        </w:rPr>
        <w:t xml:space="preserve"> </w:t>
      </w:r>
      <w:r w:rsidR="001758DD" w:rsidRPr="00714469">
        <w:rPr>
          <w:rFonts w:ascii="Times New Roman" w:hAnsi="Times New Roman"/>
          <w:lang w:val="lv-LV"/>
        </w:rPr>
        <w:t>kontrole</w:t>
      </w:r>
      <w:r w:rsidR="00E23B10" w:rsidRPr="00714469">
        <w:rPr>
          <w:rFonts w:ascii="Times New Roman" w:hAnsi="Times New Roman"/>
          <w:lang w:val="lv-LV"/>
        </w:rPr>
        <w:t>;</w:t>
      </w:r>
    </w:p>
    <w:p w:rsidR="00FA4661" w:rsidRPr="00714469" w:rsidRDefault="001758DD"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APK</w:t>
      </w:r>
      <w:r w:rsidR="00FA4661" w:rsidRPr="00714469">
        <w:rPr>
          <w:rFonts w:ascii="Times New Roman" w:hAnsi="Times New Roman"/>
          <w:lang w:val="lv-LV"/>
        </w:rPr>
        <w:t xml:space="preserve"> – </w:t>
      </w:r>
      <w:r w:rsidRPr="00714469">
        <w:rPr>
          <w:rFonts w:ascii="Times New Roman" w:hAnsi="Times New Roman"/>
          <w:lang w:val="lv-LV"/>
        </w:rPr>
        <w:t>Apvienotā Programmas komiteja</w:t>
      </w:r>
      <w:r w:rsidR="00E23B10" w:rsidRPr="00714469">
        <w:rPr>
          <w:rFonts w:ascii="Times New Roman" w:hAnsi="Times New Roman"/>
          <w:lang w:val="lv-LV"/>
        </w:rPr>
        <w:t>;</w:t>
      </w:r>
    </w:p>
    <w:p w:rsidR="00FA4661" w:rsidRPr="00714469" w:rsidRDefault="00837286" w:rsidP="00E302F6">
      <w:pPr>
        <w:widowControl w:val="0"/>
        <w:autoSpaceDE w:val="0"/>
        <w:autoSpaceDN w:val="0"/>
        <w:adjustRightInd w:val="0"/>
        <w:spacing w:before="120" w:line="240" w:lineRule="auto"/>
        <w:rPr>
          <w:rFonts w:ascii="Times New Roman" w:hAnsi="Times New Roman"/>
          <w:lang w:val="lv-LV"/>
        </w:rPr>
      </w:pPr>
      <w:r>
        <w:rPr>
          <w:rFonts w:ascii="Times New Roman" w:hAnsi="Times New Roman"/>
          <w:u w:val="single"/>
          <w:lang w:val="lv-LV"/>
        </w:rPr>
        <w:t>K</w:t>
      </w:r>
      <w:r w:rsidR="00FA4661" w:rsidRPr="00714469">
        <w:rPr>
          <w:rFonts w:ascii="Times New Roman" w:hAnsi="Times New Roman"/>
          <w:u w:val="single"/>
          <w:lang w:val="lv-LV"/>
        </w:rPr>
        <w:t>S</w:t>
      </w:r>
      <w:r w:rsidR="00FA4661" w:rsidRPr="00714469">
        <w:rPr>
          <w:rFonts w:ascii="Times New Roman" w:hAnsi="Times New Roman"/>
          <w:lang w:val="lv-LV"/>
        </w:rPr>
        <w:t xml:space="preserve"> – </w:t>
      </w:r>
      <w:r>
        <w:rPr>
          <w:rFonts w:ascii="Times New Roman" w:hAnsi="Times New Roman"/>
          <w:lang w:val="lv-LV"/>
        </w:rPr>
        <w:t>Kopīg</w:t>
      </w:r>
      <w:r w:rsidRPr="00714469">
        <w:rPr>
          <w:rFonts w:ascii="Times New Roman" w:hAnsi="Times New Roman"/>
          <w:lang w:val="lv-LV"/>
        </w:rPr>
        <w:t xml:space="preserve">ais </w:t>
      </w:r>
      <w:r w:rsidR="001758DD" w:rsidRPr="00714469">
        <w:rPr>
          <w:rFonts w:ascii="Times New Roman" w:hAnsi="Times New Roman"/>
          <w:lang w:val="lv-LV"/>
        </w:rPr>
        <w:t>sekretariāts</w:t>
      </w:r>
      <w:r w:rsidR="00E23B10" w:rsidRPr="00714469">
        <w:rPr>
          <w:rFonts w:ascii="Times New Roman" w:hAnsi="Times New Roman"/>
          <w:lang w:val="lv-LV"/>
        </w:rPr>
        <w:t>;</w:t>
      </w:r>
    </w:p>
    <w:p w:rsidR="00FA4661" w:rsidRPr="00714469" w:rsidRDefault="00A133BD" w:rsidP="00E302F6">
      <w:pPr>
        <w:widowControl w:val="0"/>
        <w:overflowPunct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Ilgtermiņa attīstības dokumenti</w:t>
      </w:r>
      <w:r w:rsidR="00FA4661" w:rsidRPr="00714469">
        <w:rPr>
          <w:rFonts w:ascii="Times New Roman" w:hAnsi="Times New Roman"/>
          <w:lang w:val="lv-LV"/>
        </w:rPr>
        <w:t xml:space="preserve"> – </w:t>
      </w:r>
      <w:r w:rsidRPr="00714469">
        <w:rPr>
          <w:rFonts w:ascii="Times New Roman" w:hAnsi="Times New Roman"/>
          <w:lang w:val="lv-LV"/>
        </w:rPr>
        <w:t>Nacionālā reformu programma</w:t>
      </w:r>
      <w:r w:rsidR="00FA4661" w:rsidRPr="00714469">
        <w:rPr>
          <w:rFonts w:ascii="Times New Roman" w:hAnsi="Times New Roman"/>
          <w:lang w:val="lv-LV"/>
        </w:rPr>
        <w:t xml:space="preserve"> </w:t>
      </w:r>
      <w:r w:rsidRPr="00714469">
        <w:rPr>
          <w:rFonts w:ascii="Times New Roman" w:hAnsi="Times New Roman"/>
          <w:lang w:val="lv-LV"/>
        </w:rPr>
        <w:t xml:space="preserve">(attiecībā uz Latviju dokumentos tiek izmantots saīsinājums „Nacionālā reformu programma </w:t>
      </w:r>
      <w:r w:rsidR="007E0AEC">
        <w:rPr>
          <w:rFonts w:ascii="Times New Roman" w:hAnsi="Times New Roman"/>
          <w:lang w:val="lv-LV"/>
        </w:rPr>
        <w:t>Eiropa</w:t>
      </w:r>
      <w:r w:rsidR="007E0AEC" w:rsidRPr="00714469">
        <w:rPr>
          <w:rFonts w:ascii="Times New Roman" w:hAnsi="Times New Roman"/>
          <w:lang w:val="lv-LV"/>
        </w:rPr>
        <w:t xml:space="preserve"> </w:t>
      </w:r>
      <w:r w:rsidRPr="00714469">
        <w:rPr>
          <w:rFonts w:ascii="Times New Roman" w:hAnsi="Times New Roman"/>
          <w:lang w:val="lv-LV"/>
        </w:rPr>
        <w:t>2020 īstenošanai”, savukārt attiecībā uz Lietuvu – „Nacionālā reformu kārtība”</w:t>
      </w:r>
      <w:r w:rsidR="00FA4661" w:rsidRPr="00714469">
        <w:rPr>
          <w:rFonts w:ascii="Times New Roman" w:hAnsi="Times New Roman"/>
          <w:lang w:val="lv-LV"/>
        </w:rPr>
        <w:t>)</w:t>
      </w:r>
      <w:r w:rsidR="00E23B10" w:rsidRPr="00714469">
        <w:rPr>
          <w:rFonts w:ascii="Times New Roman" w:hAnsi="Times New Roman"/>
          <w:lang w:val="lv-LV"/>
        </w:rPr>
        <w:t>;</w:t>
      </w:r>
    </w:p>
    <w:p w:rsidR="00FA4661" w:rsidRPr="00714469" w:rsidRDefault="003A0452"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VI</w:t>
      </w:r>
      <w:r w:rsidR="00FA4661" w:rsidRPr="00714469">
        <w:rPr>
          <w:rFonts w:ascii="Times New Roman" w:hAnsi="Times New Roman"/>
          <w:lang w:val="lv-LV"/>
        </w:rPr>
        <w:t xml:space="preserve"> – </w:t>
      </w:r>
      <w:r w:rsidRPr="00714469">
        <w:rPr>
          <w:rFonts w:ascii="Times New Roman" w:hAnsi="Times New Roman"/>
          <w:lang w:val="lv-LV"/>
        </w:rPr>
        <w:t>Vadošā iestāde</w:t>
      </w:r>
      <w:r w:rsidR="00E23B10" w:rsidRPr="00714469">
        <w:rPr>
          <w:rFonts w:ascii="Times New Roman" w:hAnsi="Times New Roman"/>
          <w:lang w:val="lv-LV"/>
        </w:rPr>
        <w:t>;</w:t>
      </w:r>
    </w:p>
    <w:p w:rsidR="00FA4661" w:rsidRPr="00714469" w:rsidRDefault="00A133BD" w:rsidP="00E302F6">
      <w:pPr>
        <w:widowControl w:val="0"/>
        <w:overflowPunct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Vidēja termiņa attīstības dokumenti</w:t>
      </w:r>
      <w:r w:rsidR="00E23B10" w:rsidRPr="00714469">
        <w:rPr>
          <w:rFonts w:ascii="Times New Roman" w:hAnsi="Times New Roman"/>
          <w:lang w:val="lv-LV"/>
        </w:rPr>
        <w:t xml:space="preserve"> – </w:t>
      </w:r>
      <w:r w:rsidRPr="00714469">
        <w:rPr>
          <w:rFonts w:ascii="Times New Roman" w:hAnsi="Times New Roman"/>
          <w:lang w:val="lv-LV"/>
        </w:rPr>
        <w:t>attiecībā uz Latviju dokumentos tiek izmantots saīsinājums „Nacionālais attīstības plāns 2014</w:t>
      </w:r>
      <w:r w:rsidR="00E23B10" w:rsidRPr="00714469">
        <w:rPr>
          <w:rFonts w:ascii="Times New Roman" w:hAnsi="Times New Roman"/>
          <w:lang w:val="lv-LV"/>
        </w:rPr>
        <w:t>.</w:t>
      </w:r>
      <w:r w:rsidR="00B8783A" w:rsidRPr="00714469">
        <w:rPr>
          <w:rFonts w:ascii="Times New Roman" w:hAnsi="Times New Roman"/>
          <w:lang w:val="lv-LV"/>
        </w:rPr>
        <w:t>–</w:t>
      </w:r>
      <w:r w:rsidRPr="00714469">
        <w:rPr>
          <w:rFonts w:ascii="Times New Roman" w:hAnsi="Times New Roman"/>
          <w:lang w:val="lv-LV"/>
        </w:rPr>
        <w:t>2020</w:t>
      </w:r>
      <w:r w:rsidR="00E23B10" w:rsidRPr="00714469">
        <w:rPr>
          <w:rFonts w:ascii="Times New Roman" w:hAnsi="Times New Roman"/>
          <w:lang w:val="lv-LV"/>
        </w:rPr>
        <w:t>. gadam</w:t>
      </w:r>
      <w:r w:rsidRPr="00714469">
        <w:rPr>
          <w:rFonts w:ascii="Times New Roman" w:hAnsi="Times New Roman"/>
          <w:lang w:val="lv-LV"/>
        </w:rPr>
        <w:t>”, savukārt attiecībā uz Lietuvu – „2014</w:t>
      </w:r>
      <w:r w:rsidR="00E23B10" w:rsidRPr="00714469">
        <w:rPr>
          <w:rFonts w:ascii="Times New Roman" w:hAnsi="Times New Roman"/>
          <w:lang w:val="lv-LV"/>
        </w:rPr>
        <w:t>.</w:t>
      </w:r>
      <w:r w:rsidRPr="00714469">
        <w:rPr>
          <w:rFonts w:ascii="Times New Roman" w:hAnsi="Times New Roman"/>
          <w:lang w:val="lv-LV"/>
        </w:rPr>
        <w:t xml:space="preserve">– </w:t>
      </w:r>
      <w:r w:rsidR="009C0B1A" w:rsidRPr="00714469">
        <w:rPr>
          <w:rFonts w:ascii="Times New Roman" w:hAnsi="Times New Roman"/>
          <w:lang w:val="lv-LV"/>
        </w:rPr>
        <w:t>2</w:t>
      </w:r>
      <w:r w:rsidRPr="00714469">
        <w:rPr>
          <w:rFonts w:ascii="Times New Roman" w:hAnsi="Times New Roman"/>
          <w:lang w:val="lv-LV"/>
        </w:rPr>
        <w:t>020</w:t>
      </w:r>
      <w:r w:rsidR="00E23B10" w:rsidRPr="00714469">
        <w:rPr>
          <w:rFonts w:ascii="Times New Roman" w:hAnsi="Times New Roman"/>
          <w:lang w:val="lv-LV"/>
        </w:rPr>
        <w:t>. gada</w:t>
      </w:r>
      <w:r w:rsidRPr="00714469">
        <w:rPr>
          <w:rFonts w:ascii="Times New Roman" w:hAnsi="Times New Roman"/>
          <w:lang w:val="lv-LV"/>
        </w:rPr>
        <w:t xml:space="preserve"> Nacionālā progresa programma”</w:t>
      </w:r>
      <w:r w:rsidR="00E23B10" w:rsidRPr="00714469">
        <w:rPr>
          <w:rFonts w:ascii="Times New Roman" w:hAnsi="Times New Roman"/>
          <w:lang w:val="lv-LV"/>
        </w:rPr>
        <w:t>;</w:t>
      </w:r>
    </w:p>
    <w:p w:rsidR="00FA4661" w:rsidRPr="00714469" w:rsidRDefault="00E23B10"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UK</w:t>
      </w:r>
      <w:r w:rsidR="00FA4661" w:rsidRPr="00714469">
        <w:rPr>
          <w:rFonts w:ascii="Times New Roman" w:hAnsi="Times New Roman"/>
          <w:lang w:val="lv-LV"/>
        </w:rPr>
        <w:t xml:space="preserve"> – </w:t>
      </w:r>
      <w:r w:rsidRPr="00714469">
        <w:rPr>
          <w:rFonts w:ascii="Times New Roman" w:hAnsi="Times New Roman"/>
          <w:lang w:val="lv-LV"/>
        </w:rPr>
        <w:t>Uzraudzības komiteja;</w:t>
      </w:r>
    </w:p>
    <w:p w:rsidR="00FA4661" w:rsidRPr="00714469" w:rsidRDefault="00D7669C" w:rsidP="00E302F6">
      <w:pPr>
        <w:widowControl w:val="0"/>
        <w:overflowPunct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Konsultatīvā darba grupa</w:t>
      </w:r>
      <w:r w:rsidR="00B416CF" w:rsidRPr="00714469">
        <w:rPr>
          <w:rFonts w:ascii="Times New Roman" w:hAnsi="Times New Roman"/>
          <w:lang w:val="lv-LV"/>
        </w:rPr>
        <w:t xml:space="preserve"> </w:t>
      </w:r>
      <w:r w:rsidR="00FA4661" w:rsidRPr="00714469">
        <w:rPr>
          <w:rFonts w:ascii="Times New Roman" w:hAnsi="Times New Roman"/>
          <w:lang w:val="lv-LV"/>
        </w:rPr>
        <w:t xml:space="preserve">– </w:t>
      </w:r>
      <w:r w:rsidR="00E23B10" w:rsidRPr="00714469">
        <w:rPr>
          <w:rFonts w:ascii="Times New Roman" w:hAnsi="Times New Roman"/>
          <w:lang w:val="lv-LV"/>
        </w:rPr>
        <w:t>Latvijā un Lietuvā izveidotās valsts apakškomitejas ETS programmu koordinēšanai;</w:t>
      </w:r>
    </w:p>
    <w:p w:rsidR="00FA4661" w:rsidRPr="00714469" w:rsidRDefault="00E23B10"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NVO</w:t>
      </w:r>
      <w:r w:rsidR="00FA4661" w:rsidRPr="00714469">
        <w:rPr>
          <w:rFonts w:ascii="Times New Roman" w:hAnsi="Times New Roman"/>
          <w:lang w:val="lv-LV"/>
        </w:rPr>
        <w:t xml:space="preserve"> – </w:t>
      </w:r>
      <w:r w:rsidRPr="00714469">
        <w:rPr>
          <w:rFonts w:ascii="Times New Roman" w:hAnsi="Times New Roman"/>
          <w:lang w:val="lv-LV"/>
        </w:rPr>
        <w:t>Nevalstiska organizācija;</w:t>
      </w:r>
    </w:p>
    <w:p w:rsidR="00FA4661" w:rsidRPr="00714469" w:rsidRDefault="00FA4661"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Programm</w:t>
      </w:r>
      <w:r w:rsidR="00E23B10" w:rsidRPr="00714469">
        <w:rPr>
          <w:rFonts w:ascii="Times New Roman" w:hAnsi="Times New Roman"/>
          <w:u w:val="single"/>
          <w:lang w:val="lv-LV"/>
        </w:rPr>
        <w:t>a</w:t>
      </w:r>
      <w:r w:rsidRPr="00714469">
        <w:rPr>
          <w:rFonts w:ascii="Times New Roman" w:hAnsi="Times New Roman"/>
          <w:lang w:val="lv-LV"/>
        </w:rPr>
        <w:t xml:space="preserve"> </w:t>
      </w:r>
      <w:r w:rsidR="00E23B10" w:rsidRPr="00714469">
        <w:rPr>
          <w:rFonts w:ascii="Times New Roman" w:hAnsi="Times New Roman"/>
          <w:lang w:val="lv-LV"/>
        </w:rPr>
        <w:t>–</w:t>
      </w:r>
      <w:r w:rsidRPr="00714469">
        <w:rPr>
          <w:rFonts w:ascii="Times New Roman" w:hAnsi="Times New Roman"/>
          <w:lang w:val="lv-LV"/>
        </w:rPr>
        <w:t xml:space="preserve"> </w:t>
      </w:r>
      <w:r w:rsidR="00C83BF0" w:rsidRPr="00714469">
        <w:rPr>
          <w:rFonts w:ascii="Times New Roman" w:hAnsi="Times New Roman"/>
          <w:lang w:val="lv-LV"/>
        </w:rPr>
        <w:t>Latvijas–</w:t>
      </w:r>
      <w:r w:rsidR="00E23B10" w:rsidRPr="00714469">
        <w:rPr>
          <w:rFonts w:ascii="Times New Roman" w:hAnsi="Times New Roman"/>
          <w:lang w:val="lv-LV"/>
        </w:rPr>
        <w:t xml:space="preserve">Lietuvas </w:t>
      </w:r>
      <w:r w:rsidR="00C83BF0" w:rsidRPr="00714469">
        <w:rPr>
          <w:rFonts w:ascii="Times New Roman" w:hAnsi="Times New Roman"/>
          <w:lang w:val="lv-LV"/>
        </w:rPr>
        <w:t>p</w:t>
      </w:r>
      <w:r w:rsidR="00E23B10" w:rsidRPr="00714469">
        <w:rPr>
          <w:rFonts w:ascii="Times New Roman" w:hAnsi="Times New Roman"/>
          <w:lang w:val="lv-LV"/>
        </w:rPr>
        <w:t>ārrobežu sa</w:t>
      </w:r>
      <w:r w:rsidR="00C83BF0" w:rsidRPr="00714469">
        <w:rPr>
          <w:rFonts w:ascii="Times New Roman" w:hAnsi="Times New Roman"/>
          <w:lang w:val="lv-LV"/>
        </w:rPr>
        <w:t>darbības programma 2014.– 2020. </w:t>
      </w:r>
      <w:r w:rsidR="00E23B10" w:rsidRPr="00714469">
        <w:rPr>
          <w:rFonts w:ascii="Times New Roman" w:hAnsi="Times New Roman"/>
          <w:lang w:val="lv-LV"/>
        </w:rPr>
        <w:t>gadam;</w:t>
      </w:r>
    </w:p>
    <w:p w:rsidR="00FA4661" w:rsidRPr="00714469" w:rsidRDefault="00E23B10" w:rsidP="00E302F6">
      <w:pPr>
        <w:widowControl w:val="0"/>
        <w:overflowPunct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 xml:space="preserve">Regula (ES) Nr. </w:t>
      </w:r>
      <w:r w:rsidR="00FA4661" w:rsidRPr="00714469">
        <w:rPr>
          <w:rFonts w:ascii="Times New Roman" w:hAnsi="Times New Roman"/>
          <w:u w:val="single"/>
          <w:lang w:val="lv-LV"/>
        </w:rPr>
        <w:t>1299/2013</w:t>
      </w:r>
      <w:r w:rsidR="008C104F" w:rsidRPr="00714469">
        <w:rPr>
          <w:rFonts w:ascii="Times New Roman" w:hAnsi="Times New Roman"/>
          <w:lang w:val="lv-LV"/>
        </w:rPr>
        <w:t xml:space="preserve"> - </w:t>
      </w:r>
      <w:r w:rsidRPr="00714469">
        <w:rPr>
          <w:rFonts w:ascii="Times New Roman" w:hAnsi="Times New Roman"/>
          <w:lang w:val="lv-LV"/>
        </w:rPr>
        <w:t xml:space="preserve">Eiropas Parlamenta un Padomes regula par īpašiem noteikumiem par atbalstu no Eiropas </w:t>
      </w:r>
      <w:r w:rsidR="008C104F" w:rsidRPr="00714469">
        <w:rPr>
          <w:rFonts w:ascii="Times New Roman" w:hAnsi="Times New Roman"/>
          <w:lang w:val="lv-LV"/>
        </w:rPr>
        <w:t>Reģionālās attīstības fonda saistībā ar mērķi „Eiropas teritoriālā sadarbība”;</w:t>
      </w:r>
    </w:p>
    <w:p w:rsidR="00FA4661" w:rsidRPr="00714469" w:rsidRDefault="005C6E62" w:rsidP="00E302F6">
      <w:pPr>
        <w:widowControl w:val="0"/>
        <w:overflowPunct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Regula</w:t>
      </w:r>
      <w:r w:rsidR="00FA4661" w:rsidRPr="00714469">
        <w:rPr>
          <w:rFonts w:ascii="Times New Roman" w:hAnsi="Times New Roman"/>
          <w:u w:val="single"/>
          <w:lang w:val="lv-LV"/>
        </w:rPr>
        <w:t xml:space="preserve"> (E</w:t>
      </w:r>
      <w:r w:rsidRPr="00714469">
        <w:rPr>
          <w:rFonts w:ascii="Times New Roman" w:hAnsi="Times New Roman"/>
          <w:u w:val="single"/>
          <w:lang w:val="lv-LV"/>
        </w:rPr>
        <w:t>S) Nr.</w:t>
      </w:r>
      <w:r w:rsidR="00FA4661" w:rsidRPr="00714469">
        <w:rPr>
          <w:rFonts w:ascii="Times New Roman" w:hAnsi="Times New Roman"/>
          <w:u w:val="single"/>
          <w:lang w:val="lv-LV"/>
        </w:rPr>
        <w:t xml:space="preserve"> 1303/2013</w:t>
      </w:r>
      <w:r w:rsidRPr="00714469">
        <w:rPr>
          <w:rFonts w:ascii="Times New Roman" w:hAnsi="Times New Roman"/>
          <w:lang w:val="lv-LV"/>
        </w:rPr>
        <w:t xml:space="preserve"> – Eiropas Parlamenta un Padomes regula,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Padomes Regulu (EK) Nr. 1083/2006;</w:t>
      </w:r>
    </w:p>
    <w:p w:rsidR="00FA4661" w:rsidRPr="00714469" w:rsidRDefault="00FA4661"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T</w:t>
      </w:r>
      <w:r w:rsidR="005C6E62" w:rsidRPr="00714469">
        <w:rPr>
          <w:rFonts w:ascii="Times New Roman" w:hAnsi="Times New Roman"/>
          <w:u w:val="single"/>
          <w:lang w:val="lv-LV"/>
        </w:rPr>
        <w:t>P</w:t>
      </w:r>
      <w:r w:rsidRPr="00714469">
        <w:rPr>
          <w:rFonts w:ascii="Times New Roman" w:hAnsi="Times New Roman"/>
          <w:lang w:val="lv-LV"/>
        </w:rPr>
        <w:t xml:space="preserve"> – </w:t>
      </w:r>
      <w:r w:rsidR="005C6E62" w:rsidRPr="00714469">
        <w:rPr>
          <w:rFonts w:ascii="Times New Roman" w:hAnsi="Times New Roman"/>
          <w:lang w:val="lv-LV"/>
        </w:rPr>
        <w:t>Tehniskā palīdzība;</w:t>
      </w:r>
    </w:p>
    <w:p w:rsidR="00FA4661" w:rsidRPr="00714469" w:rsidRDefault="00FA4661" w:rsidP="00E302F6">
      <w:pPr>
        <w:widowControl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T</w:t>
      </w:r>
      <w:r w:rsidR="005C6E62" w:rsidRPr="00714469">
        <w:rPr>
          <w:rFonts w:ascii="Times New Roman" w:hAnsi="Times New Roman"/>
          <w:u w:val="single"/>
          <w:lang w:val="lv-LV"/>
        </w:rPr>
        <w:t>M</w:t>
      </w:r>
      <w:r w:rsidRPr="00714469">
        <w:rPr>
          <w:rFonts w:ascii="Times New Roman" w:hAnsi="Times New Roman"/>
          <w:lang w:val="lv-LV"/>
        </w:rPr>
        <w:t xml:space="preserve"> – </w:t>
      </w:r>
      <w:r w:rsidR="005C6E62" w:rsidRPr="00714469">
        <w:rPr>
          <w:rFonts w:ascii="Times New Roman" w:hAnsi="Times New Roman"/>
          <w:lang w:val="lv-LV"/>
        </w:rPr>
        <w:t>Tematiskais mērķis;</w:t>
      </w:r>
    </w:p>
    <w:p w:rsidR="00FA4661" w:rsidRPr="00714469" w:rsidRDefault="00DB6FDE" w:rsidP="00E302F6">
      <w:pPr>
        <w:widowControl w:val="0"/>
        <w:overflowPunct w:val="0"/>
        <w:autoSpaceDE w:val="0"/>
        <w:autoSpaceDN w:val="0"/>
        <w:adjustRightInd w:val="0"/>
        <w:spacing w:before="120" w:line="240" w:lineRule="auto"/>
        <w:rPr>
          <w:rFonts w:ascii="Times New Roman" w:hAnsi="Times New Roman"/>
          <w:lang w:val="lv-LV"/>
        </w:rPr>
      </w:pPr>
      <w:r w:rsidRPr="00714469">
        <w:rPr>
          <w:rFonts w:ascii="Times New Roman" w:hAnsi="Times New Roman"/>
          <w:u w:val="single"/>
          <w:lang w:val="lv-LV"/>
        </w:rPr>
        <w:t xml:space="preserve">2007.–2013. gada </w:t>
      </w:r>
      <w:r w:rsidR="00B8783A" w:rsidRPr="00714469">
        <w:rPr>
          <w:rFonts w:ascii="Times New Roman" w:hAnsi="Times New Roman"/>
          <w:u w:val="single"/>
          <w:lang w:val="lv-LV"/>
        </w:rPr>
        <w:t>Programma</w:t>
      </w:r>
      <w:r w:rsidRPr="00714469">
        <w:rPr>
          <w:rFonts w:ascii="Times New Roman" w:hAnsi="Times New Roman"/>
          <w:lang w:val="lv-LV"/>
        </w:rPr>
        <w:t xml:space="preserve"> </w:t>
      </w:r>
      <w:r w:rsidR="005C6E62" w:rsidRPr="00714469">
        <w:rPr>
          <w:rFonts w:ascii="Times New Roman" w:hAnsi="Times New Roman"/>
          <w:lang w:val="lv-LV"/>
        </w:rPr>
        <w:t>–</w:t>
      </w:r>
      <w:r w:rsidR="00FA4661" w:rsidRPr="00714469">
        <w:rPr>
          <w:rFonts w:ascii="Times New Roman" w:hAnsi="Times New Roman"/>
          <w:lang w:val="lv-LV"/>
        </w:rPr>
        <w:t xml:space="preserve"> </w:t>
      </w:r>
      <w:r w:rsidR="00357D7A" w:rsidRPr="00714469">
        <w:rPr>
          <w:rFonts w:ascii="Times New Roman" w:hAnsi="Times New Roman"/>
          <w:lang w:val="lv-LV"/>
        </w:rPr>
        <w:t>Latvijas–</w:t>
      </w:r>
      <w:r w:rsidR="00C84914" w:rsidRPr="00714469">
        <w:rPr>
          <w:rFonts w:ascii="Times New Roman" w:hAnsi="Times New Roman"/>
          <w:lang w:val="lv-LV"/>
        </w:rPr>
        <w:t>Lietuvas p</w:t>
      </w:r>
      <w:r w:rsidR="000527C3" w:rsidRPr="00714469">
        <w:rPr>
          <w:rFonts w:ascii="Times New Roman" w:hAnsi="Times New Roman"/>
          <w:lang w:val="lv-LV"/>
        </w:rPr>
        <w:t>ārrobežu sadarbības p</w:t>
      </w:r>
      <w:r w:rsidR="00B8783A" w:rsidRPr="00714469">
        <w:rPr>
          <w:rFonts w:ascii="Times New Roman" w:hAnsi="Times New Roman"/>
          <w:lang w:val="lv-LV"/>
        </w:rPr>
        <w:t>rogramma 2007.–</w:t>
      </w:r>
      <w:r w:rsidR="005C6E62" w:rsidRPr="00714469">
        <w:rPr>
          <w:rFonts w:ascii="Times New Roman" w:hAnsi="Times New Roman"/>
          <w:lang w:val="lv-LV"/>
        </w:rPr>
        <w:t>2013. gadam.</w:t>
      </w:r>
    </w:p>
    <w:p w:rsidR="004544E0" w:rsidRPr="006B1EA8" w:rsidRDefault="004544E0" w:rsidP="00E302F6">
      <w:pPr>
        <w:spacing w:before="120" w:line="240" w:lineRule="auto"/>
        <w:jc w:val="center"/>
        <w:rPr>
          <w:rFonts w:ascii="Times New Roman" w:hAnsi="Times New Roman"/>
          <w:b/>
          <w:sz w:val="28"/>
          <w:szCs w:val="28"/>
          <w:lang w:val="lv-LV"/>
        </w:rPr>
      </w:pPr>
      <w:r w:rsidRPr="00714469">
        <w:rPr>
          <w:rFonts w:ascii="Times New Roman" w:hAnsi="Times New Roman"/>
          <w:lang w:val="lv-LV"/>
        </w:rPr>
        <w:br w:type="page"/>
      </w:r>
      <w:bookmarkStart w:id="1" w:name="_Toc372107589"/>
      <w:bookmarkStart w:id="2" w:name="_Toc384383723"/>
      <w:bookmarkEnd w:id="0"/>
      <w:r w:rsidR="00F23364" w:rsidRPr="006B1EA8">
        <w:rPr>
          <w:rFonts w:ascii="Times New Roman" w:hAnsi="Times New Roman"/>
          <w:b/>
          <w:sz w:val="28"/>
          <w:szCs w:val="28"/>
          <w:lang w:val="lv-LV"/>
        </w:rPr>
        <w:lastRenderedPageBreak/>
        <w:t xml:space="preserve">1. </w:t>
      </w:r>
      <w:r w:rsidR="005C6992" w:rsidRPr="006B1EA8">
        <w:rPr>
          <w:rFonts w:ascii="Times New Roman" w:hAnsi="Times New Roman"/>
          <w:b/>
          <w:sz w:val="28"/>
          <w:szCs w:val="28"/>
          <w:lang w:val="lv-LV"/>
        </w:rPr>
        <w:t>NODAĻA</w:t>
      </w:r>
      <w:r w:rsidRPr="006B1EA8">
        <w:rPr>
          <w:rFonts w:ascii="Times New Roman" w:hAnsi="Times New Roman"/>
          <w:b/>
          <w:sz w:val="28"/>
          <w:szCs w:val="28"/>
          <w:lang w:val="lv-LV"/>
        </w:rPr>
        <w:t>:</w:t>
      </w:r>
      <w:r w:rsidRPr="006B1EA8">
        <w:rPr>
          <w:rFonts w:ascii="Times New Roman" w:hAnsi="Times New Roman"/>
          <w:b/>
          <w:sz w:val="28"/>
          <w:szCs w:val="28"/>
          <w:lang w:val="lv-LV"/>
        </w:rPr>
        <w:br/>
        <w:t xml:space="preserve"> </w:t>
      </w:r>
      <w:bookmarkEnd w:id="1"/>
      <w:r w:rsidR="00F23364" w:rsidRPr="006B1EA8">
        <w:rPr>
          <w:rFonts w:ascii="Times New Roman" w:hAnsi="Times New Roman"/>
          <w:b/>
          <w:sz w:val="28"/>
          <w:szCs w:val="28"/>
          <w:lang w:val="lv-LV"/>
        </w:rPr>
        <w:t>PROGRAMMAS STRATĒĢIJA</w:t>
      </w:r>
      <w:bookmarkEnd w:id="2"/>
    </w:p>
    <w:p w:rsidR="004544E0" w:rsidRPr="00197F9C" w:rsidRDefault="00451AD5" w:rsidP="00205091">
      <w:pPr>
        <w:pStyle w:val="Heading2"/>
        <w:ind w:right="-8"/>
        <w:rPr>
          <w:lang w:val="lv-LV"/>
        </w:rPr>
      </w:pPr>
      <w:bookmarkStart w:id="3" w:name="_Toc372107590"/>
      <w:bookmarkStart w:id="4" w:name="_Toc384383724"/>
      <w:r w:rsidRPr="00451AD5">
        <w:rPr>
          <w:lang w:val="lv-LV"/>
        </w:rPr>
        <w:t xml:space="preserve">1.1. </w:t>
      </w:r>
      <w:bookmarkEnd w:id="3"/>
      <w:r w:rsidRPr="00451AD5">
        <w:rPr>
          <w:lang w:val="lv-LV"/>
        </w:rPr>
        <w:t>Plāns un darbības principi attiecībā uz sadarbības programmas ieguldījumu Eiropas Savienības gudras, ilgtspējīgas un integrējošas izaugsmes un ekonomiskās, sociālās un teritoriālās kohēzijas sasniegšanas stratēģijā</w:t>
      </w:r>
      <w:bookmarkEnd w:id="4"/>
    </w:p>
    <w:p w:rsidR="00FA4661" w:rsidRPr="00714469" w:rsidRDefault="00087AB3" w:rsidP="00E302F6">
      <w:pPr>
        <w:spacing w:before="120" w:line="240" w:lineRule="auto"/>
        <w:rPr>
          <w:rFonts w:ascii="Times New Roman" w:hAnsi="Times New Roman"/>
          <w:lang w:val="lv-LV"/>
        </w:rPr>
      </w:pPr>
      <w:r w:rsidRPr="00714469">
        <w:rPr>
          <w:rFonts w:ascii="Times New Roman" w:hAnsi="Times New Roman"/>
          <w:lang w:val="lv-LV"/>
        </w:rPr>
        <w:t>Latvijas</w:t>
      </w:r>
      <w:r w:rsidR="00802EFC" w:rsidRPr="00714469">
        <w:rPr>
          <w:rFonts w:ascii="Times New Roman" w:hAnsi="Times New Roman"/>
          <w:lang w:val="lv-LV"/>
        </w:rPr>
        <w:t>–</w:t>
      </w:r>
      <w:r w:rsidR="00C95E3E" w:rsidRPr="00714469">
        <w:rPr>
          <w:rFonts w:ascii="Times New Roman" w:hAnsi="Times New Roman"/>
          <w:lang w:val="lv-LV"/>
        </w:rPr>
        <w:t xml:space="preserve">Lietuvas </w:t>
      </w:r>
      <w:r w:rsidR="004F2EA8" w:rsidRPr="00714469">
        <w:rPr>
          <w:rFonts w:ascii="Times New Roman" w:hAnsi="Times New Roman"/>
          <w:lang w:val="lv-LV"/>
        </w:rPr>
        <w:t>p</w:t>
      </w:r>
      <w:r w:rsidR="00C95E3E" w:rsidRPr="00714469">
        <w:rPr>
          <w:rFonts w:ascii="Times New Roman" w:hAnsi="Times New Roman"/>
          <w:lang w:val="lv-LV"/>
        </w:rPr>
        <w:t xml:space="preserve">ārrobežu sadarbības </w:t>
      </w:r>
      <w:r w:rsidR="00316411" w:rsidRPr="00714469">
        <w:rPr>
          <w:rFonts w:ascii="Times New Roman" w:hAnsi="Times New Roman"/>
          <w:lang w:val="lv-LV"/>
        </w:rPr>
        <w:t xml:space="preserve">programma </w:t>
      </w:r>
      <w:r w:rsidR="00B8783A" w:rsidRPr="00714469">
        <w:rPr>
          <w:rFonts w:ascii="Times New Roman" w:hAnsi="Times New Roman"/>
          <w:lang w:val="lv-LV"/>
        </w:rPr>
        <w:t>2014.–</w:t>
      </w:r>
      <w:r w:rsidR="00802EFC" w:rsidRPr="00714469">
        <w:rPr>
          <w:rFonts w:ascii="Times New Roman" w:hAnsi="Times New Roman"/>
          <w:lang w:val="lv-LV"/>
        </w:rPr>
        <w:t xml:space="preserve">2020. gadam </w:t>
      </w:r>
      <w:r w:rsidR="00316411" w:rsidRPr="00714469">
        <w:rPr>
          <w:rFonts w:ascii="Times New Roman" w:hAnsi="Times New Roman"/>
          <w:lang w:val="lv-LV"/>
        </w:rPr>
        <w:t>tika sagatavota</w:t>
      </w:r>
      <w:r w:rsidR="004F2EA8" w:rsidRPr="00714469">
        <w:rPr>
          <w:rFonts w:ascii="Times New Roman" w:hAnsi="Times New Roman"/>
          <w:lang w:val="lv-LV"/>
        </w:rPr>
        <w:t>,</w:t>
      </w:r>
      <w:r w:rsidR="00316411" w:rsidRPr="00714469">
        <w:rPr>
          <w:rFonts w:ascii="Times New Roman" w:hAnsi="Times New Roman"/>
          <w:lang w:val="lv-LV"/>
        </w:rPr>
        <w:t xml:space="preserve"> </w:t>
      </w:r>
      <w:r w:rsidR="004F2EA8" w:rsidRPr="00714469">
        <w:rPr>
          <w:rFonts w:ascii="Times New Roman" w:hAnsi="Times New Roman"/>
          <w:lang w:val="lv-LV"/>
        </w:rPr>
        <w:t>sadarbojoties</w:t>
      </w:r>
      <w:r w:rsidR="00316411" w:rsidRPr="00714469">
        <w:rPr>
          <w:rFonts w:ascii="Times New Roman" w:hAnsi="Times New Roman"/>
          <w:lang w:val="lv-LV"/>
        </w:rPr>
        <w:t xml:space="preserve"> </w:t>
      </w:r>
      <w:r w:rsidR="00802EFC" w:rsidRPr="00714469">
        <w:rPr>
          <w:rFonts w:ascii="Times New Roman" w:hAnsi="Times New Roman"/>
          <w:lang w:val="lv-LV"/>
        </w:rPr>
        <w:t>Latvijas Republikas Vides aizsardzības un reģionālās attīstības ministrij</w:t>
      </w:r>
      <w:r w:rsidR="0092418F" w:rsidRPr="00714469">
        <w:rPr>
          <w:rFonts w:ascii="Times New Roman" w:hAnsi="Times New Roman"/>
          <w:lang w:val="lv-LV"/>
        </w:rPr>
        <w:t>ai</w:t>
      </w:r>
      <w:r w:rsidR="00802EFC" w:rsidRPr="00714469">
        <w:rPr>
          <w:rFonts w:ascii="Times New Roman" w:hAnsi="Times New Roman"/>
          <w:lang w:val="lv-LV"/>
        </w:rPr>
        <w:t xml:space="preserve"> un Lietuvas Republikas Iekšlietu ministrij</w:t>
      </w:r>
      <w:r w:rsidR="004F2EA8" w:rsidRPr="00714469">
        <w:rPr>
          <w:rFonts w:ascii="Times New Roman" w:hAnsi="Times New Roman"/>
          <w:lang w:val="lv-LV"/>
        </w:rPr>
        <w:t xml:space="preserve">ai. Abu valstu ministrijas </w:t>
      </w:r>
      <w:r w:rsidR="00802EFC" w:rsidRPr="00714469">
        <w:rPr>
          <w:rFonts w:ascii="Times New Roman" w:hAnsi="Times New Roman"/>
          <w:lang w:val="lv-LV"/>
        </w:rPr>
        <w:t>izveidoja Apvienoto Programmas komiteju Programmas izstrādei un sagatavošanai.</w:t>
      </w:r>
    </w:p>
    <w:p w:rsidR="00FA4661" w:rsidRPr="00714469" w:rsidRDefault="000729BA" w:rsidP="00E302F6">
      <w:pPr>
        <w:spacing w:before="120" w:line="240" w:lineRule="auto"/>
        <w:rPr>
          <w:rFonts w:ascii="Times New Roman" w:hAnsi="Times New Roman"/>
          <w:lang w:val="lv-LV"/>
        </w:rPr>
      </w:pPr>
      <w:r w:rsidRPr="00714469">
        <w:rPr>
          <w:rFonts w:ascii="Times New Roman" w:hAnsi="Times New Roman"/>
          <w:lang w:val="lv-LV"/>
        </w:rPr>
        <w:t>Latvija un Lietuva ir attīstījušas inten</w:t>
      </w:r>
      <w:r w:rsidR="00B8783A" w:rsidRPr="00714469">
        <w:rPr>
          <w:rFonts w:ascii="Times New Roman" w:hAnsi="Times New Roman"/>
          <w:lang w:val="lv-LV"/>
        </w:rPr>
        <w:t xml:space="preserve">sīvu sadarbību </w:t>
      </w:r>
      <w:r w:rsidR="004F2EA8" w:rsidRPr="00714469">
        <w:rPr>
          <w:rFonts w:ascii="Times New Roman" w:hAnsi="Times New Roman"/>
          <w:lang w:val="lv-LV"/>
        </w:rPr>
        <w:t>2007.–2013. gada Programmas</w:t>
      </w:r>
      <w:r w:rsidRPr="00714469">
        <w:rPr>
          <w:rFonts w:ascii="Times New Roman" w:hAnsi="Times New Roman"/>
          <w:lang w:val="lv-LV"/>
        </w:rPr>
        <w:t xml:space="preserve"> īstenošanas laikā. </w:t>
      </w:r>
      <w:r w:rsidR="004F2EA8" w:rsidRPr="00714469">
        <w:rPr>
          <w:rFonts w:ascii="Times New Roman" w:hAnsi="Times New Roman"/>
          <w:lang w:val="lv-LV"/>
        </w:rPr>
        <w:t xml:space="preserve">Abas valstis sagaida, ka </w:t>
      </w:r>
      <w:r w:rsidRPr="00714469">
        <w:rPr>
          <w:rFonts w:ascii="Times New Roman" w:hAnsi="Times New Roman"/>
          <w:lang w:val="lv-LV"/>
        </w:rPr>
        <w:t xml:space="preserve">Programmas īstenošanas rezultātā šī sadarbība tiks attīstīta jaunā līmenī, sniedzot </w:t>
      </w:r>
      <w:r w:rsidR="007E0AEC">
        <w:rPr>
          <w:rFonts w:ascii="Times New Roman" w:hAnsi="Times New Roman"/>
          <w:lang w:val="lv-LV"/>
        </w:rPr>
        <w:t xml:space="preserve">pamat </w:t>
      </w:r>
      <w:r w:rsidRPr="00714469">
        <w:rPr>
          <w:rFonts w:ascii="Times New Roman" w:hAnsi="Times New Roman"/>
          <w:lang w:val="lv-LV"/>
        </w:rPr>
        <w:t xml:space="preserve">ieguldījumu </w:t>
      </w:r>
      <w:r w:rsidR="003D0032" w:rsidRPr="00714469">
        <w:rPr>
          <w:rFonts w:ascii="Times New Roman" w:hAnsi="Times New Roman"/>
          <w:lang w:val="lv-LV"/>
        </w:rPr>
        <w:t xml:space="preserve">stratēģijā </w:t>
      </w:r>
      <w:r w:rsidR="00DE4EA2" w:rsidRPr="00714469">
        <w:rPr>
          <w:rFonts w:ascii="Times New Roman" w:hAnsi="Times New Roman"/>
          <w:lang w:val="lv-LV"/>
        </w:rPr>
        <w:t>„</w:t>
      </w:r>
      <w:r w:rsidRPr="00714469">
        <w:rPr>
          <w:rFonts w:ascii="Times New Roman" w:hAnsi="Times New Roman"/>
          <w:lang w:val="lv-LV"/>
        </w:rPr>
        <w:t>E</w:t>
      </w:r>
      <w:r w:rsidR="007E0AEC">
        <w:rPr>
          <w:rFonts w:ascii="Times New Roman" w:hAnsi="Times New Roman"/>
          <w:lang w:val="lv-LV"/>
        </w:rPr>
        <w:t>iropa</w:t>
      </w:r>
      <w:r w:rsidRPr="00714469">
        <w:rPr>
          <w:rFonts w:ascii="Times New Roman" w:hAnsi="Times New Roman"/>
          <w:lang w:val="lv-LV"/>
        </w:rPr>
        <w:t xml:space="preserve"> 2020</w:t>
      </w:r>
      <w:r w:rsidR="00DE4EA2" w:rsidRPr="00714469">
        <w:rPr>
          <w:rFonts w:ascii="Times New Roman" w:hAnsi="Times New Roman"/>
          <w:lang w:val="lv-LV"/>
        </w:rPr>
        <w:t>”</w:t>
      </w:r>
      <w:r w:rsidRPr="00714469">
        <w:rPr>
          <w:rFonts w:ascii="Times New Roman" w:hAnsi="Times New Roman"/>
          <w:lang w:val="lv-LV"/>
        </w:rPr>
        <w:t xml:space="preserve"> un ekonomiskās, sociālās un teritoriālās kohēzijas sasniegšanā, galveno uzmanību vēršot uz</w:t>
      </w:r>
      <w:r w:rsidR="00316411" w:rsidRPr="00714469">
        <w:rPr>
          <w:rFonts w:ascii="Times New Roman" w:hAnsi="Times New Roman"/>
          <w:lang w:val="lv-LV"/>
        </w:rPr>
        <w:t xml:space="preserve"> tām</w:t>
      </w:r>
      <w:r w:rsidRPr="00714469">
        <w:rPr>
          <w:rFonts w:ascii="Times New Roman" w:hAnsi="Times New Roman"/>
          <w:lang w:val="lv-LV"/>
        </w:rPr>
        <w:t xml:space="preserve"> atbalsta sfērām, kas atbilst Programmas reģionu vajadzībām un interesēm.</w:t>
      </w:r>
    </w:p>
    <w:p w:rsidR="000729BA" w:rsidRPr="00714469" w:rsidRDefault="000729BA" w:rsidP="00E302F6">
      <w:pPr>
        <w:spacing w:before="120" w:line="240" w:lineRule="auto"/>
        <w:rPr>
          <w:rFonts w:ascii="Times New Roman" w:hAnsi="Times New Roman"/>
          <w:lang w:val="lv-LV"/>
        </w:rPr>
      </w:pPr>
      <w:r w:rsidRPr="00714469">
        <w:rPr>
          <w:rFonts w:ascii="Times New Roman" w:hAnsi="Times New Roman"/>
          <w:lang w:val="lv-LV"/>
        </w:rPr>
        <w:t xml:space="preserve">Programmas mērķis ir </w:t>
      </w:r>
      <w:r w:rsidR="005A480E" w:rsidRPr="00714469">
        <w:rPr>
          <w:rFonts w:ascii="Times New Roman" w:hAnsi="Times New Roman"/>
          <w:lang w:val="lv-LV"/>
        </w:rPr>
        <w:t>sekmēt</w:t>
      </w:r>
      <w:r w:rsidRPr="00714469">
        <w:rPr>
          <w:rFonts w:ascii="Times New Roman" w:hAnsi="Times New Roman"/>
          <w:lang w:val="lv-LV"/>
        </w:rPr>
        <w:t xml:space="preserve"> Programmas </w:t>
      </w:r>
      <w:r w:rsidR="005A480E" w:rsidRPr="00714469">
        <w:rPr>
          <w:rFonts w:ascii="Times New Roman" w:hAnsi="Times New Roman"/>
          <w:lang w:val="lv-LV"/>
        </w:rPr>
        <w:t>reģionu ilgtspējīgu sociālekonomisko attīstību</w:t>
      </w:r>
      <w:r w:rsidRPr="00714469">
        <w:rPr>
          <w:rFonts w:ascii="Times New Roman" w:hAnsi="Times New Roman"/>
          <w:lang w:val="lv-LV"/>
        </w:rPr>
        <w:t xml:space="preserve">, palīdzot </w:t>
      </w:r>
      <w:r w:rsidR="005A09DE" w:rsidRPr="00714469">
        <w:rPr>
          <w:rFonts w:ascii="Times New Roman" w:hAnsi="Times New Roman"/>
          <w:lang w:val="lv-LV"/>
        </w:rPr>
        <w:t>tos padarīt</w:t>
      </w:r>
      <w:r w:rsidRPr="00714469">
        <w:rPr>
          <w:rFonts w:ascii="Times New Roman" w:hAnsi="Times New Roman"/>
          <w:lang w:val="lv-LV"/>
        </w:rPr>
        <w:t xml:space="preserve"> konkurētspējīgākus un </w:t>
      </w:r>
      <w:r w:rsidR="00C63342" w:rsidRPr="00714469">
        <w:rPr>
          <w:rFonts w:ascii="Times New Roman" w:hAnsi="Times New Roman"/>
          <w:lang w:val="lv-LV"/>
        </w:rPr>
        <w:t>pievilcīgāk</w:t>
      </w:r>
      <w:r w:rsidRPr="00714469">
        <w:rPr>
          <w:rFonts w:ascii="Times New Roman" w:hAnsi="Times New Roman"/>
          <w:lang w:val="lv-LV"/>
        </w:rPr>
        <w:t xml:space="preserve">us dzīvošanai, </w:t>
      </w:r>
      <w:r w:rsidR="00E17515" w:rsidRPr="00714469">
        <w:rPr>
          <w:rFonts w:ascii="Times New Roman" w:hAnsi="Times New Roman"/>
          <w:lang w:val="lv-LV"/>
        </w:rPr>
        <w:t>uzņēmējdarbībai</w:t>
      </w:r>
      <w:r w:rsidRPr="00714469">
        <w:rPr>
          <w:rFonts w:ascii="Times New Roman" w:hAnsi="Times New Roman"/>
          <w:lang w:val="lv-LV"/>
        </w:rPr>
        <w:t xml:space="preserve"> un tūrismam.</w:t>
      </w:r>
    </w:p>
    <w:p w:rsidR="00385A9F" w:rsidRPr="006B1EA8" w:rsidRDefault="00183AE8" w:rsidP="00E302F6">
      <w:pPr>
        <w:spacing w:before="120" w:line="240" w:lineRule="auto"/>
        <w:rPr>
          <w:rFonts w:ascii="Times New Roman" w:hAnsi="Times New Roman"/>
          <w:b/>
          <w:lang w:val="lv-LV"/>
        </w:rPr>
      </w:pPr>
      <w:r w:rsidRPr="00714469">
        <w:rPr>
          <w:rFonts w:ascii="Times New Roman" w:hAnsi="Times New Roman"/>
          <w:b/>
          <w:lang w:val="lv-LV"/>
        </w:rPr>
        <w:t xml:space="preserve">Programmas </w:t>
      </w:r>
      <w:r w:rsidR="00F34773" w:rsidRPr="00714469">
        <w:rPr>
          <w:rFonts w:ascii="Times New Roman" w:hAnsi="Times New Roman"/>
          <w:b/>
          <w:lang w:val="lv-LV"/>
        </w:rPr>
        <w:t>teritorija: ģeogrāfiskā teritorija un iedzīvotāji</w:t>
      </w:r>
      <w:r w:rsidR="004544E0" w:rsidRPr="00714469">
        <w:rPr>
          <w:rFonts w:ascii="Times New Roman" w:hAnsi="Times New Roman"/>
          <w:b/>
          <w:lang w:val="lv-LV"/>
        </w:rPr>
        <w:t xml:space="preserve"> </w:t>
      </w:r>
    </w:p>
    <w:p w:rsidR="004544E0" w:rsidRPr="00714469" w:rsidRDefault="00183AE8" w:rsidP="00E302F6">
      <w:pPr>
        <w:spacing w:before="120" w:line="240" w:lineRule="auto"/>
        <w:rPr>
          <w:rFonts w:ascii="Times New Roman" w:hAnsi="Times New Roman"/>
          <w:lang w:val="lv-LV"/>
        </w:rPr>
      </w:pPr>
      <w:r w:rsidRPr="00714469">
        <w:rPr>
          <w:rFonts w:ascii="Times New Roman" w:hAnsi="Times New Roman"/>
          <w:lang w:val="lv-LV"/>
        </w:rPr>
        <w:t xml:space="preserve">Programmas </w:t>
      </w:r>
      <w:r w:rsidR="00F34773" w:rsidRPr="00714469">
        <w:rPr>
          <w:rFonts w:ascii="Times New Roman" w:hAnsi="Times New Roman"/>
          <w:lang w:val="lv-LV"/>
        </w:rPr>
        <w:t xml:space="preserve">teritorija ietver sevī </w:t>
      </w:r>
      <w:r w:rsidR="004F2EA8" w:rsidRPr="00714469">
        <w:rPr>
          <w:rFonts w:ascii="Times New Roman" w:hAnsi="Times New Roman"/>
          <w:lang w:val="lv-LV"/>
        </w:rPr>
        <w:t>šādus</w:t>
      </w:r>
      <w:r w:rsidR="00F34773" w:rsidRPr="00714469">
        <w:rPr>
          <w:rFonts w:ascii="Times New Roman" w:hAnsi="Times New Roman"/>
          <w:lang w:val="lv-LV"/>
        </w:rPr>
        <w:t xml:space="preserve"> NUTS III līmeņa reģionus:</w:t>
      </w:r>
    </w:p>
    <w:p w:rsidR="004544E0" w:rsidRPr="00714469" w:rsidRDefault="004544E0" w:rsidP="00E302F6">
      <w:pPr>
        <w:spacing w:before="120" w:line="240" w:lineRule="auto"/>
        <w:rPr>
          <w:rFonts w:ascii="Times New Roman" w:hAnsi="Times New Roman"/>
          <w:lang w:val="lv-LV"/>
        </w:rPr>
      </w:pPr>
      <w:r w:rsidRPr="00714469">
        <w:rPr>
          <w:rFonts w:ascii="Times New Roman" w:hAnsi="Times New Roman"/>
          <w:u w:val="single"/>
          <w:lang w:val="lv-LV"/>
        </w:rPr>
        <w:t>Latvi</w:t>
      </w:r>
      <w:r w:rsidR="00F34773" w:rsidRPr="00714469">
        <w:rPr>
          <w:rFonts w:ascii="Times New Roman" w:hAnsi="Times New Roman"/>
          <w:u w:val="single"/>
          <w:lang w:val="lv-LV"/>
        </w:rPr>
        <w:t>j</w:t>
      </w:r>
      <w:r w:rsidRPr="00714469">
        <w:rPr>
          <w:rFonts w:ascii="Times New Roman" w:hAnsi="Times New Roman"/>
          <w:u w:val="single"/>
          <w:lang w:val="lv-LV"/>
        </w:rPr>
        <w:t>a:</w:t>
      </w:r>
      <w:r w:rsidR="004F2EA8" w:rsidRPr="00714469">
        <w:rPr>
          <w:rFonts w:ascii="Times New Roman" w:hAnsi="Times New Roman"/>
          <w:lang w:val="lv-LV"/>
        </w:rPr>
        <w:t xml:space="preserve"> </w:t>
      </w:r>
      <w:r w:rsidRPr="00714469">
        <w:rPr>
          <w:rFonts w:ascii="Times New Roman" w:hAnsi="Times New Roman"/>
          <w:lang w:val="lv-LV"/>
        </w:rPr>
        <w:t>Kurzeme, Zemgale, Latgale</w:t>
      </w:r>
      <w:r w:rsidR="00F34773" w:rsidRPr="00714469">
        <w:rPr>
          <w:rFonts w:ascii="Times New Roman" w:hAnsi="Times New Roman"/>
          <w:lang w:val="lv-LV"/>
        </w:rPr>
        <w:t>;</w:t>
      </w:r>
    </w:p>
    <w:p w:rsidR="004544E0" w:rsidRPr="00714469" w:rsidRDefault="00F34773" w:rsidP="00E302F6">
      <w:pPr>
        <w:spacing w:before="120" w:line="240" w:lineRule="auto"/>
        <w:rPr>
          <w:rFonts w:ascii="Times New Roman" w:hAnsi="Times New Roman"/>
          <w:lang w:val="lv-LV"/>
        </w:rPr>
      </w:pPr>
      <w:r w:rsidRPr="00714469">
        <w:rPr>
          <w:rFonts w:ascii="Times New Roman" w:hAnsi="Times New Roman"/>
          <w:u w:val="single"/>
          <w:lang w:val="lv-LV"/>
        </w:rPr>
        <w:t>Lietuva</w:t>
      </w:r>
      <w:r w:rsidR="004544E0" w:rsidRPr="00714469">
        <w:rPr>
          <w:rFonts w:ascii="Times New Roman" w:hAnsi="Times New Roman"/>
          <w:u w:val="single"/>
          <w:lang w:val="lv-LV"/>
        </w:rPr>
        <w:t>:</w:t>
      </w:r>
      <w:r w:rsidR="004F2EA8" w:rsidRPr="00714469">
        <w:rPr>
          <w:rFonts w:ascii="Times New Roman" w:hAnsi="Times New Roman"/>
          <w:lang w:val="lv-LV"/>
        </w:rPr>
        <w:t xml:space="preserve"> </w:t>
      </w:r>
      <w:r w:rsidRPr="00714469">
        <w:rPr>
          <w:rFonts w:ascii="Times New Roman" w:hAnsi="Times New Roman"/>
          <w:lang w:val="lv-LV"/>
        </w:rPr>
        <w:t>Klaipēda</w:t>
      </w:r>
      <w:r w:rsidR="00316411" w:rsidRPr="00714469">
        <w:rPr>
          <w:rFonts w:ascii="Times New Roman" w:hAnsi="Times New Roman"/>
          <w:lang w:val="lv-LV"/>
        </w:rPr>
        <w:t>s</w:t>
      </w:r>
      <w:r w:rsidRPr="00714469">
        <w:rPr>
          <w:rFonts w:ascii="Times New Roman" w:hAnsi="Times New Roman"/>
          <w:lang w:val="lv-LV"/>
        </w:rPr>
        <w:t>, Telš</w:t>
      </w:r>
      <w:r w:rsidR="00316411" w:rsidRPr="00714469">
        <w:rPr>
          <w:rFonts w:ascii="Times New Roman" w:hAnsi="Times New Roman"/>
          <w:lang w:val="lv-LV"/>
        </w:rPr>
        <w:t>u</w:t>
      </w:r>
      <w:r w:rsidRPr="00714469">
        <w:rPr>
          <w:rFonts w:ascii="Times New Roman" w:hAnsi="Times New Roman"/>
          <w:lang w:val="lv-LV"/>
        </w:rPr>
        <w:t>, Šauļ</w:t>
      </w:r>
      <w:r w:rsidR="00316411" w:rsidRPr="00714469">
        <w:rPr>
          <w:rFonts w:ascii="Times New Roman" w:hAnsi="Times New Roman"/>
          <w:lang w:val="lv-LV"/>
        </w:rPr>
        <w:t>u</w:t>
      </w:r>
      <w:r w:rsidRPr="00714469">
        <w:rPr>
          <w:rFonts w:ascii="Times New Roman" w:hAnsi="Times New Roman"/>
          <w:lang w:val="lv-LV"/>
        </w:rPr>
        <w:t>, Panevēža</w:t>
      </w:r>
      <w:r w:rsidR="00316411" w:rsidRPr="00714469">
        <w:rPr>
          <w:rFonts w:ascii="Times New Roman" w:hAnsi="Times New Roman"/>
          <w:lang w:val="lv-LV"/>
        </w:rPr>
        <w:t>s</w:t>
      </w:r>
      <w:r w:rsidRPr="00714469">
        <w:rPr>
          <w:rFonts w:ascii="Times New Roman" w:hAnsi="Times New Roman"/>
          <w:lang w:val="lv-LV"/>
        </w:rPr>
        <w:t>, Utena</w:t>
      </w:r>
      <w:r w:rsidR="00316411" w:rsidRPr="00714469">
        <w:rPr>
          <w:rFonts w:ascii="Times New Roman" w:hAnsi="Times New Roman"/>
          <w:lang w:val="lv-LV"/>
        </w:rPr>
        <w:t>s un</w:t>
      </w:r>
      <w:r w:rsidRPr="00714469">
        <w:rPr>
          <w:rFonts w:ascii="Times New Roman" w:hAnsi="Times New Roman"/>
          <w:lang w:val="lv-LV"/>
        </w:rPr>
        <w:t xml:space="preserve"> Kauņas </w:t>
      </w:r>
      <w:r w:rsidR="00316411" w:rsidRPr="00714469">
        <w:rPr>
          <w:rFonts w:ascii="Times New Roman" w:hAnsi="Times New Roman"/>
          <w:lang w:val="lv-LV"/>
        </w:rPr>
        <w:t>apriņķi</w:t>
      </w:r>
      <w:r w:rsidRPr="00714469">
        <w:rPr>
          <w:rFonts w:ascii="Times New Roman" w:hAnsi="Times New Roman"/>
          <w:lang w:val="lv-LV"/>
        </w:rPr>
        <w:t>.</w:t>
      </w:r>
    </w:p>
    <w:p w:rsidR="0016193F" w:rsidRPr="00714469" w:rsidRDefault="00F34773" w:rsidP="00E302F6">
      <w:pPr>
        <w:spacing w:before="120" w:line="240" w:lineRule="auto"/>
        <w:rPr>
          <w:rFonts w:ascii="Times New Roman" w:hAnsi="Times New Roman"/>
          <w:vanish/>
          <w:lang w:val="lv-LV"/>
          <w:specVanish/>
        </w:rPr>
      </w:pPr>
      <w:r w:rsidRPr="00714469">
        <w:rPr>
          <w:rFonts w:ascii="Times New Roman" w:hAnsi="Times New Roman"/>
          <w:lang w:val="lv-LV"/>
        </w:rPr>
        <w:t xml:space="preserve">Programmā iesaistītie reģioni ir </w:t>
      </w:r>
      <w:r w:rsidR="007E0AEC">
        <w:rPr>
          <w:rFonts w:ascii="Times New Roman" w:hAnsi="Times New Roman"/>
          <w:lang w:val="lv-LV"/>
        </w:rPr>
        <w:t xml:space="preserve">Latvijas un Lietuvas </w:t>
      </w:r>
      <w:r w:rsidRPr="00714469">
        <w:rPr>
          <w:rFonts w:ascii="Times New Roman" w:hAnsi="Times New Roman"/>
          <w:lang w:val="lv-LV"/>
        </w:rPr>
        <w:t>robež</w:t>
      </w:r>
      <w:r w:rsidR="0058026A" w:rsidRPr="00714469">
        <w:rPr>
          <w:rFonts w:ascii="Times New Roman" w:hAnsi="Times New Roman"/>
          <w:lang w:val="lv-LV"/>
        </w:rPr>
        <w:t xml:space="preserve">as </w:t>
      </w:r>
      <w:r w:rsidRPr="00714469">
        <w:rPr>
          <w:rFonts w:ascii="Times New Roman" w:hAnsi="Times New Roman"/>
          <w:lang w:val="lv-LV"/>
        </w:rPr>
        <w:t>reģioni</w:t>
      </w:r>
      <w:r w:rsidR="00704147" w:rsidRPr="00714469">
        <w:rPr>
          <w:rFonts w:ascii="Times New Roman" w:hAnsi="Times New Roman"/>
          <w:lang w:val="lv-LV"/>
        </w:rPr>
        <w:t>, kā arī</w:t>
      </w:r>
      <w:r w:rsidRPr="00714469">
        <w:rPr>
          <w:rFonts w:ascii="Times New Roman" w:hAnsi="Times New Roman"/>
          <w:lang w:val="lv-LV"/>
        </w:rPr>
        <w:t xml:space="preserve"> Kauņas </w:t>
      </w:r>
      <w:r w:rsidR="00316411" w:rsidRPr="00714469">
        <w:rPr>
          <w:rFonts w:ascii="Times New Roman" w:hAnsi="Times New Roman"/>
          <w:lang w:val="lv-LV"/>
        </w:rPr>
        <w:t>apriņķis</w:t>
      </w:r>
      <w:r w:rsidRPr="00714469">
        <w:rPr>
          <w:rFonts w:ascii="Times New Roman" w:hAnsi="Times New Roman"/>
          <w:lang w:val="lv-LV"/>
        </w:rPr>
        <w:t xml:space="preserve">, kam ir ievērojama </w:t>
      </w:r>
      <w:r w:rsidR="00316411" w:rsidRPr="00714469">
        <w:rPr>
          <w:rFonts w:ascii="Times New Roman" w:hAnsi="Times New Roman"/>
          <w:lang w:val="lv-LV"/>
        </w:rPr>
        <w:t xml:space="preserve">sadarbības </w:t>
      </w:r>
      <w:r w:rsidRPr="00714469">
        <w:rPr>
          <w:rFonts w:ascii="Times New Roman" w:hAnsi="Times New Roman"/>
          <w:lang w:val="lv-LV"/>
        </w:rPr>
        <w:t xml:space="preserve">pieredze </w:t>
      </w:r>
      <w:r w:rsidR="00DB6FDE" w:rsidRPr="00714469">
        <w:rPr>
          <w:rFonts w:ascii="Times New Roman" w:hAnsi="Times New Roman"/>
          <w:lang w:val="lv-LV"/>
        </w:rPr>
        <w:t xml:space="preserve">2007.–2013. gada </w:t>
      </w:r>
      <w:r w:rsidRPr="00714469">
        <w:rPr>
          <w:rFonts w:ascii="Times New Roman" w:hAnsi="Times New Roman"/>
          <w:lang w:val="lv-LV"/>
        </w:rPr>
        <w:t>Programmā</w:t>
      </w:r>
      <w:r w:rsidR="00FA4661" w:rsidRPr="00714469">
        <w:rPr>
          <w:rFonts w:ascii="Times New Roman" w:hAnsi="Times New Roman"/>
          <w:lang w:val="lv-LV"/>
        </w:rPr>
        <w:t>.</w:t>
      </w:r>
    </w:p>
    <w:p w:rsidR="00DB6FDE" w:rsidRDefault="00A531ED" w:rsidP="00E302F6">
      <w:pPr>
        <w:spacing w:before="120" w:line="240" w:lineRule="auto"/>
        <w:rPr>
          <w:rFonts w:ascii="Times New Roman" w:hAnsi="Times New Roman"/>
          <w:b/>
          <w:lang w:val="lv-LV"/>
        </w:rPr>
      </w:pPr>
      <w:r w:rsidRPr="00714469">
        <w:rPr>
          <w:rFonts w:ascii="Times New Roman" w:hAnsi="Times New Roman"/>
          <w:b/>
          <w:lang w:val="lv-LV"/>
        </w:rPr>
        <w:t xml:space="preserve"> </w:t>
      </w:r>
    </w:p>
    <w:p w:rsidR="006D39E8" w:rsidRPr="00714469" w:rsidRDefault="006D39E8" w:rsidP="00E302F6">
      <w:pPr>
        <w:spacing w:before="120" w:line="240" w:lineRule="auto"/>
        <w:rPr>
          <w:rFonts w:ascii="Times New Roman" w:hAnsi="Times New Roman"/>
          <w:b/>
          <w:lang w:val="lv-LV"/>
        </w:rPr>
      </w:pPr>
      <w:r w:rsidRPr="00714469">
        <w:rPr>
          <w:rFonts w:ascii="Times New Roman" w:hAnsi="Times New Roman"/>
          <w:b/>
          <w:lang w:val="lv-LV"/>
        </w:rPr>
        <w:t>Programmas teritorija</w:t>
      </w:r>
      <w:r>
        <w:rPr>
          <w:rFonts w:ascii="Times New Roman" w:hAnsi="Times New Roman"/>
          <w:b/>
          <w:lang w:val="lv-LV"/>
        </w:rPr>
        <w:t>s karte redzama 1.pielikuma 1.attēlā.</w:t>
      </w:r>
    </w:p>
    <w:p w:rsidR="00E21E6A" w:rsidRDefault="00E21E6A" w:rsidP="00E302F6">
      <w:pPr>
        <w:spacing w:before="120" w:line="240" w:lineRule="auto"/>
        <w:rPr>
          <w:sz w:val="20"/>
          <w:szCs w:val="20"/>
          <w:lang w:val="lv-LV"/>
        </w:rPr>
      </w:pPr>
    </w:p>
    <w:p w:rsidR="004544E0" w:rsidRPr="00714469" w:rsidRDefault="00183AE8" w:rsidP="00E302F6">
      <w:pPr>
        <w:spacing w:before="120" w:line="240" w:lineRule="auto"/>
        <w:rPr>
          <w:rFonts w:ascii="Times New Roman" w:hAnsi="Times New Roman"/>
          <w:lang w:val="lv-LV"/>
        </w:rPr>
      </w:pPr>
      <w:r w:rsidRPr="00714469">
        <w:rPr>
          <w:rFonts w:ascii="Times New Roman" w:hAnsi="Times New Roman"/>
          <w:lang w:val="lv-LV"/>
        </w:rPr>
        <w:t>Programmas</w:t>
      </w:r>
      <w:r w:rsidR="00F34773" w:rsidRPr="00714469">
        <w:rPr>
          <w:rFonts w:ascii="Times New Roman" w:hAnsi="Times New Roman"/>
          <w:lang w:val="lv-LV"/>
        </w:rPr>
        <w:t xml:space="preserve"> teritorija sniedzas no Baltijas jūras rietumos līdz ES ārējai robežai ar Krieviju un Baltkrievij</w:t>
      </w:r>
      <w:r w:rsidRPr="00714469">
        <w:rPr>
          <w:rFonts w:ascii="Times New Roman" w:hAnsi="Times New Roman"/>
          <w:lang w:val="lv-LV"/>
        </w:rPr>
        <w:t>u austrumos.</w:t>
      </w:r>
      <w:r w:rsidR="004F2EA8" w:rsidRPr="00714469">
        <w:rPr>
          <w:rFonts w:ascii="Times New Roman" w:hAnsi="Times New Roman"/>
          <w:lang w:val="lv-LV"/>
        </w:rPr>
        <w:t xml:space="preserve"> </w:t>
      </w:r>
      <w:r w:rsidR="009C456F" w:rsidRPr="00714469">
        <w:rPr>
          <w:rFonts w:ascii="Times New Roman" w:hAnsi="Times New Roman"/>
          <w:lang w:val="lv-LV"/>
        </w:rPr>
        <w:t xml:space="preserve">Programmas </w:t>
      </w:r>
      <w:r w:rsidR="00E17515" w:rsidRPr="00714469">
        <w:rPr>
          <w:rFonts w:ascii="Times New Roman" w:hAnsi="Times New Roman"/>
          <w:lang w:val="lv-LV"/>
        </w:rPr>
        <w:t>teritorijas platība ir 80 160 km</w:t>
      </w:r>
      <w:r w:rsidR="00E17515" w:rsidRPr="00714469">
        <w:rPr>
          <w:rFonts w:ascii="Times New Roman" w:hAnsi="Times New Roman"/>
          <w:vertAlign w:val="superscript"/>
          <w:lang w:val="lv-LV"/>
        </w:rPr>
        <w:t>2</w:t>
      </w:r>
      <w:r w:rsidR="00E17515" w:rsidRPr="00714469">
        <w:rPr>
          <w:rFonts w:ascii="Times New Roman" w:hAnsi="Times New Roman"/>
          <w:lang w:val="lv-LV"/>
        </w:rPr>
        <w:t>, no kuriem 38 890 km</w:t>
      </w:r>
      <w:r w:rsidR="007E0AEC" w:rsidRPr="00714469">
        <w:rPr>
          <w:rFonts w:ascii="Times New Roman" w:hAnsi="Times New Roman"/>
          <w:vertAlign w:val="superscript"/>
          <w:lang w:val="lv-LV"/>
        </w:rPr>
        <w:t>2</w:t>
      </w:r>
      <w:r w:rsidR="00E17515" w:rsidRPr="00714469">
        <w:rPr>
          <w:rFonts w:ascii="Times New Roman" w:hAnsi="Times New Roman"/>
          <w:lang w:val="lv-LV"/>
        </w:rPr>
        <w:t xml:space="preserve"> atrodas Latvijas teritorijā, savukārt 41 270 km</w:t>
      </w:r>
      <w:r w:rsidR="00E17515" w:rsidRPr="00714469">
        <w:rPr>
          <w:rFonts w:ascii="Times New Roman" w:hAnsi="Times New Roman"/>
          <w:vertAlign w:val="superscript"/>
          <w:lang w:val="lv-LV"/>
        </w:rPr>
        <w:t>2</w:t>
      </w:r>
      <w:r w:rsidR="00E17515" w:rsidRPr="00714469">
        <w:rPr>
          <w:rFonts w:ascii="Times New Roman" w:hAnsi="Times New Roman"/>
          <w:lang w:val="lv-LV"/>
        </w:rPr>
        <w:t xml:space="preserve"> – Lietuvas teritorijā. </w:t>
      </w:r>
      <w:r w:rsidR="00B84EA9">
        <w:rPr>
          <w:rFonts w:ascii="Times New Roman" w:hAnsi="Times New Roman"/>
          <w:lang w:val="lv-LV"/>
        </w:rPr>
        <w:t>Abām valstīm ir k</w:t>
      </w:r>
      <w:r w:rsidR="00E17515" w:rsidRPr="00714469">
        <w:rPr>
          <w:rFonts w:ascii="Times New Roman" w:hAnsi="Times New Roman"/>
          <w:lang w:val="lv-LV"/>
        </w:rPr>
        <w:t xml:space="preserve">opīga 588 km </w:t>
      </w:r>
      <w:r w:rsidR="009C456F" w:rsidRPr="00714469">
        <w:rPr>
          <w:rFonts w:ascii="Times New Roman" w:hAnsi="Times New Roman"/>
          <w:lang w:val="lv-LV"/>
        </w:rPr>
        <w:t>gar</w:t>
      </w:r>
      <w:r w:rsidR="00B84EA9">
        <w:rPr>
          <w:rFonts w:ascii="Times New Roman" w:hAnsi="Times New Roman"/>
          <w:lang w:val="lv-LV"/>
        </w:rPr>
        <w:t xml:space="preserve">a </w:t>
      </w:r>
      <w:r w:rsidR="00E17515" w:rsidRPr="00714469">
        <w:rPr>
          <w:rFonts w:ascii="Times New Roman" w:hAnsi="Times New Roman"/>
          <w:lang w:val="lv-LV"/>
        </w:rPr>
        <w:t>sauszemes robeža</w:t>
      </w:r>
      <w:r w:rsidR="004871B5" w:rsidRPr="00714469">
        <w:rPr>
          <w:rFonts w:ascii="Times New Roman" w:hAnsi="Times New Roman"/>
          <w:lang w:val="lv-LV"/>
        </w:rPr>
        <w:t xml:space="preserve">. </w:t>
      </w:r>
      <w:r w:rsidR="00B84EA9">
        <w:rPr>
          <w:rFonts w:ascii="Times New Roman" w:hAnsi="Times New Roman"/>
          <w:lang w:val="lv-LV"/>
        </w:rPr>
        <w:t>Programmas</w:t>
      </w:r>
      <w:r w:rsidR="00B84EA9" w:rsidRPr="00714469">
        <w:rPr>
          <w:rFonts w:ascii="Times New Roman" w:hAnsi="Times New Roman"/>
          <w:lang w:val="lv-LV"/>
        </w:rPr>
        <w:t xml:space="preserve"> </w:t>
      </w:r>
      <w:r w:rsidR="004871B5" w:rsidRPr="00714469">
        <w:rPr>
          <w:rFonts w:ascii="Times New Roman" w:hAnsi="Times New Roman"/>
          <w:lang w:val="lv-LV"/>
        </w:rPr>
        <w:t xml:space="preserve">teritoriju raksturo </w:t>
      </w:r>
      <w:r w:rsidR="00E17515" w:rsidRPr="00714469">
        <w:rPr>
          <w:rFonts w:ascii="Times New Roman" w:hAnsi="Times New Roman"/>
          <w:lang w:val="lv-LV"/>
        </w:rPr>
        <w:t xml:space="preserve">galvenokārt </w:t>
      </w:r>
      <w:r w:rsidR="004F2EA8" w:rsidRPr="00714469">
        <w:rPr>
          <w:rFonts w:ascii="Times New Roman" w:hAnsi="Times New Roman"/>
          <w:lang w:val="lv-LV"/>
        </w:rPr>
        <w:t xml:space="preserve">lauksaimniecībai izmantojamas platības </w:t>
      </w:r>
      <w:r w:rsidR="00316411" w:rsidRPr="00714469">
        <w:rPr>
          <w:rFonts w:ascii="Times New Roman" w:hAnsi="Times New Roman"/>
          <w:lang w:val="lv-LV"/>
        </w:rPr>
        <w:t>un</w:t>
      </w:r>
      <w:r w:rsidR="00E17515" w:rsidRPr="00714469">
        <w:rPr>
          <w:rFonts w:ascii="Times New Roman" w:hAnsi="Times New Roman"/>
          <w:lang w:val="lv-LV"/>
        </w:rPr>
        <w:t xml:space="preserve"> </w:t>
      </w:r>
      <w:r w:rsidR="00316411" w:rsidRPr="00714469">
        <w:rPr>
          <w:rFonts w:ascii="Times New Roman" w:hAnsi="Times New Roman"/>
          <w:lang w:val="lv-LV"/>
        </w:rPr>
        <w:t>t</w:t>
      </w:r>
      <w:r w:rsidR="00E17515" w:rsidRPr="00714469">
        <w:rPr>
          <w:rFonts w:ascii="Times New Roman" w:hAnsi="Times New Roman"/>
          <w:lang w:val="lv-LV"/>
        </w:rPr>
        <w:t>ā ietver sevī mežus un ievērojamu Baltijas j</w:t>
      </w:r>
      <w:r w:rsidR="004F2EA8" w:rsidRPr="00714469">
        <w:rPr>
          <w:rFonts w:ascii="Times New Roman" w:hAnsi="Times New Roman"/>
          <w:lang w:val="lv-LV"/>
        </w:rPr>
        <w:t xml:space="preserve">ūras piekrastes līniju. Reģionā ir </w:t>
      </w:r>
      <w:r w:rsidR="00E17515" w:rsidRPr="00714469">
        <w:rPr>
          <w:rFonts w:ascii="Times New Roman" w:hAnsi="Times New Roman"/>
          <w:lang w:val="lv-LV"/>
        </w:rPr>
        <w:t>arī nozīmīg</w:t>
      </w:r>
      <w:r w:rsidR="005F73A6" w:rsidRPr="00714469">
        <w:rPr>
          <w:rFonts w:ascii="Times New Roman" w:hAnsi="Times New Roman"/>
          <w:lang w:val="lv-LV"/>
        </w:rPr>
        <w:t>i</w:t>
      </w:r>
      <w:r w:rsidR="00E17515" w:rsidRPr="00714469">
        <w:rPr>
          <w:rFonts w:ascii="Times New Roman" w:hAnsi="Times New Roman"/>
          <w:lang w:val="lv-LV"/>
        </w:rPr>
        <w:t xml:space="preserve"> stratēģisk</w:t>
      </w:r>
      <w:r w:rsidR="005F73A6" w:rsidRPr="00714469">
        <w:rPr>
          <w:rFonts w:ascii="Times New Roman" w:hAnsi="Times New Roman"/>
          <w:lang w:val="lv-LV"/>
        </w:rPr>
        <w:t>i</w:t>
      </w:r>
      <w:r w:rsidR="00E17515" w:rsidRPr="00714469">
        <w:rPr>
          <w:rFonts w:ascii="Times New Roman" w:hAnsi="Times New Roman"/>
          <w:lang w:val="lv-LV"/>
        </w:rPr>
        <w:t xml:space="preserve"> transporta maršrut</w:t>
      </w:r>
      <w:r w:rsidR="005F73A6" w:rsidRPr="00714469">
        <w:rPr>
          <w:rFonts w:ascii="Times New Roman" w:hAnsi="Times New Roman"/>
          <w:lang w:val="lv-LV"/>
        </w:rPr>
        <w:t>i</w:t>
      </w:r>
      <w:r w:rsidR="00E17515" w:rsidRPr="00714469">
        <w:rPr>
          <w:rFonts w:ascii="Times New Roman" w:hAnsi="Times New Roman"/>
          <w:lang w:val="lv-LV"/>
        </w:rPr>
        <w:t xml:space="preserve"> („Via Baltica” un „Via Hansaetica”), kā arī Liepājas, Ventspils</w:t>
      </w:r>
      <w:r w:rsidR="00380B6E" w:rsidRPr="00714469">
        <w:rPr>
          <w:rFonts w:ascii="Times New Roman" w:hAnsi="Times New Roman"/>
          <w:lang w:val="lv-LV"/>
        </w:rPr>
        <w:t>,</w:t>
      </w:r>
      <w:r w:rsidR="00E17515" w:rsidRPr="00714469">
        <w:rPr>
          <w:rFonts w:ascii="Times New Roman" w:hAnsi="Times New Roman"/>
          <w:lang w:val="lv-LV"/>
        </w:rPr>
        <w:t xml:space="preserve"> Klaipēdas ostas un vairākas </w:t>
      </w:r>
      <w:r w:rsidR="00B416CF" w:rsidRPr="00714469">
        <w:rPr>
          <w:rFonts w:ascii="Times New Roman" w:hAnsi="Times New Roman"/>
          <w:lang w:val="lv-LV"/>
        </w:rPr>
        <w:t xml:space="preserve">mazās </w:t>
      </w:r>
      <w:r w:rsidR="00E17515" w:rsidRPr="00714469">
        <w:rPr>
          <w:rFonts w:ascii="Times New Roman" w:hAnsi="Times New Roman"/>
          <w:lang w:val="lv-LV"/>
        </w:rPr>
        <w:t>ostas.</w:t>
      </w:r>
    </w:p>
    <w:p w:rsidR="006C54F4" w:rsidRPr="00714469" w:rsidRDefault="009C456F" w:rsidP="00E302F6">
      <w:pPr>
        <w:spacing w:before="120" w:line="240" w:lineRule="auto"/>
        <w:rPr>
          <w:rFonts w:ascii="Times New Roman" w:hAnsi="Times New Roman"/>
          <w:lang w:val="lv-LV"/>
        </w:rPr>
      </w:pPr>
      <w:r w:rsidRPr="00714469">
        <w:rPr>
          <w:rFonts w:ascii="Times New Roman" w:hAnsi="Times New Roman"/>
          <w:lang w:val="lv-LV"/>
        </w:rPr>
        <w:t xml:space="preserve">Programmas </w:t>
      </w:r>
      <w:r w:rsidR="004871B5" w:rsidRPr="00714469">
        <w:rPr>
          <w:rFonts w:ascii="Times New Roman" w:hAnsi="Times New Roman"/>
          <w:lang w:val="lv-LV"/>
        </w:rPr>
        <w:t>teritorijā kopumā dzīvo 2,6 miljoni iedzīvotāju (apmēram 800 tūkstoši iedzīvotāju Latvijā un 1,8 miljoni iedzīvotāju Lietuvā [</w:t>
      </w:r>
      <w:r w:rsidR="0058026A" w:rsidRPr="00714469">
        <w:rPr>
          <w:rFonts w:ascii="Times New Roman" w:hAnsi="Times New Roman"/>
          <w:lang w:val="lv-LV"/>
        </w:rPr>
        <w:t xml:space="preserve">saskaņā ar </w:t>
      </w:r>
      <w:r w:rsidR="00A531ED" w:rsidRPr="00714469">
        <w:rPr>
          <w:rFonts w:ascii="Times New Roman" w:hAnsi="Times New Roman"/>
          <w:lang w:val="lv-LV"/>
        </w:rPr>
        <w:t>2012. </w:t>
      </w:r>
      <w:r w:rsidR="004871B5" w:rsidRPr="00714469">
        <w:rPr>
          <w:rFonts w:ascii="Times New Roman" w:hAnsi="Times New Roman"/>
          <w:lang w:val="lv-LV"/>
        </w:rPr>
        <w:t>gada da</w:t>
      </w:r>
      <w:r w:rsidRPr="00714469">
        <w:rPr>
          <w:rFonts w:ascii="Times New Roman" w:hAnsi="Times New Roman"/>
          <w:lang w:val="lv-LV"/>
        </w:rPr>
        <w:t>ti</w:t>
      </w:r>
      <w:r w:rsidR="0058026A" w:rsidRPr="00714469">
        <w:rPr>
          <w:rFonts w:ascii="Times New Roman" w:hAnsi="Times New Roman"/>
          <w:lang w:val="lv-LV"/>
        </w:rPr>
        <w:t>em</w:t>
      </w:r>
      <w:r w:rsidRPr="00714469">
        <w:rPr>
          <w:rFonts w:ascii="Times New Roman" w:hAnsi="Times New Roman"/>
          <w:lang w:val="lv-LV"/>
        </w:rPr>
        <w:t xml:space="preserve">]). Programmas </w:t>
      </w:r>
      <w:r w:rsidR="004871B5" w:rsidRPr="00714469">
        <w:rPr>
          <w:rFonts w:ascii="Times New Roman" w:hAnsi="Times New Roman"/>
          <w:lang w:val="lv-LV"/>
        </w:rPr>
        <w:t>teritorijā kopš 2007. gada iedzīvotāju skaits ir samazinājies par apmēram 400 000</w:t>
      </w:r>
      <w:r w:rsidR="004F2EA8" w:rsidRPr="00714469">
        <w:rPr>
          <w:rFonts w:ascii="Times New Roman" w:hAnsi="Times New Roman"/>
          <w:lang w:val="lv-LV"/>
        </w:rPr>
        <w:t xml:space="preserve"> - i</w:t>
      </w:r>
      <w:r w:rsidR="004871B5" w:rsidRPr="00714469">
        <w:rPr>
          <w:rFonts w:ascii="Times New Roman" w:hAnsi="Times New Roman"/>
          <w:lang w:val="lv-LV"/>
        </w:rPr>
        <w:t>edzīvotāju skaita samazināšanās tendences ir bijušas līdzīgas gan Latvijā, gan Lietuvā (saskaņā ar statistikas datiem iedzīvotāju skait</w:t>
      </w:r>
      <w:r w:rsidR="00316411" w:rsidRPr="00714469">
        <w:rPr>
          <w:rFonts w:ascii="Times New Roman" w:hAnsi="Times New Roman"/>
          <w:lang w:val="lv-LV"/>
        </w:rPr>
        <w:t>s</w:t>
      </w:r>
      <w:r w:rsidR="004871B5" w:rsidRPr="00714469">
        <w:rPr>
          <w:rFonts w:ascii="Times New Roman" w:hAnsi="Times New Roman"/>
          <w:lang w:val="lv-LV"/>
        </w:rPr>
        <w:t xml:space="preserve"> Latvijā (7,4%) </w:t>
      </w:r>
      <w:r w:rsidRPr="00714469">
        <w:rPr>
          <w:rFonts w:ascii="Times New Roman" w:hAnsi="Times New Roman"/>
          <w:lang w:val="lv-LV"/>
        </w:rPr>
        <w:t xml:space="preserve">Programmas </w:t>
      </w:r>
      <w:r w:rsidR="004871B5" w:rsidRPr="00714469">
        <w:rPr>
          <w:rFonts w:ascii="Times New Roman" w:hAnsi="Times New Roman"/>
          <w:lang w:val="lv-LV"/>
        </w:rPr>
        <w:t xml:space="preserve">teritorijā laika posmā no 2009. līdz 2012. gadam </w:t>
      </w:r>
      <w:r w:rsidR="00E64391" w:rsidRPr="00714469">
        <w:rPr>
          <w:rFonts w:ascii="Times New Roman" w:hAnsi="Times New Roman"/>
          <w:lang w:val="lv-LV"/>
        </w:rPr>
        <w:t xml:space="preserve">ir </w:t>
      </w:r>
      <w:r w:rsidR="00316411" w:rsidRPr="00714469">
        <w:rPr>
          <w:rFonts w:ascii="Times New Roman" w:hAnsi="Times New Roman"/>
          <w:lang w:val="lv-LV"/>
        </w:rPr>
        <w:t>samazinājies nedaudz vairāk</w:t>
      </w:r>
      <w:r w:rsidR="000C50C2" w:rsidRPr="00714469">
        <w:rPr>
          <w:rFonts w:ascii="Times New Roman" w:hAnsi="Times New Roman"/>
          <w:lang w:val="lv-LV"/>
        </w:rPr>
        <w:t xml:space="preserve"> </w:t>
      </w:r>
      <w:r w:rsidR="00E64391" w:rsidRPr="00714469">
        <w:rPr>
          <w:rFonts w:ascii="Times New Roman" w:hAnsi="Times New Roman"/>
          <w:lang w:val="lv-LV"/>
        </w:rPr>
        <w:t>nekā</w:t>
      </w:r>
      <w:r w:rsidR="000C50C2" w:rsidRPr="00714469">
        <w:rPr>
          <w:rFonts w:ascii="Times New Roman" w:hAnsi="Times New Roman"/>
          <w:lang w:val="lv-LV"/>
        </w:rPr>
        <w:t xml:space="preserve"> Lietuvā (7,2%)).</w:t>
      </w:r>
    </w:p>
    <w:p w:rsidR="004544E0" w:rsidRPr="00714469" w:rsidRDefault="009C456F" w:rsidP="00E302F6">
      <w:pPr>
        <w:spacing w:before="120" w:line="240" w:lineRule="auto"/>
        <w:rPr>
          <w:rFonts w:ascii="Times New Roman" w:hAnsi="Times New Roman"/>
          <w:lang w:val="lv-LV"/>
        </w:rPr>
      </w:pPr>
      <w:r w:rsidRPr="00714469">
        <w:rPr>
          <w:rFonts w:ascii="Times New Roman" w:hAnsi="Times New Roman"/>
          <w:lang w:val="lv-LV"/>
        </w:rPr>
        <w:t xml:space="preserve">Programmas </w:t>
      </w:r>
      <w:r w:rsidR="004871B5" w:rsidRPr="00714469">
        <w:rPr>
          <w:rFonts w:ascii="Times New Roman" w:hAnsi="Times New Roman"/>
          <w:lang w:val="lv-LV"/>
        </w:rPr>
        <w:t xml:space="preserve">teritorijā </w:t>
      </w:r>
      <w:r w:rsidR="00316411" w:rsidRPr="00714469">
        <w:rPr>
          <w:rFonts w:ascii="Times New Roman" w:hAnsi="Times New Roman"/>
          <w:lang w:val="lv-LV"/>
        </w:rPr>
        <w:t xml:space="preserve">iedzīvotāju </w:t>
      </w:r>
      <w:r w:rsidR="000C50C2" w:rsidRPr="00714469">
        <w:rPr>
          <w:rFonts w:ascii="Times New Roman" w:hAnsi="Times New Roman"/>
          <w:lang w:val="lv-LV"/>
        </w:rPr>
        <w:t>blīvums ir relatīvi zems</w:t>
      </w:r>
      <w:r w:rsidR="00B84EA9">
        <w:rPr>
          <w:rFonts w:ascii="Times New Roman" w:hAnsi="Times New Roman"/>
          <w:lang w:val="lv-LV"/>
        </w:rPr>
        <w:t xml:space="preserve"> - vidēji </w:t>
      </w:r>
      <w:r w:rsidR="000C50C2" w:rsidRPr="00714469">
        <w:rPr>
          <w:rFonts w:ascii="Times New Roman" w:hAnsi="Times New Roman"/>
          <w:lang w:val="lv-LV"/>
        </w:rPr>
        <w:t>32 iedzīvotāji uz km</w:t>
      </w:r>
      <w:r w:rsidR="000C50C2" w:rsidRPr="00714469">
        <w:rPr>
          <w:rFonts w:ascii="Times New Roman" w:hAnsi="Times New Roman"/>
          <w:vertAlign w:val="superscript"/>
          <w:lang w:val="lv-LV"/>
        </w:rPr>
        <w:t>2</w:t>
      </w:r>
      <w:r w:rsidR="000C50C2" w:rsidRPr="00714469">
        <w:rPr>
          <w:rFonts w:ascii="Times New Roman" w:hAnsi="Times New Roman"/>
          <w:lang w:val="lv-LV"/>
        </w:rPr>
        <w:t>. Taču Latvijā tas ir ievērojami zemāks, proti, 21 iedzīvotājs uz km</w:t>
      </w:r>
      <w:r w:rsidR="000C50C2" w:rsidRPr="00714469">
        <w:rPr>
          <w:rFonts w:ascii="Times New Roman" w:hAnsi="Times New Roman"/>
          <w:vertAlign w:val="superscript"/>
          <w:lang w:val="lv-LV"/>
        </w:rPr>
        <w:t>2</w:t>
      </w:r>
      <w:r w:rsidR="004F2EA8" w:rsidRPr="00714469">
        <w:rPr>
          <w:rFonts w:ascii="Times New Roman" w:hAnsi="Times New Roman"/>
          <w:lang w:val="lv-LV"/>
        </w:rPr>
        <w:t>, kamēr</w:t>
      </w:r>
      <w:r w:rsidR="000C50C2" w:rsidRPr="00714469">
        <w:rPr>
          <w:rFonts w:ascii="Times New Roman" w:hAnsi="Times New Roman"/>
          <w:lang w:val="lv-LV"/>
        </w:rPr>
        <w:t xml:space="preserve"> Lietuvā </w:t>
      </w:r>
      <w:r w:rsidR="00316411" w:rsidRPr="00714469">
        <w:rPr>
          <w:rFonts w:ascii="Times New Roman" w:hAnsi="Times New Roman"/>
          <w:lang w:val="lv-LV"/>
        </w:rPr>
        <w:t xml:space="preserve">iedzīvotāju </w:t>
      </w:r>
      <w:r w:rsidR="000C50C2" w:rsidRPr="00714469">
        <w:rPr>
          <w:rFonts w:ascii="Times New Roman" w:hAnsi="Times New Roman"/>
          <w:lang w:val="lv-LV"/>
        </w:rPr>
        <w:t>blīvums ir 43 iedzīvotāji uz km</w:t>
      </w:r>
      <w:r w:rsidR="000C50C2" w:rsidRPr="00714469">
        <w:rPr>
          <w:rFonts w:ascii="Times New Roman" w:hAnsi="Times New Roman"/>
          <w:vertAlign w:val="superscript"/>
          <w:lang w:val="lv-LV"/>
        </w:rPr>
        <w:t>2</w:t>
      </w:r>
      <w:r w:rsidR="000C50C2" w:rsidRPr="00714469">
        <w:rPr>
          <w:rFonts w:ascii="Times New Roman" w:hAnsi="Times New Roman"/>
          <w:lang w:val="lv-LV"/>
        </w:rPr>
        <w:t xml:space="preserve">. </w:t>
      </w:r>
    </w:p>
    <w:p w:rsidR="004544E0" w:rsidRPr="00714469" w:rsidRDefault="00837756" w:rsidP="00E302F6">
      <w:pPr>
        <w:spacing w:before="120" w:line="240" w:lineRule="auto"/>
        <w:rPr>
          <w:rFonts w:ascii="Times New Roman" w:hAnsi="Times New Roman"/>
          <w:lang w:val="lv-LV"/>
        </w:rPr>
      </w:pPr>
      <w:r w:rsidRPr="00714469">
        <w:rPr>
          <w:rFonts w:ascii="Times New Roman" w:hAnsi="Times New Roman"/>
          <w:lang w:val="lv-LV"/>
        </w:rPr>
        <w:lastRenderedPageBreak/>
        <w:t>Teritorijā atrodas šādas lielā</w:t>
      </w:r>
      <w:r w:rsidR="00B84121" w:rsidRPr="00714469">
        <w:rPr>
          <w:rFonts w:ascii="Times New Roman" w:hAnsi="Times New Roman"/>
          <w:lang w:val="lv-LV"/>
        </w:rPr>
        <w:t>s pilsētas: Latvijā – Ventspils, Liepāja, Jēkabpils, Jelgava, Rēzekne un Daugavpils, savukārt Lietuvā –</w:t>
      </w:r>
      <w:r w:rsidR="006874F3" w:rsidRPr="00714469">
        <w:rPr>
          <w:rFonts w:ascii="Times New Roman" w:hAnsi="Times New Roman"/>
          <w:lang w:val="lv-LV"/>
        </w:rPr>
        <w:t xml:space="preserve"> Klaipēd</w:t>
      </w:r>
      <w:r w:rsidR="00B84121" w:rsidRPr="00714469">
        <w:rPr>
          <w:rFonts w:ascii="Times New Roman" w:hAnsi="Times New Roman"/>
          <w:lang w:val="lv-LV"/>
        </w:rPr>
        <w:t>a, Panevēža</w:t>
      </w:r>
      <w:r w:rsidR="006874F3" w:rsidRPr="00714469">
        <w:rPr>
          <w:rFonts w:ascii="Times New Roman" w:hAnsi="Times New Roman"/>
          <w:lang w:val="lv-LV"/>
        </w:rPr>
        <w:t xml:space="preserve">, Šauļi, Telši, Utena un Kauņa. </w:t>
      </w:r>
      <w:r w:rsidR="004F2EA8" w:rsidRPr="00714469">
        <w:rPr>
          <w:rFonts w:ascii="Times New Roman" w:hAnsi="Times New Roman"/>
          <w:lang w:val="lv-LV"/>
        </w:rPr>
        <w:t>Iedzīvotāju blīvuma reģionālās atšķirības</w:t>
      </w:r>
      <w:r w:rsidR="009C456F" w:rsidRPr="00714469">
        <w:rPr>
          <w:rFonts w:ascii="Times New Roman" w:hAnsi="Times New Roman"/>
          <w:lang w:val="lv-LV"/>
        </w:rPr>
        <w:t xml:space="preserve"> Programmas </w:t>
      </w:r>
      <w:r w:rsidR="006874F3" w:rsidRPr="00714469">
        <w:rPr>
          <w:rFonts w:ascii="Times New Roman" w:hAnsi="Times New Roman"/>
          <w:lang w:val="lv-LV"/>
        </w:rPr>
        <w:t xml:space="preserve">teritorijā galvenokārt ir </w:t>
      </w:r>
      <w:r w:rsidR="006E20F9" w:rsidRPr="00714469">
        <w:rPr>
          <w:rFonts w:ascii="Times New Roman" w:hAnsi="Times New Roman"/>
          <w:lang w:val="lv-LV"/>
        </w:rPr>
        <w:t>atkarīgas no tā, vai attiecīgajā reģionā</w:t>
      </w:r>
      <w:r w:rsidR="006874F3" w:rsidRPr="00714469">
        <w:rPr>
          <w:rFonts w:ascii="Times New Roman" w:hAnsi="Times New Roman"/>
          <w:lang w:val="lv-LV"/>
        </w:rPr>
        <w:t xml:space="preserve"> ir liela apdzīvota vieta vai reģionālais centrs. Reģioni Latvijā ir diezgan līdzīgi, proti, </w:t>
      </w:r>
      <w:r w:rsidR="004F2EA8" w:rsidRPr="00714469">
        <w:rPr>
          <w:rFonts w:ascii="Times New Roman" w:hAnsi="Times New Roman"/>
          <w:lang w:val="lv-LV"/>
        </w:rPr>
        <w:t>iedzīvotāju</w:t>
      </w:r>
      <w:r w:rsidR="006874F3" w:rsidRPr="00714469">
        <w:rPr>
          <w:rFonts w:ascii="Times New Roman" w:hAnsi="Times New Roman"/>
          <w:lang w:val="lv-LV"/>
        </w:rPr>
        <w:t xml:space="preserve"> blīvums svārstās no 20 līdz</w:t>
      </w:r>
      <w:proofErr w:type="gramStart"/>
      <w:r w:rsidR="006874F3" w:rsidRPr="00714469">
        <w:rPr>
          <w:rFonts w:ascii="Times New Roman" w:hAnsi="Times New Roman"/>
          <w:lang w:val="lv-LV"/>
        </w:rPr>
        <w:t xml:space="preserve"> </w:t>
      </w:r>
      <w:r w:rsidR="002631B7">
        <w:rPr>
          <w:rFonts w:ascii="Times New Roman" w:hAnsi="Times New Roman"/>
          <w:lang w:val="lv-LV"/>
        </w:rPr>
        <w:t xml:space="preserve">                     </w:t>
      </w:r>
      <w:proofErr w:type="gramEnd"/>
      <w:r w:rsidR="006874F3" w:rsidRPr="00714469">
        <w:rPr>
          <w:rFonts w:ascii="Times New Roman" w:hAnsi="Times New Roman"/>
          <w:lang w:val="lv-LV"/>
        </w:rPr>
        <w:t>23 iedzīvotājiem uz km</w:t>
      </w:r>
      <w:r w:rsidR="006874F3" w:rsidRPr="00714469">
        <w:rPr>
          <w:rFonts w:ascii="Times New Roman" w:hAnsi="Times New Roman"/>
          <w:vertAlign w:val="superscript"/>
          <w:lang w:val="lv-LV"/>
        </w:rPr>
        <w:t>2</w:t>
      </w:r>
      <w:r w:rsidR="006874F3" w:rsidRPr="00714469">
        <w:rPr>
          <w:rFonts w:ascii="Times New Roman" w:hAnsi="Times New Roman"/>
          <w:lang w:val="lv-LV"/>
        </w:rPr>
        <w:t xml:space="preserve">. Lielākas atšķirības novērojamas Lietuvā, kur </w:t>
      </w:r>
      <w:r w:rsidR="004F2EA8" w:rsidRPr="00714469">
        <w:rPr>
          <w:rFonts w:ascii="Times New Roman" w:hAnsi="Times New Roman"/>
          <w:lang w:val="lv-LV"/>
        </w:rPr>
        <w:t xml:space="preserve">iedzīvotāju </w:t>
      </w:r>
      <w:r w:rsidR="006874F3" w:rsidRPr="00714469">
        <w:rPr>
          <w:rFonts w:ascii="Times New Roman" w:hAnsi="Times New Roman"/>
          <w:lang w:val="lv-LV"/>
        </w:rPr>
        <w:t xml:space="preserve">blīvums </w:t>
      </w:r>
      <w:r w:rsidR="004F2EA8" w:rsidRPr="00714469">
        <w:rPr>
          <w:rFonts w:ascii="Times New Roman" w:hAnsi="Times New Roman"/>
          <w:lang w:val="lv-LV"/>
        </w:rPr>
        <w:t>svārstās</w:t>
      </w:r>
      <w:r w:rsidR="006874F3" w:rsidRPr="00714469">
        <w:rPr>
          <w:rFonts w:ascii="Times New Roman" w:hAnsi="Times New Roman"/>
          <w:lang w:val="lv-LV"/>
        </w:rPr>
        <w:t xml:space="preserve"> no 21 iedzīvotāja uz km</w:t>
      </w:r>
      <w:r w:rsidR="006874F3" w:rsidRPr="00714469">
        <w:rPr>
          <w:rFonts w:ascii="Times New Roman" w:hAnsi="Times New Roman"/>
          <w:vertAlign w:val="superscript"/>
          <w:lang w:val="lv-LV"/>
        </w:rPr>
        <w:t>2</w:t>
      </w:r>
      <w:r w:rsidR="006874F3" w:rsidRPr="00714469">
        <w:rPr>
          <w:rFonts w:ascii="Times New Roman" w:hAnsi="Times New Roman"/>
          <w:lang w:val="lv-LV"/>
        </w:rPr>
        <w:t xml:space="preserve"> Utenas rajonā līdz pat 42 iedzīvotājiem uz km</w:t>
      </w:r>
      <w:r w:rsidR="006874F3" w:rsidRPr="00714469">
        <w:rPr>
          <w:rFonts w:ascii="Times New Roman" w:hAnsi="Times New Roman"/>
          <w:vertAlign w:val="superscript"/>
          <w:lang w:val="lv-LV"/>
        </w:rPr>
        <w:t>2</w:t>
      </w:r>
      <w:r w:rsidR="006874F3" w:rsidRPr="00714469">
        <w:rPr>
          <w:rFonts w:ascii="Times New Roman" w:hAnsi="Times New Roman"/>
          <w:lang w:val="lv-LV"/>
        </w:rPr>
        <w:t xml:space="preserve"> Klaipēdas rajonā un 73 iedzīvotājiem uz km</w:t>
      </w:r>
      <w:r w:rsidR="006874F3" w:rsidRPr="00714469">
        <w:rPr>
          <w:rFonts w:ascii="Times New Roman" w:hAnsi="Times New Roman"/>
          <w:vertAlign w:val="superscript"/>
          <w:lang w:val="lv-LV"/>
        </w:rPr>
        <w:t>2</w:t>
      </w:r>
      <w:r w:rsidR="006874F3" w:rsidRPr="00714469">
        <w:rPr>
          <w:rFonts w:ascii="Times New Roman" w:hAnsi="Times New Roman"/>
          <w:lang w:val="lv-LV"/>
        </w:rPr>
        <w:t xml:space="preserve"> Kauņas rajonā. Tieša saistība novērojama starp attiecīgā reģiona apdzīvotības blīvumu un sociālekonomisko attīstību (t.i., jo lielāks apdzīvotības blīvums, jo vieglāk nodrošināt piekļuvi infrastruktūrai un pakalpojumiem, un pretēji zemāka apdzīvotības blīvuma gadījumā). </w:t>
      </w:r>
    </w:p>
    <w:p w:rsidR="00FA4661" w:rsidRPr="00714469" w:rsidRDefault="007D0AF6" w:rsidP="00E302F6">
      <w:pPr>
        <w:widowControl w:val="0"/>
        <w:overflowPunct w:val="0"/>
        <w:autoSpaceDE w:val="0"/>
        <w:autoSpaceDN w:val="0"/>
        <w:adjustRightInd w:val="0"/>
        <w:spacing w:before="120" w:line="240" w:lineRule="auto"/>
        <w:ind w:left="8"/>
        <w:rPr>
          <w:rFonts w:ascii="Times New Roman" w:hAnsi="Times New Roman"/>
          <w:lang w:val="lv-LV"/>
        </w:rPr>
      </w:pPr>
      <w:r w:rsidRPr="00714469">
        <w:rPr>
          <w:rFonts w:ascii="Times New Roman" w:hAnsi="Times New Roman"/>
          <w:lang w:val="lv-LV"/>
        </w:rPr>
        <w:t>Programmas</w:t>
      </w:r>
      <w:r w:rsidR="00C13E27" w:rsidRPr="00714469">
        <w:rPr>
          <w:rFonts w:ascii="Times New Roman" w:hAnsi="Times New Roman"/>
          <w:lang w:val="lv-LV"/>
        </w:rPr>
        <w:t xml:space="preserve"> stratēģija</w:t>
      </w:r>
      <w:r w:rsidR="007E0AEC">
        <w:rPr>
          <w:rFonts w:ascii="Times New Roman" w:hAnsi="Times New Roman"/>
          <w:lang w:val="lv-LV"/>
        </w:rPr>
        <w:t xml:space="preserve"> </w:t>
      </w:r>
      <w:r w:rsidR="007E0AEC" w:rsidRPr="00714469">
        <w:rPr>
          <w:rFonts w:ascii="Times New Roman" w:hAnsi="Times New Roman"/>
          <w:lang w:val="lv-LV"/>
        </w:rPr>
        <w:t>(1.</w:t>
      </w:r>
      <w:r w:rsidR="007E0AEC">
        <w:rPr>
          <w:rFonts w:ascii="Times New Roman" w:hAnsi="Times New Roman"/>
          <w:lang w:val="lv-LV"/>
        </w:rPr>
        <w:t>1.</w:t>
      </w:r>
      <w:r w:rsidR="007E0AEC" w:rsidRPr="00714469">
        <w:rPr>
          <w:rFonts w:ascii="Times New Roman" w:hAnsi="Times New Roman"/>
          <w:lang w:val="lv-LV"/>
        </w:rPr>
        <w:t xml:space="preserve"> </w:t>
      </w:r>
      <w:r w:rsidR="007E0AEC">
        <w:rPr>
          <w:rFonts w:ascii="Times New Roman" w:hAnsi="Times New Roman"/>
          <w:lang w:val="lv-LV"/>
        </w:rPr>
        <w:t>no</w:t>
      </w:r>
      <w:r w:rsidR="007E0AEC" w:rsidRPr="00714469">
        <w:rPr>
          <w:rFonts w:ascii="Times New Roman" w:hAnsi="Times New Roman"/>
          <w:lang w:val="lv-LV"/>
        </w:rPr>
        <w:t xml:space="preserve">daļa) </w:t>
      </w:r>
      <w:r w:rsidR="00C13E27" w:rsidRPr="00714469">
        <w:rPr>
          <w:rFonts w:ascii="Times New Roman" w:hAnsi="Times New Roman"/>
          <w:lang w:val="lv-LV"/>
        </w:rPr>
        <w:t xml:space="preserve"> ir iedalīta tematiskās apakštēmās, kurās sniegts īss </w:t>
      </w:r>
      <w:r w:rsidR="004F2EA8" w:rsidRPr="00714469">
        <w:rPr>
          <w:rFonts w:ascii="Times New Roman" w:hAnsi="Times New Roman"/>
          <w:lang w:val="lv-LV"/>
        </w:rPr>
        <w:t>sociālekonomiskās situācijas pārskats</w:t>
      </w:r>
      <w:r w:rsidR="00C13E27" w:rsidRPr="00714469">
        <w:rPr>
          <w:rFonts w:ascii="Times New Roman" w:hAnsi="Times New Roman"/>
          <w:lang w:val="lv-LV"/>
        </w:rPr>
        <w:t xml:space="preserve"> Program</w:t>
      </w:r>
      <w:r w:rsidR="009C456F" w:rsidRPr="00714469">
        <w:rPr>
          <w:rFonts w:ascii="Times New Roman" w:hAnsi="Times New Roman"/>
          <w:lang w:val="lv-LV"/>
        </w:rPr>
        <w:t xml:space="preserve">mas </w:t>
      </w:r>
      <w:r w:rsidR="00C13E27" w:rsidRPr="00714469">
        <w:rPr>
          <w:rFonts w:ascii="Times New Roman" w:hAnsi="Times New Roman"/>
          <w:lang w:val="lv-LV"/>
        </w:rPr>
        <w:t>teritorijā.</w:t>
      </w:r>
      <w:r w:rsidRPr="00714469">
        <w:rPr>
          <w:rFonts w:ascii="Times New Roman" w:hAnsi="Times New Roman"/>
          <w:lang w:val="lv-LV"/>
        </w:rPr>
        <w:t xml:space="preserve"> </w:t>
      </w:r>
    </w:p>
    <w:p w:rsidR="00FA4661" w:rsidRPr="00714469" w:rsidRDefault="00B416CF" w:rsidP="00E302F6">
      <w:pPr>
        <w:widowControl w:val="0"/>
        <w:overflowPunct w:val="0"/>
        <w:autoSpaceDE w:val="0"/>
        <w:autoSpaceDN w:val="0"/>
        <w:adjustRightInd w:val="0"/>
        <w:spacing w:before="120" w:line="240" w:lineRule="auto"/>
        <w:ind w:left="8"/>
        <w:rPr>
          <w:rFonts w:ascii="Times New Roman" w:hAnsi="Times New Roman"/>
          <w:lang w:val="lv-LV"/>
        </w:rPr>
      </w:pPr>
      <w:r w:rsidRPr="00714469">
        <w:rPr>
          <w:rFonts w:ascii="Times New Roman" w:hAnsi="Times New Roman"/>
          <w:lang w:val="lv-LV"/>
        </w:rPr>
        <w:t xml:space="preserve">Izvēlētajās apakštēmās ir aprakstīta Programmas teritorijas </w:t>
      </w:r>
      <w:r w:rsidR="007E0AEC">
        <w:rPr>
          <w:rFonts w:ascii="Times New Roman" w:hAnsi="Times New Roman"/>
          <w:lang w:val="lv-LV"/>
        </w:rPr>
        <w:t xml:space="preserve"> sociāli – ekonomiskā situācija</w:t>
      </w:r>
      <w:r w:rsidRPr="00714469">
        <w:rPr>
          <w:rFonts w:ascii="Times New Roman" w:hAnsi="Times New Roman"/>
          <w:lang w:val="lv-LV"/>
        </w:rPr>
        <w:t xml:space="preserve">, </w:t>
      </w:r>
      <w:r w:rsidR="007E0AEC">
        <w:rPr>
          <w:rFonts w:ascii="Times New Roman" w:hAnsi="Times New Roman"/>
          <w:lang w:val="lv-LV"/>
        </w:rPr>
        <w:t xml:space="preserve">galvenie izaicinājumi, </w:t>
      </w:r>
      <w:r w:rsidRPr="00714469">
        <w:rPr>
          <w:rFonts w:ascii="Times New Roman" w:hAnsi="Times New Roman"/>
          <w:lang w:val="lv-LV"/>
        </w:rPr>
        <w:t xml:space="preserve">kā arī </w:t>
      </w:r>
      <w:r w:rsidR="00C13E27" w:rsidRPr="00714469">
        <w:rPr>
          <w:rFonts w:ascii="Times New Roman" w:hAnsi="Times New Roman"/>
          <w:lang w:val="lv-LV"/>
        </w:rPr>
        <w:t xml:space="preserve">pārrobežu </w:t>
      </w:r>
      <w:r w:rsidR="0099241B" w:rsidRPr="00714469">
        <w:rPr>
          <w:rFonts w:ascii="Times New Roman" w:hAnsi="Times New Roman"/>
          <w:lang w:val="lv-LV"/>
        </w:rPr>
        <w:t xml:space="preserve">sadarbības </w:t>
      </w:r>
      <w:r w:rsidR="004F2EA8" w:rsidRPr="00714469">
        <w:rPr>
          <w:rFonts w:ascii="Times New Roman" w:hAnsi="Times New Roman"/>
          <w:lang w:val="lv-LV"/>
        </w:rPr>
        <w:t>potenciāls</w:t>
      </w:r>
      <w:r w:rsidR="0099241B" w:rsidRPr="00714469">
        <w:rPr>
          <w:rFonts w:ascii="Times New Roman" w:hAnsi="Times New Roman"/>
          <w:lang w:val="lv-LV"/>
        </w:rPr>
        <w:t>.</w:t>
      </w:r>
      <w:r w:rsidR="004F2EA8" w:rsidRPr="00714469">
        <w:rPr>
          <w:rFonts w:ascii="Times New Roman" w:hAnsi="Times New Roman"/>
          <w:lang w:val="lv-LV"/>
        </w:rPr>
        <w:t xml:space="preserve"> Tā kā</w:t>
      </w:r>
      <w:r w:rsidR="0099241B" w:rsidRPr="00714469">
        <w:rPr>
          <w:rFonts w:ascii="Times New Roman" w:hAnsi="Times New Roman"/>
          <w:lang w:val="lv-LV"/>
        </w:rPr>
        <w:t xml:space="preserve"> sociālekonomiskās situācijas analīze</w:t>
      </w:r>
      <w:r w:rsidR="004F2EA8" w:rsidRPr="00714469">
        <w:rPr>
          <w:rFonts w:ascii="Times New Roman" w:hAnsi="Times New Roman"/>
          <w:lang w:val="lv-LV"/>
        </w:rPr>
        <w:t xml:space="preserve"> tik veikta, ņemot vērā</w:t>
      </w:r>
      <w:r w:rsidR="0099241B" w:rsidRPr="00714469">
        <w:rPr>
          <w:rFonts w:ascii="Times New Roman" w:hAnsi="Times New Roman"/>
          <w:lang w:val="lv-LV"/>
        </w:rPr>
        <w:t xml:space="preserve"> Programmas </w:t>
      </w:r>
      <w:r w:rsidR="004F2EA8" w:rsidRPr="00714469">
        <w:rPr>
          <w:rFonts w:ascii="Times New Roman" w:hAnsi="Times New Roman"/>
          <w:lang w:val="lv-LV"/>
        </w:rPr>
        <w:t>un pārrobežu sadarbības potenciālu</w:t>
      </w:r>
      <w:r w:rsidR="0099241B" w:rsidRPr="00714469">
        <w:rPr>
          <w:rFonts w:ascii="Times New Roman" w:hAnsi="Times New Roman"/>
          <w:lang w:val="lv-LV"/>
        </w:rPr>
        <w:t xml:space="preserve"> un kopējās vajadzības un problēmas, </w:t>
      </w:r>
      <w:r w:rsidR="004F2EA8" w:rsidRPr="00714469">
        <w:rPr>
          <w:rFonts w:ascii="Times New Roman" w:hAnsi="Times New Roman"/>
          <w:lang w:val="lv-LV"/>
        </w:rPr>
        <w:t>katrā no apakštēmām piedāvāts problēmas</w:t>
      </w:r>
      <w:r w:rsidR="0099241B" w:rsidRPr="00714469">
        <w:rPr>
          <w:rFonts w:ascii="Times New Roman" w:hAnsi="Times New Roman"/>
          <w:lang w:val="lv-LV"/>
        </w:rPr>
        <w:t xml:space="preserve"> un</w:t>
      </w:r>
      <w:r w:rsidR="004F2EA8" w:rsidRPr="00714469">
        <w:rPr>
          <w:rFonts w:ascii="Times New Roman" w:hAnsi="Times New Roman"/>
          <w:lang w:val="lv-LV"/>
        </w:rPr>
        <w:t>/vai iespējas</w:t>
      </w:r>
      <w:r w:rsidR="0099241B" w:rsidRPr="00714469">
        <w:rPr>
          <w:rFonts w:ascii="Times New Roman" w:hAnsi="Times New Roman"/>
          <w:lang w:val="lv-LV"/>
        </w:rPr>
        <w:t xml:space="preserve">, kas tiks </w:t>
      </w:r>
      <w:r w:rsidR="004F2EA8" w:rsidRPr="00714469">
        <w:rPr>
          <w:rFonts w:ascii="Times New Roman" w:hAnsi="Times New Roman"/>
          <w:lang w:val="lv-LV"/>
        </w:rPr>
        <w:t>risinātas</w:t>
      </w:r>
      <w:r w:rsidR="0054325D" w:rsidRPr="00714469">
        <w:rPr>
          <w:rFonts w:ascii="Times New Roman" w:hAnsi="Times New Roman"/>
          <w:lang w:val="lv-LV"/>
        </w:rPr>
        <w:t xml:space="preserve"> </w:t>
      </w:r>
      <w:r w:rsidR="0099241B" w:rsidRPr="00714469">
        <w:rPr>
          <w:rFonts w:ascii="Times New Roman" w:hAnsi="Times New Roman"/>
          <w:lang w:val="lv-LV"/>
        </w:rPr>
        <w:t xml:space="preserve">Programmas ietvaros. </w:t>
      </w:r>
      <w:r w:rsidR="004F2EA8" w:rsidRPr="00714469">
        <w:rPr>
          <w:rFonts w:ascii="Times New Roman" w:hAnsi="Times New Roman"/>
          <w:lang w:val="lv-LV"/>
        </w:rPr>
        <w:t xml:space="preserve">Attiecīgi </w:t>
      </w:r>
      <w:r w:rsidR="00F74C89" w:rsidRPr="00714469">
        <w:rPr>
          <w:rFonts w:ascii="Times New Roman" w:hAnsi="Times New Roman"/>
          <w:lang w:val="lv-LV"/>
        </w:rPr>
        <w:t xml:space="preserve">ir </w:t>
      </w:r>
      <w:r w:rsidR="004F2EA8" w:rsidRPr="00714469">
        <w:rPr>
          <w:rFonts w:ascii="Times New Roman" w:hAnsi="Times New Roman"/>
          <w:lang w:val="lv-LV"/>
        </w:rPr>
        <w:t>arī</w:t>
      </w:r>
      <w:r w:rsidR="002D4758" w:rsidRPr="00714469">
        <w:rPr>
          <w:rFonts w:ascii="Times New Roman" w:hAnsi="Times New Roman"/>
          <w:lang w:val="lv-LV"/>
        </w:rPr>
        <w:t xml:space="preserve"> izvēlēti Tematiskie mērķi, kas detalizēti aprakstīti Programmas dokumenta 2.</w:t>
      </w:r>
      <w:r w:rsidR="002F2521" w:rsidRPr="00714469">
        <w:rPr>
          <w:rFonts w:ascii="Times New Roman" w:hAnsi="Times New Roman"/>
          <w:lang w:val="lv-LV"/>
        </w:rPr>
        <w:t xml:space="preserve"> </w:t>
      </w:r>
      <w:r w:rsidR="002D4758" w:rsidRPr="00714469">
        <w:rPr>
          <w:rFonts w:ascii="Times New Roman" w:hAnsi="Times New Roman"/>
          <w:lang w:val="lv-LV"/>
        </w:rPr>
        <w:t>nodaļā.</w:t>
      </w:r>
    </w:p>
    <w:p w:rsidR="001156BF" w:rsidRPr="00543A74" w:rsidRDefault="001156BF" w:rsidP="00E302F6">
      <w:pPr>
        <w:spacing w:before="120" w:line="240" w:lineRule="auto"/>
        <w:rPr>
          <w:sz w:val="20"/>
          <w:szCs w:val="20"/>
          <w:lang w:val="lv-LV"/>
        </w:rPr>
      </w:pPr>
    </w:p>
    <w:p w:rsidR="004544E0" w:rsidRPr="00714469" w:rsidRDefault="009C456F" w:rsidP="00E302F6">
      <w:pPr>
        <w:pStyle w:val="ListParagraph"/>
        <w:numPr>
          <w:ilvl w:val="2"/>
          <w:numId w:val="4"/>
        </w:numPr>
        <w:spacing w:before="120" w:line="240" w:lineRule="auto"/>
        <w:rPr>
          <w:rFonts w:ascii="Times New Roman" w:hAnsi="Times New Roman"/>
          <w:b/>
          <w:lang w:val="lv-LV"/>
        </w:rPr>
      </w:pPr>
      <w:r w:rsidRPr="00714469">
        <w:rPr>
          <w:rFonts w:ascii="Times New Roman" w:hAnsi="Times New Roman"/>
          <w:b/>
          <w:lang w:val="lv-LV"/>
        </w:rPr>
        <w:t>Nodarbinātība un darba</w:t>
      </w:r>
      <w:r w:rsidR="0099241B" w:rsidRPr="00714469">
        <w:rPr>
          <w:rFonts w:ascii="Times New Roman" w:hAnsi="Times New Roman"/>
          <w:b/>
          <w:lang w:val="lv-LV"/>
        </w:rPr>
        <w:t>spēka mobilitāte</w:t>
      </w:r>
    </w:p>
    <w:p w:rsidR="00D115F2" w:rsidRPr="00714469" w:rsidRDefault="0099241B" w:rsidP="00E302F6">
      <w:pPr>
        <w:spacing w:before="120" w:line="240" w:lineRule="auto"/>
        <w:rPr>
          <w:rFonts w:ascii="Times New Roman" w:hAnsi="Times New Roman"/>
          <w:lang w:val="lv-LV"/>
        </w:rPr>
      </w:pPr>
      <w:r w:rsidRPr="00714469">
        <w:rPr>
          <w:rFonts w:ascii="Times New Roman" w:hAnsi="Times New Roman"/>
          <w:lang w:val="lv-LV"/>
        </w:rPr>
        <w:t xml:space="preserve">Latvijā un Lietuvā </w:t>
      </w:r>
      <w:r w:rsidR="00A531ED" w:rsidRPr="00714469">
        <w:rPr>
          <w:rFonts w:ascii="Times New Roman" w:hAnsi="Times New Roman"/>
          <w:lang w:val="lv-LV"/>
        </w:rPr>
        <w:t xml:space="preserve">ir </w:t>
      </w:r>
      <w:r w:rsidRPr="00714469">
        <w:rPr>
          <w:rFonts w:ascii="Times New Roman" w:hAnsi="Times New Roman"/>
          <w:lang w:val="lv-LV"/>
        </w:rPr>
        <w:t xml:space="preserve">novērojamas līdzīgas, </w:t>
      </w:r>
      <w:r w:rsidR="007E0AEC">
        <w:rPr>
          <w:rFonts w:ascii="Times New Roman" w:hAnsi="Times New Roman"/>
          <w:lang w:val="lv-LV"/>
        </w:rPr>
        <w:t>kā arī atšķīrīgas</w:t>
      </w:r>
      <w:r w:rsidRPr="00714469">
        <w:rPr>
          <w:rFonts w:ascii="Times New Roman" w:hAnsi="Times New Roman"/>
          <w:lang w:val="lv-LV"/>
        </w:rPr>
        <w:t xml:space="preserve"> ekonomiskās attīstības tendences. Latvijas ekonomika ir koncentrēta v</w:t>
      </w:r>
      <w:r w:rsidR="00A531ED" w:rsidRPr="00714469">
        <w:rPr>
          <w:rFonts w:ascii="Times New Roman" w:hAnsi="Times New Roman"/>
          <w:lang w:val="lv-LV"/>
        </w:rPr>
        <w:t>alsts galvaspilsētā Rīgā (2010. </w:t>
      </w:r>
      <w:r w:rsidRPr="00714469">
        <w:rPr>
          <w:rFonts w:ascii="Times New Roman" w:hAnsi="Times New Roman"/>
          <w:lang w:val="lv-LV"/>
        </w:rPr>
        <w:t xml:space="preserve">gadā </w:t>
      </w:r>
      <w:r w:rsidR="0054325D" w:rsidRPr="00714469">
        <w:rPr>
          <w:rFonts w:ascii="Times New Roman" w:hAnsi="Times New Roman"/>
          <w:lang w:val="lv-LV"/>
        </w:rPr>
        <w:t xml:space="preserve">IKP vērtība pārsniedza </w:t>
      </w:r>
      <w:r w:rsidRPr="00714469">
        <w:rPr>
          <w:rFonts w:ascii="Times New Roman" w:hAnsi="Times New Roman"/>
          <w:lang w:val="lv-LV"/>
        </w:rPr>
        <w:t xml:space="preserve">50% no valsts IKP), savukārt Programmas reģionos – 26% no valsts IKP. Lietuvā, kur ekonomika galvenokārt ir koncentrēta valsts galvaspilsētā Viļņā, ir vairāki attīstības centri (Viļņas </w:t>
      </w:r>
      <w:r w:rsidR="0054325D" w:rsidRPr="00714469">
        <w:rPr>
          <w:rFonts w:ascii="Times New Roman" w:hAnsi="Times New Roman"/>
          <w:lang w:val="lv-LV"/>
        </w:rPr>
        <w:t xml:space="preserve">apriņķī </w:t>
      </w:r>
      <w:r w:rsidRPr="00714469">
        <w:rPr>
          <w:rFonts w:ascii="Times New Roman" w:hAnsi="Times New Roman"/>
          <w:lang w:val="lv-LV"/>
        </w:rPr>
        <w:t xml:space="preserve">38% no valsts IKP, Kauņas </w:t>
      </w:r>
      <w:r w:rsidR="0054325D" w:rsidRPr="00714469">
        <w:rPr>
          <w:rFonts w:ascii="Times New Roman" w:hAnsi="Times New Roman"/>
          <w:lang w:val="lv-LV"/>
        </w:rPr>
        <w:t xml:space="preserve">apriņķī </w:t>
      </w:r>
      <w:r w:rsidRPr="00714469">
        <w:rPr>
          <w:rFonts w:ascii="Times New Roman" w:hAnsi="Times New Roman"/>
          <w:lang w:val="lv-LV"/>
        </w:rPr>
        <w:t xml:space="preserve">19% no valsts IKP, Klaipēdas </w:t>
      </w:r>
      <w:r w:rsidR="0054325D" w:rsidRPr="00714469">
        <w:rPr>
          <w:rFonts w:ascii="Times New Roman" w:hAnsi="Times New Roman"/>
          <w:lang w:val="lv-LV"/>
        </w:rPr>
        <w:t xml:space="preserve">apriņķī </w:t>
      </w:r>
      <w:r w:rsidRPr="00714469">
        <w:rPr>
          <w:rFonts w:ascii="Times New Roman" w:hAnsi="Times New Roman"/>
          <w:lang w:val="lv-LV"/>
        </w:rPr>
        <w:t xml:space="preserve">12% no valsts IKP [saskaņā ar </w:t>
      </w:r>
      <w:r w:rsidRPr="00714469">
        <w:rPr>
          <w:rFonts w:ascii="Times New Roman" w:hAnsi="Times New Roman"/>
          <w:i/>
          <w:lang w:val="lv-LV"/>
        </w:rPr>
        <w:t>Eurostat</w:t>
      </w:r>
      <w:r w:rsidRPr="00714469">
        <w:rPr>
          <w:rFonts w:ascii="Times New Roman" w:hAnsi="Times New Roman"/>
          <w:lang w:val="lv-LV"/>
        </w:rPr>
        <w:t xml:space="preserve"> datiem]). </w:t>
      </w:r>
      <w:r w:rsidR="00183AE8" w:rsidRPr="00714469">
        <w:rPr>
          <w:rFonts w:ascii="Times New Roman" w:hAnsi="Times New Roman"/>
          <w:lang w:val="lv-LV"/>
        </w:rPr>
        <w:t xml:space="preserve">Kopumā Programmas reģionos tiek apvienoti 53% no abu valstu </w:t>
      </w:r>
      <w:r w:rsidR="0054325D" w:rsidRPr="00714469">
        <w:rPr>
          <w:rFonts w:ascii="Times New Roman" w:hAnsi="Times New Roman"/>
          <w:lang w:val="lv-LV"/>
        </w:rPr>
        <w:t xml:space="preserve">kopējā </w:t>
      </w:r>
      <w:r w:rsidR="00183AE8" w:rsidRPr="00714469">
        <w:rPr>
          <w:rFonts w:ascii="Times New Roman" w:hAnsi="Times New Roman"/>
          <w:lang w:val="lv-LV"/>
        </w:rPr>
        <w:t xml:space="preserve">IKP. </w:t>
      </w:r>
    </w:p>
    <w:p w:rsidR="007E0AEC" w:rsidRDefault="007E0AEC" w:rsidP="00E302F6">
      <w:pPr>
        <w:spacing w:before="120" w:line="240" w:lineRule="auto"/>
        <w:rPr>
          <w:rFonts w:ascii="Times New Roman" w:hAnsi="Times New Roman"/>
          <w:color w:val="000000"/>
          <w:lang w:val="lv-LV" w:eastAsia="lv-LV"/>
        </w:rPr>
      </w:pPr>
    </w:p>
    <w:p w:rsidR="007E0AEC" w:rsidRPr="007E0AEC" w:rsidRDefault="007E0AEC" w:rsidP="00E302F6">
      <w:pPr>
        <w:spacing w:before="120" w:line="240" w:lineRule="auto"/>
        <w:rPr>
          <w:rFonts w:ascii="Times New Roman" w:hAnsi="Times New Roman"/>
          <w:b/>
          <w:color w:val="000000"/>
          <w:lang w:val="lv-LV" w:eastAsia="lv-LV"/>
        </w:rPr>
      </w:pPr>
      <w:r w:rsidRPr="007E0AEC">
        <w:rPr>
          <w:rFonts w:ascii="Times New Roman" w:hAnsi="Times New Roman"/>
          <w:b/>
          <w:color w:val="000000"/>
          <w:lang w:val="lv-LV" w:eastAsia="lv-LV"/>
        </w:rPr>
        <w:t>Nodarbinātība</w:t>
      </w:r>
    </w:p>
    <w:p w:rsidR="006D39E8" w:rsidRPr="006D39E8" w:rsidRDefault="00FA69C6" w:rsidP="00E302F6">
      <w:pPr>
        <w:spacing w:before="120" w:line="240" w:lineRule="auto"/>
        <w:rPr>
          <w:rFonts w:ascii="Times New Roman" w:hAnsi="Times New Roman"/>
          <w:color w:val="000000"/>
          <w:lang w:val="lv-LV" w:eastAsia="lv-LV"/>
        </w:rPr>
      </w:pPr>
      <w:r w:rsidRPr="00714469">
        <w:rPr>
          <w:rFonts w:ascii="Times New Roman" w:hAnsi="Times New Roman"/>
          <w:color w:val="000000"/>
          <w:lang w:val="lv-LV" w:eastAsia="lv-LV"/>
        </w:rPr>
        <w:t>Ekonomisko attīstību ietekmē arī bezdarba līmeni Pr</w:t>
      </w:r>
      <w:r w:rsidR="00AC6317" w:rsidRPr="00714469">
        <w:rPr>
          <w:rFonts w:ascii="Times New Roman" w:hAnsi="Times New Roman"/>
          <w:color w:val="000000"/>
          <w:lang w:val="lv-LV" w:eastAsia="lv-LV"/>
        </w:rPr>
        <w:t xml:space="preserve">ogrammas teritorijā. Kopš 2010. </w:t>
      </w:r>
      <w:r w:rsidRPr="00714469">
        <w:rPr>
          <w:rFonts w:ascii="Times New Roman" w:hAnsi="Times New Roman"/>
          <w:color w:val="000000"/>
          <w:lang w:val="lv-LV" w:eastAsia="lv-LV"/>
        </w:rPr>
        <w:t xml:space="preserve">gada </w:t>
      </w:r>
      <w:r w:rsidR="00A815F4" w:rsidRPr="00714469">
        <w:rPr>
          <w:rFonts w:ascii="Times New Roman" w:hAnsi="Times New Roman"/>
          <w:color w:val="000000"/>
          <w:lang w:val="lv-LV" w:eastAsia="lv-LV"/>
        </w:rPr>
        <w:t xml:space="preserve">nodarbinātības līmenis ir </w:t>
      </w:r>
      <w:r w:rsidR="005F43B8" w:rsidRPr="00714469">
        <w:rPr>
          <w:rFonts w:ascii="Times New Roman" w:hAnsi="Times New Roman"/>
          <w:color w:val="000000"/>
          <w:lang w:val="lv-LV" w:eastAsia="lv-LV"/>
        </w:rPr>
        <w:t>nostabilizējies</w:t>
      </w:r>
      <w:r w:rsidR="00A815F4" w:rsidRPr="00714469">
        <w:rPr>
          <w:rFonts w:ascii="Times New Roman" w:hAnsi="Times New Roman"/>
          <w:color w:val="000000"/>
          <w:lang w:val="lv-LV" w:eastAsia="lv-LV"/>
        </w:rPr>
        <w:t xml:space="preserve"> vispārīgi visā Programmas teritorijā. Neskatoties uz to, bezdarba līmenis Programmas teritorijā joprojām</w:t>
      </w:r>
      <w:r w:rsidR="00544174" w:rsidRPr="00714469">
        <w:rPr>
          <w:rFonts w:ascii="Times New Roman" w:hAnsi="Times New Roman"/>
          <w:color w:val="000000"/>
          <w:lang w:val="lv-LV" w:eastAsia="lv-LV"/>
        </w:rPr>
        <w:t xml:space="preserve"> ir augstāks nekā vidējie valsts</w:t>
      </w:r>
      <w:r w:rsidR="00A815F4" w:rsidRPr="00714469">
        <w:rPr>
          <w:rFonts w:ascii="Times New Roman" w:hAnsi="Times New Roman"/>
          <w:color w:val="000000"/>
          <w:lang w:val="lv-LV" w:eastAsia="lv-LV"/>
        </w:rPr>
        <w:t xml:space="preserve"> un ES rādītāji. Nelielas atšķirības novērojamas reģionālajā līmenī, proti, zemākais bezdarba līmenis ir Klaipēdas </w:t>
      </w:r>
      <w:r w:rsidR="0054325D" w:rsidRPr="00714469">
        <w:rPr>
          <w:rFonts w:ascii="Times New Roman" w:hAnsi="Times New Roman"/>
          <w:color w:val="000000"/>
          <w:lang w:val="lv-LV" w:eastAsia="lv-LV"/>
        </w:rPr>
        <w:t>apriņķī</w:t>
      </w:r>
      <w:r w:rsidR="00A815F4" w:rsidRPr="00714469">
        <w:rPr>
          <w:rFonts w:ascii="Times New Roman" w:hAnsi="Times New Roman"/>
          <w:color w:val="000000"/>
          <w:lang w:val="lv-LV" w:eastAsia="lv-LV"/>
        </w:rPr>
        <w:t xml:space="preserve">, Kurzemē, Telšu </w:t>
      </w:r>
      <w:r w:rsidR="0054325D" w:rsidRPr="00714469">
        <w:rPr>
          <w:rFonts w:ascii="Times New Roman" w:hAnsi="Times New Roman"/>
          <w:color w:val="000000"/>
          <w:lang w:val="lv-LV" w:eastAsia="lv-LV"/>
        </w:rPr>
        <w:t xml:space="preserve">apriņķī </w:t>
      </w:r>
      <w:r w:rsidR="00A815F4" w:rsidRPr="00714469">
        <w:rPr>
          <w:rFonts w:ascii="Times New Roman" w:hAnsi="Times New Roman"/>
          <w:color w:val="000000"/>
          <w:lang w:val="lv-LV" w:eastAsia="lv-LV"/>
        </w:rPr>
        <w:t xml:space="preserve">un Kauņas </w:t>
      </w:r>
      <w:r w:rsidR="0054325D" w:rsidRPr="00714469">
        <w:rPr>
          <w:rFonts w:ascii="Times New Roman" w:hAnsi="Times New Roman"/>
          <w:color w:val="000000"/>
          <w:lang w:val="lv-LV" w:eastAsia="lv-LV"/>
        </w:rPr>
        <w:t>apriņķī</w:t>
      </w:r>
      <w:r w:rsidR="002631B7">
        <w:rPr>
          <w:rFonts w:ascii="Times New Roman" w:hAnsi="Times New Roman"/>
          <w:color w:val="000000"/>
          <w:lang w:val="lv-LV" w:eastAsia="lv-LV"/>
        </w:rPr>
        <w:t xml:space="preserve"> (</w:t>
      </w:r>
      <w:r w:rsidR="006D39E8">
        <w:rPr>
          <w:rFonts w:ascii="Times New Roman" w:hAnsi="Times New Roman"/>
          <w:color w:val="000000"/>
          <w:lang w:val="lv-LV" w:eastAsia="lv-LV"/>
        </w:rPr>
        <w:t>skat.</w:t>
      </w:r>
      <w:r w:rsidR="002631B7">
        <w:rPr>
          <w:rFonts w:ascii="Times New Roman" w:hAnsi="Times New Roman"/>
          <w:lang w:val="lv-LV"/>
        </w:rPr>
        <w:t>1.pielikuma 1.t</w:t>
      </w:r>
      <w:r w:rsidR="006D39E8" w:rsidRPr="002631B7">
        <w:rPr>
          <w:rFonts w:ascii="Times New Roman" w:hAnsi="Times New Roman"/>
          <w:lang w:val="lv-LV"/>
        </w:rPr>
        <w:t xml:space="preserve">abula: Bezdarba līmenis Programmas reģionos </w:t>
      </w:r>
      <w:r w:rsidR="007E0AEC" w:rsidRPr="002631B7">
        <w:rPr>
          <w:rFonts w:ascii="Times New Roman" w:hAnsi="Times New Roman"/>
          <w:lang w:val="lv-LV"/>
        </w:rPr>
        <w:t>(</w:t>
      </w:r>
      <w:r w:rsidR="006D39E8" w:rsidRPr="002631B7">
        <w:rPr>
          <w:rFonts w:ascii="Times New Roman" w:hAnsi="Times New Roman"/>
          <w:lang w:val="lv-LV"/>
        </w:rPr>
        <w:t>%</w:t>
      </w:r>
      <w:r w:rsidR="007E0AEC" w:rsidRPr="002631B7">
        <w:rPr>
          <w:rFonts w:ascii="Times New Roman" w:hAnsi="Times New Roman"/>
          <w:lang w:val="lv-LV"/>
        </w:rPr>
        <w:t>)</w:t>
      </w:r>
      <w:r w:rsidR="006D39E8" w:rsidRPr="002631B7">
        <w:rPr>
          <w:rFonts w:ascii="Times New Roman" w:hAnsi="Times New Roman"/>
          <w:lang w:val="lv-LV"/>
        </w:rPr>
        <w:t>)</w:t>
      </w:r>
    </w:p>
    <w:p w:rsidR="00D115F2" w:rsidRPr="00714469" w:rsidRDefault="00AB73A9" w:rsidP="00E302F6">
      <w:pPr>
        <w:spacing w:before="120" w:line="240" w:lineRule="auto"/>
        <w:rPr>
          <w:rFonts w:ascii="Times New Roman" w:hAnsi="Times New Roman"/>
          <w:lang w:val="lv-LV"/>
        </w:rPr>
      </w:pPr>
      <w:r w:rsidRPr="00714469">
        <w:rPr>
          <w:rFonts w:ascii="Times New Roman" w:hAnsi="Times New Roman"/>
          <w:lang w:val="lv-LV"/>
        </w:rPr>
        <w:t>Neskatoties uz pozitīvajām tendencēm, ilgtermiņa bezdarba līmenis Programmas teritorijā ir augstāks nekā ES</w:t>
      </w:r>
      <w:r w:rsidR="002D4758" w:rsidRPr="00714469">
        <w:rPr>
          <w:rFonts w:ascii="Times New Roman" w:hAnsi="Times New Roman"/>
          <w:lang w:val="lv-LV"/>
        </w:rPr>
        <w:t xml:space="preserve"> </w:t>
      </w:r>
      <w:r w:rsidR="00B416CF" w:rsidRPr="00714469">
        <w:rPr>
          <w:rFonts w:ascii="Times New Roman" w:hAnsi="Times New Roman"/>
          <w:lang w:val="lv-LV"/>
        </w:rPr>
        <w:t>vidēji</w:t>
      </w:r>
      <w:r w:rsidRPr="00714469">
        <w:rPr>
          <w:rFonts w:ascii="Times New Roman" w:hAnsi="Times New Roman"/>
          <w:lang w:val="lv-LV"/>
        </w:rPr>
        <w:t>. Šī situācija atspoguļo</w:t>
      </w:r>
      <w:r w:rsidR="002D4758" w:rsidRPr="00714469">
        <w:rPr>
          <w:rFonts w:ascii="Times New Roman" w:hAnsi="Times New Roman"/>
          <w:lang w:val="lv-LV"/>
        </w:rPr>
        <w:t xml:space="preserve"> arī kopējās</w:t>
      </w:r>
      <w:r w:rsidRPr="00714469">
        <w:rPr>
          <w:rFonts w:ascii="Times New Roman" w:hAnsi="Times New Roman"/>
          <w:lang w:val="lv-LV"/>
        </w:rPr>
        <w:t xml:space="preserve"> </w:t>
      </w:r>
      <w:r w:rsidR="00B84EA9" w:rsidRPr="00714469">
        <w:rPr>
          <w:rFonts w:ascii="Times New Roman" w:hAnsi="Times New Roman"/>
          <w:lang w:val="lv-LV"/>
        </w:rPr>
        <w:t>valst</w:t>
      </w:r>
      <w:r w:rsidR="00B84EA9">
        <w:rPr>
          <w:rFonts w:ascii="Times New Roman" w:hAnsi="Times New Roman"/>
          <w:lang w:val="lv-LV"/>
        </w:rPr>
        <w:t>u</w:t>
      </w:r>
      <w:r w:rsidR="00B84EA9" w:rsidRPr="00714469">
        <w:rPr>
          <w:rFonts w:ascii="Times New Roman" w:hAnsi="Times New Roman"/>
          <w:lang w:val="lv-LV"/>
        </w:rPr>
        <w:t xml:space="preserve"> </w:t>
      </w:r>
      <w:r w:rsidRPr="00714469">
        <w:rPr>
          <w:rFonts w:ascii="Times New Roman" w:hAnsi="Times New Roman"/>
          <w:lang w:val="lv-LV"/>
        </w:rPr>
        <w:t>tendences un nor</w:t>
      </w:r>
      <w:r w:rsidR="00823508" w:rsidRPr="00714469">
        <w:rPr>
          <w:rFonts w:ascii="Times New Roman" w:hAnsi="Times New Roman"/>
          <w:lang w:val="lv-LV"/>
        </w:rPr>
        <w:t>āda</w:t>
      </w:r>
      <w:r w:rsidR="00B84EA9">
        <w:rPr>
          <w:rFonts w:ascii="Times New Roman" w:hAnsi="Times New Roman"/>
          <w:lang w:val="lv-LV"/>
        </w:rPr>
        <w:t xml:space="preserve">, ka darba tirgum </w:t>
      </w:r>
      <w:r w:rsidR="0054325D" w:rsidRPr="00714469">
        <w:rPr>
          <w:rFonts w:ascii="Times New Roman" w:hAnsi="Times New Roman"/>
          <w:lang w:val="lv-LV"/>
        </w:rPr>
        <w:t>neatbilstoš</w:t>
      </w:r>
      <w:r w:rsidR="00B84EA9">
        <w:rPr>
          <w:rFonts w:ascii="Times New Roman" w:hAnsi="Times New Roman"/>
          <w:lang w:val="lv-LV"/>
        </w:rPr>
        <w:t>as</w:t>
      </w:r>
      <w:r w:rsidR="0054325D" w:rsidRPr="00714469">
        <w:rPr>
          <w:rFonts w:ascii="Times New Roman" w:hAnsi="Times New Roman"/>
          <w:lang w:val="lv-LV"/>
        </w:rPr>
        <w:t xml:space="preserve"> </w:t>
      </w:r>
      <w:r w:rsidR="00823508" w:rsidRPr="00714469">
        <w:rPr>
          <w:rFonts w:ascii="Times New Roman" w:hAnsi="Times New Roman"/>
          <w:lang w:val="lv-LV"/>
        </w:rPr>
        <w:t>prasm</w:t>
      </w:r>
      <w:r w:rsidR="00B84EA9">
        <w:rPr>
          <w:rFonts w:ascii="Times New Roman" w:hAnsi="Times New Roman"/>
          <w:lang w:val="lv-LV"/>
        </w:rPr>
        <w:t>es</w:t>
      </w:r>
      <w:r w:rsidR="00823508" w:rsidRPr="00714469">
        <w:rPr>
          <w:rFonts w:ascii="Times New Roman" w:hAnsi="Times New Roman"/>
          <w:lang w:val="lv-LV"/>
        </w:rPr>
        <w:t xml:space="preserve"> neļauj </w:t>
      </w:r>
      <w:r w:rsidR="002D4758" w:rsidRPr="00714469">
        <w:rPr>
          <w:rFonts w:ascii="Times New Roman" w:hAnsi="Times New Roman"/>
          <w:lang w:val="lv-LV"/>
        </w:rPr>
        <w:t>vai</w:t>
      </w:r>
      <w:r w:rsidR="00823508" w:rsidRPr="00714469">
        <w:rPr>
          <w:rFonts w:ascii="Times New Roman" w:hAnsi="Times New Roman"/>
          <w:lang w:val="lv-LV"/>
        </w:rPr>
        <w:t xml:space="preserve"> traucē</w:t>
      </w:r>
      <w:r w:rsidR="002D4758" w:rsidRPr="00714469">
        <w:rPr>
          <w:rFonts w:ascii="Times New Roman" w:hAnsi="Times New Roman"/>
          <w:lang w:val="lv-LV"/>
        </w:rPr>
        <w:t xml:space="preserve"> gan bez darba esošajām</w:t>
      </w:r>
      <w:r w:rsidR="00823508" w:rsidRPr="00714469">
        <w:rPr>
          <w:rFonts w:ascii="Times New Roman" w:hAnsi="Times New Roman"/>
          <w:lang w:val="lv-LV"/>
        </w:rPr>
        <w:t xml:space="preserve"> personām</w:t>
      </w:r>
      <w:r w:rsidR="002D4758" w:rsidRPr="00714469">
        <w:rPr>
          <w:rFonts w:ascii="Times New Roman" w:hAnsi="Times New Roman"/>
          <w:lang w:val="lv-LV"/>
        </w:rPr>
        <w:t>, gan nodarbinātajiem</w:t>
      </w:r>
      <w:r w:rsidR="00823508" w:rsidRPr="00714469">
        <w:rPr>
          <w:rFonts w:ascii="Times New Roman" w:hAnsi="Times New Roman"/>
          <w:lang w:val="lv-LV"/>
        </w:rPr>
        <w:t xml:space="preserve"> reaģēt uz darba tirgus izmaiņām. Ierobežotas </w:t>
      </w:r>
      <w:r w:rsidR="00B84EA9">
        <w:rPr>
          <w:rFonts w:ascii="Times New Roman" w:hAnsi="Times New Roman"/>
          <w:lang w:val="lv-LV"/>
        </w:rPr>
        <w:t>darba</w:t>
      </w:r>
      <w:r w:rsidR="00B84EA9" w:rsidRPr="00714469">
        <w:rPr>
          <w:rFonts w:ascii="Times New Roman" w:hAnsi="Times New Roman"/>
          <w:lang w:val="lv-LV"/>
        </w:rPr>
        <w:t xml:space="preserve"> </w:t>
      </w:r>
      <w:r w:rsidR="00823508" w:rsidRPr="00714469">
        <w:rPr>
          <w:rFonts w:ascii="Times New Roman" w:hAnsi="Times New Roman"/>
          <w:lang w:val="lv-LV"/>
        </w:rPr>
        <w:t xml:space="preserve">iespējas saasina strukturālā bezdarba risku (piemēram, 2012. gadā ilgtermiņa bezdarba līmenis Latvijā bija 7,8%, bet Lietuvā – 6,6%). Lai arī </w:t>
      </w:r>
      <w:r w:rsidR="0054325D" w:rsidRPr="00714469">
        <w:rPr>
          <w:rFonts w:ascii="Times New Roman" w:hAnsi="Times New Roman"/>
          <w:lang w:val="lv-LV"/>
        </w:rPr>
        <w:t>ilgtermiņa bezdarb</w:t>
      </w:r>
      <w:r w:rsidR="00F85C43" w:rsidRPr="00714469">
        <w:rPr>
          <w:rFonts w:ascii="Times New Roman" w:hAnsi="Times New Roman"/>
          <w:lang w:val="lv-LV"/>
        </w:rPr>
        <w:t>s</w:t>
      </w:r>
      <w:r w:rsidR="0054325D" w:rsidRPr="00714469">
        <w:rPr>
          <w:rFonts w:ascii="Times New Roman" w:hAnsi="Times New Roman"/>
          <w:lang w:val="lv-LV"/>
        </w:rPr>
        <w:t xml:space="preserve"> </w:t>
      </w:r>
      <w:r w:rsidR="002D4758" w:rsidRPr="00714469">
        <w:rPr>
          <w:rFonts w:ascii="Times New Roman" w:hAnsi="Times New Roman"/>
          <w:lang w:val="lv-LV"/>
        </w:rPr>
        <w:t>samazinās</w:t>
      </w:r>
      <w:r w:rsidR="00823508" w:rsidRPr="00714469">
        <w:rPr>
          <w:rFonts w:ascii="Times New Roman" w:hAnsi="Times New Roman"/>
          <w:lang w:val="lv-LV"/>
        </w:rPr>
        <w:t xml:space="preserve">, </w:t>
      </w:r>
      <w:r w:rsidR="0054325D" w:rsidRPr="00714469">
        <w:rPr>
          <w:rFonts w:ascii="Times New Roman" w:hAnsi="Times New Roman"/>
          <w:lang w:val="lv-LV"/>
        </w:rPr>
        <w:t xml:space="preserve">tas joprojām </w:t>
      </w:r>
      <w:r w:rsidR="00823508" w:rsidRPr="00714469">
        <w:rPr>
          <w:rFonts w:ascii="Times New Roman" w:hAnsi="Times New Roman"/>
          <w:lang w:val="lv-LV"/>
        </w:rPr>
        <w:t xml:space="preserve">liecina par nopietnām problēmām Programmas teritorijā, jo </w:t>
      </w:r>
      <w:r w:rsidR="00F85C43" w:rsidRPr="00714469">
        <w:rPr>
          <w:rFonts w:ascii="Times New Roman" w:hAnsi="Times New Roman"/>
          <w:lang w:val="lv-LV"/>
        </w:rPr>
        <w:t>rādītāji</w:t>
      </w:r>
      <w:r w:rsidR="00823508" w:rsidRPr="00714469">
        <w:rPr>
          <w:rFonts w:ascii="Times New Roman" w:hAnsi="Times New Roman"/>
          <w:lang w:val="lv-LV"/>
        </w:rPr>
        <w:t xml:space="preserve"> ievērojami atpaliek no pirmskrīzes </w:t>
      </w:r>
      <w:r w:rsidR="00F85C43" w:rsidRPr="00714469">
        <w:rPr>
          <w:rFonts w:ascii="Times New Roman" w:hAnsi="Times New Roman"/>
          <w:lang w:val="lv-LV"/>
        </w:rPr>
        <w:t>līmeņa</w:t>
      </w:r>
      <w:r w:rsidR="0054325D" w:rsidRPr="00714469">
        <w:rPr>
          <w:rFonts w:ascii="Times New Roman" w:hAnsi="Times New Roman"/>
          <w:lang w:val="lv-LV"/>
        </w:rPr>
        <w:t xml:space="preserve"> </w:t>
      </w:r>
      <w:r w:rsidR="00823508" w:rsidRPr="00714469">
        <w:rPr>
          <w:rFonts w:ascii="Times New Roman" w:hAnsi="Times New Roman"/>
          <w:lang w:val="lv-LV"/>
        </w:rPr>
        <w:t xml:space="preserve">(2008. gadā ilgtermiņa bezdarba līmenis Latvijā bija 2,1%, savukārt Lietuvā – 1,1%). </w:t>
      </w:r>
      <w:r w:rsidR="0054325D" w:rsidRPr="00714469">
        <w:rPr>
          <w:rFonts w:ascii="Times New Roman" w:hAnsi="Times New Roman"/>
          <w:lang w:val="lv-LV"/>
        </w:rPr>
        <w:t xml:space="preserve">Tāpēc </w:t>
      </w:r>
      <w:r w:rsidR="00823508" w:rsidRPr="00714469">
        <w:rPr>
          <w:rFonts w:ascii="Times New Roman" w:hAnsi="Times New Roman"/>
          <w:lang w:val="lv-LV"/>
        </w:rPr>
        <w:t>nepieciešams samazināt un pārvarēt prasmju neatbilstību</w:t>
      </w:r>
      <w:r w:rsidR="00015FA4" w:rsidRPr="00714469">
        <w:rPr>
          <w:rFonts w:ascii="Times New Roman" w:hAnsi="Times New Roman"/>
          <w:lang w:val="lv-LV"/>
        </w:rPr>
        <w:t xml:space="preserve"> darba tirgus faktiskajām</w:t>
      </w:r>
      <w:r w:rsidR="00823508" w:rsidRPr="00714469">
        <w:rPr>
          <w:rFonts w:ascii="Times New Roman" w:hAnsi="Times New Roman"/>
          <w:lang w:val="lv-LV"/>
        </w:rPr>
        <w:t xml:space="preserve"> </w:t>
      </w:r>
      <w:r w:rsidR="00015FA4" w:rsidRPr="00714469">
        <w:rPr>
          <w:rFonts w:ascii="Times New Roman" w:hAnsi="Times New Roman"/>
          <w:lang w:val="lv-LV"/>
        </w:rPr>
        <w:t>vajadzībām</w:t>
      </w:r>
      <w:r w:rsidR="00823508" w:rsidRPr="00714469">
        <w:rPr>
          <w:rFonts w:ascii="Times New Roman" w:hAnsi="Times New Roman"/>
          <w:lang w:val="lv-LV"/>
        </w:rPr>
        <w:t>.</w:t>
      </w:r>
    </w:p>
    <w:p w:rsidR="00D115F2" w:rsidRPr="00714469" w:rsidRDefault="006943D1" w:rsidP="00E302F6">
      <w:pPr>
        <w:spacing w:before="120" w:line="240" w:lineRule="auto"/>
        <w:rPr>
          <w:rFonts w:ascii="Times New Roman" w:hAnsi="Times New Roman"/>
          <w:lang w:val="lv-LV" w:eastAsia="et-EE"/>
        </w:rPr>
      </w:pPr>
      <w:r w:rsidRPr="00714469">
        <w:rPr>
          <w:rFonts w:ascii="Times New Roman" w:hAnsi="Times New Roman"/>
          <w:lang w:val="lv-LV" w:eastAsia="et-EE"/>
        </w:rPr>
        <w:lastRenderedPageBreak/>
        <w:t>Programmas reģion</w:t>
      </w:r>
      <w:r w:rsidR="002D4758" w:rsidRPr="00714469">
        <w:rPr>
          <w:rFonts w:ascii="Times New Roman" w:hAnsi="Times New Roman"/>
          <w:lang w:val="lv-LV" w:eastAsia="et-EE"/>
        </w:rPr>
        <w:t>iem</w:t>
      </w:r>
      <w:r w:rsidRPr="00714469">
        <w:rPr>
          <w:rFonts w:ascii="Times New Roman" w:hAnsi="Times New Roman"/>
          <w:lang w:val="lv-LV" w:eastAsia="et-EE"/>
        </w:rPr>
        <w:t xml:space="preserve"> </w:t>
      </w:r>
      <w:r w:rsidR="00AC6317" w:rsidRPr="00714469">
        <w:rPr>
          <w:rFonts w:ascii="Times New Roman" w:hAnsi="Times New Roman"/>
          <w:lang w:val="lv-LV" w:eastAsia="et-EE"/>
        </w:rPr>
        <w:t xml:space="preserve">ir </w:t>
      </w:r>
      <w:r w:rsidRPr="00714469">
        <w:rPr>
          <w:rFonts w:ascii="Times New Roman" w:hAnsi="Times New Roman"/>
          <w:lang w:val="lv-LV" w:eastAsia="et-EE"/>
        </w:rPr>
        <w:t>raksturīgs augsts jauniešu bezdarba līmenis (</w:t>
      </w:r>
      <w:r w:rsidR="002D4758" w:rsidRPr="00714469">
        <w:rPr>
          <w:rFonts w:ascii="Times New Roman" w:hAnsi="Times New Roman"/>
          <w:lang w:val="lv-LV" w:eastAsia="et-EE"/>
        </w:rPr>
        <w:t>jauniešu bezdarbs</w:t>
      </w:r>
      <w:r w:rsidR="003837DD" w:rsidRPr="00714469">
        <w:rPr>
          <w:rFonts w:ascii="Times New Roman" w:hAnsi="Times New Roman"/>
          <w:lang w:val="lv-LV" w:eastAsia="et-EE"/>
        </w:rPr>
        <w:t xml:space="preserve"> 2012. gadā bija 28,5% Latvijā un 26,7% Lietuvā). Tādējādi ir svarīgi nodrošināt jauniešiem iespējas apgūt </w:t>
      </w:r>
      <w:r w:rsidR="0054325D" w:rsidRPr="00714469">
        <w:rPr>
          <w:rFonts w:ascii="Times New Roman" w:hAnsi="Times New Roman"/>
          <w:lang w:val="lv-LV" w:eastAsia="et-EE"/>
        </w:rPr>
        <w:t xml:space="preserve">tādas </w:t>
      </w:r>
      <w:r w:rsidR="003837DD" w:rsidRPr="00714469">
        <w:rPr>
          <w:rFonts w:ascii="Times New Roman" w:hAnsi="Times New Roman"/>
          <w:lang w:val="lv-LV" w:eastAsia="et-EE"/>
        </w:rPr>
        <w:t xml:space="preserve">prasmes, </w:t>
      </w:r>
      <w:r w:rsidR="0054325D" w:rsidRPr="00714469">
        <w:rPr>
          <w:rFonts w:ascii="Times New Roman" w:hAnsi="Times New Roman"/>
          <w:lang w:val="lv-LV" w:eastAsia="et-EE"/>
        </w:rPr>
        <w:t xml:space="preserve">kas ir pieprasītas </w:t>
      </w:r>
      <w:r w:rsidR="003837DD" w:rsidRPr="00714469">
        <w:rPr>
          <w:rFonts w:ascii="Times New Roman" w:hAnsi="Times New Roman"/>
          <w:lang w:val="lv-LV" w:eastAsia="et-EE"/>
        </w:rPr>
        <w:t xml:space="preserve">darba tirgū. Tas ir svarīgi ne tikai pašreizējiem darba tirgus dalībniekiem, bet arī absolventiem un studentiem. Darba iespējas un nodarbinātību reģionos attiecībā uz jauniešiem </w:t>
      </w:r>
      <w:r w:rsidR="00B84EA9">
        <w:rPr>
          <w:rFonts w:ascii="Times New Roman" w:hAnsi="Times New Roman"/>
          <w:lang w:val="lv-LV" w:eastAsia="et-EE"/>
        </w:rPr>
        <w:t>apgrūtina</w:t>
      </w:r>
      <w:r w:rsidR="002D4758" w:rsidRPr="00714469">
        <w:rPr>
          <w:rFonts w:ascii="Times New Roman" w:hAnsi="Times New Roman"/>
          <w:lang w:val="lv-LV" w:eastAsia="et-EE"/>
        </w:rPr>
        <w:t xml:space="preserve"> arī</w:t>
      </w:r>
      <w:r w:rsidR="003837DD" w:rsidRPr="00714469">
        <w:rPr>
          <w:rFonts w:ascii="Times New Roman" w:hAnsi="Times New Roman"/>
          <w:lang w:val="lv-LV" w:eastAsia="et-EE"/>
        </w:rPr>
        <w:t xml:space="preserve"> ierobežot</w:t>
      </w:r>
      <w:r w:rsidR="0054325D" w:rsidRPr="00714469">
        <w:rPr>
          <w:rFonts w:ascii="Times New Roman" w:hAnsi="Times New Roman"/>
          <w:lang w:val="lv-LV" w:eastAsia="et-EE"/>
        </w:rPr>
        <w:t>ā</w:t>
      </w:r>
      <w:r w:rsidR="003837DD" w:rsidRPr="00714469">
        <w:rPr>
          <w:rFonts w:ascii="Times New Roman" w:hAnsi="Times New Roman"/>
          <w:lang w:val="lv-LV" w:eastAsia="et-EE"/>
        </w:rPr>
        <w:t xml:space="preserve"> </w:t>
      </w:r>
      <w:r w:rsidR="002D4758" w:rsidRPr="00714469">
        <w:rPr>
          <w:rFonts w:ascii="Times New Roman" w:hAnsi="Times New Roman"/>
          <w:lang w:val="lv-LV" w:eastAsia="et-EE"/>
        </w:rPr>
        <w:t xml:space="preserve">pieeja </w:t>
      </w:r>
      <w:r w:rsidR="003837DD" w:rsidRPr="00714469">
        <w:rPr>
          <w:rFonts w:ascii="Times New Roman" w:hAnsi="Times New Roman"/>
          <w:lang w:val="lv-LV" w:eastAsia="et-EE"/>
        </w:rPr>
        <w:t xml:space="preserve">informācijai par </w:t>
      </w:r>
      <w:r w:rsidR="002D4758" w:rsidRPr="00714469">
        <w:rPr>
          <w:rFonts w:ascii="Times New Roman" w:hAnsi="Times New Roman"/>
          <w:lang w:val="lv-LV" w:eastAsia="et-EE"/>
        </w:rPr>
        <w:t xml:space="preserve">pārrobežu </w:t>
      </w:r>
      <w:r w:rsidR="003837DD" w:rsidRPr="00714469">
        <w:rPr>
          <w:rFonts w:ascii="Times New Roman" w:hAnsi="Times New Roman"/>
          <w:lang w:val="lv-LV" w:eastAsia="et-EE"/>
        </w:rPr>
        <w:t>darba iespējām, kā arī ierobežot</w:t>
      </w:r>
      <w:r w:rsidR="002D4758" w:rsidRPr="00714469">
        <w:rPr>
          <w:rFonts w:ascii="Times New Roman" w:hAnsi="Times New Roman"/>
          <w:lang w:val="lv-LV" w:eastAsia="et-EE"/>
        </w:rPr>
        <w:t>a</w:t>
      </w:r>
      <w:r w:rsidR="003837DD" w:rsidRPr="00714469">
        <w:rPr>
          <w:rFonts w:ascii="Times New Roman" w:hAnsi="Times New Roman"/>
          <w:lang w:val="lv-LV" w:eastAsia="et-EE"/>
        </w:rPr>
        <w:t xml:space="preserve"> </w:t>
      </w:r>
      <w:r w:rsidR="002D4758" w:rsidRPr="00714469">
        <w:rPr>
          <w:rFonts w:ascii="Times New Roman" w:hAnsi="Times New Roman"/>
          <w:lang w:val="lv-LV" w:eastAsia="et-EE"/>
        </w:rPr>
        <w:t>pieeja darba vietām no attālākām apdzīvotām vietām</w:t>
      </w:r>
      <w:r w:rsidR="003837DD" w:rsidRPr="00714469">
        <w:rPr>
          <w:rFonts w:ascii="Times New Roman" w:hAnsi="Times New Roman"/>
          <w:lang w:val="lv-LV" w:eastAsia="et-EE"/>
        </w:rPr>
        <w:t xml:space="preserve">. </w:t>
      </w:r>
    </w:p>
    <w:p w:rsidR="00D115F2" w:rsidRPr="00714469" w:rsidRDefault="003837DD" w:rsidP="00E302F6">
      <w:pPr>
        <w:spacing w:before="120" w:line="240" w:lineRule="auto"/>
        <w:rPr>
          <w:rFonts w:ascii="Times New Roman" w:hAnsi="Times New Roman"/>
          <w:lang w:val="lv-LV"/>
        </w:rPr>
      </w:pPr>
      <w:r w:rsidRPr="00714469">
        <w:rPr>
          <w:rFonts w:ascii="Times New Roman" w:hAnsi="Times New Roman"/>
          <w:lang w:val="lv-LV"/>
        </w:rPr>
        <w:t>Programma</w:t>
      </w:r>
      <w:r w:rsidR="0054325D" w:rsidRPr="00714469">
        <w:rPr>
          <w:rFonts w:ascii="Times New Roman" w:hAnsi="Times New Roman"/>
          <w:lang w:val="lv-LV"/>
        </w:rPr>
        <w:t xml:space="preserve"> plāno</w:t>
      </w:r>
      <w:r w:rsidR="002D4758" w:rsidRPr="00714469">
        <w:rPr>
          <w:rFonts w:ascii="Times New Roman" w:hAnsi="Times New Roman"/>
          <w:lang w:val="lv-LV"/>
        </w:rPr>
        <w:t xml:space="preserve"> fokusēties uz </w:t>
      </w:r>
      <w:r w:rsidRPr="00714469">
        <w:rPr>
          <w:rFonts w:ascii="Times New Roman" w:hAnsi="Times New Roman"/>
          <w:lang w:val="lv-LV"/>
        </w:rPr>
        <w:t>darbaspēka mobilitātes palielināšan</w:t>
      </w:r>
      <w:r w:rsidR="002D4758" w:rsidRPr="00714469">
        <w:rPr>
          <w:rFonts w:ascii="Times New Roman" w:hAnsi="Times New Roman"/>
          <w:lang w:val="lv-LV"/>
        </w:rPr>
        <w:t>u</w:t>
      </w:r>
      <w:r w:rsidRPr="00714469">
        <w:rPr>
          <w:rFonts w:ascii="Times New Roman" w:hAnsi="Times New Roman"/>
          <w:lang w:val="lv-LV"/>
        </w:rPr>
        <w:t xml:space="preserve"> un</w:t>
      </w:r>
      <w:r w:rsidR="002D4758" w:rsidRPr="00714469">
        <w:rPr>
          <w:rFonts w:ascii="Times New Roman" w:hAnsi="Times New Roman"/>
          <w:lang w:val="lv-LV"/>
        </w:rPr>
        <w:t xml:space="preserve"> nodrošināt iespējas</w:t>
      </w:r>
      <w:r w:rsidRPr="00714469">
        <w:rPr>
          <w:rFonts w:ascii="Times New Roman" w:hAnsi="Times New Roman"/>
          <w:lang w:val="lv-LV"/>
        </w:rPr>
        <w:t xml:space="preserve"> </w:t>
      </w:r>
      <w:r w:rsidR="00B84EA9">
        <w:rPr>
          <w:rFonts w:ascii="Times New Roman" w:hAnsi="Times New Roman"/>
          <w:lang w:val="lv-LV"/>
        </w:rPr>
        <w:t xml:space="preserve">darba tirgum atbilstošu </w:t>
      </w:r>
      <w:r w:rsidRPr="00714469">
        <w:rPr>
          <w:rFonts w:ascii="Times New Roman" w:hAnsi="Times New Roman"/>
          <w:lang w:val="lv-LV"/>
        </w:rPr>
        <w:t xml:space="preserve">prasmju </w:t>
      </w:r>
      <w:r w:rsidR="0054325D" w:rsidRPr="00714469">
        <w:rPr>
          <w:rFonts w:ascii="Times New Roman" w:hAnsi="Times New Roman"/>
          <w:lang w:val="lv-LV"/>
        </w:rPr>
        <w:t>uzlabošanai</w:t>
      </w:r>
      <w:r w:rsidR="00B84EA9">
        <w:rPr>
          <w:rFonts w:ascii="Times New Roman" w:hAnsi="Times New Roman"/>
          <w:lang w:val="lv-LV"/>
        </w:rPr>
        <w:t>.</w:t>
      </w:r>
      <w:r w:rsidRPr="00714469">
        <w:rPr>
          <w:rFonts w:ascii="Times New Roman" w:hAnsi="Times New Roman"/>
          <w:lang w:val="lv-LV"/>
        </w:rPr>
        <w:t xml:space="preserve"> </w:t>
      </w:r>
    </w:p>
    <w:p w:rsidR="00D115F2" w:rsidRPr="00714469" w:rsidRDefault="00B84EA9" w:rsidP="00E302F6">
      <w:pPr>
        <w:spacing w:before="120" w:line="240" w:lineRule="auto"/>
        <w:rPr>
          <w:rFonts w:ascii="Times New Roman" w:hAnsi="Times New Roman"/>
          <w:lang w:val="lv-LV"/>
        </w:rPr>
      </w:pPr>
      <w:r>
        <w:rPr>
          <w:rFonts w:ascii="Times New Roman" w:hAnsi="Times New Roman"/>
          <w:lang w:val="lv-LV"/>
        </w:rPr>
        <w:t>Kopējo e</w:t>
      </w:r>
      <w:r w:rsidR="00A7385D" w:rsidRPr="00714469">
        <w:rPr>
          <w:rFonts w:ascii="Times New Roman" w:hAnsi="Times New Roman"/>
          <w:lang w:val="lv-LV"/>
        </w:rPr>
        <w:t xml:space="preserve">konomisko aktivitāti un nodarbinātību reģionos </w:t>
      </w:r>
      <w:r w:rsidR="002D4758" w:rsidRPr="00714469">
        <w:rPr>
          <w:rFonts w:ascii="Times New Roman" w:hAnsi="Times New Roman"/>
          <w:lang w:val="lv-LV"/>
        </w:rPr>
        <w:t xml:space="preserve">atspoguļo </w:t>
      </w:r>
      <w:r w:rsidR="00A7385D" w:rsidRPr="00714469">
        <w:rPr>
          <w:rFonts w:ascii="Times New Roman" w:hAnsi="Times New Roman"/>
          <w:lang w:val="lv-LV"/>
        </w:rPr>
        <w:t>mazo uzņēmumu un mikrouzņēmumu, uzņēmumu izveides un pašnodarbinātības līmenis (mazie uzņēmumi un mikrouzņēmumi</w:t>
      </w:r>
      <w:r w:rsidR="002D4758" w:rsidRPr="00714469">
        <w:rPr>
          <w:rFonts w:ascii="Times New Roman" w:hAnsi="Times New Roman"/>
          <w:lang w:val="lv-LV"/>
        </w:rPr>
        <w:t xml:space="preserve"> </w:t>
      </w:r>
      <w:r w:rsidR="0054325D" w:rsidRPr="00714469">
        <w:rPr>
          <w:rFonts w:ascii="Times New Roman" w:hAnsi="Times New Roman"/>
          <w:lang w:val="lv-LV"/>
        </w:rPr>
        <w:t xml:space="preserve">ir </w:t>
      </w:r>
      <w:r w:rsidR="00DB0B63" w:rsidRPr="00714469">
        <w:rPr>
          <w:rFonts w:ascii="Times New Roman" w:hAnsi="Times New Roman"/>
          <w:lang w:val="lv-LV"/>
        </w:rPr>
        <w:t xml:space="preserve">lielākā </w:t>
      </w:r>
      <w:r w:rsidR="0054325D" w:rsidRPr="00714469">
        <w:rPr>
          <w:rFonts w:ascii="Times New Roman" w:hAnsi="Times New Roman"/>
          <w:lang w:val="lv-LV"/>
        </w:rPr>
        <w:t xml:space="preserve">uzņēmējdarbības </w:t>
      </w:r>
      <w:r w:rsidR="00A7385D" w:rsidRPr="00714469">
        <w:rPr>
          <w:rFonts w:ascii="Times New Roman" w:hAnsi="Times New Roman"/>
          <w:lang w:val="lv-LV"/>
        </w:rPr>
        <w:t>sektora daļ</w:t>
      </w:r>
      <w:r w:rsidR="00DB0B63" w:rsidRPr="00714469">
        <w:rPr>
          <w:rFonts w:ascii="Times New Roman" w:hAnsi="Times New Roman"/>
          <w:lang w:val="lv-LV"/>
        </w:rPr>
        <w:t>a</w:t>
      </w:r>
      <w:r w:rsidR="002D4758" w:rsidRPr="00714469">
        <w:rPr>
          <w:rFonts w:ascii="Times New Roman" w:hAnsi="Times New Roman"/>
          <w:lang w:val="lv-LV"/>
        </w:rPr>
        <w:t xml:space="preserve"> Programmas teritorijā</w:t>
      </w:r>
      <w:r w:rsidR="00A7385D" w:rsidRPr="00714469">
        <w:rPr>
          <w:rFonts w:ascii="Times New Roman" w:hAnsi="Times New Roman"/>
          <w:lang w:val="lv-LV"/>
        </w:rPr>
        <w:t xml:space="preserve">). </w:t>
      </w:r>
    </w:p>
    <w:p w:rsidR="00D115F2" w:rsidRPr="00714469" w:rsidRDefault="00BB793F" w:rsidP="00E302F6">
      <w:pPr>
        <w:spacing w:before="120" w:line="240" w:lineRule="auto"/>
        <w:rPr>
          <w:rFonts w:ascii="Times New Roman" w:hAnsi="Times New Roman"/>
          <w:lang w:val="lv-LV"/>
        </w:rPr>
      </w:pPr>
      <w:r w:rsidRPr="00714469">
        <w:rPr>
          <w:rFonts w:ascii="Times New Roman" w:hAnsi="Times New Roman"/>
          <w:lang w:val="lv-LV"/>
        </w:rPr>
        <w:t>Programmas teritorijā darbojas valsts atbalstītās uzņēmējdarbības attīstības sistēmas</w:t>
      </w:r>
      <w:r w:rsidR="002D4758" w:rsidRPr="00714469">
        <w:rPr>
          <w:rFonts w:ascii="Times New Roman" w:hAnsi="Times New Roman"/>
          <w:lang w:val="lv-LV"/>
        </w:rPr>
        <w:t xml:space="preserve"> </w:t>
      </w:r>
      <w:r w:rsidRPr="00714469">
        <w:rPr>
          <w:rFonts w:ascii="Times New Roman" w:hAnsi="Times New Roman"/>
          <w:lang w:val="lv-LV"/>
        </w:rPr>
        <w:t xml:space="preserve">(sniedzot pakalpojumus gan tikko izveidotajiem, gan esošajiem uzņēmumiem). Tomēr uzņēmējdarbības statistikas </w:t>
      </w:r>
      <w:r w:rsidR="002D4758" w:rsidRPr="00714469">
        <w:rPr>
          <w:rFonts w:ascii="Times New Roman" w:hAnsi="Times New Roman"/>
          <w:lang w:val="lv-LV"/>
        </w:rPr>
        <w:t xml:space="preserve">rādītāji </w:t>
      </w:r>
      <w:r w:rsidRPr="00714469">
        <w:rPr>
          <w:rFonts w:ascii="Times New Roman" w:hAnsi="Times New Roman"/>
          <w:lang w:val="lv-LV"/>
        </w:rPr>
        <w:t xml:space="preserve">liecina par to, ka reģionos nepieciešami papildu uzņēmējdarbības atbalsta pasākumi, lai stimulētu nodarbinātību un radītu jaunas nodarbinātības iespējas. </w:t>
      </w:r>
      <w:r w:rsidR="00DB0B63" w:rsidRPr="00714469">
        <w:rPr>
          <w:rFonts w:ascii="Times New Roman" w:hAnsi="Times New Roman"/>
          <w:lang w:val="lv-LV"/>
        </w:rPr>
        <w:t>P</w:t>
      </w:r>
      <w:r w:rsidRPr="00714469">
        <w:rPr>
          <w:rFonts w:ascii="Times New Roman" w:hAnsi="Times New Roman"/>
          <w:lang w:val="lv-LV"/>
        </w:rPr>
        <w:t xml:space="preserve">ārrobežu sadarbība </w:t>
      </w:r>
      <w:r w:rsidR="00DB0B63" w:rsidRPr="00714469">
        <w:rPr>
          <w:rFonts w:ascii="Times New Roman" w:hAnsi="Times New Roman"/>
          <w:lang w:val="lv-LV"/>
        </w:rPr>
        <w:t xml:space="preserve">Programmas ietvaros </w:t>
      </w:r>
      <w:r w:rsidRPr="00714469">
        <w:rPr>
          <w:rFonts w:ascii="Times New Roman" w:hAnsi="Times New Roman"/>
          <w:lang w:val="lv-LV"/>
        </w:rPr>
        <w:t>ir veids, kā radīt jaunus vai uzlabot jau esošos uzņēmējdarbības atbalsta pasākumus</w:t>
      </w:r>
      <w:r w:rsidR="00CF6D16" w:rsidRPr="00714469">
        <w:rPr>
          <w:rFonts w:ascii="Times New Roman" w:hAnsi="Times New Roman"/>
          <w:lang w:val="lv-LV"/>
        </w:rPr>
        <w:t xml:space="preserve">. </w:t>
      </w:r>
    </w:p>
    <w:p w:rsidR="00D115F2" w:rsidRPr="00714469" w:rsidRDefault="00600CAC" w:rsidP="00E302F6">
      <w:pPr>
        <w:spacing w:before="120" w:line="240" w:lineRule="auto"/>
        <w:rPr>
          <w:rFonts w:ascii="Times New Roman" w:hAnsi="Times New Roman"/>
          <w:lang w:val="lv-LV"/>
        </w:rPr>
      </w:pPr>
      <w:r w:rsidRPr="00714469">
        <w:rPr>
          <w:rFonts w:ascii="Times New Roman" w:hAnsi="Times New Roman"/>
          <w:lang w:val="lv-LV"/>
        </w:rPr>
        <w:t xml:space="preserve">Programmas teritorijā vidējais uzņēmumu skaits ir mazāks nekā ES (92,2% no visiem uzņēmumiem). Mikrouzņēmumu skaits Latvijā veido 87,8% no visu uzņēmumu kopskaita, savukārt Lietuvā – 87,9% no visiem uzņēmumiem. Arī reģionālo uzņēmumu konkurētspēja joprojām ir </w:t>
      </w:r>
      <w:r w:rsidR="002D4758" w:rsidRPr="00714469">
        <w:rPr>
          <w:rFonts w:ascii="Times New Roman" w:hAnsi="Times New Roman"/>
          <w:lang w:val="lv-LV"/>
        </w:rPr>
        <w:t xml:space="preserve">zema. Turklāt pašnodarbinātība </w:t>
      </w:r>
      <w:r w:rsidRPr="00714469">
        <w:rPr>
          <w:rFonts w:ascii="Times New Roman" w:hAnsi="Times New Roman"/>
          <w:lang w:val="lv-LV"/>
        </w:rPr>
        <w:t>(procentuāli no k</w:t>
      </w:r>
      <w:r w:rsidR="002D4758" w:rsidRPr="00714469">
        <w:rPr>
          <w:rFonts w:ascii="Times New Roman" w:hAnsi="Times New Roman"/>
          <w:lang w:val="lv-LV"/>
        </w:rPr>
        <w:t>opējās nodarbinātības) ir zemākā līmenī nekā ES vidēji</w:t>
      </w:r>
      <w:r w:rsidRPr="00714469">
        <w:rPr>
          <w:rFonts w:ascii="Times New Roman" w:hAnsi="Times New Roman"/>
          <w:lang w:val="lv-LV"/>
        </w:rPr>
        <w:t xml:space="preserve"> (15% 2011. gadā [saskaņā ar </w:t>
      </w:r>
      <w:r w:rsidRPr="00714469">
        <w:rPr>
          <w:rFonts w:ascii="Times New Roman" w:hAnsi="Times New Roman"/>
          <w:i/>
          <w:lang w:val="lv-LV"/>
        </w:rPr>
        <w:t>Eurostat</w:t>
      </w:r>
      <w:r w:rsidRPr="00714469">
        <w:rPr>
          <w:rFonts w:ascii="Times New Roman" w:hAnsi="Times New Roman"/>
          <w:lang w:val="lv-LV"/>
        </w:rPr>
        <w:t xml:space="preserve"> datiem]) – 9% Lietuvā un 10% Latvijā.  </w:t>
      </w:r>
    </w:p>
    <w:p w:rsidR="007419A3" w:rsidRPr="00714469" w:rsidRDefault="00DB0B63" w:rsidP="00E302F6">
      <w:pPr>
        <w:spacing w:before="120" w:line="240" w:lineRule="auto"/>
        <w:rPr>
          <w:rFonts w:ascii="Times New Roman" w:hAnsi="Times New Roman"/>
          <w:lang w:val="lv-LV"/>
        </w:rPr>
      </w:pPr>
      <w:r w:rsidRPr="00714469">
        <w:rPr>
          <w:rFonts w:ascii="Times New Roman" w:hAnsi="Times New Roman"/>
          <w:lang w:val="lv-LV"/>
        </w:rPr>
        <w:t xml:space="preserve">Novērojamas pozitīvas tendences </w:t>
      </w:r>
      <w:r w:rsidR="00B6550E" w:rsidRPr="00714469">
        <w:rPr>
          <w:rFonts w:ascii="Times New Roman" w:hAnsi="Times New Roman"/>
          <w:lang w:val="lv-LV"/>
        </w:rPr>
        <w:t>jaunu uzņēmumu reģistrēšan</w:t>
      </w:r>
      <w:r w:rsidRPr="00714469">
        <w:rPr>
          <w:rFonts w:ascii="Times New Roman" w:hAnsi="Times New Roman"/>
          <w:lang w:val="lv-LV"/>
        </w:rPr>
        <w:t>ā</w:t>
      </w:r>
      <w:r w:rsidR="002D4758" w:rsidRPr="00714469">
        <w:rPr>
          <w:rFonts w:ascii="Times New Roman" w:hAnsi="Times New Roman"/>
          <w:lang w:val="lv-LV"/>
        </w:rPr>
        <w:t xml:space="preserve"> - j</w:t>
      </w:r>
      <w:r w:rsidR="00B6550E" w:rsidRPr="00714469">
        <w:rPr>
          <w:rFonts w:ascii="Times New Roman" w:hAnsi="Times New Roman"/>
          <w:lang w:val="lv-LV"/>
        </w:rPr>
        <w:t>aun</w:t>
      </w:r>
      <w:r w:rsidRPr="00714469">
        <w:rPr>
          <w:rFonts w:ascii="Times New Roman" w:hAnsi="Times New Roman"/>
          <w:lang w:val="lv-LV"/>
        </w:rPr>
        <w:t>u</w:t>
      </w:r>
      <w:r w:rsidR="00B6550E" w:rsidRPr="00714469">
        <w:rPr>
          <w:rFonts w:ascii="Times New Roman" w:hAnsi="Times New Roman"/>
          <w:lang w:val="lv-LV"/>
        </w:rPr>
        <w:t xml:space="preserve"> reģistrēto uzņēmumu skaits Programmas teritorijā trīs gadu</w:t>
      </w:r>
      <w:r w:rsidR="00AC6317" w:rsidRPr="00714469">
        <w:rPr>
          <w:rFonts w:ascii="Times New Roman" w:hAnsi="Times New Roman"/>
          <w:lang w:val="lv-LV"/>
        </w:rPr>
        <w:t xml:space="preserve"> laikā no 2010. gada līdz 2012. </w:t>
      </w:r>
      <w:r w:rsidR="00B6550E" w:rsidRPr="00714469">
        <w:rPr>
          <w:rFonts w:ascii="Times New Roman" w:hAnsi="Times New Roman"/>
          <w:lang w:val="lv-LV"/>
        </w:rPr>
        <w:t>gadam ir pieaudzis par 20% (21% Latvijas reģionos un 19% - Lietuvas reģionos). Tomēr šīs tendences Programmas teritorijā nav tik pozitīvas kā</w:t>
      </w:r>
      <w:r w:rsidR="00F577DD" w:rsidRPr="00714469">
        <w:rPr>
          <w:rFonts w:ascii="Times New Roman" w:hAnsi="Times New Roman"/>
          <w:lang w:val="lv-LV"/>
        </w:rPr>
        <w:t xml:space="preserve"> </w:t>
      </w:r>
      <w:r w:rsidR="00015FA4" w:rsidRPr="00714469">
        <w:rPr>
          <w:rFonts w:ascii="Times New Roman" w:hAnsi="Times New Roman"/>
          <w:lang w:val="lv-LV"/>
        </w:rPr>
        <w:t>valstī kopumā</w:t>
      </w:r>
      <w:r w:rsidR="00B6550E" w:rsidRPr="00714469">
        <w:rPr>
          <w:rFonts w:ascii="Times New Roman" w:hAnsi="Times New Roman"/>
          <w:lang w:val="lv-LV"/>
        </w:rPr>
        <w:t xml:space="preserve"> (</w:t>
      </w:r>
      <w:r w:rsidR="00F577DD" w:rsidRPr="00714469">
        <w:rPr>
          <w:rFonts w:ascii="Times New Roman" w:hAnsi="Times New Roman"/>
          <w:lang w:val="lv-LV"/>
        </w:rPr>
        <w:t>piemēram, Latvijā jaun</w:t>
      </w:r>
      <w:r w:rsidRPr="00714469">
        <w:rPr>
          <w:rFonts w:ascii="Times New Roman" w:hAnsi="Times New Roman"/>
          <w:lang w:val="lv-LV"/>
        </w:rPr>
        <w:t>u</w:t>
      </w:r>
      <w:r w:rsidR="00F577DD" w:rsidRPr="00714469">
        <w:rPr>
          <w:rFonts w:ascii="Times New Roman" w:hAnsi="Times New Roman"/>
          <w:lang w:val="lv-LV"/>
        </w:rPr>
        <w:t xml:space="preserve"> reģistrēto uzņēmumu skaits pieauga par 26%, savukārt Lietuvā – par 35%). </w:t>
      </w:r>
    </w:p>
    <w:p w:rsidR="007419A3" w:rsidRPr="00714469" w:rsidRDefault="001D4852" w:rsidP="00E302F6">
      <w:pPr>
        <w:tabs>
          <w:tab w:val="left" w:pos="2340"/>
        </w:tabs>
        <w:spacing w:before="120" w:line="240" w:lineRule="auto"/>
        <w:rPr>
          <w:rFonts w:ascii="Times New Roman" w:hAnsi="Times New Roman"/>
          <w:lang w:val="lv-LV"/>
        </w:rPr>
      </w:pPr>
      <w:r w:rsidRPr="00714469">
        <w:rPr>
          <w:rFonts w:ascii="Times New Roman" w:hAnsi="Times New Roman"/>
          <w:lang w:val="lv-LV"/>
        </w:rPr>
        <w:t>Turklāt Programmas teritorijā (iepr</w:t>
      </w:r>
      <w:r w:rsidR="00F45E5E" w:rsidRPr="00714469">
        <w:rPr>
          <w:rFonts w:ascii="Times New Roman" w:hAnsi="Times New Roman"/>
          <w:lang w:val="lv-LV"/>
        </w:rPr>
        <w:t>iekšminēto trīs gadu laikā) no U</w:t>
      </w:r>
      <w:r w:rsidRPr="00714469">
        <w:rPr>
          <w:rFonts w:ascii="Times New Roman" w:hAnsi="Times New Roman"/>
          <w:lang w:val="lv-LV"/>
        </w:rPr>
        <w:t xml:space="preserve">zņēmumu reģistra </w:t>
      </w:r>
      <w:r w:rsidR="00570DF6" w:rsidRPr="00714469">
        <w:rPr>
          <w:rFonts w:ascii="Times New Roman" w:hAnsi="Times New Roman"/>
          <w:lang w:val="lv-LV"/>
        </w:rPr>
        <w:t>dzēsto</w:t>
      </w:r>
      <w:r w:rsidRPr="00714469">
        <w:rPr>
          <w:rFonts w:ascii="Times New Roman" w:hAnsi="Times New Roman"/>
          <w:lang w:val="lv-LV"/>
        </w:rPr>
        <w:t xml:space="preserve"> uzņēmumu skaits arī samazinājās lēnāk nekā </w:t>
      </w:r>
      <w:r w:rsidR="00B416CF" w:rsidRPr="00714469">
        <w:rPr>
          <w:rFonts w:ascii="Times New Roman" w:hAnsi="Times New Roman"/>
          <w:lang w:val="lv-LV"/>
        </w:rPr>
        <w:t>atsevišķi valstu līmenī</w:t>
      </w:r>
      <w:r w:rsidRPr="00714469">
        <w:rPr>
          <w:rFonts w:ascii="Times New Roman" w:hAnsi="Times New Roman"/>
          <w:lang w:val="lv-LV"/>
        </w:rPr>
        <w:t xml:space="preserve">. Laika posmā no </w:t>
      </w:r>
      <w:r w:rsidR="00F45E5E" w:rsidRPr="00714469">
        <w:rPr>
          <w:rFonts w:ascii="Times New Roman" w:hAnsi="Times New Roman"/>
          <w:lang w:val="lv-LV"/>
        </w:rPr>
        <w:t>2010. gada līdz 2012. gadam no U</w:t>
      </w:r>
      <w:r w:rsidRPr="00714469">
        <w:rPr>
          <w:rFonts w:ascii="Times New Roman" w:hAnsi="Times New Roman"/>
          <w:lang w:val="lv-LV"/>
        </w:rPr>
        <w:t xml:space="preserve">zņēmuma reģistra </w:t>
      </w:r>
      <w:r w:rsidR="00570DF6" w:rsidRPr="00714469">
        <w:rPr>
          <w:rFonts w:ascii="Times New Roman" w:hAnsi="Times New Roman"/>
          <w:lang w:val="lv-LV"/>
        </w:rPr>
        <w:t>dzēsto</w:t>
      </w:r>
      <w:r w:rsidRPr="00714469">
        <w:rPr>
          <w:rFonts w:ascii="Times New Roman" w:hAnsi="Times New Roman"/>
          <w:lang w:val="lv-LV"/>
        </w:rPr>
        <w:t xml:space="preserve"> uzņēmumu skaits Latvijas reģionos samazinājās par 33% (Latvijā </w:t>
      </w:r>
      <w:r w:rsidR="0030164D" w:rsidRPr="00714469">
        <w:rPr>
          <w:rFonts w:ascii="Times New Roman" w:hAnsi="Times New Roman"/>
          <w:lang w:val="lv-LV"/>
        </w:rPr>
        <w:t xml:space="preserve">to </w:t>
      </w:r>
      <w:r w:rsidRPr="00714469">
        <w:rPr>
          <w:rFonts w:ascii="Times New Roman" w:hAnsi="Times New Roman"/>
          <w:lang w:val="lv-LV"/>
        </w:rPr>
        <w:t>skaitam samazinoties par 50%), savukārt Lietuvas reģionos nebija novērojamas ievērojamas izmaiņas attiecīb</w:t>
      </w:r>
      <w:r w:rsidR="00F45E5E" w:rsidRPr="00714469">
        <w:rPr>
          <w:rFonts w:ascii="Times New Roman" w:hAnsi="Times New Roman"/>
          <w:lang w:val="lv-LV"/>
        </w:rPr>
        <w:t>ā uz uzņēmumiem, kas dzēsti no U</w:t>
      </w:r>
      <w:r w:rsidRPr="00714469">
        <w:rPr>
          <w:rFonts w:ascii="Times New Roman" w:hAnsi="Times New Roman"/>
          <w:lang w:val="lv-LV"/>
        </w:rPr>
        <w:t xml:space="preserve">zņēmumu reģistra (to skaits palielinājās par 0,1%, Lietuvā skaitam samazinoties par 10%). Turklāt uzņēmumu </w:t>
      </w:r>
      <w:r w:rsidR="00DB0B63" w:rsidRPr="00714469">
        <w:rPr>
          <w:rFonts w:ascii="Times New Roman" w:hAnsi="Times New Roman"/>
          <w:lang w:val="lv-LV"/>
        </w:rPr>
        <w:t xml:space="preserve">izdzīvošanas </w:t>
      </w:r>
      <w:r w:rsidRPr="00714469">
        <w:rPr>
          <w:rFonts w:ascii="Times New Roman" w:hAnsi="Times New Roman"/>
          <w:lang w:val="lv-LV"/>
        </w:rPr>
        <w:t xml:space="preserve">rādītāji Latvijā un Lietuvā (īpaši to otrajā darbības gadā un vēlāk) ir zemāki </w:t>
      </w:r>
      <w:r w:rsidR="00BD3191" w:rsidRPr="00714469">
        <w:rPr>
          <w:rFonts w:ascii="Times New Roman" w:hAnsi="Times New Roman"/>
          <w:lang w:val="lv-LV"/>
        </w:rPr>
        <w:t>nekā vidējie</w:t>
      </w:r>
      <w:r w:rsidR="002E7FCB" w:rsidRPr="00714469">
        <w:rPr>
          <w:rFonts w:ascii="Times New Roman" w:hAnsi="Times New Roman"/>
          <w:lang w:val="lv-LV"/>
        </w:rPr>
        <w:t xml:space="preserve"> ES rādītāji</w:t>
      </w:r>
      <w:r w:rsidRPr="00714469">
        <w:rPr>
          <w:rFonts w:ascii="Times New Roman" w:hAnsi="Times New Roman"/>
          <w:lang w:val="lv-LV"/>
        </w:rPr>
        <w:t>.</w:t>
      </w:r>
    </w:p>
    <w:p w:rsidR="00D115F2" w:rsidRPr="00714469" w:rsidRDefault="008125A9" w:rsidP="00E302F6">
      <w:pPr>
        <w:tabs>
          <w:tab w:val="left" w:pos="2340"/>
        </w:tabs>
        <w:spacing w:before="120" w:line="240" w:lineRule="auto"/>
        <w:rPr>
          <w:rFonts w:ascii="Times New Roman" w:hAnsi="Times New Roman"/>
          <w:lang w:val="lv-LV"/>
        </w:rPr>
      </w:pPr>
      <w:r w:rsidRPr="00714469">
        <w:rPr>
          <w:rFonts w:ascii="Times New Roman" w:hAnsi="Times New Roman"/>
          <w:lang w:val="lv-LV"/>
        </w:rPr>
        <w:t xml:space="preserve">Pārrobežu uzņēmējdarbība </w:t>
      </w:r>
      <w:r w:rsidR="00893ECE" w:rsidRPr="00714469">
        <w:rPr>
          <w:rFonts w:ascii="Times New Roman" w:hAnsi="Times New Roman"/>
          <w:lang w:val="lv-LV"/>
        </w:rPr>
        <w:t>sekmē</w:t>
      </w:r>
      <w:r w:rsidRPr="00714469">
        <w:rPr>
          <w:rFonts w:ascii="Times New Roman" w:hAnsi="Times New Roman"/>
          <w:lang w:val="lv-LV"/>
        </w:rPr>
        <w:t xml:space="preserve"> Programmas reģionu ekonomisk</w:t>
      </w:r>
      <w:r w:rsidR="00893ECE" w:rsidRPr="00714469">
        <w:rPr>
          <w:rFonts w:ascii="Times New Roman" w:hAnsi="Times New Roman"/>
          <w:lang w:val="lv-LV"/>
        </w:rPr>
        <w:t>o attīstību</w:t>
      </w:r>
      <w:r w:rsidRPr="00714469">
        <w:rPr>
          <w:rFonts w:ascii="Times New Roman" w:hAnsi="Times New Roman"/>
          <w:lang w:val="lv-LV"/>
        </w:rPr>
        <w:t xml:space="preserve">, tādēļ </w:t>
      </w:r>
      <w:r w:rsidR="00DB0B63" w:rsidRPr="00714469">
        <w:rPr>
          <w:rFonts w:ascii="Times New Roman" w:hAnsi="Times New Roman"/>
          <w:lang w:val="lv-LV"/>
        </w:rPr>
        <w:t xml:space="preserve">plānots, ka </w:t>
      </w:r>
      <w:r w:rsidRPr="00714469">
        <w:rPr>
          <w:rFonts w:ascii="Times New Roman" w:hAnsi="Times New Roman"/>
          <w:lang w:val="lv-LV"/>
        </w:rPr>
        <w:t>pārrobežu uzņēmējdarbības atbalst</w:t>
      </w:r>
      <w:r w:rsidR="00DB0B63" w:rsidRPr="00714469">
        <w:rPr>
          <w:rFonts w:ascii="Times New Roman" w:hAnsi="Times New Roman"/>
          <w:lang w:val="lv-LV"/>
        </w:rPr>
        <w:t>s</w:t>
      </w:r>
      <w:r w:rsidRPr="00714469">
        <w:rPr>
          <w:rFonts w:ascii="Times New Roman" w:hAnsi="Times New Roman"/>
          <w:lang w:val="lv-LV"/>
        </w:rPr>
        <w:t xml:space="preserve"> </w:t>
      </w:r>
      <w:r w:rsidR="00DB0B63" w:rsidRPr="00714469">
        <w:rPr>
          <w:rFonts w:ascii="Times New Roman" w:hAnsi="Times New Roman"/>
          <w:lang w:val="lv-LV"/>
        </w:rPr>
        <w:t xml:space="preserve">dos iespēju </w:t>
      </w:r>
      <w:r w:rsidRPr="00714469">
        <w:rPr>
          <w:rFonts w:ascii="Times New Roman" w:hAnsi="Times New Roman"/>
          <w:lang w:val="lv-LV"/>
        </w:rPr>
        <w:t>uzņēmumiem apgūt jaunus tirgus un nodrošināt</w:t>
      </w:r>
      <w:r w:rsidR="00DB0B63" w:rsidRPr="00714469">
        <w:rPr>
          <w:rFonts w:ascii="Times New Roman" w:hAnsi="Times New Roman"/>
          <w:lang w:val="lv-LV"/>
        </w:rPr>
        <w:t xml:space="preserve"> iespēju piekļūt</w:t>
      </w:r>
      <w:r w:rsidRPr="00714469">
        <w:rPr>
          <w:rFonts w:ascii="Times New Roman" w:hAnsi="Times New Roman"/>
          <w:lang w:val="lv-LV"/>
        </w:rPr>
        <w:t xml:space="preserve"> resurs</w:t>
      </w:r>
      <w:r w:rsidR="00DB0B63" w:rsidRPr="00714469">
        <w:rPr>
          <w:rFonts w:ascii="Times New Roman" w:hAnsi="Times New Roman"/>
          <w:lang w:val="lv-LV"/>
        </w:rPr>
        <w:t>iem</w:t>
      </w:r>
      <w:r w:rsidRPr="00714469">
        <w:rPr>
          <w:rFonts w:ascii="Times New Roman" w:hAnsi="Times New Roman"/>
          <w:lang w:val="lv-LV"/>
        </w:rPr>
        <w:t xml:space="preserve">, </w:t>
      </w:r>
      <w:r w:rsidR="00384E52" w:rsidRPr="00714469">
        <w:rPr>
          <w:rFonts w:ascii="Times New Roman" w:hAnsi="Times New Roman"/>
          <w:lang w:val="lv-LV"/>
        </w:rPr>
        <w:t>klientiem</w:t>
      </w:r>
      <w:r w:rsidR="00DB0B63" w:rsidRPr="00714469">
        <w:rPr>
          <w:rFonts w:ascii="Times New Roman" w:hAnsi="Times New Roman"/>
          <w:lang w:val="lv-LV"/>
        </w:rPr>
        <w:t xml:space="preserve"> </w:t>
      </w:r>
      <w:r w:rsidRPr="00714469">
        <w:rPr>
          <w:rFonts w:ascii="Times New Roman" w:hAnsi="Times New Roman"/>
          <w:lang w:val="lv-LV"/>
        </w:rPr>
        <w:t>un tehnoloģij</w:t>
      </w:r>
      <w:r w:rsidR="00DB0B63" w:rsidRPr="00714469">
        <w:rPr>
          <w:rFonts w:ascii="Times New Roman" w:hAnsi="Times New Roman"/>
          <w:lang w:val="lv-LV"/>
        </w:rPr>
        <w:t>ām</w:t>
      </w:r>
      <w:r w:rsidRPr="00714469">
        <w:rPr>
          <w:rFonts w:ascii="Times New Roman" w:hAnsi="Times New Roman"/>
          <w:lang w:val="lv-LV"/>
        </w:rPr>
        <w:t xml:space="preserve">. Ir svarīgi arī sekmēt komunikāciju starp uzņēmumiem un </w:t>
      </w:r>
      <w:r w:rsidR="00384E52" w:rsidRPr="00714469">
        <w:rPr>
          <w:rFonts w:ascii="Times New Roman" w:hAnsi="Times New Roman"/>
          <w:lang w:val="lv-LV"/>
        </w:rPr>
        <w:t>atbalstīt pieredzes un zināšanu apmaiņu</w:t>
      </w:r>
      <w:r w:rsidRPr="00714469">
        <w:rPr>
          <w:rFonts w:ascii="Times New Roman" w:hAnsi="Times New Roman"/>
          <w:lang w:val="lv-LV"/>
        </w:rPr>
        <w:t xml:space="preserve">. </w:t>
      </w:r>
      <w:r w:rsidR="00DB0B63" w:rsidRPr="00714469">
        <w:rPr>
          <w:rFonts w:ascii="Times New Roman" w:hAnsi="Times New Roman"/>
          <w:lang w:val="lv-LV"/>
        </w:rPr>
        <w:t>Tāpat p</w:t>
      </w:r>
      <w:r w:rsidRPr="00714469">
        <w:rPr>
          <w:rFonts w:ascii="Times New Roman" w:hAnsi="Times New Roman"/>
          <w:lang w:val="lv-LV"/>
        </w:rPr>
        <w:t xml:space="preserve">ārrobežu uzņēmējdarbībā iesaistītajiem uzņēmumiem nepieciešams sniegt informāciju par to, kā piesaistīt investīcijas, izprast ar darbaspēka nolīgšanu saistītās juridiskās un praktiskās prasības, atrast atbilstošus partnerus un saņemt nepieciešamās juridiskās konsultācijas. </w:t>
      </w:r>
      <w:r w:rsidR="00801B7A" w:rsidRPr="00714469">
        <w:rPr>
          <w:rFonts w:ascii="Times New Roman" w:hAnsi="Times New Roman"/>
          <w:lang w:val="lv-LV"/>
        </w:rPr>
        <w:t>Turklāt</w:t>
      </w:r>
      <w:r w:rsidRPr="00714469">
        <w:rPr>
          <w:rFonts w:ascii="Times New Roman" w:hAnsi="Times New Roman"/>
          <w:lang w:val="lv-LV"/>
        </w:rPr>
        <w:t xml:space="preserve"> </w:t>
      </w:r>
      <w:r w:rsidR="00384E52" w:rsidRPr="00714469">
        <w:rPr>
          <w:rFonts w:ascii="Times New Roman" w:hAnsi="Times New Roman"/>
          <w:lang w:val="lv-LV"/>
        </w:rPr>
        <w:t xml:space="preserve">pamata publiskās </w:t>
      </w:r>
      <w:r w:rsidRPr="00714469">
        <w:rPr>
          <w:rFonts w:ascii="Times New Roman" w:hAnsi="Times New Roman"/>
          <w:lang w:val="lv-LV"/>
        </w:rPr>
        <w:t>infrastruktūras uzlabošana ir produktīvas pārrobežu uzņēmējdarbīb</w:t>
      </w:r>
      <w:r w:rsidR="0033352E" w:rsidRPr="00714469">
        <w:rPr>
          <w:rFonts w:ascii="Times New Roman" w:hAnsi="Times New Roman"/>
          <w:lang w:val="lv-LV"/>
        </w:rPr>
        <w:t>as attīstības</w:t>
      </w:r>
      <w:r w:rsidRPr="00714469">
        <w:rPr>
          <w:rFonts w:ascii="Times New Roman" w:hAnsi="Times New Roman"/>
          <w:lang w:val="lv-LV"/>
        </w:rPr>
        <w:t xml:space="preserve"> sekmēšanas priekšnoteikums. </w:t>
      </w:r>
    </w:p>
    <w:p w:rsidR="00384E52" w:rsidRPr="00714469" w:rsidRDefault="001C197B" w:rsidP="00E302F6">
      <w:pPr>
        <w:spacing w:before="120" w:line="240" w:lineRule="auto"/>
        <w:rPr>
          <w:rFonts w:ascii="Times New Roman" w:hAnsi="Times New Roman"/>
          <w:lang w:val="lv-LV"/>
        </w:rPr>
      </w:pPr>
      <w:r w:rsidRPr="00714469">
        <w:rPr>
          <w:rFonts w:ascii="Times New Roman" w:hAnsi="Times New Roman"/>
          <w:lang w:val="lv-LV"/>
        </w:rPr>
        <w:lastRenderedPageBreak/>
        <w:t>Kopumā galvenais Programmas uzdevums ir radīt papildu nodarbinātības iespējas, īstenojot pārrobežu sadarbību</w:t>
      </w:r>
      <w:r w:rsidR="00384E52" w:rsidRPr="00714469">
        <w:rPr>
          <w:rFonts w:ascii="Times New Roman" w:hAnsi="Times New Roman"/>
          <w:lang w:val="lv-LV"/>
        </w:rPr>
        <w:t xml:space="preserve"> un </w:t>
      </w:r>
      <w:r w:rsidRPr="00714469">
        <w:rPr>
          <w:rFonts w:ascii="Times New Roman" w:hAnsi="Times New Roman"/>
          <w:lang w:val="lv-LV"/>
        </w:rPr>
        <w:t>nodroš</w:t>
      </w:r>
      <w:r w:rsidR="00384E52" w:rsidRPr="00714469">
        <w:rPr>
          <w:rFonts w:ascii="Times New Roman" w:hAnsi="Times New Roman"/>
          <w:lang w:val="lv-LV"/>
        </w:rPr>
        <w:t>inot</w:t>
      </w:r>
      <w:r w:rsidRPr="00714469">
        <w:rPr>
          <w:rFonts w:ascii="Times New Roman" w:hAnsi="Times New Roman"/>
          <w:lang w:val="lv-LV"/>
        </w:rPr>
        <w:t xml:space="preserve"> iespējas </w:t>
      </w:r>
      <w:r w:rsidR="00384E52" w:rsidRPr="00714469">
        <w:rPr>
          <w:rFonts w:ascii="Times New Roman" w:hAnsi="Times New Roman"/>
          <w:lang w:val="lv-LV"/>
        </w:rPr>
        <w:t>ie</w:t>
      </w:r>
      <w:r w:rsidRPr="00714469">
        <w:rPr>
          <w:rFonts w:ascii="Times New Roman" w:hAnsi="Times New Roman"/>
          <w:lang w:val="lv-LV"/>
        </w:rPr>
        <w:t xml:space="preserve">gūt prasmes, kas </w:t>
      </w:r>
      <w:r w:rsidR="00384E52" w:rsidRPr="00714469">
        <w:rPr>
          <w:rFonts w:ascii="Times New Roman" w:hAnsi="Times New Roman"/>
          <w:lang w:val="lv-LV"/>
        </w:rPr>
        <w:t>ir pieprasītas</w:t>
      </w:r>
      <w:r w:rsidRPr="00714469">
        <w:rPr>
          <w:rFonts w:ascii="Times New Roman" w:hAnsi="Times New Roman"/>
          <w:lang w:val="lv-LV"/>
        </w:rPr>
        <w:t xml:space="preserve"> darba tirgū. </w:t>
      </w:r>
      <w:r w:rsidR="00384E52" w:rsidRPr="00714469">
        <w:rPr>
          <w:rFonts w:ascii="Times New Roman" w:hAnsi="Times New Roman"/>
          <w:lang w:val="lv-LV"/>
        </w:rPr>
        <w:t xml:space="preserve">Tāpat plānots sniegt atbalstu </w:t>
      </w:r>
      <w:r w:rsidRPr="00714469">
        <w:rPr>
          <w:rFonts w:ascii="Times New Roman" w:hAnsi="Times New Roman"/>
          <w:lang w:val="lv-LV"/>
        </w:rPr>
        <w:t>uzņēmumu u</w:t>
      </w:r>
      <w:r w:rsidR="00384E52" w:rsidRPr="00714469">
        <w:rPr>
          <w:rFonts w:ascii="Times New Roman" w:hAnsi="Times New Roman"/>
          <w:lang w:val="lv-LV"/>
        </w:rPr>
        <w:t>zņēmējdarbības vides uzlabošanai</w:t>
      </w:r>
      <w:r w:rsidRPr="00714469">
        <w:rPr>
          <w:rFonts w:ascii="Times New Roman" w:hAnsi="Times New Roman"/>
          <w:lang w:val="lv-LV"/>
        </w:rPr>
        <w:t xml:space="preserve">, pašnodarbinātības </w:t>
      </w:r>
      <w:r w:rsidR="00384E52" w:rsidRPr="00714469">
        <w:rPr>
          <w:rFonts w:ascii="Times New Roman" w:hAnsi="Times New Roman"/>
          <w:lang w:val="lv-LV"/>
        </w:rPr>
        <w:t>atbalstam, kā arī sadarbības veicināšanai</w:t>
      </w:r>
      <w:r w:rsidRPr="00714469">
        <w:rPr>
          <w:rFonts w:ascii="Times New Roman" w:hAnsi="Times New Roman"/>
          <w:lang w:val="lv-LV"/>
        </w:rPr>
        <w:t xml:space="preserve"> starp uzņēmumiem un izglītības iestādēm. </w:t>
      </w:r>
    </w:p>
    <w:p w:rsidR="007E0AEC" w:rsidRDefault="007E0AEC" w:rsidP="00E302F6">
      <w:pPr>
        <w:spacing w:before="120" w:line="240" w:lineRule="auto"/>
        <w:rPr>
          <w:rFonts w:ascii="Times New Roman" w:hAnsi="Times New Roman"/>
          <w:lang w:val="lv-LV"/>
        </w:rPr>
      </w:pPr>
    </w:p>
    <w:p w:rsidR="007E0AEC" w:rsidRPr="007E0AEC" w:rsidRDefault="007E0AEC" w:rsidP="00E302F6">
      <w:pPr>
        <w:spacing w:before="120" w:line="240" w:lineRule="auto"/>
        <w:rPr>
          <w:rFonts w:ascii="Times New Roman" w:hAnsi="Times New Roman"/>
          <w:b/>
          <w:lang w:val="lv-LV"/>
        </w:rPr>
      </w:pPr>
      <w:r w:rsidRPr="007E0AEC">
        <w:rPr>
          <w:rFonts w:ascii="Times New Roman" w:hAnsi="Times New Roman"/>
          <w:b/>
          <w:lang w:val="lv-LV"/>
        </w:rPr>
        <w:t>Darba spēka mobilitāte</w:t>
      </w:r>
    </w:p>
    <w:p w:rsidR="006157AA" w:rsidRDefault="00E57B95" w:rsidP="00E302F6">
      <w:pPr>
        <w:spacing w:before="120" w:line="240" w:lineRule="auto"/>
        <w:rPr>
          <w:rFonts w:ascii="Times New Roman" w:hAnsi="Times New Roman"/>
          <w:lang w:val="lv-LV"/>
        </w:rPr>
      </w:pPr>
      <w:r>
        <w:rPr>
          <w:rFonts w:ascii="Times New Roman" w:hAnsi="Times New Roman"/>
          <w:lang w:val="lv-LV"/>
        </w:rPr>
        <w:t>Ierobežota pieejamība</w:t>
      </w:r>
      <w:r w:rsidR="00C558CD" w:rsidRPr="00714469">
        <w:rPr>
          <w:rFonts w:ascii="Times New Roman" w:hAnsi="Times New Roman"/>
          <w:lang w:val="lv-LV"/>
        </w:rPr>
        <w:t xml:space="preserve">, piemēram, </w:t>
      </w:r>
      <w:r w:rsidR="00DB0B63" w:rsidRPr="00714469">
        <w:rPr>
          <w:rFonts w:ascii="Times New Roman" w:hAnsi="Times New Roman"/>
          <w:lang w:val="lv-LV"/>
        </w:rPr>
        <w:t xml:space="preserve">ierobežota </w:t>
      </w:r>
      <w:r w:rsidR="00C558CD" w:rsidRPr="00714469">
        <w:rPr>
          <w:rFonts w:ascii="Times New Roman" w:hAnsi="Times New Roman"/>
          <w:lang w:val="lv-LV"/>
        </w:rPr>
        <w:t xml:space="preserve">mobilitāte, </w:t>
      </w:r>
      <w:r w:rsidR="00384E52" w:rsidRPr="00714469">
        <w:rPr>
          <w:rFonts w:ascii="Times New Roman" w:hAnsi="Times New Roman"/>
          <w:lang w:val="lv-LV"/>
        </w:rPr>
        <w:t>ir nopietns šķērslis</w:t>
      </w:r>
      <w:r w:rsidR="00C558CD" w:rsidRPr="00714469">
        <w:rPr>
          <w:rFonts w:ascii="Times New Roman" w:hAnsi="Times New Roman"/>
          <w:lang w:val="lv-LV"/>
        </w:rPr>
        <w:t xml:space="preserve"> reģionālajai attīstībai. Programmas teritorij</w:t>
      </w:r>
      <w:r w:rsidR="00384E52" w:rsidRPr="00714469">
        <w:rPr>
          <w:rFonts w:ascii="Times New Roman" w:hAnsi="Times New Roman"/>
          <w:lang w:val="lv-LV"/>
        </w:rPr>
        <w:t>ā</w:t>
      </w:r>
      <w:r w:rsidR="00C558CD" w:rsidRPr="00714469">
        <w:rPr>
          <w:rFonts w:ascii="Times New Roman" w:hAnsi="Times New Roman"/>
          <w:lang w:val="lv-LV"/>
        </w:rPr>
        <w:t xml:space="preserve"> ir </w:t>
      </w:r>
      <w:r w:rsidR="00384E52" w:rsidRPr="00714469">
        <w:rPr>
          <w:rFonts w:ascii="Times New Roman" w:hAnsi="Times New Roman"/>
          <w:lang w:val="lv-LV"/>
        </w:rPr>
        <w:t>pamata transporta tīklu infrastruktūra</w:t>
      </w:r>
      <w:r w:rsidR="00C558CD" w:rsidRPr="00714469">
        <w:rPr>
          <w:rFonts w:ascii="Times New Roman" w:hAnsi="Times New Roman"/>
          <w:lang w:val="lv-LV"/>
        </w:rPr>
        <w:t xml:space="preserve">, kas savieno vidējas un lielas apdzīvotas vietas, taču </w:t>
      </w:r>
      <w:r w:rsidR="00C6703D" w:rsidRPr="00714469">
        <w:rPr>
          <w:rFonts w:ascii="Times New Roman" w:hAnsi="Times New Roman"/>
          <w:lang w:val="lv-LV"/>
        </w:rPr>
        <w:t xml:space="preserve">savienojumu skaits reģionu iekšienē starp mazākām apdzīvotām vietām ir ierobežots. Arī pārrobežu ceļu </w:t>
      </w:r>
      <w:r w:rsidR="00384E52" w:rsidRPr="00714469">
        <w:rPr>
          <w:rFonts w:ascii="Times New Roman" w:hAnsi="Times New Roman"/>
          <w:lang w:val="lv-LV"/>
        </w:rPr>
        <w:t xml:space="preserve">kvalitāte </w:t>
      </w:r>
      <w:r w:rsidR="00C6703D" w:rsidRPr="00714469">
        <w:rPr>
          <w:rFonts w:ascii="Times New Roman" w:hAnsi="Times New Roman"/>
          <w:lang w:val="lv-LV"/>
        </w:rPr>
        <w:t xml:space="preserve">ir zema, un tā ietekmē reģionālo attīstību, jo vietējiem iedzīvotājiem tiek apgrūtināta </w:t>
      </w:r>
      <w:r w:rsidR="00384E52" w:rsidRPr="00714469">
        <w:rPr>
          <w:rFonts w:ascii="Times New Roman" w:hAnsi="Times New Roman"/>
          <w:lang w:val="lv-LV"/>
        </w:rPr>
        <w:t xml:space="preserve">gan </w:t>
      </w:r>
      <w:r w:rsidR="00C6703D" w:rsidRPr="00714469">
        <w:rPr>
          <w:rFonts w:ascii="Times New Roman" w:hAnsi="Times New Roman"/>
          <w:lang w:val="lv-LV"/>
        </w:rPr>
        <w:t xml:space="preserve">nokļūšana darbavietās, </w:t>
      </w:r>
      <w:r w:rsidR="00384E52" w:rsidRPr="00714469">
        <w:rPr>
          <w:rFonts w:ascii="Times New Roman" w:hAnsi="Times New Roman"/>
          <w:lang w:val="lv-LV"/>
        </w:rPr>
        <w:t xml:space="preserve">gan arī pieeja pakalpojumiem. </w:t>
      </w:r>
    </w:p>
    <w:p w:rsidR="007419A3" w:rsidRPr="00714469" w:rsidRDefault="00D37CC8" w:rsidP="00E302F6">
      <w:pPr>
        <w:spacing w:before="120" w:line="240" w:lineRule="auto"/>
        <w:rPr>
          <w:rFonts w:ascii="Times New Roman" w:hAnsi="Times New Roman"/>
          <w:lang w:val="lv-LV"/>
        </w:rPr>
      </w:pPr>
      <w:r>
        <w:rPr>
          <w:rFonts w:ascii="Times New Roman" w:hAnsi="Times New Roman"/>
          <w:lang w:val="lv-LV"/>
        </w:rPr>
        <w:t>P</w:t>
      </w:r>
      <w:r w:rsidR="00DB0B63" w:rsidRPr="00714469">
        <w:rPr>
          <w:rFonts w:ascii="Times New Roman" w:hAnsi="Times New Roman"/>
          <w:lang w:val="lv-LV"/>
        </w:rPr>
        <w:t>iekļuvei</w:t>
      </w:r>
      <w:r w:rsidR="00C6703D" w:rsidRPr="00714469">
        <w:rPr>
          <w:rFonts w:ascii="Times New Roman" w:hAnsi="Times New Roman"/>
          <w:lang w:val="lv-LV"/>
        </w:rPr>
        <w:t xml:space="preserve"> </w:t>
      </w:r>
      <w:r w:rsidR="00DB0B63" w:rsidRPr="00714469">
        <w:rPr>
          <w:rFonts w:ascii="Times New Roman" w:hAnsi="Times New Roman"/>
          <w:lang w:val="lv-LV"/>
        </w:rPr>
        <w:t>izejmateriāliem</w:t>
      </w:r>
      <w:r>
        <w:rPr>
          <w:rFonts w:ascii="Times New Roman" w:hAnsi="Times New Roman"/>
          <w:lang w:val="lv-LV"/>
        </w:rPr>
        <w:t xml:space="preserve"> un</w:t>
      </w:r>
      <w:r w:rsidR="00DB0B63" w:rsidRPr="00714469">
        <w:rPr>
          <w:rFonts w:ascii="Times New Roman" w:hAnsi="Times New Roman"/>
          <w:lang w:val="lv-LV"/>
        </w:rPr>
        <w:t xml:space="preserve"> ražošanas telpām</w:t>
      </w:r>
      <w:r w:rsidR="00384E52" w:rsidRPr="00714469">
        <w:rPr>
          <w:rFonts w:ascii="Times New Roman" w:hAnsi="Times New Roman"/>
          <w:lang w:val="lv-LV"/>
        </w:rPr>
        <w:t xml:space="preserve"> </w:t>
      </w:r>
      <w:r w:rsidR="00C6703D" w:rsidRPr="00714469">
        <w:rPr>
          <w:rFonts w:ascii="Times New Roman" w:hAnsi="Times New Roman"/>
          <w:lang w:val="lv-LV"/>
        </w:rPr>
        <w:t>var būt nepieciešams vairāk laika un tas var izmaksāt dārgāk</w:t>
      </w:r>
      <w:r w:rsidR="000B2E90">
        <w:rPr>
          <w:rFonts w:ascii="Times New Roman" w:hAnsi="Times New Roman"/>
          <w:lang w:val="lv-LV"/>
        </w:rPr>
        <w:t xml:space="preserve"> un tas līdzās</w:t>
      </w:r>
      <w:r w:rsidR="00DB0B63" w:rsidRPr="00714469">
        <w:rPr>
          <w:rFonts w:ascii="Times New Roman" w:hAnsi="Times New Roman"/>
          <w:lang w:val="lv-LV"/>
        </w:rPr>
        <w:t xml:space="preserve"> </w:t>
      </w:r>
      <w:r w:rsidR="00070C53" w:rsidRPr="00070C53">
        <w:rPr>
          <w:rFonts w:ascii="Times New Roman" w:hAnsi="Times New Roman"/>
          <w:lang w:val="lv-LV"/>
        </w:rPr>
        <w:t>darbinieku mobilitāte</w:t>
      </w:r>
      <w:r w:rsidR="000B2E90">
        <w:rPr>
          <w:rFonts w:ascii="Times New Roman" w:hAnsi="Times New Roman"/>
          <w:lang w:val="lv-LV"/>
        </w:rPr>
        <w:t>i</w:t>
      </w:r>
      <w:r w:rsidR="00070C53" w:rsidRPr="00070C53">
        <w:rPr>
          <w:rFonts w:ascii="Times New Roman" w:hAnsi="Times New Roman"/>
          <w:lang w:val="lv-LV"/>
        </w:rPr>
        <w:t xml:space="preserve"> ir vēl viens faktors, k</w:t>
      </w:r>
      <w:r>
        <w:rPr>
          <w:rFonts w:ascii="Times New Roman" w:hAnsi="Times New Roman"/>
          <w:lang w:val="lv-LV"/>
        </w:rPr>
        <w:t>o</w:t>
      </w:r>
      <w:r w:rsidR="00070C53" w:rsidRPr="00070C53">
        <w:rPr>
          <w:rFonts w:ascii="Times New Roman" w:hAnsi="Times New Roman"/>
          <w:lang w:val="lv-LV"/>
        </w:rPr>
        <w:t xml:space="preserve"> var negatīvi ietekmēt transporta infrastruktūras ierobežojumi.</w:t>
      </w:r>
      <w:r w:rsidR="00C62082" w:rsidRPr="00C62082">
        <w:rPr>
          <w:lang w:val="lv-LV"/>
        </w:rPr>
        <w:t xml:space="preserve"> </w:t>
      </w:r>
    </w:p>
    <w:p w:rsidR="007419A3" w:rsidRPr="00714469" w:rsidRDefault="00812031" w:rsidP="00E302F6">
      <w:pPr>
        <w:spacing w:before="120" w:line="240" w:lineRule="auto"/>
        <w:rPr>
          <w:rFonts w:ascii="Times New Roman" w:hAnsi="Times New Roman"/>
          <w:lang w:val="lv-LV"/>
        </w:rPr>
      </w:pPr>
      <w:r w:rsidRPr="00714469">
        <w:rPr>
          <w:rFonts w:ascii="Times New Roman" w:hAnsi="Times New Roman"/>
          <w:lang w:val="lv-LV"/>
        </w:rPr>
        <w:t xml:space="preserve">Četri galvenie pārrobežu ceļi pa 588 km garo robežu starp Lietuvu un Latviju nodrošina transporta savienojumus starp galvenajiem ekonomiskajiem centriem (Liepāja – Klaipēda, Jelgava – Šauļi, Bauska – Panevēža un Daugavpils – Utena). </w:t>
      </w:r>
      <w:r w:rsidR="00E217BA" w:rsidRPr="00714469">
        <w:rPr>
          <w:rFonts w:ascii="Times New Roman" w:hAnsi="Times New Roman"/>
          <w:lang w:val="lv-LV"/>
        </w:rPr>
        <w:t>Šie str</w:t>
      </w:r>
      <w:r w:rsidR="006E0402" w:rsidRPr="00714469">
        <w:rPr>
          <w:rFonts w:ascii="Times New Roman" w:hAnsi="Times New Roman"/>
          <w:lang w:val="lv-LV"/>
        </w:rPr>
        <w:t xml:space="preserve">atēģiskie </w:t>
      </w:r>
      <w:r w:rsidR="00E3036C">
        <w:rPr>
          <w:rFonts w:ascii="Times New Roman" w:hAnsi="Times New Roman"/>
          <w:lang w:val="lv-LV"/>
        </w:rPr>
        <w:t>ceļu posmi</w:t>
      </w:r>
      <w:r w:rsidR="00E3036C" w:rsidRPr="00714469">
        <w:rPr>
          <w:rFonts w:ascii="Times New Roman" w:hAnsi="Times New Roman"/>
          <w:lang w:val="lv-LV"/>
        </w:rPr>
        <w:t xml:space="preserve"> </w:t>
      </w:r>
      <w:r w:rsidR="006E0402" w:rsidRPr="00714469">
        <w:rPr>
          <w:rFonts w:ascii="Times New Roman" w:hAnsi="Times New Roman"/>
          <w:lang w:val="lv-LV"/>
        </w:rPr>
        <w:t xml:space="preserve">atrodas </w:t>
      </w:r>
      <w:r w:rsidR="00384E52" w:rsidRPr="00714469">
        <w:rPr>
          <w:rFonts w:ascii="Times New Roman" w:hAnsi="Times New Roman"/>
          <w:lang w:val="lv-LV"/>
        </w:rPr>
        <w:t xml:space="preserve">salīdzinoši </w:t>
      </w:r>
      <w:r w:rsidR="006E0402" w:rsidRPr="00714469">
        <w:rPr>
          <w:rFonts w:ascii="Times New Roman" w:hAnsi="Times New Roman"/>
          <w:lang w:val="lv-LV"/>
        </w:rPr>
        <w:t>tālu</w:t>
      </w:r>
      <w:r w:rsidR="00E217BA" w:rsidRPr="00714469">
        <w:rPr>
          <w:rFonts w:ascii="Times New Roman" w:hAnsi="Times New Roman"/>
          <w:lang w:val="lv-LV"/>
        </w:rPr>
        <w:t xml:space="preserve"> </w:t>
      </w:r>
      <w:r w:rsidR="00384E52" w:rsidRPr="00714469">
        <w:rPr>
          <w:rFonts w:ascii="Times New Roman" w:hAnsi="Times New Roman"/>
          <w:lang w:val="lv-LV"/>
        </w:rPr>
        <w:t xml:space="preserve">viens no otra </w:t>
      </w:r>
      <w:r w:rsidR="00E217BA" w:rsidRPr="00714469">
        <w:rPr>
          <w:rFonts w:ascii="Times New Roman" w:hAnsi="Times New Roman"/>
          <w:lang w:val="lv-LV"/>
        </w:rPr>
        <w:t>un nenodrošina ātru pārvietošanos starp mazākām pilsētām</w:t>
      </w:r>
      <w:r w:rsidR="00B416CF" w:rsidRPr="00714469">
        <w:rPr>
          <w:rFonts w:ascii="Times New Roman" w:hAnsi="Times New Roman"/>
          <w:lang w:val="lv-LV"/>
        </w:rPr>
        <w:t xml:space="preserve"> un apdzīvotām vietām</w:t>
      </w:r>
      <w:r w:rsidR="00E217BA" w:rsidRPr="00714469">
        <w:rPr>
          <w:rFonts w:ascii="Times New Roman" w:hAnsi="Times New Roman"/>
          <w:lang w:val="lv-LV"/>
        </w:rPr>
        <w:t xml:space="preserve">. </w:t>
      </w:r>
    </w:p>
    <w:p w:rsidR="007419A3" w:rsidRPr="00E3036C" w:rsidRDefault="00E217BA" w:rsidP="00E302F6">
      <w:pPr>
        <w:spacing w:before="120" w:line="240" w:lineRule="auto"/>
        <w:rPr>
          <w:rFonts w:ascii="Times New Roman" w:hAnsi="Times New Roman"/>
          <w:lang w:val="lv-LV"/>
        </w:rPr>
      </w:pPr>
      <w:r w:rsidRPr="00714469">
        <w:rPr>
          <w:rFonts w:ascii="Times New Roman" w:hAnsi="Times New Roman"/>
          <w:lang w:val="lv-LV"/>
        </w:rPr>
        <w:t xml:space="preserve">Latvija un Lietuva ir </w:t>
      </w:r>
      <w:r w:rsidR="00DB0B63" w:rsidRPr="00714469">
        <w:rPr>
          <w:rFonts w:ascii="Times New Roman" w:hAnsi="Times New Roman"/>
          <w:lang w:val="lv-LV"/>
        </w:rPr>
        <w:t>vienojušās par trim</w:t>
      </w:r>
      <w:r w:rsidR="00B416CF" w:rsidRPr="00714469">
        <w:rPr>
          <w:rFonts w:ascii="Times New Roman" w:hAnsi="Times New Roman"/>
          <w:lang w:val="lv-LV"/>
        </w:rPr>
        <w:t xml:space="preserve"> prioritāriem</w:t>
      </w:r>
      <w:r w:rsidR="00DB0B63" w:rsidRPr="00714469">
        <w:rPr>
          <w:rFonts w:ascii="Times New Roman" w:hAnsi="Times New Roman"/>
          <w:lang w:val="lv-LV"/>
        </w:rPr>
        <w:t xml:space="preserve"> </w:t>
      </w:r>
      <w:r w:rsidRPr="00714469">
        <w:rPr>
          <w:rFonts w:ascii="Times New Roman" w:hAnsi="Times New Roman"/>
          <w:lang w:val="lv-LV"/>
        </w:rPr>
        <w:t xml:space="preserve">pārrobežu ceļu </w:t>
      </w:r>
      <w:r w:rsidR="00DB0B63" w:rsidRPr="00714469">
        <w:rPr>
          <w:rFonts w:ascii="Times New Roman" w:hAnsi="Times New Roman"/>
          <w:lang w:val="lv-LV"/>
        </w:rPr>
        <w:t>posmiem</w:t>
      </w:r>
      <w:r w:rsidR="006E0402" w:rsidRPr="00714469">
        <w:rPr>
          <w:rFonts w:ascii="Times New Roman" w:hAnsi="Times New Roman"/>
          <w:lang w:val="lv-LV"/>
        </w:rPr>
        <w:t>,</w:t>
      </w:r>
      <w:r w:rsidRPr="00714469">
        <w:rPr>
          <w:rFonts w:ascii="Times New Roman" w:hAnsi="Times New Roman"/>
          <w:lang w:val="lv-LV"/>
        </w:rPr>
        <w:t xml:space="preserve"> </w:t>
      </w:r>
      <w:r w:rsidR="00B416CF" w:rsidRPr="00714469">
        <w:rPr>
          <w:rFonts w:ascii="Times New Roman" w:hAnsi="Times New Roman"/>
          <w:lang w:val="lv-LV"/>
        </w:rPr>
        <w:t xml:space="preserve">kas </w:t>
      </w:r>
      <w:r w:rsidRPr="00714469">
        <w:rPr>
          <w:rFonts w:ascii="Times New Roman" w:hAnsi="Times New Roman"/>
          <w:lang w:val="lv-LV"/>
        </w:rPr>
        <w:t>saņem</w:t>
      </w:r>
      <w:r w:rsidR="00B416CF" w:rsidRPr="00714469">
        <w:rPr>
          <w:rFonts w:ascii="Times New Roman" w:hAnsi="Times New Roman"/>
          <w:lang w:val="lv-LV"/>
        </w:rPr>
        <w:t>s</w:t>
      </w:r>
      <w:r w:rsidRPr="00714469">
        <w:rPr>
          <w:rFonts w:ascii="Times New Roman" w:hAnsi="Times New Roman"/>
          <w:lang w:val="lv-LV"/>
        </w:rPr>
        <w:t xml:space="preserve"> atbalstu no Programmas pārrobežu mobilitātes uzlabošanai. Visi izvēlētie </w:t>
      </w:r>
      <w:r w:rsidR="00B416CF" w:rsidRPr="00714469">
        <w:rPr>
          <w:rFonts w:ascii="Times New Roman" w:hAnsi="Times New Roman"/>
          <w:lang w:val="lv-LV"/>
        </w:rPr>
        <w:t xml:space="preserve">robežu šķērsojošie ceļu posmi </w:t>
      </w:r>
      <w:r w:rsidRPr="00714469">
        <w:rPr>
          <w:rFonts w:ascii="Times New Roman" w:hAnsi="Times New Roman"/>
          <w:lang w:val="lv-LV"/>
        </w:rPr>
        <w:t xml:space="preserve">ir vienmērīgi </w:t>
      </w:r>
      <w:r w:rsidR="00971C0B" w:rsidRPr="00714469">
        <w:rPr>
          <w:rFonts w:ascii="Times New Roman" w:hAnsi="Times New Roman"/>
          <w:lang w:val="lv-LV"/>
        </w:rPr>
        <w:t xml:space="preserve">izvietoti </w:t>
      </w:r>
      <w:r w:rsidR="00F42790" w:rsidRPr="00714469">
        <w:rPr>
          <w:rFonts w:ascii="Times New Roman" w:hAnsi="Times New Roman"/>
          <w:lang w:val="lv-LV"/>
        </w:rPr>
        <w:t>Programmas teritorijā</w:t>
      </w:r>
      <w:r w:rsidRPr="00714469">
        <w:rPr>
          <w:rFonts w:ascii="Times New Roman" w:hAnsi="Times New Roman"/>
          <w:lang w:val="lv-LV"/>
        </w:rPr>
        <w:t xml:space="preserve">. Ceļu rekonstrukcija tieši ietekmēs darbaspēka mobilitāti, jo tā uzlabos savienojumus starp galvenajām </w:t>
      </w:r>
      <w:r w:rsidR="00384E52" w:rsidRPr="00714469">
        <w:rPr>
          <w:rFonts w:ascii="Times New Roman" w:hAnsi="Times New Roman"/>
          <w:lang w:val="lv-LV"/>
        </w:rPr>
        <w:t>apdzīvotajām vietām</w:t>
      </w:r>
      <w:r w:rsidRPr="00714469">
        <w:rPr>
          <w:rFonts w:ascii="Times New Roman" w:hAnsi="Times New Roman"/>
          <w:lang w:val="lv-LV"/>
        </w:rPr>
        <w:t xml:space="preserve"> </w:t>
      </w:r>
      <w:r w:rsidR="00F42790" w:rsidRPr="00714469">
        <w:rPr>
          <w:rFonts w:ascii="Times New Roman" w:hAnsi="Times New Roman"/>
          <w:lang w:val="lv-LV"/>
        </w:rPr>
        <w:t xml:space="preserve">abpus </w:t>
      </w:r>
      <w:r w:rsidRPr="00714469">
        <w:rPr>
          <w:rFonts w:ascii="Times New Roman" w:hAnsi="Times New Roman"/>
          <w:lang w:val="lv-LV"/>
        </w:rPr>
        <w:t>robeža</w:t>
      </w:r>
      <w:r w:rsidR="00F42790" w:rsidRPr="00714469">
        <w:rPr>
          <w:rFonts w:ascii="Times New Roman" w:hAnsi="Times New Roman"/>
          <w:lang w:val="lv-LV"/>
        </w:rPr>
        <w:t>i</w:t>
      </w:r>
      <w:r w:rsidRPr="00714469">
        <w:rPr>
          <w:rFonts w:ascii="Times New Roman" w:hAnsi="Times New Roman"/>
          <w:lang w:val="lv-LV"/>
        </w:rPr>
        <w:t xml:space="preserve">, tādējādi nodrošinot vieglāku nokļūšanu </w:t>
      </w:r>
      <w:r w:rsidR="00971C0B" w:rsidRPr="00714469">
        <w:rPr>
          <w:rFonts w:ascii="Times New Roman" w:hAnsi="Times New Roman"/>
          <w:lang w:val="lv-LV"/>
        </w:rPr>
        <w:t>un pieeju darba</w:t>
      </w:r>
      <w:r w:rsidR="005537CB" w:rsidRPr="00714469">
        <w:rPr>
          <w:rFonts w:ascii="Times New Roman" w:hAnsi="Times New Roman"/>
          <w:lang w:val="lv-LV"/>
        </w:rPr>
        <w:t xml:space="preserve"> </w:t>
      </w:r>
      <w:r w:rsidR="00971C0B" w:rsidRPr="00714469">
        <w:rPr>
          <w:rFonts w:ascii="Times New Roman" w:hAnsi="Times New Roman"/>
          <w:lang w:val="lv-LV"/>
        </w:rPr>
        <w:t>vietām</w:t>
      </w:r>
      <w:r w:rsidRPr="00714469">
        <w:rPr>
          <w:rFonts w:ascii="Times New Roman" w:hAnsi="Times New Roman"/>
          <w:lang w:val="lv-LV"/>
        </w:rPr>
        <w:t>, kā arī piekļuvi pakalpojumiem</w:t>
      </w:r>
      <w:r w:rsidR="00E3036C">
        <w:rPr>
          <w:rFonts w:ascii="Times New Roman" w:hAnsi="Times New Roman"/>
          <w:lang w:val="lv-LV"/>
        </w:rPr>
        <w:t xml:space="preserve"> (skat. 1.pielikuma 2.attēlu: </w:t>
      </w:r>
      <w:r w:rsidR="00E3036C" w:rsidRPr="00E3036C">
        <w:rPr>
          <w:rFonts w:ascii="Times New Roman" w:hAnsi="Times New Roman"/>
          <w:lang w:val="lv-LV"/>
        </w:rPr>
        <w:t>Programmas ietvaros at</w:t>
      </w:r>
      <w:r w:rsidR="00E3036C">
        <w:rPr>
          <w:rFonts w:ascii="Times New Roman" w:hAnsi="Times New Roman"/>
          <w:lang w:val="lv-LV"/>
        </w:rPr>
        <w:t>jaunojamo</w:t>
      </w:r>
      <w:r w:rsidR="00E3036C" w:rsidRPr="00E3036C">
        <w:rPr>
          <w:rFonts w:ascii="Times New Roman" w:hAnsi="Times New Roman"/>
          <w:lang w:val="lv-LV"/>
        </w:rPr>
        <w:t xml:space="preserve"> pārrobežu ceļu </w:t>
      </w:r>
      <w:r w:rsidR="00E3036C">
        <w:rPr>
          <w:rFonts w:ascii="Times New Roman" w:hAnsi="Times New Roman"/>
          <w:lang w:val="lv-LV"/>
        </w:rPr>
        <w:t>posmu</w:t>
      </w:r>
      <w:r w:rsidR="00E3036C" w:rsidRPr="00E3036C">
        <w:rPr>
          <w:rFonts w:ascii="Times New Roman" w:hAnsi="Times New Roman"/>
          <w:lang w:val="lv-LV"/>
        </w:rPr>
        <w:t xml:space="preserve"> atrašanās vietas</w:t>
      </w:r>
      <w:r w:rsidR="00E3036C">
        <w:rPr>
          <w:rFonts w:ascii="Times New Roman" w:hAnsi="Times New Roman"/>
          <w:lang w:val="lv-LV"/>
        </w:rPr>
        <w:t xml:space="preserve"> kartē</w:t>
      </w:r>
      <w:r w:rsidR="00E3036C" w:rsidRPr="00E3036C">
        <w:rPr>
          <w:rFonts w:ascii="Times New Roman" w:hAnsi="Times New Roman"/>
          <w:lang w:val="lv-LV"/>
        </w:rPr>
        <w:t>)</w:t>
      </w:r>
      <w:r w:rsidRPr="00E3036C">
        <w:rPr>
          <w:rFonts w:ascii="Times New Roman" w:hAnsi="Times New Roman"/>
          <w:lang w:val="lv-LV"/>
        </w:rPr>
        <w:t>.</w:t>
      </w:r>
      <w:r w:rsidR="00E3036C" w:rsidRPr="00E3036C">
        <w:rPr>
          <w:rFonts w:ascii="Times New Roman" w:hAnsi="Times New Roman"/>
          <w:lang w:val="lv-LV"/>
        </w:rPr>
        <w:t xml:space="preserve"> </w:t>
      </w:r>
      <w:r w:rsidRPr="00E3036C">
        <w:rPr>
          <w:rFonts w:ascii="Times New Roman" w:hAnsi="Times New Roman"/>
          <w:lang w:val="lv-LV"/>
        </w:rPr>
        <w:t xml:space="preserve"> </w:t>
      </w:r>
    </w:p>
    <w:p w:rsidR="00D115F2" w:rsidRPr="00714469" w:rsidRDefault="000821A6" w:rsidP="00E302F6">
      <w:pPr>
        <w:spacing w:before="120" w:line="240" w:lineRule="auto"/>
        <w:rPr>
          <w:rFonts w:ascii="Times New Roman" w:hAnsi="Times New Roman"/>
          <w:lang w:val="lv-LV"/>
        </w:rPr>
      </w:pPr>
      <w:r w:rsidRPr="00714469">
        <w:rPr>
          <w:rFonts w:ascii="Times New Roman" w:hAnsi="Times New Roman"/>
          <w:lang w:val="lv-LV"/>
        </w:rPr>
        <w:t xml:space="preserve">Ceļa posms Nr. 1 </w:t>
      </w:r>
      <w:r w:rsidR="00E3036C">
        <w:rPr>
          <w:rFonts w:ascii="Times New Roman" w:hAnsi="Times New Roman"/>
          <w:lang w:val="lv-LV"/>
        </w:rPr>
        <w:t xml:space="preserve">(skat. 1.pielikuma 2.attēlu) </w:t>
      </w:r>
      <w:r w:rsidR="00B416CF" w:rsidRPr="00714469">
        <w:rPr>
          <w:rFonts w:ascii="Times New Roman" w:hAnsi="Times New Roman"/>
          <w:lang w:val="lv-LV"/>
        </w:rPr>
        <w:t xml:space="preserve">ir daļa no </w:t>
      </w:r>
      <w:r w:rsidRPr="00714469">
        <w:rPr>
          <w:rFonts w:ascii="Times New Roman" w:hAnsi="Times New Roman"/>
          <w:lang w:val="lv-LV"/>
        </w:rPr>
        <w:t>savieno</w:t>
      </w:r>
      <w:r w:rsidR="00B416CF" w:rsidRPr="00714469">
        <w:rPr>
          <w:rFonts w:ascii="Times New Roman" w:hAnsi="Times New Roman"/>
          <w:lang w:val="lv-LV"/>
        </w:rPr>
        <w:t>juma starp</w:t>
      </w:r>
      <w:r w:rsidRPr="00714469">
        <w:rPr>
          <w:rFonts w:ascii="Times New Roman" w:hAnsi="Times New Roman"/>
          <w:lang w:val="lv-LV"/>
        </w:rPr>
        <w:t xml:space="preserve"> Bausku un Žeimeli. Šim ceļam ir reģionāla līmeņa nozīme, jo tas nodrošina savienojumu ar Bauskas pilsētu Latvijā (10 060 iedzīvotāji [2011]) un ar Lietuvas reģionālo ceļu tīklu, kas nodrošina piekļuvi tuvu esošajām reģionālajām pilsētām Pasvalei un Jonišķiem</w:t>
      </w:r>
      <w:proofErr w:type="gramStart"/>
      <w:r w:rsidRPr="00714469">
        <w:rPr>
          <w:rFonts w:ascii="Times New Roman" w:hAnsi="Times New Roman"/>
          <w:lang w:val="lv-LV"/>
        </w:rPr>
        <w:t xml:space="preserve"> </w:t>
      </w:r>
      <w:r w:rsidR="00755612">
        <w:rPr>
          <w:rFonts w:ascii="Times New Roman" w:hAnsi="Times New Roman"/>
          <w:lang w:val="lv-LV"/>
        </w:rPr>
        <w:t xml:space="preserve">                       </w:t>
      </w:r>
      <w:proofErr w:type="gramEnd"/>
      <w:r w:rsidRPr="00714469">
        <w:rPr>
          <w:rFonts w:ascii="Times New Roman" w:hAnsi="Times New Roman"/>
          <w:lang w:val="lv-LV"/>
        </w:rPr>
        <w:t>(7756 iedzīvotāji Pasvalē u</w:t>
      </w:r>
      <w:r w:rsidR="006E0402" w:rsidRPr="00714469">
        <w:rPr>
          <w:rFonts w:ascii="Times New Roman" w:hAnsi="Times New Roman"/>
          <w:lang w:val="lv-LV"/>
        </w:rPr>
        <w:t>n</w:t>
      </w:r>
      <w:r w:rsidRPr="00714469">
        <w:rPr>
          <w:rFonts w:ascii="Times New Roman" w:hAnsi="Times New Roman"/>
          <w:lang w:val="lv-LV"/>
        </w:rPr>
        <w:t xml:space="preserve"> 9900 iedzīvotāji Jonišķos [2012]). </w:t>
      </w:r>
    </w:p>
    <w:p w:rsidR="00D115F2" w:rsidRPr="00714469" w:rsidRDefault="000821A6" w:rsidP="00E302F6">
      <w:pPr>
        <w:spacing w:before="120" w:line="240" w:lineRule="auto"/>
        <w:rPr>
          <w:rFonts w:ascii="Times New Roman" w:hAnsi="Times New Roman"/>
          <w:lang w:val="lv-LV"/>
        </w:rPr>
      </w:pPr>
      <w:r w:rsidRPr="00714469">
        <w:rPr>
          <w:rFonts w:ascii="Times New Roman" w:hAnsi="Times New Roman"/>
          <w:lang w:val="lv-LV"/>
        </w:rPr>
        <w:t xml:space="preserve">Ceļa posms Nr. 2 </w:t>
      </w:r>
      <w:r w:rsidR="00E3036C">
        <w:rPr>
          <w:rFonts w:ascii="Times New Roman" w:hAnsi="Times New Roman"/>
          <w:lang w:val="lv-LV"/>
        </w:rPr>
        <w:t xml:space="preserve">(skat. 1.pielikuma 2.attēlu) </w:t>
      </w:r>
      <w:r w:rsidR="00B416CF" w:rsidRPr="00714469">
        <w:rPr>
          <w:rFonts w:ascii="Times New Roman" w:hAnsi="Times New Roman"/>
          <w:lang w:val="lv-LV"/>
        </w:rPr>
        <w:t xml:space="preserve">ir daļa no savienojuma starp </w:t>
      </w:r>
      <w:r w:rsidRPr="00714469">
        <w:rPr>
          <w:rFonts w:ascii="Times New Roman" w:hAnsi="Times New Roman"/>
          <w:lang w:val="lv-LV"/>
        </w:rPr>
        <w:t>Jēkabpili un Pandēli. Ceļš Latvijā nodrošina savienojumu ar tuvumā esošo reģio</w:t>
      </w:r>
      <w:r w:rsidR="00755612">
        <w:rPr>
          <w:rFonts w:ascii="Times New Roman" w:hAnsi="Times New Roman"/>
          <w:lang w:val="lv-LV"/>
        </w:rPr>
        <w:t xml:space="preserve">nālo centru - Jēkabpils pilsētu </w:t>
      </w:r>
      <w:r w:rsidRPr="00714469">
        <w:rPr>
          <w:rFonts w:ascii="Times New Roman" w:hAnsi="Times New Roman"/>
          <w:lang w:val="lv-LV"/>
        </w:rPr>
        <w:t>(24 608 iedzīvotāji [2011]), savukārt Lietuvā – ar reģionālo ceļu tīklu, kas nodrošina piekļuvi tuvumā esošajiem reģionālajiem centriem (piemēram,</w:t>
      </w:r>
      <w:proofErr w:type="gramStart"/>
      <w:r w:rsidRPr="00714469">
        <w:rPr>
          <w:rFonts w:ascii="Times New Roman" w:hAnsi="Times New Roman"/>
          <w:lang w:val="lv-LV"/>
        </w:rPr>
        <w:t xml:space="preserve"> </w:t>
      </w:r>
      <w:r w:rsidR="00755612">
        <w:rPr>
          <w:rFonts w:ascii="Times New Roman" w:hAnsi="Times New Roman"/>
          <w:lang w:val="lv-LV"/>
        </w:rPr>
        <w:t xml:space="preserve">                         </w:t>
      </w:r>
      <w:proofErr w:type="gramEnd"/>
      <w:r w:rsidRPr="00714469">
        <w:rPr>
          <w:rFonts w:ascii="Times New Roman" w:hAnsi="Times New Roman"/>
          <w:lang w:val="lv-LV"/>
        </w:rPr>
        <w:t xml:space="preserve">11 903 iedzīvotāji Biržos, 13 844 iedzīvotāji Rokišķos un 6 980 iedzīvotāji Kupišķos). </w:t>
      </w:r>
    </w:p>
    <w:p w:rsidR="00D115F2" w:rsidRPr="00714469" w:rsidRDefault="000821A6" w:rsidP="00E302F6">
      <w:pPr>
        <w:spacing w:before="120" w:line="240" w:lineRule="auto"/>
        <w:rPr>
          <w:rFonts w:ascii="Times New Roman" w:hAnsi="Times New Roman"/>
          <w:lang w:val="lv-LV"/>
        </w:rPr>
      </w:pPr>
      <w:r w:rsidRPr="00714469">
        <w:rPr>
          <w:rFonts w:ascii="Times New Roman" w:hAnsi="Times New Roman"/>
          <w:lang w:val="lv-LV"/>
        </w:rPr>
        <w:t>Ceļa posms Nr. 3</w:t>
      </w:r>
      <w:r w:rsidR="00B416CF" w:rsidRPr="00714469">
        <w:rPr>
          <w:rFonts w:ascii="Times New Roman" w:hAnsi="Times New Roman"/>
          <w:lang w:val="lv-LV"/>
        </w:rPr>
        <w:t xml:space="preserve"> </w:t>
      </w:r>
      <w:r w:rsidR="00E3036C">
        <w:rPr>
          <w:rFonts w:ascii="Times New Roman" w:hAnsi="Times New Roman"/>
          <w:lang w:val="lv-LV"/>
        </w:rPr>
        <w:t xml:space="preserve">(skat. 1.pielikuma 2.attēlu) </w:t>
      </w:r>
      <w:r w:rsidR="00B416CF" w:rsidRPr="00714469">
        <w:rPr>
          <w:rFonts w:ascii="Times New Roman" w:hAnsi="Times New Roman"/>
          <w:lang w:val="lv-LV"/>
        </w:rPr>
        <w:t>ir daļa no</w:t>
      </w:r>
      <w:r w:rsidRPr="00714469">
        <w:rPr>
          <w:rFonts w:ascii="Times New Roman" w:hAnsi="Times New Roman"/>
          <w:lang w:val="lv-LV"/>
        </w:rPr>
        <w:t xml:space="preserve"> savieno</w:t>
      </w:r>
      <w:r w:rsidR="00B416CF" w:rsidRPr="00714469">
        <w:rPr>
          <w:rFonts w:ascii="Times New Roman" w:hAnsi="Times New Roman"/>
          <w:lang w:val="lv-LV"/>
        </w:rPr>
        <w:t>juma starp</w:t>
      </w:r>
      <w:r w:rsidRPr="00714469">
        <w:rPr>
          <w:rFonts w:ascii="Times New Roman" w:hAnsi="Times New Roman"/>
          <w:lang w:val="lv-LV"/>
        </w:rPr>
        <w:t xml:space="preserve"> Grobiņu un Mažeiķ</w:t>
      </w:r>
      <w:r w:rsidR="00B416CF" w:rsidRPr="00714469">
        <w:rPr>
          <w:rFonts w:ascii="Times New Roman" w:hAnsi="Times New Roman"/>
          <w:lang w:val="lv-LV"/>
        </w:rPr>
        <w:t>iem</w:t>
      </w:r>
      <w:r w:rsidRPr="00714469">
        <w:rPr>
          <w:rFonts w:ascii="Times New Roman" w:hAnsi="Times New Roman"/>
          <w:lang w:val="lv-LV"/>
        </w:rPr>
        <w:t xml:space="preserve">. </w:t>
      </w:r>
      <w:r w:rsidR="00060C4B" w:rsidRPr="00714469">
        <w:rPr>
          <w:rFonts w:ascii="Times New Roman" w:hAnsi="Times New Roman"/>
          <w:lang w:val="lv-LV"/>
        </w:rPr>
        <w:t>Ceļš savieno reģionālos centrus un ir nozīmīgs transporta savienojums starp</w:t>
      </w:r>
      <w:r w:rsidR="00060C4B" w:rsidRPr="00714469">
        <w:rPr>
          <w:rFonts w:ascii="Times New Roman" w:hAnsi="Times New Roman"/>
          <w:b/>
          <w:lang w:val="lv-LV"/>
        </w:rPr>
        <w:t xml:space="preserve"> </w:t>
      </w:r>
      <w:r w:rsidR="00060C4B" w:rsidRPr="00714469">
        <w:rPr>
          <w:rFonts w:ascii="Times New Roman" w:hAnsi="Times New Roman"/>
          <w:lang w:val="lv-LV"/>
        </w:rPr>
        <w:t>Mažeiķu pilsētu (36 278 iedzīvotāji) Lietuvā un Liepājas pilsētu (82 413 iedzīvotāji) Latvijā.</w:t>
      </w:r>
      <w:r w:rsidR="00D115F2" w:rsidRPr="00714469">
        <w:rPr>
          <w:rFonts w:ascii="Times New Roman" w:hAnsi="Times New Roman"/>
          <w:lang w:val="lv-LV"/>
        </w:rPr>
        <w:t xml:space="preserve"> </w:t>
      </w:r>
    </w:p>
    <w:p w:rsidR="00D115F2" w:rsidRPr="00714469" w:rsidRDefault="00D115F2" w:rsidP="00E302F6">
      <w:pPr>
        <w:spacing w:before="120" w:line="240" w:lineRule="auto"/>
        <w:contextualSpacing/>
        <w:rPr>
          <w:rFonts w:ascii="Times New Roman" w:hAnsi="Times New Roman"/>
          <w:u w:val="single"/>
          <w:lang w:val="lv-LV"/>
        </w:rPr>
      </w:pPr>
    </w:p>
    <w:p w:rsidR="007419A3" w:rsidRPr="00714469" w:rsidRDefault="00F010B8" w:rsidP="00E302F6">
      <w:pPr>
        <w:spacing w:before="120" w:line="240" w:lineRule="auto"/>
        <w:rPr>
          <w:rFonts w:ascii="Times New Roman" w:hAnsi="Times New Roman"/>
          <w:u w:val="single"/>
          <w:lang w:val="lv-LV"/>
        </w:rPr>
      </w:pPr>
      <w:r w:rsidRPr="00714469">
        <w:rPr>
          <w:rFonts w:ascii="Times New Roman" w:hAnsi="Times New Roman"/>
          <w:lang w:val="lv-LV"/>
        </w:rPr>
        <w:lastRenderedPageBreak/>
        <w:t xml:space="preserve">Ņemot vērā pašreizējās vajadzības, Programmas darbības spektru un pārrobežu sadarbības potenciālu, tikušas </w:t>
      </w:r>
      <w:r w:rsidR="00B416CF" w:rsidRPr="00714469">
        <w:rPr>
          <w:rFonts w:ascii="Times New Roman" w:hAnsi="Times New Roman"/>
          <w:lang w:val="lv-LV"/>
        </w:rPr>
        <w:t xml:space="preserve">noteikti galvenie izaicinājumi </w:t>
      </w:r>
      <w:r w:rsidRPr="00714469">
        <w:rPr>
          <w:rFonts w:ascii="Times New Roman" w:hAnsi="Times New Roman"/>
          <w:lang w:val="lv-LV"/>
        </w:rPr>
        <w:t xml:space="preserve">nodarbinātības un mobilitātes sfērā. </w:t>
      </w:r>
      <w:r w:rsidRPr="00714469">
        <w:rPr>
          <w:rFonts w:ascii="Times New Roman" w:hAnsi="Times New Roman"/>
          <w:u w:val="single"/>
          <w:lang w:val="lv-LV"/>
        </w:rPr>
        <w:t xml:space="preserve">Programma </w:t>
      </w:r>
      <w:r w:rsidR="00FF5C69" w:rsidRPr="00714469">
        <w:rPr>
          <w:rFonts w:ascii="Times New Roman" w:hAnsi="Times New Roman"/>
          <w:u w:val="single"/>
          <w:lang w:val="lv-LV"/>
        </w:rPr>
        <w:t>plāno</w:t>
      </w:r>
      <w:r w:rsidRPr="00714469">
        <w:rPr>
          <w:rFonts w:ascii="Times New Roman" w:hAnsi="Times New Roman"/>
          <w:u w:val="single"/>
          <w:lang w:val="lv-LV"/>
        </w:rPr>
        <w:t>:</w:t>
      </w:r>
    </w:p>
    <w:p w:rsidR="007419A3" w:rsidRPr="00714469" w:rsidRDefault="005675F0" w:rsidP="00E302F6">
      <w:pPr>
        <w:pStyle w:val="ListParagraph"/>
        <w:numPr>
          <w:ilvl w:val="0"/>
          <w:numId w:val="2"/>
        </w:numPr>
        <w:spacing w:before="120" w:line="240" w:lineRule="auto"/>
        <w:rPr>
          <w:rFonts w:ascii="Times New Roman" w:hAnsi="Times New Roman"/>
          <w:lang w:val="lv-LV"/>
        </w:rPr>
      </w:pPr>
      <w:r w:rsidRPr="00714469">
        <w:rPr>
          <w:rFonts w:ascii="Times New Roman" w:hAnsi="Times New Roman"/>
          <w:lang w:val="lv-LV"/>
        </w:rPr>
        <w:t>atbalstīt pārrobežu uzņēmējdarbību un pašnodarbinātību, kā arī sniegt netiešu uzņēmējdarbības atbalstu (ieskaitot nepieciešamo infrastruktūru);</w:t>
      </w:r>
    </w:p>
    <w:p w:rsidR="007419A3" w:rsidRPr="00714469" w:rsidRDefault="005675F0" w:rsidP="00E302F6">
      <w:pPr>
        <w:pStyle w:val="ListParagraph"/>
        <w:numPr>
          <w:ilvl w:val="0"/>
          <w:numId w:val="2"/>
        </w:numPr>
        <w:spacing w:before="120" w:line="240" w:lineRule="auto"/>
        <w:rPr>
          <w:rFonts w:ascii="Times New Roman" w:hAnsi="Times New Roman"/>
          <w:lang w:val="lv-LV"/>
        </w:rPr>
      </w:pPr>
      <w:r w:rsidRPr="00714469">
        <w:rPr>
          <w:rFonts w:ascii="Times New Roman" w:hAnsi="Times New Roman"/>
          <w:lang w:val="lv-LV"/>
        </w:rPr>
        <w:t xml:space="preserve">radīt </w:t>
      </w:r>
      <w:r w:rsidR="00384E52" w:rsidRPr="00714469">
        <w:rPr>
          <w:rFonts w:ascii="Times New Roman" w:hAnsi="Times New Roman"/>
          <w:lang w:val="lv-LV"/>
        </w:rPr>
        <w:t>iespējas ie</w:t>
      </w:r>
      <w:r w:rsidRPr="00714469">
        <w:rPr>
          <w:rFonts w:ascii="Times New Roman" w:hAnsi="Times New Roman"/>
          <w:lang w:val="lv-LV"/>
        </w:rPr>
        <w:t xml:space="preserve">gūt prasmes, kas nepieciešamas darba tirgū; </w:t>
      </w:r>
    </w:p>
    <w:p w:rsidR="007419A3" w:rsidRPr="00714469" w:rsidRDefault="005675F0" w:rsidP="00E302F6">
      <w:pPr>
        <w:pStyle w:val="ListParagraph"/>
        <w:numPr>
          <w:ilvl w:val="0"/>
          <w:numId w:val="2"/>
        </w:numPr>
        <w:spacing w:before="120" w:line="240" w:lineRule="auto"/>
        <w:rPr>
          <w:rFonts w:ascii="Times New Roman" w:hAnsi="Times New Roman"/>
          <w:lang w:val="lv-LV"/>
        </w:rPr>
      </w:pPr>
      <w:r w:rsidRPr="00714469">
        <w:rPr>
          <w:rFonts w:ascii="Times New Roman" w:hAnsi="Times New Roman"/>
          <w:lang w:val="lv-LV"/>
        </w:rPr>
        <w:t>sekmēt pārrobežu nodarbinātību un informācijas apmaiņu saistībā ar darba prasībām un nepieciešamajām prasmēm;</w:t>
      </w:r>
    </w:p>
    <w:p w:rsidR="00D115F2" w:rsidRPr="00714469" w:rsidRDefault="008860A4" w:rsidP="00E302F6">
      <w:pPr>
        <w:pStyle w:val="ListParagraph"/>
        <w:numPr>
          <w:ilvl w:val="0"/>
          <w:numId w:val="2"/>
        </w:numPr>
        <w:spacing w:before="120" w:line="240" w:lineRule="auto"/>
        <w:rPr>
          <w:rFonts w:ascii="Times New Roman" w:hAnsi="Times New Roman"/>
          <w:lang w:val="lv-LV"/>
        </w:rPr>
      </w:pPr>
      <w:r w:rsidRPr="00714469">
        <w:rPr>
          <w:rFonts w:ascii="Times New Roman" w:hAnsi="Times New Roman"/>
          <w:lang w:val="lv-LV"/>
        </w:rPr>
        <w:t>uzlabot trīs iepriekšminētos pārrobežu ceļu posmus, lai palielinātu mobilitāti un nodrošinātu piekļuvi pakalpojumiem.</w:t>
      </w:r>
    </w:p>
    <w:p w:rsidR="00384E52" w:rsidRPr="00543A74" w:rsidRDefault="00384E52" w:rsidP="00E302F6">
      <w:pPr>
        <w:pStyle w:val="ListParagraph"/>
        <w:spacing w:before="120" w:line="240" w:lineRule="auto"/>
        <w:ind w:left="360"/>
        <w:rPr>
          <w:b/>
          <w:sz w:val="20"/>
          <w:szCs w:val="20"/>
          <w:u w:val="single"/>
          <w:lang w:val="lv-LV"/>
        </w:rPr>
      </w:pPr>
    </w:p>
    <w:p w:rsidR="00D115F2" w:rsidRPr="00714469" w:rsidRDefault="000D45B3" w:rsidP="00E302F6">
      <w:pPr>
        <w:pStyle w:val="ListParagraph"/>
        <w:numPr>
          <w:ilvl w:val="2"/>
          <w:numId w:val="4"/>
        </w:numPr>
        <w:spacing w:before="120" w:line="240" w:lineRule="auto"/>
        <w:rPr>
          <w:rFonts w:ascii="Times New Roman" w:hAnsi="Times New Roman"/>
          <w:b/>
          <w:lang w:val="lv-LV"/>
        </w:rPr>
      </w:pPr>
      <w:r w:rsidRPr="00714469">
        <w:rPr>
          <w:rFonts w:ascii="Times New Roman" w:hAnsi="Times New Roman"/>
          <w:b/>
          <w:lang w:val="lv-LV"/>
        </w:rPr>
        <w:t>Kultūras un dabas mantojums, apkārtējā vide</w:t>
      </w:r>
    </w:p>
    <w:p w:rsidR="00D115F2" w:rsidRPr="00714469" w:rsidRDefault="000D45B3" w:rsidP="00E302F6">
      <w:pPr>
        <w:spacing w:before="120" w:line="240" w:lineRule="auto"/>
        <w:rPr>
          <w:rFonts w:ascii="Times New Roman" w:hAnsi="Times New Roman"/>
          <w:b/>
          <w:u w:val="single"/>
          <w:lang w:val="lv-LV"/>
        </w:rPr>
      </w:pPr>
      <w:r w:rsidRPr="00714469">
        <w:rPr>
          <w:rFonts w:ascii="Times New Roman" w:hAnsi="Times New Roman"/>
          <w:b/>
          <w:u w:val="single"/>
          <w:lang w:val="lv-LV"/>
        </w:rPr>
        <w:t>Kultūras un dabas mantojums</w:t>
      </w:r>
    </w:p>
    <w:p w:rsidR="00D115F2" w:rsidRPr="00714469" w:rsidRDefault="00BF25EC" w:rsidP="00E302F6">
      <w:pPr>
        <w:spacing w:before="120" w:line="240" w:lineRule="auto"/>
        <w:rPr>
          <w:rFonts w:ascii="Times New Roman" w:hAnsi="Times New Roman"/>
          <w:lang w:val="lv-LV"/>
        </w:rPr>
      </w:pPr>
      <w:r w:rsidRPr="00714469">
        <w:rPr>
          <w:rFonts w:ascii="Times New Roman" w:hAnsi="Times New Roman"/>
          <w:lang w:val="lv-LV"/>
        </w:rPr>
        <w:t>R</w:t>
      </w:r>
      <w:r w:rsidR="00131A8C" w:rsidRPr="00714469">
        <w:rPr>
          <w:rFonts w:ascii="Times New Roman" w:hAnsi="Times New Roman"/>
          <w:lang w:val="lv-LV"/>
        </w:rPr>
        <w:t>eģionāl</w:t>
      </w:r>
      <w:r w:rsidR="0092319A" w:rsidRPr="00714469">
        <w:rPr>
          <w:rFonts w:ascii="Times New Roman" w:hAnsi="Times New Roman"/>
          <w:lang w:val="lv-LV"/>
        </w:rPr>
        <w:t>o resursu ilgtspējīga</w:t>
      </w:r>
      <w:r w:rsidR="009E022A" w:rsidRPr="00714469">
        <w:rPr>
          <w:rFonts w:ascii="Times New Roman" w:hAnsi="Times New Roman"/>
          <w:lang w:val="lv-LV"/>
        </w:rPr>
        <w:t>s</w:t>
      </w:r>
      <w:r w:rsidR="0092319A" w:rsidRPr="00714469">
        <w:rPr>
          <w:rFonts w:ascii="Times New Roman" w:hAnsi="Times New Roman"/>
          <w:lang w:val="lv-LV"/>
        </w:rPr>
        <w:t xml:space="preserve"> apsaimniekošana</w:t>
      </w:r>
      <w:r w:rsidRPr="00714469">
        <w:rPr>
          <w:rFonts w:ascii="Times New Roman" w:hAnsi="Times New Roman"/>
          <w:lang w:val="lv-LV"/>
        </w:rPr>
        <w:t>s</w:t>
      </w:r>
      <w:r w:rsidR="00131A8C" w:rsidRPr="00714469">
        <w:rPr>
          <w:rFonts w:ascii="Times New Roman" w:hAnsi="Times New Roman"/>
          <w:lang w:val="lv-LV"/>
        </w:rPr>
        <w:t xml:space="preserve"> un saglabāšana</w:t>
      </w:r>
      <w:r w:rsidRPr="00714469">
        <w:rPr>
          <w:rFonts w:ascii="Times New Roman" w:hAnsi="Times New Roman"/>
          <w:lang w:val="lv-LV"/>
        </w:rPr>
        <w:t>s pasākumi ietver sevī arī kultūras un dabas mantojuma pakalpojumu un objektu attīstību</w:t>
      </w:r>
      <w:r w:rsidR="009E022A" w:rsidRPr="00714469">
        <w:rPr>
          <w:rFonts w:ascii="Times New Roman" w:hAnsi="Times New Roman"/>
          <w:lang w:val="lv-LV"/>
        </w:rPr>
        <w:t>.</w:t>
      </w:r>
      <w:r w:rsidRPr="00714469">
        <w:rPr>
          <w:rFonts w:ascii="Times New Roman" w:hAnsi="Times New Roman"/>
          <w:lang w:val="lv-LV"/>
        </w:rPr>
        <w:t xml:space="preserve"> </w:t>
      </w:r>
      <w:r w:rsidR="00131A8C" w:rsidRPr="00714469">
        <w:rPr>
          <w:rFonts w:ascii="Times New Roman" w:hAnsi="Times New Roman"/>
          <w:lang w:val="lv-LV"/>
        </w:rPr>
        <w:t>Šād</w:t>
      </w:r>
      <w:r w:rsidR="009E022A" w:rsidRPr="00714469">
        <w:rPr>
          <w:rFonts w:ascii="Times New Roman" w:hAnsi="Times New Roman"/>
          <w:lang w:val="lv-LV"/>
        </w:rPr>
        <w:t>a</w:t>
      </w:r>
      <w:r w:rsidR="00131A8C" w:rsidRPr="00714469">
        <w:rPr>
          <w:rFonts w:ascii="Times New Roman" w:hAnsi="Times New Roman"/>
          <w:lang w:val="lv-LV"/>
        </w:rPr>
        <w:t xml:space="preserve"> pieej</w:t>
      </w:r>
      <w:r w:rsidR="00F42790" w:rsidRPr="00714469">
        <w:rPr>
          <w:rFonts w:ascii="Times New Roman" w:hAnsi="Times New Roman"/>
          <w:lang w:val="lv-LV"/>
        </w:rPr>
        <w:t>a</w:t>
      </w:r>
      <w:r w:rsidRPr="00714469">
        <w:rPr>
          <w:rFonts w:ascii="Times New Roman" w:hAnsi="Times New Roman"/>
          <w:lang w:val="lv-LV"/>
        </w:rPr>
        <w:t xml:space="preserve"> netieši veicina arī tūrisma attīstību</w:t>
      </w:r>
      <w:r w:rsidR="009E022A" w:rsidRPr="00714469">
        <w:rPr>
          <w:rFonts w:ascii="Times New Roman" w:hAnsi="Times New Roman"/>
          <w:lang w:val="lv-LV"/>
        </w:rPr>
        <w:t xml:space="preserve"> un</w:t>
      </w:r>
      <w:r w:rsidRPr="00714469">
        <w:rPr>
          <w:rFonts w:ascii="Times New Roman" w:hAnsi="Times New Roman"/>
          <w:lang w:val="lv-LV"/>
        </w:rPr>
        <w:t xml:space="preserve"> </w:t>
      </w:r>
      <w:r w:rsidR="00F42790" w:rsidRPr="00714469">
        <w:rPr>
          <w:rFonts w:ascii="Times New Roman" w:hAnsi="Times New Roman"/>
          <w:lang w:val="lv-LV"/>
        </w:rPr>
        <w:t xml:space="preserve">ir noteikta </w:t>
      </w:r>
      <w:r w:rsidR="00131A8C" w:rsidRPr="00714469">
        <w:rPr>
          <w:rFonts w:ascii="Times New Roman" w:hAnsi="Times New Roman"/>
          <w:lang w:val="lv-LV"/>
        </w:rPr>
        <w:t>Programmas reģionu attīstības stratēģij</w:t>
      </w:r>
      <w:r w:rsidR="00F42790" w:rsidRPr="00714469">
        <w:rPr>
          <w:rFonts w:ascii="Times New Roman" w:hAnsi="Times New Roman"/>
          <w:lang w:val="lv-LV"/>
        </w:rPr>
        <w:t>ās</w:t>
      </w:r>
      <w:r w:rsidR="00131A8C" w:rsidRPr="00714469">
        <w:rPr>
          <w:rFonts w:ascii="Times New Roman" w:hAnsi="Times New Roman"/>
          <w:lang w:val="lv-LV"/>
        </w:rPr>
        <w:t>, kas izceļ kultūras tūrisma un dabas mantojuma potenciālu kā</w:t>
      </w:r>
      <w:r w:rsidRPr="00714469">
        <w:rPr>
          <w:rFonts w:ascii="Times New Roman" w:hAnsi="Times New Roman"/>
          <w:lang w:val="lv-LV"/>
        </w:rPr>
        <w:t xml:space="preserve"> iespēju reģionālajai attīstībai</w:t>
      </w:r>
      <w:r w:rsidR="003B060A" w:rsidRPr="00714469">
        <w:rPr>
          <w:rFonts w:ascii="Times New Roman" w:hAnsi="Times New Roman"/>
          <w:lang w:val="lv-LV"/>
        </w:rPr>
        <w:t xml:space="preserve"> un </w:t>
      </w:r>
      <w:r w:rsidRPr="00714469">
        <w:rPr>
          <w:rFonts w:ascii="Times New Roman" w:hAnsi="Times New Roman"/>
          <w:lang w:val="lv-LV"/>
        </w:rPr>
        <w:t>ekonomikas diversifikācijai</w:t>
      </w:r>
      <w:r w:rsidR="00131A8C" w:rsidRPr="00714469">
        <w:rPr>
          <w:rFonts w:ascii="Times New Roman" w:hAnsi="Times New Roman"/>
          <w:lang w:val="lv-LV"/>
        </w:rPr>
        <w:t>.</w:t>
      </w:r>
    </w:p>
    <w:p w:rsidR="00D115F2" w:rsidRPr="00714469" w:rsidRDefault="00BF25EC" w:rsidP="00E302F6">
      <w:pPr>
        <w:spacing w:before="120" w:line="240" w:lineRule="auto"/>
        <w:rPr>
          <w:rFonts w:ascii="Times New Roman" w:hAnsi="Times New Roman"/>
          <w:lang w:val="lv-LV"/>
        </w:rPr>
      </w:pPr>
      <w:r w:rsidRPr="00714469">
        <w:rPr>
          <w:rFonts w:ascii="Times New Roman" w:hAnsi="Times New Roman"/>
          <w:lang w:val="lv-LV"/>
        </w:rPr>
        <w:t>A</w:t>
      </w:r>
      <w:r w:rsidR="006D11C6" w:rsidRPr="00714469">
        <w:rPr>
          <w:rFonts w:ascii="Times New Roman" w:hAnsi="Times New Roman"/>
          <w:lang w:val="lv-LV"/>
        </w:rPr>
        <w:t>bās valstīs reģionālā līmenī trūkst salīdzinošo datu par kultūras un dabas mantojuma izmantošanu</w:t>
      </w:r>
      <w:r w:rsidRPr="00714469">
        <w:rPr>
          <w:rFonts w:ascii="Times New Roman" w:hAnsi="Times New Roman"/>
          <w:lang w:val="lv-LV"/>
        </w:rPr>
        <w:t xml:space="preserve"> (tai skaitā tūristu skaits reģionos).</w:t>
      </w:r>
      <w:r w:rsidR="006D11C6" w:rsidRPr="00714469">
        <w:rPr>
          <w:rFonts w:ascii="Times New Roman" w:hAnsi="Times New Roman"/>
          <w:lang w:val="lv-LV"/>
        </w:rPr>
        <w:t xml:space="preserve"> </w:t>
      </w:r>
      <w:r w:rsidRPr="00714469">
        <w:rPr>
          <w:rFonts w:ascii="Times New Roman" w:hAnsi="Times New Roman"/>
          <w:lang w:val="lv-LV"/>
        </w:rPr>
        <w:t>P</w:t>
      </w:r>
      <w:r w:rsidR="006D11C6" w:rsidRPr="00714469">
        <w:rPr>
          <w:rFonts w:ascii="Times New Roman" w:hAnsi="Times New Roman"/>
          <w:lang w:val="lv-LV"/>
        </w:rPr>
        <w:t>ieejamie statistikas rādītāji liecina</w:t>
      </w:r>
      <w:r w:rsidRPr="00714469">
        <w:rPr>
          <w:rFonts w:ascii="Times New Roman" w:hAnsi="Times New Roman"/>
          <w:lang w:val="lv-LV"/>
        </w:rPr>
        <w:t xml:space="preserve">, ka </w:t>
      </w:r>
      <w:r w:rsidR="006D11C6" w:rsidRPr="00714469">
        <w:rPr>
          <w:rFonts w:ascii="Times New Roman" w:hAnsi="Times New Roman"/>
          <w:lang w:val="lv-LV"/>
        </w:rPr>
        <w:t xml:space="preserve">laika posmā no 2009. līdz 2012. gadam Programmas teritorijā </w:t>
      </w:r>
      <w:r w:rsidRPr="00714469">
        <w:rPr>
          <w:rFonts w:ascii="Times New Roman" w:hAnsi="Times New Roman"/>
          <w:lang w:val="lv-LV"/>
        </w:rPr>
        <w:t xml:space="preserve">esošo viesnīcu un tūrisma mītnēs apkalpoto cilvēku skaits </w:t>
      </w:r>
      <w:r w:rsidR="006D11C6" w:rsidRPr="00714469">
        <w:rPr>
          <w:rFonts w:ascii="Times New Roman" w:hAnsi="Times New Roman"/>
          <w:lang w:val="lv-LV"/>
        </w:rPr>
        <w:t xml:space="preserve">ir palielinājies par vidēji 11% gadā, </w:t>
      </w:r>
      <w:r w:rsidRPr="00714469">
        <w:rPr>
          <w:rFonts w:ascii="Times New Roman" w:hAnsi="Times New Roman"/>
          <w:lang w:val="lv-LV"/>
        </w:rPr>
        <w:t xml:space="preserve">tomēr, salīdzinot ar valstīm kopumā, </w:t>
      </w:r>
      <w:r w:rsidR="006D11C6" w:rsidRPr="00714469">
        <w:rPr>
          <w:rFonts w:ascii="Times New Roman" w:hAnsi="Times New Roman"/>
          <w:lang w:val="lv-LV"/>
        </w:rPr>
        <w:t>Programmas teritorij</w:t>
      </w:r>
      <w:r w:rsidRPr="00714469">
        <w:rPr>
          <w:rFonts w:ascii="Times New Roman" w:hAnsi="Times New Roman"/>
          <w:lang w:val="lv-LV"/>
        </w:rPr>
        <w:t>ā</w:t>
      </w:r>
      <w:r w:rsidR="006D11C6" w:rsidRPr="00714469">
        <w:rPr>
          <w:rFonts w:ascii="Times New Roman" w:hAnsi="Times New Roman"/>
          <w:lang w:val="lv-LV"/>
        </w:rPr>
        <w:t xml:space="preserve"> joprojām </w:t>
      </w:r>
      <w:r w:rsidRPr="00714469">
        <w:rPr>
          <w:rFonts w:ascii="Times New Roman" w:hAnsi="Times New Roman"/>
          <w:lang w:val="lv-LV"/>
        </w:rPr>
        <w:t xml:space="preserve">netiek izmantotas </w:t>
      </w:r>
      <w:r w:rsidR="00F42790" w:rsidRPr="00714469">
        <w:rPr>
          <w:rFonts w:ascii="Times New Roman" w:hAnsi="Times New Roman"/>
          <w:lang w:val="lv-LV"/>
        </w:rPr>
        <w:t xml:space="preserve">potenciālās iespējas, ko sniedz </w:t>
      </w:r>
      <w:r w:rsidR="006D11C6" w:rsidRPr="00714469">
        <w:rPr>
          <w:rFonts w:ascii="Times New Roman" w:hAnsi="Times New Roman"/>
          <w:lang w:val="lv-LV"/>
        </w:rPr>
        <w:t>kultūras un dabas mantojuma pakalpojum</w:t>
      </w:r>
      <w:r w:rsidR="00F42790" w:rsidRPr="00714469">
        <w:rPr>
          <w:rFonts w:ascii="Times New Roman" w:hAnsi="Times New Roman"/>
          <w:lang w:val="lv-LV"/>
        </w:rPr>
        <w:t>i</w:t>
      </w:r>
      <w:r w:rsidR="006D11C6" w:rsidRPr="00714469">
        <w:rPr>
          <w:rFonts w:ascii="Times New Roman" w:hAnsi="Times New Roman"/>
          <w:lang w:val="lv-LV"/>
        </w:rPr>
        <w:t xml:space="preserve"> un produkt</w:t>
      </w:r>
      <w:r w:rsidR="00F42790" w:rsidRPr="00714469">
        <w:rPr>
          <w:rFonts w:ascii="Times New Roman" w:hAnsi="Times New Roman"/>
          <w:lang w:val="lv-LV"/>
        </w:rPr>
        <w:t>i.</w:t>
      </w:r>
      <w:r w:rsidR="006D11C6" w:rsidRPr="00714469">
        <w:rPr>
          <w:rFonts w:ascii="Times New Roman" w:hAnsi="Times New Roman"/>
          <w:lang w:val="lv-LV"/>
        </w:rPr>
        <w:t xml:space="preserve"> </w:t>
      </w:r>
    </w:p>
    <w:p w:rsidR="00D115F2" w:rsidRPr="00714469" w:rsidRDefault="00352CF4" w:rsidP="00E302F6">
      <w:pPr>
        <w:spacing w:before="120" w:line="240" w:lineRule="auto"/>
        <w:rPr>
          <w:rFonts w:ascii="Times New Roman" w:hAnsi="Times New Roman"/>
          <w:lang w:val="lv-LV"/>
        </w:rPr>
      </w:pPr>
      <w:r w:rsidRPr="00714469">
        <w:rPr>
          <w:rFonts w:ascii="Times New Roman" w:hAnsi="Times New Roman"/>
          <w:lang w:val="lv-LV"/>
        </w:rPr>
        <w:t xml:space="preserve">Programmas reģionos </w:t>
      </w:r>
      <w:r w:rsidR="003C0FF2" w:rsidRPr="00714469">
        <w:rPr>
          <w:rFonts w:ascii="Times New Roman" w:hAnsi="Times New Roman"/>
          <w:lang w:val="lv-LV"/>
        </w:rPr>
        <w:t>ir raksturīgs lēnāks</w:t>
      </w:r>
      <w:r w:rsidRPr="00714469">
        <w:rPr>
          <w:rFonts w:ascii="Times New Roman" w:hAnsi="Times New Roman"/>
          <w:lang w:val="lv-LV"/>
        </w:rPr>
        <w:t xml:space="preserve"> </w:t>
      </w:r>
      <w:r w:rsidR="003C0FF2" w:rsidRPr="00714469">
        <w:rPr>
          <w:rFonts w:ascii="Times New Roman" w:hAnsi="Times New Roman"/>
          <w:lang w:val="lv-LV"/>
        </w:rPr>
        <w:t>pieaugums</w:t>
      </w:r>
      <w:r w:rsidRPr="00714469">
        <w:rPr>
          <w:rFonts w:ascii="Times New Roman" w:hAnsi="Times New Roman"/>
          <w:lang w:val="lv-LV"/>
        </w:rPr>
        <w:t xml:space="preserve"> </w:t>
      </w:r>
      <w:r w:rsidR="003C0FF2" w:rsidRPr="00714469">
        <w:rPr>
          <w:rFonts w:ascii="Times New Roman" w:hAnsi="Times New Roman"/>
          <w:lang w:val="lv-LV"/>
        </w:rPr>
        <w:t>nekā valsts līmen</w:t>
      </w:r>
      <w:r w:rsidR="00BF25EC" w:rsidRPr="00714469">
        <w:rPr>
          <w:rFonts w:ascii="Times New Roman" w:hAnsi="Times New Roman"/>
          <w:lang w:val="lv-LV"/>
        </w:rPr>
        <w:t>ī -</w:t>
      </w:r>
      <w:r w:rsidR="003C0FF2" w:rsidRPr="00714469">
        <w:rPr>
          <w:rFonts w:ascii="Times New Roman" w:hAnsi="Times New Roman"/>
          <w:lang w:val="lv-LV"/>
        </w:rPr>
        <w:t xml:space="preserve"> </w:t>
      </w:r>
      <w:r w:rsidR="00BF25EC" w:rsidRPr="00714469">
        <w:rPr>
          <w:rFonts w:ascii="Times New Roman" w:hAnsi="Times New Roman"/>
          <w:lang w:val="lv-LV"/>
        </w:rPr>
        <w:t>v</w:t>
      </w:r>
      <w:r w:rsidR="003C0FF2" w:rsidRPr="00714469">
        <w:rPr>
          <w:rFonts w:ascii="Times New Roman" w:hAnsi="Times New Roman"/>
          <w:lang w:val="lv-LV"/>
        </w:rPr>
        <w:t>isos Programmas reģionos (izņemot Kauņu un Zemgali) tika reģistrēts</w:t>
      </w:r>
      <w:r w:rsidR="00BF25EC" w:rsidRPr="00714469">
        <w:rPr>
          <w:rFonts w:ascii="Times New Roman" w:hAnsi="Times New Roman"/>
          <w:lang w:val="lv-LV"/>
        </w:rPr>
        <w:t xml:space="preserve"> </w:t>
      </w:r>
      <w:r w:rsidR="003C0FF2" w:rsidRPr="00714469">
        <w:rPr>
          <w:rFonts w:ascii="Times New Roman" w:hAnsi="Times New Roman"/>
          <w:lang w:val="lv-LV"/>
        </w:rPr>
        <w:t xml:space="preserve">zemāks </w:t>
      </w:r>
      <w:r w:rsidR="00BF25EC" w:rsidRPr="00714469">
        <w:rPr>
          <w:rFonts w:ascii="Times New Roman" w:hAnsi="Times New Roman"/>
          <w:lang w:val="lv-LV"/>
        </w:rPr>
        <w:t xml:space="preserve">viesnīcās un citās tūrisma mītnēs </w:t>
      </w:r>
      <w:r w:rsidR="00F42790" w:rsidRPr="00714469">
        <w:rPr>
          <w:rFonts w:ascii="Times New Roman" w:hAnsi="Times New Roman"/>
          <w:lang w:val="lv-LV"/>
        </w:rPr>
        <w:t>apkalpoto personu skait</w:t>
      </w:r>
      <w:r w:rsidR="00BF25EC" w:rsidRPr="00714469">
        <w:rPr>
          <w:rFonts w:ascii="Times New Roman" w:hAnsi="Times New Roman"/>
          <w:lang w:val="lv-LV"/>
        </w:rPr>
        <w:t>a</w:t>
      </w:r>
      <w:r w:rsidR="00F42790" w:rsidRPr="00714469">
        <w:rPr>
          <w:rFonts w:ascii="Times New Roman" w:hAnsi="Times New Roman"/>
          <w:lang w:val="lv-LV"/>
        </w:rPr>
        <w:t xml:space="preserve"> </w:t>
      </w:r>
      <w:r w:rsidR="003C0FF2" w:rsidRPr="00714469">
        <w:rPr>
          <w:rFonts w:ascii="Times New Roman" w:hAnsi="Times New Roman"/>
          <w:lang w:val="lv-LV"/>
        </w:rPr>
        <w:t>gada pieaugums (2009</w:t>
      </w:r>
      <w:r w:rsidR="00BF25EC" w:rsidRPr="00714469">
        <w:rPr>
          <w:rFonts w:ascii="Times New Roman" w:hAnsi="Times New Roman"/>
          <w:lang w:val="lv-LV"/>
        </w:rPr>
        <w:t> </w:t>
      </w:r>
      <w:r w:rsidR="003C0FF2" w:rsidRPr="00714469">
        <w:rPr>
          <w:rFonts w:ascii="Times New Roman" w:hAnsi="Times New Roman"/>
          <w:lang w:val="lv-LV"/>
        </w:rPr>
        <w:t>–</w:t>
      </w:r>
      <w:r w:rsidR="00BF25EC" w:rsidRPr="00714469">
        <w:rPr>
          <w:rFonts w:ascii="Times New Roman" w:hAnsi="Times New Roman"/>
          <w:lang w:val="lv-LV"/>
        </w:rPr>
        <w:t> </w:t>
      </w:r>
      <w:r w:rsidR="003C0FF2" w:rsidRPr="00714469">
        <w:rPr>
          <w:rFonts w:ascii="Times New Roman" w:hAnsi="Times New Roman"/>
          <w:lang w:val="lv-LV"/>
        </w:rPr>
        <w:t>2012) nekā at</w:t>
      </w:r>
      <w:r w:rsidR="00BF25EC" w:rsidRPr="00714469">
        <w:rPr>
          <w:rFonts w:ascii="Times New Roman" w:hAnsi="Times New Roman"/>
          <w:lang w:val="lv-LV"/>
        </w:rPr>
        <w:t>tiecīgie vidējie rādītāji valstī</w:t>
      </w:r>
      <w:r w:rsidR="003C0FF2" w:rsidRPr="00714469">
        <w:rPr>
          <w:rFonts w:ascii="Times New Roman" w:hAnsi="Times New Roman"/>
          <w:lang w:val="lv-LV"/>
        </w:rPr>
        <w:t>. Tomēr jānorāda, ka Programmas reģioni ir diezgan atšķirīgi</w:t>
      </w:r>
      <w:r w:rsidR="00715099" w:rsidRPr="00714469">
        <w:rPr>
          <w:rFonts w:ascii="Times New Roman" w:hAnsi="Times New Roman"/>
          <w:lang w:val="lv-LV"/>
        </w:rPr>
        <w:t>,</w:t>
      </w:r>
      <w:r w:rsidR="00BF25EC" w:rsidRPr="00714469">
        <w:rPr>
          <w:rFonts w:ascii="Times New Roman" w:hAnsi="Times New Roman"/>
          <w:lang w:val="lv-LV"/>
        </w:rPr>
        <w:t xml:space="preserve"> tā piemēram, d</w:t>
      </w:r>
      <w:r w:rsidR="003C0FF2" w:rsidRPr="00714469">
        <w:rPr>
          <w:rFonts w:ascii="Times New Roman" w:hAnsi="Times New Roman"/>
          <w:lang w:val="lv-LV"/>
        </w:rPr>
        <w:t xml:space="preserve">ivos Lietuvas reģionos (Kauņā un Klaipēdā) un vienā Latvijas reģionā (Kurzemē) 2012. gadā </w:t>
      </w:r>
      <w:r w:rsidR="00BF25EC" w:rsidRPr="00714469">
        <w:rPr>
          <w:rFonts w:ascii="Times New Roman" w:hAnsi="Times New Roman"/>
          <w:lang w:val="lv-LV"/>
        </w:rPr>
        <w:t>apkalpoti</w:t>
      </w:r>
      <w:r w:rsidR="003C0FF2" w:rsidRPr="00714469">
        <w:rPr>
          <w:rFonts w:ascii="Times New Roman" w:hAnsi="Times New Roman"/>
          <w:lang w:val="lv-LV"/>
        </w:rPr>
        <w:t xml:space="preserve"> 75% no visiem Programmas teritorijas </w:t>
      </w:r>
      <w:r w:rsidR="00BF25EC" w:rsidRPr="00714469">
        <w:rPr>
          <w:rFonts w:ascii="Times New Roman" w:hAnsi="Times New Roman"/>
          <w:lang w:val="lv-LV"/>
        </w:rPr>
        <w:t>viesnīcu un tūrisma mītņu apmeklētājiem</w:t>
      </w:r>
      <w:r w:rsidR="003C0FF2" w:rsidRPr="00714469">
        <w:rPr>
          <w:rFonts w:ascii="Times New Roman" w:hAnsi="Times New Roman"/>
          <w:lang w:val="lv-LV"/>
        </w:rPr>
        <w:t xml:space="preserve">. </w:t>
      </w:r>
    </w:p>
    <w:p w:rsidR="00D115F2" w:rsidRPr="00714469" w:rsidRDefault="00EB28C9" w:rsidP="00E302F6">
      <w:pPr>
        <w:spacing w:before="120" w:line="240" w:lineRule="auto"/>
        <w:rPr>
          <w:rFonts w:ascii="Times New Roman" w:hAnsi="Times New Roman"/>
          <w:lang w:val="lv-LV"/>
        </w:rPr>
      </w:pPr>
      <w:r w:rsidRPr="00714469">
        <w:rPr>
          <w:rFonts w:ascii="Times New Roman" w:hAnsi="Times New Roman"/>
          <w:lang w:val="lv-LV"/>
        </w:rPr>
        <w:t xml:space="preserve">Lai arī </w:t>
      </w:r>
      <w:r w:rsidR="00BF25EC" w:rsidRPr="00714469">
        <w:rPr>
          <w:rFonts w:ascii="Times New Roman" w:hAnsi="Times New Roman"/>
          <w:lang w:val="lv-LV"/>
        </w:rPr>
        <w:t xml:space="preserve">Programmas teritorijā </w:t>
      </w:r>
      <w:r w:rsidRPr="00714469">
        <w:rPr>
          <w:rFonts w:ascii="Times New Roman" w:hAnsi="Times New Roman"/>
          <w:lang w:val="lv-LV"/>
        </w:rPr>
        <w:t xml:space="preserve">laika posmā no 2009. līdz 2011. gadam bija novērojams pozitīvs </w:t>
      </w:r>
      <w:r w:rsidR="00BF25EC" w:rsidRPr="00714469">
        <w:rPr>
          <w:rFonts w:ascii="Times New Roman" w:hAnsi="Times New Roman"/>
          <w:lang w:val="lv-LV"/>
        </w:rPr>
        <w:t>viesnīcu un tūrisma mītņu apmeklētāju skaita gada pieaugums, 2012.</w:t>
      </w:r>
      <w:r w:rsidR="00715099" w:rsidRPr="00714469">
        <w:rPr>
          <w:rFonts w:ascii="Times New Roman" w:hAnsi="Times New Roman"/>
          <w:lang w:val="lv-LV"/>
        </w:rPr>
        <w:t> </w:t>
      </w:r>
      <w:r w:rsidRPr="00714469">
        <w:rPr>
          <w:rFonts w:ascii="Times New Roman" w:hAnsi="Times New Roman"/>
          <w:lang w:val="lv-LV"/>
        </w:rPr>
        <w:t>gad</w:t>
      </w:r>
      <w:r w:rsidR="00BF25EC" w:rsidRPr="00714469">
        <w:rPr>
          <w:rFonts w:ascii="Times New Roman" w:hAnsi="Times New Roman"/>
          <w:lang w:val="lv-LV"/>
        </w:rPr>
        <w:t>ā</w:t>
      </w:r>
      <w:r w:rsidRPr="00714469">
        <w:rPr>
          <w:rFonts w:ascii="Times New Roman" w:hAnsi="Times New Roman"/>
          <w:lang w:val="lv-LV"/>
        </w:rPr>
        <w:t xml:space="preserve"> </w:t>
      </w:r>
      <w:r w:rsidR="00BF25EC" w:rsidRPr="00714469">
        <w:rPr>
          <w:rFonts w:ascii="Times New Roman" w:hAnsi="Times New Roman"/>
          <w:lang w:val="lv-LV"/>
        </w:rPr>
        <w:t xml:space="preserve">ikgadējā izaugsme samazinājās </w:t>
      </w:r>
      <w:r w:rsidR="00F42790" w:rsidRPr="00714469">
        <w:rPr>
          <w:rFonts w:ascii="Times New Roman" w:hAnsi="Times New Roman"/>
          <w:lang w:val="lv-LV"/>
        </w:rPr>
        <w:t xml:space="preserve">līdz </w:t>
      </w:r>
      <w:r w:rsidR="00BF25EC" w:rsidRPr="00714469">
        <w:rPr>
          <w:rFonts w:ascii="Times New Roman" w:hAnsi="Times New Roman"/>
          <w:lang w:val="lv-LV"/>
        </w:rPr>
        <w:t xml:space="preserve">aptuveni </w:t>
      </w:r>
      <w:r w:rsidR="001F1643" w:rsidRPr="00714469">
        <w:rPr>
          <w:rFonts w:ascii="Times New Roman" w:hAnsi="Times New Roman"/>
          <w:lang w:val="lv-LV"/>
        </w:rPr>
        <w:t>6%. Kurzemē</w:t>
      </w:r>
      <w:r w:rsidR="00BF25EC" w:rsidRPr="00714469">
        <w:rPr>
          <w:rFonts w:ascii="Times New Roman" w:hAnsi="Times New Roman"/>
          <w:lang w:val="lv-LV"/>
        </w:rPr>
        <w:t xml:space="preserve"> </w:t>
      </w:r>
      <w:r w:rsidR="001F1643" w:rsidRPr="00714469">
        <w:rPr>
          <w:rFonts w:ascii="Times New Roman" w:hAnsi="Times New Roman"/>
          <w:lang w:val="lv-LV"/>
        </w:rPr>
        <w:t xml:space="preserve">apmeklētāju skaits samazinājās par vairāk nekā 10%, </w:t>
      </w:r>
      <w:r w:rsidR="00F42790" w:rsidRPr="00714469">
        <w:rPr>
          <w:rFonts w:ascii="Times New Roman" w:hAnsi="Times New Roman"/>
          <w:lang w:val="lv-LV"/>
        </w:rPr>
        <w:t xml:space="preserve">un </w:t>
      </w:r>
      <w:r w:rsidR="001F1643" w:rsidRPr="00714469">
        <w:rPr>
          <w:rFonts w:ascii="Times New Roman" w:hAnsi="Times New Roman"/>
          <w:lang w:val="lv-LV"/>
        </w:rPr>
        <w:t xml:space="preserve">Lietuvā Panevēžas, Šauļu un Utenas </w:t>
      </w:r>
      <w:r w:rsidR="00F42790" w:rsidRPr="00714469">
        <w:rPr>
          <w:rFonts w:ascii="Times New Roman" w:hAnsi="Times New Roman"/>
          <w:lang w:val="lv-LV"/>
        </w:rPr>
        <w:t>apriņķos apmeklētāju skaita pieaugums bija zemāks nekā 3%</w:t>
      </w:r>
      <w:r w:rsidR="001F1643" w:rsidRPr="00714469">
        <w:rPr>
          <w:rFonts w:ascii="Times New Roman" w:hAnsi="Times New Roman"/>
          <w:lang w:val="lv-LV"/>
        </w:rPr>
        <w:t xml:space="preserve">. </w:t>
      </w:r>
      <w:r w:rsidR="00715099" w:rsidRPr="00714469">
        <w:rPr>
          <w:rFonts w:ascii="Times New Roman" w:hAnsi="Times New Roman"/>
          <w:lang w:val="lv-LV"/>
        </w:rPr>
        <w:t>Tiek sagaidīts</w:t>
      </w:r>
      <w:r w:rsidR="001F1643" w:rsidRPr="00714469">
        <w:rPr>
          <w:rFonts w:ascii="Times New Roman" w:hAnsi="Times New Roman"/>
          <w:lang w:val="lv-LV"/>
        </w:rPr>
        <w:t xml:space="preserve">, ka, </w:t>
      </w:r>
      <w:r w:rsidR="001D20BA" w:rsidRPr="00714469">
        <w:rPr>
          <w:rFonts w:ascii="Times New Roman" w:hAnsi="Times New Roman"/>
          <w:lang w:val="lv-LV"/>
        </w:rPr>
        <w:t xml:space="preserve">izmantojot </w:t>
      </w:r>
      <w:r w:rsidR="001F1643" w:rsidRPr="00714469">
        <w:rPr>
          <w:rFonts w:ascii="Times New Roman" w:hAnsi="Times New Roman"/>
          <w:lang w:val="lv-LV"/>
        </w:rPr>
        <w:t xml:space="preserve">dabas un kultūras mantojuma </w:t>
      </w:r>
      <w:r w:rsidR="001D20BA" w:rsidRPr="00714469">
        <w:rPr>
          <w:rFonts w:ascii="Times New Roman" w:hAnsi="Times New Roman"/>
          <w:lang w:val="lv-LV"/>
        </w:rPr>
        <w:t>potenciālu</w:t>
      </w:r>
      <w:r w:rsidR="001F1643" w:rsidRPr="00714469">
        <w:rPr>
          <w:rFonts w:ascii="Times New Roman" w:hAnsi="Times New Roman"/>
          <w:lang w:val="lv-LV"/>
        </w:rPr>
        <w:t xml:space="preserve">, tiks saglabāta un palielināta apmeklētāju interese </w:t>
      </w:r>
      <w:r w:rsidR="00F42790" w:rsidRPr="00714469">
        <w:rPr>
          <w:rFonts w:ascii="Times New Roman" w:hAnsi="Times New Roman"/>
          <w:lang w:val="lv-LV"/>
        </w:rPr>
        <w:t xml:space="preserve">par dabas un kultūras mantojumu </w:t>
      </w:r>
      <w:r w:rsidR="001F1643" w:rsidRPr="00714469">
        <w:rPr>
          <w:rFonts w:ascii="Times New Roman" w:hAnsi="Times New Roman"/>
          <w:lang w:val="lv-LV"/>
        </w:rPr>
        <w:t xml:space="preserve">Programmas teritorijā. Rezultāti palīdzēs sasniegt pozitīvu tendenci tūristu un apmeklētāju skaita </w:t>
      </w:r>
      <w:r w:rsidR="001D20BA" w:rsidRPr="00714469">
        <w:rPr>
          <w:rFonts w:ascii="Times New Roman" w:hAnsi="Times New Roman"/>
          <w:lang w:val="lv-LV"/>
        </w:rPr>
        <w:t xml:space="preserve">pieaugumam </w:t>
      </w:r>
      <w:r w:rsidR="001F1643" w:rsidRPr="00714469">
        <w:rPr>
          <w:rFonts w:ascii="Times New Roman" w:hAnsi="Times New Roman"/>
          <w:lang w:val="lv-LV"/>
        </w:rPr>
        <w:t xml:space="preserve">reģionos. </w:t>
      </w:r>
    </w:p>
    <w:p w:rsidR="00D115F2" w:rsidRPr="00714469" w:rsidRDefault="00467D0C" w:rsidP="00E302F6">
      <w:pPr>
        <w:spacing w:before="120" w:line="240" w:lineRule="auto"/>
        <w:rPr>
          <w:rFonts w:ascii="Times New Roman" w:hAnsi="Times New Roman"/>
          <w:lang w:val="lv-LV"/>
        </w:rPr>
      </w:pPr>
      <w:r w:rsidRPr="00714469">
        <w:rPr>
          <w:rFonts w:ascii="Times New Roman" w:hAnsi="Times New Roman"/>
          <w:lang w:val="lv-LV"/>
        </w:rPr>
        <w:t>Programmas ietvaros uzmanīb</w:t>
      </w:r>
      <w:r w:rsidR="00F42790" w:rsidRPr="00714469">
        <w:rPr>
          <w:rFonts w:ascii="Times New Roman" w:hAnsi="Times New Roman"/>
          <w:lang w:val="lv-LV"/>
        </w:rPr>
        <w:t xml:space="preserve">a tiks vērsta </w:t>
      </w:r>
      <w:r w:rsidRPr="00714469">
        <w:rPr>
          <w:rFonts w:ascii="Times New Roman" w:hAnsi="Times New Roman"/>
          <w:lang w:val="lv-LV"/>
        </w:rPr>
        <w:t xml:space="preserve">dabas mantojuma objektu un pakalpojumu </w:t>
      </w:r>
      <w:r w:rsidR="001D20BA" w:rsidRPr="00714469">
        <w:rPr>
          <w:rFonts w:ascii="Times New Roman" w:hAnsi="Times New Roman"/>
          <w:lang w:val="lv-LV"/>
        </w:rPr>
        <w:t>attīstībai</w:t>
      </w:r>
      <w:r w:rsidRPr="00714469">
        <w:rPr>
          <w:rFonts w:ascii="Times New Roman" w:hAnsi="Times New Roman"/>
          <w:lang w:val="lv-LV"/>
        </w:rPr>
        <w:t xml:space="preserve">, </w:t>
      </w:r>
      <w:r w:rsidR="001D20BA" w:rsidRPr="00714469">
        <w:rPr>
          <w:rFonts w:ascii="Times New Roman" w:hAnsi="Times New Roman"/>
          <w:lang w:val="lv-LV"/>
        </w:rPr>
        <w:t xml:space="preserve">ieskaitot tādu </w:t>
      </w:r>
      <w:r w:rsidRPr="00714469">
        <w:rPr>
          <w:rFonts w:ascii="Times New Roman" w:hAnsi="Times New Roman"/>
          <w:lang w:val="lv-LV"/>
        </w:rPr>
        <w:t xml:space="preserve">objektu un pakalpojumu attīstību, kas ir pakļauti </w:t>
      </w:r>
      <w:r w:rsidR="001D20BA" w:rsidRPr="00714469">
        <w:rPr>
          <w:rFonts w:ascii="Times New Roman" w:hAnsi="Times New Roman"/>
          <w:lang w:val="lv-LV"/>
        </w:rPr>
        <w:t>dažādām negatīvām ietekmēm</w:t>
      </w:r>
      <w:r w:rsidR="00501E26" w:rsidRPr="00714469">
        <w:rPr>
          <w:rFonts w:ascii="Times New Roman" w:hAnsi="Times New Roman"/>
          <w:lang w:val="lv-LV"/>
        </w:rPr>
        <w:t xml:space="preserve"> </w:t>
      </w:r>
      <w:r w:rsidRPr="00714469">
        <w:rPr>
          <w:rFonts w:ascii="Times New Roman" w:hAnsi="Times New Roman"/>
          <w:lang w:val="lv-LV"/>
        </w:rPr>
        <w:t>(ieskaitot cilvēku radīto ietekmi). Tie ietver sevī dabas objektus ar tūrisma potenciālu, dabas un vēsturiskās ainavas un piemi</w:t>
      </w:r>
      <w:r w:rsidR="001C7ED6" w:rsidRPr="00714469">
        <w:rPr>
          <w:rFonts w:ascii="Times New Roman" w:hAnsi="Times New Roman"/>
          <w:lang w:val="lv-LV"/>
        </w:rPr>
        <w:t>nekļus lauku apvidos un pilsētu</w:t>
      </w:r>
      <w:r w:rsidRPr="00714469">
        <w:rPr>
          <w:rFonts w:ascii="Times New Roman" w:hAnsi="Times New Roman"/>
          <w:lang w:val="lv-LV"/>
        </w:rPr>
        <w:t xml:space="preserve"> teritorijās, parkus, kā arī citus dabas mantojuma objektus. </w:t>
      </w:r>
    </w:p>
    <w:p w:rsidR="00CB2450" w:rsidRDefault="00E3036C" w:rsidP="00E302F6">
      <w:pPr>
        <w:spacing w:before="120" w:line="240" w:lineRule="auto"/>
        <w:rPr>
          <w:rFonts w:ascii="Times New Roman" w:hAnsi="Times New Roman"/>
          <w:lang w:val="lv-LV"/>
        </w:rPr>
      </w:pPr>
      <w:r>
        <w:rPr>
          <w:rFonts w:ascii="Times New Roman" w:hAnsi="Times New Roman"/>
          <w:lang w:val="lv-LV"/>
        </w:rPr>
        <w:lastRenderedPageBreak/>
        <w:t>L</w:t>
      </w:r>
      <w:r w:rsidR="00276B37" w:rsidRPr="00714469">
        <w:rPr>
          <w:rFonts w:ascii="Times New Roman" w:hAnsi="Times New Roman"/>
          <w:lang w:val="lv-LV"/>
        </w:rPr>
        <w:t>ai</w:t>
      </w:r>
      <w:r>
        <w:rPr>
          <w:rFonts w:ascii="Times New Roman" w:hAnsi="Times New Roman"/>
          <w:lang w:val="lv-LV"/>
        </w:rPr>
        <w:t xml:space="preserve"> </w:t>
      </w:r>
      <w:r w:rsidR="00276B37" w:rsidRPr="00714469">
        <w:rPr>
          <w:rFonts w:ascii="Times New Roman" w:hAnsi="Times New Roman"/>
          <w:lang w:val="lv-LV"/>
        </w:rPr>
        <w:t>radītu reģionos pievilcīgāku vidi dzīvošanai</w:t>
      </w:r>
      <w:r w:rsidR="00CB2450">
        <w:rPr>
          <w:rFonts w:ascii="Times New Roman" w:hAnsi="Times New Roman"/>
          <w:lang w:val="lv-LV"/>
        </w:rPr>
        <w:t xml:space="preserve"> (kas ir viens no ilgtspējīgas reģionālās attīstības priekšnosacījumiem)</w:t>
      </w:r>
      <w:r>
        <w:rPr>
          <w:rFonts w:ascii="Times New Roman" w:hAnsi="Times New Roman"/>
          <w:lang w:val="lv-LV"/>
        </w:rPr>
        <w:t>, tiks izmantots kultūras mantojuma potenciāls</w:t>
      </w:r>
      <w:r w:rsidR="00276B37" w:rsidRPr="00714469">
        <w:rPr>
          <w:rFonts w:ascii="Times New Roman" w:hAnsi="Times New Roman"/>
          <w:lang w:val="lv-LV"/>
        </w:rPr>
        <w:t>.</w:t>
      </w:r>
      <w:r w:rsidR="001D20BA" w:rsidRPr="00714469">
        <w:rPr>
          <w:rFonts w:ascii="Times New Roman" w:hAnsi="Times New Roman"/>
          <w:lang w:val="lv-LV"/>
        </w:rPr>
        <w:t xml:space="preserve"> </w:t>
      </w:r>
    </w:p>
    <w:p w:rsidR="00D115F2" w:rsidRPr="00714469" w:rsidRDefault="00EF5D0E" w:rsidP="00E302F6">
      <w:pPr>
        <w:spacing w:before="120" w:line="240" w:lineRule="auto"/>
        <w:rPr>
          <w:rFonts w:ascii="Times New Roman" w:hAnsi="Times New Roman"/>
          <w:lang w:val="lv-LV"/>
        </w:rPr>
      </w:pPr>
      <w:r w:rsidRPr="00714469">
        <w:rPr>
          <w:rFonts w:ascii="Times New Roman" w:hAnsi="Times New Roman"/>
          <w:lang w:val="lv-LV"/>
        </w:rPr>
        <w:t>Programmas teritorijā ir ievērojams daudzums kultūras mantojuma objektu, kā arī spēcīgas</w:t>
      </w:r>
      <w:r w:rsidR="00501E26" w:rsidRPr="00714469">
        <w:rPr>
          <w:rFonts w:ascii="Times New Roman" w:hAnsi="Times New Roman"/>
          <w:lang w:val="lv-LV"/>
        </w:rPr>
        <w:t xml:space="preserve"> kultūras saiknes un </w:t>
      </w:r>
      <w:r w:rsidR="00CB2450">
        <w:rPr>
          <w:rFonts w:ascii="Times New Roman" w:hAnsi="Times New Roman"/>
          <w:lang w:val="lv-LV"/>
        </w:rPr>
        <w:t>kontakti</w:t>
      </w:r>
      <w:r w:rsidRPr="00714469">
        <w:rPr>
          <w:rFonts w:ascii="Times New Roman" w:hAnsi="Times New Roman"/>
          <w:lang w:val="lv-LV"/>
        </w:rPr>
        <w:t xml:space="preserve">, ko institūcijām turpmāk vajadzētu izmantot. Abās valstīs kultūras mantojuma reģistrēšanas un uzraudzības sistēmu ir izveidojušas un vada attiecīgās valsts iestādes (piemēram, Latvijas Valsts kultūras pieminekļu aizsardzības inspekcija un Lietuvas Kultūras mantojuma departaments). </w:t>
      </w:r>
    </w:p>
    <w:p w:rsidR="00D115F2" w:rsidRPr="00714469" w:rsidRDefault="009F4CE4" w:rsidP="00E302F6">
      <w:pPr>
        <w:spacing w:before="120" w:line="240" w:lineRule="auto"/>
        <w:rPr>
          <w:rFonts w:ascii="Times New Roman" w:hAnsi="Times New Roman"/>
          <w:lang w:val="lv-LV"/>
        </w:rPr>
      </w:pPr>
      <w:r w:rsidRPr="00714469">
        <w:rPr>
          <w:rFonts w:ascii="Times New Roman" w:hAnsi="Times New Roman"/>
          <w:lang w:val="lv-LV"/>
        </w:rPr>
        <w:t xml:space="preserve">Dažas no visvairāk apmeklētākajām vietām abās valstīs atrodas Programmas teritorijā. Kā piemēri minami Rundāles pils Zemgalē, kas ir viens no ievērojamākajiem arhitektūras pieminekļiem Latvijā; Aglonas bazilika Latgalē ir viens no </w:t>
      </w:r>
      <w:r w:rsidR="00FF0194" w:rsidRPr="00714469">
        <w:rPr>
          <w:rFonts w:ascii="Times New Roman" w:hAnsi="Times New Roman"/>
          <w:lang w:val="lv-LV"/>
        </w:rPr>
        <w:t xml:space="preserve">lielākajiem </w:t>
      </w:r>
      <w:r w:rsidRPr="00714469">
        <w:rPr>
          <w:rFonts w:ascii="Times New Roman" w:hAnsi="Times New Roman"/>
          <w:lang w:val="lv-LV"/>
        </w:rPr>
        <w:t xml:space="preserve">katolicisma centriem Baltijā un ietver sevī daudzus mākslas objektus; Kuršu kāpas – UNESCO Pasaules mantojuma objekts Klaipēdas </w:t>
      </w:r>
      <w:r w:rsidR="00FF0194" w:rsidRPr="00714469">
        <w:rPr>
          <w:rFonts w:ascii="Times New Roman" w:hAnsi="Times New Roman"/>
          <w:lang w:val="lv-LV"/>
        </w:rPr>
        <w:t>apriņķī</w:t>
      </w:r>
      <w:r w:rsidR="00BF64E4" w:rsidRPr="00714469">
        <w:rPr>
          <w:rFonts w:ascii="Times New Roman" w:hAnsi="Times New Roman"/>
          <w:lang w:val="lv-LV"/>
        </w:rPr>
        <w:t>; Aukštaitijas nacionālais parks, kas ir vecākais no pieciem nacionālajiem parkiem Lietuvā.</w:t>
      </w:r>
    </w:p>
    <w:p w:rsidR="00D115F2" w:rsidRPr="00714469" w:rsidRDefault="00BF64E4" w:rsidP="00E302F6">
      <w:pPr>
        <w:spacing w:before="120" w:line="240" w:lineRule="auto"/>
        <w:rPr>
          <w:rFonts w:ascii="Times New Roman" w:hAnsi="Times New Roman"/>
          <w:lang w:val="lv-LV"/>
        </w:rPr>
      </w:pPr>
      <w:r w:rsidRPr="00714469">
        <w:rPr>
          <w:rFonts w:ascii="Times New Roman" w:hAnsi="Times New Roman"/>
          <w:lang w:val="lv-LV"/>
        </w:rPr>
        <w:t>Kultūras mantojuma objekt</w:t>
      </w:r>
      <w:r w:rsidR="00FF0194" w:rsidRPr="00714469">
        <w:rPr>
          <w:rFonts w:ascii="Times New Roman" w:hAnsi="Times New Roman"/>
          <w:lang w:val="lv-LV"/>
        </w:rPr>
        <w:t>u</w:t>
      </w:r>
      <w:r w:rsidRPr="00714469">
        <w:rPr>
          <w:rFonts w:ascii="Times New Roman" w:hAnsi="Times New Roman"/>
          <w:lang w:val="lv-LV"/>
        </w:rPr>
        <w:t xml:space="preserve"> </w:t>
      </w:r>
      <w:r w:rsidR="00FF0194" w:rsidRPr="00714469">
        <w:rPr>
          <w:rFonts w:ascii="Times New Roman" w:hAnsi="Times New Roman"/>
          <w:lang w:val="lv-LV"/>
        </w:rPr>
        <w:t xml:space="preserve">nozīme un potenciāls </w:t>
      </w:r>
      <w:r w:rsidRPr="00714469">
        <w:rPr>
          <w:rFonts w:ascii="Times New Roman" w:hAnsi="Times New Roman"/>
          <w:lang w:val="lv-LV"/>
        </w:rPr>
        <w:t xml:space="preserve">Programmas teritorijā ir ļoti </w:t>
      </w:r>
      <w:r w:rsidR="00FF0194" w:rsidRPr="00714469">
        <w:rPr>
          <w:rFonts w:ascii="Times New Roman" w:hAnsi="Times New Roman"/>
          <w:lang w:val="lv-LV"/>
        </w:rPr>
        <w:t>dažāds</w:t>
      </w:r>
      <w:r w:rsidRPr="00714469">
        <w:rPr>
          <w:rFonts w:ascii="Times New Roman" w:hAnsi="Times New Roman"/>
          <w:lang w:val="lv-LV"/>
        </w:rPr>
        <w:t xml:space="preserve">. Tie </w:t>
      </w:r>
      <w:r w:rsidR="00FF0194" w:rsidRPr="00714469">
        <w:rPr>
          <w:rFonts w:ascii="Times New Roman" w:hAnsi="Times New Roman"/>
          <w:lang w:val="lv-LV"/>
        </w:rPr>
        <w:t xml:space="preserve">ir gan lokāli objekti </w:t>
      </w:r>
      <w:r w:rsidRPr="00714469">
        <w:rPr>
          <w:rFonts w:ascii="Times New Roman" w:hAnsi="Times New Roman"/>
          <w:lang w:val="lv-LV"/>
        </w:rPr>
        <w:t xml:space="preserve">(piemēram, vēsturiskas kapsētas vai pilskalni ar ierobežotu piekļuvi), gan reģionāla un valsts līmeņa </w:t>
      </w:r>
      <w:r w:rsidR="00FF0194" w:rsidRPr="00714469">
        <w:rPr>
          <w:rFonts w:ascii="Times New Roman" w:hAnsi="Times New Roman"/>
          <w:lang w:val="lv-LV"/>
        </w:rPr>
        <w:t xml:space="preserve">nozīmes </w:t>
      </w:r>
      <w:r w:rsidRPr="00714469">
        <w:rPr>
          <w:rFonts w:ascii="Times New Roman" w:hAnsi="Times New Roman"/>
          <w:lang w:val="lv-LV"/>
        </w:rPr>
        <w:t>objekt</w:t>
      </w:r>
      <w:r w:rsidR="001D20BA" w:rsidRPr="00714469">
        <w:rPr>
          <w:rFonts w:ascii="Times New Roman" w:hAnsi="Times New Roman"/>
          <w:lang w:val="lv-LV"/>
        </w:rPr>
        <w:t>i</w:t>
      </w:r>
      <w:r w:rsidRPr="00714469">
        <w:rPr>
          <w:rFonts w:ascii="Times New Roman" w:hAnsi="Times New Roman"/>
          <w:lang w:val="lv-LV"/>
        </w:rPr>
        <w:t xml:space="preserve"> (piemēram, vēsturiskas pilis, arhitektūras pieminekļi, vēsturiski nozīmīgas mākslas kolekcijas u.c.). </w:t>
      </w:r>
      <w:r w:rsidR="001D20BA" w:rsidRPr="00714469">
        <w:rPr>
          <w:rFonts w:ascii="Times New Roman" w:hAnsi="Times New Roman"/>
          <w:lang w:val="lv-LV"/>
        </w:rPr>
        <w:t xml:space="preserve">Tāpēc par prioritātēm pārrobežu sadarbībai tiek uzskatīti </w:t>
      </w:r>
      <w:r w:rsidRPr="00714469">
        <w:rPr>
          <w:rFonts w:ascii="Times New Roman" w:hAnsi="Times New Roman"/>
          <w:lang w:val="lv-LV"/>
        </w:rPr>
        <w:t>šādi kultūras mantojuma elementi: kultūras objekti ar apmeklētāju potenciālu, pieminekļi, muzeji, vēsturisko pieminekļu saglabāšana, mākslas un arhitektūras pieminekļu saglabāšana un kultūras mantojuma digitālā saglabāšana.</w:t>
      </w:r>
    </w:p>
    <w:p w:rsidR="00D115F2" w:rsidRPr="00714469" w:rsidRDefault="00EF1E49" w:rsidP="00E302F6">
      <w:pPr>
        <w:spacing w:before="120" w:line="240" w:lineRule="auto"/>
        <w:rPr>
          <w:rFonts w:ascii="Times New Roman" w:hAnsi="Times New Roman"/>
          <w:lang w:val="lv-LV"/>
        </w:rPr>
      </w:pPr>
      <w:r w:rsidRPr="00714469">
        <w:rPr>
          <w:rFonts w:ascii="Times New Roman" w:hAnsi="Times New Roman"/>
          <w:lang w:val="lv-LV"/>
        </w:rPr>
        <w:t>Ievērojams skaits organizāciju ir iesaistītas darbā ar kultūras mantojumu un sadarbības ietvaros uzlabo kultūras mantojuma produktu un pakalpojumu kvalitāti un pieejamību.</w:t>
      </w:r>
      <w:r w:rsidR="00523485" w:rsidRPr="00714469">
        <w:rPr>
          <w:rFonts w:ascii="Times New Roman" w:hAnsi="Times New Roman"/>
          <w:lang w:val="lv-LV"/>
        </w:rPr>
        <w:t xml:space="preserve"> Turklāt pārrobežu sadarbības rezultātā tiks sniegts ieguldījums kultūras un dabas mantojuma saglabāšanā un atjaunošanā nākamajām paaudzēm, un objekti </w:t>
      </w:r>
      <w:r w:rsidR="00FF0194" w:rsidRPr="00714469">
        <w:rPr>
          <w:rFonts w:ascii="Times New Roman" w:hAnsi="Times New Roman"/>
          <w:lang w:val="lv-LV"/>
        </w:rPr>
        <w:t xml:space="preserve">būs </w:t>
      </w:r>
      <w:r w:rsidR="00523485" w:rsidRPr="00714469">
        <w:rPr>
          <w:rFonts w:ascii="Times New Roman" w:hAnsi="Times New Roman"/>
          <w:lang w:val="lv-LV"/>
        </w:rPr>
        <w:t xml:space="preserve">vieglāk pieejami sabiedrībai. </w:t>
      </w:r>
      <w:r w:rsidR="00273FF6" w:rsidRPr="00714469">
        <w:rPr>
          <w:rFonts w:ascii="Times New Roman" w:hAnsi="Times New Roman"/>
          <w:lang w:val="lv-LV"/>
        </w:rPr>
        <w:t>Latvijas un Lietuvas pārrobežu reģionos novērojamas kopīgas problēmas (piemēram, nepieciešamība uzlabot kultūras un dabas mantojuma objektus, kopīgu sekmēšanu un pārvaldību u.c.), kuras efektīvāk tiek risinātas</w:t>
      </w:r>
      <w:r w:rsidR="00CD62C4">
        <w:rPr>
          <w:rFonts w:ascii="Times New Roman" w:hAnsi="Times New Roman"/>
          <w:lang w:val="lv-LV"/>
        </w:rPr>
        <w:t xml:space="preserve"> sadarbojoties pāri robežām</w:t>
      </w:r>
      <w:r w:rsidR="00273FF6" w:rsidRPr="00714469">
        <w:rPr>
          <w:rFonts w:ascii="Times New Roman" w:hAnsi="Times New Roman"/>
          <w:lang w:val="lv-LV"/>
        </w:rPr>
        <w:t>.</w:t>
      </w:r>
    </w:p>
    <w:p w:rsidR="00D115F2" w:rsidRPr="00714469" w:rsidRDefault="001D20BA" w:rsidP="00E302F6">
      <w:pPr>
        <w:spacing w:before="120" w:line="240" w:lineRule="auto"/>
        <w:contextualSpacing/>
        <w:rPr>
          <w:rFonts w:ascii="Times New Roman" w:hAnsi="Times New Roman"/>
          <w:lang w:val="lv-LV"/>
        </w:rPr>
      </w:pPr>
      <w:r w:rsidRPr="00714469">
        <w:rPr>
          <w:rFonts w:ascii="Times New Roman" w:hAnsi="Times New Roman"/>
          <w:lang w:val="lv-LV"/>
        </w:rPr>
        <w:t>Plānots, ka</w:t>
      </w:r>
      <w:r w:rsidR="00501E26" w:rsidRPr="00714469">
        <w:rPr>
          <w:rFonts w:ascii="Times New Roman" w:hAnsi="Times New Roman"/>
          <w:lang w:val="lv-LV"/>
        </w:rPr>
        <w:t xml:space="preserve"> pārrobežu sadarbības rezultātā</w:t>
      </w:r>
      <w:r w:rsidRPr="00714469">
        <w:rPr>
          <w:rFonts w:ascii="Times New Roman" w:hAnsi="Times New Roman"/>
          <w:lang w:val="lv-LV"/>
        </w:rPr>
        <w:t xml:space="preserve"> tiks izmanots </w:t>
      </w:r>
      <w:r w:rsidR="00862252" w:rsidRPr="00714469">
        <w:rPr>
          <w:rFonts w:ascii="Times New Roman" w:hAnsi="Times New Roman"/>
          <w:lang w:val="lv-LV"/>
        </w:rPr>
        <w:t xml:space="preserve">kultūras un dabas mantojuma </w:t>
      </w:r>
      <w:r w:rsidRPr="00714469">
        <w:rPr>
          <w:rFonts w:ascii="Times New Roman" w:hAnsi="Times New Roman"/>
          <w:lang w:val="lv-LV"/>
        </w:rPr>
        <w:t>potenciāls</w:t>
      </w:r>
      <w:r w:rsidR="00862252" w:rsidRPr="00714469">
        <w:rPr>
          <w:rFonts w:ascii="Times New Roman" w:hAnsi="Times New Roman"/>
          <w:lang w:val="lv-LV"/>
        </w:rPr>
        <w:t xml:space="preserve">, kā arī </w:t>
      </w:r>
      <w:r w:rsidRPr="00714469">
        <w:rPr>
          <w:rFonts w:ascii="Times New Roman" w:hAnsi="Times New Roman"/>
          <w:lang w:val="lv-LV"/>
        </w:rPr>
        <w:t xml:space="preserve">nodrošināta </w:t>
      </w:r>
      <w:r w:rsidR="00FF0194" w:rsidRPr="00714469">
        <w:rPr>
          <w:rFonts w:ascii="Times New Roman" w:hAnsi="Times New Roman"/>
          <w:lang w:val="lv-LV"/>
        </w:rPr>
        <w:t xml:space="preserve">ilgtspējīgas </w:t>
      </w:r>
      <w:r w:rsidRPr="00714469">
        <w:rPr>
          <w:rFonts w:ascii="Times New Roman" w:hAnsi="Times New Roman"/>
          <w:lang w:val="lv-LV"/>
        </w:rPr>
        <w:t>kultūras un dabas resursu pārvaldība</w:t>
      </w:r>
      <w:r w:rsidR="00862252" w:rsidRPr="00714469">
        <w:rPr>
          <w:rFonts w:ascii="Times New Roman" w:hAnsi="Times New Roman"/>
          <w:lang w:val="lv-LV"/>
        </w:rPr>
        <w:t>.</w:t>
      </w:r>
    </w:p>
    <w:p w:rsidR="00D115F2" w:rsidRPr="00714469" w:rsidRDefault="00D115F2" w:rsidP="00E302F6">
      <w:pPr>
        <w:spacing w:before="120" w:line="240" w:lineRule="auto"/>
        <w:contextualSpacing/>
        <w:rPr>
          <w:rFonts w:ascii="Times New Roman" w:hAnsi="Times New Roman"/>
          <w:u w:val="single"/>
          <w:lang w:val="lv-LV"/>
        </w:rPr>
      </w:pPr>
    </w:p>
    <w:p w:rsidR="00D115F2" w:rsidRPr="00714469" w:rsidRDefault="00D115F2" w:rsidP="00E302F6">
      <w:pPr>
        <w:spacing w:before="120" w:line="240" w:lineRule="auto"/>
        <w:ind w:left="360"/>
        <w:contextualSpacing/>
        <w:rPr>
          <w:rFonts w:ascii="Times New Roman" w:hAnsi="Times New Roman"/>
          <w:b/>
          <w:u w:val="single"/>
          <w:lang w:val="lv-LV"/>
        </w:rPr>
      </w:pPr>
    </w:p>
    <w:p w:rsidR="00D115F2" w:rsidRPr="00CB2450" w:rsidRDefault="00451AD5" w:rsidP="00E302F6">
      <w:pPr>
        <w:spacing w:before="120" w:line="240" w:lineRule="auto"/>
        <w:rPr>
          <w:rFonts w:ascii="Times New Roman" w:hAnsi="Times New Roman"/>
          <w:b/>
          <w:u w:val="single"/>
          <w:lang w:val="lv-LV"/>
        </w:rPr>
      </w:pPr>
      <w:r w:rsidRPr="00CB2450">
        <w:rPr>
          <w:rFonts w:ascii="Times New Roman" w:hAnsi="Times New Roman"/>
          <w:b/>
          <w:u w:val="single"/>
          <w:lang w:val="lv-LV"/>
        </w:rPr>
        <w:t>Kopīgie dabas resursi</w:t>
      </w:r>
    </w:p>
    <w:p w:rsidR="00D115F2"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Kopumā Programmas teritorijai ir raksturīga tīra un dabiska vide, bioloģiskā daudzveidība ir relatīvi liela un piesārņojums parasti novērojams lielāk</w:t>
      </w:r>
      <w:r w:rsidR="00C77C1E" w:rsidRPr="00CB2450">
        <w:rPr>
          <w:rFonts w:ascii="Times New Roman" w:hAnsi="Times New Roman"/>
          <w:lang w:val="lv-LV"/>
        </w:rPr>
        <w:t>aj</w:t>
      </w:r>
      <w:r w:rsidRPr="00CB2450">
        <w:rPr>
          <w:rFonts w:ascii="Times New Roman" w:hAnsi="Times New Roman"/>
          <w:lang w:val="lv-LV"/>
        </w:rPr>
        <w:t xml:space="preserve">ās pilsētās. </w:t>
      </w:r>
    </w:p>
    <w:p w:rsidR="00D115F2" w:rsidRPr="00CB2450" w:rsidRDefault="00C77C1E" w:rsidP="00E302F6">
      <w:pPr>
        <w:spacing w:before="120" w:line="240" w:lineRule="auto"/>
        <w:rPr>
          <w:rFonts w:ascii="Times New Roman" w:hAnsi="Times New Roman"/>
          <w:lang w:val="lv-LV"/>
        </w:rPr>
      </w:pPr>
      <w:r w:rsidRPr="00CB2450">
        <w:rPr>
          <w:rFonts w:ascii="Times New Roman" w:hAnsi="Times New Roman"/>
          <w:lang w:val="lv-LV"/>
        </w:rPr>
        <w:t>V</w:t>
      </w:r>
      <w:r w:rsidR="00451AD5" w:rsidRPr="00CB2450">
        <w:rPr>
          <w:rFonts w:ascii="Times New Roman" w:hAnsi="Times New Roman"/>
          <w:lang w:val="lv-LV"/>
        </w:rPr>
        <w:t xml:space="preserve">ides </w:t>
      </w:r>
      <w:r w:rsidRPr="00CB2450">
        <w:rPr>
          <w:rFonts w:ascii="Times New Roman" w:hAnsi="Times New Roman"/>
          <w:lang w:val="lv-LV"/>
        </w:rPr>
        <w:t>stāvokli</w:t>
      </w:r>
      <w:r w:rsidR="00451AD5" w:rsidRPr="00CB2450">
        <w:rPr>
          <w:rFonts w:ascii="Times New Roman" w:hAnsi="Times New Roman"/>
          <w:lang w:val="lv-LV"/>
        </w:rPr>
        <w:t xml:space="preserve"> ietekmē saimnieciskā darbība</w:t>
      </w:r>
      <w:r w:rsidRPr="00CB2450">
        <w:rPr>
          <w:rFonts w:ascii="Times New Roman" w:hAnsi="Times New Roman"/>
          <w:lang w:val="lv-LV"/>
        </w:rPr>
        <w:t>, jo īpaši</w:t>
      </w:r>
      <w:r w:rsidR="00451AD5" w:rsidRPr="00CB2450">
        <w:rPr>
          <w:rFonts w:ascii="Times New Roman" w:hAnsi="Times New Roman"/>
          <w:lang w:val="lv-LV"/>
        </w:rPr>
        <w:t xml:space="preserve"> tās trīs galvena</w:t>
      </w:r>
      <w:r w:rsidRPr="00CB2450">
        <w:rPr>
          <w:rFonts w:ascii="Times New Roman" w:hAnsi="Times New Roman"/>
          <w:lang w:val="lv-LV"/>
        </w:rPr>
        <w:t>ās</w:t>
      </w:r>
      <w:r w:rsidR="00451AD5" w:rsidRPr="00CB2450">
        <w:rPr>
          <w:rFonts w:ascii="Times New Roman" w:hAnsi="Times New Roman"/>
          <w:lang w:val="lv-LV"/>
        </w:rPr>
        <w:t xml:space="preserve"> </w:t>
      </w:r>
      <w:r w:rsidRPr="00CB2450">
        <w:rPr>
          <w:rFonts w:ascii="Times New Roman" w:hAnsi="Times New Roman"/>
          <w:lang w:val="lv-LV"/>
        </w:rPr>
        <w:t>nozares</w:t>
      </w:r>
      <w:r w:rsidR="00451AD5" w:rsidRPr="00CB2450">
        <w:rPr>
          <w:rFonts w:ascii="Times New Roman" w:hAnsi="Times New Roman"/>
          <w:lang w:val="lv-LV"/>
        </w:rPr>
        <w:t xml:space="preserve"> - lauksaimniecība, rūpniecība un pakalpojumi, </w:t>
      </w:r>
      <w:r w:rsidRPr="00CB2450">
        <w:rPr>
          <w:rFonts w:ascii="Times New Roman" w:hAnsi="Times New Roman"/>
          <w:lang w:val="lv-LV"/>
        </w:rPr>
        <w:t>kas</w:t>
      </w:r>
      <w:r w:rsidR="00451AD5" w:rsidRPr="00CB2450">
        <w:rPr>
          <w:rFonts w:ascii="Times New Roman" w:hAnsi="Times New Roman"/>
          <w:lang w:val="lv-LV"/>
        </w:rPr>
        <w:t xml:space="preserve"> ir </w:t>
      </w:r>
      <w:r w:rsidRPr="00CB2450">
        <w:rPr>
          <w:rFonts w:ascii="Times New Roman" w:hAnsi="Times New Roman"/>
          <w:lang w:val="lv-LV"/>
        </w:rPr>
        <w:t>vis</w:t>
      </w:r>
      <w:r w:rsidR="00451AD5" w:rsidRPr="00CB2450">
        <w:rPr>
          <w:rFonts w:ascii="Times New Roman" w:hAnsi="Times New Roman"/>
          <w:lang w:val="lv-LV"/>
        </w:rPr>
        <w:t>atkarīg</w:t>
      </w:r>
      <w:r w:rsidRPr="00CB2450">
        <w:rPr>
          <w:rFonts w:ascii="Times New Roman" w:hAnsi="Times New Roman"/>
          <w:lang w:val="lv-LV"/>
        </w:rPr>
        <w:t>āk</w:t>
      </w:r>
      <w:r w:rsidR="00451AD5" w:rsidRPr="00CB2450">
        <w:rPr>
          <w:rFonts w:ascii="Times New Roman" w:hAnsi="Times New Roman"/>
          <w:lang w:val="lv-LV"/>
        </w:rPr>
        <w:t>i</w:t>
      </w:r>
      <w:r w:rsidRPr="00CB2450">
        <w:rPr>
          <w:rFonts w:ascii="Times New Roman" w:hAnsi="Times New Roman"/>
          <w:lang w:val="lv-LV"/>
        </w:rPr>
        <w:t>e</w:t>
      </w:r>
      <w:r w:rsidR="00451AD5" w:rsidRPr="00CB2450">
        <w:rPr>
          <w:rFonts w:ascii="Times New Roman" w:hAnsi="Times New Roman"/>
          <w:lang w:val="lv-LV"/>
        </w:rPr>
        <w:t xml:space="preserve"> no piekļuves dabas resursiem, kā piemēram, zemei, ūdenim un izejmateriāliem. Zemgalē lauksaimniecība veido līdz pat 14,2% no pievienotās vērtības, savukārt Kurzemē šis rādītājs ir 9,3% (salīdzinoši Latvij</w:t>
      </w:r>
      <w:r w:rsidR="00B86CDF" w:rsidRPr="00CB2450">
        <w:rPr>
          <w:rFonts w:ascii="Times New Roman" w:hAnsi="Times New Roman"/>
          <w:lang w:val="lv-LV"/>
        </w:rPr>
        <w:t>ā</w:t>
      </w:r>
      <w:r w:rsidR="00451AD5" w:rsidRPr="00CB2450">
        <w:rPr>
          <w:rFonts w:ascii="Times New Roman" w:hAnsi="Times New Roman"/>
          <w:lang w:val="lv-LV"/>
        </w:rPr>
        <w:t xml:space="preserve"> </w:t>
      </w:r>
      <w:r w:rsidR="00B86CDF" w:rsidRPr="00CB2450">
        <w:rPr>
          <w:rFonts w:ascii="Times New Roman" w:hAnsi="Times New Roman"/>
          <w:lang w:val="lv-LV"/>
        </w:rPr>
        <w:t>kopumā</w:t>
      </w:r>
      <w:r w:rsidR="00451AD5" w:rsidRPr="00CB2450">
        <w:rPr>
          <w:rFonts w:ascii="Times New Roman" w:hAnsi="Times New Roman"/>
          <w:lang w:val="lv-LV"/>
        </w:rPr>
        <w:t xml:space="preserve"> lauksaimniecība  veido</w:t>
      </w:r>
      <w:r w:rsidR="00B86CDF" w:rsidRPr="00CB2450">
        <w:rPr>
          <w:rFonts w:ascii="Times New Roman" w:hAnsi="Times New Roman"/>
          <w:lang w:val="lv-LV"/>
        </w:rPr>
        <w:t>ja</w:t>
      </w:r>
      <w:r w:rsidR="00451AD5" w:rsidRPr="00CB2450">
        <w:rPr>
          <w:rFonts w:ascii="Times New Roman" w:hAnsi="Times New Roman"/>
          <w:lang w:val="lv-LV"/>
        </w:rPr>
        <w:t xml:space="preserve"> 5% </w:t>
      </w:r>
      <w:r w:rsidR="00B86CDF" w:rsidRPr="00CB2450">
        <w:rPr>
          <w:rFonts w:ascii="Times New Roman" w:hAnsi="Times New Roman"/>
          <w:lang w:val="lv-LV"/>
        </w:rPr>
        <w:t>[no pievienotās vērtības] (</w:t>
      </w:r>
      <w:r w:rsidR="00451AD5" w:rsidRPr="00CB2450">
        <w:rPr>
          <w:rFonts w:ascii="Times New Roman" w:hAnsi="Times New Roman"/>
          <w:lang w:val="lv-LV"/>
        </w:rPr>
        <w:t>2011</w:t>
      </w:r>
      <w:r w:rsidR="00B86CDF" w:rsidRPr="00CB2450">
        <w:rPr>
          <w:rFonts w:ascii="Times New Roman" w:hAnsi="Times New Roman"/>
          <w:lang w:val="lv-LV"/>
        </w:rPr>
        <w:t>.gada dati)</w:t>
      </w:r>
      <w:r w:rsidR="00451AD5" w:rsidRPr="00CB2450">
        <w:rPr>
          <w:rFonts w:ascii="Times New Roman" w:hAnsi="Times New Roman"/>
          <w:lang w:val="lv-LV"/>
        </w:rPr>
        <w:t>). Lietuvas</w:t>
      </w:r>
      <w:r w:rsidR="00B86CDF" w:rsidRPr="00CB2450">
        <w:rPr>
          <w:rFonts w:ascii="Times New Roman" w:hAnsi="Times New Roman"/>
          <w:lang w:val="lv-LV"/>
        </w:rPr>
        <w:t xml:space="preserve"> [programmas]</w:t>
      </w:r>
      <w:r w:rsidR="00451AD5" w:rsidRPr="00CB2450">
        <w:rPr>
          <w:rFonts w:ascii="Times New Roman" w:hAnsi="Times New Roman"/>
          <w:lang w:val="lv-LV"/>
        </w:rPr>
        <w:t xml:space="preserve"> reģionos lauksaimniecības ietekme uz pievienoto vērtību ir vismaz divreiz lielāka nekā valstī </w:t>
      </w:r>
      <w:r w:rsidR="00B86CDF" w:rsidRPr="00CB2450">
        <w:rPr>
          <w:rFonts w:ascii="Times New Roman" w:hAnsi="Times New Roman"/>
          <w:lang w:val="lv-LV"/>
        </w:rPr>
        <w:t>kopumā</w:t>
      </w:r>
      <w:r w:rsidR="00451AD5" w:rsidRPr="00CB2450">
        <w:rPr>
          <w:rFonts w:ascii="Times New Roman" w:hAnsi="Times New Roman"/>
          <w:lang w:val="lv-LV"/>
        </w:rPr>
        <w:t xml:space="preserve"> (piemēram, 3,8% Lietuvā, izņemot Kauņas rajonu – 3,2% un Klaipēdas rajonu – 2,4%). Viens no galvenajiem apdraudējumiem bioloģisk</w:t>
      </w:r>
      <w:r w:rsidR="00466C92" w:rsidRPr="00CB2450">
        <w:rPr>
          <w:rFonts w:ascii="Times New Roman" w:hAnsi="Times New Roman"/>
          <w:lang w:val="lv-LV"/>
        </w:rPr>
        <w:t>ajai</w:t>
      </w:r>
      <w:r w:rsidR="00451AD5" w:rsidRPr="00CB2450">
        <w:rPr>
          <w:rFonts w:ascii="Times New Roman" w:hAnsi="Times New Roman"/>
          <w:lang w:val="lv-LV"/>
        </w:rPr>
        <w:t xml:space="preserve"> daudzveidīb</w:t>
      </w:r>
      <w:r w:rsidR="00466C92" w:rsidRPr="00CB2450">
        <w:rPr>
          <w:rFonts w:ascii="Times New Roman" w:hAnsi="Times New Roman"/>
          <w:lang w:val="lv-LV"/>
        </w:rPr>
        <w:t>ai</w:t>
      </w:r>
      <w:r w:rsidR="00451AD5" w:rsidRPr="00CB2450">
        <w:rPr>
          <w:rFonts w:ascii="Times New Roman" w:hAnsi="Times New Roman"/>
          <w:lang w:val="lv-LV"/>
        </w:rPr>
        <w:t xml:space="preserve"> ir  lauksaimniecisko monokultūru audzēšana</w:t>
      </w:r>
      <w:r w:rsidR="00466C92" w:rsidRPr="00CB2450">
        <w:rPr>
          <w:rFonts w:ascii="Times New Roman" w:hAnsi="Times New Roman"/>
          <w:lang w:val="lv-LV"/>
        </w:rPr>
        <w:t xml:space="preserve"> lielās platībās</w:t>
      </w:r>
      <w:r w:rsidR="00451AD5" w:rsidRPr="00CB2450">
        <w:rPr>
          <w:rFonts w:ascii="Times New Roman" w:hAnsi="Times New Roman"/>
          <w:lang w:val="lv-LV"/>
        </w:rPr>
        <w:t xml:space="preserve">. </w:t>
      </w:r>
    </w:p>
    <w:p w:rsidR="00D115F2"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lastRenderedPageBreak/>
        <w:t xml:space="preserve">Līdzīga situācija ir rūpniecībā – izņemot to, ka Lietuvas reģionos rūpniecības ietekme uz kopējo pievienoto vērtību (visos reģionos virs 24% </w:t>
      </w:r>
      <w:r w:rsidR="00466C92" w:rsidRPr="00CB2450">
        <w:rPr>
          <w:rFonts w:ascii="Times New Roman" w:hAnsi="Times New Roman"/>
          <w:lang w:val="lv-LV"/>
        </w:rPr>
        <w:t xml:space="preserve">, </w:t>
      </w:r>
      <w:r w:rsidRPr="00CB2450">
        <w:rPr>
          <w:rFonts w:ascii="Times New Roman" w:hAnsi="Times New Roman"/>
          <w:lang w:val="lv-LV"/>
        </w:rPr>
        <w:t xml:space="preserve">Telšos 33,7% un Utenā 33,7%) ir lielāka nekā Latvijā (no 20,3% Latgalē līdz 27,3% Zemgalē). </w:t>
      </w:r>
      <w:r w:rsidR="00466C92" w:rsidRPr="00CB2450">
        <w:rPr>
          <w:rFonts w:ascii="Times New Roman" w:hAnsi="Times New Roman"/>
          <w:lang w:val="lv-LV"/>
        </w:rPr>
        <w:t>Apdzīvoto vietu, r</w:t>
      </w:r>
      <w:r w:rsidRPr="00CB2450">
        <w:rPr>
          <w:rFonts w:ascii="Times New Roman" w:hAnsi="Times New Roman"/>
          <w:lang w:val="lv-LV"/>
        </w:rPr>
        <w:t>ūpniecības un lauksaimniecības attīs</w:t>
      </w:r>
      <w:bookmarkStart w:id="5" w:name="_GoBack"/>
      <w:bookmarkEnd w:id="5"/>
      <w:r w:rsidRPr="00CB2450">
        <w:rPr>
          <w:rFonts w:ascii="Times New Roman" w:hAnsi="Times New Roman"/>
          <w:lang w:val="lv-LV"/>
        </w:rPr>
        <w:t xml:space="preserve">tības rezultātā tiek </w:t>
      </w:r>
      <w:r w:rsidR="00466C92" w:rsidRPr="00CB2450">
        <w:rPr>
          <w:rFonts w:ascii="Times New Roman" w:hAnsi="Times New Roman"/>
          <w:lang w:val="lv-LV"/>
        </w:rPr>
        <w:t xml:space="preserve">gan </w:t>
      </w:r>
      <w:r w:rsidRPr="00CB2450">
        <w:rPr>
          <w:rFonts w:ascii="Times New Roman" w:hAnsi="Times New Roman"/>
          <w:lang w:val="lv-LV"/>
        </w:rPr>
        <w:t xml:space="preserve">mainīts zemes izmantošanas veids, </w:t>
      </w:r>
      <w:r w:rsidR="00466C92" w:rsidRPr="00CB2450">
        <w:rPr>
          <w:rFonts w:ascii="Times New Roman" w:hAnsi="Times New Roman"/>
          <w:lang w:val="lv-LV"/>
        </w:rPr>
        <w:t>gan</w:t>
      </w:r>
      <w:r w:rsidRPr="00CB2450">
        <w:rPr>
          <w:rFonts w:ascii="Times New Roman" w:hAnsi="Times New Roman"/>
          <w:lang w:val="lv-LV"/>
        </w:rPr>
        <w:t xml:space="preserve"> ietekmēta apkārtējā vide</w:t>
      </w:r>
      <w:r w:rsidR="00466C92" w:rsidRPr="00CB2450">
        <w:rPr>
          <w:rFonts w:ascii="Times New Roman" w:hAnsi="Times New Roman"/>
          <w:lang w:val="lv-LV"/>
        </w:rPr>
        <w:t xml:space="preserve">, veicinot augsnes </w:t>
      </w:r>
      <w:r w:rsidRPr="00CB2450">
        <w:rPr>
          <w:rFonts w:ascii="Times New Roman" w:hAnsi="Times New Roman"/>
          <w:lang w:val="lv-LV"/>
        </w:rPr>
        <w:t xml:space="preserve"> degrad</w:t>
      </w:r>
      <w:r w:rsidR="00466C92" w:rsidRPr="00CB2450">
        <w:rPr>
          <w:rFonts w:ascii="Times New Roman" w:hAnsi="Times New Roman"/>
          <w:lang w:val="lv-LV"/>
        </w:rPr>
        <w:t>āciju</w:t>
      </w:r>
      <w:r w:rsidRPr="00CB2450">
        <w:rPr>
          <w:rFonts w:ascii="Times New Roman" w:hAnsi="Times New Roman"/>
          <w:lang w:val="lv-LV"/>
        </w:rPr>
        <w:t xml:space="preserve">, samazinot </w:t>
      </w:r>
      <w:r w:rsidR="00466C92" w:rsidRPr="00CB2450">
        <w:rPr>
          <w:rFonts w:ascii="Times New Roman" w:hAnsi="Times New Roman"/>
          <w:lang w:val="lv-LV"/>
        </w:rPr>
        <w:t xml:space="preserve">augsnes auglību un </w:t>
      </w:r>
      <w:r w:rsidRPr="00CB2450">
        <w:rPr>
          <w:rFonts w:ascii="Times New Roman" w:hAnsi="Times New Roman"/>
          <w:lang w:val="lv-LV"/>
        </w:rPr>
        <w:t xml:space="preserve">bioloģisko daudzveidību. </w:t>
      </w:r>
    </w:p>
    <w:p w:rsidR="00D115F2"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 xml:space="preserve">Programmas teritorijā ir daudz Latvijai un Lietuvai kopīgu dabas resursu. Programmas teritorijā atrodas seši nacionālie parki: Lietuvā – Aukštaitijas nacionālais parks, Žemaitijas nacionālais parks un Kuršu kāpas nacionālais parks, savukārt Latvijā – Ķemeru Nacionālais parks (daļēji), Rāznas Nacionālais parks un Slīteres Nacionālais parks. </w:t>
      </w:r>
    </w:p>
    <w:p w:rsidR="00D115F2"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 xml:space="preserve">Programmas teritorijā ir 392 „NATURA 2000” </w:t>
      </w:r>
      <w:r w:rsidR="00466C92" w:rsidRPr="00CB2450">
        <w:rPr>
          <w:rFonts w:ascii="Times New Roman" w:hAnsi="Times New Roman"/>
          <w:lang w:val="lv-LV"/>
        </w:rPr>
        <w:t>teritorijas</w:t>
      </w:r>
      <w:r w:rsidRPr="00CB2450">
        <w:rPr>
          <w:rFonts w:ascii="Times New Roman" w:hAnsi="Times New Roman"/>
          <w:lang w:val="lv-LV"/>
        </w:rPr>
        <w:t xml:space="preserve">, kas aptver dabas rezervātus, </w:t>
      </w:r>
      <w:r w:rsidR="00466C92" w:rsidRPr="00CB2450">
        <w:rPr>
          <w:rFonts w:ascii="Times New Roman" w:hAnsi="Times New Roman"/>
          <w:lang w:val="lv-LV"/>
        </w:rPr>
        <w:t>dabas liegumus</w:t>
      </w:r>
      <w:r w:rsidRPr="00CB2450">
        <w:rPr>
          <w:rFonts w:ascii="Times New Roman" w:hAnsi="Times New Roman"/>
          <w:lang w:val="lv-LV"/>
        </w:rPr>
        <w:t>, dabas parkus, aizsargājamās jūras teritorijas, aizsargājam</w:t>
      </w:r>
      <w:r w:rsidR="00202EF4" w:rsidRPr="00CB2450">
        <w:rPr>
          <w:rFonts w:ascii="Times New Roman" w:hAnsi="Times New Roman"/>
          <w:lang w:val="lv-LV"/>
        </w:rPr>
        <w:t>o</w:t>
      </w:r>
      <w:r w:rsidRPr="00CB2450">
        <w:rPr>
          <w:rFonts w:ascii="Times New Roman" w:hAnsi="Times New Roman"/>
          <w:lang w:val="lv-LV"/>
        </w:rPr>
        <w:t xml:space="preserve">s ainavu </w:t>
      </w:r>
      <w:r w:rsidR="00202EF4" w:rsidRPr="00CB2450">
        <w:rPr>
          <w:rFonts w:ascii="Times New Roman" w:hAnsi="Times New Roman"/>
          <w:lang w:val="lv-LV"/>
        </w:rPr>
        <w:t>apvidus</w:t>
      </w:r>
      <w:r w:rsidRPr="00CB2450">
        <w:rPr>
          <w:rFonts w:ascii="Times New Roman" w:hAnsi="Times New Roman"/>
          <w:lang w:val="lv-LV"/>
        </w:rPr>
        <w:t>, dabas pieminekļus un mikro</w:t>
      </w:r>
      <w:r w:rsidR="00202EF4" w:rsidRPr="00CB2450">
        <w:rPr>
          <w:rFonts w:ascii="Times New Roman" w:hAnsi="Times New Roman"/>
          <w:lang w:val="lv-LV"/>
        </w:rPr>
        <w:t>liegumus</w:t>
      </w:r>
      <w:r w:rsidRPr="00CB2450">
        <w:rPr>
          <w:rFonts w:ascii="Times New Roman" w:hAnsi="Times New Roman"/>
          <w:lang w:val="lv-LV"/>
        </w:rPr>
        <w:t>.</w:t>
      </w:r>
    </w:p>
    <w:p w:rsidR="00D115F2"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 xml:space="preserve">Kopējais </w:t>
      </w:r>
      <w:r w:rsidR="001A676B" w:rsidRPr="00CB2450">
        <w:rPr>
          <w:rFonts w:ascii="Times New Roman" w:hAnsi="Times New Roman"/>
          <w:lang w:val="lv-LV"/>
        </w:rPr>
        <w:t xml:space="preserve">īpaši </w:t>
      </w:r>
      <w:r w:rsidRPr="00CB2450">
        <w:rPr>
          <w:rFonts w:ascii="Times New Roman" w:hAnsi="Times New Roman"/>
          <w:lang w:val="lv-LV"/>
        </w:rPr>
        <w:t xml:space="preserve">aizsargājamo </w:t>
      </w:r>
      <w:r w:rsidR="001A676B" w:rsidRPr="00CB2450">
        <w:rPr>
          <w:rFonts w:ascii="Times New Roman" w:hAnsi="Times New Roman"/>
          <w:lang w:val="lv-LV"/>
        </w:rPr>
        <w:t xml:space="preserve">dabas </w:t>
      </w:r>
      <w:r w:rsidRPr="00CB2450">
        <w:rPr>
          <w:rFonts w:ascii="Times New Roman" w:hAnsi="Times New Roman"/>
          <w:lang w:val="lv-LV"/>
        </w:rPr>
        <w:t xml:space="preserve">teritoriju skaits Programmas teritorijā ir vēl lielāks, jo ne visas </w:t>
      </w:r>
      <w:r w:rsidR="001A676B" w:rsidRPr="00CB2450">
        <w:rPr>
          <w:rFonts w:ascii="Times New Roman" w:hAnsi="Times New Roman"/>
          <w:lang w:val="lv-LV"/>
        </w:rPr>
        <w:t>no tām</w:t>
      </w:r>
      <w:r w:rsidRPr="00CB2450">
        <w:rPr>
          <w:rFonts w:ascii="Times New Roman" w:hAnsi="Times New Roman"/>
          <w:lang w:val="lv-LV"/>
        </w:rPr>
        <w:t xml:space="preserve"> ir </w:t>
      </w:r>
      <w:r w:rsidR="001A676B" w:rsidRPr="00CB2450">
        <w:rPr>
          <w:rFonts w:ascii="Times New Roman" w:hAnsi="Times New Roman"/>
          <w:lang w:val="lv-LV"/>
        </w:rPr>
        <w:t xml:space="preserve">noteiktas </w:t>
      </w:r>
      <w:r w:rsidRPr="00CB2450">
        <w:rPr>
          <w:rFonts w:ascii="Times New Roman" w:hAnsi="Times New Roman"/>
          <w:lang w:val="lv-LV"/>
        </w:rPr>
        <w:t xml:space="preserve"> kā „NATURA 2000”. Programmas teritorijā atrodas arī vairāki reģionālie parki, piekrastes joslas un kūrorti, kā arī dabas rezervāti, kas tikuši izveidoti ainavu aizsardzībai un izpētei to zinātniskās un vēsturiskās nozīmes dēļ. </w:t>
      </w:r>
    </w:p>
    <w:p w:rsidR="006157AA" w:rsidRDefault="00451AD5" w:rsidP="00E302F6">
      <w:pPr>
        <w:spacing w:before="120" w:line="240" w:lineRule="auto"/>
        <w:rPr>
          <w:rFonts w:ascii="Times New Roman" w:hAnsi="Times New Roman"/>
          <w:lang w:val="lv-LV"/>
        </w:rPr>
      </w:pPr>
      <w:r w:rsidRPr="00CB2450">
        <w:rPr>
          <w:rFonts w:ascii="Times New Roman" w:hAnsi="Times New Roman"/>
          <w:lang w:val="lv-LV"/>
        </w:rPr>
        <w:t xml:space="preserve">Lai nodrošinātu dabas mantojuma saglabāšanu, aizsargājamajās teritorijās noteikti dažādi ierobežojumi – no </w:t>
      </w:r>
      <w:r w:rsidR="001A676B" w:rsidRPr="00CB2450">
        <w:rPr>
          <w:rFonts w:ascii="Times New Roman" w:hAnsi="Times New Roman"/>
          <w:lang w:val="lv-LV"/>
        </w:rPr>
        <w:t>nelieliem</w:t>
      </w:r>
      <w:r w:rsidRPr="00CB2450">
        <w:rPr>
          <w:rFonts w:ascii="Times New Roman" w:hAnsi="Times New Roman"/>
          <w:lang w:val="lv-LV"/>
        </w:rPr>
        <w:t xml:space="preserve"> ierobežojumiem </w:t>
      </w:r>
      <w:r w:rsidR="001A676B" w:rsidRPr="00CB2450">
        <w:rPr>
          <w:rFonts w:ascii="Times New Roman" w:hAnsi="Times New Roman"/>
          <w:lang w:val="lv-LV"/>
        </w:rPr>
        <w:t xml:space="preserve">aizsargājamos </w:t>
      </w:r>
      <w:r w:rsidRPr="00CB2450">
        <w:rPr>
          <w:rFonts w:ascii="Times New Roman" w:hAnsi="Times New Roman"/>
          <w:lang w:val="lv-LV"/>
        </w:rPr>
        <w:t xml:space="preserve">ainavu apvidos līdz </w:t>
      </w:r>
      <w:r w:rsidR="006157AA">
        <w:rPr>
          <w:rFonts w:ascii="Times New Roman" w:hAnsi="Times New Roman"/>
          <w:lang w:val="lv-LV"/>
        </w:rPr>
        <w:t>stingrākaiākai kontrolei dabas</w:t>
      </w:r>
      <w:r w:rsidRPr="00CB2450">
        <w:rPr>
          <w:rFonts w:ascii="Times New Roman" w:hAnsi="Times New Roman"/>
          <w:lang w:val="lv-LV"/>
        </w:rPr>
        <w:t xml:space="preserve"> rezervātos. </w:t>
      </w:r>
      <w:r w:rsidR="006157AA">
        <w:rPr>
          <w:rFonts w:ascii="Times New Roman" w:hAnsi="Times New Roman"/>
          <w:lang w:val="lv-LV"/>
        </w:rPr>
        <w:t>Vide aizsardzības nozīmīguma apzināšana un aizsargājamo teritoriju ilgtspējiģa izmantošana ir nepietiekoša un jābūt uzlabota gan iesta’de’m, gan sabiedrībai.</w:t>
      </w:r>
    </w:p>
    <w:p w:rsidR="00D115F2"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Programmas teritorijā atrodas četri upju baseini (Nemunas, Ventas, Lielupes un Daugavas upes baseins), kā arī daudz mazāku upju. Apzinoties ūdens resursu aizsardzības nozīmīgumu, Latvija un Lietuva ir pievienojušās Apvienoto Nāciju Organizācija</w:t>
      </w:r>
      <w:r w:rsidR="00E67C5D" w:rsidRPr="00CB2450">
        <w:rPr>
          <w:rFonts w:ascii="Times New Roman" w:hAnsi="Times New Roman"/>
          <w:lang w:val="lv-LV"/>
        </w:rPr>
        <w:t>s</w:t>
      </w:r>
      <w:r w:rsidRPr="00CB2450">
        <w:rPr>
          <w:rFonts w:ascii="Times New Roman" w:hAnsi="Times New Roman"/>
          <w:lang w:val="lv-LV"/>
        </w:rPr>
        <w:t xml:space="preserve">/ EEK Konvencijai par robežšķērsojošo ūdensteču un starptautisko ezeru aizsardzību un izmantošanu (17.03.1992.), </w:t>
      </w:r>
      <w:r w:rsidR="00E67C5D" w:rsidRPr="00CB2450">
        <w:rPr>
          <w:rFonts w:ascii="Times New Roman" w:hAnsi="Times New Roman"/>
          <w:lang w:val="lv-LV"/>
        </w:rPr>
        <w:t xml:space="preserve">uzskatot, ka pārrobežu upju piesārņojuma novēršanai ir nepieciešami ilgtspējīgi un kopīgi risinājumi un apsaimniekošanas pasākumi. </w:t>
      </w:r>
      <w:r w:rsidRPr="00CB2450">
        <w:rPr>
          <w:rFonts w:ascii="Times New Roman" w:hAnsi="Times New Roman"/>
          <w:lang w:val="lv-LV"/>
        </w:rPr>
        <w:t xml:space="preserve">Galvenās problēmas Baltijas jūras piekrastē ir saistītas ar ķīmisko </w:t>
      </w:r>
      <w:r w:rsidR="00E67C5D" w:rsidRPr="00CB2450">
        <w:rPr>
          <w:rFonts w:ascii="Times New Roman" w:hAnsi="Times New Roman"/>
          <w:lang w:val="lv-LV"/>
        </w:rPr>
        <w:t>vielu</w:t>
      </w:r>
      <w:r w:rsidRPr="00CB2450">
        <w:rPr>
          <w:rFonts w:ascii="Times New Roman" w:hAnsi="Times New Roman"/>
          <w:lang w:val="lv-LV"/>
        </w:rPr>
        <w:t xml:space="preserve"> radīto piesārņojumu, krastu eroziju un </w:t>
      </w:r>
      <w:r w:rsidR="00E67C5D" w:rsidRPr="00CB2450">
        <w:rPr>
          <w:rFonts w:ascii="Times New Roman" w:hAnsi="Times New Roman"/>
          <w:lang w:val="lv-LV"/>
        </w:rPr>
        <w:t>atkritumu izgāztuvēm</w:t>
      </w:r>
      <w:r w:rsidRPr="00CB2450">
        <w:rPr>
          <w:rFonts w:ascii="Times New Roman" w:hAnsi="Times New Roman"/>
          <w:lang w:val="lv-LV"/>
        </w:rPr>
        <w:t>. Baltijas jūras piekrastes ūdeņu kvalitātei ir liela nozīme tūrisma un zvejniecības attīstībā</w:t>
      </w:r>
      <w:r w:rsidR="00E67C5D" w:rsidRPr="00CB2450">
        <w:rPr>
          <w:rFonts w:ascii="Times New Roman" w:hAnsi="Times New Roman"/>
          <w:lang w:val="lv-LV"/>
        </w:rPr>
        <w:t xml:space="preserve"> Programmas teritorijā</w:t>
      </w:r>
      <w:r w:rsidRPr="00CB2450">
        <w:rPr>
          <w:rFonts w:ascii="Times New Roman" w:hAnsi="Times New Roman"/>
          <w:lang w:val="lv-LV"/>
        </w:rPr>
        <w:t xml:space="preserve">. </w:t>
      </w:r>
    </w:p>
    <w:p w:rsidR="00726ADA"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 xml:space="preserve">Latvija un Lietuva nacionālā līmenī ir novirzījušas ievērojamu ES finansējuma daļu ar vides aizsardzību saistīto problēmu risināšanai, piemēram, atkritumu </w:t>
      </w:r>
      <w:r w:rsidR="00887B9D" w:rsidRPr="00CB2450">
        <w:rPr>
          <w:rFonts w:ascii="Times New Roman" w:hAnsi="Times New Roman"/>
          <w:lang w:val="lv-LV"/>
        </w:rPr>
        <w:t>apsaimniekošanai</w:t>
      </w:r>
      <w:r w:rsidRPr="00CB2450">
        <w:rPr>
          <w:rFonts w:ascii="Times New Roman" w:hAnsi="Times New Roman"/>
          <w:lang w:val="lv-LV"/>
        </w:rPr>
        <w:t xml:space="preserve"> un ūdens apgādes </w:t>
      </w:r>
      <w:r w:rsidR="00887B9D" w:rsidRPr="00CB2450">
        <w:rPr>
          <w:rFonts w:ascii="Times New Roman" w:hAnsi="Times New Roman"/>
          <w:lang w:val="lv-LV"/>
        </w:rPr>
        <w:t xml:space="preserve">un kanalizācijas </w:t>
      </w:r>
      <w:r w:rsidRPr="00CB2450">
        <w:rPr>
          <w:rFonts w:ascii="Times New Roman" w:hAnsi="Times New Roman"/>
          <w:lang w:val="lv-LV"/>
        </w:rPr>
        <w:t>infrastruktūra</w:t>
      </w:r>
      <w:r w:rsidR="00887B9D" w:rsidRPr="00CB2450">
        <w:rPr>
          <w:rFonts w:ascii="Times New Roman" w:hAnsi="Times New Roman"/>
          <w:lang w:val="lv-LV"/>
        </w:rPr>
        <w:t>s attīstībai</w:t>
      </w:r>
      <w:r w:rsidRPr="00CB2450">
        <w:rPr>
          <w:rFonts w:ascii="Times New Roman" w:hAnsi="Times New Roman"/>
          <w:lang w:val="lv-LV"/>
        </w:rPr>
        <w:t xml:space="preserve">. Tādēļ Programmas ietvaros uzmanība tiek </w:t>
      </w:r>
      <w:r w:rsidR="00887B9D" w:rsidRPr="00CB2450">
        <w:rPr>
          <w:rFonts w:ascii="Times New Roman" w:hAnsi="Times New Roman"/>
          <w:lang w:val="lv-LV"/>
        </w:rPr>
        <w:t>pie</w:t>
      </w:r>
      <w:r w:rsidRPr="00CB2450">
        <w:rPr>
          <w:rFonts w:ascii="Times New Roman" w:hAnsi="Times New Roman"/>
          <w:lang w:val="lv-LV"/>
        </w:rPr>
        <w:t xml:space="preserve">vērsta tādām </w:t>
      </w:r>
      <w:r w:rsidR="00887B9D" w:rsidRPr="00CB2450">
        <w:rPr>
          <w:rFonts w:ascii="Times New Roman" w:hAnsi="Times New Roman"/>
          <w:lang w:val="lv-LV"/>
        </w:rPr>
        <w:t>vietējā mēroga</w:t>
      </w:r>
      <w:r w:rsidRPr="00CB2450">
        <w:rPr>
          <w:rFonts w:ascii="Times New Roman" w:hAnsi="Times New Roman"/>
          <w:lang w:val="lv-LV"/>
        </w:rPr>
        <w:t xml:space="preserve"> problēmām, kuras visefektīvāk iespējams risināt, īstenojot pārrobežu sadarbību. Šāda pieeja var būt ļoti efektīva, </w:t>
      </w:r>
      <w:r w:rsidR="00887B9D" w:rsidRPr="00CB2450">
        <w:rPr>
          <w:rFonts w:ascii="Times New Roman" w:hAnsi="Times New Roman"/>
          <w:lang w:val="lv-LV"/>
        </w:rPr>
        <w:t xml:space="preserve">lai </w:t>
      </w:r>
      <w:r w:rsidRPr="00CB2450">
        <w:rPr>
          <w:rFonts w:ascii="Times New Roman" w:hAnsi="Times New Roman"/>
          <w:lang w:val="lv-LV"/>
        </w:rPr>
        <w:t>samazin</w:t>
      </w:r>
      <w:r w:rsidR="00887B9D" w:rsidRPr="00CB2450">
        <w:rPr>
          <w:rFonts w:ascii="Times New Roman" w:hAnsi="Times New Roman"/>
          <w:lang w:val="lv-LV"/>
        </w:rPr>
        <w:t>ā</w:t>
      </w:r>
      <w:r w:rsidRPr="00CB2450">
        <w:rPr>
          <w:rFonts w:ascii="Times New Roman" w:hAnsi="Times New Roman"/>
          <w:lang w:val="lv-LV"/>
        </w:rPr>
        <w:t>t</w:t>
      </w:r>
      <w:r w:rsidR="00887B9D" w:rsidRPr="00CB2450">
        <w:rPr>
          <w:rFonts w:ascii="Times New Roman" w:hAnsi="Times New Roman"/>
          <w:lang w:val="lv-LV"/>
        </w:rPr>
        <w:t>u</w:t>
      </w:r>
      <w:r w:rsidRPr="00CB2450">
        <w:rPr>
          <w:rFonts w:ascii="Times New Roman" w:hAnsi="Times New Roman"/>
          <w:lang w:val="lv-LV"/>
        </w:rPr>
        <w:t xml:space="preserve"> piesārņojuma riskus un ļaut</w:t>
      </w:r>
      <w:r w:rsidR="00887B9D" w:rsidRPr="00CB2450">
        <w:rPr>
          <w:rFonts w:ascii="Times New Roman" w:hAnsi="Times New Roman"/>
          <w:lang w:val="lv-LV"/>
        </w:rPr>
        <w:t>u gūt maksimālo labumu,</w:t>
      </w:r>
      <w:r w:rsidRPr="00CB2450">
        <w:rPr>
          <w:rFonts w:ascii="Times New Roman" w:hAnsi="Times New Roman"/>
          <w:lang w:val="lv-LV"/>
        </w:rPr>
        <w:t xml:space="preserve"> plāno</w:t>
      </w:r>
      <w:r w:rsidR="00887B9D" w:rsidRPr="00CB2450">
        <w:rPr>
          <w:rFonts w:ascii="Times New Roman" w:hAnsi="Times New Roman"/>
          <w:lang w:val="lv-LV"/>
        </w:rPr>
        <w:t>jo</w:t>
      </w:r>
      <w:r w:rsidRPr="00CB2450">
        <w:rPr>
          <w:rFonts w:ascii="Times New Roman" w:hAnsi="Times New Roman"/>
          <w:lang w:val="lv-LV"/>
        </w:rPr>
        <w:t>t un vei</w:t>
      </w:r>
      <w:r w:rsidR="00887B9D" w:rsidRPr="00CB2450">
        <w:rPr>
          <w:rFonts w:ascii="Times New Roman" w:hAnsi="Times New Roman"/>
          <w:lang w:val="lv-LV"/>
        </w:rPr>
        <w:t>co</w:t>
      </w:r>
      <w:r w:rsidRPr="00CB2450">
        <w:rPr>
          <w:rFonts w:ascii="Times New Roman" w:hAnsi="Times New Roman"/>
          <w:lang w:val="lv-LV"/>
        </w:rPr>
        <w:t>t saskaņotas investīcijas infrastruktūrā. Tā palīdz nodrošināt līdzsvaru starp vid</w:t>
      </w:r>
      <w:r w:rsidR="00887B9D" w:rsidRPr="00CB2450">
        <w:rPr>
          <w:rFonts w:ascii="Times New Roman" w:hAnsi="Times New Roman"/>
          <w:lang w:val="lv-LV"/>
        </w:rPr>
        <w:t>es aizsardzību</w:t>
      </w:r>
      <w:r w:rsidRPr="00CB2450">
        <w:rPr>
          <w:rFonts w:ascii="Times New Roman" w:hAnsi="Times New Roman"/>
          <w:lang w:val="lv-LV"/>
        </w:rPr>
        <w:t xml:space="preserve"> un attīstību, tādējādi sekmējot saskaņotāk</w:t>
      </w:r>
      <w:r w:rsidR="00887B9D" w:rsidRPr="00CB2450">
        <w:rPr>
          <w:rFonts w:ascii="Times New Roman" w:hAnsi="Times New Roman"/>
          <w:lang w:val="lv-LV"/>
        </w:rPr>
        <w:t>as</w:t>
      </w:r>
      <w:r w:rsidRPr="00CB2450">
        <w:rPr>
          <w:rFonts w:ascii="Times New Roman" w:hAnsi="Times New Roman"/>
          <w:lang w:val="lv-LV"/>
        </w:rPr>
        <w:t xml:space="preserve"> un ilgtspējīgāk</w:t>
      </w:r>
      <w:r w:rsidR="00887B9D" w:rsidRPr="00CB2450">
        <w:rPr>
          <w:rFonts w:ascii="Times New Roman" w:hAnsi="Times New Roman"/>
          <w:lang w:val="lv-LV"/>
        </w:rPr>
        <w:t>as</w:t>
      </w:r>
      <w:r w:rsidRPr="00CB2450">
        <w:rPr>
          <w:rFonts w:ascii="Times New Roman" w:hAnsi="Times New Roman"/>
          <w:lang w:val="lv-LV"/>
        </w:rPr>
        <w:t xml:space="preserve"> </w:t>
      </w:r>
      <w:r w:rsidR="00887B9D" w:rsidRPr="00CB2450">
        <w:rPr>
          <w:rFonts w:ascii="Times New Roman" w:hAnsi="Times New Roman"/>
          <w:lang w:val="lv-LV"/>
        </w:rPr>
        <w:t>darbības</w:t>
      </w:r>
      <w:r w:rsidRPr="00CB2450">
        <w:rPr>
          <w:rFonts w:ascii="Times New Roman" w:hAnsi="Times New Roman"/>
          <w:lang w:val="lv-LV"/>
        </w:rPr>
        <w:t xml:space="preserve"> abās robežas pusēs.</w:t>
      </w:r>
    </w:p>
    <w:p w:rsidR="00D115F2"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Kā rāda 2007.-2013. gada Programmas rezultāti, kopīgas darbības vides risk</w:t>
      </w:r>
      <w:r w:rsidR="00887B9D" w:rsidRPr="00CB2450">
        <w:rPr>
          <w:rFonts w:ascii="Times New Roman" w:hAnsi="Times New Roman"/>
          <w:lang w:val="lv-LV"/>
        </w:rPr>
        <w:t>u</w:t>
      </w:r>
      <w:r w:rsidRPr="00CB2450">
        <w:rPr>
          <w:rFonts w:ascii="Times New Roman" w:hAnsi="Times New Roman"/>
          <w:lang w:val="lv-LV"/>
        </w:rPr>
        <w:t xml:space="preserve"> pārvaldībā ir bijušas efektīvs risinājums dažādām problēmām, ieskaitot uzlabotu iedzīvotāju un apmeklētāju drošību. Pārrobežu sadarbība </w:t>
      </w:r>
      <w:r w:rsidR="00887B9D" w:rsidRPr="00CB2450">
        <w:rPr>
          <w:rFonts w:ascii="Times New Roman" w:hAnsi="Times New Roman"/>
          <w:lang w:val="lv-LV"/>
        </w:rPr>
        <w:t xml:space="preserve">ir </w:t>
      </w:r>
      <w:r w:rsidRPr="00CB2450">
        <w:rPr>
          <w:rFonts w:ascii="Times New Roman" w:hAnsi="Times New Roman"/>
          <w:lang w:val="lv-LV"/>
        </w:rPr>
        <w:t>nodrošin</w:t>
      </w:r>
      <w:r w:rsidR="00887B9D" w:rsidRPr="00CB2450">
        <w:rPr>
          <w:rFonts w:ascii="Times New Roman" w:hAnsi="Times New Roman"/>
          <w:lang w:val="lv-LV"/>
        </w:rPr>
        <w:t>ājusi</w:t>
      </w:r>
      <w:r w:rsidRPr="00CB2450">
        <w:rPr>
          <w:rFonts w:ascii="Times New Roman" w:hAnsi="Times New Roman"/>
          <w:lang w:val="lv-LV"/>
        </w:rPr>
        <w:t xml:space="preserve">arī </w:t>
      </w:r>
      <w:r w:rsidR="00887B9D" w:rsidRPr="00CB2450">
        <w:rPr>
          <w:rFonts w:ascii="Times New Roman" w:hAnsi="Times New Roman"/>
          <w:lang w:val="lv-LV"/>
        </w:rPr>
        <w:t xml:space="preserve">sinerģijas un </w:t>
      </w:r>
      <w:r w:rsidRPr="00CB2450">
        <w:rPr>
          <w:rFonts w:ascii="Times New Roman" w:hAnsi="Times New Roman"/>
          <w:lang w:val="lv-LV"/>
        </w:rPr>
        <w:t xml:space="preserve">izmaksu efektivitāti dažādās vides pārvaldības jomās, piemēram, </w:t>
      </w:r>
      <w:r w:rsidR="00887B9D" w:rsidRPr="00CB2450">
        <w:rPr>
          <w:rFonts w:ascii="Times New Roman" w:hAnsi="Times New Roman"/>
          <w:lang w:val="lv-LV"/>
        </w:rPr>
        <w:t>samazinot</w:t>
      </w:r>
      <w:r w:rsidRPr="00CB2450">
        <w:rPr>
          <w:rFonts w:ascii="Times New Roman" w:hAnsi="Times New Roman"/>
          <w:lang w:val="lv-LV"/>
        </w:rPr>
        <w:t xml:space="preserve"> piesārņojum</w:t>
      </w:r>
      <w:r w:rsidR="00887B9D" w:rsidRPr="00CB2450">
        <w:rPr>
          <w:rFonts w:ascii="Times New Roman" w:hAnsi="Times New Roman"/>
          <w:lang w:val="lv-LV"/>
        </w:rPr>
        <w:t>u</w:t>
      </w:r>
      <w:r w:rsidRPr="00CB2450">
        <w:rPr>
          <w:rFonts w:ascii="Times New Roman" w:hAnsi="Times New Roman"/>
          <w:lang w:val="lv-LV"/>
        </w:rPr>
        <w:t xml:space="preserve"> </w:t>
      </w:r>
      <w:r w:rsidR="00887B9D" w:rsidRPr="00CB2450">
        <w:rPr>
          <w:rFonts w:ascii="Times New Roman" w:hAnsi="Times New Roman"/>
          <w:lang w:val="lv-LV"/>
        </w:rPr>
        <w:t>ar</w:t>
      </w:r>
      <w:r w:rsidRPr="00CB2450">
        <w:rPr>
          <w:rFonts w:ascii="Times New Roman" w:hAnsi="Times New Roman"/>
          <w:lang w:val="lv-LV"/>
        </w:rPr>
        <w:t xml:space="preserve"> bīstamiem un/ vai kaitīgiem sadegšanas produktiem un citām toksiskām vielām. Pārrobežu sadarbība ir palīdzējusi uzlabot reaģēšanas laiku nelaimes gadījum</w:t>
      </w:r>
      <w:r w:rsidR="00887B9D" w:rsidRPr="00CB2450">
        <w:rPr>
          <w:rFonts w:ascii="Times New Roman" w:hAnsi="Times New Roman"/>
          <w:lang w:val="lv-LV"/>
        </w:rPr>
        <w:t>os</w:t>
      </w:r>
      <w:r w:rsidRPr="00CB2450">
        <w:rPr>
          <w:rFonts w:ascii="Times New Roman" w:hAnsi="Times New Roman"/>
          <w:lang w:val="lv-LV"/>
        </w:rPr>
        <w:t xml:space="preserve"> un ārkārtas situācijā</w:t>
      </w:r>
      <w:r w:rsidR="00887B9D" w:rsidRPr="00CB2450">
        <w:rPr>
          <w:rFonts w:ascii="Times New Roman" w:hAnsi="Times New Roman"/>
          <w:lang w:val="lv-LV"/>
        </w:rPr>
        <w:t>s</w:t>
      </w:r>
      <w:r w:rsidRPr="00CB2450">
        <w:rPr>
          <w:rFonts w:ascii="Times New Roman" w:hAnsi="Times New Roman"/>
          <w:lang w:val="lv-LV"/>
        </w:rPr>
        <w:t xml:space="preserve">, kā arī uguns drošības un pretplūdu aizsardzības pasākumu organizēšanu. </w:t>
      </w:r>
    </w:p>
    <w:p w:rsidR="00D115F2" w:rsidRPr="00CB2450" w:rsidRDefault="00451AD5" w:rsidP="00E302F6">
      <w:pPr>
        <w:spacing w:before="120" w:line="240" w:lineRule="auto"/>
        <w:contextualSpacing/>
        <w:rPr>
          <w:rFonts w:ascii="Times New Roman" w:hAnsi="Times New Roman"/>
          <w:lang w:val="lv-LV"/>
        </w:rPr>
      </w:pPr>
      <w:r w:rsidRPr="00CB2450">
        <w:rPr>
          <w:rFonts w:ascii="Times New Roman" w:hAnsi="Times New Roman"/>
          <w:lang w:val="lv-LV"/>
        </w:rPr>
        <w:lastRenderedPageBreak/>
        <w:t>Kopumā jānorāda, ka galvenā Programmas ietvaros risināmā problēma ir ilgtspējīgu risinājumu trūkums kopīg</w:t>
      </w:r>
      <w:r w:rsidR="00A005B1" w:rsidRPr="00CB2450">
        <w:rPr>
          <w:rFonts w:ascii="Times New Roman" w:hAnsi="Times New Roman"/>
          <w:lang w:val="lv-LV"/>
        </w:rPr>
        <w:t>o</w:t>
      </w:r>
      <w:r w:rsidRPr="00CB2450">
        <w:rPr>
          <w:rFonts w:ascii="Times New Roman" w:hAnsi="Times New Roman"/>
          <w:lang w:val="lv-LV"/>
        </w:rPr>
        <w:t xml:space="preserve"> </w:t>
      </w:r>
      <w:r w:rsidR="00A005B1" w:rsidRPr="00CB2450">
        <w:rPr>
          <w:rFonts w:ascii="Times New Roman" w:hAnsi="Times New Roman"/>
          <w:lang w:val="lv-LV"/>
        </w:rPr>
        <w:t>vides</w:t>
      </w:r>
      <w:r w:rsidRPr="00CB2450">
        <w:rPr>
          <w:rFonts w:ascii="Times New Roman" w:hAnsi="Times New Roman"/>
          <w:lang w:val="lv-LV"/>
        </w:rPr>
        <w:t xml:space="preserve"> resurs</w:t>
      </w:r>
      <w:r w:rsidR="00A005B1" w:rsidRPr="00CB2450">
        <w:rPr>
          <w:rFonts w:ascii="Times New Roman" w:hAnsi="Times New Roman"/>
          <w:lang w:val="lv-LV"/>
        </w:rPr>
        <w:t>u pārvaldībā</w:t>
      </w:r>
      <w:r w:rsidRPr="00CB2450">
        <w:rPr>
          <w:rFonts w:ascii="Times New Roman" w:hAnsi="Times New Roman"/>
          <w:lang w:val="lv-LV"/>
        </w:rPr>
        <w:t xml:space="preserve"> (aizsargājamās teritorijas, up</w:t>
      </w:r>
      <w:r w:rsidR="00A005B1" w:rsidRPr="00CB2450">
        <w:rPr>
          <w:rFonts w:ascii="Times New Roman" w:hAnsi="Times New Roman"/>
          <w:lang w:val="lv-LV"/>
        </w:rPr>
        <w:t>ju</w:t>
      </w:r>
      <w:r w:rsidRPr="00CB2450">
        <w:rPr>
          <w:rFonts w:ascii="Times New Roman" w:hAnsi="Times New Roman"/>
          <w:lang w:val="lv-LV"/>
        </w:rPr>
        <w:t xml:space="preserve"> baseini, rūpniecīb</w:t>
      </w:r>
      <w:r w:rsidR="00A005B1" w:rsidRPr="00CB2450">
        <w:rPr>
          <w:rFonts w:ascii="Times New Roman" w:hAnsi="Times New Roman"/>
          <w:lang w:val="lv-LV"/>
        </w:rPr>
        <w:t>as</w:t>
      </w:r>
      <w:r w:rsidRPr="00CB2450">
        <w:rPr>
          <w:rFonts w:ascii="Times New Roman" w:hAnsi="Times New Roman"/>
          <w:lang w:val="lv-LV"/>
        </w:rPr>
        <w:t xml:space="preserve"> un lauksaimniecīb</w:t>
      </w:r>
      <w:r w:rsidR="00A005B1" w:rsidRPr="00CB2450">
        <w:rPr>
          <w:rFonts w:ascii="Times New Roman" w:hAnsi="Times New Roman"/>
          <w:lang w:val="lv-LV"/>
        </w:rPr>
        <w:t>as ietekme uz vidi</w:t>
      </w:r>
      <w:r w:rsidRPr="00CB2450">
        <w:rPr>
          <w:rFonts w:ascii="Times New Roman" w:hAnsi="Times New Roman"/>
          <w:lang w:val="lv-LV"/>
        </w:rPr>
        <w:t>, vides risk</w:t>
      </w:r>
      <w:r w:rsidR="00A005B1" w:rsidRPr="00CB2450">
        <w:rPr>
          <w:rFonts w:ascii="Times New Roman" w:hAnsi="Times New Roman"/>
          <w:lang w:val="lv-LV"/>
        </w:rPr>
        <w:t>u</w:t>
      </w:r>
      <w:r w:rsidRPr="00CB2450">
        <w:rPr>
          <w:rFonts w:ascii="Times New Roman" w:hAnsi="Times New Roman"/>
          <w:lang w:val="lv-LV"/>
        </w:rPr>
        <w:t xml:space="preserve"> pārvaldība un novēršana u.c.).</w:t>
      </w:r>
    </w:p>
    <w:p w:rsidR="007419A3" w:rsidRPr="00CB2450" w:rsidRDefault="007419A3" w:rsidP="00E302F6">
      <w:pPr>
        <w:spacing w:before="120" w:line="240" w:lineRule="auto"/>
        <w:rPr>
          <w:rFonts w:ascii="Times New Roman" w:hAnsi="Times New Roman"/>
          <w:b/>
          <w:u w:val="single"/>
          <w:lang w:val="lv-LV"/>
        </w:rPr>
      </w:pPr>
    </w:p>
    <w:p w:rsidR="00D115F2" w:rsidRPr="00CB2450" w:rsidRDefault="00A005B1" w:rsidP="00E302F6">
      <w:pPr>
        <w:spacing w:before="120" w:line="240" w:lineRule="auto"/>
        <w:rPr>
          <w:rFonts w:ascii="Times New Roman" w:hAnsi="Times New Roman"/>
          <w:b/>
          <w:u w:val="single"/>
          <w:lang w:val="lv-LV"/>
        </w:rPr>
      </w:pPr>
      <w:r w:rsidRPr="00CB2450">
        <w:rPr>
          <w:rFonts w:ascii="Times New Roman" w:hAnsi="Times New Roman"/>
          <w:b/>
          <w:u w:val="single"/>
          <w:lang w:val="lv-LV"/>
        </w:rPr>
        <w:t>V</w:t>
      </w:r>
      <w:r w:rsidR="00451AD5" w:rsidRPr="00CB2450">
        <w:rPr>
          <w:rFonts w:ascii="Times New Roman" w:hAnsi="Times New Roman"/>
          <w:b/>
          <w:u w:val="single"/>
          <w:lang w:val="lv-LV"/>
        </w:rPr>
        <w:t>ides uzlabošana</w:t>
      </w:r>
      <w:r w:rsidRPr="00CB2450">
        <w:rPr>
          <w:rFonts w:ascii="Times New Roman" w:hAnsi="Times New Roman"/>
          <w:b/>
          <w:u w:val="single"/>
          <w:lang w:val="lv-LV"/>
        </w:rPr>
        <w:t xml:space="preserve"> pašvaldībās</w:t>
      </w:r>
    </w:p>
    <w:p w:rsidR="00D93ABF" w:rsidRPr="00CB2450" w:rsidRDefault="00451AD5" w:rsidP="00E302F6">
      <w:pPr>
        <w:spacing w:before="120" w:line="240" w:lineRule="auto"/>
        <w:rPr>
          <w:rFonts w:ascii="Times New Roman" w:hAnsi="Times New Roman"/>
          <w:lang w:val="lv-LV"/>
        </w:rPr>
      </w:pPr>
      <w:r w:rsidRPr="00CB2450">
        <w:rPr>
          <w:rFonts w:ascii="Times New Roman" w:hAnsi="Times New Roman"/>
          <w:lang w:val="lv-LV"/>
        </w:rPr>
        <w:t>Programmas reģioni abās valstīs ir mazāk ekonomiski un rūpnieciski attīstīti nekā galvaspilsētas. Apmēram 40% no Programmas teritorijas iedzīvotājiem dzīvo 10 galvenajās apdzīvotajās vietās, kas Latvijā ir Daugavpils, Jelgava, Jēkabpils, Liepāja, Rēzekne un Ventspils, savukārt Lietuvā - Kauņa, Klaipēda, Panevēža un Šauļi. T</w:t>
      </w:r>
      <w:r w:rsidR="0099631C" w:rsidRPr="00CB2450">
        <w:rPr>
          <w:rFonts w:ascii="Times New Roman" w:hAnsi="Times New Roman"/>
          <w:lang w:val="lv-LV"/>
        </w:rPr>
        <w:t>omēr</w:t>
      </w:r>
      <w:r w:rsidRPr="00CB2450">
        <w:rPr>
          <w:rFonts w:ascii="Times New Roman" w:hAnsi="Times New Roman"/>
          <w:lang w:val="lv-LV"/>
        </w:rPr>
        <w:t>t arī mazākām apdzīvotām vietām Programmas teritorijā ir nozīmīga ietekme uz reģionālo attīstību.</w:t>
      </w:r>
      <w:r w:rsidR="00065A0C" w:rsidRPr="00065A0C">
        <w:rPr>
          <w:lang w:val="lv-LV"/>
        </w:rPr>
        <w:t xml:space="preserve"> </w:t>
      </w:r>
      <w:r w:rsidR="00065A0C" w:rsidRPr="00065A0C">
        <w:rPr>
          <w:rFonts w:ascii="Times New Roman" w:hAnsi="Times New Roman"/>
          <w:lang w:val="lv-LV"/>
        </w:rPr>
        <w:t xml:space="preserve">Papildus </w:t>
      </w:r>
      <w:r w:rsidR="00065A0C">
        <w:rPr>
          <w:rFonts w:ascii="Times New Roman" w:hAnsi="Times New Roman"/>
          <w:lang w:val="lv-LV"/>
        </w:rPr>
        <w:t>informācija par sociāl-</w:t>
      </w:r>
      <w:r w:rsidR="00065A0C" w:rsidRPr="00065A0C">
        <w:rPr>
          <w:rFonts w:ascii="Times New Roman" w:hAnsi="Times New Roman"/>
          <w:lang w:val="lv-LV"/>
        </w:rPr>
        <w:t>ekonomisk</w:t>
      </w:r>
      <w:r w:rsidR="00065A0C">
        <w:rPr>
          <w:rFonts w:ascii="Times New Roman" w:hAnsi="Times New Roman"/>
          <w:lang w:val="lv-LV"/>
        </w:rPr>
        <w:t>iem</w:t>
      </w:r>
      <w:r w:rsidR="00065A0C" w:rsidRPr="00065A0C">
        <w:rPr>
          <w:rFonts w:ascii="Times New Roman" w:hAnsi="Times New Roman"/>
          <w:lang w:val="lv-LV"/>
        </w:rPr>
        <w:t xml:space="preserve"> jautājum</w:t>
      </w:r>
      <w:r w:rsidR="00065A0C">
        <w:rPr>
          <w:rFonts w:ascii="Times New Roman" w:hAnsi="Times New Roman"/>
          <w:lang w:val="lv-LV"/>
        </w:rPr>
        <w:t>iem</w:t>
      </w:r>
      <w:r w:rsidR="00065A0C" w:rsidRPr="00065A0C">
        <w:rPr>
          <w:rFonts w:ascii="Times New Roman" w:hAnsi="Times New Roman"/>
          <w:lang w:val="lv-LV"/>
        </w:rPr>
        <w:t xml:space="preserve"> 1.1.2 sadaļā, pašvaldību </w:t>
      </w:r>
      <w:r w:rsidR="00DF4069">
        <w:rPr>
          <w:rFonts w:ascii="Times New Roman" w:hAnsi="Times New Roman"/>
          <w:lang w:val="lv-LV"/>
        </w:rPr>
        <w:t xml:space="preserve"> teritorijās arī pastāv vides problēmas</w:t>
      </w:r>
      <w:r w:rsidR="00065A0C" w:rsidRPr="00065A0C">
        <w:rPr>
          <w:rFonts w:ascii="Times New Roman" w:hAnsi="Times New Roman"/>
          <w:lang w:val="lv-LV"/>
        </w:rPr>
        <w:t>. Programmas teritorijā</w:t>
      </w:r>
      <w:r w:rsidR="00DF4069">
        <w:rPr>
          <w:rFonts w:ascii="Times New Roman" w:hAnsi="Times New Roman"/>
          <w:lang w:val="lv-LV"/>
        </w:rPr>
        <w:t xml:space="preserve"> ir teritorijas</w:t>
      </w:r>
      <w:r w:rsidR="00065A0C" w:rsidRPr="00065A0C">
        <w:rPr>
          <w:rFonts w:ascii="Times New Roman" w:hAnsi="Times New Roman"/>
          <w:lang w:val="lv-LV"/>
        </w:rPr>
        <w:t xml:space="preserve">, kas iepriekš </w:t>
      </w:r>
      <w:r w:rsidR="00DF4069">
        <w:rPr>
          <w:rFonts w:ascii="Times New Roman" w:hAnsi="Times New Roman"/>
          <w:lang w:val="lv-LV"/>
        </w:rPr>
        <w:t xml:space="preserve">tika </w:t>
      </w:r>
      <w:r w:rsidR="00065A0C" w:rsidRPr="00065A0C">
        <w:rPr>
          <w:rFonts w:ascii="Times New Roman" w:hAnsi="Times New Roman"/>
          <w:lang w:val="lv-LV"/>
        </w:rPr>
        <w:t xml:space="preserve">plānotas, izmantotas vai </w:t>
      </w:r>
      <w:r w:rsidR="00DF4069">
        <w:rPr>
          <w:rFonts w:ascii="Times New Roman" w:hAnsi="Times New Roman"/>
          <w:lang w:val="lv-LV"/>
        </w:rPr>
        <w:t>iz</w:t>
      </w:r>
      <w:r w:rsidR="00065A0C" w:rsidRPr="00065A0C">
        <w:rPr>
          <w:rFonts w:ascii="Times New Roman" w:hAnsi="Times New Roman"/>
          <w:lang w:val="lv-LV"/>
        </w:rPr>
        <w:t>būvētās saimniecisk</w:t>
      </w:r>
      <w:r w:rsidR="00DF4069">
        <w:rPr>
          <w:rFonts w:ascii="Times New Roman" w:hAnsi="Times New Roman"/>
          <w:lang w:val="lv-LV"/>
        </w:rPr>
        <w:t>ās</w:t>
      </w:r>
      <w:r w:rsidR="00065A0C" w:rsidRPr="00065A0C">
        <w:rPr>
          <w:rFonts w:ascii="Times New Roman" w:hAnsi="Times New Roman"/>
          <w:lang w:val="lv-LV"/>
        </w:rPr>
        <w:t xml:space="preserve"> darbīb</w:t>
      </w:r>
      <w:r w:rsidR="00DF4069">
        <w:rPr>
          <w:rFonts w:ascii="Times New Roman" w:hAnsi="Times New Roman"/>
          <w:lang w:val="lv-LV"/>
        </w:rPr>
        <w:t>as nodrošināšanai, taču</w:t>
      </w:r>
      <w:r w:rsidR="00065A0C" w:rsidRPr="00065A0C">
        <w:rPr>
          <w:rFonts w:ascii="Times New Roman" w:hAnsi="Times New Roman"/>
          <w:lang w:val="lv-LV"/>
        </w:rPr>
        <w:t xml:space="preserve"> šobrīd ir daļēji vai pilnī</w:t>
      </w:r>
      <w:r w:rsidR="00DF4069">
        <w:rPr>
          <w:rFonts w:ascii="Times New Roman" w:hAnsi="Times New Roman"/>
          <w:lang w:val="lv-LV"/>
        </w:rPr>
        <w:t>bā pamestas un tas rada</w:t>
      </w:r>
      <w:r w:rsidR="00065A0C" w:rsidRPr="00065A0C">
        <w:rPr>
          <w:rFonts w:ascii="Times New Roman" w:hAnsi="Times New Roman"/>
          <w:lang w:val="lv-LV"/>
        </w:rPr>
        <w:t xml:space="preserve"> vides problēmas arī kaimiņ</w:t>
      </w:r>
      <w:r w:rsidR="00DF4069">
        <w:rPr>
          <w:rFonts w:ascii="Times New Roman" w:hAnsi="Times New Roman"/>
          <w:lang w:val="lv-LV"/>
        </w:rPr>
        <w:t xml:space="preserve">os esošajām </w:t>
      </w:r>
      <w:r w:rsidR="00065A0C" w:rsidRPr="00065A0C">
        <w:rPr>
          <w:rFonts w:ascii="Times New Roman" w:hAnsi="Times New Roman"/>
          <w:lang w:val="lv-LV"/>
        </w:rPr>
        <w:t>mājsaimniecībām.</w:t>
      </w:r>
      <w:r w:rsidR="00DF4069">
        <w:rPr>
          <w:rFonts w:ascii="Times New Roman" w:hAnsi="Times New Roman"/>
          <w:lang w:val="lv-LV"/>
        </w:rPr>
        <w:t xml:space="preserve"> </w:t>
      </w:r>
      <w:r w:rsidR="00065A0C" w:rsidRPr="00065A0C">
        <w:rPr>
          <w:rFonts w:ascii="Times New Roman" w:hAnsi="Times New Roman"/>
          <w:lang w:val="lv-LV"/>
        </w:rPr>
        <w:t>Pārrobežu sadarbība snie</w:t>
      </w:r>
      <w:r w:rsidR="00DF4069">
        <w:rPr>
          <w:rFonts w:ascii="Times New Roman" w:hAnsi="Times New Roman"/>
          <w:lang w:val="lv-LV"/>
        </w:rPr>
        <w:t>gs</w:t>
      </w:r>
      <w:r w:rsidR="00065A0C" w:rsidRPr="00065A0C">
        <w:rPr>
          <w:rFonts w:ascii="Times New Roman" w:hAnsi="Times New Roman"/>
          <w:lang w:val="lv-LV"/>
        </w:rPr>
        <w:t xml:space="preserve"> </w:t>
      </w:r>
      <w:r w:rsidR="00DF4069">
        <w:rPr>
          <w:rFonts w:ascii="Times New Roman" w:hAnsi="Times New Roman"/>
          <w:lang w:val="lv-LV"/>
        </w:rPr>
        <w:t>pievienoto vērtību, uzlabojot pašvaldīb</w:t>
      </w:r>
      <w:r w:rsidR="0003412B">
        <w:rPr>
          <w:rFonts w:ascii="Times New Roman" w:hAnsi="Times New Roman"/>
          <w:lang w:val="lv-LV"/>
        </w:rPr>
        <w:t>u</w:t>
      </w:r>
      <w:r w:rsidR="00DF4069">
        <w:rPr>
          <w:rFonts w:ascii="Times New Roman" w:hAnsi="Times New Roman"/>
          <w:lang w:val="lv-LV"/>
        </w:rPr>
        <w:t xml:space="preserve"> </w:t>
      </w:r>
      <w:r w:rsidR="0003412B" w:rsidRPr="00065A0C">
        <w:rPr>
          <w:rFonts w:ascii="Times New Roman" w:hAnsi="Times New Roman"/>
          <w:lang w:val="lv-LV"/>
        </w:rPr>
        <w:t>vidi</w:t>
      </w:r>
      <w:r w:rsidR="0003412B">
        <w:rPr>
          <w:rFonts w:ascii="Times New Roman" w:hAnsi="Times New Roman"/>
          <w:lang w:val="lv-LV"/>
        </w:rPr>
        <w:t xml:space="preserve"> </w:t>
      </w:r>
      <w:r w:rsidR="00DF4069">
        <w:rPr>
          <w:rFonts w:ascii="Times New Roman" w:hAnsi="Times New Roman"/>
          <w:lang w:val="lv-LV"/>
        </w:rPr>
        <w:t>ar infrastruktūras plānošanas</w:t>
      </w:r>
      <w:r w:rsidR="00065A0C" w:rsidRPr="00065A0C">
        <w:rPr>
          <w:rFonts w:ascii="Times New Roman" w:hAnsi="Times New Roman"/>
          <w:lang w:val="lv-LV"/>
        </w:rPr>
        <w:t xml:space="preserve"> un </w:t>
      </w:r>
      <w:r w:rsidR="00DF4069">
        <w:rPr>
          <w:rFonts w:ascii="Times New Roman" w:hAnsi="Times New Roman"/>
          <w:lang w:val="lv-LV"/>
        </w:rPr>
        <w:t xml:space="preserve">labās prakses un </w:t>
      </w:r>
      <w:r w:rsidR="00065A0C" w:rsidRPr="00065A0C">
        <w:rPr>
          <w:rFonts w:ascii="Times New Roman" w:hAnsi="Times New Roman"/>
          <w:lang w:val="lv-LV"/>
        </w:rPr>
        <w:t xml:space="preserve">pieredzes apmaiņu </w:t>
      </w:r>
      <w:r w:rsidR="00DF4069">
        <w:rPr>
          <w:rFonts w:ascii="Times New Roman" w:hAnsi="Times New Roman"/>
          <w:lang w:val="lv-LV"/>
        </w:rPr>
        <w:t>palīdzību</w:t>
      </w:r>
      <w:r w:rsidR="00065A0C" w:rsidRPr="00065A0C">
        <w:rPr>
          <w:rFonts w:ascii="Times New Roman" w:hAnsi="Times New Roman"/>
          <w:lang w:val="lv-LV"/>
        </w:rPr>
        <w:t>. Zināšanu pārneses proces</w:t>
      </w:r>
      <w:r w:rsidR="00DF4069">
        <w:rPr>
          <w:rFonts w:ascii="Times New Roman" w:hAnsi="Times New Roman"/>
          <w:lang w:val="lv-LV"/>
        </w:rPr>
        <w:t xml:space="preserve">i koncentrēsies uz problemātisko teritoriju </w:t>
      </w:r>
      <w:r w:rsidR="00065A0C" w:rsidRPr="00065A0C">
        <w:rPr>
          <w:rFonts w:ascii="Times New Roman" w:hAnsi="Times New Roman"/>
          <w:lang w:val="lv-LV"/>
        </w:rPr>
        <w:t>ilgtspējīg</w:t>
      </w:r>
      <w:r w:rsidR="00DF4069">
        <w:rPr>
          <w:rFonts w:ascii="Times New Roman" w:hAnsi="Times New Roman"/>
          <w:lang w:val="lv-LV"/>
        </w:rPr>
        <w:t xml:space="preserve">u </w:t>
      </w:r>
      <w:r w:rsidR="00065A0C" w:rsidRPr="00065A0C">
        <w:rPr>
          <w:rFonts w:ascii="Times New Roman" w:hAnsi="Times New Roman"/>
          <w:lang w:val="lv-LV"/>
        </w:rPr>
        <w:t>attīstīb</w:t>
      </w:r>
      <w:r w:rsidR="00DF4069">
        <w:rPr>
          <w:rFonts w:ascii="Times New Roman" w:hAnsi="Times New Roman"/>
          <w:lang w:val="lv-LV"/>
        </w:rPr>
        <w:t xml:space="preserve">u </w:t>
      </w:r>
      <w:r w:rsidR="00065A0C" w:rsidRPr="00065A0C">
        <w:rPr>
          <w:rFonts w:ascii="Times New Roman" w:hAnsi="Times New Roman"/>
          <w:lang w:val="lv-LV"/>
        </w:rPr>
        <w:t>un ilgtspējīg</w:t>
      </w:r>
      <w:r w:rsidR="00DF4069">
        <w:rPr>
          <w:rFonts w:ascii="Times New Roman" w:hAnsi="Times New Roman"/>
          <w:lang w:val="lv-LV"/>
        </w:rPr>
        <w:t>as</w:t>
      </w:r>
      <w:r w:rsidR="00065A0C" w:rsidRPr="00065A0C">
        <w:rPr>
          <w:rFonts w:ascii="Times New Roman" w:hAnsi="Times New Roman"/>
          <w:lang w:val="lv-LV"/>
        </w:rPr>
        <w:t xml:space="preserve"> infrastruktūr</w:t>
      </w:r>
      <w:r w:rsidR="00DF4069">
        <w:rPr>
          <w:rFonts w:ascii="Times New Roman" w:hAnsi="Times New Roman"/>
          <w:lang w:val="lv-LV"/>
        </w:rPr>
        <w:t>as izveidi</w:t>
      </w:r>
      <w:r w:rsidR="00065A0C" w:rsidRPr="00065A0C">
        <w:rPr>
          <w:rFonts w:ascii="Times New Roman" w:hAnsi="Times New Roman"/>
          <w:lang w:val="lv-LV"/>
        </w:rPr>
        <w:t>.</w:t>
      </w:r>
      <w:r w:rsidRPr="00CB2450">
        <w:rPr>
          <w:rFonts w:ascii="Times New Roman" w:hAnsi="Times New Roman"/>
          <w:lang w:val="lv-LV"/>
        </w:rPr>
        <w:t xml:space="preserve"> </w:t>
      </w:r>
      <w:r w:rsidR="0003412B">
        <w:rPr>
          <w:rFonts w:ascii="Times New Roman" w:hAnsi="Times New Roman"/>
          <w:lang w:val="lv-LV"/>
        </w:rPr>
        <w:t>Statistikas dati apliecina, ka mājsaimniecībās ir ziņojušas par vides problēmām.</w:t>
      </w:r>
      <w:r w:rsidRPr="00CB2450">
        <w:rPr>
          <w:rFonts w:ascii="Times New Roman" w:hAnsi="Times New Roman"/>
          <w:lang w:val="lv-LV"/>
        </w:rPr>
        <w:t xml:space="preserve">Piecos Programmas reģionos (Kurzemē un Zemgalē, Latvijā, un Klaipēdā, Telšos un Kauņā, Lietuvā) mājsaimniecību, kas saskaras ar vides problēmām (t.i., piesārņojumu un citu vides degradāciju), apjoms procentuāli pārsniedz valsts vidējos rādītājus. </w:t>
      </w:r>
    </w:p>
    <w:p w:rsidR="00FF13ED" w:rsidRPr="00CB2450" w:rsidRDefault="00451AD5" w:rsidP="00E302F6">
      <w:pPr>
        <w:spacing w:before="120" w:line="240" w:lineRule="auto"/>
        <w:contextualSpacing/>
        <w:rPr>
          <w:rFonts w:ascii="Times New Roman" w:hAnsi="Times New Roman"/>
          <w:lang w:val="lv-LV"/>
        </w:rPr>
      </w:pPr>
      <w:r w:rsidRPr="00CB2450">
        <w:rPr>
          <w:rFonts w:ascii="Times New Roman" w:hAnsi="Times New Roman"/>
          <w:lang w:val="lv-LV"/>
        </w:rPr>
        <w:t xml:space="preserve">Kamēr to mājsaimniecību procentuālais apjoms, kas saskaras ar vides problēmām (t.i., apkārtējās vides piesārņojums, putekļi un citas vides problēmas dzīvesvietas tuvumā), ir samazinājies no 28,7% 2010. gadā līdz 21,6% 2012. gadā, Latvijā reģionos un pilsētās ar attīstītāku ražošanu un rūpniecību (Ventspilī un Liepājā, Kurzemē, un Dobelē un Jelgavā, Zemgalē) reģistrēts līmenis, kas pārsniedz valsts vidējo rādītāju (Kurzemē 27,5%, Zemgalē 25,4%). Lietuvā to mājsaimniecību procentuālais īpatsvars, kas saskaras ar vides problēmām (t.i., piesārņojumu un citu vides degradāciju), reģionos ir palielinājies no 12% 2012. gadā līdz 15% 2012. gadā. Savukārt reģionos ar attīstītāku ražošanu un rūpniecību (Klaipēdas rajonā 27%, Telšu rajonā 17% un Kauņas rajonā 18%) </w:t>
      </w:r>
      <w:r w:rsidR="00CD0207" w:rsidRPr="00CB2450">
        <w:rPr>
          <w:rFonts w:ascii="Times New Roman" w:hAnsi="Times New Roman"/>
          <w:lang w:val="lv-LV"/>
        </w:rPr>
        <w:t xml:space="preserve">šis </w:t>
      </w:r>
      <w:r w:rsidRPr="00CB2450">
        <w:rPr>
          <w:rFonts w:ascii="Times New Roman" w:hAnsi="Times New Roman"/>
          <w:lang w:val="lv-LV"/>
        </w:rPr>
        <w:t>īpatsvars pārsniedz valsts vidējo rādītāju.</w:t>
      </w:r>
    </w:p>
    <w:p w:rsidR="007419A3" w:rsidRPr="00CB2450" w:rsidRDefault="007419A3" w:rsidP="00E302F6">
      <w:pPr>
        <w:spacing w:before="120" w:line="240" w:lineRule="auto"/>
        <w:contextualSpacing/>
        <w:rPr>
          <w:rFonts w:ascii="Times New Roman" w:hAnsi="Times New Roman"/>
          <w:lang w:val="lv-LV"/>
        </w:rPr>
      </w:pPr>
    </w:p>
    <w:p w:rsidR="007419A3" w:rsidRDefault="00451AD5" w:rsidP="00E302F6">
      <w:pPr>
        <w:spacing w:before="120" w:line="240" w:lineRule="auto"/>
        <w:contextualSpacing/>
        <w:rPr>
          <w:rFonts w:ascii="Times New Roman" w:hAnsi="Times New Roman"/>
          <w:lang w:val="lv-LV"/>
        </w:rPr>
      </w:pPr>
      <w:r w:rsidRPr="00CB2450">
        <w:rPr>
          <w:rFonts w:ascii="Times New Roman" w:hAnsi="Times New Roman"/>
          <w:lang w:val="lv-LV"/>
        </w:rPr>
        <w:t xml:space="preserve">Kopumā jānorāda, ka galvenā Programmas teritorijā risināmā problēma ir saistīta ar </w:t>
      </w:r>
      <w:r w:rsidR="00CD0207" w:rsidRPr="00CB2450">
        <w:rPr>
          <w:rFonts w:ascii="Times New Roman" w:hAnsi="Times New Roman"/>
          <w:lang w:val="lv-LV"/>
        </w:rPr>
        <w:t xml:space="preserve">nepietiekami attītsītajām/ mazattīstītajām </w:t>
      </w:r>
      <w:r w:rsidRPr="00CB2450">
        <w:rPr>
          <w:rFonts w:ascii="Times New Roman" w:hAnsi="Times New Roman"/>
          <w:lang w:val="lv-LV"/>
        </w:rPr>
        <w:t xml:space="preserve">teritorijām, kas </w:t>
      </w:r>
      <w:r w:rsidR="00CD0207" w:rsidRPr="00CB2450">
        <w:rPr>
          <w:rFonts w:ascii="Times New Roman" w:hAnsi="Times New Roman"/>
          <w:lang w:val="lv-LV"/>
        </w:rPr>
        <w:t>saskaras  ar</w:t>
      </w:r>
      <w:r w:rsidRPr="00CB2450">
        <w:rPr>
          <w:rFonts w:ascii="Times New Roman" w:hAnsi="Times New Roman"/>
          <w:lang w:val="lv-LV"/>
        </w:rPr>
        <w:t xml:space="preserve"> vides risk</w:t>
      </w:r>
      <w:r w:rsidR="00CD0207" w:rsidRPr="00CB2450">
        <w:rPr>
          <w:rFonts w:ascii="Times New Roman" w:hAnsi="Times New Roman"/>
          <w:lang w:val="lv-LV"/>
        </w:rPr>
        <w:t>iem apdzīvotās vietās un ārpus tām</w:t>
      </w:r>
      <w:r w:rsidRPr="00CB2450">
        <w:rPr>
          <w:rFonts w:ascii="Times New Roman" w:hAnsi="Times New Roman"/>
          <w:lang w:val="lv-LV"/>
        </w:rPr>
        <w:t xml:space="preserve">, ieskaitot vizuālo un strukturālo degradāciju, kā arī </w:t>
      </w:r>
      <w:r w:rsidR="00CD0207" w:rsidRPr="00CB2450">
        <w:rPr>
          <w:rFonts w:ascii="Times New Roman" w:hAnsi="Times New Roman"/>
          <w:lang w:val="lv-LV"/>
        </w:rPr>
        <w:t xml:space="preserve">citus </w:t>
      </w:r>
      <w:r w:rsidRPr="00CB2450">
        <w:rPr>
          <w:rFonts w:ascii="Times New Roman" w:hAnsi="Times New Roman"/>
          <w:lang w:val="lv-LV"/>
        </w:rPr>
        <w:t xml:space="preserve"> ekonomisk</w:t>
      </w:r>
      <w:r w:rsidR="00CD0207" w:rsidRPr="00CB2450">
        <w:rPr>
          <w:rFonts w:ascii="Times New Roman" w:hAnsi="Times New Roman"/>
          <w:lang w:val="lv-LV"/>
        </w:rPr>
        <w:t>ās</w:t>
      </w:r>
      <w:r w:rsidRPr="00CB2450">
        <w:rPr>
          <w:rFonts w:ascii="Times New Roman" w:hAnsi="Times New Roman"/>
          <w:lang w:val="lv-LV"/>
        </w:rPr>
        <w:t xml:space="preserve"> attīstīb</w:t>
      </w:r>
      <w:r w:rsidR="00CD0207" w:rsidRPr="00CB2450">
        <w:rPr>
          <w:rFonts w:ascii="Times New Roman" w:hAnsi="Times New Roman"/>
          <w:lang w:val="lv-LV"/>
        </w:rPr>
        <w:t>as kavēkļus</w:t>
      </w:r>
      <w:r w:rsidRPr="00CB2450">
        <w:rPr>
          <w:rFonts w:ascii="Times New Roman" w:hAnsi="Times New Roman"/>
          <w:lang w:val="lv-LV"/>
        </w:rPr>
        <w:t xml:space="preserve">. </w:t>
      </w:r>
    </w:p>
    <w:p w:rsidR="006157AA" w:rsidRDefault="006157AA" w:rsidP="00E302F6">
      <w:pPr>
        <w:spacing w:before="120" w:line="240" w:lineRule="auto"/>
        <w:contextualSpacing/>
        <w:rPr>
          <w:rFonts w:ascii="Times New Roman" w:hAnsi="Times New Roman"/>
          <w:lang w:val="lv-LV"/>
        </w:rPr>
      </w:pPr>
    </w:p>
    <w:p w:rsidR="006157AA" w:rsidRPr="00CB2450" w:rsidRDefault="006157AA" w:rsidP="00E302F6">
      <w:pPr>
        <w:spacing w:before="120" w:line="240" w:lineRule="auto"/>
        <w:contextualSpacing/>
        <w:rPr>
          <w:rFonts w:ascii="Times New Roman" w:hAnsi="Times New Roman"/>
          <w:lang w:val="lv-LV"/>
        </w:rPr>
      </w:pPr>
      <w:r>
        <w:rPr>
          <w:rFonts w:ascii="Times New Roman" w:hAnsi="Times New Roman"/>
          <w:lang w:val="lv-LV"/>
        </w:rPr>
        <w:t>Iepriekšminētā analīze nosaka galvenos izaicinājumus attiecībā uz kultūras un dabas manytojumu un vidi</w:t>
      </w:r>
      <w:r w:rsidRPr="006157AA">
        <w:rPr>
          <w:rFonts w:ascii="Times New Roman" w:hAnsi="Times New Roman"/>
          <w:lang w:val="lv-LV"/>
        </w:rPr>
        <w:t xml:space="preserve"> </w:t>
      </w:r>
      <w:r>
        <w:rPr>
          <w:rFonts w:ascii="Times New Roman" w:hAnsi="Times New Roman"/>
          <w:lang w:val="lv-LV"/>
        </w:rPr>
        <w:t>(ņ</w:t>
      </w:r>
      <w:r w:rsidRPr="00CB2450">
        <w:rPr>
          <w:rFonts w:ascii="Times New Roman" w:hAnsi="Times New Roman"/>
          <w:lang w:val="lv-LV"/>
        </w:rPr>
        <w:t>emot vērā pašreizējās vajadzības, Programmas darbības spektru un pārrobežu sadarbības potenciālu</w:t>
      </w:r>
      <w:r>
        <w:rPr>
          <w:rFonts w:ascii="Times New Roman" w:hAnsi="Times New Roman"/>
          <w:lang w:val="lv-LV"/>
        </w:rPr>
        <w:t>)</w:t>
      </w:r>
    </w:p>
    <w:p w:rsidR="00D115F2" w:rsidRPr="00CB2450" w:rsidRDefault="00D115F2" w:rsidP="00E302F6">
      <w:pPr>
        <w:spacing w:before="120" w:line="240" w:lineRule="auto"/>
        <w:contextualSpacing/>
        <w:rPr>
          <w:rFonts w:ascii="Times New Roman" w:hAnsi="Times New Roman"/>
          <w:u w:val="single"/>
          <w:lang w:val="lv-LV"/>
        </w:rPr>
      </w:pPr>
    </w:p>
    <w:p w:rsidR="006B1EA8" w:rsidRPr="00CB2450" w:rsidRDefault="00451AD5" w:rsidP="00E302F6">
      <w:pPr>
        <w:spacing w:before="120" w:line="240" w:lineRule="auto"/>
        <w:contextualSpacing/>
        <w:rPr>
          <w:rFonts w:ascii="Times New Roman" w:hAnsi="Times New Roman"/>
          <w:lang w:val="lv-LV"/>
        </w:rPr>
      </w:pPr>
      <w:r w:rsidRPr="00CB2450">
        <w:rPr>
          <w:rFonts w:ascii="Times New Roman" w:hAnsi="Times New Roman"/>
          <w:u w:val="single"/>
          <w:lang w:val="lv-LV"/>
        </w:rPr>
        <w:t>Programma plāno:</w:t>
      </w:r>
    </w:p>
    <w:p w:rsidR="007419A3" w:rsidRPr="00CB2450" w:rsidRDefault="00451AD5" w:rsidP="00E302F6">
      <w:pPr>
        <w:pStyle w:val="ListParagraph"/>
        <w:numPr>
          <w:ilvl w:val="0"/>
          <w:numId w:val="3"/>
        </w:numPr>
        <w:spacing w:before="120" w:line="240" w:lineRule="auto"/>
        <w:rPr>
          <w:rFonts w:ascii="Times New Roman" w:hAnsi="Times New Roman"/>
          <w:lang w:val="lv-LV"/>
        </w:rPr>
      </w:pPr>
      <w:r w:rsidRPr="00CB2450">
        <w:rPr>
          <w:rFonts w:ascii="Times New Roman" w:hAnsi="Times New Roman"/>
          <w:lang w:val="lv-LV"/>
        </w:rPr>
        <w:t xml:space="preserve">atbalstīt pašreizējo kultūras un dabas mantojuma objektu ilgtspējīgas </w:t>
      </w:r>
      <w:r w:rsidR="00CD0207" w:rsidRPr="00CB2450">
        <w:rPr>
          <w:rFonts w:ascii="Times New Roman" w:hAnsi="Times New Roman"/>
          <w:lang w:val="lv-LV"/>
        </w:rPr>
        <w:t>apsaimniekošanas</w:t>
      </w:r>
      <w:r w:rsidRPr="00CB2450">
        <w:rPr>
          <w:rFonts w:ascii="Times New Roman" w:hAnsi="Times New Roman"/>
          <w:lang w:val="lv-LV"/>
        </w:rPr>
        <w:t xml:space="preserve"> attīstību, ieskaitot kultūras un dabas mantojumā balstītu </w:t>
      </w:r>
      <w:r w:rsidR="00CD0207" w:rsidRPr="00CB2450">
        <w:rPr>
          <w:rFonts w:ascii="Times New Roman" w:hAnsi="Times New Roman"/>
          <w:lang w:val="lv-LV"/>
        </w:rPr>
        <w:t xml:space="preserve">ilgtspējīgu </w:t>
      </w:r>
      <w:r w:rsidRPr="00CB2450">
        <w:rPr>
          <w:rFonts w:ascii="Times New Roman" w:hAnsi="Times New Roman"/>
          <w:lang w:val="lv-LV"/>
        </w:rPr>
        <w:t xml:space="preserve">produktu un pakalpojumu attīstīšanu;  </w:t>
      </w:r>
    </w:p>
    <w:p w:rsidR="007419A3" w:rsidRPr="00CB2450" w:rsidRDefault="00451AD5" w:rsidP="00E302F6">
      <w:pPr>
        <w:pStyle w:val="ListParagraph"/>
        <w:numPr>
          <w:ilvl w:val="0"/>
          <w:numId w:val="3"/>
        </w:numPr>
        <w:spacing w:before="120" w:line="240" w:lineRule="auto"/>
        <w:rPr>
          <w:rFonts w:ascii="Times New Roman" w:hAnsi="Times New Roman"/>
          <w:lang w:val="lv-LV"/>
        </w:rPr>
      </w:pPr>
      <w:r w:rsidRPr="00CB2450">
        <w:rPr>
          <w:rFonts w:ascii="Times New Roman" w:hAnsi="Times New Roman"/>
          <w:lang w:val="lv-LV"/>
        </w:rPr>
        <w:lastRenderedPageBreak/>
        <w:t xml:space="preserve">nodrošināt efektīvāku un kopīgu </w:t>
      </w:r>
      <w:r w:rsidR="00CD0207" w:rsidRPr="00CB2450">
        <w:rPr>
          <w:rFonts w:ascii="Times New Roman" w:hAnsi="Times New Roman"/>
          <w:lang w:val="lv-LV"/>
        </w:rPr>
        <w:t>vides</w:t>
      </w:r>
      <w:r w:rsidRPr="00CB2450">
        <w:rPr>
          <w:rFonts w:ascii="Times New Roman" w:hAnsi="Times New Roman"/>
          <w:lang w:val="lv-LV"/>
        </w:rPr>
        <w:t xml:space="preserve"> resursu apsaimniekošanu un ar to saistīto risku pārvaldību, ieskaitot investīcijas infrastruktūrā un aprīkojumā; </w:t>
      </w:r>
    </w:p>
    <w:p w:rsidR="00D115F2" w:rsidRPr="00CB2450" w:rsidRDefault="00451AD5" w:rsidP="00E302F6">
      <w:pPr>
        <w:pStyle w:val="ListParagraph"/>
        <w:numPr>
          <w:ilvl w:val="0"/>
          <w:numId w:val="3"/>
        </w:numPr>
        <w:spacing w:before="120" w:line="240" w:lineRule="auto"/>
        <w:rPr>
          <w:rFonts w:ascii="Times New Roman" w:hAnsi="Times New Roman"/>
          <w:lang w:val="lv-LV"/>
        </w:rPr>
      </w:pPr>
      <w:r w:rsidRPr="00CB2450">
        <w:rPr>
          <w:rFonts w:ascii="Times New Roman" w:hAnsi="Times New Roman"/>
          <w:lang w:val="lv-LV"/>
        </w:rPr>
        <w:t xml:space="preserve">uzlabot pašvaldību vidi, it īpaši, </w:t>
      </w:r>
      <w:r w:rsidR="00CD0207" w:rsidRPr="00CB2450">
        <w:rPr>
          <w:rFonts w:ascii="Times New Roman" w:hAnsi="Times New Roman"/>
          <w:lang w:val="lv-LV"/>
        </w:rPr>
        <w:t>pie</w:t>
      </w:r>
      <w:r w:rsidRPr="00CB2450">
        <w:rPr>
          <w:rFonts w:ascii="Times New Roman" w:hAnsi="Times New Roman"/>
          <w:lang w:val="lv-LV"/>
        </w:rPr>
        <w:t>vēršot uzmanību teritorijām, kur novērojamas vides problēmas, kas kavē ekonomisko attīstību.</w:t>
      </w:r>
    </w:p>
    <w:p w:rsidR="007419A3" w:rsidRPr="00714469" w:rsidRDefault="007419A3" w:rsidP="00E302F6">
      <w:pPr>
        <w:spacing w:before="120" w:line="240" w:lineRule="auto"/>
        <w:ind w:left="360"/>
        <w:contextualSpacing/>
        <w:rPr>
          <w:rFonts w:ascii="Times New Roman" w:hAnsi="Times New Roman"/>
          <w:lang w:val="lv-LV"/>
        </w:rPr>
      </w:pPr>
    </w:p>
    <w:p w:rsidR="00D115F2" w:rsidRPr="00714469" w:rsidRDefault="00670599" w:rsidP="00E302F6">
      <w:pPr>
        <w:pStyle w:val="ListParagraph"/>
        <w:numPr>
          <w:ilvl w:val="2"/>
          <w:numId w:val="4"/>
        </w:numPr>
        <w:spacing w:before="120" w:line="240" w:lineRule="auto"/>
        <w:jc w:val="left"/>
        <w:rPr>
          <w:rFonts w:ascii="Times New Roman" w:hAnsi="Times New Roman"/>
          <w:b/>
          <w:lang w:val="lv-LV"/>
        </w:rPr>
      </w:pPr>
      <w:r w:rsidRPr="00714469">
        <w:rPr>
          <w:rFonts w:ascii="Times New Roman" w:hAnsi="Times New Roman"/>
          <w:b/>
          <w:lang w:val="lv-LV"/>
        </w:rPr>
        <w:t xml:space="preserve">Sociālā </w:t>
      </w:r>
      <w:r w:rsidR="002E417D">
        <w:rPr>
          <w:rFonts w:ascii="Times New Roman" w:hAnsi="Times New Roman"/>
          <w:b/>
          <w:lang w:val="lv-LV"/>
        </w:rPr>
        <w:t>iekļaušana</w:t>
      </w:r>
      <w:r w:rsidR="002E417D" w:rsidRPr="00714469">
        <w:rPr>
          <w:rFonts w:ascii="Times New Roman" w:hAnsi="Times New Roman"/>
          <w:b/>
          <w:lang w:val="lv-LV"/>
        </w:rPr>
        <w:t xml:space="preserve"> </w:t>
      </w:r>
      <w:r w:rsidRPr="00714469">
        <w:rPr>
          <w:rFonts w:ascii="Times New Roman" w:hAnsi="Times New Roman"/>
          <w:b/>
          <w:lang w:val="lv-LV"/>
        </w:rPr>
        <w:t xml:space="preserve">un </w:t>
      </w:r>
      <w:r w:rsidR="0061622C" w:rsidRPr="00714469">
        <w:rPr>
          <w:rFonts w:ascii="Times New Roman" w:hAnsi="Times New Roman"/>
          <w:b/>
          <w:lang w:val="lv-LV"/>
        </w:rPr>
        <w:t>nabadzības apkarošana</w:t>
      </w:r>
    </w:p>
    <w:p w:rsidR="00D115F2" w:rsidRPr="00714469" w:rsidRDefault="00670599" w:rsidP="00E302F6">
      <w:pPr>
        <w:autoSpaceDE w:val="0"/>
        <w:autoSpaceDN w:val="0"/>
        <w:adjustRightInd w:val="0"/>
        <w:spacing w:before="120" w:line="240" w:lineRule="auto"/>
        <w:rPr>
          <w:rFonts w:ascii="Times New Roman" w:hAnsi="Times New Roman"/>
          <w:b/>
          <w:u w:val="single"/>
          <w:lang w:val="lv-LV"/>
        </w:rPr>
      </w:pPr>
      <w:r w:rsidRPr="00714469">
        <w:rPr>
          <w:rFonts w:ascii="Times New Roman" w:hAnsi="Times New Roman"/>
          <w:b/>
          <w:u w:val="single"/>
          <w:lang w:val="lv-LV"/>
        </w:rPr>
        <w:t xml:space="preserve">Sociālie pakalpojumi un sociālā </w:t>
      </w:r>
      <w:r w:rsidR="002E417D">
        <w:rPr>
          <w:rFonts w:ascii="Times New Roman" w:hAnsi="Times New Roman"/>
          <w:b/>
          <w:u w:val="single"/>
          <w:lang w:val="lv-LV"/>
        </w:rPr>
        <w:t>iekļaušana</w:t>
      </w:r>
      <w:r w:rsidR="002E417D" w:rsidRPr="00714469">
        <w:rPr>
          <w:rFonts w:ascii="Times New Roman" w:hAnsi="Times New Roman"/>
          <w:b/>
          <w:u w:val="single"/>
          <w:lang w:val="lv-LV"/>
        </w:rPr>
        <w:t xml:space="preserve"> </w:t>
      </w:r>
    </w:p>
    <w:p w:rsidR="00D115F2" w:rsidRPr="00714469" w:rsidRDefault="00F112F2" w:rsidP="00E302F6">
      <w:pPr>
        <w:pStyle w:val="Default"/>
        <w:spacing w:before="120" w:after="120"/>
        <w:jc w:val="both"/>
        <w:rPr>
          <w:rFonts w:ascii="Times New Roman" w:hAnsi="Times New Roman" w:cs="Times New Roman"/>
          <w:color w:val="auto"/>
          <w:lang w:val="lv-LV"/>
        </w:rPr>
      </w:pPr>
      <w:r w:rsidRPr="00714469">
        <w:rPr>
          <w:rFonts w:ascii="Times New Roman" w:hAnsi="Times New Roman" w:cs="Times New Roman"/>
          <w:color w:val="auto"/>
          <w:lang w:val="lv-LV"/>
        </w:rPr>
        <w:t xml:space="preserve">Lai arī Latvijas un Lietuvas ekonomika atgūstas no ekonomiskās krīzes, joprojām pastāv ievērojami nabadzības un sociālās atstumtības riski. Laika posmā no 2008. līdz 2011. gadam ievērojami pieauga nabadzības vai sociālās atstumtības riskam pakļauto cilvēku </w:t>
      </w:r>
      <w:r w:rsidR="0091473F">
        <w:rPr>
          <w:rFonts w:ascii="Times New Roman" w:hAnsi="Times New Roman" w:cs="Times New Roman"/>
          <w:color w:val="auto"/>
          <w:lang w:val="lv-LV"/>
        </w:rPr>
        <w:t>īpatsvars</w:t>
      </w:r>
      <w:r w:rsidR="0091473F" w:rsidRPr="00714469">
        <w:rPr>
          <w:rFonts w:ascii="Times New Roman" w:hAnsi="Times New Roman" w:cs="Times New Roman"/>
          <w:color w:val="auto"/>
          <w:lang w:val="lv-LV"/>
        </w:rPr>
        <w:t xml:space="preserve"> </w:t>
      </w:r>
      <w:r w:rsidRPr="00714469">
        <w:rPr>
          <w:rFonts w:ascii="Times New Roman" w:hAnsi="Times New Roman" w:cs="Times New Roman"/>
          <w:color w:val="auto"/>
          <w:lang w:val="lv-LV"/>
        </w:rPr>
        <w:t xml:space="preserve">(pieaugums no 33,8% līdz 40% Latvijā un no 27,6% līdz 33,4% Lietuvā). </w:t>
      </w:r>
      <w:r w:rsidR="006834A4" w:rsidRPr="00714469">
        <w:rPr>
          <w:rFonts w:ascii="Times New Roman" w:hAnsi="Times New Roman" w:cs="Times New Roman"/>
          <w:lang w:val="lv-LV"/>
        </w:rPr>
        <w:t>Tāpat arī</w:t>
      </w:r>
      <w:r w:rsidR="00FF5C69" w:rsidRPr="00714469">
        <w:rPr>
          <w:rFonts w:ascii="Times New Roman" w:hAnsi="Times New Roman" w:cs="Times New Roman"/>
          <w:lang w:val="lv-LV"/>
        </w:rPr>
        <w:t>,</w:t>
      </w:r>
      <w:r w:rsidR="006834A4" w:rsidRPr="00714469">
        <w:rPr>
          <w:rFonts w:ascii="Times New Roman" w:hAnsi="Times New Roman" w:cs="Times New Roman"/>
          <w:lang w:val="lv-LV"/>
        </w:rPr>
        <w:t xml:space="preserve"> salīdzinot situāciju Programmas reģionos ar ES vidējiem rādītājiem, novērojama</w:t>
      </w:r>
      <w:r w:rsidR="00FF5C69" w:rsidRPr="00714469">
        <w:rPr>
          <w:rFonts w:ascii="Times New Roman" w:hAnsi="Times New Roman" w:cs="Times New Roman"/>
          <w:lang w:val="lv-LV"/>
        </w:rPr>
        <w:t xml:space="preserve"> liela</w:t>
      </w:r>
      <w:r w:rsidR="006834A4" w:rsidRPr="00714469">
        <w:rPr>
          <w:rFonts w:ascii="Times New Roman" w:hAnsi="Times New Roman" w:cs="Times New Roman"/>
          <w:lang w:val="lv-LV"/>
        </w:rPr>
        <w:t xml:space="preserve"> atšķirība.</w:t>
      </w:r>
    </w:p>
    <w:p w:rsidR="00D115F2" w:rsidRPr="00714469" w:rsidRDefault="006834A4" w:rsidP="00E302F6">
      <w:pPr>
        <w:pStyle w:val="Default"/>
        <w:spacing w:before="120" w:after="120"/>
        <w:jc w:val="both"/>
        <w:rPr>
          <w:rFonts w:ascii="Times New Roman" w:hAnsi="Times New Roman" w:cs="Times New Roman"/>
          <w:color w:val="auto"/>
          <w:lang w:val="lv-LV"/>
        </w:rPr>
      </w:pPr>
      <w:r w:rsidRPr="00714469">
        <w:rPr>
          <w:rFonts w:ascii="Times New Roman" w:hAnsi="Times New Roman" w:cs="Times New Roman"/>
          <w:color w:val="auto"/>
          <w:lang w:val="lv-LV"/>
        </w:rPr>
        <w:t>S</w:t>
      </w:r>
      <w:r w:rsidR="00C00BA3" w:rsidRPr="00714469">
        <w:rPr>
          <w:rFonts w:ascii="Times New Roman" w:hAnsi="Times New Roman" w:cs="Times New Roman"/>
          <w:color w:val="auto"/>
          <w:lang w:val="lv-LV"/>
        </w:rPr>
        <w:t>ociālā atstumtība ir plašāks jēdziens nekā nabadzība</w:t>
      </w:r>
      <w:r w:rsidR="00FF5C69" w:rsidRPr="00714469">
        <w:rPr>
          <w:rFonts w:ascii="Times New Roman" w:hAnsi="Times New Roman" w:cs="Times New Roman"/>
          <w:color w:val="auto"/>
          <w:lang w:val="lv-LV"/>
        </w:rPr>
        <w:t xml:space="preserve"> un </w:t>
      </w:r>
      <w:r w:rsidR="00C00BA3" w:rsidRPr="00714469">
        <w:rPr>
          <w:rFonts w:ascii="Times New Roman" w:hAnsi="Times New Roman" w:cs="Times New Roman"/>
          <w:color w:val="auto"/>
          <w:lang w:val="lv-LV"/>
        </w:rPr>
        <w:t xml:space="preserve">ietver ne tikai </w:t>
      </w:r>
      <w:r w:rsidRPr="00714469">
        <w:rPr>
          <w:rFonts w:ascii="Times New Roman" w:hAnsi="Times New Roman" w:cs="Times New Roman"/>
          <w:color w:val="auto"/>
          <w:lang w:val="lv-LV"/>
        </w:rPr>
        <w:t xml:space="preserve">nepietiekamus </w:t>
      </w:r>
      <w:r w:rsidR="00C00BA3" w:rsidRPr="00714469">
        <w:rPr>
          <w:rFonts w:ascii="Times New Roman" w:hAnsi="Times New Roman" w:cs="Times New Roman"/>
          <w:color w:val="auto"/>
          <w:lang w:val="lv-LV"/>
        </w:rPr>
        <w:t xml:space="preserve">materiālos līdzekļus, bet arī nespēju efektīvi piedalīties ekonomiskajā, sociālajā, politiskajā un kultūras dzīvē. Vairāki rādītāji liecina par to, ka sociālā atstumtība Programmas teritorijā ir nopietna problēma. Ekonomiskais un sociālais spiediens uz iedzīvotājiem ievērojami pārsniedz vidējos ES rādītājus </w:t>
      </w:r>
      <w:r w:rsidR="008D7A0A" w:rsidRPr="00714469">
        <w:rPr>
          <w:rFonts w:ascii="Times New Roman" w:hAnsi="Times New Roman" w:cs="Times New Roman"/>
          <w:color w:val="auto"/>
          <w:lang w:val="lv-LV"/>
        </w:rPr>
        <w:t>(sociālās atstumtības rādītāj</w:t>
      </w:r>
      <w:r w:rsidRPr="00714469">
        <w:rPr>
          <w:rFonts w:ascii="Times New Roman" w:hAnsi="Times New Roman" w:cs="Times New Roman"/>
          <w:color w:val="auto"/>
          <w:lang w:val="lv-LV"/>
        </w:rPr>
        <w:t>i</w:t>
      </w:r>
      <w:r w:rsidR="00D216F4" w:rsidRPr="00714469">
        <w:rPr>
          <w:rFonts w:ascii="Times New Roman" w:hAnsi="Times New Roman" w:cs="Times New Roman"/>
          <w:color w:val="auto"/>
          <w:lang w:val="lv-LV"/>
        </w:rPr>
        <w:t xml:space="preserve">, piemēram, </w:t>
      </w:r>
      <w:r w:rsidRPr="00714469">
        <w:rPr>
          <w:rFonts w:ascii="Times New Roman" w:hAnsi="Times New Roman" w:cs="Times New Roman"/>
          <w:color w:val="auto"/>
          <w:lang w:val="lv-LV"/>
        </w:rPr>
        <w:t xml:space="preserve">nespēja </w:t>
      </w:r>
      <w:r w:rsidR="00C00BA3" w:rsidRPr="00714469">
        <w:rPr>
          <w:rFonts w:ascii="Times New Roman" w:hAnsi="Times New Roman" w:cs="Times New Roman"/>
          <w:color w:val="auto"/>
          <w:lang w:val="lv-LV"/>
        </w:rPr>
        <w:t>atb</w:t>
      </w:r>
      <w:r w:rsidR="00D216F4" w:rsidRPr="00714469">
        <w:rPr>
          <w:rFonts w:ascii="Times New Roman" w:hAnsi="Times New Roman" w:cs="Times New Roman"/>
          <w:color w:val="auto"/>
          <w:lang w:val="lv-LV"/>
        </w:rPr>
        <w:t>ilstoši apsildīt māju vai</w:t>
      </w:r>
      <w:r w:rsidRPr="00714469">
        <w:rPr>
          <w:rFonts w:ascii="Times New Roman" w:hAnsi="Times New Roman" w:cs="Times New Roman"/>
          <w:color w:val="auto"/>
          <w:lang w:val="lv-LV"/>
        </w:rPr>
        <w:t xml:space="preserve"> laicīgi apmaksāt</w:t>
      </w:r>
      <w:r w:rsidR="00D216F4" w:rsidRPr="00714469">
        <w:rPr>
          <w:rFonts w:ascii="Times New Roman" w:hAnsi="Times New Roman" w:cs="Times New Roman"/>
          <w:color w:val="auto"/>
          <w:lang w:val="lv-LV"/>
        </w:rPr>
        <w:t xml:space="preserve"> </w:t>
      </w:r>
      <w:r w:rsidR="00C00BA3" w:rsidRPr="00714469">
        <w:rPr>
          <w:rFonts w:ascii="Times New Roman" w:hAnsi="Times New Roman" w:cs="Times New Roman"/>
          <w:color w:val="auto"/>
          <w:lang w:val="lv-LV"/>
        </w:rPr>
        <w:t>rēķin</w:t>
      </w:r>
      <w:r w:rsidRPr="00714469">
        <w:rPr>
          <w:rFonts w:ascii="Times New Roman" w:hAnsi="Times New Roman" w:cs="Times New Roman"/>
          <w:color w:val="auto"/>
          <w:lang w:val="lv-LV"/>
        </w:rPr>
        <w:t>us par pamatpakalpojumiem</w:t>
      </w:r>
      <w:r w:rsidR="00C00BA3" w:rsidRPr="00714469">
        <w:rPr>
          <w:rFonts w:ascii="Times New Roman" w:hAnsi="Times New Roman" w:cs="Times New Roman"/>
          <w:color w:val="auto"/>
          <w:lang w:val="lv-LV"/>
        </w:rPr>
        <w:t>, hipotēku vai īres maksājumiem).</w:t>
      </w:r>
    </w:p>
    <w:p w:rsidR="00D115F2" w:rsidRPr="00714469" w:rsidRDefault="00304816" w:rsidP="00E302F6">
      <w:pPr>
        <w:pStyle w:val="Default"/>
        <w:spacing w:before="120" w:after="120"/>
        <w:jc w:val="both"/>
        <w:rPr>
          <w:rStyle w:val="googqs-tidbit1"/>
          <w:rFonts w:ascii="Times New Roman" w:hAnsi="Times New Roman" w:cs="Times New Roman"/>
          <w:color w:val="auto"/>
          <w:lang w:val="lv-LV"/>
        </w:rPr>
      </w:pPr>
      <w:r w:rsidRPr="00714469">
        <w:rPr>
          <w:rStyle w:val="googqs-tidbit1"/>
          <w:rFonts w:ascii="Times New Roman" w:hAnsi="Times New Roman" w:cs="Times New Roman"/>
          <w:color w:val="auto"/>
          <w:lang w:val="lv-LV"/>
        </w:rPr>
        <w:t xml:space="preserve">Sociālās atstumtības novēršana ir viena no prioritātēm, kas norādīta Latvijas un Lietuvas vidēja termiņa attīstības dokumentos. Tā tiek uzskatīta par </w:t>
      </w:r>
      <w:r w:rsidR="006834A4" w:rsidRPr="00714469">
        <w:rPr>
          <w:rStyle w:val="googqs-tidbit1"/>
          <w:rFonts w:ascii="Times New Roman" w:hAnsi="Times New Roman" w:cs="Times New Roman"/>
          <w:color w:val="auto"/>
          <w:lang w:val="lv-LV"/>
        </w:rPr>
        <w:t xml:space="preserve">būtisku </w:t>
      </w:r>
      <w:r w:rsidRPr="00714469">
        <w:rPr>
          <w:rStyle w:val="googqs-tidbit1"/>
          <w:rFonts w:ascii="Times New Roman" w:hAnsi="Times New Roman" w:cs="Times New Roman"/>
          <w:color w:val="auto"/>
          <w:lang w:val="lv-LV"/>
        </w:rPr>
        <w:t xml:space="preserve">problēmu </w:t>
      </w:r>
      <w:r w:rsidR="006834A4" w:rsidRPr="00714469">
        <w:rPr>
          <w:rStyle w:val="googqs-tidbit1"/>
          <w:rFonts w:ascii="Times New Roman" w:hAnsi="Times New Roman" w:cs="Times New Roman"/>
          <w:color w:val="auto"/>
          <w:lang w:val="lv-LV"/>
        </w:rPr>
        <w:t xml:space="preserve">arī </w:t>
      </w:r>
      <w:r w:rsidRPr="00714469">
        <w:rPr>
          <w:rStyle w:val="googqs-tidbit1"/>
          <w:rFonts w:ascii="Times New Roman" w:hAnsi="Times New Roman" w:cs="Times New Roman"/>
          <w:color w:val="auto"/>
          <w:lang w:val="lv-LV"/>
        </w:rPr>
        <w:t>reģionālā</w:t>
      </w:r>
      <w:r w:rsidR="00574BC1" w:rsidRPr="00714469">
        <w:rPr>
          <w:rStyle w:val="googqs-tidbit1"/>
          <w:rFonts w:ascii="Times New Roman" w:hAnsi="Times New Roman" w:cs="Times New Roman"/>
          <w:color w:val="auto"/>
          <w:lang w:val="lv-LV"/>
        </w:rPr>
        <w:t xml:space="preserve"> līmeņa </w:t>
      </w:r>
      <w:r w:rsidRPr="00714469">
        <w:rPr>
          <w:rStyle w:val="googqs-tidbit1"/>
          <w:rFonts w:ascii="Times New Roman" w:hAnsi="Times New Roman" w:cs="Times New Roman"/>
          <w:color w:val="auto"/>
          <w:lang w:val="lv-LV"/>
        </w:rPr>
        <w:t>attīstības plān</w:t>
      </w:r>
      <w:r w:rsidR="006834A4" w:rsidRPr="00714469">
        <w:rPr>
          <w:rStyle w:val="googqs-tidbit1"/>
          <w:rFonts w:ascii="Times New Roman" w:hAnsi="Times New Roman" w:cs="Times New Roman"/>
          <w:color w:val="auto"/>
          <w:lang w:val="lv-LV"/>
        </w:rPr>
        <w:t>os</w:t>
      </w:r>
      <w:r w:rsidRPr="00714469">
        <w:rPr>
          <w:rStyle w:val="googqs-tidbit1"/>
          <w:rFonts w:ascii="Times New Roman" w:hAnsi="Times New Roman" w:cs="Times New Roman"/>
          <w:color w:val="auto"/>
          <w:lang w:val="lv-LV"/>
        </w:rPr>
        <w:t xml:space="preserve">, </w:t>
      </w:r>
      <w:r w:rsidR="006834A4" w:rsidRPr="00714469">
        <w:rPr>
          <w:rStyle w:val="googqs-tidbit1"/>
          <w:rFonts w:ascii="Times New Roman" w:hAnsi="Times New Roman" w:cs="Times New Roman"/>
          <w:color w:val="auto"/>
          <w:lang w:val="lv-LV"/>
        </w:rPr>
        <w:t xml:space="preserve">kuros noteikts </w:t>
      </w:r>
      <w:r w:rsidRPr="00714469">
        <w:rPr>
          <w:rStyle w:val="googqs-tidbit1"/>
          <w:rFonts w:ascii="Times New Roman" w:hAnsi="Times New Roman" w:cs="Times New Roman"/>
          <w:color w:val="auto"/>
          <w:lang w:val="lv-LV"/>
        </w:rPr>
        <w:t xml:space="preserve">mērķis uzlabot dzīves kvalitāti, nodrošinot uzlabotus sociālos pakalpojumus (ieskaitot infrastruktūras uzlabošanu). Šie plāni </w:t>
      </w:r>
      <w:r w:rsidR="006834A4" w:rsidRPr="00714469">
        <w:rPr>
          <w:rStyle w:val="googqs-tidbit1"/>
          <w:rFonts w:ascii="Times New Roman" w:hAnsi="Times New Roman" w:cs="Times New Roman"/>
          <w:color w:val="auto"/>
          <w:lang w:val="lv-LV"/>
        </w:rPr>
        <w:t>aptver</w:t>
      </w:r>
      <w:r w:rsidRPr="00714469">
        <w:rPr>
          <w:rStyle w:val="googqs-tidbit1"/>
          <w:rFonts w:ascii="Times New Roman" w:hAnsi="Times New Roman" w:cs="Times New Roman"/>
          <w:color w:val="auto"/>
          <w:lang w:val="lv-LV"/>
        </w:rPr>
        <w:t xml:space="preserve"> plašu sociālās </w:t>
      </w:r>
      <w:r w:rsidR="002E417D">
        <w:rPr>
          <w:rStyle w:val="googqs-tidbit1"/>
          <w:rFonts w:ascii="Times New Roman" w:hAnsi="Times New Roman" w:cs="Times New Roman"/>
          <w:color w:val="auto"/>
          <w:lang w:val="lv-LV"/>
        </w:rPr>
        <w:t>iekļaušanas</w:t>
      </w:r>
      <w:r w:rsidR="002E417D" w:rsidRPr="00714469">
        <w:rPr>
          <w:rStyle w:val="googqs-tidbit1"/>
          <w:rFonts w:ascii="Times New Roman" w:hAnsi="Times New Roman" w:cs="Times New Roman"/>
          <w:color w:val="auto"/>
          <w:lang w:val="lv-LV"/>
        </w:rPr>
        <w:t xml:space="preserve"> </w:t>
      </w:r>
      <w:r w:rsidRPr="00714469">
        <w:rPr>
          <w:rStyle w:val="googqs-tidbit1"/>
          <w:rFonts w:ascii="Times New Roman" w:hAnsi="Times New Roman" w:cs="Times New Roman"/>
          <w:color w:val="auto"/>
          <w:lang w:val="lv-LV"/>
        </w:rPr>
        <w:t xml:space="preserve">pasākumu spektru. </w:t>
      </w:r>
    </w:p>
    <w:p w:rsidR="006834A4" w:rsidRPr="00714469" w:rsidRDefault="006834A4" w:rsidP="00E302F6">
      <w:pPr>
        <w:autoSpaceDE w:val="0"/>
        <w:autoSpaceDN w:val="0"/>
        <w:adjustRightInd w:val="0"/>
        <w:spacing w:before="120" w:line="240" w:lineRule="auto"/>
        <w:rPr>
          <w:rStyle w:val="googqs-tidbit1"/>
          <w:rFonts w:ascii="Times New Roman" w:hAnsi="Times New Roman"/>
          <w:lang w:val="lv-LV"/>
        </w:rPr>
      </w:pPr>
      <w:r w:rsidRPr="00714469">
        <w:rPr>
          <w:rFonts w:ascii="Times New Roman" w:hAnsi="Times New Roman"/>
          <w:lang w:val="lv-LV"/>
        </w:rPr>
        <w:t>Programmas teritorijā sociālo darbinieku, sociālo aprūpes dienestu, kā arī sociālo un profesionālo rehabilitācijas organizāciju pakalpojumus sniedz gan valsts, gan pašvaldīb</w:t>
      </w:r>
      <w:r w:rsidR="00F74D0B" w:rsidRPr="00714469">
        <w:rPr>
          <w:rFonts w:ascii="Times New Roman" w:hAnsi="Times New Roman"/>
          <w:lang w:val="lv-LV"/>
        </w:rPr>
        <w:t>u</w:t>
      </w:r>
      <w:r w:rsidRPr="00714469">
        <w:rPr>
          <w:rFonts w:ascii="Times New Roman" w:hAnsi="Times New Roman"/>
          <w:lang w:val="lv-LV"/>
        </w:rPr>
        <w:t xml:space="preserve"> institūcijas, nodrošina sociālo aizsardzību cilvēkiem, kas dzīvo trūkumā vai kas atrodas citās sociālā riska situācijās. Tomēr </w:t>
      </w:r>
      <w:r w:rsidR="008D4264" w:rsidRPr="00714469">
        <w:rPr>
          <w:rFonts w:ascii="Times New Roman" w:hAnsi="Times New Roman"/>
          <w:lang w:val="lv-LV"/>
        </w:rPr>
        <w:t xml:space="preserve">nepietiekošu resursu un kapacitātes dēļ sociālie pakalpojumi un sociālās iekļaušanas pasākumi </w:t>
      </w:r>
      <w:r w:rsidRPr="00714469">
        <w:rPr>
          <w:rFonts w:ascii="Times New Roman" w:hAnsi="Times New Roman"/>
          <w:lang w:val="lv-LV"/>
        </w:rPr>
        <w:t xml:space="preserve">joprojām ir </w:t>
      </w:r>
      <w:r w:rsidR="008D4264" w:rsidRPr="00714469">
        <w:rPr>
          <w:rFonts w:ascii="Times New Roman" w:hAnsi="Times New Roman"/>
          <w:lang w:val="lv-LV"/>
        </w:rPr>
        <w:t>jāattīsta Programmas teritorijā.</w:t>
      </w:r>
    </w:p>
    <w:p w:rsidR="00D115F2" w:rsidRPr="00714469" w:rsidDel="005449D3" w:rsidRDefault="00A54C54" w:rsidP="00E302F6">
      <w:pPr>
        <w:spacing w:before="120" w:line="240" w:lineRule="auto"/>
        <w:contextualSpacing/>
        <w:rPr>
          <w:rFonts w:ascii="Times New Roman" w:hAnsi="Times New Roman"/>
          <w:u w:val="single"/>
          <w:lang w:val="lv-LV"/>
        </w:rPr>
      </w:pPr>
      <w:r>
        <w:rPr>
          <w:rFonts w:ascii="Times New Roman" w:hAnsi="Times New Roman"/>
          <w:u w:val="single"/>
          <w:lang w:val="lv-LV"/>
        </w:rPr>
        <w:t>Dalo</w:t>
      </w:r>
      <w:r w:rsidRPr="00A54C54">
        <w:rPr>
          <w:rFonts w:ascii="Times New Roman" w:hAnsi="Times New Roman"/>
          <w:u w:val="single"/>
          <w:lang w:val="lv-LV"/>
        </w:rPr>
        <w:t>ties esoš</w:t>
      </w:r>
      <w:r>
        <w:rPr>
          <w:rFonts w:ascii="Times New Roman" w:hAnsi="Times New Roman"/>
          <w:u w:val="single"/>
          <w:lang w:val="lv-LV"/>
        </w:rPr>
        <w:t xml:space="preserve">ajā </w:t>
      </w:r>
      <w:r w:rsidRPr="00A54C54">
        <w:rPr>
          <w:rFonts w:ascii="Times New Roman" w:hAnsi="Times New Roman"/>
          <w:u w:val="single"/>
          <w:lang w:val="lv-LV"/>
        </w:rPr>
        <w:t>pieredz</w:t>
      </w:r>
      <w:r>
        <w:rPr>
          <w:rFonts w:ascii="Times New Roman" w:hAnsi="Times New Roman"/>
          <w:u w:val="single"/>
          <w:lang w:val="lv-LV"/>
        </w:rPr>
        <w:t xml:space="preserve">ē </w:t>
      </w:r>
      <w:r w:rsidRPr="00A54C54">
        <w:rPr>
          <w:rFonts w:ascii="Times New Roman" w:hAnsi="Times New Roman"/>
          <w:u w:val="single"/>
          <w:lang w:val="lv-LV"/>
        </w:rPr>
        <w:t>sociālo pakalpojumu un sociāli atstumto personu</w:t>
      </w:r>
      <w:r>
        <w:rPr>
          <w:rFonts w:ascii="Times New Roman" w:hAnsi="Times New Roman"/>
          <w:u w:val="single"/>
          <w:lang w:val="lv-LV"/>
        </w:rPr>
        <w:t xml:space="preserve"> sociālās iekļaušanas jomā</w:t>
      </w:r>
      <w:r w:rsidRPr="00A54C54">
        <w:rPr>
          <w:rFonts w:ascii="Times New Roman" w:hAnsi="Times New Roman"/>
          <w:u w:val="single"/>
          <w:lang w:val="lv-LV"/>
        </w:rPr>
        <w:t xml:space="preserve">, </w:t>
      </w:r>
      <w:r>
        <w:rPr>
          <w:rFonts w:ascii="Times New Roman" w:hAnsi="Times New Roman"/>
          <w:u w:val="single"/>
          <w:lang w:val="lv-LV"/>
        </w:rPr>
        <w:t>pārrobežu sadarbība sniegs</w:t>
      </w:r>
      <w:r w:rsidRPr="00A54C54">
        <w:rPr>
          <w:rFonts w:ascii="Times New Roman" w:hAnsi="Times New Roman"/>
          <w:u w:val="single"/>
          <w:lang w:val="lv-LV"/>
        </w:rPr>
        <w:t xml:space="preserve"> pievienot</w:t>
      </w:r>
      <w:r>
        <w:rPr>
          <w:rFonts w:ascii="Times New Roman" w:hAnsi="Times New Roman"/>
          <w:u w:val="single"/>
          <w:lang w:val="lv-LV"/>
        </w:rPr>
        <w:t>o</w:t>
      </w:r>
      <w:r w:rsidRPr="00A54C54">
        <w:rPr>
          <w:rFonts w:ascii="Times New Roman" w:hAnsi="Times New Roman"/>
          <w:u w:val="single"/>
          <w:lang w:val="lv-LV"/>
        </w:rPr>
        <w:t xml:space="preserve"> vērtību </w:t>
      </w:r>
      <w:r>
        <w:rPr>
          <w:rFonts w:ascii="Times New Roman" w:hAnsi="Times New Roman"/>
          <w:u w:val="single"/>
          <w:lang w:val="lv-LV"/>
        </w:rPr>
        <w:t xml:space="preserve">efektīvāku </w:t>
      </w:r>
      <w:r w:rsidRPr="00A54C54">
        <w:rPr>
          <w:rFonts w:ascii="Times New Roman" w:hAnsi="Times New Roman"/>
          <w:u w:val="single"/>
          <w:lang w:val="lv-LV"/>
        </w:rPr>
        <w:t>risinājumu</w:t>
      </w:r>
      <w:r>
        <w:rPr>
          <w:rFonts w:ascii="Times New Roman" w:hAnsi="Times New Roman"/>
          <w:u w:val="single"/>
          <w:lang w:val="lv-LV"/>
        </w:rPr>
        <w:t xml:space="preserve"> attīstībai</w:t>
      </w:r>
      <w:r w:rsidRPr="00A54C54">
        <w:rPr>
          <w:rFonts w:ascii="Times New Roman" w:hAnsi="Times New Roman"/>
          <w:u w:val="single"/>
          <w:lang w:val="lv-LV"/>
        </w:rPr>
        <w:t xml:space="preserve">, kas </w:t>
      </w:r>
      <w:r>
        <w:rPr>
          <w:rFonts w:ascii="Times New Roman" w:hAnsi="Times New Roman"/>
          <w:u w:val="single"/>
          <w:lang w:val="lv-LV"/>
        </w:rPr>
        <w:t>palīdzēs</w:t>
      </w:r>
      <w:r w:rsidRPr="00A54C54">
        <w:rPr>
          <w:rFonts w:ascii="Times New Roman" w:hAnsi="Times New Roman"/>
          <w:u w:val="single"/>
          <w:lang w:val="lv-LV"/>
        </w:rPr>
        <w:t xml:space="preserve"> apmierinātu sociāli </w:t>
      </w:r>
      <w:r>
        <w:rPr>
          <w:rFonts w:ascii="Times New Roman" w:hAnsi="Times New Roman"/>
          <w:u w:val="single"/>
          <w:lang w:val="lv-LV"/>
        </w:rPr>
        <w:t>neaizsargāto</w:t>
      </w:r>
      <w:r w:rsidRPr="00A54C54">
        <w:rPr>
          <w:rFonts w:ascii="Times New Roman" w:hAnsi="Times New Roman"/>
          <w:u w:val="single"/>
          <w:lang w:val="lv-LV"/>
        </w:rPr>
        <w:t xml:space="preserve"> </w:t>
      </w:r>
      <w:r>
        <w:rPr>
          <w:rFonts w:ascii="Times New Roman" w:hAnsi="Times New Roman"/>
          <w:u w:val="single"/>
          <w:lang w:val="lv-LV"/>
        </w:rPr>
        <w:t>personu</w:t>
      </w:r>
      <w:r w:rsidRPr="00A54C54">
        <w:rPr>
          <w:rFonts w:ascii="Times New Roman" w:hAnsi="Times New Roman"/>
          <w:u w:val="single"/>
          <w:lang w:val="lv-LV"/>
        </w:rPr>
        <w:t xml:space="preserve"> </w:t>
      </w:r>
      <w:r>
        <w:rPr>
          <w:rFonts w:ascii="Times New Roman" w:hAnsi="Times New Roman"/>
          <w:u w:val="single"/>
          <w:lang w:val="lv-LV"/>
        </w:rPr>
        <w:t>īpašās vajadzības</w:t>
      </w:r>
      <w:r w:rsidRPr="00A54C54">
        <w:rPr>
          <w:rFonts w:ascii="Times New Roman" w:hAnsi="Times New Roman"/>
          <w:u w:val="single"/>
          <w:lang w:val="lv-LV"/>
        </w:rPr>
        <w:t xml:space="preserve"> kādā konkrētā jomā. </w:t>
      </w:r>
      <w:r w:rsidR="0085771F">
        <w:rPr>
          <w:rStyle w:val="googqs-tidbit1"/>
          <w:rFonts w:ascii="Times New Roman" w:hAnsi="Times New Roman"/>
          <w:lang w:val="lv-LV"/>
        </w:rPr>
        <w:t>Ar sadarbību</w:t>
      </w:r>
      <w:r w:rsidR="0085771F" w:rsidRPr="00A54C54">
        <w:rPr>
          <w:rFonts w:ascii="Times New Roman" w:hAnsi="Times New Roman"/>
          <w:u w:val="single"/>
          <w:lang w:val="lv-LV"/>
        </w:rPr>
        <w:t xml:space="preserve"> sociālo pakalpojumu un </w:t>
      </w:r>
      <w:r w:rsidR="0085771F">
        <w:rPr>
          <w:rFonts w:ascii="Times New Roman" w:hAnsi="Times New Roman"/>
          <w:u w:val="single"/>
          <w:lang w:val="lv-LV"/>
        </w:rPr>
        <w:t xml:space="preserve">sociālās iekļaušanas </w:t>
      </w:r>
      <w:r w:rsidR="0085771F" w:rsidRPr="00A54C54">
        <w:rPr>
          <w:rFonts w:ascii="Times New Roman" w:hAnsi="Times New Roman"/>
          <w:u w:val="single"/>
          <w:lang w:val="lv-LV"/>
        </w:rPr>
        <w:t xml:space="preserve">jomā var </w:t>
      </w:r>
      <w:r w:rsidR="0085771F">
        <w:rPr>
          <w:rFonts w:ascii="Times New Roman" w:hAnsi="Times New Roman"/>
          <w:u w:val="single"/>
          <w:lang w:val="lv-LV"/>
        </w:rPr>
        <w:t>panākt</w:t>
      </w:r>
      <w:r w:rsidR="0085771F" w:rsidRPr="00A54C54">
        <w:rPr>
          <w:rFonts w:ascii="Times New Roman" w:hAnsi="Times New Roman"/>
          <w:u w:val="single"/>
          <w:lang w:val="lv-LV"/>
        </w:rPr>
        <w:t xml:space="preserve"> būtisk</w:t>
      </w:r>
      <w:r w:rsidR="0085771F">
        <w:rPr>
          <w:rFonts w:ascii="Times New Roman" w:hAnsi="Times New Roman"/>
          <w:u w:val="single"/>
          <w:lang w:val="lv-LV"/>
        </w:rPr>
        <w:t>u pārrobežu</w:t>
      </w:r>
      <w:r w:rsidR="0085771F" w:rsidRPr="00A54C54">
        <w:rPr>
          <w:rFonts w:ascii="Times New Roman" w:hAnsi="Times New Roman"/>
          <w:u w:val="single"/>
          <w:lang w:val="lv-LV"/>
        </w:rPr>
        <w:t xml:space="preserve"> sinerģiju (papildus darbīb</w:t>
      </w:r>
      <w:r w:rsidR="0085771F">
        <w:rPr>
          <w:rFonts w:ascii="Times New Roman" w:hAnsi="Times New Roman"/>
          <w:u w:val="single"/>
          <w:lang w:val="lv-LV"/>
        </w:rPr>
        <w:t>ām, ko finansē valsts līmenī), t</w:t>
      </w:r>
      <w:r w:rsidR="0085771F" w:rsidRPr="00A54C54">
        <w:rPr>
          <w:rFonts w:ascii="Times New Roman" w:hAnsi="Times New Roman"/>
          <w:u w:val="single"/>
          <w:lang w:val="lv-LV"/>
        </w:rPr>
        <w:t>as ļau</w:t>
      </w:r>
      <w:r w:rsidR="0085771F">
        <w:rPr>
          <w:rFonts w:ascii="Times New Roman" w:hAnsi="Times New Roman"/>
          <w:u w:val="single"/>
          <w:lang w:val="lv-LV"/>
        </w:rPr>
        <w:t>s</w:t>
      </w:r>
      <w:r w:rsidR="0085771F" w:rsidRPr="00A54C54">
        <w:rPr>
          <w:rFonts w:ascii="Times New Roman" w:hAnsi="Times New Roman"/>
          <w:u w:val="single"/>
          <w:lang w:val="lv-LV"/>
        </w:rPr>
        <w:t xml:space="preserve"> uzlabot šo</w:t>
      </w:r>
      <w:r w:rsidR="0085771F">
        <w:rPr>
          <w:rFonts w:ascii="Times New Roman" w:hAnsi="Times New Roman"/>
          <w:u w:val="single"/>
          <w:lang w:val="lv-LV"/>
        </w:rPr>
        <w:t>s</w:t>
      </w:r>
      <w:r w:rsidR="0085771F" w:rsidRPr="00A54C54">
        <w:rPr>
          <w:rFonts w:ascii="Times New Roman" w:hAnsi="Times New Roman"/>
          <w:u w:val="single"/>
          <w:lang w:val="lv-LV"/>
        </w:rPr>
        <w:t xml:space="preserve"> pakalpojumu</w:t>
      </w:r>
      <w:r w:rsidR="0085771F">
        <w:rPr>
          <w:rFonts w:ascii="Times New Roman" w:hAnsi="Times New Roman"/>
          <w:u w:val="single"/>
          <w:lang w:val="lv-LV"/>
        </w:rPr>
        <w:t>s</w:t>
      </w:r>
      <w:r w:rsidR="0085771F" w:rsidRPr="00A54C54">
        <w:rPr>
          <w:rFonts w:ascii="Times New Roman" w:hAnsi="Times New Roman"/>
          <w:u w:val="single"/>
          <w:lang w:val="lv-LV"/>
        </w:rPr>
        <w:t xml:space="preserve">. </w:t>
      </w:r>
      <w:r w:rsidR="00FF5C69" w:rsidRPr="00714469">
        <w:rPr>
          <w:rStyle w:val="googqs-tidbit1"/>
          <w:rFonts w:ascii="Times New Roman" w:hAnsi="Times New Roman"/>
          <w:lang w:val="lv-LV"/>
        </w:rPr>
        <w:t>Pārrobežu</w:t>
      </w:r>
      <w:r w:rsidR="004E64CE" w:rsidRPr="00714469">
        <w:rPr>
          <w:rStyle w:val="googqs-tidbit1"/>
          <w:rFonts w:ascii="Times New Roman" w:hAnsi="Times New Roman"/>
          <w:lang w:val="lv-LV"/>
        </w:rPr>
        <w:t xml:space="preserve"> sadarbība sekmē tādu risinājumu attīstību, </w:t>
      </w:r>
      <w:r w:rsidR="00FF5C69" w:rsidRPr="00714469">
        <w:rPr>
          <w:rStyle w:val="googqs-tidbit1"/>
          <w:rFonts w:ascii="Times New Roman" w:hAnsi="Times New Roman"/>
          <w:lang w:val="lv-LV"/>
        </w:rPr>
        <w:t>kurus var izmantos abpus robežai</w:t>
      </w:r>
      <w:r w:rsidR="004E64CE" w:rsidRPr="00714469">
        <w:rPr>
          <w:rStyle w:val="googqs-tidbit1"/>
          <w:rFonts w:ascii="Times New Roman" w:hAnsi="Times New Roman"/>
          <w:lang w:val="lv-LV"/>
        </w:rPr>
        <w:t xml:space="preserve">. </w:t>
      </w:r>
      <w:r w:rsidR="00AC3E8A" w:rsidRPr="00714469">
        <w:rPr>
          <w:rStyle w:val="googqs-tidbit1"/>
          <w:rFonts w:ascii="Times New Roman" w:hAnsi="Times New Roman"/>
          <w:lang w:val="lv-LV"/>
        </w:rPr>
        <w:t xml:space="preserve">Investīcijas infrastruktūrā, kā arī jaunu sociālo pakalpojumu attīstīšana uzlabos vispārīgo dzīves kvalitāti Programmas teritorijā. </w:t>
      </w:r>
    </w:p>
    <w:p w:rsidR="00E21E6A" w:rsidRDefault="00E21E6A" w:rsidP="00E302F6">
      <w:pPr>
        <w:spacing w:before="120" w:line="240" w:lineRule="auto"/>
        <w:rPr>
          <w:rFonts w:ascii="Times New Roman" w:hAnsi="Times New Roman"/>
          <w:b/>
          <w:u w:val="single"/>
          <w:lang w:val="lv-LV"/>
        </w:rPr>
      </w:pPr>
    </w:p>
    <w:p w:rsidR="00D115F2" w:rsidRPr="00714469" w:rsidRDefault="00FF5C69" w:rsidP="00E302F6">
      <w:pPr>
        <w:spacing w:before="120" w:line="240" w:lineRule="auto"/>
        <w:rPr>
          <w:rFonts w:ascii="Times New Roman" w:hAnsi="Times New Roman"/>
          <w:b/>
          <w:u w:val="single"/>
          <w:lang w:val="lv-LV"/>
        </w:rPr>
      </w:pPr>
      <w:r w:rsidRPr="00714469">
        <w:rPr>
          <w:rFonts w:ascii="Times New Roman" w:hAnsi="Times New Roman"/>
          <w:b/>
          <w:u w:val="single"/>
          <w:lang w:val="lv-LV"/>
        </w:rPr>
        <w:t xml:space="preserve">Mazāk attīstītu kopienu </w:t>
      </w:r>
      <w:r w:rsidR="00574BC1" w:rsidRPr="00714469">
        <w:rPr>
          <w:rFonts w:ascii="Times New Roman" w:hAnsi="Times New Roman"/>
          <w:b/>
          <w:u w:val="single"/>
          <w:lang w:val="lv-LV"/>
        </w:rPr>
        <w:t xml:space="preserve">reģenerācija </w:t>
      </w:r>
      <w:r w:rsidRPr="00714469">
        <w:rPr>
          <w:rFonts w:ascii="Times New Roman" w:hAnsi="Times New Roman"/>
          <w:b/>
          <w:u w:val="single"/>
          <w:lang w:val="lv-LV"/>
        </w:rPr>
        <w:t>pilsētas un lauku teritorijās</w:t>
      </w:r>
      <w:r w:rsidR="004D5FEB" w:rsidRPr="00714469">
        <w:rPr>
          <w:rFonts w:ascii="Times New Roman" w:hAnsi="Times New Roman"/>
          <w:b/>
          <w:u w:val="single"/>
          <w:lang w:val="lv-LV"/>
        </w:rPr>
        <w:t xml:space="preserve"> </w:t>
      </w:r>
    </w:p>
    <w:p w:rsidR="00D115F2" w:rsidRPr="00714469" w:rsidRDefault="004D5FEB" w:rsidP="00E302F6">
      <w:pPr>
        <w:spacing w:before="120" w:line="240" w:lineRule="auto"/>
        <w:rPr>
          <w:rFonts w:ascii="Times New Roman" w:hAnsi="Times New Roman"/>
          <w:lang w:val="lv-LV"/>
        </w:rPr>
      </w:pPr>
      <w:r w:rsidRPr="00714469">
        <w:rPr>
          <w:rFonts w:ascii="Times New Roman" w:hAnsi="Times New Roman"/>
          <w:lang w:val="lv-LV"/>
        </w:rPr>
        <w:t xml:space="preserve">Galvenie ekonomiskās attīstības statistikas </w:t>
      </w:r>
      <w:r w:rsidR="00426BF4" w:rsidRPr="00714469">
        <w:rPr>
          <w:rFonts w:ascii="Times New Roman" w:hAnsi="Times New Roman"/>
          <w:lang w:val="lv-LV"/>
        </w:rPr>
        <w:t xml:space="preserve">dati </w:t>
      </w:r>
      <w:r w:rsidRPr="00714469">
        <w:rPr>
          <w:rFonts w:ascii="Times New Roman" w:hAnsi="Times New Roman"/>
          <w:lang w:val="lv-LV"/>
        </w:rPr>
        <w:t xml:space="preserve">liecina par to, ka Programmas </w:t>
      </w:r>
      <w:r w:rsidR="00574BC1" w:rsidRPr="00714469">
        <w:rPr>
          <w:rFonts w:ascii="Times New Roman" w:hAnsi="Times New Roman"/>
          <w:lang w:val="lv-LV"/>
        </w:rPr>
        <w:t xml:space="preserve">reģioni </w:t>
      </w:r>
      <w:r w:rsidRPr="00714469">
        <w:rPr>
          <w:rFonts w:ascii="Times New Roman" w:hAnsi="Times New Roman"/>
          <w:lang w:val="lv-LV"/>
        </w:rPr>
        <w:t xml:space="preserve">joprojām ir </w:t>
      </w:r>
      <w:r w:rsidR="00574BC1" w:rsidRPr="00714469">
        <w:rPr>
          <w:rFonts w:ascii="Times New Roman" w:hAnsi="Times New Roman"/>
          <w:lang w:val="lv-LV"/>
        </w:rPr>
        <w:t>ekonomiski mazāk attīstīti, kā lielākās pilsētas</w:t>
      </w:r>
      <w:r w:rsidRPr="00714469">
        <w:rPr>
          <w:rFonts w:ascii="Times New Roman" w:hAnsi="Times New Roman"/>
          <w:lang w:val="lv-LV"/>
        </w:rPr>
        <w:t xml:space="preserve">. </w:t>
      </w:r>
      <w:r w:rsidR="008D4264" w:rsidRPr="00714469">
        <w:rPr>
          <w:rFonts w:ascii="Times New Roman" w:hAnsi="Times New Roman"/>
          <w:lang w:val="lv-LV"/>
        </w:rPr>
        <w:t>Tā, piemēram, vidējā bruto alga Programmas reģionos nepārsniedz valsts vidējos rādītāju [izņemot Klaipēdas rajonu], bezdarba līmenis reģionos pārsniedz valsts vidējo rādītāju [izņemot Kurzemi, Klaipēdas un Kauņas rajonu]).</w:t>
      </w:r>
    </w:p>
    <w:p w:rsidR="008D4264" w:rsidRPr="00714469" w:rsidRDefault="00FF5C69" w:rsidP="00E302F6">
      <w:pPr>
        <w:spacing w:before="120" w:line="240" w:lineRule="auto"/>
        <w:rPr>
          <w:rFonts w:ascii="Times New Roman" w:hAnsi="Times New Roman"/>
          <w:lang w:val="lv-LV"/>
        </w:rPr>
      </w:pPr>
      <w:r w:rsidRPr="00714469">
        <w:rPr>
          <w:rFonts w:ascii="Times New Roman" w:hAnsi="Times New Roman"/>
          <w:lang w:val="lv-LV"/>
        </w:rPr>
        <w:lastRenderedPageBreak/>
        <w:t>S</w:t>
      </w:r>
      <w:r w:rsidR="004D5FEB" w:rsidRPr="00714469">
        <w:rPr>
          <w:rFonts w:ascii="Times New Roman" w:hAnsi="Times New Roman"/>
          <w:lang w:val="lv-LV"/>
        </w:rPr>
        <w:t xml:space="preserve">ociālo un materiālo </w:t>
      </w:r>
      <w:r w:rsidRPr="00714469">
        <w:rPr>
          <w:rFonts w:ascii="Times New Roman" w:hAnsi="Times New Roman"/>
          <w:lang w:val="lv-LV"/>
        </w:rPr>
        <w:t>nenodrošinātību</w:t>
      </w:r>
      <w:r w:rsidR="003167DB" w:rsidRPr="00714469">
        <w:rPr>
          <w:rFonts w:ascii="Times New Roman" w:hAnsi="Times New Roman"/>
          <w:lang w:val="lv-LV"/>
        </w:rPr>
        <w:t xml:space="preserve"> raksturo ekonomiskā spriedze</w:t>
      </w:r>
      <w:r w:rsidR="004D5FEB" w:rsidRPr="00714469">
        <w:rPr>
          <w:rFonts w:ascii="Times New Roman" w:hAnsi="Times New Roman"/>
          <w:lang w:val="lv-LV"/>
        </w:rPr>
        <w:t xml:space="preserve"> un nespēja atļauties noteiktas preces vai pakalpojumus (piemēram, spēja apmaksāt īri, hipotēku vai </w:t>
      </w:r>
      <w:r w:rsidR="003167DB" w:rsidRPr="00714469">
        <w:rPr>
          <w:rFonts w:ascii="Times New Roman" w:hAnsi="Times New Roman"/>
          <w:lang w:val="lv-LV"/>
        </w:rPr>
        <w:t xml:space="preserve">rēķinus, atļauties doties ikgadējā atvaļinājumā ārpus mājām, lietot ierastās plaša patēriņa preces vai spēja segt neplānotus izdevumus). </w:t>
      </w:r>
      <w:r w:rsidR="008D4264" w:rsidRPr="00714469">
        <w:rPr>
          <w:rFonts w:ascii="Times New Roman" w:hAnsi="Times New Roman"/>
          <w:lang w:val="lv-LV"/>
        </w:rPr>
        <w:t>Tāpat arī citi materiālās nenodrošinātības rādītāji (piemēram, to mājsaimniecībās dzīvojošo cilvēku skaits, kas saskaras ar ekonomiskām problēmām, nespēja atļauties apmaksāt vienas nedēļas ikgadējo atvaļinājumu ārpus mājām u.c.) liecina par to, ka Programmas</w:t>
      </w:r>
      <w:r w:rsidRPr="00714469">
        <w:rPr>
          <w:rFonts w:ascii="Times New Roman" w:hAnsi="Times New Roman"/>
          <w:lang w:val="lv-LV"/>
        </w:rPr>
        <w:t xml:space="preserve"> teritorijā ir daudz</w:t>
      </w:r>
      <w:r w:rsidR="008D4264" w:rsidRPr="00714469">
        <w:rPr>
          <w:rFonts w:ascii="Times New Roman" w:hAnsi="Times New Roman"/>
          <w:lang w:val="lv-LV"/>
        </w:rPr>
        <w:t xml:space="preserve"> teritoriju un kopienu, kas ir pakļautas nopietniem sociālajiem un materiālajiem riskiem.</w:t>
      </w:r>
    </w:p>
    <w:p w:rsidR="008D4264" w:rsidRPr="00714469" w:rsidRDefault="008D4264" w:rsidP="00E302F6">
      <w:pPr>
        <w:spacing w:before="120" w:line="240" w:lineRule="auto"/>
        <w:rPr>
          <w:rFonts w:ascii="Times New Roman" w:hAnsi="Times New Roman"/>
          <w:lang w:val="lv-LV"/>
        </w:rPr>
      </w:pPr>
      <w:r w:rsidRPr="00714469">
        <w:rPr>
          <w:rFonts w:ascii="Times New Roman" w:hAnsi="Times New Roman"/>
          <w:lang w:val="lv-LV"/>
        </w:rPr>
        <w:t xml:space="preserve">Sociālā </w:t>
      </w:r>
      <w:r w:rsidR="002E417D">
        <w:rPr>
          <w:rFonts w:ascii="Times New Roman" w:hAnsi="Times New Roman"/>
          <w:lang w:val="lv-LV"/>
        </w:rPr>
        <w:t>iekļaušana</w:t>
      </w:r>
      <w:r w:rsidR="002E417D" w:rsidRPr="00714469">
        <w:rPr>
          <w:rFonts w:ascii="Times New Roman" w:hAnsi="Times New Roman"/>
          <w:lang w:val="lv-LV"/>
        </w:rPr>
        <w:t xml:space="preserve"> </w:t>
      </w:r>
      <w:r w:rsidRPr="00714469">
        <w:rPr>
          <w:rFonts w:ascii="Times New Roman" w:hAnsi="Times New Roman"/>
          <w:lang w:val="lv-LV"/>
        </w:rPr>
        <w:t xml:space="preserve">ir kompleksa problēma, kuru var raksturot ne tikai ar materiālo nenodrošinātību, bet arī ar tādiem rādītājiem kā bezdarbs, vājas prasmes, zemi ienākumi, slikti dzīves apstākļi un zema sociālā līdzdalība. Mazāk attīstītajās teritorijās un kopienās bieži vien </w:t>
      </w:r>
      <w:r w:rsidR="002531FE" w:rsidRPr="00714469">
        <w:rPr>
          <w:rFonts w:ascii="Times New Roman" w:hAnsi="Times New Roman"/>
          <w:lang w:val="lv-LV"/>
        </w:rPr>
        <w:t xml:space="preserve">ir </w:t>
      </w:r>
      <w:r w:rsidRPr="00714469">
        <w:rPr>
          <w:rFonts w:ascii="Times New Roman" w:hAnsi="Times New Roman"/>
          <w:lang w:val="lv-LV"/>
        </w:rPr>
        <w:t xml:space="preserve">arī novērojama vāja publiskā infrastruktūra, kā rezultātā var rasties sociāli izolētas teritorijas, kur apvienota materiālā nabadzība, zema ekonomiskā aktivitāte, noziedzība un citas sociālas problēmas. </w:t>
      </w:r>
    </w:p>
    <w:p w:rsidR="007419A3" w:rsidRPr="00714469" w:rsidRDefault="004812E0" w:rsidP="00E302F6">
      <w:pPr>
        <w:spacing w:before="120" w:line="240" w:lineRule="auto"/>
        <w:rPr>
          <w:rFonts w:ascii="Times New Roman" w:hAnsi="Times New Roman"/>
          <w:lang w:val="lv-LV"/>
        </w:rPr>
      </w:pPr>
      <w:r w:rsidRPr="00714469">
        <w:rPr>
          <w:rFonts w:ascii="Times New Roman" w:hAnsi="Times New Roman"/>
          <w:lang w:val="lv-LV"/>
        </w:rPr>
        <w:t xml:space="preserve">Tā kā Programmas teritorijā novērojamas gan ar </w:t>
      </w:r>
      <w:r w:rsidR="00D97C02" w:rsidRPr="00714469">
        <w:rPr>
          <w:rFonts w:ascii="Times New Roman" w:hAnsi="Times New Roman"/>
          <w:lang w:val="lv-LV"/>
        </w:rPr>
        <w:t>materiālo</w:t>
      </w:r>
      <w:r w:rsidRPr="00714469">
        <w:rPr>
          <w:rFonts w:ascii="Times New Roman" w:hAnsi="Times New Roman"/>
          <w:lang w:val="lv-LV"/>
        </w:rPr>
        <w:t xml:space="preserve">, gan sociālo atstumtību saistītas problēmas, Programmas mērķis ir turpināt atbalstīt sociālās </w:t>
      </w:r>
      <w:r w:rsidR="008512BE" w:rsidRPr="00714469">
        <w:rPr>
          <w:rFonts w:ascii="Times New Roman" w:hAnsi="Times New Roman"/>
          <w:lang w:val="lv-LV"/>
        </w:rPr>
        <w:t xml:space="preserve">iekļaušanas </w:t>
      </w:r>
      <w:r w:rsidRPr="00714469">
        <w:rPr>
          <w:rFonts w:ascii="Times New Roman" w:hAnsi="Times New Roman"/>
          <w:lang w:val="lv-LV"/>
        </w:rPr>
        <w:t>darbības un mazās infrastruktūras uzlabošanu, lai uzlabotu dzīves aps</w:t>
      </w:r>
      <w:r w:rsidR="00B077A2" w:rsidRPr="00714469">
        <w:rPr>
          <w:rFonts w:ascii="Times New Roman" w:hAnsi="Times New Roman"/>
          <w:lang w:val="lv-LV"/>
        </w:rPr>
        <w:t>tākļus pašvaldībās un samazinātu</w:t>
      </w:r>
      <w:r w:rsidRPr="00714469">
        <w:rPr>
          <w:rFonts w:ascii="Times New Roman" w:hAnsi="Times New Roman"/>
          <w:lang w:val="lv-LV"/>
        </w:rPr>
        <w:t xml:space="preserve"> to </w:t>
      </w:r>
      <w:r w:rsidR="002C2D75" w:rsidRPr="00714469">
        <w:rPr>
          <w:rFonts w:ascii="Times New Roman" w:hAnsi="Times New Roman"/>
          <w:lang w:val="lv-LV"/>
        </w:rPr>
        <w:t>iedzīvotāju</w:t>
      </w:r>
      <w:r w:rsidRPr="00714469">
        <w:rPr>
          <w:rFonts w:ascii="Times New Roman" w:hAnsi="Times New Roman"/>
          <w:lang w:val="lv-LV"/>
        </w:rPr>
        <w:t xml:space="preserve"> skaitu, kas saskaras ar dažādiem sociālās un materiālās </w:t>
      </w:r>
      <w:r w:rsidR="002C2D75" w:rsidRPr="00714469">
        <w:rPr>
          <w:rFonts w:ascii="Times New Roman" w:hAnsi="Times New Roman"/>
          <w:lang w:val="lv-LV"/>
        </w:rPr>
        <w:t>nenodrošinātības</w:t>
      </w:r>
      <w:r w:rsidRPr="00714469">
        <w:rPr>
          <w:rFonts w:ascii="Times New Roman" w:hAnsi="Times New Roman"/>
          <w:lang w:val="lv-LV"/>
        </w:rPr>
        <w:t xml:space="preserve"> aspektiem. </w:t>
      </w:r>
      <w:r w:rsidR="002C2D75" w:rsidRPr="00714469">
        <w:rPr>
          <w:rFonts w:ascii="Times New Roman" w:hAnsi="Times New Roman"/>
          <w:lang w:val="lv-LV"/>
        </w:rPr>
        <w:t>Pārrobežu sadarbība plānota</w:t>
      </w:r>
      <w:r w:rsidRPr="00714469">
        <w:rPr>
          <w:rFonts w:ascii="Times New Roman" w:hAnsi="Times New Roman"/>
          <w:lang w:val="lv-LV"/>
        </w:rPr>
        <w:t xml:space="preserve"> </w:t>
      </w:r>
      <w:r w:rsidR="002C2D75" w:rsidRPr="00714469">
        <w:rPr>
          <w:rFonts w:ascii="Times New Roman" w:hAnsi="Times New Roman"/>
          <w:lang w:val="lv-LV"/>
        </w:rPr>
        <w:t>pilsētu un lauku teritorijās</w:t>
      </w:r>
      <w:r w:rsidRPr="00714469">
        <w:rPr>
          <w:rFonts w:ascii="Times New Roman" w:hAnsi="Times New Roman"/>
          <w:lang w:val="lv-LV"/>
        </w:rPr>
        <w:t xml:space="preserve">, lai izvairītos no turpmākām ar </w:t>
      </w:r>
      <w:r w:rsidR="00D97C02" w:rsidRPr="00714469">
        <w:rPr>
          <w:rFonts w:ascii="Times New Roman" w:hAnsi="Times New Roman"/>
          <w:lang w:val="lv-LV"/>
        </w:rPr>
        <w:t xml:space="preserve">materiālo un sociālo atstumtību </w:t>
      </w:r>
      <w:r w:rsidRPr="00714469">
        <w:rPr>
          <w:rFonts w:ascii="Times New Roman" w:hAnsi="Times New Roman"/>
          <w:lang w:val="lv-LV"/>
        </w:rPr>
        <w:t>saistītām problēmām, rosinātu sociālo līdzdalību un uzlabotu publisko infrastruktūru.</w:t>
      </w:r>
    </w:p>
    <w:p w:rsidR="00D115F2" w:rsidRPr="00714469" w:rsidRDefault="004812E0" w:rsidP="00E302F6">
      <w:pPr>
        <w:spacing w:before="120" w:line="240" w:lineRule="auto"/>
        <w:rPr>
          <w:rFonts w:ascii="Times New Roman" w:hAnsi="Times New Roman"/>
          <w:lang w:val="lv-LV"/>
        </w:rPr>
      </w:pPr>
      <w:r w:rsidRPr="00714469">
        <w:rPr>
          <w:rFonts w:ascii="Times New Roman" w:hAnsi="Times New Roman"/>
          <w:lang w:val="lv-LV"/>
        </w:rPr>
        <w:t>Īstenojot neliela mēroga pārrobežu sadarbības aktivitātes, iespējams palīdzēt vietējām pašvaldībām dalīties pieredzē sociāl</w:t>
      </w:r>
      <w:r w:rsidR="00D97C02" w:rsidRPr="00714469">
        <w:rPr>
          <w:rFonts w:ascii="Times New Roman" w:hAnsi="Times New Roman"/>
          <w:lang w:val="lv-LV"/>
        </w:rPr>
        <w:t>o</w:t>
      </w:r>
      <w:r w:rsidRPr="00714469">
        <w:rPr>
          <w:rFonts w:ascii="Times New Roman" w:hAnsi="Times New Roman"/>
          <w:lang w:val="lv-LV"/>
        </w:rPr>
        <w:t xml:space="preserve"> problēm</w:t>
      </w:r>
      <w:r w:rsidR="00D97C02" w:rsidRPr="00714469">
        <w:rPr>
          <w:rFonts w:ascii="Times New Roman" w:hAnsi="Times New Roman"/>
          <w:lang w:val="lv-LV"/>
        </w:rPr>
        <w:t>u risināšanā</w:t>
      </w:r>
      <w:r w:rsidRPr="00714469">
        <w:rPr>
          <w:rFonts w:ascii="Times New Roman" w:hAnsi="Times New Roman"/>
          <w:lang w:val="lv-LV"/>
        </w:rPr>
        <w:t xml:space="preserve"> un </w:t>
      </w:r>
      <w:r w:rsidR="00E5668D" w:rsidRPr="00714469">
        <w:rPr>
          <w:rFonts w:ascii="Times New Roman" w:hAnsi="Times New Roman"/>
          <w:lang w:val="lv-LV"/>
        </w:rPr>
        <w:t>izveidot kontaktus izglītīb</w:t>
      </w:r>
      <w:r w:rsidR="00D97C02" w:rsidRPr="00714469">
        <w:rPr>
          <w:rFonts w:ascii="Times New Roman" w:hAnsi="Times New Roman"/>
          <w:lang w:val="lv-LV"/>
        </w:rPr>
        <w:t>as</w:t>
      </w:r>
      <w:r w:rsidR="00E5668D" w:rsidRPr="00714469">
        <w:rPr>
          <w:rFonts w:ascii="Times New Roman" w:hAnsi="Times New Roman"/>
          <w:lang w:val="lv-LV"/>
        </w:rPr>
        <w:t>, kultūr</w:t>
      </w:r>
      <w:r w:rsidR="00D97C02" w:rsidRPr="00714469">
        <w:rPr>
          <w:rFonts w:ascii="Times New Roman" w:hAnsi="Times New Roman"/>
          <w:lang w:val="lv-LV"/>
        </w:rPr>
        <w:t>as</w:t>
      </w:r>
      <w:r w:rsidR="00E5668D" w:rsidRPr="00714469">
        <w:rPr>
          <w:rFonts w:ascii="Times New Roman" w:hAnsi="Times New Roman"/>
          <w:lang w:val="lv-LV"/>
        </w:rPr>
        <w:t>, sport</w:t>
      </w:r>
      <w:r w:rsidR="00D97C02" w:rsidRPr="00714469">
        <w:rPr>
          <w:rFonts w:ascii="Times New Roman" w:hAnsi="Times New Roman"/>
          <w:lang w:val="lv-LV"/>
        </w:rPr>
        <w:t>a</w:t>
      </w:r>
      <w:r w:rsidR="00E5668D" w:rsidRPr="00714469">
        <w:rPr>
          <w:rFonts w:ascii="Times New Roman" w:hAnsi="Times New Roman"/>
          <w:lang w:val="lv-LV"/>
        </w:rPr>
        <w:t xml:space="preserve"> un </w:t>
      </w:r>
      <w:r w:rsidR="00D97C02" w:rsidRPr="00714469">
        <w:rPr>
          <w:rFonts w:ascii="Times New Roman" w:hAnsi="Times New Roman"/>
          <w:lang w:val="lv-LV"/>
        </w:rPr>
        <w:t>brīvā laika pasākumu organizēšanai</w:t>
      </w:r>
      <w:r w:rsidR="00E5668D" w:rsidRPr="00714469">
        <w:rPr>
          <w:rFonts w:ascii="Times New Roman" w:hAnsi="Times New Roman"/>
          <w:lang w:val="lv-LV"/>
        </w:rPr>
        <w:t>. Publiskās infrastruktūras uzlabošana maz</w:t>
      </w:r>
      <w:r w:rsidR="00D97C02" w:rsidRPr="00714469">
        <w:rPr>
          <w:rFonts w:ascii="Times New Roman" w:hAnsi="Times New Roman"/>
          <w:lang w:val="lv-LV"/>
        </w:rPr>
        <w:t xml:space="preserve">āk </w:t>
      </w:r>
      <w:r w:rsidR="00E5668D" w:rsidRPr="00714469">
        <w:rPr>
          <w:rFonts w:ascii="Times New Roman" w:hAnsi="Times New Roman"/>
          <w:lang w:val="lv-LV"/>
        </w:rPr>
        <w:t>attīstītajās kopienās un teritorijās, kā arī pieredzes apmaiņa infrastruktūras plānošan</w:t>
      </w:r>
      <w:r w:rsidR="00D97C02" w:rsidRPr="00714469">
        <w:rPr>
          <w:rFonts w:ascii="Times New Roman" w:hAnsi="Times New Roman"/>
          <w:lang w:val="lv-LV"/>
        </w:rPr>
        <w:t>ā</w:t>
      </w:r>
      <w:r w:rsidR="00E5668D" w:rsidRPr="00714469">
        <w:rPr>
          <w:rFonts w:ascii="Times New Roman" w:hAnsi="Times New Roman"/>
          <w:lang w:val="lv-LV"/>
        </w:rPr>
        <w:t xml:space="preserve"> var </w:t>
      </w:r>
      <w:r w:rsidR="008512BE" w:rsidRPr="00714469">
        <w:rPr>
          <w:rFonts w:ascii="Times New Roman" w:hAnsi="Times New Roman"/>
          <w:lang w:val="lv-LV"/>
        </w:rPr>
        <w:t>sekmēt</w:t>
      </w:r>
      <w:r w:rsidR="002C2D75" w:rsidRPr="00714469">
        <w:rPr>
          <w:rFonts w:ascii="Times New Roman" w:hAnsi="Times New Roman"/>
          <w:lang w:val="lv-LV"/>
        </w:rPr>
        <w:t xml:space="preserve"> kopējo</w:t>
      </w:r>
      <w:r w:rsidR="008512BE" w:rsidRPr="00714469">
        <w:rPr>
          <w:rFonts w:ascii="Times New Roman" w:hAnsi="Times New Roman"/>
          <w:lang w:val="lv-LV"/>
        </w:rPr>
        <w:t xml:space="preserve"> pašvaldību attīstību</w:t>
      </w:r>
      <w:r w:rsidR="00E5668D" w:rsidRPr="00714469">
        <w:rPr>
          <w:rFonts w:ascii="Times New Roman" w:hAnsi="Times New Roman"/>
          <w:lang w:val="lv-LV"/>
        </w:rPr>
        <w:t xml:space="preserve">. </w:t>
      </w:r>
    </w:p>
    <w:p w:rsidR="00D115F2" w:rsidRPr="00714469" w:rsidRDefault="00D115F2" w:rsidP="00E302F6">
      <w:pPr>
        <w:spacing w:before="120" w:line="240" w:lineRule="auto"/>
        <w:contextualSpacing/>
        <w:rPr>
          <w:rFonts w:ascii="Times New Roman" w:hAnsi="Times New Roman"/>
          <w:u w:val="single"/>
          <w:lang w:val="lv-LV"/>
        </w:rPr>
      </w:pPr>
    </w:p>
    <w:p w:rsidR="006157AA" w:rsidRPr="00CB2450" w:rsidRDefault="006157AA" w:rsidP="00E302F6">
      <w:pPr>
        <w:spacing w:before="120" w:line="240" w:lineRule="auto"/>
        <w:contextualSpacing/>
        <w:rPr>
          <w:rFonts w:ascii="Times New Roman" w:hAnsi="Times New Roman"/>
          <w:lang w:val="lv-LV"/>
        </w:rPr>
      </w:pPr>
      <w:r>
        <w:rPr>
          <w:rFonts w:ascii="Times New Roman" w:hAnsi="Times New Roman"/>
          <w:lang w:val="lv-LV"/>
        </w:rPr>
        <w:t>Iepriekšminētā analīze nosaka galvenos izaicinājumus attiecībā uz sociālajiem pakalpojumiem un sociālo iekļaušanu (ņ</w:t>
      </w:r>
      <w:r w:rsidRPr="00CB2450">
        <w:rPr>
          <w:rFonts w:ascii="Times New Roman" w:hAnsi="Times New Roman"/>
          <w:lang w:val="lv-LV"/>
        </w:rPr>
        <w:t>emot vērā pašreizējās vajadzības, Programmas darbības spektru un pārrobežu sadarbības potenciālu</w:t>
      </w:r>
      <w:r>
        <w:rPr>
          <w:rFonts w:ascii="Times New Roman" w:hAnsi="Times New Roman"/>
          <w:lang w:val="lv-LV"/>
        </w:rPr>
        <w:t>).</w:t>
      </w:r>
    </w:p>
    <w:p w:rsidR="007B7433" w:rsidRPr="00714469" w:rsidRDefault="007B7433" w:rsidP="00E302F6">
      <w:pPr>
        <w:spacing w:before="120" w:line="240" w:lineRule="auto"/>
        <w:contextualSpacing/>
        <w:rPr>
          <w:rFonts w:ascii="Times New Roman" w:hAnsi="Times New Roman"/>
          <w:u w:val="single"/>
          <w:lang w:val="lv-LV"/>
        </w:rPr>
      </w:pPr>
    </w:p>
    <w:p w:rsidR="007419A3" w:rsidRPr="00714469" w:rsidRDefault="002C2D75" w:rsidP="00E302F6">
      <w:pPr>
        <w:spacing w:before="120" w:line="240" w:lineRule="auto"/>
        <w:rPr>
          <w:rFonts w:ascii="Times New Roman" w:hAnsi="Times New Roman"/>
          <w:lang w:val="lv-LV"/>
        </w:rPr>
      </w:pPr>
      <w:r w:rsidRPr="00714469">
        <w:rPr>
          <w:rFonts w:ascii="Times New Roman" w:hAnsi="Times New Roman"/>
          <w:u w:val="single"/>
          <w:lang w:val="lv-LV"/>
        </w:rPr>
        <w:t>Programma plāno</w:t>
      </w:r>
      <w:r w:rsidR="00E5668D" w:rsidRPr="00714469">
        <w:rPr>
          <w:rFonts w:ascii="Times New Roman" w:hAnsi="Times New Roman"/>
          <w:u w:val="single"/>
          <w:lang w:val="lv-LV"/>
        </w:rPr>
        <w:t>:</w:t>
      </w:r>
    </w:p>
    <w:p w:rsidR="007419A3" w:rsidRPr="00714469" w:rsidRDefault="00B82046" w:rsidP="00E302F6">
      <w:pPr>
        <w:pStyle w:val="ListParagraph"/>
        <w:numPr>
          <w:ilvl w:val="0"/>
          <w:numId w:val="3"/>
        </w:numPr>
        <w:spacing w:before="120" w:line="240" w:lineRule="auto"/>
        <w:rPr>
          <w:rFonts w:ascii="Times New Roman" w:hAnsi="Times New Roman"/>
          <w:lang w:val="lv-LV"/>
        </w:rPr>
      </w:pPr>
      <w:r w:rsidRPr="00714469">
        <w:rPr>
          <w:rFonts w:ascii="Times New Roman" w:hAnsi="Times New Roman"/>
          <w:lang w:val="lv-LV"/>
        </w:rPr>
        <w:t xml:space="preserve">uzlabot pakalpojumus, kas sekmē sociāli </w:t>
      </w:r>
      <w:r w:rsidR="002C2D75" w:rsidRPr="00714469">
        <w:rPr>
          <w:rFonts w:ascii="Times New Roman" w:hAnsi="Times New Roman"/>
          <w:lang w:val="lv-LV"/>
        </w:rPr>
        <w:t>mazāk aizsargāto</w:t>
      </w:r>
      <w:r w:rsidRPr="00714469">
        <w:rPr>
          <w:rFonts w:ascii="Times New Roman" w:hAnsi="Times New Roman"/>
          <w:lang w:val="lv-LV"/>
        </w:rPr>
        <w:t xml:space="preserve"> grupu </w:t>
      </w:r>
      <w:r w:rsidR="002E417D">
        <w:rPr>
          <w:rFonts w:ascii="Times New Roman" w:hAnsi="Times New Roman"/>
          <w:lang w:val="lv-LV"/>
        </w:rPr>
        <w:t>iekļaušanu</w:t>
      </w:r>
      <w:r w:rsidRPr="00714469">
        <w:rPr>
          <w:rFonts w:ascii="Times New Roman" w:hAnsi="Times New Roman"/>
          <w:lang w:val="lv-LV"/>
        </w:rPr>
        <w:t xml:space="preserve">, ieskaitot infrastruktūras attīstību un modernizāciju; </w:t>
      </w:r>
    </w:p>
    <w:p w:rsidR="00D115F2" w:rsidRPr="00714469" w:rsidRDefault="00B82046" w:rsidP="00E302F6">
      <w:pPr>
        <w:pStyle w:val="ListParagraph"/>
        <w:numPr>
          <w:ilvl w:val="0"/>
          <w:numId w:val="3"/>
        </w:numPr>
        <w:spacing w:before="120" w:line="240" w:lineRule="auto"/>
        <w:rPr>
          <w:rFonts w:ascii="Times New Roman" w:hAnsi="Times New Roman"/>
          <w:lang w:val="lv-LV"/>
        </w:rPr>
      </w:pPr>
      <w:r w:rsidRPr="00714469">
        <w:rPr>
          <w:rFonts w:ascii="Times New Roman" w:hAnsi="Times New Roman"/>
          <w:lang w:val="lv-LV"/>
        </w:rPr>
        <w:t>spēcināt vietējās kopienas Programmas teritorijā, īstenojot neliela mēroga sociālo sadarbību un uzlabojot vietējo infrastruktūru, lai samazinātu sociālās atstumtības riskus.</w:t>
      </w:r>
    </w:p>
    <w:p w:rsidR="00D115F2" w:rsidRPr="00714469" w:rsidRDefault="00714469" w:rsidP="00E302F6">
      <w:pPr>
        <w:tabs>
          <w:tab w:val="left" w:pos="2385"/>
        </w:tabs>
        <w:spacing w:before="120" w:line="240" w:lineRule="auto"/>
        <w:jc w:val="left"/>
        <w:rPr>
          <w:rFonts w:ascii="Times New Roman" w:hAnsi="Times New Roman"/>
          <w:b/>
          <w:lang w:val="lv-LV"/>
        </w:rPr>
      </w:pPr>
      <w:r>
        <w:rPr>
          <w:rFonts w:ascii="Times New Roman" w:hAnsi="Times New Roman"/>
          <w:b/>
          <w:lang w:val="lv-LV"/>
        </w:rPr>
        <w:tab/>
      </w:r>
    </w:p>
    <w:p w:rsidR="00D115F2" w:rsidRPr="00714469" w:rsidRDefault="00216AFC" w:rsidP="00E302F6">
      <w:pPr>
        <w:pStyle w:val="ListParagraph"/>
        <w:numPr>
          <w:ilvl w:val="2"/>
          <w:numId w:val="4"/>
        </w:numPr>
        <w:spacing w:before="120" w:line="240" w:lineRule="auto"/>
        <w:rPr>
          <w:rFonts w:ascii="Times New Roman" w:hAnsi="Times New Roman"/>
          <w:b/>
          <w:lang w:val="lv-LV"/>
        </w:rPr>
      </w:pPr>
      <w:r w:rsidRPr="00714469">
        <w:rPr>
          <w:rFonts w:ascii="Times New Roman" w:hAnsi="Times New Roman"/>
          <w:b/>
          <w:lang w:val="lv-LV"/>
        </w:rPr>
        <w:t>Publiskie pakalpojumi</w:t>
      </w:r>
      <w:r w:rsidR="00D115F2" w:rsidRPr="00714469">
        <w:rPr>
          <w:rFonts w:ascii="Times New Roman" w:hAnsi="Times New Roman"/>
          <w:b/>
          <w:lang w:val="lv-LV"/>
        </w:rPr>
        <w:t xml:space="preserve"> </w:t>
      </w:r>
    </w:p>
    <w:p w:rsidR="00D115F2" w:rsidRPr="00714469" w:rsidRDefault="00216AFC" w:rsidP="00E302F6">
      <w:pPr>
        <w:spacing w:before="120" w:line="240" w:lineRule="auto"/>
        <w:rPr>
          <w:rFonts w:ascii="Times New Roman" w:hAnsi="Times New Roman"/>
          <w:lang w:val="lv-LV"/>
        </w:rPr>
      </w:pPr>
      <w:r w:rsidRPr="00714469">
        <w:rPr>
          <w:rFonts w:ascii="Times New Roman" w:hAnsi="Times New Roman"/>
          <w:lang w:val="lv-LV"/>
        </w:rPr>
        <w:t xml:space="preserve">Programmas reģionus raksturo </w:t>
      </w:r>
      <w:r w:rsidR="007E34DA" w:rsidRPr="00714469">
        <w:rPr>
          <w:rFonts w:ascii="Times New Roman" w:hAnsi="Times New Roman"/>
          <w:lang w:val="lv-LV"/>
        </w:rPr>
        <w:t xml:space="preserve">neliels attālums starp pilsētām un pašvaldībām abpus robežām (attālums no Klaipēdas līdz Liepājai – 97 km, no Jelgavas līdz Šauļiem – 87 km, no Daugavpils līdz Utenai – 78 km u.t.t.). Pārrobežu sadarbības ietvaros </w:t>
      </w:r>
      <w:r w:rsidR="002C2D75" w:rsidRPr="00714469">
        <w:rPr>
          <w:rFonts w:ascii="Times New Roman" w:hAnsi="Times New Roman"/>
          <w:lang w:val="lv-LV"/>
        </w:rPr>
        <w:t>tiek</w:t>
      </w:r>
      <w:r w:rsidR="007E34DA" w:rsidRPr="00714469">
        <w:rPr>
          <w:rFonts w:ascii="Times New Roman" w:hAnsi="Times New Roman"/>
          <w:lang w:val="lv-LV"/>
        </w:rPr>
        <w:t xml:space="preserve"> plānots apkarot pārrobežu </w:t>
      </w:r>
      <w:r w:rsidR="00820A61" w:rsidRPr="00714469">
        <w:rPr>
          <w:rFonts w:ascii="Times New Roman" w:hAnsi="Times New Roman"/>
          <w:lang w:val="lv-LV"/>
        </w:rPr>
        <w:t>noziedzību</w:t>
      </w:r>
      <w:r w:rsidR="007E34DA" w:rsidRPr="00714469">
        <w:rPr>
          <w:rFonts w:ascii="Times New Roman" w:hAnsi="Times New Roman"/>
          <w:lang w:val="lv-LV"/>
        </w:rPr>
        <w:t xml:space="preserve">, </w:t>
      </w:r>
      <w:r w:rsidR="008512BE" w:rsidRPr="00714469">
        <w:rPr>
          <w:rFonts w:ascii="Times New Roman" w:hAnsi="Times New Roman"/>
          <w:lang w:val="lv-LV"/>
        </w:rPr>
        <w:t xml:space="preserve">kā arī veicināt sabiedrisko </w:t>
      </w:r>
      <w:r w:rsidR="007E34DA" w:rsidRPr="00714469">
        <w:rPr>
          <w:rFonts w:ascii="Times New Roman" w:hAnsi="Times New Roman"/>
          <w:lang w:val="lv-LV"/>
        </w:rPr>
        <w:t>drošīb</w:t>
      </w:r>
      <w:r w:rsidR="008512BE" w:rsidRPr="00714469">
        <w:rPr>
          <w:rFonts w:ascii="Times New Roman" w:hAnsi="Times New Roman"/>
          <w:lang w:val="lv-LV"/>
        </w:rPr>
        <w:t>u</w:t>
      </w:r>
      <w:r w:rsidR="007E34DA" w:rsidRPr="00714469">
        <w:rPr>
          <w:rFonts w:ascii="Times New Roman" w:hAnsi="Times New Roman"/>
          <w:lang w:val="lv-LV"/>
        </w:rPr>
        <w:t xml:space="preserve">. </w:t>
      </w:r>
    </w:p>
    <w:p w:rsidR="00D115F2" w:rsidRPr="00714469" w:rsidRDefault="007E34DA" w:rsidP="00E302F6">
      <w:pPr>
        <w:spacing w:before="120" w:line="240" w:lineRule="auto"/>
        <w:rPr>
          <w:rFonts w:ascii="Times New Roman" w:hAnsi="Times New Roman"/>
          <w:lang w:val="lv-LV"/>
        </w:rPr>
      </w:pPr>
      <w:r w:rsidRPr="00714469">
        <w:rPr>
          <w:rFonts w:ascii="Times New Roman" w:hAnsi="Times New Roman"/>
          <w:lang w:val="lv-LV"/>
        </w:rPr>
        <w:t>2006. gadā Latvijas un Lietuvas valdība parakstīja „</w:t>
      </w:r>
      <w:r w:rsidR="008512BE" w:rsidRPr="00714469">
        <w:rPr>
          <w:rFonts w:ascii="Times New Roman" w:hAnsi="Times New Roman"/>
          <w:lang w:val="lv-LV"/>
        </w:rPr>
        <w:t xml:space="preserve">Līgumu par sadarbību organizētās noziedzības un citu noziedzīgu nodarījumu apkarošanā un kopīgām darbībām pierobežas </w:t>
      </w:r>
      <w:r w:rsidR="008512BE" w:rsidRPr="00714469">
        <w:rPr>
          <w:rFonts w:ascii="Times New Roman" w:hAnsi="Times New Roman"/>
          <w:lang w:val="lv-LV"/>
        </w:rPr>
        <w:lastRenderedPageBreak/>
        <w:t>apgabalos</w:t>
      </w:r>
      <w:r w:rsidRPr="00714469">
        <w:rPr>
          <w:rFonts w:ascii="Times New Roman" w:hAnsi="Times New Roman"/>
          <w:lang w:val="lv-LV"/>
        </w:rPr>
        <w:t>”</w:t>
      </w:r>
      <w:r w:rsidR="008512BE" w:rsidRPr="00714469">
        <w:rPr>
          <w:rFonts w:ascii="Times New Roman" w:hAnsi="Times New Roman"/>
          <w:lang w:val="lv-LV"/>
        </w:rPr>
        <w:t xml:space="preserve">, radot </w:t>
      </w:r>
      <w:r w:rsidR="001E6CBE" w:rsidRPr="00714469">
        <w:rPr>
          <w:rFonts w:ascii="Times New Roman" w:hAnsi="Times New Roman"/>
          <w:lang w:val="lv-LV"/>
        </w:rPr>
        <w:t>juridisk</w:t>
      </w:r>
      <w:r w:rsidR="002C2D75" w:rsidRPr="00714469">
        <w:rPr>
          <w:rFonts w:ascii="Times New Roman" w:hAnsi="Times New Roman"/>
          <w:lang w:val="lv-LV"/>
        </w:rPr>
        <w:t>o</w:t>
      </w:r>
      <w:r w:rsidR="001E6CBE" w:rsidRPr="00714469">
        <w:rPr>
          <w:rFonts w:ascii="Times New Roman" w:hAnsi="Times New Roman"/>
          <w:lang w:val="lv-LV"/>
        </w:rPr>
        <w:t xml:space="preserve"> pamat</w:t>
      </w:r>
      <w:r w:rsidR="008512BE" w:rsidRPr="00714469">
        <w:rPr>
          <w:rFonts w:ascii="Times New Roman" w:hAnsi="Times New Roman"/>
          <w:lang w:val="lv-LV"/>
        </w:rPr>
        <w:t>u</w:t>
      </w:r>
      <w:r w:rsidR="001E6CBE" w:rsidRPr="00714469">
        <w:rPr>
          <w:rFonts w:ascii="Times New Roman" w:hAnsi="Times New Roman"/>
          <w:lang w:val="lv-LV"/>
        </w:rPr>
        <w:t xml:space="preserve"> sadarbīb</w:t>
      </w:r>
      <w:r w:rsidR="008512BE" w:rsidRPr="00714469">
        <w:rPr>
          <w:rFonts w:ascii="Times New Roman" w:hAnsi="Times New Roman"/>
          <w:lang w:val="lv-LV"/>
        </w:rPr>
        <w:t>ai</w:t>
      </w:r>
      <w:r w:rsidR="001E6CBE" w:rsidRPr="00714469">
        <w:rPr>
          <w:rFonts w:ascii="Times New Roman" w:hAnsi="Times New Roman"/>
          <w:lang w:val="lv-LV"/>
        </w:rPr>
        <w:t>, kas vērsta uz aizsardzību un civilās drošības nodrošināšanu.</w:t>
      </w:r>
      <w:r w:rsidRPr="00714469">
        <w:rPr>
          <w:rFonts w:ascii="Times New Roman" w:hAnsi="Times New Roman"/>
          <w:lang w:val="lv-LV"/>
        </w:rPr>
        <w:t xml:space="preserve"> </w:t>
      </w:r>
    </w:p>
    <w:p w:rsidR="00D115F2" w:rsidRPr="00714469" w:rsidRDefault="00820A61" w:rsidP="00E302F6">
      <w:pPr>
        <w:spacing w:before="120" w:line="240" w:lineRule="auto"/>
        <w:rPr>
          <w:rFonts w:ascii="Times New Roman" w:hAnsi="Times New Roman"/>
          <w:lang w:val="lv-LV"/>
        </w:rPr>
      </w:pPr>
      <w:r w:rsidRPr="00714469">
        <w:rPr>
          <w:rFonts w:ascii="Times New Roman" w:hAnsi="Times New Roman"/>
          <w:lang w:val="lv-LV"/>
        </w:rPr>
        <w:t xml:space="preserve">Pārrobežu noziedzība rada aizvien vairāk bažu </w:t>
      </w:r>
      <w:r w:rsidR="008512BE" w:rsidRPr="00714469">
        <w:rPr>
          <w:rFonts w:ascii="Times New Roman" w:hAnsi="Times New Roman"/>
          <w:lang w:val="lv-LV"/>
        </w:rPr>
        <w:t xml:space="preserve">gan </w:t>
      </w:r>
      <w:r w:rsidRPr="00714469">
        <w:rPr>
          <w:rFonts w:ascii="Times New Roman" w:hAnsi="Times New Roman"/>
          <w:lang w:val="lv-LV"/>
        </w:rPr>
        <w:t>ES</w:t>
      </w:r>
      <w:r w:rsidR="008512BE" w:rsidRPr="00714469">
        <w:rPr>
          <w:rFonts w:ascii="Times New Roman" w:hAnsi="Times New Roman"/>
          <w:lang w:val="lv-LV"/>
        </w:rPr>
        <w:t xml:space="preserve"> līmenī</w:t>
      </w:r>
      <w:r w:rsidRPr="00714469">
        <w:rPr>
          <w:rFonts w:ascii="Times New Roman" w:hAnsi="Times New Roman"/>
          <w:lang w:val="lv-LV"/>
        </w:rPr>
        <w:t>,</w:t>
      </w:r>
      <w:r w:rsidR="008512BE" w:rsidRPr="00714469">
        <w:rPr>
          <w:rFonts w:ascii="Times New Roman" w:hAnsi="Times New Roman"/>
          <w:lang w:val="lv-LV"/>
        </w:rPr>
        <w:t xml:space="preserve"> gan </w:t>
      </w:r>
      <w:r w:rsidRPr="00714469">
        <w:rPr>
          <w:rFonts w:ascii="Times New Roman" w:hAnsi="Times New Roman"/>
          <w:lang w:val="lv-LV"/>
        </w:rPr>
        <w:t>Programmas teritorij</w:t>
      </w:r>
      <w:r w:rsidR="008512BE" w:rsidRPr="00714469">
        <w:rPr>
          <w:rFonts w:ascii="Times New Roman" w:hAnsi="Times New Roman"/>
          <w:lang w:val="lv-LV"/>
        </w:rPr>
        <w:t>ā</w:t>
      </w:r>
      <w:r w:rsidRPr="00714469">
        <w:rPr>
          <w:rFonts w:ascii="Times New Roman" w:hAnsi="Times New Roman"/>
          <w:lang w:val="lv-LV"/>
        </w:rPr>
        <w:t>. Ņemot vērā to, ka</w:t>
      </w:r>
      <w:r w:rsidR="008512BE" w:rsidRPr="00714469">
        <w:rPr>
          <w:rFonts w:ascii="Times New Roman" w:hAnsi="Times New Roman"/>
          <w:lang w:val="lv-LV"/>
        </w:rPr>
        <w:t xml:space="preserve"> pastāv</w:t>
      </w:r>
      <w:r w:rsidRPr="00714469">
        <w:rPr>
          <w:rFonts w:ascii="Times New Roman" w:hAnsi="Times New Roman"/>
          <w:lang w:val="lv-LV"/>
        </w:rPr>
        <w:t xml:space="preserve"> nepieciešamie juridiskie priekšnoteikumi, Programmas ietvaros </w:t>
      </w:r>
      <w:r w:rsidR="00176A63" w:rsidRPr="00714469">
        <w:rPr>
          <w:rFonts w:ascii="Times New Roman" w:hAnsi="Times New Roman"/>
          <w:lang w:val="lv-LV"/>
        </w:rPr>
        <w:t xml:space="preserve">ir </w:t>
      </w:r>
      <w:r w:rsidRPr="00714469">
        <w:rPr>
          <w:rFonts w:ascii="Times New Roman" w:hAnsi="Times New Roman"/>
          <w:lang w:val="lv-LV"/>
        </w:rPr>
        <w:t xml:space="preserve">plānots atbalstīt darbības pārrobežu </w:t>
      </w:r>
      <w:r w:rsidR="008512BE" w:rsidRPr="00714469">
        <w:rPr>
          <w:rFonts w:ascii="Times New Roman" w:hAnsi="Times New Roman"/>
          <w:lang w:val="lv-LV"/>
        </w:rPr>
        <w:t xml:space="preserve">noziedzības prevencijai </w:t>
      </w:r>
      <w:r w:rsidRPr="00714469">
        <w:rPr>
          <w:rFonts w:ascii="Times New Roman" w:hAnsi="Times New Roman"/>
          <w:lang w:val="lv-LV"/>
        </w:rPr>
        <w:t xml:space="preserve">un </w:t>
      </w:r>
      <w:r w:rsidR="008512BE" w:rsidRPr="00714469">
        <w:rPr>
          <w:rFonts w:ascii="Times New Roman" w:hAnsi="Times New Roman"/>
          <w:lang w:val="lv-LV"/>
        </w:rPr>
        <w:t xml:space="preserve">cīņai </w:t>
      </w:r>
      <w:r w:rsidRPr="00714469">
        <w:rPr>
          <w:rFonts w:ascii="Times New Roman" w:hAnsi="Times New Roman"/>
          <w:lang w:val="lv-LV"/>
        </w:rPr>
        <w:t xml:space="preserve">pret to, kā arī </w:t>
      </w:r>
      <w:r w:rsidR="00F15EF5" w:rsidRPr="00714469">
        <w:rPr>
          <w:rFonts w:ascii="Times New Roman" w:hAnsi="Times New Roman"/>
          <w:lang w:val="lv-LV"/>
        </w:rPr>
        <w:t>uzlabot</w:t>
      </w:r>
      <w:r w:rsidRPr="00714469">
        <w:rPr>
          <w:rFonts w:ascii="Times New Roman" w:hAnsi="Times New Roman"/>
          <w:lang w:val="lv-LV"/>
        </w:rPr>
        <w:t xml:space="preserve"> </w:t>
      </w:r>
      <w:r w:rsidR="008512BE" w:rsidRPr="00714469">
        <w:rPr>
          <w:rFonts w:ascii="Times New Roman" w:hAnsi="Times New Roman"/>
          <w:lang w:val="lv-LV"/>
        </w:rPr>
        <w:t xml:space="preserve">sabiedrības </w:t>
      </w:r>
      <w:r w:rsidRPr="00714469">
        <w:rPr>
          <w:rFonts w:ascii="Times New Roman" w:hAnsi="Times New Roman"/>
          <w:lang w:val="lv-LV"/>
        </w:rPr>
        <w:t xml:space="preserve">drošību Programmas teritorijā. Pārrobežu sadarbības rezultātā </w:t>
      </w:r>
      <w:r w:rsidR="00B81015" w:rsidRPr="00714469">
        <w:rPr>
          <w:rFonts w:ascii="Times New Roman" w:hAnsi="Times New Roman"/>
          <w:lang w:val="lv-LV"/>
        </w:rPr>
        <w:t xml:space="preserve">ir </w:t>
      </w:r>
      <w:r w:rsidRPr="00714469">
        <w:rPr>
          <w:rFonts w:ascii="Times New Roman" w:hAnsi="Times New Roman"/>
          <w:lang w:val="lv-LV"/>
        </w:rPr>
        <w:t>iespējams uzlabot sistēmu saskaņotību, lai nodrošinātu publisko drošību</w:t>
      </w:r>
      <w:r w:rsidR="008512BE" w:rsidRPr="00714469">
        <w:rPr>
          <w:rFonts w:ascii="Times New Roman" w:hAnsi="Times New Roman"/>
          <w:lang w:val="lv-LV"/>
        </w:rPr>
        <w:t>, kā arī i</w:t>
      </w:r>
      <w:r w:rsidRPr="00714469">
        <w:rPr>
          <w:rFonts w:ascii="Times New Roman" w:hAnsi="Times New Roman"/>
          <w:lang w:val="lv-LV"/>
        </w:rPr>
        <w:t xml:space="preserve">espējams efektīvāk īstenot ar noziedzības apkarošanu saistītās darbības. </w:t>
      </w:r>
      <w:r w:rsidR="00434BF5" w:rsidRPr="00714469">
        <w:rPr>
          <w:rFonts w:ascii="Times New Roman" w:hAnsi="Times New Roman"/>
          <w:lang w:val="lv-LV"/>
        </w:rPr>
        <w:t xml:space="preserve">Ir jāstiprina </w:t>
      </w:r>
      <w:r w:rsidRPr="00714469">
        <w:rPr>
          <w:rFonts w:ascii="Times New Roman" w:hAnsi="Times New Roman"/>
          <w:lang w:val="lv-LV"/>
        </w:rPr>
        <w:t>sadarbība starp kompetentajām institūcijām</w:t>
      </w:r>
      <w:r w:rsidR="00434BF5" w:rsidRPr="00714469">
        <w:rPr>
          <w:rFonts w:ascii="Times New Roman" w:hAnsi="Times New Roman"/>
          <w:lang w:val="lv-LV"/>
        </w:rPr>
        <w:t>, jo abpus robežai pastāv</w:t>
      </w:r>
      <w:r w:rsidRPr="00714469">
        <w:rPr>
          <w:rFonts w:ascii="Times New Roman" w:hAnsi="Times New Roman"/>
          <w:lang w:val="lv-LV"/>
        </w:rPr>
        <w:t xml:space="preserve"> dažād</w:t>
      </w:r>
      <w:r w:rsidR="00434BF5" w:rsidRPr="00714469">
        <w:rPr>
          <w:rFonts w:ascii="Times New Roman" w:hAnsi="Times New Roman"/>
          <w:lang w:val="lv-LV"/>
        </w:rPr>
        <w:t>i</w:t>
      </w:r>
      <w:r w:rsidRPr="00714469">
        <w:rPr>
          <w:rFonts w:ascii="Times New Roman" w:hAnsi="Times New Roman"/>
          <w:lang w:val="lv-LV"/>
        </w:rPr>
        <w:t xml:space="preserve"> juridisk</w:t>
      </w:r>
      <w:r w:rsidR="00434BF5" w:rsidRPr="00714469">
        <w:rPr>
          <w:rFonts w:ascii="Times New Roman" w:hAnsi="Times New Roman"/>
          <w:lang w:val="lv-LV"/>
        </w:rPr>
        <w:t xml:space="preserve">ie </w:t>
      </w:r>
      <w:r w:rsidRPr="00714469">
        <w:rPr>
          <w:rFonts w:ascii="Times New Roman" w:hAnsi="Times New Roman"/>
          <w:lang w:val="lv-LV"/>
        </w:rPr>
        <w:t>un praktisk</w:t>
      </w:r>
      <w:r w:rsidR="00434BF5" w:rsidRPr="00714469">
        <w:rPr>
          <w:rFonts w:ascii="Times New Roman" w:hAnsi="Times New Roman"/>
          <w:lang w:val="lv-LV"/>
        </w:rPr>
        <w:t>ie apstākļi.</w:t>
      </w:r>
      <w:r w:rsidRPr="00714469">
        <w:rPr>
          <w:rFonts w:ascii="Times New Roman" w:hAnsi="Times New Roman"/>
          <w:lang w:val="lv-LV"/>
        </w:rPr>
        <w:t xml:space="preserve"> </w:t>
      </w:r>
      <w:r w:rsidR="00D115F2" w:rsidRPr="00714469">
        <w:rPr>
          <w:rFonts w:ascii="Times New Roman" w:hAnsi="Times New Roman"/>
          <w:lang w:val="lv-LV"/>
        </w:rPr>
        <w:t xml:space="preserve">  </w:t>
      </w:r>
    </w:p>
    <w:p w:rsidR="007419A3" w:rsidRPr="00714469" w:rsidRDefault="002F496D" w:rsidP="00E302F6">
      <w:pPr>
        <w:spacing w:before="120" w:line="240" w:lineRule="auto"/>
        <w:rPr>
          <w:rFonts w:ascii="Times New Roman" w:hAnsi="Times New Roman"/>
          <w:lang w:val="lv-LV"/>
        </w:rPr>
      </w:pPr>
      <w:r w:rsidRPr="00714469">
        <w:rPr>
          <w:rFonts w:ascii="Times New Roman" w:hAnsi="Times New Roman"/>
          <w:lang w:val="lv-LV"/>
        </w:rPr>
        <w:t>Reģionus daudz negatīvāk</w:t>
      </w:r>
      <w:r w:rsidR="002C2D75" w:rsidRPr="00714469">
        <w:rPr>
          <w:rFonts w:ascii="Times New Roman" w:hAnsi="Times New Roman"/>
          <w:lang w:val="lv-LV"/>
        </w:rPr>
        <w:t xml:space="preserve"> </w:t>
      </w:r>
      <w:r w:rsidR="00B81015" w:rsidRPr="00714469">
        <w:rPr>
          <w:rFonts w:ascii="Times New Roman" w:hAnsi="Times New Roman"/>
          <w:lang w:val="lv-LV"/>
        </w:rPr>
        <w:t>ne</w:t>
      </w:r>
      <w:r w:rsidR="008659B9" w:rsidRPr="00714469">
        <w:rPr>
          <w:rFonts w:ascii="Times New Roman" w:hAnsi="Times New Roman"/>
          <w:lang w:val="lv-LV"/>
        </w:rPr>
        <w:t>kā galvas</w:t>
      </w:r>
      <w:r w:rsidR="006849E2" w:rsidRPr="00714469">
        <w:rPr>
          <w:rFonts w:ascii="Times New Roman" w:hAnsi="Times New Roman"/>
          <w:lang w:val="lv-LV"/>
        </w:rPr>
        <w:t xml:space="preserve">pilsētas </w:t>
      </w:r>
      <w:r w:rsidR="008659B9" w:rsidRPr="00714469">
        <w:rPr>
          <w:rFonts w:ascii="Times New Roman" w:hAnsi="Times New Roman"/>
          <w:lang w:val="lv-LV"/>
        </w:rPr>
        <w:t xml:space="preserve">ietekmē </w:t>
      </w:r>
      <w:r w:rsidR="006849E2" w:rsidRPr="00714469">
        <w:rPr>
          <w:rFonts w:ascii="Times New Roman" w:hAnsi="Times New Roman"/>
          <w:lang w:val="lv-LV"/>
        </w:rPr>
        <w:t xml:space="preserve">iedzīvotāju skaita samazināšanās, </w:t>
      </w:r>
      <w:r w:rsidR="00434BF5" w:rsidRPr="00714469">
        <w:rPr>
          <w:rFonts w:ascii="Times New Roman" w:hAnsi="Times New Roman"/>
          <w:lang w:val="lv-LV"/>
        </w:rPr>
        <w:t xml:space="preserve">to salīdzinoši </w:t>
      </w:r>
      <w:r w:rsidR="006849E2" w:rsidRPr="00714469">
        <w:rPr>
          <w:rFonts w:ascii="Times New Roman" w:hAnsi="Times New Roman"/>
          <w:lang w:val="lv-LV"/>
        </w:rPr>
        <w:t>vājā</w:t>
      </w:r>
      <w:r w:rsidR="00434BF5" w:rsidRPr="00714469">
        <w:rPr>
          <w:rFonts w:ascii="Times New Roman" w:hAnsi="Times New Roman"/>
          <w:lang w:val="lv-LV"/>
        </w:rPr>
        <w:t>kās</w:t>
      </w:r>
      <w:r w:rsidR="006849E2" w:rsidRPr="00714469">
        <w:rPr>
          <w:rFonts w:ascii="Times New Roman" w:hAnsi="Times New Roman"/>
          <w:lang w:val="lv-LV"/>
        </w:rPr>
        <w:t xml:space="preserve"> infrastruktūra</w:t>
      </w:r>
      <w:r w:rsidR="002C2D75" w:rsidRPr="00714469">
        <w:rPr>
          <w:rFonts w:ascii="Times New Roman" w:hAnsi="Times New Roman"/>
          <w:lang w:val="lv-LV"/>
        </w:rPr>
        <w:t>s</w:t>
      </w:r>
      <w:r w:rsidR="006849E2" w:rsidRPr="00714469">
        <w:rPr>
          <w:rFonts w:ascii="Times New Roman" w:hAnsi="Times New Roman"/>
          <w:lang w:val="lv-LV"/>
        </w:rPr>
        <w:t xml:space="preserve"> un zem</w:t>
      </w:r>
      <w:r w:rsidR="00434BF5" w:rsidRPr="00714469">
        <w:rPr>
          <w:rFonts w:ascii="Times New Roman" w:hAnsi="Times New Roman"/>
          <w:lang w:val="lv-LV"/>
        </w:rPr>
        <w:t>āka</w:t>
      </w:r>
      <w:r w:rsidR="006849E2" w:rsidRPr="00714469">
        <w:rPr>
          <w:rFonts w:ascii="Times New Roman" w:hAnsi="Times New Roman"/>
          <w:lang w:val="lv-LV"/>
        </w:rPr>
        <w:t xml:space="preserve"> </w:t>
      </w:r>
      <w:r w:rsidR="00434BF5" w:rsidRPr="00714469">
        <w:rPr>
          <w:rFonts w:ascii="Times New Roman" w:hAnsi="Times New Roman"/>
          <w:lang w:val="lv-LV"/>
        </w:rPr>
        <w:t xml:space="preserve">iedzīvotāju </w:t>
      </w:r>
      <w:r w:rsidR="006849E2" w:rsidRPr="00714469">
        <w:rPr>
          <w:rFonts w:ascii="Times New Roman" w:hAnsi="Times New Roman"/>
          <w:lang w:val="lv-LV"/>
        </w:rPr>
        <w:t>blīvum</w:t>
      </w:r>
      <w:r w:rsidR="00434BF5" w:rsidRPr="00714469">
        <w:rPr>
          <w:rFonts w:ascii="Times New Roman" w:hAnsi="Times New Roman"/>
          <w:lang w:val="lv-LV"/>
        </w:rPr>
        <w:t>a dēļ</w:t>
      </w:r>
      <w:r w:rsidR="006849E2" w:rsidRPr="00714469">
        <w:rPr>
          <w:rFonts w:ascii="Times New Roman" w:hAnsi="Times New Roman"/>
          <w:lang w:val="lv-LV"/>
        </w:rPr>
        <w:t xml:space="preserve">. Tādējādi reģionālo publisko pakalpojumu </w:t>
      </w:r>
      <w:r w:rsidR="00434BF5" w:rsidRPr="00714469">
        <w:rPr>
          <w:rFonts w:ascii="Times New Roman" w:hAnsi="Times New Roman"/>
          <w:lang w:val="lv-LV"/>
        </w:rPr>
        <w:t xml:space="preserve">efektivitāte </w:t>
      </w:r>
      <w:r w:rsidR="006849E2" w:rsidRPr="00714469">
        <w:rPr>
          <w:rFonts w:ascii="Times New Roman" w:hAnsi="Times New Roman"/>
          <w:lang w:val="lv-LV"/>
        </w:rPr>
        <w:t xml:space="preserve">un </w:t>
      </w:r>
      <w:r w:rsidR="00434BF5" w:rsidRPr="00714469">
        <w:rPr>
          <w:rFonts w:ascii="Times New Roman" w:hAnsi="Times New Roman"/>
          <w:lang w:val="lv-LV"/>
        </w:rPr>
        <w:t xml:space="preserve">pieejamība </w:t>
      </w:r>
      <w:r w:rsidR="006849E2" w:rsidRPr="00714469">
        <w:rPr>
          <w:rFonts w:ascii="Times New Roman" w:hAnsi="Times New Roman"/>
          <w:lang w:val="lv-LV"/>
        </w:rPr>
        <w:t>joprojām ir ļoti nozīmīga</w:t>
      </w:r>
      <w:r w:rsidR="00DC676A" w:rsidRPr="00714469">
        <w:rPr>
          <w:rFonts w:ascii="Times New Roman" w:hAnsi="Times New Roman"/>
          <w:lang w:val="lv-LV"/>
        </w:rPr>
        <w:t>,</w:t>
      </w:r>
      <w:r w:rsidR="00434BF5" w:rsidRPr="00714469">
        <w:rPr>
          <w:rFonts w:ascii="Times New Roman" w:hAnsi="Times New Roman"/>
          <w:lang w:val="lv-LV"/>
        </w:rPr>
        <w:t xml:space="preserve"> un arī reģionālajos attīstības plānos tiek uzsvērta nepieciešamība uzlabot </w:t>
      </w:r>
      <w:r w:rsidR="006849E2" w:rsidRPr="00714469">
        <w:rPr>
          <w:rFonts w:ascii="Times New Roman" w:hAnsi="Times New Roman"/>
          <w:lang w:val="lv-LV"/>
        </w:rPr>
        <w:t>publisko pakalpojumu efektivitāt</w:t>
      </w:r>
      <w:r w:rsidR="00434BF5" w:rsidRPr="00714469">
        <w:rPr>
          <w:rFonts w:ascii="Times New Roman" w:hAnsi="Times New Roman"/>
          <w:lang w:val="lv-LV"/>
        </w:rPr>
        <w:t>i.</w:t>
      </w:r>
      <w:r w:rsidR="006849E2" w:rsidRPr="00714469">
        <w:rPr>
          <w:rFonts w:ascii="Times New Roman" w:hAnsi="Times New Roman"/>
          <w:lang w:val="lv-LV"/>
        </w:rPr>
        <w:t xml:space="preserve"> </w:t>
      </w:r>
      <w:r w:rsidR="00434BF5" w:rsidRPr="00714469">
        <w:rPr>
          <w:rFonts w:ascii="Times New Roman" w:hAnsi="Times New Roman"/>
          <w:lang w:val="lv-LV"/>
        </w:rPr>
        <w:t>P</w:t>
      </w:r>
      <w:r w:rsidR="006849E2" w:rsidRPr="00714469">
        <w:rPr>
          <w:rFonts w:ascii="Times New Roman" w:hAnsi="Times New Roman"/>
          <w:lang w:val="lv-LV"/>
        </w:rPr>
        <w:t xml:space="preserve">ārrobežu </w:t>
      </w:r>
      <w:r w:rsidR="00434BF5" w:rsidRPr="00714469">
        <w:rPr>
          <w:rFonts w:ascii="Times New Roman" w:hAnsi="Times New Roman"/>
          <w:lang w:val="lv-LV"/>
        </w:rPr>
        <w:t xml:space="preserve">sadarbība </w:t>
      </w:r>
      <w:r w:rsidR="006849E2" w:rsidRPr="00714469">
        <w:rPr>
          <w:rFonts w:ascii="Times New Roman" w:hAnsi="Times New Roman"/>
          <w:lang w:val="lv-LV"/>
        </w:rPr>
        <w:t>publisk</w:t>
      </w:r>
      <w:r w:rsidR="00434BF5" w:rsidRPr="00714469">
        <w:rPr>
          <w:rFonts w:ascii="Times New Roman" w:hAnsi="Times New Roman"/>
          <w:lang w:val="lv-LV"/>
        </w:rPr>
        <w:t>o</w:t>
      </w:r>
      <w:r w:rsidR="006849E2" w:rsidRPr="00714469">
        <w:rPr>
          <w:rFonts w:ascii="Times New Roman" w:hAnsi="Times New Roman"/>
          <w:lang w:val="lv-LV"/>
        </w:rPr>
        <w:t xml:space="preserve"> </w:t>
      </w:r>
      <w:r w:rsidR="00434BF5" w:rsidRPr="00714469">
        <w:rPr>
          <w:rFonts w:ascii="Times New Roman" w:hAnsi="Times New Roman"/>
          <w:lang w:val="lv-LV"/>
        </w:rPr>
        <w:t>pakalpojumu ieviešanā</w:t>
      </w:r>
      <w:r w:rsidR="006849E2" w:rsidRPr="00714469">
        <w:rPr>
          <w:rFonts w:ascii="Times New Roman" w:hAnsi="Times New Roman"/>
          <w:lang w:val="lv-LV"/>
        </w:rPr>
        <w:t xml:space="preserve"> </w:t>
      </w:r>
      <w:r w:rsidR="00434BF5" w:rsidRPr="00714469">
        <w:rPr>
          <w:rFonts w:ascii="Times New Roman" w:hAnsi="Times New Roman"/>
          <w:lang w:val="lv-LV"/>
        </w:rPr>
        <w:t xml:space="preserve">ļauj </w:t>
      </w:r>
      <w:r w:rsidR="0037385C" w:rsidRPr="00714469">
        <w:rPr>
          <w:rFonts w:ascii="Times New Roman" w:hAnsi="Times New Roman"/>
          <w:lang w:val="lv-LV"/>
        </w:rPr>
        <w:t>panākt sinerģiju</w:t>
      </w:r>
      <w:r w:rsidR="006849E2" w:rsidRPr="00714469">
        <w:rPr>
          <w:rFonts w:ascii="Times New Roman" w:hAnsi="Times New Roman"/>
          <w:lang w:val="lv-LV"/>
        </w:rPr>
        <w:t xml:space="preserve"> juridisk</w:t>
      </w:r>
      <w:r w:rsidR="00434BF5" w:rsidRPr="00714469">
        <w:rPr>
          <w:rFonts w:ascii="Times New Roman" w:hAnsi="Times New Roman"/>
          <w:lang w:val="lv-LV"/>
        </w:rPr>
        <w:t>ajā</w:t>
      </w:r>
      <w:r w:rsidR="006849E2" w:rsidRPr="00714469">
        <w:rPr>
          <w:rFonts w:ascii="Times New Roman" w:hAnsi="Times New Roman"/>
          <w:lang w:val="lv-LV"/>
        </w:rPr>
        <w:t xml:space="preserve"> un administratīv</w:t>
      </w:r>
      <w:r w:rsidR="00434BF5" w:rsidRPr="00714469">
        <w:rPr>
          <w:rFonts w:ascii="Times New Roman" w:hAnsi="Times New Roman"/>
          <w:lang w:val="lv-LV"/>
        </w:rPr>
        <w:t>ajā</w:t>
      </w:r>
      <w:r w:rsidR="006849E2" w:rsidRPr="00714469">
        <w:rPr>
          <w:rFonts w:ascii="Times New Roman" w:hAnsi="Times New Roman"/>
          <w:lang w:val="lv-LV"/>
        </w:rPr>
        <w:t xml:space="preserve"> sadarbīb</w:t>
      </w:r>
      <w:r w:rsidR="00434BF5" w:rsidRPr="00714469">
        <w:rPr>
          <w:rFonts w:ascii="Times New Roman" w:hAnsi="Times New Roman"/>
          <w:lang w:val="lv-LV"/>
        </w:rPr>
        <w:t>ā</w:t>
      </w:r>
      <w:r w:rsidR="006849E2" w:rsidRPr="00714469">
        <w:rPr>
          <w:rFonts w:ascii="Times New Roman" w:hAnsi="Times New Roman"/>
          <w:lang w:val="lv-LV"/>
        </w:rPr>
        <w:t xml:space="preserve">, kā arī gūt labumu no pozitīvās pieredzes un </w:t>
      </w:r>
      <w:r w:rsidR="002C2D75" w:rsidRPr="00714469">
        <w:rPr>
          <w:rFonts w:ascii="Times New Roman" w:hAnsi="Times New Roman"/>
          <w:lang w:val="lv-LV"/>
        </w:rPr>
        <w:t>nodo</w:t>
      </w:r>
      <w:r w:rsidR="006849E2" w:rsidRPr="00714469">
        <w:rPr>
          <w:rFonts w:ascii="Times New Roman" w:hAnsi="Times New Roman"/>
          <w:lang w:val="lv-LV"/>
        </w:rPr>
        <w:t>t</w:t>
      </w:r>
      <w:r w:rsidR="002C2D75" w:rsidRPr="00714469">
        <w:rPr>
          <w:rFonts w:ascii="Times New Roman" w:hAnsi="Times New Roman"/>
          <w:lang w:val="lv-LV"/>
        </w:rPr>
        <w:t xml:space="preserve"> to</w:t>
      </w:r>
      <w:r w:rsidR="006849E2" w:rsidRPr="00714469">
        <w:rPr>
          <w:rFonts w:ascii="Times New Roman" w:hAnsi="Times New Roman"/>
          <w:lang w:val="lv-LV"/>
        </w:rPr>
        <w:t xml:space="preserve"> tālāk. Pievienotā vērtība ir novērojama dažādās sfērās, piemēram, attiecībā uz risk</w:t>
      </w:r>
      <w:r w:rsidR="002C2D75" w:rsidRPr="00714469">
        <w:rPr>
          <w:rFonts w:ascii="Times New Roman" w:hAnsi="Times New Roman"/>
          <w:lang w:val="lv-LV"/>
        </w:rPr>
        <w:t>u</w:t>
      </w:r>
      <w:r w:rsidR="006849E2" w:rsidRPr="00714469">
        <w:rPr>
          <w:rFonts w:ascii="Times New Roman" w:hAnsi="Times New Roman"/>
          <w:lang w:val="lv-LV"/>
        </w:rPr>
        <w:t xml:space="preserve"> </w:t>
      </w:r>
      <w:r w:rsidR="002C2D75" w:rsidRPr="00714469">
        <w:rPr>
          <w:rFonts w:ascii="Times New Roman" w:hAnsi="Times New Roman"/>
          <w:lang w:val="lv-LV"/>
        </w:rPr>
        <w:t>vadību</w:t>
      </w:r>
      <w:r w:rsidR="006849E2" w:rsidRPr="00714469">
        <w:rPr>
          <w:rFonts w:ascii="Times New Roman" w:hAnsi="Times New Roman"/>
          <w:lang w:val="lv-LV"/>
        </w:rPr>
        <w:t>, izpēti un inovācijām (piemēram, administratīvā sloga samazināšana) u.c. Līdzās juridiskajai un administratīvajai sadarbībai,</w:t>
      </w:r>
      <w:r w:rsidR="00434BF5" w:rsidRPr="00714469">
        <w:rPr>
          <w:rFonts w:ascii="Times New Roman" w:hAnsi="Times New Roman"/>
          <w:lang w:val="lv-LV"/>
        </w:rPr>
        <w:t xml:space="preserve"> jāveicina arī</w:t>
      </w:r>
      <w:r w:rsidR="006849E2" w:rsidRPr="00714469">
        <w:rPr>
          <w:rFonts w:ascii="Times New Roman" w:hAnsi="Times New Roman"/>
          <w:lang w:val="lv-LV"/>
        </w:rPr>
        <w:t xml:space="preserve"> sabiedrības līdzdalība lēmumu pieņemšanas procesā, lai palielinātu publisko pakalpojumu efektivitāti un caurskatāmību.</w:t>
      </w:r>
    </w:p>
    <w:p w:rsidR="00D115F2" w:rsidRPr="00714469" w:rsidRDefault="00434BF5" w:rsidP="00E302F6">
      <w:pPr>
        <w:spacing w:before="120" w:line="240" w:lineRule="auto"/>
        <w:rPr>
          <w:rFonts w:ascii="Times New Roman" w:hAnsi="Times New Roman"/>
          <w:lang w:val="lv-LV"/>
        </w:rPr>
      </w:pPr>
      <w:r w:rsidRPr="00714469">
        <w:rPr>
          <w:rFonts w:ascii="Times New Roman" w:hAnsi="Times New Roman"/>
          <w:lang w:val="lv-LV"/>
        </w:rPr>
        <w:t>Galvenie pašvaldību izaicinājumi</w:t>
      </w:r>
      <w:r w:rsidR="00E57371" w:rsidRPr="00714469">
        <w:rPr>
          <w:rFonts w:ascii="Times New Roman" w:hAnsi="Times New Roman"/>
          <w:lang w:val="lv-LV"/>
        </w:rPr>
        <w:t xml:space="preserve"> Programmas teritorijā ir </w:t>
      </w:r>
      <w:r w:rsidRPr="00714469">
        <w:rPr>
          <w:rFonts w:ascii="Times New Roman" w:hAnsi="Times New Roman"/>
          <w:lang w:val="lv-LV"/>
        </w:rPr>
        <w:t xml:space="preserve">aprakstīti </w:t>
      </w:r>
      <w:r w:rsidR="00E57371" w:rsidRPr="00714469">
        <w:rPr>
          <w:rFonts w:ascii="Times New Roman" w:hAnsi="Times New Roman"/>
          <w:lang w:val="lv-LV"/>
        </w:rPr>
        <w:t>iepriekšējos punktos, tomēr</w:t>
      </w:r>
      <w:r w:rsidR="002C2D75" w:rsidRPr="00714469">
        <w:rPr>
          <w:rFonts w:ascii="Times New Roman" w:hAnsi="Times New Roman"/>
          <w:lang w:val="lv-LV"/>
        </w:rPr>
        <w:t xml:space="preserve"> papildus tiem</w:t>
      </w:r>
      <w:r w:rsidR="00E57371" w:rsidRPr="00714469">
        <w:rPr>
          <w:rFonts w:ascii="Times New Roman" w:hAnsi="Times New Roman"/>
          <w:lang w:val="lv-LV"/>
        </w:rPr>
        <w:t xml:space="preserve"> </w:t>
      </w:r>
      <w:r w:rsidRPr="00714469">
        <w:rPr>
          <w:rFonts w:ascii="Times New Roman" w:hAnsi="Times New Roman"/>
          <w:lang w:val="lv-LV"/>
        </w:rPr>
        <w:t xml:space="preserve">ir jāizmanto arī </w:t>
      </w:r>
      <w:r w:rsidR="004115F9" w:rsidRPr="00714469">
        <w:rPr>
          <w:rFonts w:ascii="Times New Roman" w:hAnsi="Times New Roman"/>
          <w:lang w:val="lv-LV"/>
        </w:rPr>
        <w:t xml:space="preserve">valsts, reģionālo un vietējo institūciju sniegto pakalpojumu efektivitātes un kvalitātes uzlabošanās potenciāls. Programmas teritorijā </w:t>
      </w:r>
      <w:r w:rsidR="006508C1" w:rsidRPr="00714469">
        <w:rPr>
          <w:rFonts w:ascii="Times New Roman" w:hAnsi="Times New Roman"/>
          <w:lang w:val="lv-LV"/>
        </w:rPr>
        <w:t xml:space="preserve">ir </w:t>
      </w:r>
      <w:r w:rsidR="004115F9" w:rsidRPr="00714469">
        <w:rPr>
          <w:rFonts w:ascii="Times New Roman" w:hAnsi="Times New Roman"/>
          <w:lang w:val="lv-LV"/>
        </w:rPr>
        <w:t xml:space="preserve">novērojams </w:t>
      </w:r>
      <w:r w:rsidRPr="00714469">
        <w:rPr>
          <w:rFonts w:ascii="Times New Roman" w:hAnsi="Times New Roman"/>
          <w:lang w:val="lv-LV"/>
        </w:rPr>
        <w:t>e-pārvaldības</w:t>
      </w:r>
      <w:r w:rsidR="004115F9" w:rsidRPr="00714469">
        <w:rPr>
          <w:rFonts w:ascii="Times New Roman" w:hAnsi="Times New Roman"/>
          <w:lang w:val="lv-LV"/>
        </w:rPr>
        <w:t xml:space="preserve"> potenciāls abās valstīs (Latvijā – 31%, Lietuvā – 22%, ES vidējais rādītājs – 31%</w:t>
      </w:r>
      <w:r w:rsidR="0085771F">
        <w:rPr>
          <w:rFonts w:ascii="Times New Roman" w:hAnsi="Times New Roman"/>
          <w:lang w:val="lv-LV"/>
        </w:rPr>
        <w:t>;[</w:t>
      </w:r>
      <w:r w:rsidRPr="00714469">
        <w:rPr>
          <w:rFonts w:ascii="Times New Roman" w:hAnsi="Times New Roman"/>
          <w:lang w:val="lv-LV"/>
        </w:rPr>
        <w:t>EUROSTAT</w:t>
      </w:r>
      <w:r w:rsidR="0085771F">
        <w:rPr>
          <w:rFonts w:ascii="Times New Roman" w:hAnsi="Times New Roman"/>
          <w:lang w:val="lv-LV"/>
        </w:rPr>
        <w:t>], 2010)</w:t>
      </w:r>
      <w:r w:rsidR="004115F9" w:rsidRPr="00714469">
        <w:rPr>
          <w:rFonts w:ascii="Times New Roman" w:hAnsi="Times New Roman"/>
          <w:lang w:val="lv-LV"/>
        </w:rPr>
        <w:t xml:space="preserve">. </w:t>
      </w:r>
      <w:r w:rsidR="006508C1" w:rsidRPr="00714469">
        <w:rPr>
          <w:rFonts w:ascii="Times New Roman" w:hAnsi="Times New Roman"/>
          <w:lang w:val="lv-LV"/>
        </w:rPr>
        <w:t xml:space="preserve"> 2007.</w:t>
      </w:r>
      <w:r w:rsidR="006508C1" w:rsidRPr="00714469">
        <w:rPr>
          <w:rFonts w:ascii="Times New Roman" w:hAnsi="Times New Roman"/>
          <w:lang w:val="lv-LV"/>
        </w:rPr>
        <w:noBreakHyphen/>
      </w:r>
      <w:r w:rsidR="002C2D75" w:rsidRPr="00714469">
        <w:rPr>
          <w:rFonts w:ascii="Times New Roman" w:hAnsi="Times New Roman"/>
          <w:lang w:val="lv-LV"/>
        </w:rPr>
        <w:t>2013.</w:t>
      </w:r>
      <w:r w:rsidR="006508C1" w:rsidRPr="00714469">
        <w:rPr>
          <w:rFonts w:ascii="Times New Roman" w:hAnsi="Times New Roman"/>
          <w:lang w:val="lv-LV"/>
        </w:rPr>
        <w:t> </w:t>
      </w:r>
      <w:r w:rsidR="002C2D75" w:rsidRPr="00714469">
        <w:rPr>
          <w:rFonts w:ascii="Times New Roman" w:hAnsi="Times New Roman"/>
          <w:lang w:val="lv-LV"/>
        </w:rPr>
        <w:t xml:space="preserve">gada </w:t>
      </w:r>
      <w:r w:rsidR="004115F9" w:rsidRPr="00714469">
        <w:rPr>
          <w:rFonts w:ascii="Times New Roman" w:hAnsi="Times New Roman"/>
          <w:lang w:val="lv-LV"/>
        </w:rPr>
        <w:t xml:space="preserve">Programmas </w:t>
      </w:r>
      <w:r w:rsidRPr="00714469">
        <w:rPr>
          <w:rFonts w:ascii="Times New Roman" w:hAnsi="Times New Roman"/>
          <w:lang w:val="lv-LV"/>
        </w:rPr>
        <w:t>pieredz</w:t>
      </w:r>
      <w:r w:rsidR="006508C1" w:rsidRPr="00714469">
        <w:rPr>
          <w:rFonts w:ascii="Times New Roman" w:hAnsi="Times New Roman"/>
          <w:lang w:val="lv-LV"/>
        </w:rPr>
        <w:t>e rāda, ka Programmas teritorijā</w:t>
      </w:r>
      <w:r w:rsidRPr="00714469">
        <w:rPr>
          <w:rFonts w:ascii="Times New Roman" w:hAnsi="Times New Roman"/>
          <w:lang w:val="lv-LV"/>
        </w:rPr>
        <w:t xml:space="preserve"> pastāv potenciāls e-pārvaldības </w:t>
      </w:r>
      <w:r w:rsidR="004115F9" w:rsidRPr="00714469">
        <w:rPr>
          <w:rFonts w:ascii="Times New Roman" w:hAnsi="Times New Roman"/>
          <w:lang w:val="lv-LV"/>
        </w:rPr>
        <w:t>projektu</w:t>
      </w:r>
      <w:r w:rsidRPr="00714469">
        <w:rPr>
          <w:rFonts w:ascii="Times New Roman" w:hAnsi="Times New Roman"/>
          <w:lang w:val="lv-LV"/>
        </w:rPr>
        <w:t xml:space="preserve"> ieviešanai</w:t>
      </w:r>
      <w:r w:rsidR="004115F9" w:rsidRPr="00714469">
        <w:rPr>
          <w:rFonts w:ascii="Times New Roman" w:hAnsi="Times New Roman"/>
          <w:lang w:val="lv-LV"/>
        </w:rPr>
        <w:t xml:space="preserve"> dažādās publiskā sektora sfērās.  </w:t>
      </w:r>
    </w:p>
    <w:p w:rsidR="00D115F2" w:rsidRPr="00714469" w:rsidRDefault="002C2D75" w:rsidP="00E302F6">
      <w:pPr>
        <w:spacing w:before="120" w:line="240" w:lineRule="auto"/>
        <w:rPr>
          <w:rFonts w:ascii="Times New Roman" w:hAnsi="Times New Roman"/>
          <w:lang w:val="lv-LV"/>
        </w:rPr>
      </w:pPr>
      <w:r w:rsidRPr="00714469">
        <w:rPr>
          <w:rFonts w:ascii="Times New Roman" w:hAnsi="Times New Roman"/>
          <w:lang w:val="lv-LV"/>
        </w:rPr>
        <w:t xml:space="preserve">2007.–2013. gada </w:t>
      </w:r>
      <w:r w:rsidR="00D57EE0" w:rsidRPr="00714469">
        <w:rPr>
          <w:rFonts w:ascii="Times New Roman" w:hAnsi="Times New Roman"/>
          <w:lang w:val="lv-LV"/>
        </w:rPr>
        <w:t>Programmas pieredze</w:t>
      </w:r>
      <w:r w:rsidR="00434BF5" w:rsidRPr="00714469">
        <w:rPr>
          <w:rFonts w:ascii="Times New Roman" w:hAnsi="Times New Roman"/>
          <w:lang w:val="lv-LV"/>
        </w:rPr>
        <w:t xml:space="preserve"> liecina, ka </w:t>
      </w:r>
      <w:r w:rsidR="00D57EE0" w:rsidRPr="00714469">
        <w:rPr>
          <w:rFonts w:ascii="Times New Roman" w:hAnsi="Times New Roman"/>
          <w:lang w:val="lv-LV"/>
        </w:rPr>
        <w:t>pārrobežu sadarbība publisk</w:t>
      </w:r>
      <w:r w:rsidR="00434BF5" w:rsidRPr="00714469">
        <w:rPr>
          <w:rFonts w:ascii="Times New Roman" w:hAnsi="Times New Roman"/>
          <w:lang w:val="lv-LV"/>
        </w:rPr>
        <w:t>o pakalpojumu jomā</w:t>
      </w:r>
      <w:r w:rsidR="00D57EE0" w:rsidRPr="00714469">
        <w:rPr>
          <w:rFonts w:ascii="Times New Roman" w:hAnsi="Times New Roman"/>
          <w:lang w:val="lv-LV"/>
        </w:rPr>
        <w:t xml:space="preserve"> </w:t>
      </w:r>
      <w:r w:rsidR="00434BF5" w:rsidRPr="00714469">
        <w:rPr>
          <w:rFonts w:ascii="Times New Roman" w:hAnsi="Times New Roman"/>
          <w:lang w:val="lv-LV"/>
        </w:rPr>
        <w:t xml:space="preserve">rada </w:t>
      </w:r>
      <w:r w:rsidR="00D57EE0" w:rsidRPr="00714469">
        <w:rPr>
          <w:rFonts w:ascii="Times New Roman" w:hAnsi="Times New Roman"/>
          <w:lang w:val="lv-LV"/>
        </w:rPr>
        <w:t>efektīv</w:t>
      </w:r>
      <w:r w:rsidR="00434BF5" w:rsidRPr="00714469">
        <w:rPr>
          <w:rFonts w:ascii="Times New Roman" w:hAnsi="Times New Roman"/>
          <w:lang w:val="lv-LV"/>
        </w:rPr>
        <w:t>us</w:t>
      </w:r>
      <w:r w:rsidR="00CB69BC" w:rsidRPr="00714469">
        <w:rPr>
          <w:rFonts w:ascii="Times New Roman" w:hAnsi="Times New Roman"/>
          <w:lang w:val="lv-LV"/>
        </w:rPr>
        <w:t xml:space="preserve"> problēmu</w:t>
      </w:r>
      <w:r w:rsidR="00042F79" w:rsidRPr="00714469">
        <w:rPr>
          <w:rFonts w:ascii="Times New Roman" w:hAnsi="Times New Roman"/>
          <w:lang w:val="lv-LV"/>
        </w:rPr>
        <w:t xml:space="preserve"> </w:t>
      </w:r>
      <w:r w:rsidR="00434BF5" w:rsidRPr="00714469">
        <w:rPr>
          <w:rFonts w:ascii="Times New Roman" w:hAnsi="Times New Roman"/>
          <w:lang w:val="lv-LV"/>
        </w:rPr>
        <w:t>risinājumus (ieskaitot izmaksu efektivitāti)</w:t>
      </w:r>
      <w:r w:rsidR="00042F79" w:rsidRPr="00714469">
        <w:rPr>
          <w:rFonts w:ascii="Times New Roman" w:hAnsi="Times New Roman"/>
          <w:lang w:val="lv-LV"/>
        </w:rPr>
        <w:t xml:space="preserve">, kas būtu </w:t>
      </w:r>
      <w:r w:rsidR="00434BF5" w:rsidRPr="00714469">
        <w:rPr>
          <w:rFonts w:ascii="Times New Roman" w:hAnsi="Times New Roman"/>
          <w:lang w:val="lv-LV"/>
        </w:rPr>
        <w:t>sarežģītāk</w:t>
      </w:r>
      <w:r w:rsidR="00042F79" w:rsidRPr="00714469">
        <w:rPr>
          <w:rFonts w:ascii="Times New Roman" w:hAnsi="Times New Roman"/>
          <w:lang w:val="lv-LV"/>
        </w:rPr>
        <w:t xml:space="preserve">, ja </w:t>
      </w:r>
      <w:r w:rsidR="00434BF5" w:rsidRPr="00714469">
        <w:rPr>
          <w:rFonts w:ascii="Times New Roman" w:hAnsi="Times New Roman"/>
          <w:lang w:val="lv-LV"/>
        </w:rPr>
        <w:t xml:space="preserve">tos atsevišķi īstenotu </w:t>
      </w:r>
      <w:r w:rsidR="00042F79" w:rsidRPr="00714469">
        <w:rPr>
          <w:rFonts w:ascii="Times New Roman" w:hAnsi="Times New Roman"/>
          <w:lang w:val="lv-LV"/>
        </w:rPr>
        <w:t xml:space="preserve">katrs reģions vai partneris. </w:t>
      </w:r>
      <w:r w:rsidRPr="00714469">
        <w:rPr>
          <w:rFonts w:ascii="Times New Roman" w:hAnsi="Times New Roman"/>
          <w:lang w:val="lv-LV"/>
        </w:rPr>
        <w:t>Arī pēc projektu ieviešanas</w:t>
      </w:r>
      <w:r w:rsidR="00434BF5" w:rsidRPr="00714469">
        <w:rPr>
          <w:rFonts w:ascii="Times New Roman" w:hAnsi="Times New Roman"/>
          <w:lang w:val="lv-LV"/>
        </w:rPr>
        <w:t xml:space="preserve"> s</w:t>
      </w:r>
      <w:r w:rsidR="00042F79" w:rsidRPr="00714469">
        <w:rPr>
          <w:rFonts w:ascii="Times New Roman" w:hAnsi="Times New Roman"/>
          <w:lang w:val="lv-LV"/>
        </w:rPr>
        <w:t xml:space="preserve">adarbība starp administrācijas iestādēm turpinās vai nu tajā pašā </w:t>
      </w:r>
      <w:r w:rsidR="00434BF5" w:rsidRPr="00714469">
        <w:rPr>
          <w:rFonts w:ascii="Times New Roman" w:hAnsi="Times New Roman"/>
          <w:lang w:val="lv-LV"/>
        </w:rPr>
        <w:t>sfērā</w:t>
      </w:r>
      <w:r w:rsidR="00042F79" w:rsidRPr="00714469">
        <w:rPr>
          <w:rFonts w:ascii="Times New Roman" w:hAnsi="Times New Roman"/>
          <w:lang w:val="lv-LV"/>
        </w:rPr>
        <w:t xml:space="preserve"> vai arī progresē, īstenojot kopīgus projektus citās </w:t>
      </w:r>
      <w:r w:rsidR="00660A0A">
        <w:rPr>
          <w:rFonts w:ascii="Times New Roman" w:hAnsi="Times New Roman"/>
          <w:lang w:val="lv-LV"/>
        </w:rPr>
        <w:t>jomās</w:t>
      </w:r>
      <w:r w:rsidR="00CB69BC" w:rsidRPr="00714469">
        <w:rPr>
          <w:rFonts w:ascii="Times New Roman" w:hAnsi="Times New Roman"/>
          <w:lang w:val="lv-LV"/>
        </w:rPr>
        <w:t xml:space="preserve">, tādējādi </w:t>
      </w:r>
      <w:r w:rsidR="00042F79" w:rsidRPr="00714469">
        <w:rPr>
          <w:rFonts w:ascii="Times New Roman" w:hAnsi="Times New Roman"/>
          <w:lang w:val="lv-LV"/>
        </w:rPr>
        <w:t xml:space="preserve">tiek stiprināta sadarbības ilgtspēja. </w:t>
      </w:r>
    </w:p>
    <w:p w:rsidR="00D115F2" w:rsidRPr="00714469" w:rsidRDefault="00471EB5" w:rsidP="00E302F6">
      <w:pPr>
        <w:spacing w:before="120" w:line="240" w:lineRule="auto"/>
        <w:rPr>
          <w:rFonts w:ascii="Times New Roman" w:hAnsi="Times New Roman"/>
          <w:u w:val="single"/>
          <w:lang w:val="lv-LV"/>
        </w:rPr>
      </w:pPr>
      <w:r w:rsidRPr="00714469">
        <w:rPr>
          <w:rFonts w:ascii="Times New Roman" w:hAnsi="Times New Roman"/>
          <w:lang w:val="lv-LV"/>
        </w:rPr>
        <w:t>Kopumā jānorāda, ka galvenā problēma Programmas teritorijā ir</w:t>
      </w:r>
      <w:r w:rsidR="00A858B5" w:rsidRPr="00714469">
        <w:rPr>
          <w:rFonts w:ascii="Times New Roman" w:hAnsi="Times New Roman"/>
          <w:lang w:val="lv-LV"/>
        </w:rPr>
        <w:t xml:space="preserve"> atsevišķu</w:t>
      </w:r>
      <w:r w:rsidRPr="00714469">
        <w:rPr>
          <w:rFonts w:ascii="Times New Roman" w:hAnsi="Times New Roman"/>
          <w:lang w:val="lv-LV"/>
        </w:rPr>
        <w:t xml:space="preserve"> publisko pakalpojumu </w:t>
      </w:r>
      <w:r w:rsidR="00A858B5" w:rsidRPr="00714469">
        <w:rPr>
          <w:rFonts w:ascii="Times New Roman" w:hAnsi="Times New Roman"/>
          <w:lang w:val="lv-LV"/>
        </w:rPr>
        <w:t xml:space="preserve">salīdzinoši zemā </w:t>
      </w:r>
      <w:r w:rsidRPr="00714469">
        <w:rPr>
          <w:rFonts w:ascii="Times New Roman" w:hAnsi="Times New Roman"/>
          <w:lang w:val="lv-LV"/>
        </w:rPr>
        <w:t>efektivitāte, ko izraisīj</w:t>
      </w:r>
      <w:r w:rsidR="00A858B5" w:rsidRPr="00714469">
        <w:rPr>
          <w:rFonts w:ascii="Times New Roman" w:hAnsi="Times New Roman"/>
          <w:lang w:val="lv-LV"/>
        </w:rPr>
        <w:t>i</w:t>
      </w:r>
      <w:r w:rsidRPr="00714469">
        <w:rPr>
          <w:rFonts w:ascii="Times New Roman" w:hAnsi="Times New Roman"/>
          <w:lang w:val="lv-LV"/>
        </w:rPr>
        <w:t>s</w:t>
      </w:r>
      <w:r w:rsidR="00A858B5" w:rsidRPr="00714469">
        <w:rPr>
          <w:rFonts w:ascii="Times New Roman" w:hAnsi="Times New Roman"/>
          <w:lang w:val="lv-LV"/>
        </w:rPr>
        <w:t xml:space="preserve"> resursu </w:t>
      </w:r>
      <w:r w:rsidRPr="00714469">
        <w:rPr>
          <w:rFonts w:ascii="Times New Roman" w:hAnsi="Times New Roman"/>
          <w:lang w:val="lv-LV"/>
        </w:rPr>
        <w:t xml:space="preserve">un sadarbības trūkums. </w:t>
      </w:r>
    </w:p>
    <w:p w:rsidR="00B95321" w:rsidRDefault="00B95321" w:rsidP="00E302F6">
      <w:pPr>
        <w:spacing w:before="120" w:line="240" w:lineRule="auto"/>
        <w:contextualSpacing/>
        <w:rPr>
          <w:rFonts w:ascii="Times New Roman" w:hAnsi="Times New Roman"/>
          <w:lang w:val="lv-LV"/>
        </w:rPr>
      </w:pPr>
    </w:p>
    <w:p w:rsidR="00B95321" w:rsidRDefault="00B95321" w:rsidP="00E302F6">
      <w:pPr>
        <w:spacing w:before="120" w:line="240" w:lineRule="auto"/>
        <w:contextualSpacing/>
        <w:rPr>
          <w:rFonts w:ascii="Times New Roman" w:hAnsi="Times New Roman"/>
          <w:lang w:val="lv-LV"/>
        </w:rPr>
      </w:pPr>
      <w:r>
        <w:rPr>
          <w:rFonts w:ascii="Times New Roman" w:hAnsi="Times New Roman"/>
          <w:lang w:val="lv-LV"/>
        </w:rPr>
        <w:t>Iepriekšminētā analīze nosaka galvenos izaicinājumus attiecībā uz publiskajiem pakalpojumiem</w:t>
      </w:r>
      <w:r w:rsidRPr="006157AA">
        <w:rPr>
          <w:rFonts w:ascii="Times New Roman" w:hAnsi="Times New Roman"/>
          <w:lang w:val="lv-LV"/>
        </w:rPr>
        <w:t xml:space="preserve"> </w:t>
      </w:r>
      <w:r>
        <w:rPr>
          <w:rFonts w:ascii="Times New Roman" w:hAnsi="Times New Roman"/>
          <w:lang w:val="lv-LV"/>
        </w:rPr>
        <w:t>(ņ</w:t>
      </w:r>
      <w:r w:rsidRPr="00CB2450">
        <w:rPr>
          <w:rFonts w:ascii="Times New Roman" w:hAnsi="Times New Roman"/>
          <w:lang w:val="lv-LV"/>
        </w:rPr>
        <w:t>emot vērā pašreizējās vajadzības, Programmas darbības spektru un pārrobežu sadarbības potenciālu</w:t>
      </w:r>
      <w:r>
        <w:rPr>
          <w:rFonts w:ascii="Times New Roman" w:hAnsi="Times New Roman"/>
          <w:lang w:val="lv-LV"/>
        </w:rPr>
        <w:t>)</w:t>
      </w:r>
    </w:p>
    <w:p w:rsidR="00B95321" w:rsidRPr="00CB2450" w:rsidRDefault="00B95321" w:rsidP="00E302F6">
      <w:pPr>
        <w:spacing w:before="120" w:line="240" w:lineRule="auto"/>
        <w:contextualSpacing/>
        <w:rPr>
          <w:rFonts w:ascii="Times New Roman" w:hAnsi="Times New Roman"/>
          <w:lang w:val="lv-LV"/>
        </w:rPr>
      </w:pPr>
    </w:p>
    <w:p w:rsidR="00B95321" w:rsidRDefault="00B95321" w:rsidP="00E302F6">
      <w:pPr>
        <w:spacing w:before="120" w:line="240" w:lineRule="auto"/>
        <w:contextualSpacing/>
        <w:rPr>
          <w:rFonts w:ascii="Times New Roman" w:hAnsi="Times New Roman"/>
          <w:lang w:val="lv-LV"/>
        </w:rPr>
      </w:pPr>
    </w:p>
    <w:p w:rsidR="00D115F2" w:rsidRPr="00714469" w:rsidRDefault="00A858B5" w:rsidP="00E302F6">
      <w:pPr>
        <w:spacing w:before="120" w:line="240" w:lineRule="auto"/>
        <w:contextualSpacing/>
        <w:rPr>
          <w:rFonts w:ascii="Times New Roman" w:hAnsi="Times New Roman"/>
          <w:u w:val="single"/>
          <w:lang w:val="lv-LV"/>
        </w:rPr>
      </w:pPr>
      <w:r w:rsidRPr="00714469">
        <w:rPr>
          <w:rFonts w:ascii="Times New Roman" w:hAnsi="Times New Roman"/>
          <w:u w:val="single"/>
          <w:lang w:val="lv-LV"/>
        </w:rPr>
        <w:t xml:space="preserve">Programmas </w:t>
      </w:r>
      <w:r w:rsidR="002C2D75" w:rsidRPr="00714469">
        <w:rPr>
          <w:rFonts w:ascii="Times New Roman" w:hAnsi="Times New Roman"/>
          <w:u w:val="single"/>
          <w:lang w:val="lv-LV"/>
        </w:rPr>
        <w:t>plāno</w:t>
      </w:r>
      <w:r w:rsidR="0011009A" w:rsidRPr="00714469">
        <w:rPr>
          <w:rFonts w:ascii="Times New Roman" w:hAnsi="Times New Roman"/>
          <w:u w:val="single"/>
          <w:lang w:val="lv-LV"/>
        </w:rPr>
        <w:t>:</w:t>
      </w:r>
    </w:p>
    <w:p w:rsidR="00D115F2" w:rsidRPr="00714469" w:rsidRDefault="0011009A" w:rsidP="00E302F6">
      <w:pPr>
        <w:pStyle w:val="ListParagraph"/>
        <w:numPr>
          <w:ilvl w:val="0"/>
          <w:numId w:val="3"/>
        </w:numPr>
        <w:spacing w:before="120" w:line="240" w:lineRule="auto"/>
        <w:contextualSpacing/>
        <w:rPr>
          <w:rFonts w:ascii="Times New Roman" w:hAnsi="Times New Roman"/>
          <w:lang w:val="lv-LV"/>
        </w:rPr>
      </w:pPr>
      <w:r w:rsidRPr="00714469">
        <w:rPr>
          <w:rFonts w:ascii="Times New Roman" w:hAnsi="Times New Roman"/>
          <w:lang w:val="lv-LV"/>
        </w:rPr>
        <w:t>uzlabot publisko pakalpojumu efektivitāti civilās aizsardzības, drošības, aizsardzības un citās sfērās.</w:t>
      </w:r>
    </w:p>
    <w:p w:rsidR="00D115F2" w:rsidRPr="00714469" w:rsidRDefault="00D115F2" w:rsidP="00E302F6">
      <w:pPr>
        <w:spacing w:before="120" w:line="240" w:lineRule="auto"/>
        <w:contextualSpacing/>
        <w:rPr>
          <w:rFonts w:ascii="Times New Roman" w:hAnsi="Times New Roman"/>
          <w:u w:val="single"/>
          <w:lang w:val="lv-LV"/>
        </w:rPr>
      </w:pPr>
    </w:p>
    <w:p w:rsidR="00D115F2" w:rsidRPr="00714469" w:rsidRDefault="00DB3C3D" w:rsidP="00E302F6">
      <w:pPr>
        <w:pStyle w:val="ListParagraph"/>
        <w:numPr>
          <w:ilvl w:val="2"/>
          <w:numId w:val="4"/>
        </w:numPr>
        <w:spacing w:before="120" w:line="240" w:lineRule="auto"/>
        <w:ind w:left="709" w:hanging="709"/>
        <w:rPr>
          <w:rFonts w:ascii="Times New Roman" w:hAnsi="Times New Roman"/>
          <w:b/>
          <w:lang w:val="lv-LV" w:eastAsia="fr-BE"/>
        </w:rPr>
      </w:pPr>
      <w:r w:rsidRPr="00714469">
        <w:rPr>
          <w:rFonts w:ascii="Times New Roman" w:hAnsi="Times New Roman"/>
          <w:b/>
          <w:lang w:val="lv-LV" w:eastAsia="fr-BE"/>
        </w:rPr>
        <w:lastRenderedPageBreak/>
        <w:t>Programmas stratēģija, lai apmierinātu vajadzības reģionos un sniegtu ieguldījumu stratēģijā „Eiropa 2020”</w:t>
      </w:r>
    </w:p>
    <w:p w:rsidR="00D115F2" w:rsidRPr="00714469" w:rsidRDefault="00136769" w:rsidP="00E302F6">
      <w:pPr>
        <w:spacing w:before="120" w:line="240" w:lineRule="auto"/>
        <w:rPr>
          <w:rFonts w:ascii="Times New Roman" w:hAnsi="Times New Roman"/>
          <w:lang w:val="lv-LV"/>
        </w:rPr>
      </w:pPr>
      <w:r w:rsidRPr="00714469">
        <w:rPr>
          <w:rFonts w:ascii="Times New Roman" w:hAnsi="Times New Roman"/>
          <w:lang w:val="lv-LV"/>
        </w:rPr>
        <w:t>Lai noteiktu Programas ietvaros atbalstamās prioritātes, t</w:t>
      </w:r>
      <w:r w:rsidR="007E34E4" w:rsidRPr="00714469">
        <w:rPr>
          <w:rFonts w:ascii="Times New Roman" w:hAnsi="Times New Roman"/>
          <w:lang w:val="lv-LV"/>
        </w:rPr>
        <w:t xml:space="preserve">ika veikti </w:t>
      </w:r>
      <w:r w:rsidRPr="00714469">
        <w:rPr>
          <w:rFonts w:ascii="Times New Roman" w:hAnsi="Times New Roman"/>
          <w:lang w:val="lv-LV"/>
        </w:rPr>
        <w:t xml:space="preserve">šādi </w:t>
      </w:r>
      <w:r w:rsidR="007E34E4" w:rsidRPr="00714469">
        <w:rPr>
          <w:rFonts w:ascii="Times New Roman" w:hAnsi="Times New Roman"/>
          <w:lang w:val="lv-LV"/>
        </w:rPr>
        <w:t>uzdevumi</w:t>
      </w:r>
      <w:r w:rsidR="00A858B5" w:rsidRPr="00714469">
        <w:rPr>
          <w:rFonts w:ascii="Times New Roman" w:hAnsi="Times New Roman"/>
          <w:lang w:val="lv-LV"/>
        </w:rPr>
        <w:t>:</w:t>
      </w:r>
    </w:p>
    <w:p w:rsidR="00D115F2" w:rsidRPr="00714469" w:rsidRDefault="00AF348C" w:rsidP="00E302F6">
      <w:pPr>
        <w:pStyle w:val="ListParagraph"/>
        <w:numPr>
          <w:ilvl w:val="0"/>
          <w:numId w:val="1"/>
        </w:numPr>
        <w:spacing w:before="120" w:line="240" w:lineRule="auto"/>
        <w:contextualSpacing/>
        <w:rPr>
          <w:rFonts w:ascii="Times New Roman" w:hAnsi="Times New Roman"/>
          <w:lang w:val="lv-LV"/>
        </w:rPr>
      </w:pPr>
      <w:r w:rsidRPr="00714469">
        <w:rPr>
          <w:rFonts w:ascii="Times New Roman" w:hAnsi="Times New Roman"/>
          <w:lang w:val="lv-LV"/>
        </w:rPr>
        <w:t>valsts un reģionālā līmeņa statistikas datu analīz</w:t>
      </w:r>
      <w:r w:rsidR="00B8239C" w:rsidRPr="00714469">
        <w:rPr>
          <w:rFonts w:ascii="Times New Roman" w:hAnsi="Times New Roman"/>
          <w:lang w:val="lv-LV"/>
        </w:rPr>
        <w:t>e</w:t>
      </w:r>
      <w:r w:rsidRPr="00714469">
        <w:rPr>
          <w:rFonts w:ascii="Times New Roman" w:hAnsi="Times New Roman"/>
          <w:lang w:val="lv-LV"/>
        </w:rPr>
        <w:t>, lai noteiktu galvenās problēmas un izaicinājumus</w:t>
      </w:r>
      <w:r w:rsidR="002C2D75" w:rsidRPr="00714469">
        <w:rPr>
          <w:rFonts w:ascii="Times New Roman" w:hAnsi="Times New Roman"/>
          <w:lang w:val="lv-LV"/>
        </w:rPr>
        <w:t xml:space="preserve"> Programmas teritorijā</w:t>
      </w:r>
      <w:r w:rsidRPr="00714469">
        <w:rPr>
          <w:rFonts w:ascii="Times New Roman" w:hAnsi="Times New Roman"/>
          <w:lang w:val="lv-LV"/>
        </w:rPr>
        <w:t>;</w:t>
      </w:r>
    </w:p>
    <w:p w:rsidR="00D115F2" w:rsidRPr="00714469" w:rsidRDefault="00AF348C" w:rsidP="00E302F6">
      <w:pPr>
        <w:pStyle w:val="ListParagraph"/>
        <w:numPr>
          <w:ilvl w:val="0"/>
          <w:numId w:val="1"/>
        </w:numPr>
        <w:spacing w:before="120" w:line="240" w:lineRule="auto"/>
        <w:contextualSpacing/>
        <w:rPr>
          <w:rFonts w:ascii="Times New Roman" w:hAnsi="Times New Roman"/>
          <w:lang w:val="lv-LV"/>
        </w:rPr>
      </w:pPr>
      <w:r w:rsidRPr="00714469">
        <w:rPr>
          <w:rFonts w:ascii="Times New Roman" w:hAnsi="Times New Roman"/>
          <w:lang w:val="lv-LV"/>
        </w:rPr>
        <w:t xml:space="preserve">pašreizējās sadarbības pieredzes </w:t>
      </w:r>
      <w:r w:rsidR="00B8239C" w:rsidRPr="00714469">
        <w:rPr>
          <w:rFonts w:ascii="Times New Roman" w:hAnsi="Times New Roman"/>
          <w:lang w:val="lv-LV"/>
        </w:rPr>
        <w:t>izpēte</w:t>
      </w:r>
      <w:r w:rsidRPr="00714469">
        <w:rPr>
          <w:rFonts w:ascii="Times New Roman" w:hAnsi="Times New Roman"/>
          <w:lang w:val="lv-LV"/>
        </w:rPr>
        <w:t xml:space="preserve">, veicot </w:t>
      </w:r>
      <w:r w:rsidR="002C2D75" w:rsidRPr="00714469">
        <w:rPr>
          <w:rFonts w:ascii="Times New Roman" w:hAnsi="Times New Roman"/>
          <w:lang w:val="lv-LV"/>
        </w:rPr>
        <w:t xml:space="preserve">2007.–2013. gada </w:t>
      </w:r>
      <w:r w:rsidRPr="00714469">
        <w:rPr>
          <w:rFonts w:ascii="Times New Roman" w:hAnsi="Times New Roman"/>
          <w:lang w:val="lv-LV"/>
        </w:rPr>
        <w:t>Programmas projektu kvantitatīvo un kvalitatīvo novērtēšanu;</w:t>
      </w:r>
    </w:p>
    <w:p w:rsidR="00D115F2" w:rsidRPr="00714469" w:rsidRDefault="000760A6" w:rsidP="00E302F6">
      <w:pPr>
        <w:pStyle w:val="ListParagraph"/>
        <w:numPr>
          <w:ilvl w:val="0"/>
          <w:numId w:val="1"/>
        </w:numPr>
        <w:spacing w:before="120" w:line="240" w:lineRule="auto"/>
        <w:contextualSpacing/>
        <w:rPr>
          <w:rFonts w:ascii="Times New Roman" w:hAnsi="Times New Roman"/>
          <w:lang w:val="lv-LV"/>
        </w:rPr>
      </w:pPr>
      <w:r w:rsidRPr="00714469">
        <w:rPr>
          <w:rFonts w:ascii="Times New Roman" w:hAnsi="Times New Roman"/>
          <w:lang w:val="lv-LV"/>
        </w:rPr>
        <w:t>d</w:t>
      </w:r>
      <w:r w:rsidR="00AF348C" w:rsidRPr="00714469">
        <w:rPr>
          <w:rFonts w:ascii="Times New Roman" w:hAnsi="Times New Roman"/>
          <w:lang w:val="lv-LV"/>
        </w:rPr>
        <w:t xml:space="preserve">alībvalstu un Programmas reģionu vidēja termiņa un ilgtermiņa attīstības dokumentu </w:t>
      </w:r>
      <w:r w:rsidR="00B8239C" w:rsidRPr="00714469">
        <w:rPr>
          <w:rFonts w:ascii="Times New Roman" w:hAnsi="Times New Roman"/>
          <w:lang w:val="lv-LV"/>
        </w:rPr>
        <w:t xml:space="preserve">analīze </w:t>
      </w:r>
      <w:r w:rsidR="00AF348C" w:rsidRPr="00714469">
        <w:rPr>
          <w:rFonts w:ascii="Times New Roman" w:hAnsi="Times New Roman"/>
          <w:lang w:val="lv-LV"/>
        </w:rPr>
        <w:t xml:space="preserve">un Programmas prioritāšu </w:t>
      </w:r>
      <w:r w:rsidR="00B8239C" w:rsidRPr="00714469">
        <w:rPr>
          <w:rFonts w:ascii="Times New Roman" w:hAnsi="Times New Roman"/>
          <w:lang w:val="lv-LV"/>
        </w:rPr>
        <w:t>noteikšana</w:t>
      </w:r>
      <w:r w:rsidR="00AF348C" w:rsidRPr="00714469">
        <w:rPr>
          <w:rFonts w:ascii="Times New Roman" w:hAnsi="Times New Roman"/>
          <w:lang w:val="lv-LV"/>
        </w:rPr>
        <w:t>;</w:t>
      </w:r>
    </w:p>
    <w:p w:rsidR="00D115F2" w:rsidRPr="00714469" w:rsidRDefault="00B8239C" w:rsidP="00E302F6">
      <w:pPr>
        <w:pStyle w:val="ListParagraph"/>
        <w:numPr>
          <w:ilvl w:val="0"/>
          <w:numId w:val="1"/>
        </w:numPr>
        <w:spacing w:before="120" w:line="240" w:lineRule="auto"/>
        <w:contextualSpacing/>
        <w:rPr>
          <w:rFonts w:ascii="Times New Roman" w:hAnsi="Times New Roman"/>
          <w:lang w:val="lv-LV"/>
        </w:rPr>
      </w:pPr>
      <w:r w:rsidRPr="00714469">
        <w:rPr>
          <w:rFonts w:ascii="Times New Roman" w:hAnsi="Times New Roman"/>
          <w:lang w:val="lv-LV"/>
        </w:rPr>
        <w:t xml:space="preserve">sadarbība </w:t>
      </w:r>
      <w:r w:rsidR="00D873CE" w:rsidRPr="00714469">
        <w:rPr>
          <w:rFonts w:ascii="Times New Roman" w:hAnsi="Times New Roman"/>
          <w:lang w:val="lv-LV"/>
        </w:rPr>
        <w:t xml:space="preserve">ar ieinteresētajām personām reģionālajos semināros un </w:t>
      </w:r>
      <w:r w:rsidRPr="00714469">
        <w:rPr>
          <w:rFonts w:ascii="Times New Roman" w:hAnsi="Times New Roman"/>
          <w:lang w:val="lv-LV"/>
        </w:rPr>
        <w:t xml:space="preserve">publiskajās </w:t>
      </w:r>
      <w:r w:rsidR="00D873CE" w:rsidRPr="00714469">
        <w:rPr>
          <w:rFonts w:ascii="Times New Roman" w:hAnsi="Times New Roman"/>
          <w:lang w:val="lv-LV"/>
        </w:rPr>
        <w:t>konsultācijās;</w:t>
      </w:r>
    </w:p>
    <w:p w:rsidR="00D115F2" w:rsidRPr="00714469" w:rsidRDefault="002C2D75" w:rsidP="00E302F6">
      <w:pPr>
        <w:pStyle w:val="ListParagraph"/>
        <w:numPr>
          <w:ilvl w:val="0"/>
          <w:numId w:val="1"/>
        </w:numPr>
        <w:spacing w:before="120" w:line="240" w:lineRule="auto"/>
        <w:contextualSpacing/>
        <w:rPr>
          <w:rFonts w:ascii="Times New Roman" w:hAnsi="Times New Roman"/>
          <w:lang w:val="lv-LV"/>
        </w:rPr>
      </w:pPr>
      <w:r w:rsidRPr="00714469">
        <w:rPr>
          <w:rFonts w:ascii="Times New Roman" w:hAnsi="Times New Roman"/>
          <w:lang w:val="lv-LV"/>
        </w:rPr>
        <w:t xml:space="preserve">Programmas </w:t>
      </w:r>
      <w:r w:rsidR="00D873CE" w:rsidRPr="00714469">
        <w:rPr>
          <w:rFonts w:ascii="Times New Roman" w:hAnsi="Times New Roman"/>
          <w:lang w:val="lv-LV"/>
        </w:rPr>
        <w:t xml:space="preserve">intervences loģika </w:t>
      </w:r>
      <w:r w:rsidR="00B8239C" w:rsidRPr="00714469">
        <w:rPr>
          <w:rFonts w:ascii="Times New Roman" w:hAnsi="Times New Roman"/>
          <w:lang w:val="lv-LV"/>
        </w:rPr>
        <w:t>izstrāde</w:t>
      </w:r>
      <w:r w:rsidR="00D873CE" w:rsidRPr="00714469">
        <w:rPr>
          <w:rFonts w:ascii="Times New Roman" w:hAnsi="Times New Roman"/>
          <w:lang w:val="lv-LV"/>
        </w:rPr>
        <w:t>;</w:t>
      </w:r>
    </w:p>
    <w:p w:rsidR="00D115F2" w:rsidRPr="00714469" w:rsidRDefault="00D873CE" w:rsidP="00E302F6">
      <w:pPr>
        <w:pStyle w:val="ListParagraph"/>
        <w:numPr>
          <w:ilvl w:val="0"/>
          <w:numId w:val="1"/>
        </w:numPr>
        <w:spacing w:before="120" w:line="240" w:lineRule="auto"/>
        <w:contextualSpacing/>
        <w:rPr>
          <w:rFonts w:ascii="Times New Roman" w:hAnsi="Times New Roman"/>
          <w:lang w:val="lv-LV"/>
        </w:rPr>
      </w:pPr>
      <w:r w:rsidRPr="00714469">
        <w:rPr>
          <w:rFonts w:ascii="Times New Roman" w:hAnsi="Times New Roman"/>
          <w:lang w:val="lv-LV"/>
        </w:rPr>
        <w:t xml:space="preserve">prioritāšu </w:t>
      </w:r>
      <w:r w:rsidR="00136769" w:rsidRPr="00714469">
        <w:rPr>
          <w:rFonts w:ascii="Times New Roman" w:hAnsi="Times New Roman"/>
          <w:lang w:val="lv-LV"/>
        </w:rPr>
        <w:t xml:space="preserve">salāgošana </w:t>
      </w:r>
      <w:r w:rsidR="00543A74" w:rsidRPr="00714469">
        <w:rPr>
          <w:rFonts w:ascii="Times New Roman" w:hAnsi="Times New Roman"/>
          <w:lang w:val="lv-LV"/>
        </w:rPr>
        <w:t xml:space="preserve">atbilstoši </w:t>
      </w:r>
      <w:r w:rsidRPr="00714469">
        <w:rPr>
          <w:rFonts w:ascii="Times New Roman" w:hAnsi="Times New Roman"/>
          <w:lang w:val="lv-LV"/>
        </w:rPr>
        <w:t>Eiropas Komisijas noteiktajai pozī</w:t>
      </w:r>
      <w:r w:rsidR="00C41387" w:rsidRPr="00714469">
        <w:rPr>
          <w:rFonts w:ascii="Times New Roman" w:hAnsi="Times New Roman"/>
          <w:lang w:val="lv-LV"/>
        </w:rPr>
        <w:t xml:space="preserve">cijai </w:t>
      </w:r>
      <w:r w:rsidR="00543A74" w:rsidRPr="00714469">
        <w:rPr>
          <w:rFonts w:ascii="Times New Roman" w:hAnsi="Times New Roman"/>
          <w:lang w:val="lv-LV"/>
        </w:rPr>
        <w:t xml:space="preserve">par </w:t>
      </w:r>
      <w:r w:rsidR="00C41387" w:rsidRPr="00714469">
        <w:rPr>
          <w:rFonts w:ascii="Times New Roman" w:hAnsi="Times New Roman"/>
          <w:lang w:val="lv-LV"/>
        </w:rPr>
        <w:t>Partne</w:t>
      </w:r>
      <w:r w:rsidR="00543A74" w:rsidRPr="00714469">
        <w:rPr>
          <w:rFonts w:ascii="Times New Roman" w:hAnsi="Times New Roman"/>
          <w:lang w:val="lv-LV"/>
        </w:rPr>
        <w:t>rības līgumiem</w:t>
      </w:r>
      <w:r w:rsidRPr="00714469">
        <w:rPr>
          <w:rFonts w:ascii="Times New Roman" w:hAnsi="Times New Roman"/>
          <w:lang w:val="lv-LV"/>
        </w:rPr>
        <w:t xml:space="preserve"> </w:t>
      </w:r>
      <w:r w:rsidR="00B8239C" w:rsidRPr="00714469">
        <w:rPr>
          <w:rFonts w:ascii="Times New Roman" w:hAnsi="Times New Roman"/>
          <w:lang w:val="lv-LV"/>
        </w:rPr>
        <w:t xml:space="preserve">ar </w:t>
      </w:r>
      <w:r w:rsidRPr="00714469">
        <w:rPr>
          <w:rFonts w:ascii="Times New Roman" w:hAnsi="Times New Roman"/>
          <w:lang w:val="lv-LV"/>
        </w:rPr>
        <w:t>Latvij</w:t>
      </w:r>
      <w:r w:rsidR="00B8239C" w:rsidRPr="00714469">
        <w:rPr>
          <w:rFonts w:ascii="Times New Roman" w:hAnsi="Times New Roman"/>
          <w:lang w:val="lv-LV"/>
        </w:rPr>
        <w:t>u</w:t>
      </w:r>
      <w:r w:rsidRPr="00714469">
        <w:rPr>
          <w:rFonts w:ascii="Times New Roman" w:hAnsi="Times New Roman"/>
          <w:lang w:val="lv-LV"/>
        </w:rPr>
        <w:t xml:space="preserve"> un Lietuv</w:t>
      </w:r>
      <w:r w:rsidR="00B8239C" w:rsidRPr="00714469">
        <w:rPr>
          <w:rFonts w:ascii="Times New Roman" w:hAnsi="Times New Roman"/>
          <w:lang w:val="lv-LV"/>
        </w:rPr>
        <w:t>u</w:t>
      </w:r>
      <w:r w:rsidRPr="00714469">
        <w:rPr>
          <w:rFonts w:ascii="Times New Roman" w:hAnsi="Times New Roman"/>
          <w:lang w:val="lv-LV"/>
        </w:rPr>
        <w:t>.</w:t>
      </w:r>
    </w:p>
    <w:p w:rsidR="00D115F2" w:rsidRPr="00714469" w:rsidRDefault="00D115F2" w:rsidP="00E302F6">
      <w:pPr>
        <w:pStyle w:val="ListParagraph"/>
        <w:spacing w:before="120" w:line="240" w:lineRule="auto"/>
        <w:contextualSpacing/>
        <w:rPr>
          <w:rFonts w:ascii="Times New Roman" w:hAnsi="Times New Roman"/>
          <w:lang w:val="lv-LV"/>
        </w:rPr>
      </w:pPr>
    </w:p>
    <w:p w:rsidR="00D115F2" w:rsidRPr="00714469" w:rsidRDefault="00905D96" w:rsidP="00E302F6">
      <w:pPr>
        <w:spacing w:before="120" w:line="240" w:lineRule="auto"/>
        <w:rPr>
          <w:rFonts w:ascii="Times New Roman" w:hAnsi="Times New Roman"/>
          <w:lang w:val="lv-LV"/>
        </w:rPr>
      </w:pPr>
      <w:r w:rsidRPr="00714469">
        <w:rPr>
          <w:rFonts w:ascii="Times New Roman" w:hAnsi="Times New Roman"/>
          <w:lang w:val="lv-LV"/>
        </w:rPr>
        <w:t>P</w:t>
      </w:r>
      <w:r w:rsidR="002C67A9" w:rsidRPr="00714469">
        <w:rPr>
          <w:rFonts w:ascii="Times New Roman" w:hAnsi="Times New Roman"/>
          <w:lang w:val="lv-LV"/>
        </w:rPr>
        <w:t xml:space="preserve">rogrammas </w:t>
      </w:r>
      <w:r w:rsidR="00543A74" w:rsidRPr="00714469">
        <w:rPr>
          <w:rFonts w:ascii="Times New Roman" w:hAnsi="Times New Roman"/>
          <w:lang w:val="lv-LV"/>
        </w:rPr>
        <w:t>sagatavošanas</w:t>
      </w:r>
      <w:r w:rsidR="00C22B99" w:rsidRPr="00714469">
        <w:rPr>
          <w:rFonts w:ascii="Times New Roman" w:hAnsi="Times New Roman"/>
          <w:lang w:val="lv-LV"/>
        </w:rPr>
        <w:t xml:space="preserve"> </w:t>
      </w:r>
      <w:r w:rsidR="00B8239C" w:rsidRPr="00714469">
        <w:rPr>
          <w:rFonts w:ascii="Times New Roman" w:hAnsi="Times New Roman"/>
          <w:lang w:val="lv-LV"/>
        </w:rPr>
        <w:t>process tika organizēts tā, lai nodrošinātu</w:t>
      </w:r>
      <w:r w:rsidR="00C22B99" w:rsidRPr="00714469">
        <w:rPr>
          <w:rFonts w:ascii="Times New Roman" w:hAnsi="Times New Roman"/>
          <w:lang w:val="lv-LV"/>
        </w:rPr>
        <w:t xml:space="preserve">, ka uzdevumi un mērķi ir pielāgoti reģionālā un valsts līmeņa stratēģijām, kas savukārt </w:t>
      </w:r>
      <w:r w:rsidR="00B8239C" w:rsidRPr="00714469">
        <w:rPr>
          <w:rFonts w:ascii="Times New Roman" w:hAnsi="Times New Roman"/>
          <w:lang w:val="lv-LV"/>
        </w:rPr>
        <w:t xml:space="preserve">ir sasaistīti ar abu valstu noteiktajām prioritātēm </w:t>
      </w:r>
      <w:r w:rsidR="00C22B99" w:rsidRPr="00714469">
        <w:rPr>
          <w:rFonts w:ascii="Times New Roman" w:hAnsi="Times New Roman"/>
          <w:lang w:val="lv-LV"/>
        </w:rPr>
        <w:t>vidēja termiņa attīstības dokumentos</w:t>
      </w:r>
      <w:r w:rsidR="00B8239C" w:rsidRPr="00714469">
        <w:rPr>
          <w:rFonts w:ascii="Times New Roman" w:hAnsi="Times New Roman"/>
          <w:lang w:val="lv-LV"/>
        </w:rPr>
        <w:t xml:space="preserve"> (</w:t>
      </w:r>
      <w:r w:rsidR="00543A74" w:rsidRPr="00714469">
        <w:rPr>
          <w:rFonts w:ascii="Times New Roman" w:hAnsi="Times New Roman"/>
          <w:lang w:val="lv-LV"/>
        </w:rPr>
        <w:t xml:space="preserve">un </w:t>
      </w:r>
      <w:r w:rsidR="00B8239C" w:rsidRPr="00714469">
        <w:rPr>
          <w:rFonts w:ascii="Times New Roman" w:hAnsi="Times New Roman"/>
          <w:lang w:val="lv-LV"/>
        </w:rPr>
        <w:t>tā</w:t>
      </w:r>
      <w:r w:rsidR="00C22B99" w:rsidRPr="00714469">
        <w:rPr>
          <w:rFonts w:ascii="Times New Roman" w:hAnsi="Times New Roman"/>
          <w:lang w:val="lv-LV"/>
        </w:rPr>
        <w:t xml:space="preserve">, lai sasniegtu </w:t>
      </w:r>
      <w:r w:rsidRPr="00714469">
        <w:rPr>
          <w:rFonts w:ascii="Times New Roman" w:hAnsi="Times New Roman"/>
          <w:lang w:val="lv-LV"/>
        </w:rPr>
        <w:t xml:space="preserve">stratēģijas </w:t>
      </w:r>
      <w:r w:rsidR="00E21E6A">
        <w:rPr>
          <w:rFonts w:ascii="Times New Roman" w:hAnsi="Times New Roman"/>
          <w:lang w:val="lv-LV"/>
        </w:rPr>
        <w:t>„Eiropa</w:t>
      </w:r>
      <w:r w:rsidR="00C22B99" w:rsidRPr="00714469">
        <w:rPr>
          <w:rFonts w:ascii="Times New Roman" w:hAnsi="Times New Roman"/>
          <w:lang w:val="lv-LV"/>
        </w:rPr>
        <w:t xml:space="preserve"> 2020” mērķus</w:t>
      </w:r>
      <w:r w:rsidR="00B8239C" w:rsidRPr="00714469">
        <w:rPr>
          <w:rFonts w:ascii="Times New Roman" w:hAnsi="Times New Roman"/>
          <w:lang w:val="lv-LV"/>
        </w:rPr>
        <w:t>)</w:t>
      </w:r>
      <w:r w:rsidR="00C22B99" w:rsidRPr="00714469">
        <w:rPr>
          <w:rFonts w:ascii="Times New Roman" w:hAnsi="Times New Roman"/>
          <w:lang w:val="lv-LV"/>
        </w:rPr>
        <w:t xml:space="preserve">. </w:t>
      </w:r>
    </w:p>
    <w:p w:rsidR="00D115F2" w:rsidRPr="00714469" w:rsidRDefault="00D115F2" w:rsidP="00E302F6">
      <w:pPr>
        <w:spacing w:before="120" w:line="240" w:lineRule="auto"/>
        <w:rPr>
          <w:rFonts w:ascii="Times New Roman" w:hAnsi="Times New Roman"/>
          <w:b/>
          <w:lang w:val="lv-LV" w:eastAsia="fr-BE"/>
        </w:rPr>
      </w:pPr>
    </w:p>
    <w:p w:rsidR="00D115F2" w:rsidRPr="00714469" w:rsidRDefault="00503BD4" w:rsidP="00E302F6">
      <w:pPr>
        <w:spacing w:before="120" w:line="240" w:lineRule="auto"/>
        <w:rPr>
          <w:rFonts w:ascii="Times New Roman" w:hAnsi="Times New Roman"/>
          <w:b/>
          <w:lang w:val="lv-LV" w:eastAsia="fr-BE"/>
        </w:rPr>
      </w:pPr>
      <w:r w:rsidRPr="00714469">
        <w:rPr>
          <w:rFonts w:ascii="Times New Roman" w:hAnsi="Times New Roman"/>
          <w:b/>
          <w:lang w:val="lv-LV" w:eastAsia="fr-BE"/>
        </w:rPr>
        <w:t>1. tabula: pārskats pār tematisko mērķu izvēles pamatojumu un investīciju prioritātēm</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700"/>
        <w:gridCol w:w="3585"/>
      </w:tblGrid>
      <w:tr w:rsidR="00D115F2" w:rsidRPr="00714469" w:rsidTr="004544E0">
        <w:trPr>
          <w:trHeight w:val="482"/>
        </w:trPr>
        <w:tc>
          <w:tcPr>
            <w:tcW w:w="3168" w:type="dxa"/>
            <w:shd w:val="clear" w:color="auto" w:fill="auto"/>
          </w:tcPr>
          <w:p w:rsidR="00D115F2" w:rsidRPr="00714469" w:rsidRDefault="00503BD4" w:rsidP="00E302F6">
            <w:pPr>
              <w:spacing w:before="120" w:line="240" w:lineRule="auto"/>
              <w:jc w:val="left"/>
              <w:rPr>
                <w:rFonts w:ascii="Times New Roman" w:hAnsi="Times New Roman"/>
                <w:b/>
                <w:sz w:val="20"/>
                <w:szCs w:val="20"/>
                <w:lang w:val="lv-LV" w:eastAsia="fr-BE"/>
              </w:rPr>
            </w:pPr>
            <w:r w:rsidRPr="00714469">
              <w:rPr>
                <w:rFonts w:ascii="Times New Roman" w:hAnsi="Times New Roman"/>
                <w:b/>
                <w:sz w:val="20"/>
                <w:szCs w:val="20"/>
                <w:lang w:val="lv-LV" w:eastAsia="fr-BE"/>
              </w:rPr>
              <w:t>Izvēlētais TM</w:t>
            </w:r>
          </w:p>
        </w:tc>
        <w:tc>
          <w:tcPr>
            <w:tcW w:w="2700" w:type="dxa"/>
            <w:shd w:val="clear" w:color="auto" w:fill="auto"/>
          </w:tcPr>
          <w:p w:rsidR="00D115F2" w:rsidRPr="00714469" w:rsidRDefault="00503BD4" w:rsidP="00E302F6">
            <w:pPr>
              <w:spacing w:before="120" w:line="240" w:lineRule="auto"/>
              <w:jc w:val="left"/>
              <w:rPr>
                <w:rFonts w:ascii="Times New Roman" w:hAnsi="Times New Roman"/>
                <w:b/>
                <w:sz w:val="20"/>
                <w:szCs w:val="20"/>
                <w:lang w:val="lv-LV" w:eastAsia="fr-BE"/>
              </w:rPr>
            </w:pPr>
            <w:r w:rsidRPr="00714469">
              <w:rPr>
                <w:rFonts w:ascii="Times New Roman" w:hAnsi="Times New Roman"/>
                <w:b/>
                <w:sz w:val="20"/>
                <w:szCs w:val="20"/>
                <w:lang w:val="lv-LV" w:eastAsia="fr-BE"/>
              </w:rPr>
              <w:t>Izvēlētā investīciju prioritāte</w:t>
            </w:r>
          </w:p>
        </w:tc>
        <w:tc>
          <w:tcPr>
            <w:tcW w:w="3585" w:type="dxa"/>
            <w:shd w:val="clear" w:color="auto" w:fill="auto"/>
          </w:tcPr>
          <w:p w:rsidR="00D115F2" w:rsidRPr="00714469" w:rsidRDefault="00503BD4" w:rsidP="00E302F6">
            <w:pPr>
              <w:spacing w:before="120" w:line="240" w:lineRule="auto"/>
              <w:jc w:val="left"/>
              <w:rPr>
                <w:rFonts w:ascii="Times New Roman" w:hAnsi="Times New Roman"/>
                <w:b/>
                <w:sz w:val="20"/>
                <w:szCs w:val="20"/>
                <w:lang w:val="lv-LV" w:eastAsia="fr-BE"/>
              </w:rPr>
            </w:pPr>
            <w:r w:rsidRPr="00714469">
              <w:rPr>
                <w:rFonts w:ascii="Times New Roman" w:hAnsi="Times New Roman"/>
                <w:b/>
                <w:sz w:val="20"/>
                <w:szCs w:val="20"/>
                <w:lang w:val="lv-LV" w:eastAsia="fr-BE"/>
              </w:rPr>
              <w:t>Izvēles pamatojums</w:t>
            </w:r>
          </w:p>
        </w:tc>
      </w:tr>
      <w:tr w:rsidR="00D115F2" w:rsidRPr="00C77C1E" w:rsidTr="004544E0">
        <w:trPr>
          <w:trHeight w:val="492"/>
        </w:trPr>
        <w:tc>
          <w:tcPr>
            <w:tcW w:w="3168" w:type="dxa"/>
            <w:shd w:val="clear" w:color="auto" w:fill="auto"/>
          </w:tcPr>
          <w:p w:rsidR="00D115F2" w:rsidRPr="00714469" w:rsidRDefault="00503BD4"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TM 6 – </w:t>
            </w:r>
            <w:r w:rsidR="00B8239C" w:rsidRPr="00714469">
              <w:rPr>
                <w:rFonts w:ascii="Times New Roman" w:hAnsi="Times New Roman"/>
                <w:sz w:val="18"/>
                <w:szCs w:val="18"/>
                <w:lang w:val="lv-LV" w:eastAsia="fr-BE"/>
              </w:rPr>
              <w:t>Vides saglabāšana un aizsardzība un resursu efektīvas izmantošanas veicināšana</w:t>
            </w:r>
          </w:p>
        </w:tc>
        <w:tc>
          <w:tcPr>
            <w:tcW w:w="2700" w:type="dxa"/>
            <w:shd w:val="clear" w:color="auto" w:fill="auto"/>
          </w:tcPr>
          <w:p w:rsidR="00D115F2" w:rsidRPr="00714469" w:rsidRDefault="00503BD4"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(c) </w:t>
            </w:r>
            <w:r w:rsidR="00B8239C" w:rsidRPr="00714469">
              <w:rPr>
                <w:rFonts w:ascii="Times New Roman" w:hAnsi="Times New Roman"/>
                <w:sz w:val="18"/>
                <w:szCs w:val="18"/>
                <w:lang w:val="lv-LV" w:eastAsia="fr-BE"/>
              </w:rPr>
              <w:t>saglabāt, aizsargāt, veicināt un attīstīt dabas un kultūras mantojumu</w:t>
            </w:r>
            <w:r w:rsidR="00543A74" w:rsidRPr="00714469">
              <w:rPr>
                <w:rFonts w:ascii="Times New Roman" w:hAnsi="Times New Roman"/>
                <w:sz w:val="18"/>
                <w:szCs w:val="18"/>
                <w:lang w:val="lv-LV" w:eastAsia="fr-BE"/>
              </w:rPr>
              <w:t>;</w:t>
            </w:r>
          </w:p>
          <w:p w:rsidR="00D115F2" w:rsidRPr="00714469" w:rsidRDefault="00503BD4"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(d) </w:t>
            </w:r>
            <w:r w:rsidR="00B8239C" w:rsidRPr="00714469">
              <w:rPr>
                <w:rFonts w:ascii="Times New Roman" w:hAnsi="Times New Roman"/>
                <w:sz w:val="18"/>
                <w:szCs w:val="18"/>
                <w:lang w:val="lv-LV" w:eastAsia="fr-BE"/>
              </w:rPr>
              <w:t>aizsargāt un atjaunot bioloģisko daudzveidību un augsni un veicināt ekosistēmu pakalpojumus, tostarp izmantojot "Natura 2000", un zaļo infrastruktūru</w:t>
            </w:r>
            <w:r w:rsidR="00543A74" w:rsidRPr="00714469">
              <w:rPr>
                <w:rFonts w:ascii="Times New Roman" w:hAnsi="Times New Roman"/>
                <w:sz w:val="18"/>
                <w:szCs w:val="18"/>
                <w:lang w:val="lv-LV" w:eastAsia="fr-BE"/>
              </w:rPr>
              <w:t>;</w:t>
            </w:r>
          </w:p>
          <w:p w:rsidR="00D115F2" w:rsidRPr="00714469" w:rsidRDefault="00CA1309"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(e)</w:t>
            </w:r>
            <w:r w:rsidR="00B8239C" w:rsidRPr="00714469">
              <w:rPr>
                <w:rFonts w:ascii="Times New Roman" w:hAnsi="Times New Roman"/>
                <w:sz w:val="18"/>
                <w:szCs w:val="18"/>
                <w:lang w:val="lv-LV" w:eastAsia="fr-BE"/>
              </w:rPr>
              <w:t xml:space="preserve"> veikt darbības, lai uzlabotu pilsētvidi, atdzīvinātu pilsētas, atjaunotu un attīrītu pamestas rūpnieciskās teritorijas (tai skaitā pārveidei paredzētās zonas), samazinātu gaisa piesārņojumu un veicināt trokšņa mazināšanas pasākumu</w:t>
            </w:r>
            <w:r w:rsidR="002E5A1F" w:rsidRPr="00714469">
              <w:rPr>
                <w:rFonts w:ascii="Times New Roman" w:hAnsi="Times New Roman"/>
                <w:sz w:val="18"/>
                <w:szCs w:val="18"/>
                <w:lang w:val="lv-LV" w:eastAsia="fr-BE"/>
              </w:rPr>
              <w:t>s</w:t>
            </w:r>
            <w:r w:rsidR="00543A74" w:rsidRPr="00714469">
              <w:rPr>
                <w:rFonts w:ascii="Times New Roman" w:hAnsi="Times New Roman"/>
                <w:sz w:val="18"/>
                <w:szCs w:val="18"/>
                <w:lang w:val="lv-LV" w:eastAsia="fr-BE"/>
              </w:rPr>
              <w:t>.</w:t>
            </w:r>
          </w:p>
        </w:tc>
        <w:tc>
          <w:tcPr>
            <w:tcW w:w="3585" w:type="dxa"/>
            <w:shd w:val="clear" w:color="auto" w:fill="auto"/>
          </w:tcPr>
          <w:p w:rsidR="00D115F2" w:rsidRPr="00714469" w:rsidRDefault="0085771F" w:rsidP="00E302F6">
            <w:pPr>
              <w:spacing w:before="120" w:line="240" w:lineRule="auto"/>
              <w:rPr>
                <w:rFonts w:ascii="Times New Roman" w:hAnsi="Times New Roman"/>
                <w:sz w:val="18"/>
                <w:szCs w:val="18"/>
                <w:lang w:val="lv-LV" w:eastAsia="fr-BE"/>
              </w:rPr>
            </w:pPr>
            <w:r>
              <w:rPr>
                <w:rFonts w:ascii="Times New Roman" w:hAnsi="Times New Roman"/>
                <w:sz w:val="18"/>
                <w:szCs w:val="18"/>
                <w:lang w:val="lv-LV" w:eastAsia="fr-BE"/>
              </w:rPr>
              <w:t>Liels</w:t>
            </w:r>
            <w:r w:rsidRPr="00714469">
              <w:rPr>
                <w:rFonts w:ascii="Times New Roman" w:hAnsi="Times New Roman"/>
                <w:sz w:val="18"/>
                <w:szCs w:val="18"/>
                <w:lang w:val="lv-LV" w:eastAsia="fr-BE"/>
              </w:rPr>
              <w:t xml:space="preserve"> </w:t>
            </w:r>
            <w:r w:rsidR="003145DE" w:rsidRPr="00714469">
              <w:rPr>
                <w:rFonts w:ascii="Times New Roman" w:hAnsi="Times New Roman"/>
                <w:sz w:val="18"/>
                <w:szCs w:val="18"/>
                <w:lang w:val="lv-LV" w:eastAsia="fr-BE"/>
              </w:rPr>
              <w:t>kultūras un dabas mantojuma potenciāls, kas izmantojams tūrisma un izklaides mērķiem.</w:t>
            </w:r>
          </w:p>
          <w:p w:rsidR="00D115F2" w:rsidRPr="00714469" w:rsidRDefault="003145DE"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Nepieciešamība kapitalizēt reģiona priekšrocības</w:t>
            </w:r>
            <w:r w:rsidR="00543A74" w:rsidRPr="00714469">
              <w:rPr>
                <w:rFonts w:ascii="Times New Roman" w:hAnsi="Times New Roman"/>
                <w:sz w:val="18"/>
                <w:szCs w:val="18"/>
                <w:lang w:val="lv-LV" w:eastAsia="fr-BE"/>
              </w:rPr>
              <w:t>.</w:t>
            </w:r>
            <w:r w:rsidR="00D115F2" w:rsidRPr="00714469">
              <w:rPr>
                <w:rFonts w:ascii="Times New Roman" w:hAnsi="Times New Roman"/>
                <w:sz w:val="18"/>
                <w:szCs w:val="18"/>
                <w:lang w:val="lv-LV" w:eastAsia="fr-BE"/>
              </w:rPr>
              <w:t xml:space="preserve"> </w:t>
            </w:r>
          </w:p>
          <w:p w:rsidR="00D115F2" w:rsidRPr="00714469" w:rsidRDefault="003145DE"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Pārrobežu sadarbības potenciāls, lai </w:t>
            </w:r>
            <w:r w:rsidR="00A4208A" w:rsidRPr="00714469">
              <w:rPr>
                <w:rFonts w:ascii="Times New Roman" w:hAnsi="Times New Roman"/>
                <w:sz w:val="18"/>
                <w:szCs w:val="18"/>
                <w:lang w:val="lv-LV" w:eastAsia="fr-BE"/>
              </w:rPr>
              <w:t xml:space="preserve">efektīvāk </w:t>
            </w:r>
            <w:r w:rsidRPr="00714469">
              <w:rPr>
                <w:rFonts w:ascii="Times New Roman" w:hAnsi="Times New Roman"/>
                <w:sz w:val="18"/>
                <w:szCs w:val="18"/>
                <w:lang w:val="lv-LV" w:eastAsia="fr-BE"/>
              </w:rPr>
              <w:t>apsaimniekotu dabas</w:t>
            </w:r>
            <w:r w:rsidR="00800D58" w:rsidRPr="00714469">
              <w:rPr>
                <w:rFonts w:ascii="Times New Roman" w:hAnsi="Times New Roman"/>
                <w:sz w:val="18"/>
                <w:szCs w:val="18"/>
                <w:lang w:val="lv-LV" w:eastAsia="fr-BE"/>
              </w:rPr>
              <w:t xml:space="preserve"> un kultūras resursus reģionos.</w:t>
            </w:r>
          </w:p>
          <w:p w:rsidR="00D115F2" w:rsidRPr="0085771F" w:rsidRDefault="003145DE" w:rsidP="00E302F6">
            <w:pPr>
              <w:spacing w:before="120" w:line="240" w:lineRule="auto"/>
              <w:rPr>
                <w:rFonts w:ascii="Times New Roman" w:hAnsi="Times New Roman"/>
                <w:sz w:val="18"/>
                <w:szCs w:val="18"/>
                <w:lang w:val="lv-LV" w:eastAsia="fr-BE"/>
              </w:rPr>
            </w:pPr>
            <w:r w:rsidRPr="0085771F">
              <w:rPr>
                <w:rFonts w:ascii="Times New Roman" w:hAnsi="Times New Roman"/>
                <w:sz w:val="18"/>
                <w:szCs w:val="18"/>
                <w:lang w:val="lv-LV" w:eastAsia="fr-BE"/>
              </w:rPr>
              <w:t xml:space="preserve">Nepieciešamība atbalstīt iestādes, </w:t>
            </w:r>
            <w:r w:rsidR="00A4208A" w:rsidRPr="0085771F">
              <w:rPr>
                <w:rFonts w:ascii="Times New Roman" w:hAnsi="Times New Roman"/>
                <w:sz w:val="18"/>
                <w:szCs w:val="18"/>
                <w:lang w:val="lv-LV" w:eastAsia="fr-BE"/>
              </w:rPr>
              <w:t xml:space="preserve">kas nodarbojas ar </w:t>
            </w:r>
            <w:r w:rsidRPr="0085771F">
              <w:rPr>
                <w:rFonts w:ascii="Times New Roman" w:hAnsi="Times New Roman"/>
                <w:sz w:val="18"/>
                <w:szCs w:val="18"/>
                <w:lang w:val="lv-LV" w:eastAsia="fr-BE"/>
              </w:rPr>
              <w:t>reģionālā un vietējā līmeņa vides problēm</w:t>
            </w:r>
            <w:r w:rsidR="00A4208A" w:rsidRPr="0085771F">
              <w:rPr>
                <w:rFonts w:ascii="Times New Roman" w:hAnsi="Times New Roman"/>
                <w:sz w:val="18"/>
                <w:szCs w:val="18"/>
                <w:lang w:val="lv-LV" w:eastAsia="fr-BE"/>
              </w:rPr>
              <w:t>u risināšanu</w:t>
            </w:r>
            <w:r w:rsidRPr="0085771F">
              <w:rPr>
                <w:rFonts w:ascii="Times New Roman" w:hAnsi="Times New Roman"/>
                <w:sz w:val="18"/>
                <w:szCs w:val="18"/>
                <w:lang w:val="lv-LV" w:eastAsia="fr-BE"/>
              </w:rPr>
              <w:t>.</w:t>
            </w:r>
          </w:p>
          <w:p w:rsidR="00D115F2" w:rsidRPr="00714469" w:rsidRDefault="00A4208A" w:rsidP="00E302F6">
            <w:pPr>
              <w:spacing w:before="120" w:line="240" w:lineRule="auto"/>
              <w:rPr>
                <w:rFonts w:ascii="Times New Roman" w:hAnsi="Times New Roman"/>
                <w:sz w:val="18"/>
                <w:szCs w:val="18"/>
                <w:lang w:val="lv-LV" w:eastAsia="fr-BE"/>
              </w:rPr>
            </w:pPr>
            <w:r w:rsidRPr="0085771F">
              <w:rPr>
                <w:rFonts w:ascii="Times New Roman" w:hAnsi="Times New Roman"/>
                <w:sz w:val="18"/>
                <w:szCs w:val="18"/>
                <w:lang w:val="lv-LV" w:eastAsia="fr-BE"/>
              </w:rPr>
              <w:t xml:space="preserve">Pieaug cilvēku skaits, kas </w:t>
            </w:r>
            <w:r w:rsidR="003145DE" w:rsidRPr="0085771F">
              <w:rPr>
                <w:rFonts w:ascii="Times New Roman" w:hAnsi="Times New Roman"/>
                <w:sz w:val="18"/>
                <w:szCs w:val="18"/>
                <w:lang w:val="lv-LV" w:eastAsia="fr-BE"/>
              </w:rPr>
              <w:t>saskaras ar vides problēmām.</w:t>
            </w:r>
            <w:r w:rsidR="003145DE" w:rsidRPr="00714469">
              <w:rPr>
                <w:rFonts w:ascii="Times New Roman" w:hAnsi="Times New Roman"/>
                <w:sz w:val="18"/>
                <w:szCs w:val="18"/>
                <w:lang w:val="lv-LV" w:eastAsia="fr-BE"/>
              </w:rPr>
              <w:t xml:space="preserve"> </w:t>
            </w:r>
          </w:p>
          <w:p w:rsidR="00D115F2" w:rsidRPr="00714469" w:rsidRDefault="003145DE"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Ieguldījums stratēģijā „Eiropa 2020” – „Ilgtspējīga izaugsme”.</w:t>
            </w:r>
          </w:p>
          <w:p w:rsidR="00D115F2" w:rsidRPr="00714469" w:rsidRDefault="003145DE"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Ieguldījums ESSBJR, prioritārās sfēras „Bio”, „Tūrisms” un „Kultūra”.</w:t>
            </w:r>
          </w:p>
          <w:p w:rsidR="00D115F2" w:rsidRPr="00714469" w:rsidRDefault="00D115F2" w:rsidP="00E302F6">
            <w:pPr>
              <w:spacing w:before="120" w:line="240" w:lineRule="auto"/>
              <w:rPr>
                <w:rFonts w:ascii="Times New Roman" w:hAnsi="Times New Roman"/>
                <w:sz w:val="18"/>
                <w:szCs w:val="18"/>
                <w:lang w:val="lv-LV" w:eastAsia="fr-BE"/>
              </w:rPr>
            </w:pPr>
          </w:p>
        </w:tc>
      </w:tr>
      <w:tr w:rsidR="00D115F2" w:rsidRPr="00C77C1E" w:rsidTr="004544E0">
        <w:trPr>
          <w:trHeight w:val="492"/>
        </w:trPr>
        <w:tc>
          <w:tcPr>
            <w:tcW w:w="3168" w:type="dxa"/>
            <w:shd w:val="clear" w:color="auto" w:fill="auto"/>
          </w:tcPr>
          <w:p w:rsidR="00D115F2" w:rsidRPr="00714469" w:rsidRDefault="006C1264"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TM 8</w:t>
            </w:r>
            <w:r w:rsidR="003145DE" w:rsidRPr="00714469">
              <w:rPr>
                <w:rFonts w:ascii="Times New Roman" w:hAnsi="Times New Roman"/>
                <w:sz w:val="18"/>
                <w:szCs w:val="18"/>
                <w:lang w:val="lv-LV" w:eastAsia="fr-BE"/>
              </w:rPr>
              <w:t xml:space="preserve"> - </w:t>
            </w:r>
            <w:r w:rsidR="00543A74" w:rsidRPr="00714469">
              <w:rPr>
                <w:rFonts w:ascii="Times New Roman" w:hAnsi="Times New Roman"/>
                <w:sz w:val="18"/>
                <w:szCs w:val="18"/>
                <w:lang w:val="lv-LV" w:eastAsia="fr-BE"/>
              </w:rPr>
              <w:t>S</w:t>
            </w:r>
            <w:r w:rsidR="009D6666" w:rsidRPr="00714469">
              <w:rPr>
                <w:rFonts w:ascii="Times New Roman" w:hAnsi="Times New Roman"/>
                <w:sz w:val="18"/>
                <w:szCs w:val="18"/>
                <w:lang w:val="lv-LV" w:eastAsia="fr-BE"/>
              </w:rPr>
              <w:t>tabilu un kvalitatīvu darba</w:t>
            </w:r>
            <w:r w:rsidR="00A4208A" w:rsidRPr="00714469">
              <w:rPr>
                <w:rFonts w:ascii="Times New Roman" w:hAnsi="Times New Roman"/>
                <w:sz w:val="18"/>
                <w:szCs w:val="18"/>
                <w:lang w:val="lv-LV" w:eastAsia="fr-BE"/>
              </w:rPr>
              <w:t>vietu veicināšana un darbaspēka mobilitātes atbalstīšana</w:t>
            </w:r>
          </w:p>
        </w:tc>
        <w:tc>
          <w:tcPr>
            <w:tcW w:w="2700" w:type="dxa"/>
            <w:shd w:val="clear" w:color="auto" w:fill="auto"/>
          </w:tcPr>
          <w:p w:rsidR="00D115F2" w:rsidRPr="00714469" w:rsidRDefault="003145DE"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(a) </w:t>
            </w:r>
            <w:r w:rsidR="00A4208A" w:rsidRPr="00714469">
              <w:rPr>
                <w:rFonts w:ascii="Times New Roman" w:hAnsi="Times New Roman"/>
                <w:sz w:val="18"/>
                <w:szCs w:val="18"/>
                <w:lang w:val="lv-LV" w:eastAsia="fr-BE"/>
              </w:rPr>
              <w:t xml:space="preserve">atbalstīt uzņēmumu inkubatoru attīstību un investīcijas pašnodarbinātības, mikrouzņēmumu un </w:t>
            </w:r>
            <w:r w:rsidR="000D340E">
              <w:rPr>
                <w:rFonts w:ascii="Times New Roman" w:hAnsi="Times New Roman"/>
                <w:sz w:val="18"/>
                <w:szCs w:val="18"/>
                <w:lang w:val="lv-LV" w:eastAsia="fr-BE"/>
              </w:rPr>
              <w:t>uzņēmējdarbības</w:t>
            </w:r>
            <w:r w:rsidR="000D340E" w:rsidRPr="00714469">
              <w:rPr>
                <w:rFonts w:ascii="Times New Roman" w:hAnsi="Times New Roman"/>
                <w:sz w:val="18"/>
                <w:szCs w:val="18"/>
                <w:lang w:val="lv-LV" w:eastAsia="fr-BE"/>
              </w:rPr>
              <w:t xml:space="preserve"> </w:t>
            </w:r>
            <w:r w:rsidR="00A4208A" w:rsidRPr="00714469">
              <w:rPr>
                <w:rFonts w:ascii="Times New Roman" w:hAnsi="Times New Roman"/>
                <w:sz w:val="18"/>
                <w:szCs w:val="18"/>
                <w:lang w:val="lv-LV" w:eastAsia="fr-BE"/>
              </w:rPr>
              <w:t>izveidē</w:t>
            </w:r>
            <w:r w:rsidRPr="00714469">
              <w:rPr>
                <w:rFonts w:ascii="Times New Roman" w:hAnsi="Times New Roman"/>
                <w:sz w:val="18"/>
                <w:szCs w:val="18"/>
                <w:lang w:val="lv-LV" w:eastAsia="fr-BE"/>
              </w:rPr>
              <w:t>;</w:t>
            </w:r>
          </w:p>
          <w:p w:rsidR="00D115F2" w:rsidRPr="00714469" w:rsidRDefault="006C1264"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(ETS) </w:t>
            </w:r>
            <w:r w:rsidR="00A4208A" w:rsidRPr="00714469">
              <w:rPr>
                <w:rFonts w:ascii="Times New Roman" w:hAnsi="Times New Roman"/>
                <w:sz w:val="18"/>
                <w:szCs w:val="18"/>
                <w:lang w:val="lv-LV" w:eastAsia="fr-BE"/>
              </w:rPr>
              <w:t xml:space="preserve">īstenot pārrobežu darba </w:t>
            </w:r>
            <w:r w:rsidR="00A4208A" w:rsidRPr="00714469">
              <w:rPr>
                <w:rFonts w:ascii="Times New Roman" w:hAnsi="Times New Roman"/>
                <w:sz w:val="18"/>
                <w:szCs w:val="18"/>
                <w:lang w:val="lv-LV" w:eastAsia="fr-BE"/>
              </w:rPr>
              <w:lastRenderedPageBreak/>
              <w:t>tirgu integrāciju, tostarp pārrobežu mobilitāti, kopīgas nodarbinātības iniciatīvas vietējā mērogā, informatīvus un konsultatīvus pakalpojumus un kopīg</w:t>
            </w:r>
            <w:r w:rsidR="009D6666" w:rsidRPr="00714469">
              <w:rPr>
                <w:rFonts w:ascii="Times New Roman" w:hAnsi="Times New Roman"/>
                <w:sz w:val="18"/>
                <w:szCs w:val="18"/>
                <w:lang w:val="lv-LV" w:eastAsia="fr-BE"/>
              </w:rPr>
              <w:t>as apmācības</w:t>
            </w:r>
            <w:r w:rsidR="00543A74" w:rsidRPr="00714469">
              <w:rPr>
                <w:rFonts w:ascii="Times New Roman" w:hAnsi="Times New Roman"/>
                <w:sz w:val="18"/>
                <w:szCs w:val="18"/>
                <w:lang w:val="lv-LV" w:eastAsia="fr-BE"/>
              </w:rPr>
              <w:t>.</w:t>
            </w:r>
            <w:r w:rsidR="00EF5547" w:rsidRPr="00714469">
              <w:rPr>
                <w:rFonts w:ascii="Times New Roman" w:hAnsi="Times New Roman"/>
                <w:sz w:val="18"/>
                <w:szCs w:val="18"/>
                <w:lang w:val="lv-LV" w:eastAsia="fr-BE"/>
              </w:rPr>
              <w:t xml:space="preserve"> </w:t>
            </w:r>
          </w:p>
        </w:tc>
        <w:tc>
          <w:tcPr>
            <w:tcW w:w="3585" w:type="dxa"/>
            <w:shd w:val="clear" w:color="auto" w:fill="auto"/>
          </w:tcPr>
          <w:p w:rsidR="00D115F2" w:rsidRPr="00714469" w:rsidRDefault="00D54ED1"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lastRenderedPageBreak/>
              <w:t>Nepietiekams netiešais uzņēmējdarbības atbalsts un uzņēmējdarbības infrastruktūra reģionos.</w:t>
            </w:r>
          </w:p>
          <w:p w:rsidR="00D115F2" w:rsidRPr="00714469" w:rsidRDefault="00A4208A"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Salīdzinoši lēns </w:t>
            </w:r>
            <w:r w:rsidR="00D54ED1" w:rsidRPr="00714469">
              <w:rPr>
                <w:rFonts w:ascii="Times New Roman" w:hAnsi="Times New Roman"/>
                <w:sz w:val="18"/>
                <w:szCs w:val="18"/>
                <w:lang w:val="lv-LV" w:eastAsia="fr-BE"/>
              </w:rPr>
              <w:t xml:space="preserve">uzņēmumu izveides temps reģionos. </w:t>
            </w:r>
          </w:p>
          <w:p w:rsidR="00D115F2" w:rsidRPr="00714469" w:rsidRDefault="00D54ED1"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Uzņēmumu izveide un reģionu konkurētspēja </w:t>
            </w:r>
            <w:r w:rsidRPr="00714469">
              <w:rPr>
                <w:rFonts w:ascii="Times New Roman" w:hAnsi="Times New Roman"/>
                <w:sz w:val="18"/>
                <w:szCs w:val="18"/>
                <w:lang w:val="lv-LV" w:eastAsia="fr-BE"/>
              </w:rPr>
              <w:lastRenderedPageBreak/>
              <w:t xml:space="preserve">ir prioritāte </w:t>
            </w:r>
            <w:r w:rsidR="00A4208A" w:rsidRPr="00714469">
              <w:rPr>
                <w:rFonts w:ascii="Times New Roman" w:hAnsi="Times New Roman"/>
                <w:sz w:val="18"/>
                <w:szCs w:val="18"/>
                <w:lang w:val="lv-LV" w:eastAsia="fr-BE"/>
              </w:rPr>
              <w:t>gan Latvijai, gan Lietuvai</w:t>
            </w:r>
            <w:r w:rsidRPr="00714469">
              <w:rPr>
                <w:rFonts w:ascii="Times New Roman" w:hAnsi="Times New Roman"/>
                <w:sz w:val="18"/>
                <w:szCs w:val="18"/>
                <w:lang w:val="lv-LV" w:eastAsia="fr-BE"/>
              </w:rPr>
              <w:t>.</w:t>
            </w:r>
            <w:r w:rsidR="00D115F2" w:rsidRPr="00714469">
              <w:rPr>
                <w:rFonts w:ascii="Times New Roman" w:hAnsi="Times New Roman"/>
                <w:sz w:val="18"/>
                <w:szCs w:val="18"/>
                <w:lang w:val="lv-LV" w:eastAsia="fr-BE"/>
              </w:rPr>
              <w:t xml:space="preserve"> </w:t>
            </w:r>
          </w:p>
          <w:p w:rsidR="00D115F2" w:rsidRPr="00714469" w:rsidRDefault="00D54ED1"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Nepieciešamība samazināt augsto ilgtermiņa un jauniešu bezdarba līmeni.</w:t>
            </w:r>
          </w:p>
          <w:p w:rsidR="00D115F2" w:rsidRPr="00714469" w:rsidRDefault="00D54ED1"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Nepieciešamība samazināt neatbilstības starp </w:t>
            </w:r>
            <w:r w:rsidR="00543A74" w:rsidRPr="00714469">
              <w:rPr>
                <w:rFonts w:ascii="Times New Roman" w:hAnsi="Times New Roman"/>
                <w:sz w:val="18"/>
                <w:szCs w:val="18"/>
                <w:lang w:val="lv-LV" w:eastAsia="fr-BE"/>
              </w:rPr>
              <w:t>poten</w:t>
            </w:r>
            <w:r w:rsidR="00A4208A" w:rsidRPr="00714469">
              <w:rPr>
                <w:rFonts w:ascii="Times New Roman" w:hAnsi="Times New Roman"/>
                <w:sz w:val="18"/>
                <w:szCs w:val="18"/>
                <w:lang w:val="lv-LV" w:eastAsia="fr-BE"/>
              </w:rPr>
              <w:t>c</w:t>
            </w:r>
            <w:r w:rsidR="00543A74" w:rsidRPr="00714469">
              <w:rPr>
                <w:rFonts w:ascii="Times New Roman" w:hAnsi="Times New Roman"/>
                <w:sz w:val="18"/>
                <w:szCs w:val="18"/>
                <w:lang w:val="lv-LV" w:eastAsia="fr-BE"/>
              </w:rPr>
              <w:t>i</w:t>
            </w:r>
            <w:r w:rsidR="00A4208A" w:rsidRPr="00714469">
              <w:rPr>
                <w:rFonts w:ascii="Times New Roman" w:hAnsi="Times New Roman"/>
                <w:sz w:val="18"/>
                <w:szCs w:val="18"/>
                <w:lang w:val="lv-LV" w:eastAsia="fr-BE"/>
              </w:rPr>
              <w:t xml:space="preserve">ālo un esošo darba tirgus dalībnieku </w:t>
            </w:r>
            <w:r w:rsidRPr="00714469">
              <w:rPr>
                <w:rFonts w:ascii="Times New Roman" w:hAnsi="Times New Roman"/>
                <w:sz w:val="18"/>
                <w:szCs w:val="18"/>
                <w:lang w:val="lv-LV" w:eastAsia="fr-BE"/>
              </w:rPr>
              <w:t>prasmēm un darba tirgus prasībām.</w:t>
            </w:r>
          </w:p>
          <w:p w:rsidR="00D115F2" w:rsidRPr="00714469" w:rsidRDefault="00D54ED1"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Nepieciešamība uzlabot ceļu </w:t>
            </w:r>
            <w:r w:rsidR="00A4208A" w:rsidRPr="00714469">
              <w:rPr>
                <w:rFonts w:ascii="Times New Roman" w:hAnsi="Times New Roman"/>
                <w:sz w:val="18"/>
                <w:szCs w:val="18"/>
                <w:lang w:val="lv-LV" w:eastAsia="fr-BE"/>
              </w:rPr>
              <w:t>posmus</w:t>
            </w:r>
            <w:r w:rsidRPr="00714469">
              <w:rPr>
                <w:rFonts w:ascii="Times New Roman" w:hAnsi="Times New Roman"/>
                <w:sz w:val="18"/>
                <w:szCs w:val="18"/>
                <w:lang w:val="lv-LV" w:eastAsia="fr-BE"/>
              </w:rPr>
              <w:t>,</w:t>
            </w:r>
            <w:r w:rsidR="00A4208A" w:rsidRPr="00714469">
              <w:rPr>
                <w:rFonts w:ascii="Times New Roman" w:hAnsi="Times New Roman"/>
                <w:sz w:val="18"/>
                <w:szCs w:val="18"/>
                <w:lang w:val="lv-LV" w:eastAsia="fr-BE"/>
              </w:rPr>
              <w:t xml:space="preserve">lai veicinātu </w:t>
            </w:r>
            <w:r w:rsidRPr="00714469">
              <w:rPr>
                <w:rFonts w:ascii="Times New Roman" w:hAnsi="Times New Roman"/>
                <w:sz w:val="18"/>
                <w:szCs w:val="18"/>
                <w:lang w:val="lv-LV" w:eastAsia="fr-BE"/>
              </w:rPr>
              <w:t>pārrobežu mobilitāti.</w:t>
            </w:r>
          </w:p>
          <w:p w:rsidR="00D115F2" w:rsidRPr="00714469" w:rsidRDefault="00D54ED1"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Ieguldījums stratēģijā „Eiropa 2020” – „Integrējošā izaugsme”.</w:t>
            </w:r>
          </w:p>
          <w:p w:rsidR="00D115F2" w:rsidRPr="00714469" w:rsidRDefault="00D54ED1"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Ieguldījums ESSBJR, prioritārās sfēras – „Transports” un „Izglītība”.</w:t>
            </w:r>
          </w:p>
          <w:p w:rsidR="00D115F2" w:rsidRPr="00714469" w:rsidRDefault="00D115F2" w:rsidP="00E302F6">
            <w:pPr>
              <w:spacing w:before="120" w:line="240" w:lineRule="auto"/>
              <w:rPr>
                <w:rFonts w:ascii="Times New Roman" w:hAnsi="Times New Roman"/>
                <w:sz w:val="18"/>
                <w:szCs w:val="18"/>
                <w:lang w:val="lv-LV" w:eastAsia="fr-BE"/>
              </w:rPr>
            </w:pPr>
          </w:p>
        </w:tc>
      </w:tr>
      <w:tr w:rsidR="00D115F2" w:rsidRPr="00C77C1E" w:rsidTr="004544E0">
        <w:trPr>
          <w:trHeight w:val="492"/>
        </w:trPr>
        <w:tc>
          <w:tcPr>
            <w:tcW w:w="3168" w:type="dxa"/>
            <w:shd w:val="clear" w:color="auto" w:fill="auto"/>
          </w:tcPr>
          <w:p w:rsidR="00D115F2" w:rsidRPr="00714469" w:rsidRDefault="00D46E8C"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lastRenderedPageBreak/>
              <w:t xml:space="preserve">TM 9 – </w:t>
            </w:r>
            <w:r w:rsidR="00A4208A" w:rsidRPr="00714469">
              <w:rPr>
                <w:rFonts w:ascii="Times New Roman" w:hAnsi="Times New Roman"/>
                <w:sz w:val="18"/>
                <w:szCs w:val="18"/>
                <w:lang w:val="lv-LV" w:eastAsia="fr-BE"/>
              </w:rPr>
              <w:t>sociālās iekļaušanas veicināšana, cīņa pret nabadzību un jebkādu diskrimināciju</w:t>
            </w:r>
          </w:p>
        </w:tc>
        <w:tc>
          <w:tcPr>
            <w:tcW w:w="2700" w:type="dxa"/>
            <w:shd w:val="clear" w:color="auto" w:fill="auto"/>
          </w:tcPr>
          <w:p w:rsidR="00D115F2" w:rsidRPr="00714469" w:rsidRDefault="00DE7E17"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(a)</w:t>
            </w:r>
            <w:r w:rsidR="00A4208A" w:rsidRPr="00714469">
              <w:rPr>
                <w:rFonts w:ascii="Times New Roman" w:hAnsi="Times New Roman"/>
                <w:sz w:val="18"/>
                <w:szCs w:val="18"/>
                <w:lang w:val="lv-LV" w:eastAsia="fr-BE"/>
              </w:rPr>
              <w:t xml:space="preserve"> investēt veselības aprūpes un sociālajā infrastruktūrā, kas sniedz ieguldījumu valsts, reģionālajā un vietējā attīstībā, mazināt atšķirības veselības stāvokļa ziņā, veicināt sociālo iekļaušanu ar sociālo, kultūras un atpūtas pakalpojumu uzlabotas </w:t>
            </w:r>
            <w:r w:rsidR="006615A6" w:rsidRPr="00714469">
              <w:rPr>
                <w:rFonts w:ascii="Times New Roman" w:hAnsi="Times New Roman"/>
                <w:sz w:val="18"/>
                <w:szCs w:val="18"/>
                <w:lang w:val="lv-LV" w:eastAsia="fr-BE"/>
              </w:rPr>
              <w:t>pieejamības palīdzību un veicinā</w:t>
            </w:r>
            <w:r w:rsidR="00A4208A" w:rsidRPr="00714469">
              <w:rPr>
                <w:rFonts w:ascii="Times New Roman" w:hAnsi="Times New Roman"/>
                <w:sz w:val="18"/>
                <w:szCs w:val="18"/>
                <w:lang w:val="lv-LV" w:eastAsia="fr-BE"/>
              </w:rPr>
              <w:t>t pāreju no institucionāliem uz pašvaldību pakalpojumiem</w:t>
            </w:r>
            <w:r w:rsidR="00543A74" w:rsidRPr="00714469">
              <w:rPr>
                <w:rFonts w:ascii="Times New Roman" w:hAnsi="Times New Roman"/>
                <w:sz w:val="18"/>
                <w:szCs w:val="18"/>
                <w:lang w:val="lv-LV" w:eastAsia="fr-BE"/>
              </w:rPr>
              <w:t>;</w:t>
            </w:r>
            <w:r w:rsidR="00EF5547" w:rsidRPr="00714469">
              <w:rPr>
                <w:rFonts w:ascii="Times New Roman" w:hAnsi="Times New Roman"/>
                <w:sz w:val="18"/>
                <w:szCs w:val="18"/>
                <w:lang w:val="lv-LV" w:eastAsia="fr-BE"/>
              </w:rPr>
              <w:t xml:space="preserve"> </w:t>
            </w:r>
          </w:p>
          <w:p w:rsidR="00D115F2" w:rsidRPr="00714469" w:rsidRDefault="00DE7E17"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(b) </w:t>
            </w:r>
            <w:r w:rsidR="00EF5547" w:rsidRPr="00714469">
              <w:rPr>
                <w:rFonts w:ascii="Times New Roman" w:hAnsi="Times New Roman"/>
                <w:sz w:val="18"/>
                <w:szCs w:val="18"/>
                <w:lang w:val="lv-LV" w:eastAsia="fr-BE"/>
              </w:rPr>
              <w:t>sniegt atbalstu trūcīgu kopienu fiziskai, ekonomiskai un sociālai atjaunošanai pilsētās un lauku rajonos</w:t>
            </w:r>
            <w:r w:rsidRPr="00714469">
              <w:rPr>
                <w:rFonts w:ascii="Times New Roman" w:hAnsi="Times New Roman"/>
                <w:sz w:val="18"/>
                <w:szCs w:val="18"/>
                <w:lang w:val="lv-LV" w:eastAsia="fr-BE"/>
              </w:rPr>
              <w:t>.</w:t>
            </w:r>
          </w:p>
        </w:tc>
        <w:tc>
          <w:tcPr>
            <w:tcW w:w="3585" w:type="dxa"/>
            <w:shd w:val="clear" w:color="auto" w:fill="auto"/>
          </w:tcPr>
          <w:p w:rsidR="00D115F2" w:rsidRPr="00714469" w:rsidRDefault="003A3698"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Nepieciešamība uzlabot sociālos pakalpojumus un infrastruktūru.</w:t>
            </w:r>
          </w:p>
          <w:p w:rsidR="00D115F2" w:rsidRPr="00714469" w:rsidRDefault="003A3698"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Programmas reģionos pastāv ievērojams sociālās atstumtības un nabadzības risks.</w:t>
            </w:r>
          </w:p>
          <w:p w:rsidR="00D115F2" w:rsidRPr="00714469" w:rsidRDefault="00030274"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Augsts ilgtermiņa bezdarba līmenis rada sociālo spriedzi.</w:t>
            </w:r>
            <w:r w:rsidR="00D115F2" w:rsidRPr="00714469">
              <w:rPr>
                <w:rFonts w:ascii="Times New Roman" w:hAnsi="Times New Roman"/>
                <w:sz w:val="18"/>
                <w:szCs w:val="18"/>
                <w:lang w:val="lv-LV" w:eastAsia="fr-BE"/>
              </w:rPr>
              <w:t xml:space="preserve"> </w:t>
            </w:r>
          </w:p>
          <w:p w:rsidR="00D115F2" w:rsidRPr="00714469" w:rsidRDefault="00030274"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Slikti sociālekonomiskie apstākļi lauku un pilsētu kopienās </w:t>
            </w:r>
            <w:r w:rsidR="00EF5547" w:rsidRPr="00714469">
              <w:rPr>
                <w:rFonts w:ascii="Times New Roman" w:hAnsi="Times New Roman"/>
                <w:sz w:val="18"/>
                <w:szCs w:val="18"/>
                <w:lang w:val="lv-LV" w:eastAsia="fr-BE"/>
              </w:rPr>
              <w:t>palēnina reģionu attīstību</w:t>
            </w:r>
            <w:r w:rsidRPr="00714469">
              <w:rPr>
                <w:rFonts w:ascii="Times New Roman" w:hAnsi="Times New Roman"/>
                <w:sz w:val="18"/>
                <w:szCs w:val="18"/>
                <w:lang w:val="lv-LV" w:eastAsia="fr-BE"/>
              </w:rPr>
              <w:t>.</w:t>
            </w:r>
          </w:p>
          <w:p w:rsidR="00D115F2" w:rsidRPr="00714469" w:rsidRDefault="002E417D" w:rsidP="00E302F6">
            <w:pPr>
              <w:spacing w:before="120" w:line="240" w:lineRule="auto"/>
              <w:rPr>
                <w:rFonts w:ascii="Times New Roman" w:hAnsi="Times New Roman"/>
                <w:sz w:val="18"/>
                <w:szCs w:val="18"/>
                <w:lang w:val="lv-LV" w:eastAsia="fr-BE"/>
              </w:rPr>
            </w:pPr>
            <w:r>
              <w:rPr>
                <w:rFonts w:ascii="Times New Roman" w:hAnsi="Times New Roman"/>
                <w:sz w:val="18"/>
                <w:szCs w:val="18"/>
                <w:lang w:val="lv-LV" w:eastAsia="fr-BE"/>
              </w:rPr>
              <w:t>Sociālās atstumtības riskam pakļauto</w:t>
            </w:r>
            <w:r w:rsidR="0091314A" w:rsidRPr="00714469">
              <w:rPr>
                <w:rFonts w:ascii="Times New Roman" w:hAnsi="Times New Roman"/>
                <w:sz w:val="18"/>
                <w:szCs w:val="18"/>
                <w:lang w:val="lv-LV" w:eastAsia="fr-BE"/>
              </w:rPr>
              <w:t xml:space="preserve"> grupu potenciāls netiek ne atbilstoši izpētīts, ne izmantots.</w:t>
            </w:r>
            <w:r w:rsidR="00D115F2" w:rsidRPr="00714469">
              <w:rPr>
                <w:rFonts w:ascii="Times New Roman" w:hAnsi="Times New Roman"/>
                <w:sz w:val="18"/>
                <w:szCs w:val="18"/>
                <w:lang w:val="lv-LV" w:eastAsia="fr-BE"/>
              </w:rPr>
              <w:t xml:space="preserve"> </w:t>
            </w:r>
          </w:p>
          <w:p w:rsidR="00D115F2" w:rsidRPr="00714469" w:rsidRDefault="0091314A"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Ieguldījums stratēģijā „Eiropa 2020” – „Integrējošā izaugsme”.</w:t>
            </w:r>
          </w:p>
          <w:p w:rsidR="00D115F2" w:rsidRPr="00714469" w:rsidRDefault="00D115F2" w:rsidP="00E302F6">
            <w:pPr>
              <w:spacing w:before="120" w:line="240" w:lineRule="auto"/>
              <w:rPr>
                <w:rFonts w:ascii="Times New Roman" w:hAnsi="Times New Roman"/>
                <w:sz w:val="18"/>
                <w:szCs w:val="18"/>
                <w:lang w:val="lv-LV" w:eastAsia="fr-BE"/>
              </w:rPr>
            </w:pPr>
          </w:p>
        </w:tc>
      </w:tr>
      <w:tr w:rsidR="00D115F2" w:rsidRPr="00C77C1E" w:rsidTr="004544E0">
        <w:trPr>
          <w:trHeight w:val="492"/>
        </w:trPr>
        <w:tc>
          <w:tcPr>
            <w:tcW w:w="3168" w:type="dxa"/>
            <w:shd w:val="clear" w:color="auto" w:fill="auto"/>
          </w:tcPr>
          <w:p w:rsidR="00D115F2" w:rsidRPr="00714469" w:rsidRDefault="0076042A"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TM 11 – </w:t>
            </w:r>
            <w:r w:rsidR="00B40A91" w:rsidRPr="00714469">
              <w:rPr>
                <w:rFonts w:ascii="Times New Roman" w:hAnsi="Times New Roman"/>
                <w:sz w:val="18"/>
                <w:szCs w:val="18"/>
                <w:lang w:val="lv-LV" w:eastAsia="fr-BE"/>
              </w:rPr>
              <w:t xml:space="preserve">Publisko iestāžu un iesaistīto personu institucionālo spēju un valsts pārvaldes efektivitātes uzlabošana </w:t>
            </w:r>
          </w:p>
        </w:tc>
        <w:tc>
          <w:tcPr>
            <w:tcW w:w="2700" w:type="dxa"/>
            <w:shd w:val="clear" w:color="auto" w:fill="auto"/>
          </w:tcPr>
          <w:p w:rsidR="00D115F2" w:rsidRPr="00714469" w:rsidRDefault="0076042A" w:rsidP="00E302F6">
            <w:pPr>
              <w:spacing w:before="120" w:line="240" w:lineRule="auto"/>
              <w:jc w:val="left"/>
              <w:rPr>
                <w:rFonts w:ascii="Times New Roman" w:hAnsi="Times New Roman"/>
                <w:sz w:val="18"/>
                <w:szCs w:val="18"/>
                <w:lang w:val="lv-LV" w:eastAsia="fr-BE"/>
              </w:rPr>
            </w:pPr>
            <w:r w:rsidRPr="00714469">
              <w:rPr>
                <w:rFonts w:ascii="Times New Roman" w:hAnsi="Times New Roman"/>
                <w:sz w:val="18"/>
                <w:szCs w:val="18"/>
                <w:lang w:val="lv-LV" w:eastAsia="fr-BE"/>
              </w:rPr>
              <w:t xml:space="preserve">(ETS) </w:t>
            </w:r>
            <w:r w:rsidR="00EF5547" w:rsidRPr="00714469">
              <w:rPr>
                <w:rFonts w:ascii="Times New Roman" w:hAnsi="Times New Roman"/>
                <w:sz w:val="18"/>
                <w:szCs w:val="18"/>
                <w:lang w:val="lv-LV" w:eastAsia="fr-BE"/>
              </w:rPr>
              <w:t>veicināt tiesisko un administratīvo sadarbību un sadarbību starp iedzīvotājiem un iestādēm</w:t>
            </w:r>
            <w:r w:rsidR="00B40A91" w:rsidRPr="00714469">
              <w:rPr>
                <w:rFonts w:ascii="Times New Roman" w:hAnsi="Times New Roman"/>
                <w:sz w:val="18"/>
                <w:szCs w:val="18"/>
                <w:lang w:val="lv-LV" w:eastAsia="fr-BE"/>
              </w:rPr>
              <w:t xml:space="preserve"> </w:t>
            </w:r>
          </w:p>
        </w:tc>
        <w:tc>
          <w:tcPr>
            <w:tcW w:w="3585" w:type="dxa"/>
            <w:shd w:val="clear" w:color="auto" w:fill="auto"/>
          </w:tcPr>
          <w:p w:rsidR="00D115F2" w:rsidRPr="00714469" w:rsidRDefault="001941D5"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Nepieciešams īstenot pārrobežu sadarbību, lai apkarotu pārrobežu noziedzību un risinātu ar civilo aizsardzību saistītās problēmas. </w:t>
            </w:r>
          </w:p>
          <w:p w:rsidR="00D115F2" w:rsidRPr="00714469" w:rsidRDefault="001941D5"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Nelielais attālums starp reģioniem </w:t>
            </w:r>
            <w:r w:rsidR="00EF5547" w:rsidRPr="00714469">
              <w:rPr>
                <w:rFonts w:ascii="Times New Roman" w:hAnsi="Times New Roman"/>
                <w:sz w:val="18"/>
                <w:szCs w:val="18"/>
                <w:lang w:val="lv-LV" w:eastAsia="fr-BE"/>
              </w:rPr>
              <w:t xml:space="preserve">kalpo kā </w:t>
            </w:r>
            <w:r w:rsidRPr="00714469">
              <w:rPr>
                <w:rFonts w:ascii="Times New Roman" w:hAnsi="Times New Roman"/>
                <w:sz w:val="18"/>
                <w:szCs w:val="18"/>
                <w:lang w:val="lv-LV" w:eastAsia="fr-BE"/>
              </w:rPr>
              <w:t>kopīgu pakalpojumu un administratīva</w:t>
            </w:r>
            <w:r w:rsidR="00EF5547" w:rsidRPr="00714469">
              <w:rPr>
                <w:rFonts w:ascii="Times New Roman" w:hAnsi="Times New Roman"/>
                <w:sz w:val="18"/>
                <w:szCs w:val="18"/>
                <w:lang w:val="lv-LV" w:eastAsia="fr-BE"/>
              </w:rPr>
              <w:t>s</w:t>
            </w:r>
            <w:r w:rsidRPr="00714469">
              <w:rPr>
                <w:rFonts w:ascii="Times New Roman" w:hAnsi="Times New Roman"/>
                <w:sz w:val="18"/>
                <w:szCs w:val="18"/>
                <w:lang w:val="lv-LV" w:eastAsia="fr-BE"/>
              </w:rPr>
              <w:t xml:space="preserve"> sadarbības potenciāls. </w:t>
            </w:r>
          </w:p>
          <w:p w:rsidR="00D115F2" w:rsidRPr="00714469" w:rsidRDefault="001941D5" w:rsidP="00E302F6">
            <w:pPr>
              <w:spacing w:before="120" w:line="240" w:lineRule="auto"/>
              <w:rPr>
                <w:rFonts w:ascii="Times New Roman" w:hAnsi="Times New Roman"/>
                <w:sz w:val="18"/>
                <w:szCs w:val="18"/>
                <w:lang w:val="lv-LV" w:eastAsia="fr-BE"/>
              </w:rPr>
            </w:pPr>
            <w:r w:rsidRPr="00714469">
              <w:rPr>
                <w:rFonts w:ascii="Times New Roman" w:hAnsi="Times New Roman"/>
                <w:sz w:val="18"/>
                <w:szCs w:val="18"/>
                <w:lang w:val="lv-LV" w:eastAsia="fr-BE"/>
              </w:rPr>
              <w:t xml:space="preserve">Pārrobežu sadarbības tiesiskais regulējums ir noteikts, tādēļ Programmas ietvaros galveno uzmanību var vērst uz </w:t>
            </w:r>
            <w:r w:rsidR="00EF5547" w:rsidRPr="00714469">
              <w:rPr>
                <w:rFonts w:ascii="Times New Roman" w:hAnsi="Times New Roman"/>
                <w:sz w:val="18"/>
                <w:szCs w:val="18"/>
                <w:lang w:val="lv-LV" w:eastAsia="fr-BE"/>
              </w:rPr>
              <w:t xml:space="preserve">praktiskām </w:t>
            </w:r>
            <w:r w:rsidRPr="00714469">
              <w:rPr>
                <w:rFonts w:ascii="Times New Roman" w:hAnsi="Times New Roman"/>
                <w:sz w:val="18"/>
                <w:szCs w:val="18"/>
                <w:lang w:val="lv-LV" w:eastAsia="fr-BE"/>
              </w:rPr>
              <w:t>sadarbības aktivitātēm.</w:t>
            </w:r>
          </w:p>
          <w:p w:rsidR="00D115F2" w:rsidRPr="00714469" w:rsidRDefault="001941D5" w:rsidP="00E302F6">
            <w:pPr>
              <w:spacing w:before="120" w:line="240" w:lineRule="auto"/>
              <w:rPr>
                <w:rFonts w:ascii="Times New Roman" w:hAnsi="Times New Roman"/>
                <w:noProof/>
                <w:sz w:val="18"/>
                <w:szCs w:val="18"/>
                <w:lang w:val="lv-LV" w:eastAsia="fr-BE"/>
              </w:rPr>
            </w:pPr>
            <w:r w:rsidRPr="00714469">
              <w:rPr>
                <w:rFonts w:ascii="Times New Roman" w:hAnsi="Times New Roman"/>
                <w:noProof/>
                <w:sz w:val="18"/>
                <w:szCs w:val="18"/>
                <w:lang w:val="lv-LV" w:eastAsia="fr-BE"/>
              </w:rPr>
              <w:t>Ieguldījums stratēģijā „Eiropa 2020” – „Integrējošā izaugsme”.</w:t>
            </w:r>
          </w:p>
          <w:p w:rsidR="00D115F2" w:rsidRPr="00714469" w:rsidRDefault="001941D5" w:rsidP="00E302F6">
            <w:pPr>
              <w:spacing w:before="120" w:line="240" w:lineRule="auto"/>
              <w:rPr>
                <w:rFonts w:ascii="Times New Roman" w:hAnsi="Times New Roman"/>
                <w:noProof/>
                <w:sz w:val="18"/>
                <w:szCs w:val="18"/>
                <w:lang w:val="lv-LV" w:eastAsia="fr-BE"/>
              </w:rPr>
            </w:pPr>
            <w:r w:rsidRPr="00714469">
              <w:rPr>
                <w:rFonts w:ascii="Times New Roman" w:hAnsi="Times New Roman"/>
                <w:noProof/>
                <w:sz w:val="18"/>
                <w:szCs w:val="18"/>
                <w:lang w:val="lv-LV" w:eastAsia="fr-BE"/>
              </w:rPr>
              <w:t>Ieguldījums ESSBJR, prioritārā sfēra – „Kaimiņi”.</w:t>
            </w:r>
          </w:p>
        </w:tc>
      </w:tr>
    </w:tbl>
    <w:p w:rsidR="00D115F2" w:rsidRPr="00543A74" w:rsidRDefault="00D115F2" w:rsidP="00E302F6">
      <w:pPr>
        <w:spacing w:before="120" w:line="240" w:lineRule="auto"/>
        <w:rPr>
          <w:lang w:val="lv-LV"/>
        </w:rPr>
      </w:pPr>
    </w:p>
    <w:p w:rsidR="00D115F2" w:rsidRPr="00714469" w:rsidRDefault="0061622C" w:rsidP="00E302F6">
      <w:pPr>
        <w:spacing w:before="120" w:line="240" w:lineRule="auto"/>
        <w:rPr>
          <w:rFonts w:ascii="Times New Roman" w:hAnsi="Times New Roman"/>
          <w:bCs/>
          <w:lang w:val="lv-LV"/>
        </w:rPr>
      </w:pPr>
      <w:r w:rsidRPr="00714469">
        <w:rPr>
          <w:rFonts w:ascii="Times New Roman" w:hAnsi="Times New Roman"/>
          <w:bCs/>
          <w:lang w:val="lv-LV"/>
        </w:rPr>
        <w:t xml:space="preserve">Dalībvalstis nolēma, ka Programma sniegs ieguldījumu četros TM. TM ir </w:t>
      </w:r>
      <w:r w:rsidR="00EF5547" w:rsidRPr="00714469">
        <w:rPr>
          <w:rFonts w:ascii="Times New Roman" w:hAnsi="Times New Roman"/>
          <w:bCs/>
          <w:lang w:val="lv-LV"/>
        </w:rPr>
        <w:t xml:space="preserve">integrēti </w:t>
      </w:r>
      <w:r w:rsidRPr="00714469">
        <w:rPr>
          <w:rFonts w:ascii="Times New Roman" w:hAnsi="Times New Roman"/>
          <w:bCs/>
          <w:lang w:val="lv-LV"/>
        </w:rPr>
        <w:t>Programmas prioritātē</w:t>
      </w:r>
      <w:r w:rsidR="00EF5547" w:rsidRPr="00714469">
        <w:rPr>
          <w:rFonts w:ascii="Times New Roman" w:hAnsi="Times New Roman"/>
          <w:bCs/>
          <w:lang w:val="lv-LV"/>
        </w:rPr>
        <w:t>s</w:t>
      </w:r>
      <w:r w:rsidRPr="00714469">
        <w:rPr>
          <w:rFonts w:ascii="Times New Roman" w:hAnsi="Times New Roman"/>
          <w:bCs/>
          <w:lang w:val="lv-LV"/>
        </w:rPr>
        <w:t>. Izvēles pamatā ir Programmas teritorij</w:t>
      </w:r>
      <w:r w:rsidR="00EF5547" w:rsidRPr="00714469">
        <w:rPr>
          <w:rFonts w:ascii="Times New Roman" w:hAnsi="Times New Roman"/>
          <w:bCs/>
          <w:lang w:val="lv-LV"/>
        </w:rPr>
        <w:t>ai</w:t>
      </w:r>
      <w:r w:rsidRPr="00714469">
        <w:rPr>
          <w:rFonts w:ascii="Times New Roman" w:hAnsi="Times New Roman"/>
          <w:bCs/>
          <w:lang w:val="lv-LV"/>
        </w:rPr>
        <w:t xml:space="preserve"> raksturīgās iezīmes, apzinātās vajadzības un problēmas, </w:t>
      </w:r>
      <w:r w:rsidR="00EF5547" w:rsidRPr="00714469">
        <w:rPr>
          <w:rFonts w:ascii="Times New Roman" w:hAnsi="Times New Roman"/>
          <w:bCs/>
          <w:lang w:val="lv-LV"/>
        </w:rPr>
        <w:t>ko plānots risināt</w:t>
      </w:r>
      <w:r w:rsidRPr="00714469">
        <w:rPr>
          <w:rFonts w:ascii="Times New Roman" w:hAnsi="Times New Roman"/>
          <w:bCs/>
          <w:lang w:val="lv-LV"/>
        </w:rPr>
        <w:t>, īstenojot pārrobežu sadarbību. Ikviens no izvēlētajiem TM sekmē Programmas mērķa sasniegšanu.</w:t>
      </w:r>
    </w:p>
    <w:p w:rsidR="007419A3" w:rsidRPr="00714469" w:rsidRDefault="0061622C" w:rsidP="00E302F6">
      <w:pPr>
        <w:spacing w:before="120" w:line="240" w:lineRule="auto"/>
        <w:rPr>
          <w:rFonts w:ascii="Times New Roman" w:hAnsi="Times New Roman"/>
          <w:bCs/>
          <w:lang w:val="lv-LV"/>
        </w:rPr>
      </w:pPr>
      <w:r w:rsidRPr="00714469">
        <w:rPr>
          <w:rFonts w:ascii="Times New Roman" w:hAnsi="Times New Roman"/>
          <w:bCs/>
          <w:lang w:val="lv-LV"/>
        </w:rPr>
        <w:t xml:space="preserve">Sīkāka informācija saistībā ar ieguldījumu stratēģijā „ES 2020” ir minēta Programmas dokumenta 4. </w:t>
      </w:r>
      <w:r w:rsidR="00EF5547" w:rsidRPr="00714469">
        <w:rPr>
          <w:rFonts w:ascii="Times New Roman" w:hAnsi="Times New Roman"/>
          <w:bCs/>
          <w:lang w:val="lv-LV"/>
        </w:rPr>
        <w:t>nodaļā</w:t>
      </w:r>
      <w:r w:rsidRPr="00714469">
        <w:rPr>
          <w:rFonts w:ascii="Times New Roman" w:hAnsi="Times New Roman"/>
          <w:bCs/>
          <w:lang w:val="lv-LV"/>
        </w:rPr>
        <w:t>, un galveno TM ieguldījumu pārskats</w:t>
      </w:r>
      <w:r w:rsidR="0053020B">
        <w:rPr>
          <w:rFonts w:ascii="Times New Roman" w:hAnsi="Times New Roman"/>
          <w:bCs/>
          <w:lang w:val="lv-LV"/>
        </w:rPr>
        <w:t>(skat. 1.pielikuma 3.attēls)</w:t>
      </w:r>
      <w:r w:rsidRPr="00714469">
        <w:rPr>
          <w:rFonts w:ascii="Times New Roman" w:hAnsi="Times New Roman"/>
          <w:bCs/>
          <w:lang w:val="lv-LV"/>
        </w:rPr>
        <w:t>.</w:t>
      </w:r>
    </w:p>
    <w:p w:rsidR="007419A3" w:rsidRPr="00543A74" w:rsidRDefault="007419A3" w:rsidP="00775C7A">
      <w:pPr>
        <w:widowControl w:val="0"/>
        <w:autoSpaceDE w:val="0"/>
        <w:autoSpaceDN w:val="0"/>
        <w:adjustRightInd w:val="0"/>
        <w:spacing w:before="120" w:line="240" w:lineRule="auto"/>
        <w:rPr>
          <w:rFonts w:ascii="Times New Roman" w:hAnsi="Times New Roman"/>
          <w:lang w:val="lv-LV"/>
        </w:rPr>
        <w:sectPr w:rsidR="007419A3" w:rsidRPr="00543A74" w:rsidSect="00775C7A">
          <w:headerReference w:type="default" r:id="rId9"/>
          <w:footerReference w:type="default" r:id="rId10"/>
          <w:footerReference w:type="first" r:id="rId11"/>
          <w:pgSz w:w="11900" w:h="16840"/>
          <w:pgMar w:top="1418" w:right="1418" w:bottom="1134" w:left="1701" w:header="720" w:footer="720" w:gutter="0"/>
          <w:cols w:space="720" w:equalWidth="0">
            <w:col w:w="8722"/>
          </w:cols>
          <w:noEndnote/>
          <w:titlePg/>
          <w:docGrid w:linePitch="326"/>
        </w:sectPr>
      </w:pPr>
    </w:p>
    <w:p w:rsidR="007419A3" w:rsidRPr="00543A74" w:rsidRDefault="007419A3" w:rsidP="00E302F6">
      <w:pPr>
        <w:widowControl w:val="0"/>
        <w:autoSpaceDE w:val="0"/>
        <w:autoSpaceDN w:val="0"/>
        <w:adjustRightInd w:val="0"/>
        <w:spacing w:before="120" w:line="240" w:lineRule="auto"/>
        <w:rPr>
          <w:rFonts w:ascii="Times New Roman" w:hAnsi="Times New Roman"/>
          <w:lang w:val="lv-LV"/>
        </w:rPr>
      </w:pPr>
    </w:p>
    <w:p w:rsidR="00D115F2" w:rsidRPr="00197F9C" w:rsidRDefault="00451AD5" w:rsidP="00D66FB7">
      <w:pPr>
        <w:pStyle w:val="Heading2"/>
        <w:rPr>
          <w:lang w:val="lv-LV"/>
        </w:rPr>
      </w:pPr>
      <w:bookmarkStart w:id="6" w:name="_Toc372107591"/>
      <w:bookmarkStart w:id="7" w:name="_Toc384383725"/>
      <w:r w:rsidRPr="00451AD5">
        <w:rPr>
          <w:lang w:val="lv-LV"/>
        </w:rPr>
        <w:t>1.2. Līdzekļu piešķiršanas pamatojums</w:t>
      </w:r>
      <w:bookmarkEnd w:id="6"/>
      <w:bookmarkEnd w:id="7"/>
    </w:p>
    <w:p w:rsidR="00C02B25" w:rsidRPr="000B2E90" w:rsidRDefault="00F01BA6" w:rsidP="00E302F6">
      <w:pPr>
        <w:pStyle w:val="Text1"/>
        <w:spacing w:before="120" w:line="240" w:lineRule="auto"/>
        <w:ind w:left="0" w:right="-716"/>
        <w:rPr>
          <w:szCs w:val="24"/>
          <w:lang w:val="lv-LV"/>
        </w:rPr>
      </w:pPr>
      <w:r w:rsidRPr="00F01BA6">
        <w:rPr>
          <w:szCs w:val="24"/>
          <w:lang w:val="lv-LV"/>
        </w:rPr>
        <w:t xml:space="preserve">Galvenais mērķis finansējuma piešķīrumasadalījumam pa Programmas tematiskajiem mērķiem (prioritātēm), ir ar pieejamo resursu palīdzību sasniegt Programmas rezultātus. </w:t>
      </w:r>
    </w:p>
    <w:p w:rsidR="00C62082" w:rsidRPr="000B2E90" w:rsidRDefault="00F01BA6" w:rsidP="00E302F6">
      <w:pPr>
        <w:pStyle w:val="Text1"/>
        <w:spacing w:before="120" w:line="240" w:lineRule="auto"/>
        <w:ind w:left="0" w:right="-716"/>
        <w:rPr>
          <w:szCs w:val="24"/>
          <w:lang w:val="lv-LV"/>
        </w:rPr>
      </w:pPr>
      <w:r w:rsidRPr="00F01BA6">
        <w:rPr>
          <w:szCs w:val="24"/>
          <w:lang w:val="lv-LV"/>
        </w:rPr>
        <w:t>Programmu finansē Eiropas Reģionālais attīstības fonds (</w:t>
      </w:r>
      <w:r w:rsidR="000B2E90" w:rsidRPr="001A69B6">
        <w:rPr>
          <w:szCs w:val="24"/>
          <w:lang w:val="lv-LV"/>
        </w:rPr>
        <w:t xml:space="preserve">turpmāk - </w:t>
      </w:r>
      <w:r w:rsidRPr="001A69B6">
        <w:rPr>
          <w:szCs w:val="24"/>
          <w:lang w:val="lv-LV"/>
        </w:rPr>
        <w:t>ERAF</w:t>
      </w:r>
      <w:r w:rsidRPr="00E57B95">
        <w:rPr>
          <w:rFonts w:ascii="Verdana" w:hAnsi="Verdana"/>
          <w:sz w:val="20"/>
          <w:szCs w:val="24"/>
          <w:lang w:val="lv-LV"/>
        </w:rPr>
        <w:t xml:space="preserve">). </w:t>
      </w:r>
      <w:r w:rsidRPr="00F01BA6">
        <w:rPr>
          <w:szCs w:val="24"/>
          <w:lang w:val="lv-LV"/>
        </w:rPr>
        <w:t xml:space="preserve">Kopējais ERAF finansējums programmai ir 54 966 201 </w:t>
      </w:r>
      <w:r w:rsidRPr="00D74F62">
        <w:rPr>
          <w:szCs w:val="24"/>
          <w:lang w:val="lv-LV"/>
        </w:rPr>
        <w:t>e</w:t>
      </w:r>
      <w:r w:rsidR="00D74F62" w:rsidRPr="00D74F62">
        <w:rPr>
          <w:szCs w:val="24"/>
          <w:lang w:val="lv-LV"/>
        </w:rPr>
        <w:t>u</w:t>
      </w:r>
      <w:r w:rsidRPr="00D74F62">
        <w:rPr>
          <w:szCs w:val="24"/>
          <w:lang w:val="lv-LV"/>
        </w:rPr>
        <w:t>ro</w:t>
      </w:r>
      <w:r w:rsidR="004E0D5B" w:rsidRPr="004E0D5B">
        <w:rPr>
          <w:i/>
          <w:szCs w:val="24"/>
          <w:lang w:val="lv-LV"/>
        </w:rPr>
        <w:t>,</w:t>
      </w:r>
      <w:r w:rsidR="00EC5685">
        <w:rPr>
          <w:szCs w:val="24"/>
          <w:lang w:val="lv-LV"/>
        </w:rPr>
        <w:t xml:space="preserve"> </w:t>
      </w:r>
      <w:r w:rsidRPr="00F01BA6">
        <w:rPr>
          <w:szCs w:val="24"/>
          <w:lang w:val="lv-LV"/>
        </w:rPr>
        <w:t>no tā 6% (3 297</w:t>
      </w:r>
      <w:r w:rsidR="00EC5685">
        <w:rPr>
          <w:szCs w:val="24"/>
          <w:lang w:val="lv-LV"/>
        </w:rPr>
        <w:t> </w:t>
      </w:r>
      <w:r w:rsidRPr="00F01BA6">
        <w:rPr>
          <w:szCs w:val="24"/>
          <w:lang w:val="lv-LV"/>
        </w:rPr>
        <w:t>972</w:t>
      </w:r>
      <w:r w:rsidR="00EC5685">
        <w:rPr>
          <w:szCs w:val="24"/>
          <w:lang w:val="lv-LV"/>
        </w:rPr>
        <w:t xml:space="preserve"> euro</w:t>
      </w:r>
      <w:r w:rsidRPr="00F01BA6">
        <w:rPr>
          <w:szCs w:val="24"/>
          <w:lang w:val="lv-LV"/>
        </w:rPr>
        <w:t>) ir  jāparedz tehniskajai palīdzībai.</w:t>
      </w:r>
    </w:p>
    <w:p w:rsidR="00C02B25" w:rsidRPr="000B2E90" w:rsidRDefault="00F01BA6" w:rsidP="00E302F6">
      <w:pPr>
        <w:pStyle w:val="Text1"/>
        <w:spacing w:before="120" w:line="240" w:lineRule="auto"/>
        <w:ind w:left="0" w:right="-716"/>
        <w:rPr>
          <w:szCs w:val="24"/>
          <w:lang w:val="lv-LV"/>
        </w:rPr>
      </w:pPr>
      <w:r w:rsidRPr="00F01BA6">
        <w:rPr>
          <w:szCs w:val="24"/>
          <w:lang w:val="lv-LV"/>
        </w:rPr>
        <w:t>Galvenie argumenti finansiālo saistību uzņemšanai katrā prioritātē ir sagaidāmie rezultāti, ieplānotie darbību veidi katrā no prioritātēm, kā arī iespējamās īstenojamās investīcijas. Papildus ir ņemta vērā 2007 – 2013.gada Programmas pieredze.</w:t>
      </w:r>
    </w:p>
    <w:p w:rsidR="00C02B25" w:rsidRPr="000B2E90" w:rsidRDefault="00F01BA6" w:rsidP="00E302F6">
      <w:pPr>
        <w:pStyle w:val="Text1"/>
        <w:spacing w:before="120" w:line="240" w:lineRule="auto"/>
        <w:ind w:left="0" w:right="-716"/>
        <w:rPr>
          <w:szCs w:val="24"/>
          <w:lang w:val="lv-LV"/>
        </w:rPr>
      </w:pPr>
      <w:r w:rsidRPr="00F01BA6">
        <w:rPr>
          <w:szCs w:val="24"/>
          <w:lang w:val="lv-LV"/>
        </w:rPr>
        <w:t>27% no kopējā ES finansējuma (izņemot TP) tiek iedalīti 1.prioritārajam virzienam.</w:t>
      </w:r>
      <w:r w:rsidR="006C116E" w:rsidRPr="006C116E">
        <w:rPr>
          <w:szCs w:val="24"/>
          <w:lang w:val="lv-LV"/>
        </w:rPr>
        <w:t xml:space="preserve"> </w:t>
      </w:r>
      <w:r w:rsidR="006C116E">
        <w:rPr>
          <w:szCs w:val="24"/>
          <w:lang w:val="lv-LV"/>
        </w:rPr>
        <w:t xml:space="preserve">Šīs prioritātes ietvaros </w:t>
      </w:r>
      <w:r w:rsidR="006C116E" w:rsidRPr="00F01BA6">
        <w:rPr>
          <w:szCs w:val="24"/>
          <w:lang w:val="lv-LV"/>
        </w:rPr>
        <w:t>ir noteikti trīs</w:t>
      </w:r>
      <w:r w:rsidR="006C116E">
        <w:rPr>
          <w:szCs w:val="24"/>
          <w:lang w:val="lv-LV"/>
        </w:rPr>
        <w:t xml:space="preserve"> </w:t>
      </w:r>
      <w:r w:rsidR="00D81987">
        <w:rPr>
          <w:szCs w:val="24"/>
          <w:lang w:val="lv-LV"/>
        </w:rPr>
        <w:t xml:space="preserve">sasniedzamie </w:t>
      </w:r>
      <w:r w:rsidR="00B95321">
        <w:rPr>
          <w:szCs w:val="24"/>
          <w:lang w:val="lv-LV"/>
        </w:rPr>
        <w:t xml:space="preserve"> konkrētie</w:t>
      </w:r>
      <w:r w:rsidR="006C116E">
        <w:rPr>
          <w:szCs w:val="24"/>
          <w:lang w:val="lv-LV"/>
        </w:rPr>
        <w:t xml:space="preserve"> mērķi</w:t>
      </w:r>
      <w:r w:rsidR="006C116E" w:rsidRPr="00F01BA6">
        <w:rPr>
          <w:szCs w:val="24"/>
          <w:lang w:val="lv-LV"/>
        </w:rPr>
        <w:t>.</w:t>
      </w:r>
      <w:r w:rsidRPr="00F01BA6">
        <w:rPr>
          <w:szCs w:val="24"/>
          <w:lang w:val="lv-LV"/>
        </w:rPr>
        <w:t xml:space="preserve"> Lai sasniegtu plānotos rezultātus (palielināt apmeklētāju skaitu Programmas teritorijā; uzlabot dabas resursu kopīgu apsaimniekošanu; Programmas teritorijā</w:t>
      </w:r>
      <w:r w:rsidR="006C116E">
        <w:rPr>
          <w:szCs w:val="24"/>
          <w:lang w:val="lv-LV"/>
        </w:rPr>
        <w:t>, samazināt pašvaldību</w:t>
      </w:r>
      <w:r w:rsidR="009030E0">
        <w:rPr>
          <w:szCs w:val="24"/>
          <w:lang w:val="lv-LV"/>
        </w:rPr>
        <w:t xml:space="preserve"> teritoriju</w:t>
      </w:r>
      <w:r w:rsidR="006C116E">
        <w:rPr>
          <w:szCs w:val="24"/>
          <w:lang w:val="lv-LV"/>
        </w:rPr>
        <w:t>, kur</w:t>
      </w:r>
      <w:r w:rsidR="009030E0">
        <w:rPr>
          <w:szCs w:val="24"/>
          <w:lang w:val="lv-LV"/>
        </w:rPr>
        <w:t>ās ir vides problēmas, skaitu,</w:t>
      </w:r>
      <w:r w:rsidRPr="00F01BA6">
        <w:rPr>
          <w:szCs w:val="24"/>
          <w:lang w:val="lv-LV"/>
        </w:rPr>
        <w:t xml:space="preserve">) </w:t>
      </w:r>
      <w:r w:rsidR="009030E0">
        <w:rPr>
          <w:szCs w:val="24"/>
          <w:lang w:val="lv-LV"/>
        </w:rPr>
        <w:t xml:space="preserve">ir </w:t>
      </w:r>
      <w:r w:rsidRPr="00F01BA6">
        <w:rPr>
          <w:szCs w:val="24"/>
          <w:lang w:val="lv-LV"/>
        </w:rPr>
        <w:t>paredzēta liela Programmas līdzekļu daļa</w:t>
      </w:r>
      <w:r w:rsidR="009030E0">
        <w:rPr>
          <w:szCs w:val="24"/>
          <w:lang w:val="lv-LV"/>
        </w:rPr>
        <w:t>1.</w:t>
      </w:r>
      <w:r w:rsidR="009030E0" w:rsidRPr="00F01BA6">
        <w:rPr>
          <w:szCs w:val="24"/>
          <w:lang w:val="lv-LV"/>
        </w:rPr>
        <w:t>prioritāt</w:t>
      </w:r>
      <w:r w:rsidR="009030E0">
        <w:rPr>
          <w:szCs w:val="24"/>
          <w:lang w:val="lv-LV"/>
        </w:rPr>
        <w:t xml:space="preserve">es ietvaros </w:t>
      </w:r>
      <w:r w:rsidRPr="00F01BA6">
        <w:rPr>
          <w:szCs w:val="24"/>
          <w:lang w:val="lv-LV"/>
        </w:rPr>
        <w:t>tiek paredzēti arī ieguldījumi infrastruktūrā.</w:t>
      </w:r>
    </w:p>
    <w:p w:rsidR="00C02B25" w:rsidRPr="000B2E90" w:rsidRDefault="00F01BA6" w:rsidP="00E302F6">
      <w:pPr>
        <w:pStyle w:val="Text1"/>
        <w:spacing w:before="120" w:line="240" w:lineRule="auto"/>
        <w:ind w:left="0" w:right="-716"/>
        <w:rPr>
          <w:szCs w:val="24"/>
          <w:lang w:val="lv-LV"/>
        </w:rPr>
      </w:pPr>
      <w:r w:rsidRPr="00F01BA6">
        <w:rPr>
          <w:szCs w:val="24"/>
          <w:lang w:val="lv-LV"/>
        </w:rPr>
        <w:t>35% no kopējā ES finansējuma (izņem</w:t>
      </w:r>
      <w:r w:rsidR="00E57B95">
        <w:rPr>
          <w:szCs w:val="24"/>
          <w:lang w:val="lv-LV"/>
        </w:rPr>
        <w:t>o</w:t>
      </w:r>
      <w:r w:rsidRPr="00F01BA6">
        <w:rPr>
          <w:szCs w:val="24"/>
          <w:lang w:val="lv-LV"/>
        </w:rPr>
        <w:t xml:space="preserve">t TP) tiek iedalīti 2.prioritārajam virzienam. </w:t>
      </w:r>
      <w:r w:rsidR="00D81987">
        <w:rPr>
          <w:szCs w:val="24"/>
          <w:lang w:val="lv-LV"/>
        </w:rPr>
        <w:t xml:space="preserve">Šīs prioritātes ietvaros ir noteikti divi sasniedzamie </w:t>
      </w:r>
      <w:r w:rsidR="00B95321">
        <w:rPr>
          <w:szCs w:val="24"/>
          <w:lang w:val="lv-LV"/>
        </w:rPr>
        <w:t xml:space="preserve"> konkrētie</w:t>
      </w:r>
      <w:r w:rsidR="00D81987">
        <w:rPr>
          <w:szCs w:val="24"/>
          <w:lang w:val="lv-LV"/>
        </w:rPr>
        <w:t xml:space="preserve"> mērķi</w:t>
      </w:r>
      <w:r w:rsidR="00D81987" w:rsidRPr="00F01BA6">
        <w:rPr>
          <w:szCs w:val="24"/>
          <w:lang w:val="lv-LV"/>
        </w:rPr>
        <w:t xml:space="preserve"> </w:t>
      </w:r>
      <w:r w:rsidR="00D81987">
        <w:rPr>
          <w:szCs w:val="24"/>
          <w:lang w:val="lv-LV"/>
        </w:rPr>
        <w:t>.</w:t>
      </w:r>
      <w:r w:rsidRPr="00F01BA6">
        <w:rPr>
          <w:szCs w:val="24"/>
          <w:lang w:val="lv-LV"/>
        </w:rPr>
        <w:t xml:space="preserve">Viens no būtiskākajiem programmas rezultātiem ir </w:t>
      </w:r>
      <w:r w:rsidR="00D81987">
        <w:rPr>
          <w:szCs w:val="24"/>
          <w:lang w:val="lv-LV"/>
        </w:rPr>
        <w:t xml:space="preserve">paaukstināt ekonomisko aktivitāti programmas teritorijā, </w:t>
      </w:r>
      <w:r w:rsidRPr="00F01BA6">
        <w:rPr>
          <w:szCs w:val="24"/>
          <w:lang w:val="lv-LV"/>
        </w:rPr>
        <w:t>radīt iespējas uzņēmumu dibināšanai</w:t>
      </w:r>
      <w:r w:rsidR="00D81987">
        <w:rPr>
          <w:szCs w:val="24"/>
          <w:lang w:val="lv-LV"/>
        </w:rPr>
        <w:t xml:space="preserve">un </w:t>
      </w:r>
      <w:r w:rsidRPr="00F01BA6">
        <w:rPr>
          <w:szCs w:val="24"/>
          <w:lang w:val="lv-LV"/>
        </w:rPr>
        <w:t>pārrobežu mobilitātes veicināšanai. Programma ir iezīmējusi 9 200 000 e</w:t>
      </w:r>
      <w:r w:rsidR="00D74F62">
        <w:rPr>
          <w:szCs w:val="24"/>
          <w:lang w:val="lv-LV"/>
        </w:rPr>
        <w:t>u</w:t>
      </w:r>
      <w:r w:rsidRPr="00F01BA6">
        <w:rPr>
          <w:szCs w:val="24"/>
          <w:lang w:val="lv-LV"/>
        </w:rPr>
        <w:t>ro lielu finansējumu (17% no kopējā programmas budžeta) pārrobežu ceļu infrastruktūras sakārtošanai. Paredzētās investīcijas uzlabos darba spēka mobilitāti un pieejamību pakalpojumiem, gan arī uzlabos savienojumus starp reģionālas nozīmes pilsētām</w:t>
      </w:r>
      <w:r w:rsidR="000237EF">
        <w:rPr>
          <w:szCs w:val="24"/>
          <w:lang w:val="lv-LV"/>
        </w:rPr>
        <w:t xml:space="preserve">, </w:t>
      </w:r>
      <w:r w:rsidRPr="00F01BA6">
        <w:rPr>
          <w:szCs w:val="24"/>
          <w:lang w:val="lv-LV"/>
        </w:rPr>
        <w:t>kur</w:t>
      </w:r>
      <w:r w:rsidR="000237EF">
        <w:rPr>
          <w:szCs w:val="24"/>
          <w:lang w:val="lv-LV"/>
        </w:rPr>
        <w:t xml:space="preserve">ās ir </w:t>
      </w:r>
      <w:r w:rsidR="000237EF" w:rsidRPr="00F01BA6">
        <w:rPr>
          <w:szCs w:val="24"/>
          <w:lang w:val="lv-LV"/>
        </w:rPr>
        <w:t>pieejam</w:t>
      </w:r>
      <w:r w:rsidR="000237EF">
        <w:rPr>
          <w:szCs w:val="24"/>
          <w:lang w:val="lv-LV"/>
        </w:rPr>
        <w:t>i pamatpakalpojumi un nodarbinātības iespējas</w:t>
      </w:r>
      <w:r w:rsidRPr="00F01BA6">
        <w:rPr>
          <w:szCs w:val="24"/>
          <w:lang w:val="lv-LV"/>
        </w:rPr>
        <w:t>.</w:t>
      </w:r>
    </w:p>
    <w:p w:rsidR="00C02B25" w:rsidRPr="000B2E90" w:rsidRDefault="00F01BA6" w:rsidP="00E302F6">
      <w:pPr>
        <w:pStyle w:val="Text1"/>
        <w:spacing w:before="120" w:line="240" w:lineRule="auto"/>
        <w:ind w:left="0" w:right="-716"/>
        <w:rPr>
          <w:szCs w:val="24"/>
          <w:lang w:val="lv-LV"/>
        </w:rPr>
      </w:pPr>
      <w:r w:rsidRPr="00F01BA6">
        <w:rPr>
          <w:szCs w:val="24"/>
          <w:lang w:val="lv-LV"/>
        </w:rPr>
        <w:t>20% ES finansējuma (izņemot TP) iedalīti 3.prioritāt</w:t>
      </w:r>
      <w:r w:rsidR="00270BAC">
        <w:rPr>
          <w:szCs w:val="24"/>
          <w:lang w:val="lv-LV"/>
        </w:rPr>
        <w:t>ei</w:t>
      </w:r>
      <w:r w:rsidR="00270BAC" w:rsidRPr="00F01BA6">
        <w:rPr>
          <w:szCs w:val="24"/>
          <w:lang w:val="lv-LV"/>
        </w:rPr>
        <w:t xml:space="preserve">. </w:t>
      </w:r>
      <w:r w:rsidR="00270BAC">
        <w:rPr>
          <w:szCs w:val="24"/>
          <w:lang w:val="lv-LV"/>
        </w:rPr>
        <w:t xml:space="preserve">Šīs prioritātes ietvaros ir noteikti divi sasniedzamie </w:t>
      </w:r>
      <w:r w:rsidR="00B95321">
        <w:rPr>
          <w:szCs w:val="24"/>
          <w:lang w:val="lv-LV"/>
        </w:rPr>
        <w:t xml:space="preserve"> konkrētie</w:t>
      </w:r>
      <w:r w:rsidR="00270BAC">
        <w:rPr>
          <w:szCs w:val="24"/>
          <w:lang w:val="lv-LV"/>
        </w:rPr>
        <w:t xml:space="preserve"> mērķi</w:t>
      </w:r>
      <w:r w:rsidRPr="00F01BA6">
        <w:rPr>
          <w:szCs w:val="24"/>
          <w:lang w:val="lv-LV"/>
        </w:rPr>
        <w:t xml:space="preserve"> </w:t>
      </w:r>
      <w:r w:rsidR="00270BAC">
        <w:rPr>
          <w:szCs w:val="24"/>
          <w:lang w:val="lv-LV"/>
        </w:rPr>
        <w:t xml:space="preserve">Būtiski programmas mērķi ir cilvēku, kuri </w:t>
      </w:r>
      <w:r w:rsidR="00270BAC" w:rsidRPr="00270BAC">
        <w:rPr>
          <w:szCs w:val="24"/>
          <w:lang w:val="lv-LV"/>
        </w:rPr>
        <w:t>gūst labumu no kopīg</w:t>
      </w:r>
      <w:r w:rsidR="00270BAC">
        <w:rPr>
          <w:szCs w:val="24"/>
          <w:lang w:val="lv-LV"/>
        </w:rPr>
        <w:t>ie</w:t>
      </w:r>
      <w:r w:rsidR="00270BAC" w:rsidRPr="00270BAC">
        <w:rPr>
          <w:szCs w:val="24"/>
          <w:lang w:val="lv-LV"/>
        </w:rPr>
        <w:t>m sociālās iekļaušanas pasākumiem un sociālajiem pakalpojumiem</w:t>
      </w:r>
      <w:r w:rsidR="00270BAC">
        <w:rPr>
          <w:szCs w:val="24"/>
          <w:lang w:val="lv-LV"/>
        </w:rPr>
        <w:t xml:space="preserve"> skaita palielināšana</w:t>
      </w:r>
      <w:r w:rsidR="00270BAC" w:rsidRPr="00270BAC">
        <w:rPr>
          <w:szCs w:val="24"/>
          <w:lang w:val="lv-LV"/>
        </w:rPr>
        <w:t xml:space="preserve">, kā arī </w:t>
      </w:r>
      <w:r w:rsidR="00270BAC">
        <w:rPr>
          <w:szCs w:val="24"/>
          <w:lang w:val="lv-LV"/>
        </w:rPr>
        <w:t xml:space="preserve">trūcīgo </w:t>
      </w:r>
      <w:r w:rsidR="00270BAC" w:rsidRPr="00270BAC">
        <w:rPr>
          <w:szCs w:val="24"/>
          <w:lang w:val="lv-LV"/>
        </w:rPr>
        <w:t>cilvēk</w:t>
      </w:r>
      <w:r w:rsidR="00270BAC">
        <w:rPr>
          <w:szCs w:val="24"/>
          <w:lang w:val="lv-LV"/>
        </w:rPr>
        <w:t>u skaita samazināšana</w:t>
      </w:r>
      <w:r w:rsidR="00270BAC" w:rsidRPr="00270BAC">
        <w:rPr>
          <w:szCs w:val="24"/>
          <w:lang w:val="lv-LV"/>
        </w:rPr>
        <w:t>.</w:t>
      </w:r>
      <w:r w:rsidR="00270BAC">
        <w:rPr>
          <w:szCs w:val="24"/>
          <w:lang w:val="lv-LV"/>
        </w:rPr>
        <w:t xml:space="preserve"> </w:t>
      </w:r>
      <w:r w:rsidRPr="00F01BA6">
        <w:rPr>
          <w:szCs w:val="24"/>
          <w:lang w:val="lv-LV"/>
        </w:rPr>
        <w:t xml:space="preserve">18% no kopējā ES finansējuma (izņemot TP) iedalīti 4.prioritārajam virzienam. </w:t>
      </w:r>
      <w:r w:rsidR="00270BAC">
        <w:rPr>
          <w:szCs w:val="24"/>
          <w:lang w:val="lv-LV"/>
        </w:rPr>
        <w:t>Šīs prioritātes ietvaros tiks īstenots v</w:t>
      </w:r>
      <w:r w:rsidRPr="00F01BA6">
        <w:rPr>
          <w:szCs w:val="24"/>
          <w:lang w:val="lv-LV"/>
        </w:rPr>
        <w:t xml:space="preserve">iens </w:t>
      </w:r>
      <w:r w:rsidR="0030029A">
        <w:rPr>
          <w:szCs w:val="24"/>
          <w:lang w:val="lv-LV"/>
        </w:rPr>
        <w:t>konkrētais</w:t>
      </w:r>
      <w:r w:rsidRPr="00F01BA6">
        <w:rPr>
          <w:szCs w:val="24"/>
          <w:lang w:val="lv-LV"/>
        </w:rPr>
        <w:t xml:space="preserve"> mērķis, lai uzlabotu publisko pakalpojumu efektivitāti, </w:t>
      </w:r>
      <w:r w:rsidR="00270BAC">
        <w:rPr>
          <w:szCs w:val="24"/>
          <w:lang w:val="lv-LV"/>
        </w:rPr>
        <w:t>ieviešot jaunus pārrobežu sadarbības risinājumus</w:t>
      </w:r>
      <w:r w:rsidRPr="00F01BA6">
        <w:rPr>
          <w:szCs w:val="24"/>
          <w:lang w:val="lv-LV"/>
        </w:rPr>
        <w:t xml:space="preserve">. </w:t>
      </w:r>
    </w:p>
    <w:p w:rsidR="00C02B25" w:rsidRPr="000B2E90" w:rsidRDefault="001A69B6" w:rsidP="00E302F6">
      <w:pPr>
        <w:pStyle w:val="Text1"/>
        <w:spacing w:before="120" w:line="240" w:lineRule="auto"/>
        <w:ind w:left="0" w:right="-716"/>
        <w:rPr>
          <w:szCs w:val="24"/>
          <w:lang w:val="lv-LV"/>
        </w:rPr>
      </w:pPr>
      <w:r>
        <w:rPr>
          <w:szCs w:val="24"/>
          <w:lang w:val="lv-LV"/>
        </w:rPr>
        <w:t>I</w:t>
      </w:r>
      <w:r w:rsidR="00F01BA6" w:rsidRPr="00F01BA6">
        <w:rPr>
          <w:szCs w:val="24"/>
          <w:lang w:val="lv-LV"/>
        </w:rPr>
        <w:t>zvērtējuma ziņojums norāda, ka finanšu piešķīrums ir labi pamatots, saprātīgs un loģisks, atzīstot, ka starp tematiskajiem mērķiem, rezultātiem un plānoto ES atbalsta sadalījumu pastāv finansiāls līdzsvars.</w:t>
      </w:r>
    </w:p>
    <w:p w:rsidR="00C02B25" w:rsidRPr="000B2E90" w:rsidRDefault="00C02B25" w:rsidP="00E302F6">
      <w:pPr>
        <w:pStyle w:val="Text1"/>
        <w:spacing w:before="120" w:line="240" w:lineRule="auto"/>
        <w:ind w:left="0" w:right="-716"/>
        <w:rPr>
          <w:b/>
          <w:szCs w:val="24"/>
          <w:lang w:val="lv-LV"/>
        </w:rPr>
        <w:sectPr w:rsidR="00C02B25" w:rsidRPr="000B2E90" w:rsidSect="00CD5A7D">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rsidR="00D115F2" w:rsidRPr="00714469" w:rsidRDefault="00497472" w:rsidP="00E302F6">
      <w:pPr>
        <w:pStyle w:val="Text1"/>
        <w:spacing w:before="120" w:line="240" w:lineRule="auto"/>
        <w:ind w:left="0"/>
        <w:rPr>
          <w:b/>
          <w:szCs w:val="24"/>
          <w:lang w:val="lv-LV"/>
        </w:rPr>
      </w:pPr>
      <w:r w:rsidRPr="00714469">
        <w:rPr>
          <w:b/>
          <w:szCs w:val="24"/>
          <w:lang w:val="lv-LV"/>
        </w:rPr>
        <w:lastRenderedPageBreak/>
        <w:t>2. tabula: Pārskats pār Programmas investīciju stratēģiju</w:t>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071"/>
        <w:gridCol w:w="1348"/>
        <w:gridCol w:w="1372"/>
        <w:gridCol w:w="2930"/>
        <w:gridCol w:w="2241"/>
        <w:gridCol w:w="2250"/>
      </w:tblGrid>
      <w:tr w:rsidR="00B40A91" w:rsidRPr="00A812A8" w:rsidTr="009E5886">
        <w:trPr>
          <w:trHeight w:val="1178"/>
        </w:trPr>
        <w:tc>
          <w:tcPr>
            <w:tcW w:w="1406" w:type="dxa"/>
            <w:tcBorders>
              <w:top w:val="single" w:sz="4" w:space="0" w:color="auto"/>
              <w:left w:val="single" w:sz="4" w:space="0" w:color="auto"/>
              <w:right w:val="single" w:sz="4" w:space="0" w:color="auto"/>
            </w:tcBorders>
          </w:tcPr>
          <w:p w:rsidR="00F73204" w:rsidRPr="00B66B1A" w:rsidRDefault="00497472" w:rsidP="00E302F6">
            <w:pPr>
              <w:pStyle w:val="Text1"/>
              <w:spacing w:before="120" w:line="240" w:lineRule="auto"/>
              <w:ind w:left="0"/>
              <w:jc w:val="center"/>
              <w:rPr>
                <w:sz w:val="18"/>
                <w:szCs w:val="18"/>
                <w:lang w:val="lv-LV"/>
              </w:rPr>
            </w:pPr>
            <w:r w:rsidRPr="00B66B1A">
              <w:rPr>
                <w:b/>
                <w:sz w:val="18"/>
                <w:szCs w:val="18"/>
                <w:lang w:val="lv-LV"/>
              </w:rPr>
              <w:t>Prioritārais virziens</w:t>
            </w:r>
          </w:p>
        </w:tc>
        <w:tc>
          <w:tcPr>
            <w:tcW w:w="1071" w:type="dxa"/>
            <w:tcBorders>
              <w:top w:val="single" w:sz="4" w:space="0" w:color="auto"/>
              <w:left w:val="single" w:sz="4" w:space="0" w:color="auto"/>
              <w:right w:val="single" w:sz="4" w:space="0" w:color="auto"/>
            </w:tcBorders>
          </w:tcPr>
          <w:p w:rsidR="00F73204" w:rsidRPr="00B66B1A" w:rsidRDefault="00F73204" w:rsidP="00E302F6">
            <w:pPr>
              <w:pStyle w:val="Text1"/>
              <w:spacing w:before="120" w:line="240" w:lineRule="auto"/>
              <w:ind w:left="0"/>
              <w:jc w:val="center"/>
              <w:rPr>
                <w:i/>
                <w:sz w:val="18"/>
                <w:szCs w:val="18"/>
                <w:lang w:val="lv-LV"/>
              </w:rPr>
            </w:pPr>
            <w:r w:rsidRPr="00B66B1A">
              <w:rPr>
                <w:b/>
                <w:sz w:val="18"/>
                <w:szCs w:val="18"/>
                <w:lang w:val="lv-LV"/>
              </w:rPr>
              <w:t xml:space="preserve">ERDF </w:t>
            </w:r>
            <w:r w:rsidR="00497472" w:rsidRPr="00B66B1A">
              <w:rPr>
                <w:b/>
                <w:sz w:val="18"/>
                <w:szCs w:val="18"/>
                <w:lang w:val="lv-LV"/>
              </w:rPr>
              <w:t>atbalsts</w:t>
            </w:r>
            <w:r w:rsidRPr="00B66B1A">
              <w:rPr>
                <w:b/>
                <w:sz w:val="18"/>
                <w:szCs w:val="18"/>
                <w:lang w:val="lv-LV"/>
              </w:rPr>
              <w:t xml:space="preserve"> (EUR)</w:t>
            </w:r>
          </w:p>
        </w:tc>
        <w:tc>
          <w:tcPr>
            <w:tcW w:w="1348" w:type="dxa"/>
            <w:tcBorders>
              <w:top w:val="single" w:sz="4" w:space="0" w:color="auto"/>
              <w:left w:val="single" w:sz="4" w:space="0" w:color="auto"/>
              <w:right w:val="single" w:sz="4" w:space="0" w:color="auto"/>
            </w:tcBorders>
          </w:tcPr>
          <w:p w:rsidR="00F73204" w:rsidRPr="00B66B1A" w:rsidRDefault="00497472" w:rsidP="00E302F6">
            <w:pPr>
              <w:pStyle w:val="Text1"/>
              <w:spacing w:before="120" w:line="240" w:lineRule="auto"/>
              <w:ind w:left="0"/>
              <w:jc w:val="left"/>
              <w:rPr>
                <w:i/>
                <w:sz w:val="18"/>
                <w:szCs w:val="18"/>
                <w:lang w:val="lv-LV"/>
              </w:rPr>
            </w:pPr>
            <w:r w:rsidRPr="00B66B1A">
              <w:rPr>
                <w:b/>
                <w:sz w:val="18"/>
                <w:szCs w:val="18"/>
                <w:lang w:val="lv-LV"/>
              </w:rPr>
              <w:t xml:space="preserve">Kopējā sadarbības programmai sniegtā Eiropas Savienības atbalsta proporcija - ERDF </w:t>
            </w:r>
          </w:p>
        </w:tc>
        <w:tc>
          <w:tcPr>
            <w:tcW w:w="1372" w:type="dxa"/>
            <w:tcBorders>
              <w:top w:val="single" w:sz="4" w:space="0" w:color="auto"/>
              <w:left w:val="single" w:sz="4" w:space="0" w:color="auto"/>
              <w:right w:val="single" w:sz="4" w:space="0" w:color="auto"/>
            </w:tcBorders>
          </w:tcPr>
          <w:p w:rsidR="00F73204" w:rsidRPr="00B66B1A" w:rsidRDefault="00F73204" w:rsidP="00E302F6">
            <w:pPr>
              <w:pStyle w:val="Text1"/>
              <w:spacing w:before="120" w:line="240" w:lineRule="auto"/>
              <w:ind w:left="0"/>
              <w:jc w:val="left"/>
              <w:rPr>
                <w:i/>
                <w:sz w:val="18"/>
                <w:szCs w:val="18"/>
                <w:lang w:val="lv-LV"/>
              </w:rPr>
            </w:pPr>
            <w:r w:rsidRPr="00B66B1A">
              <w:rPr>
                <w:b/>
                <w:sz w:val="18"/>
                <w:szCs w:val="18"/>
                <w:lang w:val="lv-LV"/>
              </w:rPr>
              <w:t>T</w:t>
            </w:r>
            <w:r w:rsidR="00497472" w:rsidRPr="00B66B1A">
              <w:rPr>
                <w:b/>
                <w:sz w:val="18"/>
                <w:szCs w:val="18"/>
                <w:lang w:val="lv-LV"/>
              </w:rPr>
              <w:t>M</w:t>
            </w:r>
          </w:p>
        </w:tc>
        <w:tc>
          <w:tcPr>
            <w:tcW w:w="2930" w:type="dxa"/>
            <w:tcBorders>
              <w:top w:val="single" w:sz="4" w:space="0" w:color="auto"/>
              <w:left w:val="single" w:sz="4" w:space="0" w:color="auto"/>
              <w:right w:val="single" w:sz="4" w:space="0" w:color="auto"/>
            </w:tcBorders>
          </w:tcPr>
          <w:p w:rsidR="00F73204" w:rsidRPr="00B66B1A" w:rsidRDefault="00F73204" w:rsidP="00E302F6">
            <w:pPr>
              <w:pStyle w:val="Text1"/>
              <w:spacing w:before="120" w:line="240" w:lineRule="auto"/>
              <w:ind w:left="0"/>
              <w:jc w:val="left"/>
              <w:rPr>
                <w:i/>
                <w:sz w:val="18"/>
                <w:szCs w:val="18"/>
                <w:lang w:val="lv-LV"/>
              </w:rPr>
            </w:pPr>
            <w:r w:rsidRPr="00B66B1A">
              <w:rPr>
                <w:b/>
                <w:sz w:val="18"/>
                <w:szCs w:val="18"/>
                <w:lang w:val="lv-LV"/>
              </w:rPr>
              <w:t>Invest</w:t>
            </w:r>
            <w:r w:rsidR="00497472" w:rsidRPr="00B66B1A">
              <w:rPr>
                <w:b/>
                <w:sz w:val="18"/>
                <w:szCs w:val="18"/>
                <w:lang w:val="lv-LV"/>
              </w:rPr>
              <w:t>īciju prioritātes</w:t>
            </w:r>
          </w:p>
        </w:tc>
        <w:tc>
          <w:tcPr>
            <w:tcW w:w="2241" w:type="dxa"/>
            <w:tcBorders>
              <w:top w:val="single" w:sz="4" w:space="0" w:color="auto"/>
              <w:left w:val="single" w:sz="4" w:space="0" w:color="auto"/>
              <w:right w:val="single" w:sz="4" w:space="0" w:color="auto"/>
            </w:tcBorders>
          </w:tcPr>
          <w:p w:rsidR="00F73204" w:rsidRPr="00B66B1A" w:rsidRDefault="00B40A91" w:rsidP="00E302F6">
            <w:pPr>
              <w:pStyle w:val="Text1"/>
              <w:spacing w:before="120" w:line="240" w:lineRule="auto"/>
              <w:ind w:left="0"/>
              <w:jc w:val="left"/>
              <w:rPr>
                <w:b/>
                <w:sz w:val="18"/>
                <w:szCs w:val="18"/>
                <w:lang w:val="lv-LV"/>
              </w:rPr>
            </w:pPr>
            <w:r w:rsidRPr="00B66B1A">
              <w:rPr>
                <w:b/>
                <w:sz w:val="18"/>
                <w:szCs w:val="18"/>
                <w:lang w:val="lv-LV"/>
              </w:rPr>
              <w:t>M</w:t>
            </w:r>
            <w:r w:rsidR="00497472" w:rsidRPr="00B66B1A">
              <w:rPr>
                <w:b/>
                <w:sz w:val="18"/>
                <w:szCs w:val="18"/>
                <w:lang w:val="lv-LV"/>
              </w:rPr>
              <w:t>ērķi atbilst</w:t>
            </w:r>
            <w:r w:rsidRPr="00B66B1A">
              <w:rPr>
                <w:b/>
                <w:sz w:val="18"/>
                <w:szCs w:val="18"/>
                <w:lang w:val="lv-LV"/>
              </w:rPr>
              <w:t>oši</w:t>
            </w:r>
            <w:r w:rsidR="00497472" w:rsidRPr="00B66B1A">
              <w:rPr>
                <w:b/>
                <w:sz w:val="18"/>
                <w:szCs w:val="18"/>
                <w:lang w:val="lv-LV"/>
              </w:rPr>
              <w:t xml:space="preserve"> investīciju prioritātēm</w:t>
            </w:r>
          </w:p>
        </w:tc>
        <w:tc>
          <w:tcPr>
            <w:tcW w:w="2250" w:type="dxa"/>
            <w:tcBorders>
              <w:top w:val="single" w:sz="4" w:space="0" w:color="auto"/>
              <w:left w:val="single" w:sz="4" w:space="0" w:color="auto"/>
              <w:right w:val="single" w:sz="4" w:space="0" w:color="auto"/>
            </w:tcBorders>
          </w:tcPr>
          <w:p w:rsidR="00F73204" w:rsidRPr="00B66B1A" w:rsidRDefault="00497472" w:rsidP="00E302F6">
            <w:pPr>
              <w:pStyle w:val="Text1"/>
              <w:spacing w:before="120" w:line="240" w:lineRule="auto"/>
              <w:ind w:left="0"/>
              <w:jc w:val="left"/>
              <w:rPr>
                <w:i/>
                <w:sz w:val="18"/>
                <w:szCs w:val="18"/>
                <w:lang w:val="lv-LV"/>
              </w:rPr>
            </w:pPr>
            <w:r w:rsidRPr="00B66B1A">
              <w:rPr>
                <w:b/>
                <w:sz w:val="18"/>
                <w:szCs w:val="18"/>
                <w:lang w:val="lv-LV"/>
              </w:rPr>
              <w:t xml:space="preserve">Rezultātu rādītāji </w:t>
            </w:r>
            <w:r w:rsidR="00B40A91" w:rsidRPr="00B66B1A">
              <w:rPr>
                <w:b/>
                <w:sz w:val="18"/>
                <w:szCs w:val="18"/>
                <w:lang w:val="lv-LV"/>
              </w:rPr>
              <w:t xml:space="preserve">atbilstoši </w:t>
            </w:r>
            <w:r w:rsidRPr="00B66B1A">
              <w:rPr>
                <w:b/>
                <w:sz w:val="18"/>
                <w:szCs w:val="18"/>
                <w:lang w:val="lv-LV"/>
              </w:rPr>
              <w:t>noteiktajam mērķim</w:t>
            </w:r>
          </w:p>
        </w:tc>
      </w:tr>
      <w:tr w:rsidR="00F06AB3" w:rsidRPr="0053020B" w:rsidTr="009E5886">
        <w:trPr>
          <w:trHeight w:val="572"/>
        </w:trPr>
        <w:tc>
          <w:tcPr>
            <w:tcW w:w="1406" w:type="dxa"/>
            <w:vMerge w:val="restart"/>
            <w:tcBorders>
              <w:top w:val="single" w:sz="4" w:space="0" w:color="auto"/>
              <w:left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t>Ilgtspējīga un tīra vide sadarbības rezultātā</w:t>
            </w:r>
          </w:p>
        </w:tc>
        <w:tc>
          <w:tcPr>
            <w:tcW w:w="1071" w:type="dxa"/>
            <w:vMerge w:val="restart"/>
            <w:tcBorders>
              <w:top w:val="single" w:sz="4" w:space="0" w:color="auto"/>
              <w:left w:val="single" w:sz="4" w:space="0" w:color="auto"/>
              <w:right w:val="single" w:sz="4" w:space="0" w:color="auto"/>
            </w:tcBorders>
          </w:tcPr>
          <w:p w:rsidR="00F06AB3" w:rsidRPr="00F06AB3" w:rsidRDefault="00F06AB3" w:rsidP="00E302F6">
            <w:pPr>
              <w:pStyle w:val="Text1"/>
              <w:spacing w:before="120" w:line="240" w:lineRule="auto"/>
              <w:ind w:left="0"/>
              <w:jc w:val="left"/>
              <w:rPr>
                <w:sz w:val="18"/>
                <w:szCs w:val="18"/>
                <w:lang w:val="lv-LV"/>
              </w:rPr>
            </w:pPr>
            <w:r>
              <w:rPr>
                <w:sz w:val="18"/>
                <w:szCs w:val="18"/>
                <w:lang w:val="lv-LV"/>
              </w:rPr>
              <w:t>13 950 422</w:t>
            </w:r>
          </w:p>
        </w:tc>
        <w:tc>
          <w:tcPr>
            <w:tcW w:w="1348" w:type="dxa"/>
            <w:vMerge w:val="restart"/>
            <w:tcBorders>
              <w:top w:val="single" w:sz="4" w:space="0" w:color="auto"/>
              <w:left w:val="single" w:sz="4" w:space="0" w:color="auto"/>
              <w:right w:val="single" w:sz="4" w:space="0" w:color="auto"/>
            </w:tcBorders>
          </w:tcPr>
          <w:p w:rsidR="00F06AB3" w:rsidRPr="00B66B1A" w:rsidRDefault="00F06AB3" w:rsidP="00755612">
            <w:pPr>
              <w:pStyle w:val="Text1"/>
              <w:spacing w:before="120" w:line="240" w:lineRule="auto"/>
              <w:ind w:left="0"/>
              <w:jc w:val="center"/>
              <w:rPr>
                <w:sz w:val="18"/>
                <w:szCs w:val="18"/>
                <w:lang w:val="lv-LV"/>
              </w:rPr>
            </w:pPr>
            <w:r>
              <w:rPr>
                <w:sz w:val="18"/>
                <w:szCs w:val="18"/>
                <w:lang w:val="lv-LV"/>
              </w:rPr>
              <w:t>27%</w:t>
            </w:r>
          </w:p>
        </w:tc>
        <w:tc>
          <w:tcPr>
            <w:tcW w:w="1372" w:type="dxa"/>
            <w:vMerge w:val="restart"/>
            <w:tcBorders>
              <w:top w:val="single" w:sz="4" w:space="0" w:color="auto"/>
              <w:left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t>TM 6</w:t>
            </w:r>
          </w:p>
          <w:p w:rsidR="00F06AB3" w:rsidRPr="00B66B1A" w:rsidRDefault="00F06AB3" w:rsidP="00E302F6">
            <w:pPr>
              <w:pStyle w:val="Text1"/>
              <w:spacing w:before="120" w:line="240" w:lineRule="auto"/>
              <w:ind w:left="0"/>
              <w:jc w:val="left"/>
              <w:rPr>
                <w:sz w:val="18"/>
                <w:szCs w:val="18"/>
                <w:lang w:val="lv-LV" w:eastAsia="fr-BE"/>
              </w:rPr>
            </w:pPr>
            <w:r w:rsidRPr="00B66B1A">
              <w:rPr>
                <w:sz w:val="18"/>
                <w:szCs w:val="18"/>
                <w:lang w:val="lv-LV" w:eastAsia="fr-BE"/>
              </w:rPr>
              <w:t>Vides saglabāšana un aizsardzība un resursu efektīvas izmantošanas veicināšana</w:t>
            </w:r>
          </w:p>
        </w:tc>
        <w:tc>
          <w:tcPr>
            <w:tcW w:w="2930" w:type="dxa"/>
            <w:tcBorders>
              <w:top w:val="single" w:sz="4" w:space="0" w:color="auto"/>
              <w:left w:val="single" w:sz="4" w:space="0" w:color="auto"/>
              <w:right w:val="single" w:sz="4" w:space="0" w:color="auto"/>
            </w:tcBorders>
            <w:hideMark/>
          </w:tcPr>
          <w:p w:rsidR="00F06AB3" w:rsidRPr="00B66B1A" w:rsidRDefault="00F06AB3" w:rsidP="00755612">
            <w:pPr>
              <w:spacing w:before="120" w:line="240" w:lineRule="auto"/>
              <w:rPr>
                <w:rFonts w:ascii="Times New Roman" w:hAnsi="Times New Roman"/>
                <w:sz w:val="18"/>
                <w:szCs w:val="18"/>
                <w:lang w:val="lv-LV" w:eastAsia="fr-BE"/>
              </w:rPr>
            </w:pPr>
            <w:r w:rsidRPr="00B66B1A">
              <w:rPr>
                <w:rFonts w:ascii="Times New Roman" w:hAnsi="Times New Roman"/>
                <w:sz w:val="18"/>
                <w:szCs w:val="18"/>
                <w:lang w:val="lv-LV" w:eastAsia="fr-BE"/>
              </w:rPr>
              <w:t>(c) saglabāt, aizsargāt, veicināt un attīstīt dabas un kultūras mantojumu.</w:t>
            </w:r>
          </w:p>
          <w:p w:rsidR="00F06AB3" w:rsidRPr="00B66B1A" w:rsidRDefault="00F06AB3" w:rsidP="00755612">
            <w:pPr>
              <w:pStyle w:val="Text1"/>
              <w:spacing w:before="120" w:line="240" w:lineRule="auto"/>
              <w:ind w:left="0"/>
              <w:rPr>
                <w:sz w:val="18"/>
                <w:szCs w:val="18"/>
                <w:lang w:val="lv-LV"/>
              </w:rPr>
            </w:pPr>
          </w:p>
        </w:tc>
        <w:tc>
          <w:tcPr>
            <w:tcW w:w="2241" w:type="dxa"/>
            <w:tcBorders>
              <w:top w:val="single" w:sz="4" w:space="0" w:color="auto"/>
              <w:left w:val="single" w:sz="4" w:space="0" w:color="auto"/>
              <w:right w:val="single" w:sz="4" w:space="0" w:color="auto"/>
            </w:tcBorders>
          </w:tcPr>
          <w:p w:rsidR="00F06AB3" w:rsidRPr="00B66B1A" w:rsidRDefault="00F06AB3" w:rsidP="00755612">
            <w:pPr>
              <w:spacing w:before="120" w:line="240" w:lineRule="auto"/>
              <w:rPr>
                <w:rFonts w:ascii="Times New Roman" w:hAnsi="Times New Roman"/>
                <w:sz w:val="18"/>
                <w:szCs w:val="18"/>
                <w:lang w:val="lv-LV"/>
              </w:rPr>
            </w:pPr>
            <w:r w:rsidRPr="00B66B1A">
              <w:rPr>
                <w:rFonts w:ascii="Times New Roman" w:hAnsi="Times New Roman"/>
                <w:sz w:val="18"/>
                <w:szCs w:val="18"/>
                <w:lang w:val="lv-LV"/>
              </w:rPr>
              <w:t>Uzlabo</w:t>
            </w:r>
            <w:r w:rsidR="0053020B">
              <w:rPr>
                <w:rFonts w:ascii="Times New Roman" w:hAnsi="Times New Roman"/>
                <w:sz w:val="18"/>
                <w:szCs w:val="18"/>
                <w:lang w:val="lv-LV"/>
              </w:rPr>
              <w:t>jot</w:t>
            </w:r>
            <w:r w:rsidRPr="00B66B1A">
              <w:rPr>
                <w:rFonts w:ascii="Times New Roman" w:hAnsi="Times New Roman"/>
                <w:sz w:val="18"/>
                <w:szCs w:val="18"/>
                <w:lang w:val="lv-LV"/>
              </w:rPr>
              <w:t xml:space="preserve"> un attīst</w:t>
            </w:r>
            <w:r w:rsidR="0053020B">
              <w:rPr>
                <w:rFonts w:ascii="Times New Roman" w:hAnsi="Times New Roman"/>
                <w:sz w:val="18"/>
                <w:szCs w:val="18"/>
                <w:lang w:val="lv-LV"/>
              </w:rPr>
              <w:t>ot</w:t>
            </w:r>
            <w:r w:rsidRPr="00B66B1A">
              <w:rPr>
                <w:rFonts w:ascii="Times New Roman" w:hAnsi="Times New Roman"/>
                <w:sz w:val="18"/>
                <w:szCs w:val="18"/>
                <w:lang w:val="lv-LV"/>
              </w:rPr>
              <w:t>kultūras un dabas mantojuma objektus, pakalpojumus un produktus, palielināt apmeklētāju skaitu Programmas teritorijā.</w:t>
            </w:r>
          </w:p>
          <w:p w:rsidR="00F06AB3" w:rsidRPr="00B66B1A" w:rsidRDefault="00F06AB3" w:rsidP="00755612">
            <w:pPr>
              <w:pStyle w:val="Text1"/>
              <w:spacing w:before="120" w:line="240" w:lineRule="auto"/>
              <w:ind w:left="0"/>
              <w:rPr>
                <w:sz w:val="18"/>
                <w:szCs w:val="18"/>
                <w:lang w:val="lv-LV"/>
              </w:rPr>
            </w:pPr>
          </w:p>
        </w:tc>
        <w:tc>
          <w:tcPr>
            <w:tcW w:w="2250" w:type="dxa"/>
            <w:tcBorders>
              <w:top w:val="single" w:sz="4" w:space="0" w:color="auto"/>
              <w:left w:val="single" w:sz="4" w:space="0" w:color="auto"/>
              <w:right w:val="single" w:sz="4" w:space="0" w:color="auto"/>
            </w:tcBorders>
          </w:tcPr>
          <w:p w:rsidR="00F06AB3" w:rsidRPr="00B66B1A" w:rsidRDefault="00F06AB3" w:rsidP="00755612">
            <w:pPr>
              <w:pStyle w:val="Text1"/>
              <w:spacing w:before="120" w:line="240" w:lineRule="auto"/>
              <w:ind w:left="0"/>
              <w:rPr>
                <w:sz w:val="18"/>
                <w:szCs w:val="18"/>
                <w:lang w:val="lv-LV"/>
              </w:rPr>
            </w:pPr>
            <w:r w:rsidRPr="00B66B1A">
              <w:rPr>
                <w:sz w:val="18"/>
                <w:szCs w:val="18"/>
                <w:lang w:val="lv-LV"/>
              </w:rPr>
              <w:t xml:space="preserve">Viesnīcās un citās tūristu mītnēs </w:t>
            </w:r>
            <w:r w:rsidR="0053020B">
              <w:rPr>
                <w:sz w:val="18"/>
                <w:szCs w:val="18"/>
                <w:lang w:val="lv-LV"/>
              </w:rPr>
              <w:t>pavadīto nakšu</w:t>
            </w:r>
            <w:r w:rsidRPr="00B66B1A">
              <w:rPr>
                <w:sz w:val="18"/>
                <w:szCs w:val="18"/>
                <w:lang w:val="lv-LV"/>
              </w:rPr>
              <w:t xml:space="preserve"> skaits Programmas teritorijā.</w:t>
            </w:r>
          </w:p>
        </w:tc>
      </w:tr>
      <w:tr w:rsidR="00F06AB3" w:rsidRPr="00C77C1E" w:rsidTr="009E5886">
        <w:trPr>
          <w:trHeight w:val="572"/>
        </w:trPr>
        <w:tc>
          <w:tcPr>
            <w:tcW w:w="1406" w:type="dxa"/>
            <w:vMerge/>
            <w:tcBorders>
              <w:left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p>
        </w:tc>
        <w:tc>
          <w:tcPr>
            <w:tcW w:w="1071" w:type="dxa"/>
            <w:vMerge/>
            <w:tcBorders>
              <w:left w:val="single" w:sz="4" w:space="0" w:color="auto"/>
              <w:right w:val="single" w:sz="4" w:space="0" w:color="auto"/>
            </w:tcBorders>
          </w:tcPr>
          <w:p w:rsidR="00F06AB3" w:rsidRPr="00B66B1A" w:rsidRDefault="00F06AB3" w:rsidP="00E302F6">
            <w:pPr>
              <w:pStyle w:val="Text1"/>
              <w:spacing w:before="120" w:line="240" w:lineRule="auto"/>
              <w:ind w:left="0"/>
              <w:jc w:val="left"/>
              <w:rPr>
                <w:i/>
                <w:sz w:val="18"/>
                <w:szCs w:val="18"/>
                <w:lang w:val="lv-LV"/>
              </w:rPr>
            </w:pPr>
          </w:p>
        </w:tc>
        <w:tc>
          <w:tcPr>
            <w:tcW w:w="1348" w:type="dxa"/>
            <w:vMerge/>
            <w:tcBorders>
              <w:left w:val="single" w:sz="4" w:space="0" w:color="auto"/>
              <w:right w:val="single" w:sz="4" w:space="0" w:color="auto"/>
            </w:tcBorders>
          </w:tcPr>
          <w:p w:rsidR="00F06AB3" w:rsidRPr="00B66B1A" w:rsidRDefault="00F06AB3" w:rsidP="00E302F6">
            <w:pPr>
              <w:pStyle w:val="Text1"/>
              <w:spacing w:before="120" w:line="240" w:lineRule="auto"/>
              <w:ind w:left="0"/>
              <w:jc w:val="right"/>
              <w:rPr>
                <w:sz w:val="18"/>
                <w:szCs w:val="18"/>
                <w:lang w:val="lv-LV"/>
              </w:rPr>
            </w:pPr>
          </w:p>
        </w:tc>
        <w:tc>
          <w:tcPr>
            <w:tcW w:w="1372" w:type="dxa"/>
            <w:vMerge/>
            <w:tcBorders>
              <w:left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p>
        </w:tc>
        <w:tc>
          <w:tcPr>
            <w:tcW w:w="2930" w:type="dxa"/>
            <w:tcBorders>
              <w:top w:val="single" w:sz="4" w:space="0" w:color="auto"/>
              <w:left w:val="single" w:sz="4" w:space="0" w:color="auto"/>
              <w:right w:val="single" w:sz="4" w:space="0" w:color="auto"/>
            </w:tcBorders>
            <w:hideMark/>
          </w:tcPr>
          <w:p w:rsidR="00F06AB3" w:rsidRPr="00B66B1A" w:rsidRDefault="00F06AB3" w:rsidP="00755612">
            <w:pPr>
              <w:spacing w:before="120" w:line="240" w:lineRule="auto"/>
              <w:rPr>
                <w:rFonts w:ascii="Times New Roman" w:hAnsi="Times New Roman"/>
                <w:sz w:val="18"/>
                <w:szCs w:val="18"/>
                <w:lang w:val="lv-LV" w:eastAsia="fr-BE"/>
              </w:rPr>
            </w:pPr>
            <w:r w:rsidRPr="00B66B1A">
              <w:rPr>
                <w:rFonts w:ascii="Times New Roman" w:hAnsi="Times New Roman"/>
                <w:sz w:val="18"/>
                <w:szCs w:val="18"/>
                <w:lang w:val="lv-LV" w:eastAsia="fr-BE"/>
              </w:rPr>
              <w:t>(d) aizsargāt un atjaunot bioloģisko daudzveidību un augsni un veicināt ekosistēmu pakalpojumus, tostarp izmantojot "Natura 2000" un zaļo infrastruktūru.</w:t>
            </w:r>
          </w:p>
          <w:p w:rsidR="00F06AB3" w:rsidRPr="00B66B1A" w:rsidRDefault="00F06AB3" w:rsidP="00755612">
            <w:pPr>
              <w:pStyle w:val="Text1"/>
              <w:spacing w:before="120" w:line="240" w:lineRule="auto"/>
              <w:ind w:left="0"/>
              <w:rPr>
                <w:sz w:val="18"/>
                <w:szCs w:val="18"/>
                <w:lang w:val="lv-LV"/>
              </w:rPr>
            </w:pPr>
          </w:p>
        </w:tc>
        <w:tc>
          <w:tcPr>
            <w:tcW w:w="2241" w:type="dxa"/>
            <w:tcBorders>
              <w:top w:val="single" w:sz="4" w:space="0" w:color="auto"/>
              <w:left w:val="single" w:sz="4" w:space="0" w:color="auto"/>
              <w:right w:val="single" w:sz="4" w:space="0" w:color="auto"/>
            </w:tcBorders>
          </w:tcPr>
          <w:p w:rsidR="00F06AB3" w:rsidRPr="0053020B" w:rsidRDefault="00F06AB3" w:rsidP="00755612">
            <w:pPr>
              <w:pStyle w:val="Text1"/>
              <w:spacing w:before="120" w:line="240" w:lineRule="auto"/>
              <w:ind w:left="0"/>
              <w:rPr>
                <w:sz w:val="18"/>
                <w:szCs w:val="18"/>
                <w:lang w:val="lv-LV"/>
              </w:rPr>
            </w:pPr>
            <w:r w:rsidRPr="0053020B">
              <w:rPr>
                <w:sz w:val="18"/>
                <w:szCs w:val="18"/>
                <w:lang w:val="lv-LV"/>
              </w:rPr>
              <w:t xml:space="preserve">Uzlabot </w:t>
            </w:r>
            <w:r w:rsidR="00D73A27" w:rsidRPr="0053020B">
              <w:rPr>
                <w:sz w:val="18"/>
                <w:szCs w:val="18"/>
                <w:lang w:val="lv-LV"/>
              </w:rPr>
              <w:t>vides</w:t>
            </w:r>
            <w:r w:rsidRPr="0053020B">
              <w:rPr>
                <w:sz w:val="18"/>
                <w:szCs w:val="18"/>
                <w:lang w:val="lv-LV"/>
              </w:rPr>
              <w:t xml:space="preserve"> resursu kopīgu apsaimniekošanu.</w:t>
            </w:r>
          </w:p>
          <w:p w:rsidR="00F06AB3" w:rsidRPr="0053020B" w:rsidRDefault="00F06AB3" w:rsidP="00755612">
            <w:pPr>
              <w:pStyle w:val="Text1"/>
              <w:spacing w:before="120" w:line="240" w:lineRule="auto"/>
              <w:ind w:left="0"/>
              <w:rPr>
                <w:sz w:val="18"/>
                <w:szCs w:val="18"/>
                <w:lang w:val="lv-LV"/>
              </w:rPr>
            </w:pPr>
          </w:p>
          <w:p w:rsidR="00F06AB3" w:rsidRPr="0053020B" w:rsidRDefault="00F06AB3" w:rsidP="00755612">
            <w:pPr>
              <w:pStyle w:val="Text1"/>
              <w:spacing w:before="120" w:line="240" w:lineRule="auto"/>
              <w:ind w:left="0"/>
              <w:rPr>
                <w:color w:val="FF0000"/>
                <w:sz w:val="18"/>
                <w:szCs w:val="18"/>
                <w:lang w:val="lv-LV"/>
              </w:rPr>
            </w:pPr>
          </w:p>
        </w:tc>
        <w:tc>
          <w:tcPr>
            <w:tcW w:w="2250" w:type="dxa"/>
            <w:tcBorders>
              <w:top w:val="single" w:sz="4" w:space="0" w:color="auto"/>
              <w:left w:val="single" w:sz="4" w:space="0" w:color="auto"/>
              <w:right w:val="single" w:sz="4" w:space="0" w:color="auto"/>
            </w:tcBorders>
          </w:tcPr>
          <w:p w:rsidR="00F06AB3" w:rsidRPr="0053020B" w:rsidRDefault="00F06AB3" w:rsidP="00755612">
            <w:pPr>
              <w:pStyle w:val="Text1"/>
              <w:spacing w:before="120" w:line="240" w:lineRule="auto"/>
              <w:ind w:left="0"/>
              <w:rPr>
                <w:sz w:val="18"/>
                <w:szCs w:val="18"/>
                <w:lang w:val="lv-LV"/>
              </w:rPr>
            </w:pPr>
            <w:r w:rsidRPr="0053020B">
              <w:rPr>
                <w:sz w:val="18"/>
                <w:szCs w:val="18"/>
                <w:lang w:val="lv-LV"/>
              </w:rPr>
              <w:t>Kopīgas ar vides resursu apsaimniekošanu saistītas darbības.</w:t>
            </w:r>
          </w:p>
        </w:tc>
      </w:tr>
      <w:tr w:rsidR="00F06AB3" w:rsidRPr="00A812A8" w:rsidTr="009E5886">
        <w:trPr>
          <w:trHeight w:val="572"/>
        </w:trPr>
        <w:tc>
          <w:tcPr>
            <w:tcW w:w="1406" w:type="dxa"/>
            <w:vMerge/>
            <w:tcBorders>
              <w:left w:val="single" w:sz="4" w:space="0" w:color="auto"/>
              <w:bottom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p>
        </w:tc>
        <w:tc>
          <w:tcPr>
            <w:tcW w:w="1071" w:type="dxa"/>
            <w:vMerge/>
            <w:tcBorders>
              <w:left w:val="single" w:sz="4" w:space="0" w:color="auto"/>
              <w:right w:val="single" w:sz="4" w:space="0" w:color="auto"/>
            </w:tcBorders>
          </w:tcPr>
          <w:p w:rsidR="00F06AB3" w:rsidRPr="00B66B1A" w:rsidRDefault="00F06AB3" w:rsidP="00E302F6">
            <w:pPr>
              <w:pStyle w:val="Text1"/>
              <w:spacing w:before="120" w:line="240" w:lineRule="auto"/>
              <w:ind w:left="0"/>
              <w:jc w:val="left"/>
              <w:rPr>
                <w:i/>
                <w:sz w:val="18"/>
                <w:szCs w:val="18"/>
                <w:lang w:val="lv-LV"/>
              </w:rPr>
            </w:pPr>
          </w:p>
        </w:tc>
        <w:tc>
          <w:tcPr>
            <w:tcW w:w="1348" w:type="dxa"/>
            <w:vMerge/>
            <w:tcBorders>
              <w:left w:val="single" w:sz="4" w:space="0" w:color="auto"/>
              <w:right w:val="single" w:sz="4" w:space="0" w:color="auto"/>
            </w:tcBorders>
          </w:tcPr>
          <w:p w:rsidR="00F06AB3" w:rsidRPr="00B66B1A" w:rsidRDefault="00F06AB3" w:rsidP="00E302F6">
            <w:pPr>
              <w:pStyle w:val="Text1"/>
              <w:spacing w:before="120" w:line="240" w:lineRule="auto"/>
              <w:ind w:left="0"/>
              <w:jc w:val="right"/>
              <w:rPr>
                <w:sz w:val="18"/>
                <w:szCs w:val="18"/>
                <w:lang w:val="lv-LV"/>
              </w:rPr>
            </w:pPr>
          </w:p>
        </w:tc>
        <w:tc>
          <w:tcPr>
            <w:tcW w:w="1372" w:type="dxa"/>
            <w:vMerge/>
            <w:tcBorders>
              <w:left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p>
        </w:tc>
        <w:tc>
          <w:tcPr>
            <w:tcW w:w="2930" w:type="dxa"/>
            <w:tcBorders>
              <w:top w:val="single" w:sz="4" w:space="0" w:color="auto"/>
              <w:left w:val="single" w:sz="4" w:space="0" w:color="auto"/>
              <w:right w:val="single" w:sz="4" w:space="0" w:color="auto"/>
            </w:tcBorders>
            <w:hideMark/>
          </w:tcPr>
          <w:p w:rsidR="00F06AB3" w:rsidRPr="00B66B1A" w:rsidRDefault="00F06AB3" w:rsidP="00755612">
            <w:pPr>
              <w:pStyle w:val="Text1"/>
              <w:spacing w:before="120" w:line="240" w:lineRule="auto"/>
              <w:ind w:left="0"/>
              <w:rPr>
                <w:sz w:val="18"/>
                <w:szCs w:val="18"/>
                <w:lang w:val="lv-LV"/>
              </w:rPr>
            </w:pPr>
            <w:r w:rsidRPr="00B66B1A">
              <w:rPr>
                <w:sz w:val="18"/>
                <w:szCs w:val="18"/>
                <w:lang w:val="lv-LV" w:eastAsia="fr-BE"/>
              </w:rPr>
              <w:t>(e) veikt darbības, lai uzlabotu pilsētvidi, atdzīvinātu pilsētas, atjaunotu un attīrītu pamestas rūpnieciskās teritorijas (tai skaitā pārveidei paredzētās zonas), samazinātu gaisa piesārņojumu un veicināt trokšņa mazināšanas pasākumu</w:t>
            </w:r>
            <w:r w:rsidR="0013577E">
              <w:rPr>
                <w:sz w:val="18"/>
                <w:szCs w:val="18"/>
                <w:lang w:val="lv-LV" w:eastAsia="fr-BE"/>
              </w:rPr>
              <w:t>s</w:t>
            </w:r>
          </w:p>
        </w:tc>
        <w:tc>
          <w:tcPr>
            <w:tcW w:w="2241" w:type="dxa"/>
            <w:tcBorders>
              <w:top w:val="single" w:sz="4" w:space="0" w:color="auto"/>
              <w:left w:val="single" w:sz="4" w:space="0" w:color="auto"/>
              <w:right w:val="single" w:sz="4" w:space="0" w:color="auto"/>
            </w:tcBorders>
          </w:tcPr>
          <w:p w:rsidR="00F06AB3" w:rsidRPr="0053020B" w:rsidRDefault="00F06AB3" w:rsidP="0013577E">
            <w:pPr>
              <w:pStyle w:val="Text1"/>
              <w:spacing w:before="120" w:line="240" w:lineRule="auto"/>
              <w:ind w:left="0"/>
              <w:rPr>
                <w:color w:val="FF0000"/>
                <w:sz w:val="18"/>
                <w:szCs w:val="18"/>
                <w:lang w:val="lv-LV"/>
              </w:rPr>
            </w:pPr>
            <w:r w:rsidRPr="0053020B">
              <w:rPr>
                <w:sz w:val="18"/>
                <w:szCs w:val="18"/>
                <w:lang w:val="lv-LV"/>
              </w:rPr>
              <w:t xml:space="preserve">Atjaunot </w:t>
            </w:r>
            <w:r w:rsidR="00D73A27" w:rsidRPr="0053020B">
              <w:rPr>
                <w:sz w:val="18"/>
                <w:szCs w:val="18"/>
                <w:lang w:val="lv-LV"/>
              </w:rPr>
              <w:t xml:space="preserve">publiskās </w:t>
            </w:r>
            <w:r w:rsidRPr="0053020B">
              <w:rPr>
                <w:sz w:val="18"/>
                <w:szCs w:val="18"/>
                <w:lang w:val="lv-LV"/>
              </w:rPr>
              <w:t>teritorijas</w:t>
            </w:r>
            <w:r w:rsidR="00D73A27" w:rsidRPr="0053020B">
              <w:rPr>
                <w:sz w:val="18"/>
                <w:szCs w:val="18"/>
                <w:lang w:val="lv-LV"/>
              </w:rPr>
              <w:t xml:space="preserve">, kurās pastāv </w:t>
            </w:r>
            <w:r w:rsidRPr="0053020B">
              <w:rPr>
                <w:sz w:val="18"/>
                <w:szCs w:val="18"/>
                <w:lang w:val="lv-LV"/>
              </w:rPr>
              <w:t>vides problēm</w:t>
            </w:r>
            <w:r w:rsidR="00D73A27" w:rsidRPr="0053020B">
              <w:rPr>
                <w:sz w:val="18"/>
                <w:szCs w:val="18"/>
                <w:lang w:val="lv-LV"/>
              </w:rPr>
              <w:t>as</w:t>
            </w:r>
            <w:r w:rsidRPr="0053020B">
              <w:rPr>
                <w:sz w:val="18"/>
                <w:szCs w:val="18"/>
                <w:lang w:val="lv-LV"/>
              </w:rPr>
              <w:t>.</w:t>
            </w:r>
          </w:p>
        </w:tc>
        <w:tc>
          <w:tcPr>
            <w:tcW w:w="2250" w:type="dxa"/>
            <w:tcBorders>
              <w:top w:val="single" w:sz="4" w:space="0" w:color="auto"/>
              <w:left w:val="single" w:sz="4" w:space="0" w:color="auto"/>
              <w:right w:val="single" w:sz="4" w:space="0" w:color="auto"/>
            </w:tcBorders>
          </w:tcPr>
          <w:p w:rsidR="00F06AB3" w:rsidRPr="0053020B" w:rsidRDefault="00D73A27" w:rsidP="0013577E">
            <w:pPr>
              <w:pStyle w:val="Text1"/>
              <w:spacing w:before="120" w:line="240" w:lineRule="auto"/>
              <w:ind w:left="0"/>
              <w:rPr>
                <w:sz w:val="18"/>
                <w:szCs w:val="18"/>
                <w:lang w:val="lv-LV"/>
              </w:rPr>
            </w:pPr>
            <w:r w:rsidRPr="0053020B">
              <w:rPr>
                <w:sz w:val="18"/>
                <w:szCs w:val="18"/>
                <w:lang w:val="lv-LV"/>
              </w:rPr>
              <w:t xml:space="preserve">Mājsaimniecību skaits, kas </w:t>
            </w:r>
            <w:r w:rsidR="00F06AB3" w:rsidRPr="0053020B">
              <w:rPr>
                <w:sz w:val="18"/>
                <w:szCs w:val="18"/>
                <w:lang w:val="lv-LV"/>
              </w:rPr>
              <w:t xml:space="preserve">saskaras ar </w:t>
            </w:r>
            <w:r w:rsidRPr="0053020B">
              <w:rPr>
                <w:sz w:val="18"/>
                <w:szCs w:val="18"/>
                <w:lang w:val="lv-LV"/>
              </w:rPr>
              <w:t xml:space="preserve">piesārņojumu un citām </w:t>
            </w:r>
            <w:r w:rsidR="00511504" w:rsidRPr="0053020B">
              <w:rPr>
                <w:sz w:val="18"/>
                <w:szCs w:val="18"/>
                <w:lang w:val="lv-LV"/>
              </w:rPr>
              <w:t xml:space="preserve">lokālām </w:t>
            </w:r>
            <w:r w:rsidR="00F06AB3" w:rsidRPr="0053020B">
              <w:rPr>
                <w:sz w:val="18"/>
                <w:szCs w:val="18"/>
                <w:lang w:val="lv-LV"/>
              </w:rPr>
              <w:t>vides problēmām.</w:t>
            </w:r>
          </w:p>
        </w:tc>
      </w:tr>
      <w:tr w:rsidR="00F06AB3" w:rsidRPr="00C77C1E" w:rsidTr="009E5886">
        <w:trPr>
          <w:trHeight w:val="2240"/>
        </w:trPr>
        <w:tc>
          <w:tcPr>
            <w:tcW w:w="1406" w:type="dxa"/>
            <w:vMerge w:val="restart"/>
            <w:tcBorders>
              <w:top w:val="single" w:sz="4" w:space="0" w:color="auto"/>
              <w:left w:val="single" w:sz="4" w:space="0" w:color="auto"/>
              <w:bottom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lastRenderedPageBreak/>
              <w:t>Atbalsts darbaspēka mobilitātei un nodarbinātībai</w:t>
            </w:r>
          </w:p>
        </w:tc>
        <w:tc>
          <w:tcPr>
            <w:tcW w:w="1071" w:type="dxa"/>
            <w:vMerge w:val="restart"/>
            <w:tcBorders>
              <w:top w:val="single" w:sz="4" w:space="0" w:color="auto"/>
              <w:left w:val="single" w:sz="4" w:space="0" w:color="auto"/>
              <w:right w:val="single" w:sz="4" w:space="0" w:color="auto"/>
            </w:tcBorders>
          </w:tcPr>
          <w:p w:rsidR="00F06AB3" w:rsidRPr="00B66B1A" w:rsidRDefault="00F06AB3" w:rsidP="00E302F6">
            <w:pPr>
              <w:pStyle w:val="Text1"/>
              <w:spacing w:before="120" w:line="240" w:lineRule="auto"/>
              <w:ind w:left="0"/>
              <w:jc w:val="left"/>
              <w:rPr>
                <w:sz w:val="18"/>
                <w:szCs w:val="18"/>
                <w:lang w:val="lv-LV"/>
              </w:rPr>
            </w:pPr>
            <w:r>
              <w:rPr>
                <w:sz w:val="18"/>
                <w:szCs w:val="18"/>
                <w:lang w:val="lv-LV"/>
              </w:rPr>
              <w:t>18 083 880</w:t>
            </w:r>
          </w:p>
        </w:tc>
        <w:tc>
          <w:tcPr>
            <w:tcW w:w="1348" w:type="dxa"/>
            <w:vMerge w:val="restart"/>
            <w:tcBorders>
              <w:top w:val="single" w:sz="4" w:space="0" w:color="auto"/>
              <w:left w:val="single" w:sz="4" w:space="0" w:color="auto"/>
              <w:right w:val="single" w:sz="4" w:space="0" w:color="auto"/>
            </w:tcBorders>
          </w:tcPr>
          <w:p w:rsidR="00F06AB3" w:rsidRPr="00B66B1A" w:rsidRDefault="00F06AB3" w:rsidP="00755612">
            <w:pPr>
              <w:pStyle w:val="Text1"/>
              <w:spacing w:before="120" w:line="240" w:lineRule="auto"/>
              <w:ind w:left="0"/>
              <w:jc w:val="center"/>
              <w:rPr>
                <w:sz w:val="18"/>
                <w:szCs w:val="18"/>
                <w:lang w:val="lv-LV"/>
              </w:rPr>
            </w:pPr>
            <w:r>
              <w:rPr>
                <w:sz w:val="18"/>
                <w:szCs w:val="18"/>
                <w:lang w:val="lv-LV"/>
              </w:rPr>
              <w:t>35%</w:t>
            </w:r>
          </w:p>
        </w:tc>
        <w:tc>
          <w:tcPr>
            <w:tcW w:w="1372" w:type="dxa"/>
            <w:vMerge w:val="restart"/>
            <w:tcBorders>
              <w:top w:val="single" w:sz="4" w:space="0" w:color="auto"/>
              <w:left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t xml:space="preserve">TM 8 </w:t>
            </w:r>
          </w:p>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t xml:space="preserve">Stabilu un kvalitatīvu darbavietu veicināšana un darbaspēka mobilitātes atbalstīšana </w:t>
            </w:r>
          </w:p>
        </w:tc>
        <w:tc>
          <w:tcPr>
            <w:tcW w:w="2930" w:type="dxa"/>
            <w:tcBorders>
              <w:top w:val="single" w:sz="4" w:space="0" w:color="auto"/>
              <w:left w:val="single" w:sz="4" w:space="0" w:color="auto"/>
              <w:bottom w:val="single" w:sz="4" w:space="0" w:color="auto"/>
              <w:right w:val="single" w:sz="4" w:space="0" w:color="auto"/>
            </w:tcBorders>
            <w:hideMark/>
          </w:tcPr>
          <w:p w:rsidR="00F06AB3" w:rsidRPr="00B66B1A" w:rsidRDefault="00F06AB3" w:rsidP="00E302F6">
            <w:p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eastAsia="fr-BE"/>
              </w:rPr>
              <w:t xml:space="preserve">(a) atbalstīt uzņēmumu inkubatoru attīstību un investīcijas pašnodarbinātības, mikrouzņēmumu un </w:t>
            </w:r>
            <w:r>
              <w:rPr>
                <w:rFonts w:ascii="Times New Roman" w:hAnsi="Times New Roman"/>
                <w:sz w:val="18"/>
                <w:szCs w:val="18"/>
                <w:lang w:val="lv-LV" w:eastAsia="fr-BE"/>
              </w:rPr>
              <w:t>uzņēmējdarbības</w:t>
            </w:r>
            <w:r w:rsidRPr="00B66B1A">
              <w:rPr>
                <w:rFonts w:ascii="Times New Roman" w:hAnsi="Times New Roman"/>
                <w:sz w:val="18"/>
                <w:szCs w:val="18"/>
                <w:lang w:val="lv-LV" w:eastAsia="fr-BE"/>
              </w:rPr>
              <w:t xml:space="preserve"> izveidē</w:t>
            </w:r>
          </w:p>
        </w:tc>
        <w:tc>
          <w:tcPr>
            <w:tcW w:w="2241"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Radīt nodarbinātības iespējas, atbalstot uzņēmējdarbību.</w:t>
            </w:r>
          </w:p>
          <w:p w:rsidR="00F06AB3" w:rsidRPr="00B66B1A" w:rsidRDefault="00F06AB3" w:rsidP="00E302F6">
            <w:pPr>
              <w:pStyle w:val="Text1"/>
              <w:spacing w:before="120" w:line="240" w:lineRule="auto"/>
              <w:ind w:left="0"/>
              <w:jc w:val="left"/>
              <w:rPr>
                <w:sz w:val="18"/>
                <w:szCs w:val="18"/>
                <w:lang w:val="lv-LV"/>
              </w:rPr>
            </w:pPr>
          </w:p>
        </w:tc>
        <w:tc>
          <w:tcPr>
            <w:tcW w:w="2250" w:type="dxa"/>
            <w:tcBorders>
              <w:top w:val="single" w:sz="4" w:space="0" w:color="auto"/>
              <w:left w:val="single" w:sz="4" w:space="0" w:color="auto"/>
              <w:bottom w:val="single" w:sz="4" w:space="0" w:color="auto"/>
              <w:right w:val="single" w:sz="4" w:space="0" w:color="auto"/>
            </w:tcBorders>
          </w:tcPr>
          <w:p w:rsidR="00F06AB3" w:rsidRPr="00B66B1A" w:rsidRDefault="009E5886" w:rsidP="00E302F6">
            <w:pPr>
              <w:pStyle w:val="Text1"/>
              <w:spacing w:before="120" w:line="240" w:lineRule="auto"/>
              <w:ind w:left="0"/>
              <w:rPr>
                <w:sz w:val="18"/>
                <w:szCs w:val="18"/>
                <w:lang w:val="lv-LV"/>
              </w:rPr>
            </w:pPr>
            <w:r>
              <w:rPr>
                <w:sz w:val="18"/>
                <w:szCs w:val="18"/>
                <w:lang w:val="lv-LV"/>
              </w:rPr>
              <w:t>J</w:t>
            </w:r>
            <w:r w:rsidR="00F06AB3" w:rsidRPr="00B66B1A">
              <w:rPr>
                <w:sz w:val="18"/>
                <w:szCs w:val="18"/>
                <w:lang w:val="lv-LV"/>
              </w:rPr>
              <w:t>aunizveidoto uzņēmumu skait</w:t>
            </w:r>
            <w:r w:rsidR="001A69B6">
              <w:rPr>
                <w:sz w:val="18"/>
                <w:szCs w:val="18"/>
                <w:lang w:val="lv-LV"/>
              </w:rPr>
              <w:t>a pieaugums</w:t>
            </w:r>
            <w:r w:rsidR="00F06AB3" w:rsidRPr="00B66B1A">
              <w:rPr>
                <w:sz w:val="18"/>
                <w:szCs w:val="18"/>
                <w:lang w:val="lv-LV"/>
              </w:rPr>
              <w:t>.</w:t>
            </w:r>
          </w:p>
        </w:tc>
      </w:tr>
      <w:tr w:rsidR="00F06AB3" w:rsidRPr="00C77C1E" w:rsidTr="009E5886">
        <w:trPr>
          <w:trHeight w:val="1970"/>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F06AB3" w:rsidRPr="00B66B1A" w:rsidRDefault="00F06AB3" w:rsidP="00E302F6">
            <w:pPr>
              <w:spacing w:before="120" w:line="240" w:lineRule="auto"/>
              <w:jc w:val="left"/>
              <w:rPr>
                <w:rFonts w:ascii="Times New Roman" w:hAnsi="Times New Roman"/>
                <w:sz w:val="18"/>
                <w:szCs w:val="18"/>
                <w:lang w:val="lv-LV"/>
              </w:rPr>
            </w:pPr>
          </w:p>
        </w:tc>
        <w:tc>
          <w:tcPr>
            <w:tcW w:w="1071" w:type="dxa"/>
            <w:vMerge/>
            <w:tcBorders>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jc w:val="left"/>
              <w:rPr>
                <w:sz w:val="18"/>
                <w:szCs w:val="18"/>
                <w:lang w:val="lv-LV"/>
              </w:rPr>
            </w:pPr>
          </w:p>
        </w:tc>
        <w:tc>
          <w:tcPr>
            <w:tcW w:w="1348" w:type="dxa"/>
            <w:vMerge/>
            <w:tcBorders>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jc w:val="right"/>
              <w:rPr>
                <w:sz w:val="18"/>
                <w:szCs w:val="18"/>
                <w:lang w:val="lv-LV"/>
              </w:rPr>
            </w:pPr>
          </w:p>
        </w:tc>
        <w:tc>
          <w:tcPr>
            <w:tcW w:w="1372" w:type="dxa"/>
            <w:vMerge/>
            <w:tcBorders>
              <w:left w:val="single" w:sz="4" w:space="0" w:color="auto"/>
              <w:bottom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p>
        </w:tc>
        <w:tc>
          <w:tcPr>
            <w:tcW w:w="2930" w:type="dxa"/>
            <w:tcBorders>
              <w:top w:val="single" w:sz="4" w:space="0" w:color="auto"/>
              <w:left w:val="single" w:sz="4" w:space="0" w:color="auto"/>
              <w:bottom w:val="single" w:sz="4" w:space="0" w:color="auto"/>
              <w:right w:val="single" w:sz="4" w:space="0" w:color="auto"/>
            </w:tcBorders>
            <w:hideMark/>
          </w:tcPr>
          <w:p w:rsidR="00F06AB3" w:rsidRPr="00B66B1A" w:rsidRDefault="00F06AB3" w:rsidP="00E302F6">
            <w:pPr>
              <w:pStyle w:val="Text1"/>
              <w:spacing w:before="120" w:line="240" w:lineRule="auto"/>
              <w:ind w:left="0"/>
              <w:rPr>
                <w:sz w:val="18"/>
                <w:szCs w:val="18"/>
                <w:lang w:val="lv-LV"/>
              </w:rPr>
            </w:pPr>
            <w:r w:rsidRPr="00B66B1A">
              <w:rPr>
                <w:sz w:val="18"/>
                <w:szCs w:val="18"/>
                <w:lang w:val="lv-LV" w:eastAsia="fr-BE"/>
              </w:rPr>
              <w:t>(ETS) īstenot pārrobežu darba tirgu integrāciju, tostarp pārrobežu mobilitāti, kopīgas nodarbinātības iniciatīvas vietējā mērogā, informatīvus un konsultatīvus pakalpojumus un kopīgu apmācību</w:t>
            </w:r>
          </w:p>
        </w:tc>
        <w:tc>
          <w:tcPr>
            <w:tcW w:w="2241"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rPr>
                <w:sz w:val="18"/>
                <w:szCs w:val="18"/>
                <w:lang w:val="lv-LV"/>
              </w:rPr>
            </w:pPr>
            <w:r w:rsidRPr="00B66B1A">
              <w:rPr>
                <w:sz w:val="18"/>
                <w:szCs w:val="18"/>
                <w:lang w:val="lv-LV"/>
              </w:rPr>
              <w:t>Palielināt darba iespējas, uzlabojot darbaspēka mobilitāti un prasmes.</w:t>
            </w:r>
          </w:p>
        </w:tc>
        <w:tc>
          <w:tcPr>
            <w:tcW w:w="2250"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rPr>
                <w:sz w:val="18"/>
                <w:szCs w:val="18"/>
                <w:lang w:val="lv-LV"/>
              </w:rPr>
            </w:pPr>
            <w:r w:rsidRPr="00B66B1A">
              <w:rPr>
                <w:sz w:val="18"/>
                <w:szCs w:val="18"/>
                <w:lang w:val="lv-LV"/>
              </w:rPr>
              <w:t>To cilvēku skaits, kas apgūst jaunas, darba tirgus prasībām atbilstošas prasmes.</w:t>
            </w:r>
          </w:p>
          <w:p w:rsidR="00F06AB3" w:rsidRPr="00B66B1A" w:rsidRDefault="00F06AB3" w:rsidP="00E302F6">
            <w:pPr>
              <w:pStyle w:val="Text1"/>
              <w:spacing w:before="120" w:line="240" w:lineRule="auto"/>
              <w:ind w:left="0"/>
              <w:rPr>
                <w:sz w:val="18"/>
                <w:szCs w:val="18"/>
                <w:lang w:val="lv-LV"/>
              </w:rPr>
            </w:pPr>
          </w:p>
          <w:p w:rsidR="00F06AB3" w:rsidRPr="00B66B1A" w:rsidRDefault="00F06AB3" w:rsidP="00E302F6">
            <w:pPr>
              <w:pStyle w:val="Text1"/>
              <w:spacing w:before="120" w:line="240" w:lineRule="auto"/>
              <w:ind w:left="0"/>
              <w:rPr>
                <w:color w:val="FF0000"/>
                <w:sz w:val="18"/>
                <w:szCs w:val="18"/>
                <w:lang w:val="lv-LV"/>
              </w:rPr>
            </w:pPr>
            <w:r w:rsidRPr="00B66B1A">
              <w:rPr>
                <w:sz w:val="18"/>
                <w:szCs w:val="18"/>
                <w:lang w:val="lv-LV"/>
              </w:rPr>
              <w:t>Transporta kustības intensitātes palielinājums uz atjaunotajiem ceļiem.</w:t>
            </w:r>
          </w:p>
        </w:tc>
      </w:tr>
      <w:tr w:rsidR="00F06AB3" w:rsidRPr="00A812A8" w:rsidTr="009E5886">
        <w:tc>
          <w:tcPr>
            <w:tcW w:w="1406" w:type="dxa"/>
            <w:vMerge w:val="restart"/>
            <w:tcBorders>
              <w:top w:val="single" w:sz="4" w:space="0" w:color="auto"/>
              <w:left w:val="single" w:sz="4" w:space="0" w:color="auto"/>
              <w:right w:val="single" w:sz="4" w:space="0" w:color="auto"/>
            </w:tcBorders>
            <w:hideMark/>
          </w:tcPr>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t xml:space="preserve">Sociālā </w:t>
            </w:r>
            <w:r>
              <w:rPr>
                <w:sz w:val="18"/>
                <w:szCs w:val="18"/>
                <w:lang w:val="lv-LV"/>
              </w:rPr>
              <w:t>iekļaušana</w:t>
            </w:r>
            <w:r w:rsidRPr="00B66B1A">
              <w:rPr>
                <w:sz w:val="18"/>
                <w:szCs w:val="18"/>
                <w:lang w:val="lv-LV"/>
              </w:rPr>
              <w:t xml:space="preserve"> kā teritoriālās attīstības priekšnoteikums</w:t>
            </w:r>
          </w:p>
          <w:p w:rsidR="00F06AB3" w:rsidRPr="00B66B1A" w:rsidRDefault="00F06AB3" w:rsidP="00E302F6">
            <w:pPr>
              <w:pStyle w:val="Text1"/>
              <w:spacing w:before="120" w:line="240" w:lineRule="auto"/>
              <w:ind w:left="0"/>
              <w:jc w:val="left"/>
              <w:rPr>
                <w:sz w:val="18"/>
                <w:szCs w:val="18"/>
                <w:lang w:val="lv-LV"/>
              </w:rPr>
            </w:pPr>
          </w:p>
        </w:tc>
        <w:tc>
          <w:tcPr>
            <w:tcW w:w="1071" w:type="dxa"/>
            <w:vMerge w:val="restart"/>
            <w:tcBorders>
              <w:top w:val="single" w:sz="4" w:space="0" w:color="auto"/>
              <w:left w:val="single" w:sz="4" w:space="0" w:color="auto"/>
              <w:right w:val="single" w:sz="4" w:space="0" w:color="auto"/>
            </w:tcBorders>
          </w:tcPr>
          <w:p w:rsidR="00F06AB3" w:rsidRDefault="00F06AB3" w:rsidP="00E302F6">
            <w:pPr>
              <w:pStyle w:val="Text1"/>
              <w:spacing w:before="120" w:line="240" w:lineRule="auto"/>
              <w:ind w:left="0"/>
              <w:jc w:val="left"/>
              <w:rPr>
                <w:sz w:val="18"/>
                <w:szCs w:val="18"/>
                <w:lang w:val="lv-LV"/>
              </w:rPr>
            </w:pPr>
            <w:r>
              <w:rPr>
                <w:sz w:val="18"/>
                <w:szCs w:val="18"/>
                <w:lang w:val="lv-LV"/>
              </w:rPr>
              <w:t>10 333 646</w:t>
            </w:r>
          </w:p>
          <w:p w:rsidR="00F06AB3" w:rsidRPr="00F06AB3" w:rsidRDefault="00F06AB3" w:rsidP="00E302F6">
            <w:pPr>
              <w:spacing w:before="120" w:line="240" w:lineRule="auto"/>
              <w:rPr>
                <w:lang w:val="lv-LV"/>
              </w:rPr>
            </w:pPr>
          </w:p>
        </w:tc>
        <w:tc>
          <w:tcPr>
            <w:tcW w:w="1348" w:type="dxa"/>
            <w:vMerge w:val="restart"/>
            <w:tcBorders>
              <w:top w:val="single" w:sz="4" w:space="0" w:color="auto"/>
              <w:left w:val="single" w:sz="4" w:space="0" w:color="auto"/>
              <w:right w:val="single" w:sz="4" w:space="0" w:color="auto"/>
            </w:tcBorders>
          </w:tcPr>
          <w:p w:rsidR="00F06AB3" w:rsidRPr="00B66B1A" w:rsidRDefault="00F06AB3" w:rsidP="00755612">
            <w:pPr>
              <w:pStyle w:val="Text1"/>
              <w:spacing w:before="120" w:line="240" w:lineRule="auto"/>
              <w:ind w:left="0"/>
              <w:jc w:val="center"/>
              <w:rPr>
                <w:sz w:val="18"/>
                <w:szCs w:val="18"/>
                <w:lang w:val="lv-LV"/>
              </w:rPr>
            </w:pPr>
            <w:r>
              <w:rPr>
                <w:sz w:val="18"/>
                <w:szCs w:val="18"/>
                <w:lang w:val="lv-LV"/>
              </w:rPr>
              <w:t>20%</w:t>
            </w:r>
          </w:p>
        </w:tc>
        <w:tc>
          <w:tcPr>
            <w:tcW w:w="1372" w:type="dxa"/>
            <w:vMerge w:val="restart"/>
            <w:tcBorders>
              <w:top w:val="single" w:sz="4" w:space="0" w:color="auto"/>
              <w:left w:val="single" w:sz="4" w:space="0" w:color="auto"/>
              <w:right w:val="single" w:sz="4" w:space="0" w:color="auto"/>
            </w:tcBorders>
          </w:tcPr>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t>TM 9</w:t>
            </w:r>
          </w:p>
          <w:p w:rsidR="00F06AB3" w:rsidRPr="00B66B1A" w:rsidRDefault="00F06AB3" w:rsidP="00E302F6">
            <w:pPr>
              <w:pStyle w:val="Text1"/>
              <w:spacing w:before="120" w:line="240" w:lineRule="auto"/>
              <w:ind w:left="0"/>
              <w:jc w:val="left"/>
              <w:rPr>
                <w:sz w:val="18"/>
                <w:szCs w:val="18"/>
                <w:lang w:val="lv-LV"/>
              </w:rPr>
            </w:pPr>
            <w:r w:rsidRPr="00B66B1A">
              <w:rPr>
                <w:sz w:val="18"/>
                <w:szCs w:val="18"/>
                <w:lang w:val="lv-LV"/>
              </w:rPr>
              <w:t>Sociālās iekļaušanas veicināšana, cīņa pret nabadzību un jebkādu diskrimināciju</w:t>
            </w:r>
          </w:p>
        </w:tc>
        <w:tc>
          <w:tcPr>
            <w:tcW w:w="2930"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spacing w:before="120" w:line="240" w:lineRule="auto"/>
              <w:rPr>
                <w:rFonts w:ascii="Times New Roman" w:hAnsi="Times New Roman"/>
                <w:sz w:val="18"/>
                <w:szCs w:val="18"/>
                <w:lang w:val="lv-LV" w:eastAsia="fr-BE"/>
              </w:rPr>
            </w:pPr>
            <w:r w:rsidRPr="00B66B1A">
              <w:rPr>
                <w:rFonts w:ascii="Times New Roman" w:hAnsi="Times New Roman"/>
                <w:sz w:val="18"/>
                <w:szCs w:val="18"/>
                <w:lang w:val="lv-LV" w:eastAsia="fr-BE"/>
              </w:rPr>
              <w:t>(a) investēt veselības aprūpes un sociālajā infrastruktūrā, kas sniedz ieguldījumu valsts, reģionālajā un vietējā attīstībā, mazināt atšķirības veselības stāvokļa ziņā, veicināt sociālo iekļaušanu ar sociālo, kultūras un atpūtas pakalpojumu uzlabotas pieejamības palīdzību un veicināt pāreju no institucionāliem uz pašvaldību pakalpojumiem</w:t>
            </w:r>
          </w:p>
        </w:tc>
        <w:tc>
          <w:tcPr>
            <w:tcW w:w="2241"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rPr>
                <w:sz w:val="18"/>
                <w:szCs w:val="18"/>
                <w:lang w:val="lv-LV"/>
              </w:rPr>
            </w:pPr>
            <w:r w:rsidRPr="00B66B1A">
              <w:rPr>
                <w:sz w:val="18"/>
                <w:szCs w:val="18"/>
                <w:lang w:val="lv-LV"/>
              </w:rPr>
              <w:t xml:space="preserve">Sociālā </w:t>
            </w:r>
            <w:r>
              <w:rPr>
                <w:sz w:val="18"/>
                <w:szCs w:val="18"/>
                <w:lang w:val="lv-LV"/>
              </w:rPr>
              <w:t>iekļaušana</w:t>
            </w:r>
            <w:r w:rsidRPr="00B66B1A">
              <w:rPr>
                <w:sz w:val="18"/>
                <w:szCs w:val="18"/>
                <w:lang w:val="lv-LV"/>
              </w:rPr>
              <w:t xml:space="preserve"> kā teritoriālās attīstības priekšnoteikums</w:t>
            </w:r>
          </w:p>
          <w:p w:rsidR="00F06AB3" w:rsidRPr="00B66B1A" w:rsidRDefault="00F06AB3" w:rsidP="00E302F6">
            <w:pPr>
              <w:pStyle w:val="Text1"/>
              <w:spacing w:before="120" w:line="240" w:lineRule="auto"/>
              <w:ind w:left="0"/>
              <w:rPr>
                <w:sz w:val="18"/>
                <w:szCs w:val="18"/>
                <w:lang w:val="lv-LV"/>
              </w:rPr>
            </w:pPr>
          </w:p>
        </w:tc>
        <w:tc>
          <w:tcPr>
            <w:tcW w:w="2250"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rPr>
                <w:sz w:val="18"/>
                <w:szCs w:val="18"/>
                <w:lang w:val="lv-LV"/>
              </w:rPr>
            </w:pPr>
            <w:r w:rsidRPr="00B66B1A">
              <w:rPr>
                <w:sz w:val="18"/>
                <w:szCs w:val="18"/>
                <w:lang w:val="lv-LV"/>
              </w:rPr>
              <w:t xml:space="preserve">To cilvēku skaits, kas gūst labumu no kopīgiem sociālās </w:t>
            </w:r>
            <w:r>
              <w:rPr>
                <w:sz w:val="18"/>
                <w:szCs w:val="18"/>
                <w:lang w:val="lv-LV"/>
              </w:rPr>
              <w:t>iekļaušanas</w:t>
            </w:r>
            <w:r w:rsidRPr="00B66B1A">
              <w:rPr>
                <w:sz w:val="18"/>
                <w:szCs w:val="18"/>
                <w:lang w:val="lv-LV"/>
              </w:rPr>
              <w:t xml:space="preserve"> pasākumiem un sociālajiem pakalpojumiem.</w:t>
            </w:r>
          </w:p>
        </w:tc>
      </w:tr>
      <w:tr w:rsidR="00F06AB3" w:rsidRPr="00A812A8" w:rsidTr="009E5886">
        <w:tc>
          <w:tcPr>
            <w:tcW w:w="1406" w:type="dxa"/>
            <w:vMerge/>
            <w:tcBorders>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jc w:val="left"/>
              <w:rPr>
                <w:sz w:val="18"/>
                <w:szCs w:val="18"/>
                <w:lang w:val="lv-LV"/>
              </w:rPr>
            </w:pPr>
          </w:p>
        </w:tc>
        <w:tc>
          <w:tcPr>
            <w:tcW w:w="1071" w:type="dxa"/>
            <w:vMerge/>
            <w:tcBorders>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jc w:val="left"/>
              <w:rPr>
                <w:sz w:val="18"/>
                <w:szCs w:val="18"/>
                <w:lang w:val="lv-LV"/>
              </w:rPr>
            </w:pPr>
          </w:p>
        </w:tc>
        <w:tc>
          <w:tcPr>
            <w:tcW w:w="1348" w:type="dxa"/>
            <w:vMerge/>
            <w:tcBorders>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jc w:val="right"/>
              <w:rPr>
                <w:sz w:val="18"/>
                <w:szCs w:val="18"/>
                <w:lang w:val="lv-LV"/>
              </w:rPr>
            </w:pPr>
          </w:p>
        </w:tc>
        <w:tc>
          <w:tcPr>
            <w:tcW w:w="1372" w:type="dxa"/>
            <w:vMerge/>
            <w:tcBorders>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jc w:val="left"/>
              <w:rPr>
                <w:sz w:val="18"/>
                <w:szCs w:val="18"/>
                <w:lang w:val="lv-LV"/>
              </w:rPr>
            </w:pPr>
          </w:p>
        </w:tc>
        <w:tc>
          <w:tcPr>
            <w:tcW w:w="2930"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rPr>
                <w:sz w:val="18"/>
                <w:szCs w:val="18"/>
                <w:lang w:val="lv-LV" w:eastAsia="fr-BE"/>
              </w:rPr>
            </w:pPr>
            <w:r w:rsidRPr="00B66B1A">
              <w:rPr>
                <w:sz w:val="18"/>
                <w:szCs w:val="18"/>
                <w:lang w:val="lv-LV" w:eastAsia="fr-BE"/>
              </w:rPr>
              <w:t>(b) sniegt atbalstu trūcīgu kopienu fiziskai, ekonomiskai un sociālai atjaunošanai pilsētās un lauku rajonos</w:t>
            </w:r>
          </w:p>
        </w:tc>
        <w:tc>
          <w:tcPr>
            <w:tcW w:w="2241" w:type="dxa"/>
            <w:tcBorders>
              <w:top w:val="single" w:sz="4" w:space="0" w:color="auto"/>
              <w:left w:val="single" w:sz="4" w:space="0" w:color="auto"/>
              <w:bottom w:val="single" w:sz="4" w:space="0" w:color="auto"/>
              <w:right w:val="single" w:sz="4" w:space="0" w:color="auto"/>
            </w:tcBorders>
          </w:tcPr>
          <w:p w:rsidR="00F06AB3" w:rsidRPr="00B66B1A" w:rsidRDefault="00F06AB3" w:rsidP="00E302F6">
            <w:pPr>
              <w:pStyle w:val="Text1"/>
              <w:spacing w:before="120" w:line="240" w:lineRule="auto"/>
              <w:ind w:left="0"/>
              <w:rPr>
                <w:sz w:val="18"/>
                <w:szCs w:val="18"/>
                <w:lang w:val="lv-LV"/>
              </w:rPr>
            </w:pPr>
            <w:r w:rsidRPr="00B66B1A">
              <w:rPr>
                <w:sz w:val="18"/>
                <w:szCs w:val="18"/>
                <w:lang w:val="lv-LV"/>
              </w:rPr>
              <w:t>Uzlabot dzīves apstākļus mazāk attīstītajās kopienās un teritorijās.</w:t>
            </w:r>
          </w:p>
        </w:tc>
        <w:tc>
          <w:tcPr>
            <w:tcW w:w="2250" w:type="dxa"/>
            <w:tcBorders>
              <w:top w:val="single" w:sz="4" w:space="0" w:color="auto"/>
              <w:left w:val="single" w:sz="4" w:space="0" w:color="auto"/>
              <w:bottom w:val="single" w:sz="4" w:space="0" w:color="auto"/>
              <w:right w:val="single" w:sz="4" w:space="0" w:color="auto"/>
            </w:tcBorders>
          </w:tcPr>
          <w:p w:rsidR="00F06AB3" w:rsidRPr="000D340E" w:rsidRDefault="00F06AB3" w:rsidP="00E302F6">
            <w:pPr>
              <w:pStyle w:val="Text1"/>
              <w:spacing w:before="120" w:line="240" w:lineRule="auto"/>
              <w:ind w:left="0"/>
              <w:rPr>
                <w:color w:val="FF0000"/>
                <w:sz w:val="18"/>
                <w:szCs w:val="18"/>
                <w:lang w:val="lv-LV"/>
              </w:rPr>
            </w:pPr>
            <w:r>
              <w:rPr>
                <w:sz w:val="18"/>
                <w:szCs w:val="18"/>
                <w:lang w:val="lv-LV"/>
              </w:rPr>
              <w:t>Mājsaimniecību īpatsvars, kas norādījušas uz apkārtējās vides piesārņojumu</w:t>
            </w:r>
            <w:r w:rsidRPr="000D340E">
              <w:rPr>
                <w:sz w:val="18"/>
                <w:szCs w:val="18"/>
                <w:lang w:val="lv-LV"/>
              </w:rPr>
              <w:t xml:space="preserve">, </w:t>
            </w:r>
            <w:r>
              <w:rPr>
                <w:sz w:val="18"/>
                <w:szCs w:val="18"/>
                <w:lang w:val="lv-LV"/>
              </w:rPr>
              <w:t>un/vai citām vides problēmām</w:t>
            </w:r>
            <w:r w:rsidRPr="000D340E">
              <w:rPr>
                <w:sz w:val="18"/>
                <w:szCs w:val="18"/>
                <w:lang w:val="lv-LV"/>
              </w:rPr>
              <w:t xml:space="preserve"> dzīvesvietas tuvumā</w:t>
            </w:r>
          </w:p>
        </w:tc>
      </w:tr>
      <w:tr w:rsidR="00B40A91" w:rsidRPr="00C77C1E" w:rsidTr="009E5886">
        <w:tc>
          <w:tcPr>
            <w:tcW w:w="1406" w:type="dxa"/>
            <w:tcBorders>
              <w:top w:val="single" w:sz="4" w:space="0" w:color="auto"/>
              <w:left w:val="single" w:sz="4" w:space="0" w:color="auto"/>
              <w:bottom w:val="single" w:sz="4" w:space="0" w:color="auto"/>
              <w:right w:val="single" w:sz="4" w:space="0" w:color="auto"/>
            </w:tcBorders>
          </w:tcPr>
          <w:p w:rsidR="00F73204" w:rsidRPr="00B66B1A" w:rsidRDefault="00BD22AC" w:rsidP="00E302F6">
            <w:pPr>
              <w:pStyle w:val="Text1"/>
              <w:spacing w:before="120" w:line="240" w:lineRule="auto"/>
              <w:ind w:left="0"/>
              <w:jc w:val="left"/>
              <w:rPr>
                <w:sz w:val="18"/>
                <w:szCs w:val="18"/>
                <w:lang w:val="lv-LV"/>
              </w:rPr>
            </w:pPr>
            <w:bookmarkStart w:id="8" w:name="_Hlk390146120"/>
            <w:r w:rsidRPr="00B66B1A">
              <w:rPr>
                <w:sz w:val="18"/>
                <w:szCs w:val="18"/>
                <w:lang w:val="lv-LV"/>
              </w:rPr>
              <w:lastRenderedPageBreak/>
              <w:t>Uzlabota dzīves kvalitāte efektīvu publisko pakalpojumu un administrācijas rezultātā</w:t>
            </w:r>
          </w:p>
        </w:tc>
        <w:tc>
          <w:tcPr>
            <w:tcW w:w="1071" w:type="dxa"/>
            <w:tcBorders>
              <w:top w:val="single" w:sz="4" w:space="0" w:color="auto"/>
              <w:left w:val="single" w:sz="4" w:space="0" w:color="auto"/>
              <w:bottom w:val="single" w:sz="4" w:space="0" w:color="auto"/>
              <w:right w:val="single" w:sz="4" w:space="0" w:color="auto"/>
            </w:tcBorders>
          </w:tcPr>
          <w:p w:rsidR="00F73204" w:rsidRPr="00B66B1A" w:rsidRDefault="00F06AB3" w:rsidP="00E302F6">
            <w:pPr>
              <w:pStyle w:val="Text1"/>
              <w:spacing w:before="120" w:line="240" w:lineRule="auto"/>
              <w:ind w:left="0"/>
              <w:jc w:val="left"/>
              <w:rPr>
                <w:sz w:val="18"/>
                <w:szCs w:val="18"/>
                <w:lang w:val="lv-LV"/>
              </w:rPr>
            </w:pPr>
            <w:r>
              <w:rPr>
                <w:sz w:val="18"/>
                <w:szCs w:val="18"/>
                <w:lang w:val="lv-LV"/>
              </w:rPr>
              <w:t>9 300 281</w:t>
            </w:r>
          </w:p>
        </w:tc>
        <w:tc>
          <w:tcPr>
            <w:tcW w:w="1348" w:type="dxa"/>
            <w:tcBorders>
              <w:top w:val="single" w:sz="4" w:space="0" w:color="auto"/>
              <w:left w:val="single" w:sz="4" w:space="0" w:color="auto"/>
              <w:bottom w:val="single" w:sz="4" w:space="0" w:color="auto"/>
              <w:right w:val="single" w:sz="4" w:space="0" w:color="auto"/>
            </w:tcBorders>
          </w:tcPr>
          <w:p w:rsidR="00F73204" w:rsidRPr="00B66B1A" w:rsidRDefault="00F06AB3" w:rsidP="00755612">
            <w:pPr>
              <w:pStyle w:val="Text1"/>
              <w:spacing w:before="120" w:line="240" w:lineRule="auto"/>
              <w:ind w:left="0"/>
              <w:jc w:val="center"/>
              <w:rPr>
                <w:sz w:val="18"/>
                <w:szCs w:val="18"/>
                <w:lang w:val="lv-LV"/>
              </w:rPr>
            </w:pPr>
            <w:r>
              <w:rPr>
                <w:sz w:val="18"/>
                <w:szCs w:val="18"/>
                <w:lang w:val="lv-LV"/>
              </w:rPr>
              <w:t>18%</w:t>
            </w:r>
          </w:p>
        </w:tc>
        <w:tc>
          <w:tcPr>
            <w:tcW w:w="1372" w:type="dxa"/>
            <w:tcBorders>
              <w:top w:val="single" w:sz="4" w:space="0" w:color="auto"/>
              <w:left w:val="single" w:sz="4" w:space="0" w:color="auto"/>
              <w:bottom w:val="single" w:sz="4" w:space="0" w:color="auto"/>
              <w:right w:val="single" w:sz="4" w:space="0" w:color="auto"/>
            </w:tcBorders>
          </w:tcPr>
          <w:p w:rsidR="00F73204" w:rsidRPr="00B66B1A" w:rsidRDefault="00F73204" w:rsidP="00E302F6">
            <w:pPr>
              <w:pStyle w:val="Text1"/>
              <w:spacing w:before="120" w:line="240" w:lineRule="auto"/>
              <w:ind w:left="0"/>
              <w:jc w:val="left"/>
              <w:rPr>
                <w:sz w:val="18"/>
                <w:szCs w:val="18"/>
                <w:lang w:val="lv-LV"/>
              </w:rPr>
            </w:pPr>
            <w:r w:rsidRPr="00B66B1A">
              <w:rPr>
                <w:sz w:val="18"/>
                <w:szCs w:val="18"/>
                <w:lang w:val="lv-LV"/>
              </w:rPr>
              <w:t>T</w:t>
            </w:r>
            <w:r w:rsidR="00C83D3B" w:rsidRPr="00B66B1A">
              <w:rPr>
                <w:sz w:val="18"/>
                <w:szCs w:val="18"/>
                <w:lang w:val="lv-LV"/>
              </w:rPr>
              <w:t>M</w:t>
            </w:r>
            <w:r w:rsidRPr="00B66B1A">
              <w:rPr>
                <w:sz w:val="18"/>
                <w:szCs w:val="18"/>
                <w:lang w:val="lv-LV"/>
              </w:rPr>
              <w:t xml:space="preserve"> 11</w:t>
            </w:r>
          </w:p>
          <w:p w:rsidR="00F73204" w:rsidRPr="00B66B1A" w:rsidRDefault="00B40A91" w:rsidP="00E302F6">
            <w:pPr>
              <w:pStyle w:val="Text1"/>
              <w:spacing w:before="120" w:line="240" w:lineRule="auto"/>
              <w:ind w:left="0"/>
              <w:jc w:val="left"/>
              <w:rPr>
                <w:sz w:val="18"/>
                <w:szCs w:val="18"/>
                <w:lang w:val="lv-LV"/>
              </w:rPr>
            </w:pPr>
            <w:r w:rsidRPr="00B66B1A">
              <w:rPr>
                <w:sz w:val="18"/>
                <w:szCs w:val="18"/>
                <w:lang w:val="lv-LV"/>
              </w:rPr>
              <w:t>Publisko iestāžu un iesaistīto personu institucionālo spēju un valsts pārvaldes efektivitātes uzlabošana</w:t>
            </w:r>
          </w:p>
        </w:tc>
        <w:tc>
          <w:tcPr>
            <w:tcW w:w="2930" w:type="dxa"/>
            <w:tcBorders>
              <w:top w:val="single" w:sz="4" w:space="0" w:color="auto"/>
              <w:left w:val="single" w:sz="4" w:space="0" w:color="auto"/>
              <w:bottom w:val="single" w:sz="4" w:space="0" w:color="auto"/>
              <w:right w:val="single" w:sz="4" w:space="0" w:color="auto"/>
            </w:tcBorders>
          </w:tcPr>
          <w:p w:rsidR="00F73204" w:rsidRPr="00B66B1A" w:rsidRDefault="00552155" w:rsidP="00E302F6">
            <w:pPr>
              <w:pStyle w:val="Text1"/>
              <w:spacing w:before="120" w:line="240" w:lineRule="auto"/>
              <w:ind w:left="0"/>
              <w:rPr>
                <w:sz w:val="18"/>
                <w:szCs w:val="18"/>
                <w:lang w:val="lv-LV"/>
              </w:rPr>
            </w:pPr>
            <w:r w:rsidRPr="00B66B1A">
              <w:rPr>
                <w:sz w:val="18"/>
                <w:szCs w:val="18"/>
                <w:lang w:val="lv-LV" w:eastAsia="fr-BE"/>
              </w:rPr>
              <w:t xml:space="preserve">(ETS) </w:t>
            </w:r>
            <w:r w:rsidR="00B40A91" w:rsidRPr="00B66B1A">
              <w:rPr>
                <w:sz w:val="18"/>
                <w:szCs w:val="18"/>
                <w:lang w:val="lv-LV" w:eastAsia="fr-BE"/>
              </w:rPr>
              <w:t>veicināt tiesisko un administratīvo sadarbību un sadarbību starp iedzīvotājiem un iestādēm</w:t>
            </w:r>
          </w:p>
        </w:tc>
        <w:tc>
          <w:tcPr>
            <w:tcW w:w="2241" w:type="dxa"/>
            <w:tcBorders>
              <w:top w:val="single" w:sz="4" w:space="0" w:color="auto"/>
              <w:left w:val="single" w:sz="4" w:space="0" w:color="auto"/>
              <w:bottom w:val="single" w:sz="4" w:space="0" w:color="auto"/>
              <w:right w:val="single" w:sz="4" w:space="0" w:color="auto"/>
            </w:tcBorders>
          </w:tcPr>
          <w:p w:rsidR="00F73204" w:rsidRPr="00B66B1A" w:rsidRDefault="00551A78" w:rsidP="00E302F6">
            <w:pPr>
              <w:pStyle w:val="Text1"/>
              <w:spacing w:before="120" w:line="240" w:lineRule="auto"/>
              <w:ind w:left="0"/>
              <w:rPr>
                <w:sz w:val="18"/>
                <w:szCs w:val="18"/>
                <w:lang w:val="lv-LV"/>
              </w:rPr>
            </w:pPr>
            <w:r w:rsidRPr="00B66B1A">
              <w:rPr>
                <w:sz w:val="18"/>
                <w:szCs w:val="18"/>
                <w:lang w:val="lv-LV"/>
              </w:rPr>
              <w:t>Uzlabot publisko pakalpojumu efektivitāti, spēcinot kompetenci un sadarbību starp institūcijām.</w:t>
            </w:r>
          </w:p>
        </w:tc>
        <w:tc>
          <w:tcPr>
            <w:tcW w:w="2250" w:type="dxa"/>
            <w:tcBorders>
              <w:top w:val="single" w:sz="4" w:space="0" w:color="auto"/>
              <w:left w:val="single" w:sz="4" w:space="0" w:color="auto"/>
              <w:bottom w:val="single" w:sz="4" w:space="0" w:color="auto"/>
              <w:right w:val="single" w:sz="4" w:space="0" w:color="auto"/>
            </w:tcBorders>
          </w:tcPr>
          <w:p w:rsidR="00F73204" w:rsidRPr="00B66B1A" w:rsidRDefault="008C04B7" w:rsidP="00E302F6">
            <w:pPr>
              <w:pStyle w:val="Text1"/>
              <w:spacing w:before="120" w:line="240" w:lineRule="auto"/>
              <w:ind w:left="0"/>
              <w:rPr>
                <w:sz w:val="18"/>
                <w:szCs w:val="18"/>
                <w:lang w:val="lv-LV"/>
              </w:rPr>
            </w:pPr>
            <w:r w:rsidRPr="00B66B1A">
              <w:rPr>
                <w:sz w:val="18"/>
                <w:szCs w:val="18"/>
                <w:lang w:val="lv-LV"/>
              </w:rPr>
              <w:t>To jauno risinājumu skaits, kas piemēroti attiecībā uz publiskajiem pakalpojumiem.</w:t>
            </w:r>
          </w:p>
        </w:tc>
      </w:tr>
      <w:bookmarkEnd w:id="8"/>
    </w:tbl>
    <w:p w:rsidR="00D115F2" w:rsidRPr="00543A74" w:rsidRDefault="00D115F2" w:rsidP="00E302F6">
      <w:pPr>
        <w:spacing w:before="120" w:line="240" w:lineRule="auto"/>
        <w:rPr>
          <w:lang w:val="lv-LV"/>
        </w:rPr>
      </w:pPr>
    </w:p>
    <w:p w:rsidR="00D115F2" w:rsidRPr="00543A74" w:rsidRDefault="00D115F2" w:rsidP="00E302F6">
      <w:pPr>
        <w:spacing w:before="120" w:line="240" w:lineRule="auto"/>
        <w:jc w:val="left"/>
        <w:rPr>
          <w:b/>
          <w:bCs/>
          <w:smallCaps/>
          <w:lang w:val="lv-LV"/>
        </w:rPr>
        <w:sectPr w:rsidR="00D115F2" w:rsidRPr="00543A74" w:rsidSect="00CD5A7D">
          <w:pgSz w:w="15840" w:h="12240" w:orient="landscape"/>
          <w:pgMar w:top="1800" w:right="1440" w:bottom="1800" w:left="1440" w:header="720" w:footer="720" w:gutter="0"/>
          <w:cols w:space="720"/>
          <w:docGrid w:linePitch="360"/>
        </w:sectPr>
      </w:pPr>
      <w:bookmarkStart w:id="9" w:name="_Toc372107592"/>
    </w:p>
    <w:p w:rsidR="00D115F2" w:rsidRPr="00C77C1E" w:rsidRDefault="00CD15D4" w:rsidP="00736F69">
      <w:pPr>
        <w:pStyle w:val="Heading1"/>
      </w:pPr>
      <w:bookmarkStart w:id="10" w:name="_Toc372107593"/>
      <w:bookmarkStart w:id="11" w:name="_Toc384383726"/>
      <w:bookmarkEnd w:id="9"/>
      <w:r w:rsidRPr="00C77C1E">
        <w:lastRenderedPageBreak/>
        <w:t xml:space="preserve">2. </w:t>
      </w:r>
      <w:r w:rsidR="00857669" w:rsidRPr="00C77C1E">
        <w:t>NODAĻA</w:t>
      </w:r>
      <w:r w:rsidR="0016193F" w:rsidRPr="00C77C1E">
        <w:br/>
      </w:r>
      <w:r w:rsidR="00857669" w:rsidRPr="00C77C1E">
        <w:t>PROGRAMMAS PRIORITĀŠU</w:t>
      </w:r>
      <w:r w:rsidRPr="00C77C1E">
        <w:t xml:space="preserve"> APRAKSTS</w:t>
      </w:r>
      <w:bookmarkEnd w:id="10"/>
      <w:bookmarkEnd w:id="11"/>
    </w:p>
    <w:p w:rsidR="00D115F2" w:rsidRPr="00543A74" w:rsidRDefault="00D115F2" w:rsidP="00D66FB7">
      <w:pPr>
        <w:pStyle w:val="Heading2"/>
      </w:pPr>
      <w:bookmarkStart w:id="12" w:name="_Toc372107594"/>
    </w:p>
    <w:p w:rsidR="00470200" w:rsidRDefault="00D115F2" w:rsidP="00D66FB7">
      <w:pPr>
        <w:pStyle w:val="Heading2"/>
      </w:pPr>
      <w:bookmarkStart w:id="13" w:name="_Toc384383727"/>
      <w:r w:rsidRPr="00B66B1A">
        <w:t xml:space="preserve">2.1. </w:t>
      </w:r>
      <w:r w:rsidR="00857669" w:rsidRPr="00B66B1A">
        <w:t>I</w:t>
      </w:r>
      <w:r w:rsidR="00CD15D4" w:rsidRPr="00B66B1A">
        <w:t xml:space="preserve"> </w:t>
      </w:r>
      <w:r w:rsidR="00857669" w:rsidRPr="00B66B1A">
        <w:t>Prioritāte</w:t>
      </w:r>
      <w:r w:rsidR="00CD15D4" w:rsidRPr="00B66B1A">
        <w:t>: ilgtspējīga un tīra vide sadarbības rezultātā</w:t>
      </w:r>
      <w:bookmarkEnd w:id="12"/>
      <w:bookmarkEnd w:id="13"/>
    </w:p>
    <w:tbl>
      <w:tblPr>
        <w:tblW w:w="88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0"/>
      </w:tblGrid>
      <w:tr w:rsidR="00D115F2" w:rsidRPr="0091473F" w:rsidTr="00FE1A59">
        <w:trPr>
          <w:trHeight w:val="585"/>
        </w:trPr>
        <w:tc>
          <w:tcPr>
            <w:tcW w:w="8880" w:type="dxa"/>
            <w:shd w:val="clear" w:color="auto" w:fill="EAF1DD"/>
          </w:tcPr>
          <w:p w:rsidR="00D115F2" w:rsidRPr="00B66B1A" w:rsidRDefault="00CD15D4" w:rsidP="00E302F6">
            <w:pPr>
              <w:pStyle w:val="Text1"/>
              <w:keepNext/>
              <w:keepLines/>
              <w:spacing w:before="120" w:line="240" w:lineRule="auto"/>
              <w:ind w:left="0" w:right="-432"/>
              <w:outlineLvl w:val="8"/>
              <w:rPr>
                <w:szCs w:val="24"/>
                <w:lang w:val="lv-LV"/>
              </w:rPr>
            </w:pPr>
            <w:r w:rsidRPr="00B66B1A">
              <w:rPr>
                <w:szCs w:val="24"/>
                <w:lang w:val="lv-LV"/>
              </w:rPr>
              <w:t>TM</w:t>
            </w:r>
            <w:r w:rsidR="00D115F2" w:rsidRPr="00B66B1A">
              <w:rPr>
                <w:szCs w:val="24"/>
                <w:lang w:val="lv-LV"/>
                <w:specVanish/>
              </w:rPr>
              <w:t xml:space="preserve"> 6: </w:t>
            </w:r>
            <w:r w:rsidR="00857669" w:rsidRPr="00B66B1A">
              <w:rPr>
                <w:szCs w:val="24"/>
                <w:lang w:val="lv-LV"/>
              </w:rPr>
              <w:t>Vides saglabāšana un aizsardzība un resursu efektīvas izmantošanas veicināšana</w:t>
            </w:r>
          </w:p>
        </w:tc>
      </w:tr>
    </w:tbl>
    <w:p w:rsidR="00D115F2" w:rsidRPr="00B66B1A" w:rsidRDefault="00D115F2" w:rsidP="00D66FB7">
      <w:pPr>
        <w:pStyle w:val="Heading2"/>
      </w:pPr>
    </w:p>
    <w:tbl>
      <w:tblPr>
        <w:tblpPr w:leftFromText="180" w:rightFromText="180" w:vertAnchor="text" w:horzAnchor="margin" w:tblpY="-1"/>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019"/>
      </w:tblGrid>
      <w:tr w:rsidR="00D115F2" w:rsidRPr="00A812A8" w:rsidTr="00FE1A59">
        <w:trPr>
          <w:trHeight w:val="742"/>
        </w:trPr>
        <w:tc>
          <w:tcPr>
            <w:tcW w:w="9019" w:type="dxa"/>
            <w:shd w:val="clear" w:color="auto" w:fill="EAF1DD"/>
          </w:tcPr>
          <w:p w:rsidR="00D115F2" w:rsidRPr="00B66B1A" w:rsidRDefault="00CD15D4" w:rsidP="00E302F6">
            <w:pPr>
              <w:pStyle w:val="Text1"/>
              <w:spacing w:before="120" w:line="240" w:lineRule="auto"/>
              <w:ind w:left="0" w:right="-432"/>
              <w:jc w:val="left"/>
              <w:rPr>
                <w:szCs w:val="24"/>
                <w:lang w:val="lv-LV"/>
              </w:rPr>
            </w:pPr>
            <w:r w:rsidRPr="00B66B1A">
              <w:rPr>
                <w:szCs w:val="24"/>
                <w:lang w:val="lv-LV"/>
              </w:rPr>
              <w:t>1. investīciju prioritāte:</w:t>
            </w:r>
            <w:r w:rsidR="00D115F2" w:rsidRPr="00B66B1A">
              <w:rPr>
                <w:szCs w:val="24"/>
                <w:lang w:val="lv-LV"/>
              </w:rPr>
              <w:t xml:space="preserve"> </w:t>
            </w:r>
          </w:p>
          <w:p w:rsidR="00660A0A" w:rsidRDefault="00857669" w:rsidP="00E302F6">
            <w:pPr>
              <w:spacing w:before="120" w:line="240" w:lineRule="auto"/>
              <w:ind w:right="-432"/>
              <w:rPr>
                <w:rFonts w:ascii="Times New Roman" w:hAnsi="Times New Roman"/>
                <w:b/>
                <w:u w:val="single"/>
                <w:lang w:val="lv-LV"/>
              </w:rPr>
            </w:pPr>
            <w:r w:rsidRPr="00B66B1A">
              <w:rPr>
                <w:rFonts w:ascii="Times New Roman" w:hAnsi="Times New Roman"/>
                <w:b/>
                <w:u w:val="single"/>
                <w:lang w:val="lv-LV"/>
              </w:rPr>
              <w:t>saglabāt, aizsargāt, veicināt un attīstīt dabas un kultūras mantojumu</w:t>
            </w:r>
            <w:r w:rsidRPr="00B66B1A" w:rsidDel="00857669">
              <w:rPr>
                <w:rFonts w:ascii="Times New Roman" w:hAnsi="Times New Roman"/>
                <w:b/>
                <w:u w:val="single"/>
                <w:lang w:val="lv-LV"/>
              </w:rPr>
              <w:t xml:space="preserve"> </w:t>
            </w:r>
          </w:p>
          <w:p w:rsidR="00D115F2" w:rsidRPr="00B66B1A" w:rsidRDefault="0013577E" w:rsidP="00E302F6">
            <w:pPr>
              <w:spacing w:before="120" w:line="240" w:lineRule="auto"/>
              <w:ind w:right="-432"/>
              <w:rPr>
                <w:rFonts w:ascii="Times New Roman" w:hAnsi="Times New Roman"/>
                <w:lang w:val="lv-LV"/>
              </w:rPr>
            </w:pPr>
            <w:r>
              <w:rPr>
                <w:rFonts w:ascii="Times New Roman" w:hAnsi="Times New Roman"/>
                <w:lang w:val="lv-LV"/>
              </w:rPr>
              <w:t>K</w:t>
            </w:r>
            <w:r w:rsidR="002E3500">
              <w:rPr>
                <w:rFonts w:ascii="Times New Roman" w:hAnsi="Times New Roman"/>
                <w:lang w:val="lv-LV"/>
              </w:rPr>
              <w:t>onkrētais</w:t>
            </w:r>
            <w:r w:rsidR="002E3500" w:rsidRPr="00B66B1A">
              <w:rPr>
                <w:rFonts w:ascii="Times New Roman" w:hAnsi="Times New Roman"/>
                <w:lang w:val="lv-LV"/>
              </w:rPr>
              <w:t xml:space="preserve"> </w:t>
            </w:r>
            <w:r w:rsidR="00CD15D4" w:rsidRPr="00B66B1A">
              <w:rPr>
                <w:rFonts w:ascii="Times New Roman" w:hAnsi="Times New Roman"/>
                <w:lang w:val="lv-LV"/>
              </w:rPr>
              <w:t>mērķis</w:t>
            </w:r>
            <w:r w:rsidR="00D115F2" w:rsidRPr="00B66B1A">
              <w:rPr>
                <w:rFonts w:ascii="Times New Roman" w:hAnsi="Times New Roman"/>
                <w:lang w:val="lv-LV"/>
              </w:rPr>
              <w:t xml:space="preserve">: </w:t>
            </w:r>
          </w:p>
          <w:p w:rsidR="00D115F2" w:rsidRPr="00B66B1A" w:rsidRDefault="00CD15D4" w:rsidP="00E302F6">
            <w:pPr>
              <w:spacing w:before="120" w:line="240" w:lineRule="auto"/>
              <w:ind w:right="-432"/>
              <w:rPr>
                <w:rFonts w:ascii="Times New Roman" w:hAnsi="Times New Roman"/>
                <w:u w:val="single"/>
                <w:lang w:val="lv-LV"/>
              </w:rPr>
            </w:pPr>
            <w:r w:rsidRPr="00B66B1A">
              <w:rPr>
                <w:rFonts w:ascii="Times New Roman" w:hAnsi="Times New Roman"/>
                <w:b/>
                <w:u w:val="single"/>
                <w:lang w:val="lv-LV"/>
              </w:rPr>
              <w:t>uzlabo</w:t>
            </w:r>
            <w:r w:rsidR="009E5886">
              <w:rPr>
                <w:rFonts w:ascii="Times New Roman" w:hAnsi="Times New Roman"/>
                <w:b/>
                <w:u w:val="single"/>
                <w:lang w:val="lv-LV"/>
              </w:rPr>
              <w:t>jo</w:t>
            </w:r>
            <w:r w:rsidRPr="00B66B1A">
              <w:rPr>
                <w:rFonts w:ascii="Times New Roman" w:hAnsi="Times New Roman"/>
                <w:b/>
                <w:u w:val="single"/>
                <w:lang w:val="lv-LV"/>
              </w:rPr>
              <w:t>t un attīst</w:t>
            </w:r>
            <w:r w:rsidR="009E5886">
              <w:rPr>
                <w:rFonts w:ascii="Times New Roman" w:hAnsi="Times New Roman"/>
                <w:b/>
                <w:u w:val="single"/>
                <w:lang w:val="lv-LV"/>
              </w:rPr>
              <w:t>o</w:t>
            </w:r>
            <w:r w:rsidRPr="00B66B1A">
              <w:rPr>
                <w:rFonts w:ascii="Times New Roman" w:hAnsi="Times New Roman"/>
                <w:b/>
                <w:u w:val="single"/>
                <w:lang w:val="lv-LV"/>
              </w:rPr>
              <w:t>t kultūras un dabas mantojuma objektus, pakalpojumus un produktus, lai palielinātu apmeklētāju skaitu Programmas teritorijā</w:t>
            </w:r>
          </w:p>
        </w:tc>
      </w:tr>
    </w:tbl>
    <w:p w:rsidR="00F73204" w:rsidRPr="00B66B1A" w:rsidRDefault="00971347" w:rsidP="00E302F6">
      <w:pPr>
        <w:spacing w:before="120" w:line="240" w:lineRule="auto"/>
        <w:ind w:right="-432"/>
        <w:rPr>
          <w:rFonts w:ascii="Times New Roman" w:hAnsi="Times New Roman"/>
          <w:lang w:val="lv-LV"/>
        </w:rPr>
      </w:pPr>
      <w:r w:rsidRPr="00B66B1A">
        <w:rPr>
          <w:rFonts w:ascii="Times New Roman" w:hAnsi="Times New Roman"/>
          <w:lang w:val="lv-LV"/>
        </w:rPr>
        <w:t>Programmas atbalsts kultūras un dabas mantojumam ir viens no ilgtspējīgas ekonomiskās attīstības nosacījumiem (pozitīvi ietekmējot tūrismu, uzlabot vidi un nodrošin</w:t>
      </w:r>
      <w:r w:rsidR="00AB0960" w:rsidRPr="00B66B1A">
        <w:rPr>
          <w:rFonts w:ascii="Times New Roman" w:hAnsi="Times New Roman"/>
          <w:lang w:val="lv-LV"/>
        </w:rPr>
        <w:t>āt papildu</w:t>
      </w:r>
      <w:r w:rsidR="00543A74" w:rsidRPr="00B66B1A">
        <w:rPr>
          <w:rFonts w:ascii="Times New Roman" w:hAnsi="Times New Roman"/>
          <w:lang w:val="lv-LV"/>
        </w:rPr>
        <w:t xml:space="preserve"> uzņēmējdarbības </w:t>
      </w:r>
      <w:r w:rsidR="00857669" w:rsidRPr="00B66B1A">
        <w:rPr>
          <w:rFonts w:ascii="Times New Roman" w:hAnsi="Times New Roman"/>
          <w:lang w:val="lv-LV"/>
        </w:rPr>
        <w:t xml:space="preserve">iespējas </w:t>
      </w:r>
      <w:r w:rsidRPr="00B66B1A">
        <w:rPr>
          <w:rFonts w:ascii="Times New Roman" w:hAnsi="Times New Roman"/>
          <w:lang w:val="lv-LV"/>
        </w:rPr>
        <w:t>vietējiem uzņēmumiem).</w:t>
      </w:r>
    </w:p>
    <w:p w:rsidR="00F73204" w:rsidRPr="00B66B1A" w:rsidRDefault="00971347" w:rsidP="00E302F6">
      <w:pPr>
        <w:spacing w:before="120" w:line="240" w:lineRule="auto"/>
        <w:ind w:right="-432"/>
        <w:rPr>
          <w:rFonts w:ascii="Times New Roman" w:hAnsi="Times New Roman"/>
          <w:lang w:val="lv-LV"/>
        </w:rPr>
      </w:pPr>
      <w:r w:rsidRPr="00B66B1A">
        <w:rPr>
          <w:rFonts w:ascii="Times New Roman" w:hAnsi="Times New Roman"/>
          <w:lang w:val="lv-LV"/>
        </w:rPr>
        <w:t xml:space="preserve">Programmas mērķis ir </w:t>
      </w:r>
      <w:r w:rsidR="00543A74" w:rsidRPr="00B66B1A">
        <w:rPr>
          <w:rFonts w:ascii="Times New Roman" w:hAnsi="Times New Roman"/>
          <w:lang w:val="lv-LV"/>
        </w:rPr>
        <w:t xml:space="preserve">sekmēt </w:t>
      </w:r>
      <w:r w:rsidRPr="00B66B1A">
        <w:rPr>
          <w:rFonts w:ascii="Times New Roman" w:hAnsi="Times New Roman"/>
          <w:lang w:val="lv-LV"/>
        </w:rPr>
        <w:t xml:space="preserve">apmeklētāju </w:t>
      </w:r>
      <w:r w:rsidR="00543A74" w:rsidRPr="00B66B1A">
        <w:rPr>
          <w:rFonts w:ascii="Times New Roman" w:hAnsi="Times New Roman"/>
          <w:lang w:val="lv-LV"/>
        </w:rPr>
        <w:t>pieaugumu</w:t>
      </w:r>
      <w:r w:rsidR="00857669" w:rsidRPr="00B66B1A">
        <w:rPr>
          <w:rFonts w:ascii="Times New Roman" w:hAnsi="Times New Roman"/>
          <w:lang w:val="lv-LV"/>
        </w:rPr>
        <w:t xml:space="preserve"> </w:t>
      </w:r>
      <w:r w:rsidRPr="00B66B1A">
        <w:rPr>
          <w:rFonts w:ascii="Times New Roman" w:hAnsi="Times New Roman"/>
          <w:lang w:val="lv-LV"/>
        </w:rPr>
        <w:t>reģionos, vēršot uzmanību uz pašreizējo kultūras un dabas mantojuma objektu/ pakalpojumu/ produktu attīstību un jaunu radīšanu</w:t>
      </w:r>
      <w:r w:rsidR="00543A74" w:rsidRPr="00B66B1A">
        <w:rPr>
          <w:rFonts w:ascii="Times New Roman" w:hAnsi="Times New Roman"/>
          <w:lang w:val="lv-LV"/>
        </w:rPr>
        <w:t>, gan</w:t>
      </w:r>
      <w:r w:rsidRPr="00B66B1A">
        <w:rPr>
          <w:rFonts w:ascii="Times New Roman" w:hAnsi="Times New Roman"/>
          <w:lang w:val="lv-LV"/>
        </w:rPr>
        <w:t xml:space="preserve"> radot un uzlabojot kopīgas pārvaldības prakses, </w:t>
      </w:r>
      <w:r w:rsidR="00543A74" w:rsidRPr="00B66B1A">
        <w:rPr>
          <w:rFonts w:ascii="Times New Roman" w:hAnsi="Times New Roman"/>
          <w:lang w:val="lv-LV"/>
        </w:rPr>
        <w:t xml:space="preserve">gan </w:t>
      </w:r>
      <w:r w:rsidRPr="00B66B1A">
        <w:rPr>
          <w:rFonts w:ascii="Times New Roman" w:hAnsi="Times New Roman"/>
          <w:lang w:val="lv-LV"/>
        </w:rPr>
        <w:t>arī gūstot labumu no kultūras un dabas mantojuma sfērā darbojošos organizāciju potenciāla. Kultūras mantojuma atjaunošan</w:t>
      </w:r>
      <w:r w:rsidR="00857669" w:rsidRPr="00B66B1A">
        <w:rPr>
          <w:rFonts w:ascii="Times New Roman" w:hAnsi="Times New Roman"/>
          <w:lang w:val="lv-LV"/>
        </w:rPr>
        <w:t>a</w:t>
      </w:r>
      <w:r w:rsidRPr="00B66B1A">
        <w:rPr>
          <w:rFonts w:ascii="Times New Roman" w:hAnsi="Times New Roman"/>
          <w:lang w:val="lv-LV"/>
        </w:rPr>
        <w:t xml:space="preserve"> </w:t>
      </w:r>
      <w:r w:rsidR="00857669" w:rsidRPr="00B66B1A">
        <w:rPr>
          <w:rFonts w:ascii="Times New Roman" w:hAnsi="Times New Roman"/>
          <w:lang w:val="lv-LV"/>
        </w:rPr>
        <w:t xml:space="preserve">var </w:t>
      </w:r>
      <w:r w:rsidR="00543A74" w:rsidRPr="00B66B1A">
        <w:rPr>
          <w:rFonts w:ascii="Times New Roman" w:hAnsi="Times New Roman"/>
          <w:lang w:val="lv-LV"/>
        </w:rPr>
        <w:t>būt vērsta uz</w:t>
      </w:r>
      <w:r w:rsidR="00857669" w:rsidRPr="00B66B1A">
        <w:rPr>
          <w:rFonts w:ascii="Times New Roman" w:hAnsi="Times New Roman"/>
          <w:lang w:val="lv-LV"/>
        </w:rPr>
        <w:t xml:space="preserve"> </w:t>
      </w:r>
      <w:r w:rsidR="00543A74" w:rsidRPr="00B66B1A">
        <w:rPr>
          <w:rFonts w:ascii="Times New Roman" w:hAnsi="Times New Roman"/>
          <w:lang w:val="lv-LV"/>
        </w:rPr>
        <w:t>pamesto</w:t>
      </w:r>
      <w:r w:rsidRPr="00B66B1A">
        <w:rPr>
          <w:rFonts w:ascii="Times New Roman" w:hAnsi="Times New Roman"/>
          <w:lang w:val="lv-LV"/>
        </w:rPr>
        <w:t xml:space="preserve"> </w:t>
      </w:r>
      <w:r w:rsidR="00543A74" w:rsidRPr="00B66B1A">
        <w:rPr>
          <w:rFonts w:ascii="Times New Roman" w:hAnsi="Times New Roman"/>
          <w:lang w:val="lv-LV"/>
        </w:rPr>
        <w:t>ēku</w:t>
      </w:r>
      <w:r w:rsidRPr="00B66B1A">
        <w:rPr>
          <w:rFonts w:ascii="Times New Roman" w:hAnsi="Times New Roman"/>
          <w:lang w:val="lv-LV"/>
        </w:rPr>
        <w:t xml:space="preserve"> </w:t>
      </w:r>
      <w:r w:rsidR="00543A74" w:rsidRPr="00B66B1A">
        <w:rPr>
          <w:rFonts w:ascii="Times New Roman" w:hAnsi="Times New Roman"/>
          <w:lang w:val="lv-LV"/>
        </w:rPr>
        <w:t xml:space="preserve">radošu izmantošanu kultūras mērķiem, kā arī lai </w:t>
      </w:r>
      <w:r w:rsidR="00092ACA" w:rsidRPr="00B66B1A">
        <w:rPr>
          <w:rFonts w:ascii="Times New Roman" w:hAnsi="Times New Roman"/>
          <w:lang w:val="lv-LV"/>
        </w:rPr>
        <w:t>attīstītu un saglabātu tradicionālās prasmes.</w:t>
      </w:r>
    </w:p>
    <w:p w:rsidR="00F73204" w:rsidRPr="00B66B1A" w:rsidRDefault="00543A74" w:rsidP="00E302F6">
      <w:pPr>
        <w:spacing w:before="120" w:line="240" w:lineRule="auto"/>
        <w:ind w:right="-432"/>
        <w:rPr>
          <w:rFonts w:ascii="Times New Roman" w:hAnsi="Times New Roman"/>
          <w:lang w:val="lv-LV"/>
        </w:rPr>
      </w:pPr>
      <w:r w:rsidRPr="00B66B1A">
        <w:rPr>
          <w:rFonts w:ascii="Times New Roman" w:hAnsi="Times New Roman"/>
          <w:lang w:val="lv-LV"/>
        </w:rPr>
        <w:t xml:space="preserve">2007.–2013. gada </w:t>
      </w:r>
      <w:r w:rsidR="00867214" w:rsidRPr="00B66B1A">
        <w:rPr>
          <w:rFonts w:ascii="Times New Roman" w:hAnsi="Times New Roman"/>
          <w:lang w:val="lv-LV"/>
        </w:rPr>
        <w:t>Programmas pieredze</w:t>
      </w:r>
      <w:r w:rsidR="00857669" w:rsidRPr="00B66B1A">
        <w:rPr>
          <w:rFonts w:ascii="Times New Roman" w:hAnsi="Times New Roman"/>
          <w:lang w:val="lv-LV"/>
        </w:rPr>
        <w:t xml:space="preserve"> liecina, ka </w:t>
      </w:r>
      <w:r w:rsidR="00867214" w:rsidRPr="00B66B1A">
        <w:rPr>
          <w:rFonts w:ascii="Times New Roman" w:hAnsi="Times New Roman"/>
          <w:lang w:val="lv-LV"/>
        </w:rPr>
        <w:t xml:space="preserve">kopīgi risinājumi nodrošina pievienoto vērtību šajā sfērā, piemēram, prakses apmaiņa un kopīgu produktu (piemēram, kopīgu tūrisma maršrutu) attīstīšana, uzlabojot reģiona </w:t>
      </w:r>
      <w:r w:rsidR="00857669" w:rsidRPr="00B66B1A">
        <w:rPr>
          <w:rFonts w:ascii="Times New Roman" w:hAnsi="Times New Roman"/>
          <w:lang w:val="lv-LV"/>
        </w:rPr>
        <w:t>kopīgo</w:t>
      </w:r>
      <w:r w:rsidR="00867214" w:rsidRPr="00B66B1A">
        <w:rPr>
          <w:rFonts w:ascii="Times New Roman" w:hAnsi="Times New Roman"/>
          <w:lang w:val="lv-LV"/>
        </w:rPr>
        <w:t xml:space="preserve"> pievilcību. </w:t>
      </w:r>
      <w:r w:rsidR="00857669" w:rsidRPr="00B66B1A">
        <w:rPr>
          <w:rFonts w:ascii="Times New Roman" w:hAnsi="Times New Roman"/>
          <w:lang w:val="lv-LV"/>
        </w:rPr>
        <w:t>Tāpat tik</w:t>
      </w:r>
      <w:r w:rsidR="009E5886">
        <w:rPr>
          <w:rFonts w:ascii="Times New Roman" w:hAnsi="Times New Roman"/>
          <w:lang w:val="lv-LV"/>
        </w:rPr>
        <w:t>s</w:t>
      </w:r>
      <w:r w:rsidR="00857669" w:rsidRPr="00B66B1A">
        <w:rPr>
          <w:rFonts w:ascii="Times New Roman" w:hAnsi="Times New Roman"/>
          <w:lang w:val="lv-LV"/>
        </w:rPr>
        <w:t xml:space="preserve"> atbalstīta </w:t>
      </w:r>
      <w:r w:rsidR="00867214" w:rsidRPr="00B66B1A">
        <w:rPr>
          <w:rFonts w:ascii="Times New Roman" w:hAnsi="Times New Roman"/>
          <w:lang w:val="lv-LV"/>
        </w:rPr>
        <w:t>izpēt</w:t>
      </w:r>
      <w:r w:rsidR="00857669" w:rsidRPr="00B66B1A">
        <w:rPr>
          <w:rFonts w:ascii="Times New Roman" w:hAnsi="Times New Roman"/>
          <w:lang w:val="lv-LV"/>
        </w:rPr>
        <w:t>e</w:t>
      </w:r>
      <w:r w:rsidRPr="00B66B1A">
        <w:rPr>
          <w:rFonts w:ascii="Times New Roman" w:hAnsi="Times New Roman"/>
          <w:lang w:val="lv-LV"/>
        </w:rPr>
        <w:t xml:space="preserve"> un zināšanu pārnese</w:t>
      </w:r>
      <w:r w:rsidR="00867214" w:rsidRPr="00B66B1A">
        <w:rPr>
          <w:rFonts w:ascii="Times New Roman" w:hAnsi="Times New Roman"/>
          <w:lang w:val="lv-LV"/>
        </w:rPr>
        <w:t xml:space="preserve"> saistībā ar ilgtspējīgas kultūras un dabas mantojuma pārvaldības metodēm reģionos. </w:t>
      </w:r>
    </w:p>
    <w:p w:rsidR="00D115F2" w:rsidRPr="00B66B1A" w:rsidRDefault="00867214" w:rsidP="00E302F6">
      <w:pPr>
        <w:spacing w:before="120" w:line="240" w:lineRule="auto"/>
        <w:ind w:right="-432"/>
        <w:rPr>
          <w:rFonts w:ascii="Times New Roman" w:hAnsi="Times New Roman"/>
          <w:lang w:val="lv-LV"/>
        </w:rPr>
      </w:pPr>
      <w:r w:rsidRPr="00B66B1A">
        <w:rPr>
          <w:rFonts w:ascii="Times New Roman" w:hAnsi="Times New Roman"/>
          <w:lang w:val="lv-LV"/>
        </w:rPr>
        <w:t>Programmas ietvaros tiek plānots, ka kultūras un dabas mantojuma objekti, pakalpojumi un produkti, kas tiek radīti vai uzlaboti, pozitīvi ietekmēs apmeklētāju skaitu Programmas teritorijā.</w:t>
      </w:r>
    </w:p>
    <w:p w:rsidR="00D115F2" w:rsidRPr="00B66B1A" w:rsidRDefault="009C16B2" w:rsidP="00E302F6">
      <w:pPr>
        <w:spacing w:before="120" w:line="240" w:lineRule="auto"/>
        <w:ind w:right="-432"/>
        <w:rPr>
          <w:rFonts w:ascii="Times New Roman" w:hAnsi="Times New Roman"/>
          <w:lang w:val="lv-LV"/>
        </w:rPr>
      </w:pPr>
      <w:r w:rsidRPr="00B66B1A">
        <w:rPr>
          <w:rFonts w:ascii="Times New Roman" w:hAnsi="Times New Roman"/>
          <w:b/>
          <w:u w:val="single"/>
          <w:lang w:val="lv-LV"/>
        </w:rPr>
        <w:t>Sagaidāmais rezultāts:</w:t>
      </w:r>
      <w:r w:rsidR="00A02314" w:rsidRPr="00B66B1A">
        <w:rPr>
          <w:rFonts w:ascii="Times New Roman" w:hAnsi="Times New Roman"/>
          <w:b/>
          <w:lang w:val="lv-LV"/>
        </w:rPr>
        <w:t xml:space="preserve"> </w:t>
      </w:r>
      <w:r w:rsidR="00543A74" w:rsidRPr="00B66B1A">
        <w:rPr>
          <w:rFonts w:ascii="Times New Roman" w:hAnsi="Times New Roman"/>
          <w:lang w:val="lv-LV"/>
        </w:rPr>
        <w:t xml:space="preserve">Apmeklētāju skaita pieaugums </w:t>
      </w:r>
      <w:r w:rsidRPr="00B66B1A">
        <w:rPr>
          <w:rFonts w:ascii="Times New Roman" w:hAnsi="Times New Roman"/>
          <w:lang w:val="lv-LV"/>
        </w:rPr>
        <w:t>Programmas teritorijā.</w:t>
      </w:r>
    </w:p>
    <w:tbl>
      <w:tblPr>
        <w:tblW w:w="5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40"/>
        <w:gridCol w:w="1104"/>
        <w:gridCol w:w="240"/>
        <w:gridCol w:w="1198"/>
        <w:gridCol w:w="240"/>
        <w:gridCol w:w="737"/>
        <w:gridCol w:w="240"/>
        <w:gridCol w:w="737"/>
        <w:gridCol w:w="240"/>
        <w:gridCol w:w="1175"/>
        <w:gridCol w:w="240"/>
        <w:gridCol w:w="879"/>
        <w:gridCol w:w="121"/>
        <w:gridCol w:w="1385"/>
        <w:gridCol w:w="234"/>
      </w:tblGrid>
      <w:tr w:rsidR="00A02314" w:rsidRPr="00B66B1A" w:rsidTr="00755612">
        <w:trPr>
          <w:gridAfter w:val="1"/>
          <w:wAfter w:w="124" w:type="pct"/>
          <w:trHeight w:val="870"/>
          <w:jc w:val="center"/>
        </w:trPr>
        <w:tc>
          <w:tcPr>
            <w:tcW w:w="232" w:type="pct"/>
            <w:tcBorders>
              <w:top w:val="single" w:sz="4" w:space="0" w:color="auto"/>
              <w:left w:val="single" w:sz="4" w:space="0" w:color="auto"/>
              <w:bottom w:val="single" w:sz="4" w:space="0" w:color="auto"/>
              <w:right w:val="single" w:sz="4" w:space="0" w:color="auto"/>
            </w:tcBorders>
          </w:tcPr>
          <w:p w:rsidR="00D115F2" w:rsidRPr="00B66B1A" w:rsidRDefault="00D115F2"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B66B1A">
              <w:rPr>
                <w:rFonts w:ascii="Times New Roman" w:hAnsi="Times New Roman"/>
                <w:b/>
                <w:sz w:val="18"/>
                <w:szCs w:val="18"/>
                <w:lang w:val="lv-LV"/>
              </w:rPr>
              <w:t>ID</w:t>
            </w:r>
          </w:p>
        </w:tc>
        <w:tc>
          <w:tcPr>
            <w:tcW w:w="711" w:type="pct"/>
            <w:gridSpan w:val="2"/>
            <w:tcBorders>
              <w:top w:val="single" w:sz="4" w:space="0" w:color="auto"/>
              <w:left w:val="single" w:sz="4" w:space="0" w:color="auto"/>
              <w:bottom w:val="single" w:sz="4" w:space="0" w:color="auto"/>
              <w:right w:val="single" w:sz="4" w:space="0" w:color="auto"/>
            </w:tcBorders>
            <w:hideMark/>
          </w:tcPr>
          <w:p w:rsidR="00D115F2" w:rsidRPr="00755612" w:rsidRDefault="000B2E90"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755612">
              <w:rPr>
                <w:rFonts w:ascii="Times New Roman" w:hAnsi="Times New Roman"/>
                <w:b/>
                <w:sz w:val="20"/>
                <w:szCs w:val="20"/>
                <w:lang w:val="lv-LV" w:bidi="en-US"/>
              </w:rPr>
              <w:t>Rezultatīvais rādītājs</w:t>
            </w:r>
          </w:p>
        </w:tc>
        <w:tc>
          <w:tcPr>
            <w:tcW w:w="761" w:type="pct"/>
            <w:gridSpan w:val="2"/>
            <w:tcBorders>
              <w:top w:val="single" w:sz="4" w:space="0" w:color="auto"/>
              <w:left w:val="single" w:sz="4" w:space="0" w:color="auto"/>
              <w:bottom w:val="single" w:sz="4" w:space="0" w:color="auto"/>
              <w:right w:val="single" w:sz="4" w:space="0" w:color="auto"/>
            </w:tcBorders>
            <w:hideMark/>
          </w:tcPr>
          <w:p w:rsidR="00D115F2" w:rsidRPr="00755612" w:rsidRDefault="00A02314" w:rsidP="00E302F6">
            <w:pPr>
              <w:snapToGrid w:val="0"/>
              <w:spacing w:before="120" w:line="240" w:lineRule="auto"/>
              <w:ind w:right="-432"/>
              <w:rPr>
                <w:rFonts w:ascii="Times New Roman" w:hAnsi="Times New Roman"/>
                <w:b/>
                <w:sz w:val="18"/>
                <w:szCs w:val="18"/>
                <w:lang w:val="lv-LV"/>
              </w:rPr>
            </w:pPr>
            <w:r w:rsidRPr="00755612">
              <w:rPr>
                <w:rFonts w:ascii="Times New Roman" w:hAnsi="Times New Roman"/>
                <w:b/>
                <w:sz w:val="18"/>
                <w:szCs w:val="18"/>
                <w:lang w:val="lv-LV"/>
              </w:rPr>
              <w:t>Mērvienība</w:t>
            </w:r>
          </w:p>
        </w:tc>
        <w:tc>
          <w:tcPr>
            <w:tcW w:w="517" w:type="pct"/>
            <w:gridSpan w:val="2"/>
            <w:tcBorders>
              <w:top w:val="single" w:sz="4" w:space="0" w:color="auto"/>
              <w:left w:val="single" w:sz="4" w:space="0" w:color="auto"/>
              <w:bottom w:val="single" w:sz="4" w:space="0" w:color="auto"/>
              <w:right w:val="single" w:sz="4" w:space="0" w:color="auto"/>
            </w:tcBorders>
            <w:hideMark/>
          </w:tcPr>
          <w:p w:rsidR="000B2E90" w:rsidRPr="00755612" w:rsidRDefault="000B2E90" w:rsidP="00755612">
            <w:pPr>
              <w:pStyle w:val="Bodytext50"/>
              <w:shd w:val="clear" w:color="auto" w:fill="auto"/>
              <w:spacing w:before="120" w:after="120" w:line="240" w:lineRule="auto"/>
              <w:ind w:right="-180" w:firstLine="0"/>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Atsauces</w:t>
            </w:r>
          </w:p>
          <w:p w:rsidR="00D115F2" w:rsidRPr="00755612" w:rsidRDefault="000B2E90"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755612">
              <w:rPr>
                <w:rFonts w:ascii="Times New Roman" w:hAnsi="Times New Roman"/>
                <w:b/>
                <w:sz w:val="20"/>
                <w:szCs w:val="20"/>
                <w:lang w:val="lv-LV" w:bidi="en-US"/>
              </w:rPr>
              <w:t>vērtība</w:t>
            </w:r>
          </w:p>
        </w:tc>
        <w:tc>
          <w:tcPr>
            <w:tcW w:w="517" w:type="pct"/>
            <w:gridSpan w:val="2"/>
            <w:tcBorders>
              <w:top w:val="single" w:sz="4" w:space="0" w:color="auto"/>
              <w:left w:val="single" w:sz="4" w:space="0" w:color="auto"/>
              <w:bottom w:val="single" w:sz="4" w:space="0" w:color="auto"/>
              <w:right w:val="single" w:sz="4" w:space="0" w:color="auto"/>
            </w:tcBorders>
            <w:hideMark/>
          </w:tcPr>
          <w:p w:rsidR="000B2E90" w:rsidRPr="00755612" w:rsidRDefault="000B2E90" w:rsidP="00755612">
            <w:pPr>
              <w:pStyle w:val="Bodytext50"/>
              <w:shd w:val="clear" w:color="auto" w:fill="auto"/>
              <w:spacing w:before="120" w:after="120" w:line="240" w:lineRule="auto"/>
              <w:ind w:right="-432" w:firstLine="0"/>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Atsauces</w:t>
            </w:r>
          </w:p>
          <w:p w:rsidR="00D115F2" w:rsidRPr="00755612" w:rsidRDefault="000B2E90" w:rsidP="00E302F6">
            <w:pPr>
              <w:snapToGrid w:val="0"/>
              <w:spacing w:before="120" w:line="240" w:lineRule="auto"/>
              <w:ind w:right="-432"/>
              <w:rPr>
                <w:rFonts w:ascii="Times New Roman" w:hAnsi="Times New Roman"/>
                <w:b/>
                <w:sz w:val="18"/>
                <w:szCs w:val="18"/>
                <w:lang w:val="lv-LV"/>
              </w:rPr>
            </w:pPr>
            <w:r w:rsidRPr="00755612">
              <w:rPr>
                <w:rFonts w:ascii="Times New Roman" w:hAnsi="Times New Roman"/>
                <w:b/>
                <w:sz w:val="20"/>
                <w:szCs w:val="20"/>
                <w:lang w:val="lv-LV" w:bidi="en-US"/>
              </w:rPr>
              <w:t>gads</w:t>
            </w:r>
          </w:p>
        </w:tc>
        <w:tc>
          <w:tcPr>
            <w:tcW w:w="749" w:type="pct"/>
            <w:gridSpan w:val="2"/>
            <w:tcBorders>
              <w:top w:val="single" w:sz="4" w:space="0" w:color="auto"/>
              <w:left w:val="single" w:sz="4" w:space="0" w:color="auto"/>
              <w:bottom w:val="single" w:sz="4" w:space="0" w:color="auto"/>
              <w:right w:val="single" w:sz="4" w:space="0" w:color="auto"/>
            </w:tcBorders>
            <w:hideMark/>
          </w:tcPr>
          <w:p w:rsidR="00D115F2" w:rsidRPr="00755612" w:rsidRDefault="00755612" w:rsidP="00755612">
            <w:pPr>
              <w:pStyle w:val="ListBullet"/>
              <w:numPr>
                <w:ilvl w:val="0"/>
                <w:numId w:val="0"/>
              </w:numPr>
              <w:tabs>
                <w:tab w:val="left" w:pos="720"/>
              </w:tabs>
              <w:spacing w:before="120" w:line="240" w:lineRule="auto"/>
              <w:ind w:right="-9"/>
              <w:rPr>
                <w:rFonts w:ascii="Times New Roman" w:hAnsi="Times New Roman"/>
                <w:b/>
                <w:sz w:val="18"/>
                <w:szCs w:val="18"/>
                <w:lang w:val="lv-LV"/>
              </w:rPr>
            </w:pPr>
            <w:r w:rsidRPr="00755612">
              <w:rPr>
                <w:rFonts w:ascii="Times New Roman" w:hAnsi="Times New Roman"/>
                <w:b/>
                <w:sz w:val="18"/>
                <w:szCs w:val="18"/>
                <w:lang w:val="lv-LV"/>
              </w:rPr>
              <w:t>Mērķ</w:t>
            </w:r>
            <w:r w:rsidR="00A02314" w:rsidRPr="00755612">
              <w:rPr>
                <w:rFonts w:ascii="Times New Roman" w:hAnsi="Times New Roman"/>
                <w:b/>
                <w:sz w:val="18"/>
                <w:szCs w:val="18"/>
                <w:lang w:val="lv-LV"/>
              </w:rPr>
              <w:t xml:space="preserve">vērtība </w:t>
            </w:r>
            <w:r w:rsidR="00D115F2" w:rsidRPr="00755612">
              <w:rPr>
                <w:rFonts w:ascii="Times New Roman" w:hAnsi="Times New Roman"/>
                <w:b/>
                <w:sz w:val="18"/>
                <w:szCs w:val="18"/>
                <w:lang w:val="lv-LV"/>
              </w:rPr>
              <w:t xml:space="preserve">(2023) </w:t>
            </w:r>
          </w:p>
        </w:tc>
        <w:tc>
          <w:tcPr>
            <w:tcW w:w="592" w:type="pct"/>
            <w:gridSpan w:val="2"/>
            <w:tcBorders>
              <w:top w:val="single" w:sz="4" w:space="0" w:color="auto"/>
              <w:left w:val="single" w:sz="4" w:space="0" w:color="auto"/>
              <w:bottom w:val="single" w:sz="4" w:space="0" w:color="auto"/>
              <w:right w:val="single" w:sz="4" w:space="0" w:color="auto"/>
            </w:tcBorders>
            <w:hideMark/>
          </w:tcPr>
          <w:p w:rsidR="00D115F2" w:rsidRPr="00755612" w:rsidRDefault="00A02314"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755612">
              <w:rPr>
                <w:rFonts w:ascii="Times New Roman" w:hAnsi="Times New Roman"/>
                <w:b/>
                <w:sz w:val="18"/>
                <w:szCs w:val="18"/>
                <w:lang w:val="lv-LV"/>
              </w:rPr>
              <w:t>Datu avots</w:t>
            </w:r>
          </w:p>
        </w:tc>
        <w:tc>
          <w:tcPr>
            <w:tcW w:w="797" w:type="pct"/>
            <w:gridSpan w:val="2"/>
            <w:tcBorders>
              <w:top w:val="single" w:sz="4" w:space="0" w:color="auto"/>
              <w:left w:val="single" w:sz="4" w:space="0" w:color="auto"/>
              <w:bottom w:val="single" w:sz="4" w:space="0" w:color="auto"/>
              <w:right w:val="single" w:sz="4" w:space="0" w:color="auto"/>
            </w:tcBorders>
          </w:tcPr>
          <w:p w:rsidR="0095520A" w:rsidRPr="00755612" w:rsidRDefault="0095520A" w:rsidP="00E302F6">
            <w:pPr>
              <w:pStyle w:val="Bodytext50"/>
              <w:shd w:val="clear" w:color="auto" w:fill="auto"/>
              <w:spacing w:before="120" w:after="120" w:line="240" w:lineRule="auto"/>
              <w:ind w:right="-432" w:firstLine="0"/>
              <w:jc w:val="both"/>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Ziņojuma</w:t>
            </w:r>
          </w:p>
          <w:p w:rsidR="0095520A" w:rsidRPr="00755612" w:rsidRDefault="0095520A" w:rsidP="00E302F6">
            <w:pPr>
              <w:pStyle w:val="Bodytext50"/>
              <w:shd w:val="clear" w:color="auto" w:fill="auto"/>
              <w:spacing w:before="120" w:after="120" w:line="240" w:lineRule="auto"/>
              <w:ind w:right="-432" w:firstLine="0"/>
              <w:jc w:val="both"/>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iesniegšanas</w:t>
            </w:r>
          </w:p>
          <w:p w:rsidR="00D115F2" w:rsidRPr="00755612" w:rsidRDefault="0095520A"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755612">
              <w:rPr>
                <w:rFonts w:ascii="Times New Roman" w:hAnsi="Times New Roman"/>
                <w:b/>
                <w:sz w:val="20"/>
                <w:szCs w:val="20"/>
                <w:lang w:val="lv-LV" w:bidi="en-US"/>
              </w:rPr>
              <w:t>biežums</w:t>
            </w:r>
          </w:p>
        </w:tc>
      </w:tr>
      <w:tr w:rsidR="00A02314" w:rsidRPr="00CD6D0C" w:rsidTr="00755612">
        <w:trPr>
          <w:trHeight w:val="1729"/>
          <w:jc w:val="center"/>
        </w:trPr>
        <w:tc>
          <w:tcPr>
            <w:tcW w:w="359" w:type="pct"/>
            <w:gridSpan w:val="2"/>
            <w:tcBorders>
              <w:top w:val="single" w:sz="4" w:space="0" w:color="auto"/>
              <w:left w:val="single" w:sz="4" w:space="0" w:color="auto"/>
              <w:bottom w:val="single" w:sz="4" w:space="0" w:color="auto"/>
              <w:right w:val="single" w:sz="4" w:space="0" w:color="auto"/>
            </w:tcBorders>
          </w:tcPr>
          <w:p w:rsidR="00D115F2" w:rsidRPr="00B66B1A" w:rsidRDefault="00D115F2" w:rsidP="00E302F6">
            <w:pPr>
              <w:pStyle w:val="Text1"/>
              <w:spacing w:before="120" w:line="240" w:lineRule="auto"/>
              <w:ind w:left="0" w:right="-432"/>
              <w:jc w:val="left"/>
              <w:rPr>
                <w:sz w:val="18"/>
                <w:szCs w:val="18"/>
                <w:lang w:val="lv-LV"/>
              </w:rPr>
            </w:pPr>
            <w:r w:rsidRPr="00B66B1A">
              <w:rPr>
                <w:sz w:val="18"/>
                <w:szCs w:val="18"/>
                <w:lang w:val="lv-LV"/>
              </w:rPr>
              <w:lastRenderedPageBreak/>
              <w:t>1</w:t>
            </w:r>
            <w:r w:rsidR="001A69B6">
              <w:rPr>
                <w:sz w:val="18"/>
                <w:szCs w:val="18"/>
                <w:lang w:val="lv-LV"/>
              </w:rPr>
              <w:t>.1.R1</w:t>
            </w:r>
          </w:p>
        </w:tc>
        <w:tc>
          <w:tcPr>
            <w:tcW w:w="711" w:type="pct"/>
            <w:gridSpan w:val="2"/>
            <w:tcBorders>
              <w:top w:val="single" w:sz="4" w:space="0" w:color="auto"/>
              <w:left w:val="single" w:sz="4" w:space="0" w:color="auto"/>
              <w:bottom w:val="single" w:sz="4" w:space="0" w:color="auto"/>
              <w:right w:val="single" w:sz="4" w:space="0" w:color="auto"/>
            </w:tcBorders>
          </w:tcPr>
          <w:p w:rsidR="00D115F2" w:rsidRPr="00B66B1A" w:rsidRDefault="00857669" w:rsidP="00755612">
            <w:pPr>
              <w:pStyle w:val="Text1"/>
              <w:spacing w:before="120" w:line="240" w:lineRule="auto"/>
              <w:ind w:left="0" w:right="126"/>
              <w:jc w:val="left"/>
              <w:rPr>
                <w:sz w:val="18"/>
                <w:szCs w:val="18"/>
                <w:lang w:val="lv-LV"/>
              </w:rPr>
            </w:pPr>
            <w:r w:rsidRPr="00B66B1A">
              <w:rPr>
                <w:sz w:val="18"/>
                <w:szCs w:val="18"/>
                <w:lang w:val="lv-LV"/>
              </w:rPr>
              <w:t xml:space="preserve">Viesnīcās un citās tūristu mītnēs </w:t>
            </w:r>
            <w:r w:rsidR="00CD6D0C">
              <w:rPr>
                <w:sz w:val="18"/>
                <w:szCs w:val="18"/>
                <w:lang w:val="lv-LV"/>
              </w:rPr>
              <w:t xml:space="preserve">pavadīto nakšu </w:t>
            </w:r>
            <w:r w:rsidRPr="00B66B1A">
              <w:rPr>
                <w:sz w:val="18"/>
                <w:szCs w:val="18"/>
                <w:lang w:val="lv-LV"/>
              </w:rPr>
              <w:t>skaits Programmas teritorijā</w:t>
            </w:r>
          </w:p>
        </w:tc>
        <w:tc>
          <w:tcPr>
            <w:tcW w:w="761" w:type="pct"/>
            <w:gridSpan w:val="2"/>
            <w:tcBorders>
              <w:top w:val="single" w:sz="4" w:space="0" w:color="auto"/>
              <w:left w:val="single" w:sz="4" w:space="0" w:color="auto"/>
              <w:bottom w:val="single" w:sz="4" w:space="0" w:color="auto"/>
              <w:right w:val="single" w:sz="4" w:space="0" w:color="auto"/>
            </w:tcBorders>
          </w:tcPr>
          <w:p w:rsidR="00D115F2" w:rsidRPr="00B66B1A" w:rsidRDefault="00A02314" w:rsidP="00E302F6">
            <w:pPr>
              <w:snapToGrid w:val="0"/>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Vienības</w:t>
            </w:r>
          </w:p>
        </w:tc>
        <w:tc>
          <w:tcPr>
            <w:tcW w:w="517" w:type="pct"/>
            <w:gridSpan w:val="2"/>
            <w:tcBorders>
              <w:top w:val="single" w:sz="4" w:space="0" w:color="auto"/>
              <w:left w:val="single" w:sz="4" w:space="0" w:color="auto"/>
              <w:bottom w:val="single" w:sz="4" w:space="0" w:color="auto"/>
              <w:right w:val="single" w:sz="4" w:space="0" w:color="auto"/>
            </w:tcBorders>
          </w:tcPr>
          <w:p w:rsidR="00D115F2" w:rsidRPr="00B66B1A" w:rsidRDefault="00CD6D0C" w:rsidP="00E302F6">
            <w:pPr>
              <w:pStyle w:val="ListBullet"/>
              <w:numPr>
                <w:ilvl w:val="0"/>
                <w:numId w:val="0"/>
              </w:numPr>
              <w:tabs>
                <w:tab w:val="left" w:pos="720"/>
              </w:tabs>
              <w:spacing w:before="120" w:line="240" w:lineRule="auto"/>
              <w:ind w:right="-432"/>
              <w:jc w:val="left"/>
              <w:rPr>
                <w:rFonts w:ascii="Times New Roman" w:hAnsi="Times New Roman"/>
                <w:sz w:val="18"/>
                <w:szCs w:val="18"/>
                <w:lang w:val="lv-LV"/>
              </w:rPr>
            </w:pPr>
            <w:r>
              <w:rPr>
                <w:rFonts w:ascii="Times New Roman" w:hAnsi="Times New Roman"/>
                <w:sz w:val="18"/>
                <w:szCs w:val="18"/>
                <w:lang w:val="lv-LV"/>
              </w:rPr>
              <w:t>3 085 435</w:t>
            </w:r>
          </w:p>
        </w:tc>
        <w:tc>
          <w:tcPr>
            <w:tcW w:w="517" w:type="pct"/>
            <w:gridSpan w:val="2"/>
            <w:tcBorders>
              <w:top w:val="single" w:sz="4" w:space="0" w:color="auto"/>
              <w:left w:val="single" w:sz="4" w:space="0" w:color="auto"/>
              <w:bottom w:val="single" w:sz="4" w:space="0" w:color="auto"/>
              <w:right w:val="single" w:sz="4" w:space="0" w:color="auto"/>
            </w:tcBorders>
          </w:tcPr>
          <w:p w:rsidR="00D115F2" w:rsidRPr="00B66B1A" w:rsidRDefault="00D115F2" w:rsidP="00E302F6">
            <w:pPr>
              <w:snapToGrid w:val="0"/>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201</w:t>
            </w:r>
            <w:r w:rsidR="00CD6D0C">
              <w:rPr>
                <w:rFonts w:ascii="Times New Roman" w:hAnsi="Times New Roman"/>
                <w:sz w:val="18"/>
                <w:szCs w:val="18"/>
                <w:lang w:val="lv-LV"/>
              </w:rPr>
              <w:t>3</w:t>
            </w:r>
          </w:p>
        </w:tc>
        <w:tc>
          <w:tcPr>
            <w:tcW w:w="749" w:type="pct"/>
            <w:gridSpan w:val="2"/>
            <w:tcBorders>
              <w:top w:val="single" w:sz="4" w:space="0" w:color="auto"/>
              <w:left w:val="single" w:sz="4" w:space="0" w:color="auto"/>
              <w:bottom w:val="single" w:sz="4" w:space="0" w:color="auto"/>
              <w:right w:val="single" w:sz="4" w:space="0" w:color="auto"/>
            </w:tcBorders>
          </w:tcPr>
          <w:p w:rsidR="00D115F2" w:rsidRPr="00B66B1A" w:rsidRDefault="002E3500" w:rsidP="00755612">
            <w:pPr>
              <w:pStyle w:val="ListBullet"/>
              <w:numPr>
                <w:ilvl w:val="0"/>
                <w:numId w:val="0"/>
              </w:numPr>
              <w:spacing w:before="120" w:line="240" w:lineRule="auto"/>
              <w:ind w:right="113"/>
              <w:jc w:val="left"/>
              <w:rPr>
                <w:rFonts w:ascii="Times New Roman" w:hAnsi="Times New Roman"/>
                <w:sz w:val="18"/>
                <w:szCs w:val="18"/>
                <w:lang w:val="lv-LV"/>
              </w:rPr>
            </w:pPr>
            <w:r>
              <w:rPr>
                <w:rFonts w:ascii="Times New Roman" w:hAnsi="Times New Roman"/>
                <w:sz w:val="18"/>
                <w:szCs w:val="18"/>
                <w:lang w:val="lv-LV"/>
              </w:rPr>
              <w:t>3548250</w:t>
            </w:r>
            <w:r w:rsidR="008B4B1A">
              <w:rPr>
                <w:rFonts w:ascii="Times New Roman" w:hAnsi="Times New Roman"/>
                <w:sz w:val="18"/>
                <w:szCs w:val="18"/>
                <w:lang w:val="lv-LV"/>
              </w:rPr>
              <w:t xml:space="preserve"> (15% pieaugums 2023.gadā, salīdzinot ar 201</w:t>
            </w:r>
            <w:r w:rsidR="00CD6D0C">
              <w:rPr>
                <w:rFonts w:ascii="Times New Roman" w:hAnsi="Times New Roman"/>
                <w:sz w:val="18"/>
                <w:szCs w:val="18"/>
                <w:lang w:val="lv-LV"/>
              </w:rPr>
              <w:t>3</w:t>
            </w:r>
            <w:r w:rsidR="008B4B1A">
              <w:rPr>
                <w:rFonts w:ascii="Times New Roman" w:hAnsi="Times New Roman"/>
                <w:sz w:val="18"/>
                <w:szCs w:val="18"/>
                <w:lang w:val="lv-LV"/>
              </w:rPr>
              <w:t>.gadu)</w:t>
            </w:r>
          </w:p>
        </w:tc>
        <w:tc>
          <w:tcPr>
            <w:tcW w:w="529" w:type="pct"/>
            <w:gridSpan w:val="2"/>
            <w:tcBorders>
              <w:top w:val="single" w:sz="4" w:space="0" w:color="auto"/>
              <w:left w:val="single" w:sz="4" w:space="0" w:color="auto"/>
              <w:bottom w:val="single" w:sz="4" w:space="0" w:color="auto"/>
              <w:right w:val="single" w:sz="4" w:space="0" w:color="auto"/>
            </w:tcBorders>
          </w:tcPr>
          <w:p w:rsidR="00D115F2" w:rsidRPr="00B66B1A" w:rsidRDefault="00A02314" w:rsidP="00755612">
            <w:pPr>
              <w:pStyle w:val="ListBullet"/>
              <w:numPr>
                <w:ilvl w:val="0"/>
                <w:numId w:val="0"/>
              </w:numPr>
              <w:tabs>
                <w:tab w:val="left" w:pos="720"/>
              </w:tabs>
              <w:spacing w:before="120" w:line="240" w:lineRule="auto"/>
              <w:ind w:right="-48"/>
              <w:jc w:val="left"/>
              <w:rPr>
                <w:rFonts w:ascii="Times New Roman" w:hAnsi="Times New Roman"/>
                <w:sz w:val="18"/>
                <w:szCs w:val="18"/>
                <w:lang w:val="lv-LV"/>
              </w:rPr>
            </w:pPr>
            <w:r w:rsidRPr="00B66B1A">
              <w:rPr>
                <w:rFonts w:ascii="Times New Roman" w:hAnsi="Times New Roman"/>
                <w:sz w:val="18"/>
                <w:szCs w:val="18"/>
                <w:lang w:val="lv-LV"/>
              </w:rPr>
              <w:t>Valstu statistikas biroji</w:t>
            </w:r>
          </w:p>
        </w:tc>
        <w:tc>
          <w:tcPr>
            <w:tcW w:w="857" w:type="pct"/>
            <w:gridSpan w:val="2"/>
            <w:tcBorders>
              <w:top w:val="single" w:sz="4" w:space="0" w:color="auto"/>
              <w:left w:val="single" w:sz="4" w:space="0" w:color="auto"/>
              <w:bottom w:val="single" w:sz="4" w:space="0" w:color="auto"/>
              <w:right w:val="single" w:sz="4" w:space="0" w:color="auto"/>
            </w:tcBorders>
          </w:tcPr>
          <w:p w:rsidR="00D115F2" w:rsidRPr="00B66B1A" w:rsidRDefault="00CD6D0C" w:rsidP="00755612">
            <w:pPr>
              <w:pStyle w:val="ListBullet"/>
              <w:numPr>
                <w:ilvl w:val="0"/>
                <w:numId w:val="0"/>
              </w:numPr>
              <w:tabs>
                <w:tab w:val="left" w:pos="720"/>
              </w:tabs>
              <w:spacing w:before="120" w:line="240" w:lineRule="auto"/>
              <w:ind w:right="5"/>
              <w:jc w:val="left"/>
              <w:rPr>
                <w:rFonts w:ascii="Times New Roman" w:hAnsi="Times New Roman"/>
                <w:sz w:val="18"/>
                <w:szCs w:val="18"/>
                <w:lang w:val="lv-LV"/>
              </w:rPr>
            </w:pPr>
            <w:r>
              <w:rPr>
                <w:rFonts w:ascii="Times New Roman" w:hAnsi="Times New Roman"/>
                <w:sz w:val="20"/>
                <w:szCs w:val="20"/>
                <w:lang w:val="lv-LV" w:bidi="en-US"/>
              </w:rPr>
              <w:t xml:space="preserve">Vienreiz, </w:t>
            </w:r>
            <w:r w:rsidR="00D74F62">
              <w:rPr>
                <w:rFonts w:ascii="Times New Roman" w:hAnsi="Times New Roman"/>
                <w:sz w:val="20"/>
                <w:szCs w:val="20"/>
                <w:lang w:val="lv-LV" w:bidi="en-US"/>
              </w:rPr>
              <w:t>2023</w:t>
            </w:r>
            <w:r>
              <w:rPr>
                <w:rFonts w:ascii="Times New Roman" w:hAnsi="Times New Roman"/>
                <w:sz w:val="20"/>
                <w:szCs w:val="20"/>
                <w:lang w:val="lv-LV" w:bidi="en-US"/>
              </w:rPr>
              <w:t>.gadā</w:t>
            </w:r>
            <w:r w:rsidR="00D74F62">
              <w:rPr>
                <w:rFonts w:ascii="Times New Roman" w:hAnsi="Times New Roman"/>
                <w:sz w:val="20"/>
                <w:szCs w:val="20"/>
                <w:lang w:val="lv-LV" w:bidi="en-US"/>
              </w:rPr>
              <w:t xml:space="preserve"> </w:t>
            </w:r>
          </w:p>
        </w:tc>
      </w:tr>
    </w:tbl>
    <w:p w:rsidR="00D115F2" w:rsidRPr="00543A74" w:rsidRDefault="00D115F2" w:rsidP="00E302F6">
      <w:pPr>
        <w:spacing w:before="120" w:line="240" w:lineRule="auto"/>
        <w:ind w:right="-432"/>
        <w:rPr>
          <w:lang w:val="lv-LV"/>
        </w:rPr>
      </w:pPr>
      <w:bookmarkStart w:id="14" w:name="_Toc372107596"/>
    </w:p>
    <w:p w:rsidR="00D115F2" w:rsidRPr="00B66B1A" w:rsidRDefault="00A02314" w:rsidP="00E302F6">
      <w:pPr>
        <w:spacing w:before="120" w:line="240" w:lineRule="auto"/>
        <w:ind w:right="-432"/>
        <w:rPr>
          <w:rFonts w:ascii="Times New Roman" w:hAnsi="Times New Roman"/>
          <w:lang w:val="lv-LV"/>
        </w:rPr>
      </w:pPr>
      <w:r w:rsidRPr="00B66B1A">
        <w:rPr>
          <w:rFonts w:ascii="Times New Roman" w:hAnsi="Times New Roman"/>
          <w:lang w:val="lv-LV"/>
        </w:rPr>
        <w:t>Plānotos rezultātus var ietekmēt dažādi faktori, tādēļ Programmas ietvaros uzmanība tiek vērsta uz vienu noteiktu pasākumu sfēru, proti, kultūras un dabas objektu un infrastruktūras uzlabošan</w:t>
      </w:r>
      <w:r w:rsidR="00543A74" w:rsidRPr="00B66B1A">
        <w:rPr>
          <w:rFonts w:ascii="Times New Roman" w:hAnsi="Times New Roman"/>
          <w:lang w:val="lv-LV"/>
        </w:rPr>
        <w:t>u</w:t>
      </w:r>
      <w:r w:rsidRPr="00B66B1A">
        <w:rPr>
          <w:rFonts w:ascii="Times New Roman" w:hAnsi="Times New Roman"/>
          <w:lang w:val="lv-LV"/>
        </w:rPr>
        <w:t>, kā arī kopīgu</w:t>
      </w:r>
      <w:r w:rsidR="00857669" w:rsidRPr="00B66B1A">
        <w:rPr>
          <w:rFonts w:ascii="Times New Roman" w:hAnsi="Times New Roman"/>
          <w:lang w:val="lv-LV"/>
        </w:rPr>
        <w:t>,</w:t>
      </w:r>
      <w:r w:rsidRPr="00B66B1A">
        <w:rPr>
          <w:rFonts w:ascii="Times New Roman" w:hAnsi="Times New Roman"/>
          <w:lang w:val="lv-LV"/>
        </w:rPr>
        <w:t xml:space="preserve"> uz dabas un kultūras mantojuma objektiem balstītu pakalpojumu, produktu un plānu attīstīšan</w:t>
      </w:r>
      <w:r w:rsidR="00543A74" w:rsidRPr="00B66B1A">
        <w:rPr>
          <w:rFonts w:ascii="Times New Roman" w:hAnsi="Times New Roman"/>
          <w:lang w:val="lv-LV"/>
        </w:rPr>
        <w:t>u</w:t>
      </w:r>
      <w:r w:rsidRPr="00B66B1A">
        <w:rPr>
          <w:rFonts w:ascii="Times New Roman" w:hAnsi="Times New Roman"/>
          <w:lang w:val="lv-LV"/>
        </w:rPr>
        <w:t xml:space="preserve">. </w:t>
      </w:r>
    </w:p>
    <w:bookmarkEnd w:id="14"/>
    <w:p w:rsidR="00D115F2" w:rsidRPr="00B66B1A" w:rsidRDefault="00543A74" w:rsidP="00E302F6">
      <w:pPr>
        <w:spacing w:before="120" w:line="240" w:lineRule="auto"/>
        <w:ind w:right="-432"/>
        <w:rPr>
          <w:rFonts w:ascii="Times New Roman" w:hAnsi="Times New Roman"/>
          <w:b/>
          <w:u w:val="single"/>
          <w:lang w:val="lv-LV"/>
        </w:rPr>
      </w:pPr>
      <w:r w:rsidRPr="00B66B1A">
        <w:rPr>
          <w:rFonts w:ascii="Times New Roman" w:hAnsi="Times New Roman"/>
          <w:b/>
          <w:u w:val="single"/>
          <w:lang w:val="lv-LV"/>
        </w:rPr>
        <w:t>Indikatīvs a</w:t>
      </w:r>
      <w:r w:rsidR="00A02314" w:rsidRPr="00B66B1A">
        <w:rPr>
          <w:rFonts w:ascii="Times New Roman" w:hAnsi="Times New Roman"/>
          <w:b/>
          <w:u w:val="single"/>
          <w:lang w:val="lv-LV"/>
        </w:rPr>
        <w:t>tbalstāmo darbību saraksts</w:t>
      </w:r>
    </w:p>
    <w:p w:rsidR="00D115F2" w:rsidRPr="00B66B1A" w:rsidRDefault="00A02314"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kultūras un dabas mantojuma pieminekļu saglabāšana, ieskaitot infrastruktūras un aprīkojuma uzlabošanu;</w:t>
      </w:r>
    </w:p>
    <w:p w:rsidR="00D115F2" w:rsidRPr="00B66B1A" w:rsidRDefault="00A02314"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kultūras un dabas mantojuma pakalpojumu attīstīšana un sekmēšana, ieskaitot</w:t>
      </w:r>
      <w:proofErr w:type="gramStart"/>
      <w:r w:rsidRPr="00B66B1A">
        <w:rPr>
          <w:rFonts w:ascii="Times New Roman" w:hAnsi="Times New Roman"/>
          <w:lang w:val="lv-LV"/>
        </w:rPr>
        <w:t xml:space="preserve"> </w:t>
      </w:r>
      <w:r w:rsidR="00755612">
        <w:rPr>
          <w:rFonts w:ascii="Times New Roman" w:hAnsi="Times New Roman"/>
          <w:lang w:val="lv-LV"/>
        </w:rPr>
        <w:t xml:space="preserve">             </w:t>
      </w:r>
      <w:proofErr w:type="gramEnd"/>
      <w:r w:rsidRPr="00B66B1A">
        <w:rPr>
          <w:rFonts w:ascii="Times New Roman" w:hAnsi="Times New Roman"/>
          <w:lang w:val="lv-LV"/>
        </w:rPr>
        <w:t>e-pakalpojumus;</w:t>
      </w:r>
    </w:p>
    <w:p w:rsidR="00D115F2" w:rsidRPr="00B66B1A" w:rsidRDefault="00A02314"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kopīgu tūrisma maršrutu un produktu radīšana;</w:t>
      </w:r>
    </w:p>
    <w:p w:rsidR="00D115F2" w:rsidRPr="00B66B1A" w:rsidRDefault="00A02314"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kopīgs kultūras un dabas mantojuma objektu, maršrutu un produktu mārketings.</w:t>
      </w:r>
    </w:p>
    <w:p w:rsidR="00D115F2" w:rsidRPr="00B66B1A" w:rsidRDefault="00D115F2" w:rsidP="00E302F6">
      <w:pPr>
        <w:spacing w:before="120" w:line="240" w:lineRule="auto"/>
        <w:ind w:right="-432"/>
        <w:rPr>
          <w:rFonts w:ascii="Times New Roman" w:hAnsi="Times New Roman"/>
          <w:b/>
          <w:u w:val="single"/>
          <w:lang w:val="lv-LV"/>
        </w:rPr>
      </w:pPr>
    </w:p>
    <w:p w:rsidR="00D115F2" w:rsidRPr="00B66B1A" w:rsidRDefault="000D340E" w:rsidP="00E302F6">
      <w:pPr>
        <w:spacing w:before="120" w:line="240" w:lineRule="auto"/>
        <w:ind w:right="-432"/>
        <w:rPr>
          <w:rFonts w:ascii="Times New Roman" w:hAnsi="Times New Roman"/>
          <w:b/>
          <w:u w:val="single"/>
          <w:lang w:val="lv-LV"/>
        </w:rPr>
      </w:pPr>
      <w:r>
        <w:rPr>
          <w:rFonts w:ascii="Times New Roman" w:hAnsi="Times New Roman"/>
          <w:b/>
          <w:u w:val="single"/>
          <w:lang w:val="lv-LV"/>
        </w:rPr>
        <w:t>Iznākumu</w:t>
      </w:r>
      <w:r w:rsidRPr="00B66B1A">
        <w:rPr>
          <w:rFonts w:ascii="Times New Roman" w:hAnsi="Times New Roman"/>
          <w:b/>
          <w:u w:val="single"/>
          <w:lang w:val="lv-LV"/>
        </w:rPr>
        <w:t xml:space="preserve"> </w:t>
      </w:r>
      <w:r w:rsidR="00A02314" w:rsidRPr="00B66B1A">
        <w:rPr>
          <w:rFonts w:ascii="Times New Roman" w:hAnsi="Times New Roman"/>
          <w:b/>
          <w:u w:val="single"/>
          <w:lang w:val="lv-LV"/>
        </w:rPr>
        <w:t>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6"/>
        <w:gridCol w:w="2816"/>
        <w:gridCol w:w="1854"/>
        <w:gridCol w:w="1598"/>
        <w:gridCol w:w="2012"/>
      </w:tblGrid>
      <w:tr w:rsidR="00D115F2" w:rsidRPr="00B66B1A" w:rsidTr="004544E0">
        <w:trPr>
          <w:trHeight w:val="706"/>
          <w:jc w:val="center"/>
        </w:trPr>
        <w:tc>
          <w:tcPr>
            <w:tcW w:w="325" w:type="pct"/>
          </w:tcPr>
          <w:p w:rsidR="00D115F2" w:rsidRPr="00B66B1A" w:rsidRDefault="00D115F2" w:rsidP="00E302F6">
            <w:pPr>
              <w:pStyle w:val="ListDash"/>
              <w:numPr>
                <w:ilvl w:val="0"/>
                <w:numId w:val="0"/>
              </w:numPr>
              <w:spacing w:before="120" w:line="240" w:lineRule="auto"/>
              <w:ind w:left="283" w:right="-432" w:hanging="283"/>
              <w:jc w:val="left"/>
              <w:rPr>
                <w:rFonts w:ascii="Times New Roman" w:hAnsi="Times New Roman"/>
                <w:b/>
                <w:sz w:val="18"/>
                <w:szCs w:val="18"/>
                <w:lang w:val="lv-LV"/>
              </w:rPr>
            </w:pPr>
            <w:r w:rsidRPr="00B66B1A">
              <w:rPr>
                <w:rFonts w:ascii="Times New Roman" w:hAnsi="Times New Roman"/>
                <w:b/>
                <w:sz w:val="18"/>
                <w:szCs w:val="18"/>
                <w:lang w:val="lv-LV"/>
              </w:rPr>
              <w:t>ID</w:t>
            </w:r>
          </w:p>
        </w:tc>
        <w:tc>
          <w:tcPr>
            <w:tcW w:w="1590" w:type="pct"/>
            <w:shd w:val="clear" w:color="auto" w:fill="auto"/>
          </w:tcPr>
          <w:p w:rsidR="00D115F2" w:rsidRPr="00755612" w:rsidRDefault="0095520A" w:rsidP="00E302F6">
            <w:pPr>
              <w:pStyle w:val="ListDash"/>
              <w:numPr>
                <w:ilvl w:val="0"/>
                <w:numId w:val="0"/>
              </w:numPr>
              <w:spacing w:before="120" w:line="240" w:lineRule="auto"/>
              <w:ind w:left="283" w:right="-432" w:hanging="283"/>
              <w:jc w:val="left"/>
              <w:rPr>
                <w:rFonts w:ascii="Times New Roman" w:hAnsi="Times New Roman"/>
                <w:b/>
                <w:sz w:val="18"/>
                <w:szCs w:val="18"/>
                <w:lang w:val="lv-LV"/>
              </w:rPr>
            </w:pPr>
            <w:r w:rsidRPr="00755612">
              <w:rPr>
                <w:rFonts w:ascii="Times New Roman" w:hAnsi="Times New Roman"/>
                <w:b/>
                <w:sz w:val="20"/>
                <w:szCs w:val="20"/>
                <w:lang w:val="lv-LV" w:bidi="en-US"/>
              </w:rPr>
              <w:t>Rezultatīvais rādītājs</w:t>
            </w:r>
          </w:p>
        </w:tc>
        <w:tc>
          <w:tcPr>
            <w:tcW w:w="1047" w:type="pct"/>
            <w:shd w:val="clear" w:color="auto" w:fill="auto"/>
          </w:tcPr>
          <w:p w:rsidR="00D115F2" w:rsidRPr="00755612" w:rsidRDefault="00A02314" w:rsidP="00E302F6">
            <w:pPr>
              <w:pStyle w:val="ListDash"/>
              <w:numPr>
                <w:ilvl w:val="0"/>
                <w:numId w:val="0"/>
              </w:numPr>
              <w:spacing w:before="120" w:line="240" w:lineRule="auto"/>
              <w:ind w:right="-432"/>
              <w:jc w:val="left"/>
              <w:rPr>
                <w:rFonts w:ascii="Times New Roman" w:hAnsi="Times New Roman"/>
                <w:b/>
                <w:sz w:val="18"/>
                <w:szCs w:val="18"/>
                <w:lang w:val="lv-LV"/>
              </w:rPr>
            </w:pPr>
            <w:r w:rsidRPr="00755612">
              <w:rPr>
                <w:rFonts w:ascii="Times New Roman" w:hAnsi="Times New Roman"/>
                <w:b/>
                <w:sz w:val="18"/>
                <w:szCs w:val="18"/>
                <w:lang w:val="lv-LV"/>
              </w:rPr>
              <w:t>Mērvienība</w:t>
            </w:r>
          </w:p>
        </w:tc>
        <w:tc>
          <w:tcPr>
            <w:tcW w:w="902" w:type="pct"/>
            <w:shd w:val="clear" w:color="auto" w:fill="auto"/>
          </w:tcPr>
          <w:p w:rsidR="0095520A" w:rsidRPr="00755612" w:rsidRDefault="0095520A" w:rsidP="00E302F6">
            <w:pPr>
              <w:pStyle w:val="Bodytext50"/>
              <w:shd w:val="clear" w:color="auto" w:fill="auto"/>
              <w:spacing w:before="120" w:after="120" w:line="240" w:lineRule="auto"/>
              <w:ind w:right="-432" w:firstLine="0"/>
              <w:jc w:val="both"/>
              <w:rPr>
                <w:rFonts w:ascii="Times New Roman" w:hAnsi="Times New Roman" w:cs="Arial Narrow"/>
                <w:b/>
                <w:sz w:val="20"/>
                <w:szCs w:val="20"/>
                <w:lang w:val="lv-LV" w:eastAsia="lv-LV"/>
              </w:rPr>
            </w:pPr>
            <w:r w:rsidRPr="00755612">
              <w:rPr>
                <w:rFonts w:ascii="Times New Roman" w:hAnsi="Times New Roman" w:cs="Arial Narrow"/>
                <w:b/>
                <w:sz w:val="20"/>
                <w:szCs w:val="20"/>
                <w:lang w:val="lv-LV" w:eastAsia="lv-LV"/>
              </w:rPr>
              <w:t>Mērķ-</w:t>
            </w:r>
          </w:p>
          <w:p w:rsidR="00D115F2" w:rsidRPr="00755612" w:rsidRDefault="00755612" w:rsidP="00E302F6">
            <w:pPr>
              <w:pStyle w:val="ListDash"/>
              <w:numPr>
                <w:ilvl w:val="0"/>
                <w:numId w:val="0"/>
              </w:numPr>
              <w:spacing w:before="120" w:line="240" w:lineRule="auto"/>
              <w:ind w:right="-432"/>
              <w:jc w:val="left"/>
              <w:rPr>
                <w:rFonts w:ascii="Times New Roman" w:hAnsi="Times New Roman"/>
                <w:b/>
                <w:sz w:val="18"/>
                <w:szCs w:val="18"/>
                <w:lang w:val="lv-LV"/>
              </w:rPr>
            </w:pPr>
            <w:proofErr w:type="spellStart"/>
            <w:r>
              <w:rPr>
                <w:rFonts w:ascii="Times New Roman" w:hAnsi="Times New Roman"/>
                <w:b/>
                <w:sz w:val="20"/>
                <w:szCs w:val="20"/>
              </w:rPr>
              <w:t>v</w:t>
            </w:r>
            <w:r w:rsidR="0095520A" w:rsidRPr="00755612">
              <w:rPr>
                <w:rFonts w:ascii="Times New Roman" w:hAnsi="Times New Roman"/>
                <w:b/>
                <w:sz w:val="20"/>
                <w:szCs w:val="20"/>
              </w:rPr>
              <w:t>ērtība</w:t>
            </w:r>
            <w:proofErr w:type="spellEnd"/>
            <w:r>
              <w:rPr>
                <w:rFonts w:ascii="Times New Roman" w:hAnsi="Times New Roman"/>
                <w:b/>
                <w:sz w:val="20"/>
                <w:szCs w:val="20"/>
              </w:rPr>
              <w:t xml:space="preserve"> </w:t>
            </w:r>
            <w:r w:rsidR="00D115F2" w:rsidRPr="00755612">
              <w:rPr>
                <w:rFonts w:ascii="Times New Roman" w:hAnsi="Times New Roman"/>
                <w:b/>
                <w:sz w:val="18"/>
                <w:szCs w:val="18"/>
                <w:lang w:val="lv-LV"/>
              </w:rPr>
              <w:t>(2023)</w:t>
            </w:r>
          </w:p>
        </w:tc>
        <w:tc>
          <w:tcPr>
            <w:tcW w:w="1136" w:type="pct"/>
            <w:shd w:val="clear" w:color="auto" w:fill="auto"/>
          </w:tcPr>
          <w:p w:rsidR="00D115F2" w:rsidRPr="00755612" w:rsidRDefault="00A02314" w:rsidP="00E302F6">
            <w:pPr>
              <w:pStyle w:val="ListDash"/>
              <w:numPr>
                <w:ilvl w:val="0"/>
                <w:numId w:val="0"/>
              </w:numPr>
              <w:spacing w:before="120" w:line="240" w:lineRule="auto"/>
              <w:ind w:right="-432"/>
              <w:jc w:val="left"/>
              <w:rPr>
                <w:rFonts w:ascii="Times New Roman" w:hAnsi="Times New Roman"/>
                <w:b/>
                <w:sz w:val="18"/>
                <w:szCs w:val="18"/>
                <w:lang w:val="lv-LV"/>
              </w:rPr>
            </w:pPr>
            <w:r w:rsidRPr="00755612">
              <w:rPr>
                <w:rFonts w:ascii="Times New Roman" w:hAnsi="Times New Roman"/>
                <w:b/>
                <w:sz w:val="18"/>
                <w:szCs w:val="18"/>
                <w:lang w:val="lv-LV"/>
              </w:rPr>
              <w:t>Datu avots</w:t>
            </w:r>
          </w:p>
        </w:tc>
      </w:tr>
      <w:tr w:rsidR="00D115F2" w:rsidRPr="00B66B1A" w:rsidTr="00747A4E">
        <w:trPr>
          <w:trHeight w:val="1052"/>
          <w:jc w:val="center"/>
        </w:trPr>
        <w:tc>
          <w:tcPr>
            <w:tcW w:w="325" w:type="pct"/>
          </w:tcPr>
          <w:p w:rsidR="00D115F2" w:rsidRPr="00B66B1A" w:rsidRDefault="005F7F12" w:rsidP="00E302F6">
            <w:pPr>
              <w:pStyle w:val="ListDash"/>
              <w:numPr>
                <w:ilvl w:val="0"/>
                <w:numId w:val="0"/>
              </w:numPr>
              <w:spacing w:before="120" w:line="240" w:lineRule="auto"/>
              <w:ind w:right="-432"/>
              <w:rPr>
                <w:rFonts w:ascii="Times New Roman" w:hAnsi="Times New Roman"/>
                <w:sz w:val="18"/>
                <w:szCs w:val="18"/>
                <w:lang w:val="lv-LV"/>
              </w:rPr>
            </w:pPr>
            <w:r w:rsidRPr="00BA2B1E">
              <w:rPr>
                <w:sz w:val="16"/>
                <w:szCs w:val="16"/>
              </w:rPr>
              <w:t>1.1.O1</w:t>
            </w:r>
          </w:p>
        </w:tc>
        <w:tc>
          <w:tcPr>
            <w:tcW w:w="1590" w:type="pct"/>
            <w:shd w:val="clear" w:color="auto" w:fill="auto"/>
          </w:tcPr>
          <w:p w:rsidR="00D115F2" w:rsidRPr="00B66B1A" w:rsidRDefault="00CD6D0C" w:rsidP="00E302F6">
            <w:pPr>
              <w:pStyle w:val="ListParagraph"/>
              <w:spacing w:before="120" w:line="240" w:lineRule="auto"/>
              <w:ind w:left="0" w:right="-432"/>
              <w:jc w:val="left"/>
              <w:rPr>
                <w:rFonts w:ascii="Times New Roman" w:hAnsi="Times New Roman"/>
                <w:sz w:val="18"/>
                <w:szCs w:val="18"/>
                <w:lang w:val="lv-LV"/>
              </w:rPr>
            </w:pPr>
            <w:r>
              <w:rPr>
                <w:rFonts w:ascii="Times New Roman" w:hAnsi="Times New Roman"/>
                <w:sz w:val="18"/>
                <w:szCs w:val="18"/>
                <w:lang w:val="lv-LV"/>
              </w:rPr>
              <w:t>Izmaiņas a</w:t>
            </w:r>
            <w:r w:rsidR="00F21397" w:rsidRPr="00B66B1A">
              <w:rPr>
                <w:rFonts w:ascii="Times New Roman" w:hAnsi="Times New Roman"/>
                <w:sz w:val="18"/>
                <w:szCs w:val="18"/>
                <w:lang w:val="lv-LV"/>
              </w:rPr>
              <w:t>tbalstīto kultūras un dabas mantojuma vietu un apskates objektu apmeklējumu skait</w:t>
            </w:r>
            <w:r>
              <w:rPr>
                <w:rFonts w:ascii="Times New Roman" w:hAnsi="Times New Roman"/>
                <w:sz w:val="18"/>
                <w:szCs w:val="18"/>
                <w:lang w:val="lv-LV"/>
              </w:rPr>
              <w:t>ā</w:t>
            </w:r>
            <w:r w:rsidR="00F21397" w:rsidRPr="00B66B1A">
              <w:rPr>
                <w:rFonts w:ascii="Times New Roman" w:hAnsi="Times New Roman"/>
                <w:sz w:val="18"/>
                <w:szCs w:val="18"/>
                <w:lang w:val="lv-LV"/>
              </w:rPr>
              <w:t>.</w:t>
            </w:r>
          </w:p>
        </w:tc>
        <w:tc>
          <w:tcPr>
            <w:tcW w:w="1047" w:type="pct"/>
            <w:shd w:val="clear" w:color="auto" w:fill="auto"/>
          </w:tcPr>
          <w:p w:rsidR="00D115F2" w:rsidRPr="00B66B1A" w:rsidRDefault="00CD6D0C" w:rsidP="00E302F6">
            <w:pPr>
              <w:pStyle w:val="ListDash"/>
              <w:numPr>
                <w:ilvl w:val="0"/>
                <w:numId w:val="0"/>
              </w:numPr>
              <w:spacing w:before="120" w:line="240" w:lineRule="auto"/>
              <w:ind w:right="-432"/>
              <w:jc w:val="left"/>
              <w:rPr>
                <w:rFonts w:ascii="Times New Roman" w:hAnsi="Times New Roman"/>
                <w:sz w:val="18"/>
                <w:szCs w:val="18"/>
                <w:lang w:val="lv-LV"/>
              </w:rPr>
            </w:pPr>
            <w:r>
              <w:rPr>
                <w:rFonts w:ascii="Times New Roman" w:hAnsi="Times New Roman"/>
                <w:sz w:val="18"/>
                <w:szCs w:val="18"/>
                <w:lang w:val="lv-LV"/>
              </w:rPr>
              <w:t>P</w:t>
            </w:r>
            <w:r w:rsidR="00F06AB3">
              <w:rPr>
                <w:rFonts w:ascii="Times New Roman" w:hAnsi="Times New Roman"/>
                <w:sz w:val="18"/>
                <w:szCs w:val="18"/>
                <w:lang w:val="lv-LV"/>
              </w:rPr>
              <w:t>rocent</w:t>
            </w:r>
            <w:r>
              <w:rPr>
                <w:rFonts w:ascii="Times New Roman" w:hAnsi="Times New Roman"/>
                <w:sz w:val="18"/>
                <w:szCs w:val="18"/>
                <w:lang w:val="lv-LV"/>
              </w:rPr>
              <w:t>i</w:t>
            </w:r>
          </w:p>
          <w:p w:rsidR="00D115F2" w:rsidRPr="00B66B1A" w:rsidRDefault="00D115F2" w:rsidP="00E302F6">
            <w:pPr>
              <w:pStyle w:val="ListDash"/>
              <w:numPr>
                <w:ilvl w:val="0"/>
                <w:numId w:val="0"/>
              </w:numPr>
              <w:spacing w:before="120" w:line="240" w:lineRule="auto"/>
              <w:ind w:right="-432"/>
              <w:jc w:val="left"/>
              <w:rPr>
                <w:rFonts w:ascii="Times New Roman" w:hAnsi="Times New Roman"/>
                <w:sz w:val="18"/>
                <w:szCs w:val="18"/>
                <w:lang w:val="lv-LV"/>
              </w:rPr>
            </w:pPr>
          </w:p>
          <w:p w:rsidR="00D115F2" w:rsidRPr="00B66B1A" w:rsidRDefault="00D115F2" w:rsidP="00E302F6">
            <w:pPr>
              <w:pStyle w:val="ListDash"/>
              <w:numPr>
                <w:ilvl w:val="0"/>
                <w:numId w:val="0"/>
              </w:numPr>
              <w:spacing w:before="120" w:line="240" w:lineRule="auto"/>
              <w:ind w:right="-432"/>
              <w:jc w:val="left"/>
              <w:rPr>
                <w:rFonts w:ascii="Times New Roman" w:hAnsi="Times New Roman"/>
                <w:sz w:val="18"/>
                <w:szCs w:val="18"/>
                <w:lang w:val="lv-LV"/>
              </w:rPr>
            </w:pPr>
          </w:p>
        </w:tc>
        <w:tc>
          <w:tcPr>
            <w:tcW w:w="902" w:type="pct"/>
            <w:shd w:val="clear" w:color="auto" w:fill="auto"/>
          </w:tcPr>
          <w:p w:rsidR="00D115F2" w:rsidRPr="00F06AB3" w:rsidRDefault="00F06AB3" w:rsidP="00E302F6">
            <w:pPr>
              <w:pStyle w:val="ListDash"/>
              <w:numPr>
                <w:ilvl w:val="0"/>
                <w:numId w:val="0"/>
              </w:numPr>
              <w:spacing w:before="120" w:line="240" w:lineRule="auto"/>
              <w:ind w:right="-432"/>
              <w:jc w:val="left"/>
              <w:rPr>
                <w:rFonts w:ascii="Times New Roman" w:hAnsi="Times New Roman"/>
                <w:sz w:val="18"/>
                <w:szCs w:val="18"/>
                <w:lang w:val="lv-LV"/>
              </w:rPr>
            </w:pPr>
            <w:r>
              <w:rPr>
                <w:rFonts w:ascii="Times New Roman" w:hAnsi="Times New Roman"/>
                <w:sz w:val="18"/>
                <w:szCs w:val="18"/>
                <w:lang w:val="lv-LV"/>
              </w:rPr>
              <w:t>5%</w:t>
            </w:r>
          </w:p>
        </w:tc>
        <w:tc>
          <w:tcPr>
            <w:tcW w:w="1136" w:type="pct"/>
            <w:shd w:val="clear" w:color="auto" w:fill="auto"/>
          </w:tcPr>
          <w:p w:rsidR="00D115F2" w:rsidRPr="00B66B1A" w:rsidRDefault="00A02314" w:rsidP="00E302F6">
            <w:pPr>
              <w:pStyle w:val="ListDash"/>
              <w:numPr>
                <w:ilvl w:val="0"/>
                <w:numId w:val="0"/>
              </w:numPr>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Progresa ziņojumi</w:t>
            </w:r>
          </w:p>
        </w:tc>
      </w:tr>
    </w:tbl>
    <w:p w:rsidR="00CD6D0C" w:rsidRDefault="00CD6D0C" w:rsidP="00E302F6">
      <w:pPr>
        <w:spacing w:before="120" w:line="240" w:lineRule="auto"/>
        <w:ind w:right="-432"/>
        <w:rPr>
          <w:lang w:val="lv-LV"/>
        </w:rPr>
      </w:pPr>
    </w:p>
    <w:p w:rsidR="00F73204" w:rsidRPr="00CD6D0C" w:rsidRDefault="00CD6D0C" w:rsidP="00E302F6">
      <w:pPr>
        <w:spacing w:before="120" w:line="240" w:lineRule="auto"/>
        <w:ind w:right="-432"/>
        <w:rPr>
          <w:rFonts w:ascii="Times New Roman" w:hAnsi="Times New Roman"/>
          <w:b/>
          <w:u w:val="single"/>
          <w:lang w:val="lv-LV"/>
        </w:rPr>
      </w:pPr>
      <w:r w:rsidRPr="00CD6D0C">
        <w:rPr>
          <w:rFonts w:ascii="Times New Roman" w:hAnsi="Times New Roman"/>
          <w:b/>
          <w:u w:val="single"/>
          <w:lang w:val="lv-LV"/>
        </w:rPr>
        <w:t>Darbību atlases pamatprincipi</w:t>
      </w:r>
    </w:p>
    <w:p w:rsidR="00F73204" w:rsidRPr="00543A74" w:rsidRDefault="00CD6D0C" w:rsidP="00E302F6">
      <w:pPr>
        <w:spacing w:before="120" w:line="240" w:lineRule="auto"/>
        <w:ind w:right="-432"/>
        <w:jc w:val="left"/>
        <w:rPr>
          <w:lang w:val="lv-LV"/>
        </w:rPr>
      </w:pPr>
      <w:r>
        <w:rPr>
          <w:rFonts w:ascii="Times New Roman" w:hAnsi="Times New Roman"/>
          <w:lang w:val="lv-LV"/>
        </w:rPr>
        <w:t>Projektu atlases</w:t>
      </w:r>
      <w:r w:rsidRPr="00B66B1A">
        <w:rPr>
          <w:rFonts w:ascii="Times New Roman" w:hAnsi="Times New Roman"/>
          <w:lang w:val="lv-LV"/>
        </w:rPr>
        <w:t xml:space="preserve"> princip</w:t>
      </w:r>
      <w:r>
        <w:rPr>
          <w:rFonts w:ascii="Times New Roman" w:hAnsi="Times New Roman"/>
          <w:lang w:val="lv-LV"/>
        </w:rPr>
        <w:t>u d</w:t>
      </w:r>
      <w:r w:rsidRPr="00B66B1A">
        <w:rPr>
          <w:rFonts w:ascii="Times New Roman" w:hAnsi="Times New Roman"/>
          <w:lang w:val="lv-LV"/>
        </w:rPr>
        <w:t>etalizēta kārtība noteikta 5.3. punktā</w:t>
      </w:r>
      <w:r w:rsidRPr="00543A74">
        <w:rPr>
          <w:lang w:val="lv-LV"/>
        </w:rPr>
        <w:t xml:space="preserve"> </w:t>
      </w:r>
      <w:r w:rsidR="00F73204" w:rsidRPr="00543A74">
        <w:rPr>
          <w:lang w:val="lv-LV"/>
        </w:rPr>
        <w:br w:type="page"/>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034"/>
      </w:tblGrid>
      <w:tr w:rsidR="00D115F2" w:rsidRPr="0030029A" w:rsidTr="00FE1A59">
        <w:trPr>
          <w:trHeight w:val="1060"/>
        </w:trPr>
        <w:tc>
          <w:tcPr>
            <w:tcW w:w="9034" w:type="dxa"/>
            <w:shd w:val="clear" w:color="auto" w:fill="EAF1DD"/>
          </w:tcPr>
          <w:p w:rsidR="00D115F2" w:rsidRPr="00CD6D0C" w:rsidRDefault="00451AD5" w:rsidP="00E302F6">
            <w:pPr>
              <w:pStyle w:val="Text1"/>
              <w:spacing w:before="120" w:line="240" w:lineRule="auto"/>
              <w:ind w:left="0" w:right="-432"/>
              <w:rPr>
                <w:szCs w:val="24"/>
                <w:lang w:val="lv-LV"/>
              </w:rPr>
            </w:pPr>
            <w:r w:rsidRPr="00CD6D0C">
              <w:rPr>
                <w:szCs w:val="24"/>
                <w:lang w:val="lv-LV"/>
              </w:rPr>
              <w:lastRenderedPageBreak/>
              <w:t>2. investīciju prioritāte:</w:t>
            </w:r>
          </w:p>
          <w:p w:rsidR="00543A74" w:rsidRPr="00CD6D0C" w:rsidRDefault="00451AD5" w:rsidP="00755612">
            <w:pPr>
              <w:spacing w:before="120" w:line="240" w:lineRule="auto"/>
              <w:ind w:right="135"/>
              <w:rPr>
                <w:rFonts w:ascii="Times New Roman" w:hAnsi="Times New Roman"/>
                <w:b/>
                <w:u w:val="single"/>
                <w:lang w:val="lv-LV"/>
              </w:rPr>
            </w:pPr>
            <w:r w:rsidRPr="00CD6D0C">
              <w:rPr>
                <w:rFonts w:ascii="Times New Roman" w:hAnsi="Times New Roman"/>
                <w:b/>
                <w:u w:val="single"/>
                <w:lang w:val="lv-LV"/>
              </w:rPr>
              <w:t xml:space="preserve">aizsargāt un atjaunot bioloģisko daudzveidību un augsni un veicināt ekosistēmu pakalpojumus, tostarp izmantojot "Natura 2000", un zaļo infrastruktūru </w:t>
            </w:r>
          </w:p>
          <w:p w:rsidR="00D115F2" w:rsidRPr="00CD6D0C" w:rsidRDefault="0030029A" w:rsidP="00E302F6">
            <w:pPr>
              <w:spacing w:before="120" w:line="240" w:lineRule="auto"/>
              <w:ind w:right="-432"/>
              <w:rPr>
                <w:rFonts w:ascii="Times New Roman" w:hAnsi="Times New Roman"/>
                <w:lang w:val="lv-LV"/>
              </w:rPr>
            </w:pPr>
            <w:r>
              <w:rPr>
                <w:rFonts w:ascii="Times New Roman" w:hAnsi="Times New Roman"/>
                <w:lang w:val="lv-LV"/>
              </w:rPr>
              <w:t>Konkrētais</w:t>
            </w:r>
            <w:r w:rsidR="00451AD5" w:rsidRPr="00CD6D0C">
              <w:rPr>
                <w:rFonts w:ascii="Times New Roman" w:hAnsi="Times New Roman"/>
                <w:lang w:val="lv-LV"/>
              </w:rPr>
              <w:t xml:space="preserve"> mērķis:</w:t>
            </w:r>
          </w:p>
          <w:p w:rsidR="00D115F2" w:rsidRPr="00CD6D0C" w:rsidRDefault="0030029A" w:rsidP="00E302F6">
            <w:pPr>
              <w:spacing w:before="120" w:line="240" w:lineRule="auto"/>
              <w:ind w:right="-432"/>
              <w:rPr>
                <w:rFonts w:ascii="Times New Roman" w:hAnsi="Times New Roman"/>
                <w:b/>
                <w:u w:val="single"/>
                <w:lang w:val="lv-LV"/>
              </w:rPr>
            </w:pPr>
            <w:r>
              <w:rPr>
                <w:rFonts w:ascii="Times New Roman" w:hAnsi="Times New Roman"/>
                <w:b/>
                <w:u w:val="single"/>
                <w:lang w:val="lv-LV"/>
              </w:rPr>
              <w:t>uzlabot vide</w:t>
            </w:r>
            <w:r w:rsidRPr="00CD6D0C">
              <w:rPr>
                <w:rFonts w:ascii="Times New Roman" w:hAnsi="Times New Roman"/>
                <w:b/>
                <w:u w:val="single"/>
                <w:lang w:val="lv-LV"/>
              </w:rPr>
              <w:t>s resursu kopīgu apsaimniekošanu</w:t>
            </w:r>
          </w:p>
        </w:tc>
      </w:tr>
    </w:tbl>
    <w:p w:rsidR="00D115F2" w:rsidRPr="0030029A" w:rsidRDefault="00D115F2" w:rsidP="00D66FB7">
      <w:pPr>
        <w:pStyle w:val="Heading2"/>
        <w:rPr>
          <w:lang w:val="lv-LV"/>
        </w:rPr>
      </w:pPr>
      <w:bookmarkStart w:id="15" w:name="_Toc372107597"/>
    </w:p>
    <w:bookmarkEnd w:id="15"/>
    <w:p w:rsidR="00F73204" w:rsidRPr="00CD6D0C" w:rsidRDefault="00451AD5" w:rsidP="00E302F6">
      <w:pPr>
        <w:spacing w:before="120" w:line="240" w:lineRule="auto"/>
        <w:ind w:right="-432"/>
        <w:rPr>
          <w:rFonts w:ascii="Times New Roman" w:hAnsi="Times New Roman"/>
          <w:lang w:val="lv-LV"/>
        </w:rPr>
      </w:pPr>
      <w:r w:rsidRPr="00CD6D0C">
        <w:rPr>
          <w:rFonts w:ascii="Times New Roman" w:hAnsi="Times New Roman"/>
          <w:lang w:val="lv-LV"/>
        </w:rPr>
        <w:t xml:space="preserve">Programmas teritorijā </w:t>
      </w:r>
      <w:r w:rsidR="00B146EC" w:rsidRPr="00CD6D0C">
        <w:rPr>
          <w:rFonts w:ascii="Times New Roman" w:hAnsi="Times New Roman"/>
          <w:lang w:val="lv-LV"/>
        </w:rPr>
        <w:t>pastsāv</w:t>
      </w:r>
      <w:r w:rsidRPr="00CD6D0C">
        <w:rPr>
          <w:rFonts w:ascii="Times New Roman" w:hAnsi="Times New Roman"/>
          <w:lang w:val="lv-LV"/>
        </w:rPr>
        <w:t xml:space="preserve"> vides </w:t>
      </w:r>
      <w:r w:rsidR="00B146EC" w:rsidRPr="00CD6D0C">
        <w:rPr>
          <w:rFonts w:ascii="Times New Roman" w:hAnsi="Times New Roman"/>
          <w:lang w:val="lv-LV"/>
        </w:rPr>
        <w:t>problēmas</w:t>
      </w:r>
      <w:r w:rsidRPr="00CD6D0C">
        <w:rPr>
          <w:rFonts w:ascii="Times New Roman" w:hAnsi="Times New Roman"/>
          <w:lang w:val="lv-LV"/>
        </w:rPr>
        <w:t xml:space="preserve">, ko iespējams risināt ar kopīgu sadarbību un pārvaldību, </w:t>
      </w:r>
      <w:r w:rsidR="00833269" w:rsidRPr="00CD6D0C">
        <w:rPr>
          <w:rFonts w:ascii="Times New Roman" w:hAnsi="Times New Roman"/>
          <w:lang w:val="lv-LV"/>
        </w:rPr>
        <w:t xml:space="preserve">vai nu tālāk attīstopt jau esošos sadarbības mehānismus vai arī </w:t>
      </w:r>
      <w:r w:rsidRPr="00CD6D0C">
        <w:rPr>
          <w:rFonts w:ascii="Times New Roman" w:hAnsi="Times New Roman"/>
          <w:lang w:val="lv-LV"/>
        </w:rPr>
        <w:t>atbalst</w:t>
      </w:r>
      <w:r w:rsidR="00833269" w:rsidRPr="00CD6D0C">
        <w:rPr>
          <w:rFonts w:ascii="Times New Roman" w:hAnsi="Times New Roman"/>
          <w:lang w:val="lv-LV"/>
        </w:rPr>
        <w:t>ot</w:t>
      </w:r>
      <w:r w:rsidRPr="00CD6D0C">
        <w:rPr>
          <w:rFonts w:ascii="Times New Roman" w:hAnsi="Times New Roman"/>
          <w:lang w:val="lv-LV"/>
        </w:rPr>
        <w:t xml:space="preserve"> jaunu sadarbības tīklu </w:t>
      </w:r>
      <w:r w:rsidR="00833269" w:rsidRPr="00CD6D0C">
        <w:rPr>
          <w:rFonts w:ascii="Times New Roman" w:hAnsi="Times New Roman"/>
          <w:lang w:val="lv-LV"/>
        </w:rPr>
        <w:t xml:space="preserve">izveidi </w:t>
      </w:r>
      <w:r w:rsidRPr="00CD6D0C">
        <w:rPr>
          <w:rFonts w:ascii="Times New Roman" w:hAnsi="Times New Roman"/>
          <w:lang w:val="lv-LV"/>
        </w:rPr>
        <w:t xml:space="preserve">un </w:t>
      </w:r>
      <w:r w:rsidR="00833269" w:rsidRPr="00CD6D0C">
        <w:rPr>
          <w:rFonts w:ascii="Times New Roman" w:hAnsi="Times New Roman"/>
          <w:lang w:val="lv-LV"/>
        </w:rPr>
        <w:t>kopīgu apsaimniekošanu</w:t>
      </w:r>
      <w:r w:rsidRPr="00CD6D0C">
        <w:rPr>
          <w:rFonts w:ascii="Times New Roman" w:hAnsi="Times New Roman"/>
          <w:lang w:val="lv-LV"/>
        </w:rPr>
        <w:t xml:space="preserve">. </w:t>
      </w:r>
    </w:p>
    <w:p w:rsidR="00270BAC" w:rsidRDefault="00451AD5" w:rsidP="00E302F6">
      <w:pPr>
        <w:spacing w:before="120" w:line="240" w:lineRule="auto"/>
        <w:ind w:right="-432"/>
        <w:rPr>
          <w:rFonts w:ascii="Times New Roman" w:hAnsi="Times New Roman"/>
          <w:lang w:val="lv-LV"/>
        </w:rPr>
      </w:pPr>
      <w:r w:rsidRPr="00CD6D0C">
        <w:rPr>
          <w:rFonts w:ascii="Times New Roman" w:hAnsi="Times New Roman"/>
          <w:lang w:val="lv-LV"/>
        </w:rPr>
        <w:t>Tiek sagaidīts, ka upes, ezeri, aizsargājamās teritorijas, piekraste un jūras vide (a</w:t>
      </w:r>
      <w:r w:rsidR="00833269" w:rsidRPr="00CD6D0C">
        <w:rPr>
          <w:rFonts w:ascii="Times New Roman" w:hAnsi="Times New Roman"/>
          <w:lang w:val="lv-LV"/>
        </w:rPr>
        <w:t>b</w:t>
      </w:r>
      <w:r w:rsidRPr="00CD6D0C">
        <w:rPr>
          <w:rFonts w:ascii="Times New Roman" w:hAnsi="Times New Roman"/>
          <w:lang w:val="lv-LV"/>
        </w:rPr>
        <w:t>p</w:t>
      </w:r>
      <w:r w:rsidR="00833269" w:rsidRPr="00CD6D0C">
        <w:rPr>
          <w:rFonts w:ascii="Times New Roman" w:hAnsi="Times New Roman"/>
          <w:lang w:val="lv-LV"/>
        </w:rPr>
        <w:t>us</w:t>
      </w:r>
      <w:r w:rsidRPr="00CD6D0C">
        <w:rPr>
          <w:rFonts w:ascii="Times New Roman" w:hAnsi="Times New Roman"/>
          <w:lang w:val="lv-LV"/>
        </w:rPr>
        <w:t xml:space="preserve"> kopīg</w:t>
      </w:r>
      <w:r w:rsidR="00833269" w:rsidRPr="00CD6D0C">
        <w:rPr>
          <w:rFonts w:ascii="Times New Roman" w:hAnsi="Times New Roman"/>
          <w:lang w:val="lv-LV"/>
        </w:rPr>
        <w:t>ajai</w:t>
      </w:r>
      <w:r w:rsidRPr="00CD6D0C">
        <w:rPr>
          <w:rFonts w:ascii="Times New Roman" w:hAnsi="Times New Roman"/>
          <w:lang w:val="lv-LV"/>
        </w:rPr>
        <w:t xml:space="preserve"> jūras robež</w:t>
      </w:r>
      <w:r w:rsidR="00833269" w:rsidRPr="00CD6D0C">
        <w:rPr>
          <w:rFonts w:ascii="Times New Roman" w:hAnsi="Times New Roman"/>
          <w:lang w:val="lv-LV"/>
        </w:rPr>
        <w:t>ai</w:t>
      </w:r>
      <w:r w:rsidRPr="00CD6D0C">
        <w:rPr>
          <w:rFonts w:ascii="Times New Roman" w:hAnsi="Times New Roman"/>
          <w:lang w:val="lv-LV"/>
        </w:rPr>
        <w:t xml:space="preserve"> starp Latviju un Lietuvu) gūs labumu no uzlabotās pārvaldības, pakalpojumiem un infrastruktūras, kā arī </w:t>
      </w:r>
      <w:r w:rsidR="00833269" w:rsidRPr="00CD6D0C">
        <w:rPr>
          <w:rFonts w:ascii="Times New Roman" w:hAnsi="Times New Roman"/>
          <w:lang w:val="lv-LV"/>
        </w:rPr>
        <w:t xml:space="preserve">kopīgām </w:t>
      </w:r>
      <w:r w:rsidRPr="00CD6D0C">
        <w:rPr>
          <w:rFonts w:ascii="Times New Roman" w:hAnsi="Times New Roman"/>
          <w:lang w:val="lv-LV"/>
        </w:rPr>
        <w:t>darbībām, lai samazinātu</w:t>
      </w:r>
      <w:r w:rsidR="00833269" w:rsidRPr="00CD6D0C">
        <w:rPr>
          <w:rFonts w:ascii="Times New Roman" w:hAnsi="Times New Roman"/>
          <w:lang w:val="lv-LV"/>
        </w:rPr>
        <w:t xml:space="preserve"> lauksaimniecības un rūpniecības</w:t>
      </w:r>
      <w:r w:rsidRPr="00CD6D0C">
        <w:rPr>
          <w:rFonts w:ascii="Times New Roman" w:hAnsi="Times New Roman"/>
          <w:lang w:val="lv-LV"/>
        </w:rPr>
        <w:t xml:space="preserve"> negatīvo ietekmi.  </w:t>
      </w:r>
    </w:p>
    <w:p w:rsidR="002E3500" w:rsidRPr="00CD6D0C" w:rsidRDefault="002E3500" w:rsidP="00E302F6">
      <w:pPr>
        <w:spacing w:before="120" w:line="240" w:lineRule="auto"/>
        <w:ind w:right="-432"/>
        <w:rPr>
          <w:rFonts w:ascii="Times New Roman" w:hAnsi="Times New Roman"/>
          <w:lang w:val="lv-LV"/>
        </w:rPr>
      </w:pPr>
      <w:r>
        <w:rPr>
          <w:rFonts w:ascii="Times New Roman" w:hAnsi="Times New Roman"/>
          <w:lang w:val="lv-LV"/>
        </w:rPr>
        <w:t xml:space="preserve">Programmas aktivitātes </w:t>
      </w:r>
      <w:r w:rsidRPr="00CD6D0C">
        <w:rPr>
          <w:rFonts w:ascii="Times New Roman" w:hAnsi="Times New Roman"/>
          <w:lang w:val="lv-LV"/>
        </w:rPr>
        <w:t>bioloģiskās daudzveidības aizsardzība</w:t>
      </w:r>
      <w:r>
        <w:rPr>
          <w:rFonts w:ascii="Times New Roman" w:hAnsi="Times New Roman"/>
          <w:lang w:val="lv-LV"/>
        </w:rPr>
        <w:t>i ietver</w:t>
      </w:r>
    </w:p>
    <w:p w:rsidR="002E3500" w:rsidRPr="00CD6D0C" w:rsidRDefault="00451AD5" w:rsidP="00E302F6">
      <w:pPr>
        <w:spacing w:before="120" w:line="240" w:lineRule="auto"/>
        <w:ind w:right="-432"/>
        <w:rPr>
          <w:rFonts w:ascii="Times New Roman" w:hAnsi="Times New Roman"/>
          <w:lang w:val="lv-LV"/>
        </w:rPr>
      </w:pPr>
      <w:r w:rsidRPr="00CD6D0C">
        <w:rPr>
          <w:rFonts w:ascii="Times New Roman" w:hAnsi="Times New Roman"/>
          <w:lang w:val="lv-LV"/>
        </w:rPr>
        <w:t xml:space="preserve">bioloģiskās daudzveidības datu kopu radīšanu </w:t>
      </w:r>
      <w:r w:rsidR="00EA79A6">
        <w:rPr>
          <w:rFonts w:ascii="Times New Roman" w:hAnsi="Times New Roman"/>
          <w:lang w:val="lv-LV"/>
        </w:rPr>
        <w:t xml:space="preserve">(piemēram, dati par bioloģisko daudzveidību) </w:t>
      </w:r>
      <w:r w:rsidRPr="00CD6D0C">
        <w:rPr>
          <w:rFonts w:ascii="Times New Roman" w:hAnsi="Times New Roman"/>
          <w:lang w:val="lv-LV"/>
        </w:rPr>
        <w:t>„Natura 2000” teritorij</w:t>
      </w:r>
      <w:r w:rsidR="00833269" w:rsidRPr="00CD6D0C">
        <w:rPr>
          <w:rFonts w:ascii="Times New Roman" w:hAnsi="Times New Roman"/>
          <w:lang w:val="lv-LV"/>
        </w:rPr>
        <w:t>ām</w:t>
      </w:r>
      <w:r w:rsidRPr="00CD6D0C">
        <w:rPr>
          <w:rFonts w:ascii="Times New Roman" w:hAnsi="Times New Roman"/>
          <w:lang w:val="lv-LV"/>
        </w:rPr>
        <w:t xml:space="preserve"> un ārpus tām (trūkst datu par bioloģisko daudzveidību [gan „Natura 2000” teritorijās, gan ārpus tām]). </w:t>
      </w:r>
      <w:r w:rsidR="002E3500">
        <w:rPr>
          <w:rFonts w:ascii="Times New Roman" w:hAnsi="Times New Roman"/>
          <w:lang w:val="lv-LV"/>
        </w:rPr>
        <w:t>Tas palīdzēs aizpildīt trūkstošus datus NATURA2000 teritoriju tīklā.</w:t>
      </w:r>
    </w:p>
    <w:p w:rsidR="002E3500" w:rsidRPr="00CD6D0C" w:rsidRDefault="00451AD5" w:rsidP="00E302F6">
      <w:pPr>
        <w:spacing w:before="120" w:line="240" w:lineRule="auto"/>
        <w:ind w:right="-432"/>
        <w:rPr>
          <w:rFonts w:ascii="Times New Roman" w:hAnsi="Times New Roman"/>
          <w:lang w:val="lv-LV"/>
        </w:rPr>
      </w:pPr>
      <w:r w:rsidRPr="00CD6D0C">
        <w:rPr>
          <w:rFonts w:ascii="Times New Roman" w:hAnsi="Times New Roman"/>
          <w:lang w:val="lv-LV"/>
        </w:rPr>
        <w:t>Ņemot vērā to, ka  sabiedrīb</w:t>
      </w:r>
      <w:r w:rsidR="00A60F30" w:rsidRPr="00CD6D0C">
        <w:rPr>
          <w:rFonts w:ascii="Times New Roman" w:hAnsi="Times New Roman"/>
          <w:lang w:val="lv-LV"/>
        </w:rPr>
        <w:t>ā kopumā</w:t>
      </w:r>
      <w:r w:rsidRPr="00CD6D0C">
        <w:rPr>
          <w:rFonts w:ascii="Times New Roman" w:hAnsi="Times New Roman"/>
          <w:lang w:val="lv-LV"/>
        </w:rPr>
        <w:t xml:space="preserve"> un vietējā</w:t>
      </w:r>
      <w:r w:rsidR="00A60F30" w:rsidRPr="00CD6D0C">
        <w:rPr>
          <w:rFonts w:ascii="Times New Roman" w:hAnsi="Times New Roman"/>
          <w:lang w:val="lv-LV"/>
        </w:rPr>
        <w:t>s</w:t>
      </w:r>
      <w:r w:rsidRPr="00CD6D0C">
        <w:rPr>
          <w:rFonts w:ascii="Times New Roman" w:hAnsi="Times New Roman"/>
          <w:lang w:val="lv-LV"/>
        </w:rPr>
        <w:t xml:space="preserve"> pašvaldībā</w:t>
      </w:r>
      <w:r w:rsidR="00A60F30" w:rsidRPr="00CD6D0C">
        <w:rPr>
          <w:rFonts w:ascii="Times New Roman" w:hAnsi="Times New Roman"/>
          <w:lang w:val="lv-LV"/>
        </w:rPr>
        <w:t>s</w:t>
      </w:r>
      <w:r w:rsidRPr="00CD6D0C">
        <w:rPr>
          <w:rFonts w:ascii="Times New Roman" w:hAnsi="Times New Roman"/>
          <w:lang w:val="lv-LV"/>
        </w:rPr>
        <w:t xml:space="preserve"> novērojama s</w:t>
      </w:r>
      <w:r w:rsidR="00A60F30" w:rsidRPr="00CD6D0C">
        <w:rPr>
          <w:rFonts w:ascii="Times New Roman" w:hAnsi="Times New Roman"/>
          <w:lang w:val="lv-LV"/>
        </w:rPr>
        <w:t xml:space="preserve">amērā negatīva </w:t>
      </w:r>
      <w:r w:rsidRPr="00CD6D0C">
        <w:rPr>
          <w:rFonts w:ascii="Times New Roman" w:hAnsi="Times New Roman"/>
          <w:lang w:val="lv-LV"/>
        </w:rPr>
        <w:t xml:space="preserve"> attieksme </w:t>
      </w:r>
      <w:r w:rsidR="00A60F30" w:rsidRPr="00CD6D0C">
        <w:rPr>
          <w:rFonts w:ascii="Times New Roman" w:hAnsi="Times New Roman"/>
          <w:lang w:val="lv-LV"/>
        </w:rPr>
        <w:t xml:space="preserve">pret aizsargājamām teritorijām un </w:t>
      </w:r>
      <w:r w:rsidR="00C041CB" w:rsidRPr="00CD6D0C">
        <w:rPr>
          <w:rFonts w:ascii="Times New Roman" w:hAnsi="Times New Roman"/>
          <w:lang w:val="lv-LV"/>
        </w:rPr>
        <w:t xml:space="preserve">neinformētība par tām </w:t>
      </w:r>
      <w:r w:rsidRPr="00CD6D0C">
        <w:rPr>
          <w:rFonts w:ascii="Times New Roman" w:hAnsi="Times New Roman"/>
          <w:lang w:val="lv-LV"/>
        </w:rPr>
        <w:t xml:space="preserve">(piemēram, </w:t>
      </w:r>
      <w:r w:rsidR="00C041CB" w:rsidRPr="00CD6D0C">
        <w:rPr>
          <w:rFonts w:ascii="Times New Roman" w:hAnsi="Times New Roman"/>
          <w:lang w:val="lv-LV"/>
        </w:rPr>
        <w:t>priekšstati</w:t>
      </w:r>
      <w:r w:rsidRPr="00CD6D0C">
        <w:rPr>
          <w:rFonts w:ascii="Times New Roman" w:hAnsi="Times New Roman"/>
          <w:lang w:val="lv-LV"/>
        </w:rPr>
        <w:t xml:space="preserve"> par darbībām, kas ir atļautas/ aizliegtas aizsargājamajās teritorijās), kopīg</w:t>
      </w:r>
      <w:r w:rsidR="00C041CB" w:rsidRPr="00CD6D0C">
        <w:rPr>
          <w:rFonts w:ascii="Times New Roman" w:hAnsi="Times New Roman"/>
          <w:lang w:val="lv-LV"/>
        </w:rPr>
        <w:t>ai</w:t>
      </w:r>
      <w:r w:rsidRPr="00CD6D0C">
        <w:rPr>
          <w:rFonts w:ascii="Times New Roman" w:hAnsi="Times New Roman"/>
          <w:lang w:val="lv-LV"/>
        </w:rPr>
        <w:t xml:space="preserve"> un uzlabot</w:t>
      </w:r>
      <w:r w:rsidR="00C041CB" w:rsidRPr="00CD6D0C">
        <w:rPr>
          <w:rFonts w:ascii="Times New Roman" w:hAnsi="Times New Roman"/>
          <w:lang w:val="lv-LV"/>
        </w:rPr>
        <w:t>ai</w:t>
      </w:r>
      <w:r w:rsidRPr="00CD6D0C">
        <w:rPr>
          <w:rFonts w:ascii="Times New Roman" w:hAnsi="Times New Roman"/>
          <w:lang w:val="lv-LV"/>
        </w:rPr>
        <w:t xml:space="preserve"> aizsargājamo teritoriju pārvaldība</w:t>
      </w:r>
      <w:r w:rsidR="00C041CB" w:rsidRPr="00CD6D0C">
        <w:rPr>
          <w:rFonts w:ascii="Times New Roman" w:hAnsi="Times New Roman"/>
          <w:lang w:val="lv-LV"/>
        </w:rPr>
        <w:t>i</w:t>
      </w:r>
      <w:r w:rsidRPr="00CD6D0C">
        <w:rPr>
          <w:rFonts w:ascii="Times New Roman" w:hAnsi="Times New Roman"/>
          <w:lang w:val="lv-LV"/>
        </w:rPr>
        <w:t xml:space="preserve"> vajadzētu risināt ar</w:t>
      </w:r>
      <w:r w:rsidR="00C041CB" w:rsidRPr="00CD6D0C">
        <w:rPr>
          <w:rFonts w:ascii="Times New Roman" w:hAnsi="Times New Roman"/>
          <w:lang w:val="lv-LV"/>
        </w:rPr>
        <w:t xml:space="preserve">ī ar attieksmi un </w:t>
      </w:r>
      <w:r w:rsidRPr="00CD6D0C">
        <w:rPr>
          <w:rFonts w:ascii="Times New Roman" w:hAnsi="Times New Roman"/>
          <w:lang w:val="lv-LV"/>
        </w:rPr>
        <w:t xml:space="preserve"> informācijas pieejamību saistītās problēmas.</w:t>
      </w:r>
    </w:p>
    <w:p w:rsidR="00F73204" w:rsidRPr="00CD6D0C" w:rsidRDefault="00451AD5" w:rsidP="00E302F6">
      <w:pPr>
        <w:spacing w:before="120" w:line="240" w:lineRule="auto"/>
        <w:ind w:right="-432"/>
        <w:rPr>
          <w:rFonts w:ascii="Times New Roman" w:hAnsi="Times New Roman"/>
          <w:lang w:val="lv-LV"/>
        </w:rPr>
      </w:pPr>
      <w:r w:rsidRPr="00CD6D0C">
        <w:rPr>
          <w:rFonts w:ascii="Times New Roman" w:hAnsi="Times New Roman"/>
          <w:lang w:val="lv-LV"/>
        </w:rPr>
        <w:t xml:space="preserve">Plānotie pasākumi radīs pozitīvu efektu – tīras vides saglabāšanu Programmas teritorijā, kā arī tiks izstrādāti kopīgi pārvaldības risinājumi. Tiek sagaidīts, ka plānotie pasākumi būtiski uzlabos sadarbības intensitāti Programmas teritorijā un sekmēs </w:t>
      </w:r>
      <w:r w:rsidR="00C041CB" w:rsidRPr="00CD6D0C">
        <w:rPr>
          <w:rFonts w:ascii="Times New Roman" w:hAnsi="Times New Roman"/>
          <w:lang w:val="lv-LV"/>
        </w:rPr>
        <w:t>vides</w:t>
      </w:r>
      <w:r w:rsidRPr="00CD6D0C">
        <w:rPr>
          <w:rFonts w:ascii="Times New Roman" w:hAnsi="Times New Roman"/>
          <w:lang w:val="lv-LV"/>
        </w:rPr>
        <w:t xml:space="preserve"> resursu kopīgu apsaimniekošanu.</w:t>
      </w:r>
    </w:p>
    <w:p w:rsidR="00B9154E" w:rsidRPr="00CD6D0C" w:rsidRDefault="00B9154E" w:rsidP="00E302F6">
      <w:pPr>
        <w:spacing w:before="120" w:line="240" w:lineRule="auto"/>
        <w:ind w:right="-432"/>
        <w:rPr>
          <w:rFonts w:ascii="Times New Roman" w:hAnsi="Times New Roman"/>
          <w:b/>
          <w:u w:val="single"/>
          <w:lang w:val="lv-LV"/>
        </w:rPr>
      </w:pPr>
    </w:p>
    <w:p w:rsidR="004544E0" w:rsidRPr="00CD6D0C" w:rsidRDefault="00451AD5" w:rsidP="00E302F6">
      <w:pPr>
        <w:spacing w:before="120" w:line="240" w:lineRule="auto"/>
        <w:ind w:right="-432"/>
        <w:rPr>
          <w:rFonts w:ascii="Times New Roman" w:hAnsi="Times New Roman"/>
          <w:lang w:val="lv-LV"/>
        </w:rPr>
      </w:pPr>
      <w:r w:rsidRPr="00CD6D0C">
        <w:rPr>
          <w:rFonts w:ascii="Times New Roman" w:hAnsi="Times New Roman"/>
          <w:b/>
          <w:u w:val="single"/>
          <w:lang w:val="lv-LV"/>
        </w:rPr>
        <w:t>Sagaidāmais rezultāts:</w:t>
      </w:r>
      <w:r w:rsidRPr="00CD6D0C">
        <w:rPr>
          <w:rFonts w:ascii="Times New Roman" w:hAnsi="Times New Roman"/>
          <w:b/>
          <w:lang w:val="lv-LV"/>
        </w:rPr>
        <w:t xml:space="preserve"> </w:t>
      </w:r>
      <w:r w:rsidRPr="00CD6D0C">
        <w:rPr>
          <w:rFonts w:ascii="Times New Roman" w:hAnsi="Times New Roman"/>
          <w:lang w:val="lv-LV"/>
        </w:rPr>
        <w:t xml:space="preserve">uzlabota sadarbība starp kopīgā </w:t>
      </w:r>
      <w:r w:rsidR="00C041CB" w:rsidRPr="00CD6D0C">
        <w:rPr>
          <w:rFonts w:ascii="Times New Roman" w:hAnsi="Times New Roman"/>
          <w:lang w:val="lv-LV"/>
        </w:rPr>
        <w:t>vides</w:t>
      </w:r>
      <w:r w:rsidRPr="00CD6D0C">
        <w:rPr>
          <w:rFonts w:ascii="Times New Roman" w:hAnsi="Times New Roman"/>
          <w:lang w:val="lv-LV"/>
        </w:rPr>
        <w:t xml:space="preserve"> resursu apsaimniekošanā iesaistītajām institūcijām. </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1456"/>
        <w:gridCol w:w="1236"/>
        <w:gridCol w:w="1124"/>
        <w:gridCol w:w="1030"/>
        <w:gridCol w:w="1196"/>
        <w:gridCol w:w="1126"/>
        <w:gridCol w:w="1261"/>
      </w:tblGrid>
      <w:tr w:rsidR="004544E0" w:rsidRPr="00CD6D0C" w:rsidTr="00755612">
        <w:trPr>
          <w:trHeight w:val="870"/>
        </w:trPr>
        <w:tc>
          <w:tcPr>
            <w:tcW w:w="408"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CD6D0C">
              <w:rPr>
                <w:rFonts w:ascii="Times New Roman" w:hAnsi="Times New Roman"/>
                <w:b/>
                <w:sz w:val="18"/>
                <w:szCs w:val="18"/>
                <w:lang w:val="lv-LV"/>
              </w:rPr>
              <w:t>ID</w:t>
            </w:r>
          </w:p>
        </w:tc>
        <w:tc>
          <w:tcPr>
            <w:tcW w:w="793" w:type="pct"/>
            <w:tcBorders>
              <w:top w:val="single" w:sz="4" w:space="0" w:color="auto"/>
              <w:left w:val="single" w:sz="4" w:space="0" w:color="auto"/>
              <w:bottom w:val="single" w:sz="4" w:space="0" w:color="auto"/>
              <w:right w:val="single" w:sz="4" w:space="0" w:color="auto"/>
            </w:tcBorders>
            <w:hideMark/>
          </w:tcPr>
          <w:p w:rsidR="004544E0" w:rsidRPr="00755612" w:rsidRDefault="00451AD5"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755612">
              <w:rPr>
                <w:rFonts w:ascii="Times New Roman" w:hAnsi="Times New Roman"/>
                <w:b/>
                <w:sz w:val="20"/>
                <w:szCs w:val="20"/>
                <w:lang w:val="lv-LV" w:bidi="en-US"/>
              </w:rPr>
              <w:t>Rezultatīvais rādītājs</w:t>
            </w:r>
          </w:p>
        </w:tc>
        <w:tc>
          <w:tcPr>
            <w:tcW w:w="695" w:type="pct"/>
            <w:tcBorders>
              <w:top w:val="single" w:sz="4" w:space="0" w:color="auto"/>
              <w:left w:val="single" w:sz="4" w:space="0" w:color="auto"/>
              <w:bottom w:val="single" w:sz="4" w:space="0" w:color="auto"/>
              <w:right w:val="single" w:sz="4" w:space="0" w:color="auto"/>
            </w:tcBorders>
            <w:hideMark/>
          </w:tcPr>
          <w:p w:rsidR="004544E0" w:rsidRPr="00755612" w:rsidRDefault="00451AD5" w:rsidP="00E302F6">
            <w:pPr>
              <w:snapToGrid w:val="0"/>
              <w:spacing w:before="120" w:line="240" w:lineRule="auto"/>
              <w:rPr>
                <w:rFonts w:ascii="Times New Roman" w:hAnsi="Times New Roman"/>
                <w:b/>
                <w:sz w:val="18"/>
                <w:szCs w:val="18"/>
                <w:lang w:val="lv-LV"/>
              </w:rPr>
            </w:pPr>
            <w:r w:rsidRPr="00755612">
              <w:rPr>
                <w:rFonts w:ascii="Times New Roman" w:hAnsi="Times New Roman"/>
                <w:b/>
                <w:sz w:val="18"/>
                <w:szCs w:val="18"/>
                <w:lang w:val="lv-LV"/>
              </w:rPr>
              <w:t>Mērvienība</w:t>
            </w:r>
          </w:p>
        </w:tc>
        <w:tc>
          <w:tcPr>
            <w:tcW w:w="634" w:type="pct"/>
            <w:tcBorders>
              <w:top w:val="single" w:sz="4" w:space="0" w:color="auto"/>
              <w:left w:val="single" w:sz="4" w:space="0" w:color="auto"/>
              <w:bottom w:val="single" w:sz="4" w:space="0" w:color="auto"/>
              <w:right w:val="single" w:sz="4" w:space="0" w:color="auto"/>
            </w:tcBorders>
            <w:hideMark/>
          </w:tcPr>
          <w:p w:rsidR="0095520A" w:rsidRPr="00755612" w:rsidRDefault="00451AD5" w:rsidP="00755612">
            <w:pPr>
              <w:pStyle w:val="Bodytext50"/>
              <w:shd w:val="clear" w:color="auto" w:fill="auto"/>
              <w:spacing w:before="120" w:after="120" w:line="240" w:lineRule="auto"/>
              <w:ind w:firstLine="0"/>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Atsauces</w:t>
            </w:r>
          </w:p>
          <w:p w:rsidR="004544E0" w:rsidRPr="00755612" w:rsidRDefault="00451AD5"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755612">
              <w:rPr>
                <w:rFonts w:ascii="Times New Roman" w:hAnsi="Times New Roman"/>
                <w:b/>
                <w:sz w:val="20"/>
                <w:szCs w:val="20"/>
                <w:lang w:val="lv-LV" w:bidi="en-US"/>
              </w:rPr>
              <w:t>vērtība</w:t>
            </w:r>
          </w:p>
        </w:tc>
        <w:tc>
          <w:tcPr>
            <w:tcW w:w="543" w:type="pct"/>
            <w:tcBorders>
              <w:top w:val="single" w:sz="4" w:space="0" w:color="auto"/>
              <w:left w:val="single" w:sz="4" w:space="0" w:color="auto"/>
              <w:bottom w:val="single" w:sz="4" w:space="0" w:color="auto"/>
              <w:right w:val="single" w:sz="4" w:space="0" w:color="auto"/>
            </w:tcBorders>
            <w:hideMark/>
          </w:tcPr>
          <w:p w:rsidR="0095520A" w:rsidRPr="00755612" w:rsidRDefault="00451AD5" w:rsidP="00E302F6">
            <w:pPr>
              <w:pStyle w:val="Bodytext50"/>
              <w:shd w:val="clear" w:color="auto" w:fill="auto"/>
              <w:spacing w:before="120" w:after="120" w:line="240" w:lineRule="auto"/>
              <w:ind w:left="120" w:hanging="62"/>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Atsauces</w:t>
            </w:r>
          </w:p>
          <w:p w:rsidR="004544E0" w:rsidRPr="00755612" w:rsidRDefault="00451AD5" w:rsidP="00E302F6">
            <w:pPr>
              <w:snapToGrid w:val="0"/>
              <w:spacing w:before="120" w:line="240" w:lineRule="auto"/>
              <w:rPr>
                <w:rFonts w:ascii="Times New Roman" w:hAnsi="Times New Roman"/>
                <w:b/>
                <w:sz w:val="18"/>
                <w:szCs w:val="18"/>
                <w:lang w:val="lv-LV"/>
              </w:rPr>
            </w:pPr>
            <w:r w:rsidRPr="00755612">
              <w:rPr>
                <w:rFonts w:ascii="Times New Roman" w:hAnsi="Times New Roman"/>
                <w:b/>
                <w:sz w:val="20"/>
                <w:szCs w:val="20"/>
                <w:lang w:val="lv-LV" w:bidi="en-US"/>
              </w:rPr>
              <w:t>gads</w:t>
            </w:r>
          </w:p>
        </w:tc>
        <w:tc>
          <w:tcPr>
            <w:tcW w:w="652" w:type="pct"/>
            <w:tcBorders>
              <w:top w:val="single" w:sz="4" w:space="0" w:color="auto"/>
              <w:left w:val="single" w:sz="4" w:space="0" w:color="auto"/>
              <w:bottom w:val="single" w:sz="4" w:space="0" w:color="auto"/>
              <w:right w:val="single" w:sz="4" w:space="0" w:color="auto"/>
            </w:tcBorders>
            <w:hideMark/>
          </w:tcPr>
          <w:p w:rsidR="004544E0" w:rsidRPr="00755612" w:rsidRDefault="00451AD5"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755612">
              <w:rPr>
                <w:rFonts w:ascii="Times New Roman" w:hAnsi="Times New Roman"/>
                <w:b/>
                <w:sz w:val="18"/>
                <w:szCs w:val="18"/>
                <w:lang w:val="lv-LV"/>
              </w:rPr>
              <w:t xml:space="preserve">Mērķvērtība (2023) </w:t>
            </w:r>
          </w:p>
        </w:tc>
        <w:tc>
          <w:tcPr>
            <w:tcW w:w="613" w:type="pct"/>
            <w:tcBorders>
              <w:top w:val="single" w:sz="4" w:space="0" w:color="auto"/>
              <w:left w:val="single" w:sz="4" w:space="0" w:color="auto"/>
              <w:bottom w:val="single" w:sz="4" w:space="0" w:color="auto"/>
              <w:right w:val="single" w:sz="4" w:space="0" w:color="auto"/>
            </w:tcBorders>
            <w:hideMark/>
          </w:tcPr>
          <w:p w:rsidR="004544E0" w:rsidRPr="00755612" w:rsidRDefault="00451AD5"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755612">
              <w:rPr>
                <w:rFonts w:ascii="Times New Roman" w:hAnsi="Times New Roman"/>
                <w:b/>
                <w:sz w:val="18"/>
                <w:szCs w:val="18"/>
                <w:lang w:val="lv-LV"/>
              </w:rPr>
              <w:t>Datu avots</w:t>
            </w:r>
          </w:p>
        </w:tc>
        <w:tc>
          <w:tcPr>
            <w:tcW w:w="662" w:type="pct"/>
            <w:tcBorders>
              <w:top w:val="single" w:sz="4" w:space="0" w:color="auto"/>
              <w:left w:val="single" w:sz="4" w:space="0" w:color="auto"/>
              <w:bottom w:val="single" w:sz="4" w:space="0" w:color="auto"/>
              <w:right w:val="single" w:sz="4" w:space="0" w:color="auto"/>
            </w:tcBorders>
          </w:tcPr>
          <w:p w:rsidR="0095520A" w:rsidRPr="00755612" w:rsidRDefault="00451AD5" w:rsidP="00E302F6">
            <w:pPr>
              <w:pStyle w:val="Bodytext50"/>
              <w:shd w:val="clear" w:color="auto" w:fill="auto"/>
              <w:spacing w:before="120" w:after="120" w:line="240" w:lineRule="auto"/>
              <w:ind w:firstLine="0"/>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Ziņojuma</w:t>
            </w:r>
          </w:p>
          <w:p w:rsidR="0095520A" w:rsidRPr="00755612" w:rsidRDefault="00451AD5" w:rsidP="00E302F6">
            <w:pPr>
              <w:pStyle w:val="Bodytext50"/>
              <w:shd w:val="clear" w:color="auto" w:fill="auto"/>
              <w:spacing w:before="120" w:after="120" w:line="240" w:lineRule="auto"/>
              <w:ind w:firstLine="0"/>
              <w:rPr>
                <w:rFonts w:ascii="Times New Roman" w:hAnsi="Times New Roman" w:cs="Arial Narrow"/>
                <w:b/>
                <w:sz w:val="20"/>
                <w:szCs w:val="20"/>
                <w:lang w:val="lv-LV" w:bidi="en-US"/>
              </w:rPr>
            </w:pPr>
            <w:r w:rsidRPr="00755612">
              <w:rPr>
                <w:rFonts w:ascii="Times New Roman" w:hAnsi="Times New Roman" w:cs="Arial Narrow"/>
                <w:b/>
                <w:sz w:val="20"/>
                <w:szCs w:val="20"/>
                <w:lang w:val="lv-LV" w:bidi="en-US"/>
              </w:rPr>
              <w:t>iesniegšanas</w:t>
            </w:r>
          </w:p>
          <w:p w:rsidR="004544E0" w:rsidRPr="00755612" w:rsidRDefault="00451AD5"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755612">
              <w:rPr>
                <w:rFonts w:ascii="Times New Roman" w:hAnsi="Times New Roman"/>
                <w:b/>
                <w:sz w:val="20"/>
                <w:szCs w:val="20"/>
                <w:lang w:val="lv-LV" w:bidi="en-US"/>
              </w:rPr>
              <w:t>biežums</w:t>
            </w:r>
          </w:p>
        </w:tc>
      </w:tr>
      <w:tr w:rsidR="004544E0" w:rsidRPr="00CD6D0C" w:rsidTr="00755612">
        <w:trPr>
          <w:trHeight w:val="1729"/>
        </w:trPr>
        <w:tc>
          <w:tcPr>
            <w:tcW w:w="408"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pStyle w:val="Text1"/>
              <w:spacing w:before="120" w:line="240" w:lineRule="auto"/>
              <w:ind w:left="0"/>
              <w:jc w:val="left"/>
              <w:rPr>
                <w:sz w:val="18"/>
                <w:szCs w:val="18"/>
                <w:lang w:val="lv-LV"/>
              </w:rPr>
            </w:pPr>
            <w:r w:rsidRPr="00CD6D0C">
              <w:rPr>
                <w:rFonts w:ascii="Verdana" w:hAnsi="Verdana"/>
                <w:sz w:val="16"/>
                <w:szCs w:val="16"/>
              </w:rPr>
              <w:lastRenderedPageBreak/>
              <w:t>1.2.R1</w:t>
            </w:r>
          </w:p>
        </w:tc>
        <w:tc>
          <w:tcPr>
            <w:tcW w:w="793"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pStyle w:val="Text1"/>
              <w:spacing w:before="120" w:line="240" w:lineRule="auto"/>
              <w:ind w:left="0"/>
              <w:jc w:val="left"/>
              <w:rPr>
                <w:sz w:val="18"/>
                <w:szCs w:val="18"/>
                <w:lang w:val="lv-LV"/>
              </w:rPr>
            </w:pPr>
            <w:r w:rsidRPr="00CD6D0C">
              <w:rPr>
                <w:sz w:val="18"/>
                <w:szCs w:val="18"/>
                <w:lang w:val="lv-LV"/>
              </w:rPr>
              <w:t xml:space="preserve">Ar </w:t>
            </w:r>
            <w:r w:rsidR="00C041CB" w:rsidRPr="00CD6D0C">
              <w:rPr>
                <w:sz w:val="18"/>
                <w:szCs w:val="18"/>
                <w:lang w:val="lv-LV"/>
              </w:rPr>
              <w:t>vides</w:t>
            </w:r>
            <w:r w:rsidRPr="00CD6D0C">
              <w:rPr>
                <w:sz w:val="18"/>
                <w:szCs w:val="18"/>
                <w:lang w:val="lv-LV"/>
              </w:rPr>
              <w:t xml:space="preserve"> resursu kopīgu apsaimniekošanu saistītās darbības</w:t>
            </w:r>
          </w:p>
        </w:tc>
        <w:tc>
          <w:tcPr>
            <w:tcW w:w="695"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snapToGrid w:val="0"/>
              <w:spacing w:before="120" w:line="240" w:lineRule="auto"/>
              <w:rPr>
                <w:rFonts w:ascii="Times New Roman" w:hAnsi="Times New Roman"/>
                <w:sz w:val="18"/>
                <w:szCs w:val="18"/>
                <w:lang w:val="lv-LV"/>
              </w:rPr>
            </w:pPr>
            <w:r w:rsidRPr="00CD6D0C">
              <w:rPr>
                <w:rFonts w:ascii="Times New Roman" w:hAnsi="Times New Roman"/>
                <w:sz w:val="18"/>
                <w:szCs w:val="18"/>
                <w:lang w:val="lv-LV"/>
              </w:rPr>
              <w:t>Vienības</w:t>
            </w:r>
          </w:p>
        </w:tc>
        <w:tc>
          <w:tcPr>
            <w:tcW w:w="634"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pStyle w:val="ListBullet"/>
              <w:numPr>
                <w:ilvl w:val="0"/>
                <w:numId w:val="0"/>
              </w:numPr>
              <w:tabs>
                <w:tab w:val="left" w:pos="720"/>
              </w:tabs>
              <w:spacing w:before="120" w:line="240" w:lineRule="auto"/>
              <w:jc w:val="right"/>
              <w:rPr>
                <w:rFonts w:ascii="Times New Roman" w:hAnsi="Times New Roman"/>
                <w:sz w:val="18"/>
                <w:szCs w:val="18"/>
                <w:lang w:val="lv-LV"/>
              </w:rPr>
            </w:pPr>
            <w:r w:rsidRPr="00CD6D0C">
              <w:rPr>
                <w:rFonts w:ascii="Times New Roman" w:hAnsi="Times New Roman"/>
                <w:sz w:val="18"/>
                <w:szCs w:val="18"/>
                <w:lang w:val="lv-LV"/>
              </w:rPr>
              <w:t>22</w:t>
            </w:r>
          </w:p>
        </w:tc>
        <w:tc>
          <w:tcPr>
            <w:tcW w:w="543"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snapToGrid w:val="0"/>
              <w:spacing w:before="120" w:line="240" w:lineRule="auto"/>
              <w:rPr>
                <w:rFonts w:ascii="Times New Roman" w:hAnsi="Times New Roman"/>
                <w:sz w:val="18"/>
                <w:szCs w:val="18"/>
                <w:lang w:val="lv-LV"/>
              </w:rPr>
            </w:pPr>
            <w:r w:rsidRPr="00CD6D0C">
              <w:rPr>
                <w:rFonts w:ascii="Times New Roman" w:hAnsi="Times New Roman"/>
                <w:sz w:val="18"/>
                <w:szCs w:val="18"/>
                <w:lang w:val="lv-LV"/>
              </w:rPr>
              <w:t>2013</w:t>
            </w:r>
          </w:p>
        </w:tc>
        <w:tc>
          <w:tcPr>
            <w:tcW w:w="652"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pStyle w:val="ListBullet"/>
              <w:numPr>
                <w:ilvl w:val="0"/>
                <w:numId w:val="0"/>
              </w:numPr>
              <w:tabs>
                <w:tab w:val="left" w:pos="720"/>
              </w:tabs>
              <w:spacing w:before="120" w:line="240" w:lineRule="auto"/>
              <w:rPr>
                <w:rFonts w:ascii="Times New Roman" w:hAnsi="Times New Roman"/>
                <w:sz w:val="18"/>
                <w:szCs w:val="18"/>
                <w:lang w:val="lv-LV"/>
              </w:rPr>
            </w:pPr>
            <w:r w:rsidRPr="00CD6D0C">
              <w:rPr>
                <w:rFonts w:ascii="Times New Roman" w:hAnsi="Times New Roman"/>
                <w:sz w:val="18"/>
                <w:szCs w:val="18"/>
                <w:lang w:val="lv-LV"/>
              </w:rPr>
              <w:t>27</w:t>
            </w:r>
          </w:p>
        </w:tc>
        <w:tc>
          <w:tcPr>
            <w:tcW w:w="613" w:type="pct"/>
            <w:tcBorders>
              <w:top w:val="single" w:sz="4" w:space="0" w:color="auto"/>
              <w:left w:val="single" w:sz="4" w:space="0" w:color="auto"/>
              <w:bottom w:val="single" w:sz="4" w:space="0" w:color="auto"/>
              <w:right w:val="single" w:sz="4" w:space="0" w:color="auto"/>
            </w:tcBorders>
          </w:tcPr>
          <w:p w:rsidR="004544E0" w:rsidRPr="00CD6D0C" w:rsidRDefault="00451AD5" w:rsidP="00E302F6">
            <w:pPr>
              <w:pStyle w:val="ListBullet"/>
              <w:numPr>
                <w:ilvl w:val="0"/>
                <w:numId w:val="0"/>
              </w:numPr>
              <w:tabs>
                <w:tab w:val="left" w:pos="720"/>
              </w:tabs>
              <w:spacing w:before="120" w:line="240" w:lineRule="auto"/>
              <w:rPr>
                <w:rFonts w:ascii="Times New Roman" w:hAnsi="Times New Roman"/>
                <w:sz w:val="18"/>
                <w:szCs w:val="18"/>
                <w:lang w:val="lv-LV"/>
              </w:rPr>
            </w:pPr>
            <w:r w:rsidRPr="00CD6D0C">
              <w:rPr>
                <w:rFonts w:ascii="Times New Roman" w:hAnsi="Times New Roman"/>
                <w:sz w:val="18"/>
                <w:szCs w:val="18"/>
                <w:lang w:val="lv-LV"/>
              </w:rPr>
              <w:t>Programma</w:t>
            </w:r>
            <w:r w:rsidR="00EA79A6">
              <w:rPr>
                <w:rFonts w:ascii="Times New Roman" w:hAnsi="Times New Roman"/>
                <w:sz w:val="18"/>
                <w:szCs w:val="18"/>
                <w:lang w:val="lv-LV"/>
              </w:rPr>
              <w:t>s uzraudzības sistēma</w:t>
            </w:r>
            <w:r w:rsidRPr="00CD6D0C">
              <w:rPr>
                <w:rFonts w:ascii="Times New Roman" w:hAnsi="Times New Roman"/>
                <w:sz w:val="18"/>
                <w:szCs w:val="18"/>
                <w:lang w:val="lv-LV"/>
              </w:rPr>
              <w:t xml:space="preserve"> </w:t>
            </w:r>
          </w:p>
        </w:tc>
        <w:tc>
          <w:tcPr>
            <w:tcW w:w="662" w:type="pct"/>
            <w:tcBorders>
              <w:top w:val="single" w:sz="4" w:space="0" w:color="auto"/>
              <w:left w:val="single" w:sz="4" w:space="0" w:color="auto"/>
              <w:bottom w:val="single" w:sz="4" w:space="0" w:color="auto"/>
              <w:right w:val="single" w:sz="4" w:space="0" w:color="auto"/>
            </w:tcBorders>
          </w:tcPr>
          <w:p w:rsidR="004544E0" w:rsidRPr="00CD6D0C" w:rsidRDefault="00EA79A6"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Vienreiz, </w:t>
            </w:r>
            <w:r w:rsidR="00451AD5" w:rsidRPr="00CD6D0C">
              <w:rPr>
                <w:rFonts w:ascii="Times New Roman" w:hAnsi="Times New Roman"/>
                <w:sz w:val="18"/>
                <w:szCs w:val="18"/>
                <w:lang w:val="lv-LV"/>
              </w:rPr>
              <w:t>2023</w:t>
            </w:r>
            <w:r>
              <w:rPr>
                <w:rFonts w:ascii="Times New Roman" w:hAnsi="Times New Roman"/>
                <w:sz w:val="18"/>
                <w:szCs w:val="18"/>
                <w:lang w:val="lv-LV"/>
              </w:rPr>
              <w:t>.gadā</w:t>
            </w:r>
          </w:p>
        </w:tc>
      </w:tr>
    </w:tbl>
    <w:p w:rsidR="004544E0" w:rsidRPr="00CD6D0C" w:rsidRDefault="004544E0" w:rsidP="00E302F6">
      <w:pPr>
        <w:spacing w:before="120" w:line="240" w:lineRule="auto"/>
        <w:rPr>
          <w:rFonts w:ascii="Times New Roman" w:hAnsi="Times New Roman"/>
          <w:b/>
          <w:lang w:val="lv-LV"/>
        </w:rPr>
      </w:pPr>
      <w:bookmarkStart w:id="16" w:name="_Toc372107598"/>
    </w:p>
    <w:p w:rsidR="00543A74" w:rsidRPr="00CD6D0C" w:rsidRDefault="00451AD5" w:rsidP="00E302F6">
      <w:pPr>
        <w:spacing w:before="120" w:line="240" w:lineRule="auto"/>
        <w:rPr>
          <w:rFonts w:ascii="Times New Roman" w:hAnsi="Times New Roman"/>
          <w:b/>
          <w:u w:val="single"/>
          <w:lang w:val="lv-LV"/>
        </w:rPr>
      </w:pPr>
      <w:r w:rsidRPr="00CD6D0C">
        <w:rPr>
          <w:rFonts w:ascii="Times New Roman" w:hAnsi="Times New Roman"/>
          <w:b/>
          <w:u w:val="single"/>
          <w:lang w:val="lv-LV"/>
        </w:rPr>
        <w:t>Indikatīvs atbalstāmo darbību saraksts</w:t>
      </w:r>
    </w:p>
    <w:p w:rsidR="004544E0" w:rsidRPr="00CD6D0C" w:rsidRDefault="00451AD5" w:rsidP="00E302F6">
      <w:pPr>
        <w:pStyle w:val="ListParagraph"/>
        <w:numPr>
          <w:ilvl w:val="0"/>
          <w:numId w:val="8"/>
        </w:numPr>
        <w:spacing w:before="120" w:line="240" w:lineRule="auto"/>
        <w:rPr>
          <w:rFonts w:ascii="Times New Roman" w:hAnsi="Times New Roman"/>
          <w:lang w:val="lv-LV"/>
        </w:rPr>
      </w:pPr>
      <w:r w:rsidRPr="00CD6D0C">
        <w:rPr>
          <w:rFonts w:ascii="Times New Roman" w:hAnsi="Times New Roman"/>
          <w:lang w:val="lv-LV"/>
        </w:rPr>
        <w:t xml:space="preserve">ar vides risku (plūdi, ugunsgrēki, piesārņojums u.c.) pārvaldību saistītās </w:t>
      </w:r>
      <w:r w:rsidR="00C041CB" w:rsidRPr="00CD6D0C">
        <w:rPr>
          <w:rFonts w:ascii="Times New Roman" w:hAnsi="Times New Roman"/>
          <w:lang w:val="lv-LV"/>
        </w:rPr>
        <w:t xml:space="preserve">kopīgās </w:t>
      </w:r>
      <w:r w:rsidRPr="00CD6D0C">
        <w:rPr>
          <w:rFonts w:ascii="Times New Roman" w:hAnsi="Times New Roman"/>
          <w:lang w:val="lv-LV"/>
        </w:rPr>
        <w:t>darbības, infrastruktūra un aprīkojums;</w:t>
      </w:r>
    </w:p>
    <w:p w:rsidR="004544E0" w:rsidRPr="00CD6D0C" w:rsidRDefault="00451AD5" w:rsidP="00E302F6">
      <w:pPr>
        <w:pStyle w:val="ListParagraph"/>
        <w:numPr>
          <w:ilvl w:val="0"/>
          <w:numId w:val="8"/>
        </w:numPr>
        <w:spacing w:before="120" w:line="240" w:lineRule="auto"/>
        <w:rPr>
          <w:rFonts w:ascii="Times New Roman" w:hAnsi="Times New Roman"/>
          <w:lang w:val="lv-LV"/>
        </w:rPr>
      </w:pPr>
      <w:r w:rsidRPr="00CD6D0C">
        <w:rPr>
          <w:rFonts w:ascii="Times New Roman" w:hAnsi="Times New Roman"/>
          <w:lang w:val="lv-LV"/>
        </w:rPr>
        <w:t xml:space="preserve">ar </w:t>
      </w:r>
      <w:r w:rsidR="00C041CB" w:rsidRPr="00CD6D0C">
        <w:rPr>
          <w:rFonts w:ascii="Times New Roman" w:hAnsi="Times New Roman"/>
          <w:lang w:val="lv-LV"/>
        </w:rPr>
        <w:t>kopīgu vides</w:t>
      </w:r>
      <w:r w:rsidRPr="00CD6D0C">
        <w:rPr>
          <w:rFonts w:ascii="Times New Roman" w:hAnsi="Times New Roman"/>
          <w:lang w:val="lv-LV"/>
        </w:rPr>
        <w:t xml:space="preserve"> resursu (upes baseinu, aizsargājamo teritoriju, ezeru u.c.) apsaimniekošanu saistītās darbības, kā arī infrastruktūras un aprīkojuma uzlabošana;</w:t>
      </w:r>
    </w:p>
    <w:p w:rsidR="004544E0" w:rsidRPr="00CD6D0C" w:rsidRDefault="00451AD5" w:rsidP="00E302F6">
      <w:pPr>
        <w:pStyle w:val="ListParagraph"/>
        <w:numPr>
          <w:ilvl w:val="0"/>
          <w:numId w:val="8"/>
        </w:numPr>
        <w:spacing w:before="120" w:line="240" w:lineRule="auto"/>
        <w:rPr>
          <w:rFonts w:ascii="Times New Roman" w:hAnsi="Times New Roman"/>
          <w:lang w:val="lv-LV"/>
        </w:rPr>
      </w:pPr>
      <w:r w:rsidRPr="00CD6D0C">
        <w:rPr>
          <w:rFonts w:ascii="Times New Roman" w:hAnsi="Times New Roman"/>
          <w:lang w:val="lv-LV"/>
        </w:rPr>
        <w:t>sabiedrības izglītošana un izpratnes radīšana saistībā ar dabas aizsardzības ietekmi;</w:t>
      </w:r>
    </w:p>
    <w:p w:rsidR="004544E0" w:rsidRPr="00CD6D0C" w:rsidRDefault="00451AD5" w:rsidP="00E302F6">
      <w:pPr>
        <w:pStyle w:val="ListParagraph"/>
        <w:numPr>
          <w:ilvl w:val="0"/>
          <w:numId w:val="8"/>
        </w:numPr>
        <w:spacing w:before="120" w:line="240" w:lineRule="auto"/>
        <w:rPr>
          <w:rFonts w:ascii="Times New Roman" w:hAnsi="Times New Roman"/>
          <w:lang w:val="lv-LV"/>
        </w:rPr>
      </w:pPr>
      <w:r w:rsidRPr="00CD6D0C">
        <w:rPr>
          <w:rFonts w:ascii="Times New Roman" w:hAnsi="Times New Roman"/>
          <w:lang w:val="lv-LV"/>
        </w:rPr>
        <w:t xml:space="preserve">pieredzes apmaiņa, apmācības un semināri saistībā ar </w:t>
      </w:r>
      <w:r w:rsidR="00C041CB" w:rsidRPr="00CD6D0C">
        <w:rPr>
          <w:rFonts w:ascii="Times New Roman" w:hAnsi="Times New Roman"/>
          <w:lang w:val="lv-LV"/>
        </w:rPr>
        <w:t>vides</w:t>
      </w:r>
      <w:r w:rsidRPr="00CD6D0C">
        <w:rPr>
          <w:rFonts w:ascii="Times New Roman" w:hAnsi="Times New Roman"/>
          <w:lang w:val="lv-LV"/>
        </w:rPr>
        <w:t xml:space="preserve"> resursu apsaimniekošanu un aizsardzību.</w:t>
      </w:r>
    </w:p>
    <w:bookmarkEnd w:id="16"/>
    <w:p w:rsidR="00F73204" w:rsidRPr="00CD6D0C" w:rsidRDefault="00F73204" w:rsidP="00E302F6">
      <w:pPr>
        <w:spacing w:before="120" w:line="240" w:lineRule="auto"/>
        <w:rPr>
          <w:b/>
          <w:sz w:val="20"/>
          <w:szCs w:val="20"/>
          <w:u w:val="single"/>
          <w:lang w:val="lv-LV"/>
        </w:rPr>
      </w:pPr>
    </w:p>
    <w:p w:rsidR="004544E0" w:rsidRPr="00CD6D0C" w:rsidRDefault="00451AD5" w:rsidP="00E302F6">
      <w:pPr>
        <w:spacing w:before="120" w:line="240" w:lineRule="auto"/>
        <w:rPr>
          <w:rFonts w:ascii="Times New Roman" w:hAnsi="Times New Roman"/>
          <w:b/>
          <w:u w:val="single"/>
          <w:lang w:val="lv-LV"/>
        </w:rPr>
      </w:pPr>
      <w:r w:rsidRPr="00CD6D0C">
        <w:rPr>
          <w:rFonts w:ascii="Times New Roman" w:hAnsi="Times New Roman"/>
          <w:b/>
          <w:u w:val="single"/>
          <w:lang w:val="lv-LV"/>
        </w:rPr>
        <w:t>Iznākumu 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5"/>
        <w:gridCol w:w="2768"/>
        <w:gridCol w:w="1807"/>
        <w:gridCol w:w="1552"/>
        <w:gridCol w:w="1964"/>
      </w:tblGrid>
      <w:tr w:rsidR="004544E0" w:rsidRPr="00CD6D0C" w:rsidTr="00EA79A6">
        <w:trPr>
          <w:trHeight w:val="706"/>
          <w:jc w:val="center"/>
        </w:trPr>
        <w:tc>
          <w:tcPr>
            <w:tcW w:w="431" w:type="pct"/>
          </w:tcPr>
          <w:p w:rsidR="004544E0" w:rsidRPr="00CD6D0C" w:rsidRDefault="00451AD5"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CD6D0C">
              <w:rPr>
                <w:rFonts w:ascii="Times New Roman" w:hAnsi="Times New Roman"/>
                <w:b/>
                <w:sz w:val="18"/>
                <w:szCs w:val="18"/>
                <w:lang w:val="lv-LV"/>
              </w:rPr>
              <w:t>ID</w:t>
            </w:r>
          </w:p>
        </w:tc>
        <w:tc>
          <w:tcPr>
            <w:tcW w:w="1563" w:type="pct"/>
            <w:shd w:val="clear" w:color="auto" w:fill="auto"/>
          </w:tcPr>
          <w:p w:rsidR="004544E0" w:rsidRPr="00CD6D0C" w:rsidRDefault="00451AD5"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CD6D0C">
              <w:rPr>
                <w:rFonts w:ascii="Times New Roman" w:hAnsi="Times New Roman"/>
                <w:sz w:val="20"/>
                <w:szCs w:val="20"/>
                <w:lang w:val="lv-LV" w:bidi="en-US"/>
              </w:rPr>
              <w:t>Rezultatīvais rādītājs</w:t>
            </w:r>
          </w:p>
        </w:tc>
        <w:tc>
          <w:tcPr>
            <w:tcW w:w="1020" w:type="pct"/>
            <w:shd w:val="clear" w:color="auto" w:fill="auto"/>
          </w:tcPr>
          <w:p w:rsidR="004544E0" w:rsidRPr="00CD6D0C" w:rsidRDefault="00432940" w:rsidP="00E302F6">
            <w:pPr>
              <w:pStyle w:val="ListDash"/>
              <w:numPr>
                <w:ilvl w:val="0"/>
                <w:numId w:val="0"/>
              </w:numPr>
              <w:spacing w:before="120" w:line="240" w:lineRule="auto"/>
              <w:jc w:val="left"/>
              <w:rPr>
                <w:rFonts w:ascii="Times New Roman" w:hAnsi="Times New Roman"/>
                <w:b/>
                <w:sz w:val="18"/>
                <w:szCs w:val="18"/>
                <w:lang w:val="lv-LV"/>
              </w:rPr>
            </w:pPr>
            <w:r>
              <w:rPr>
                <w:rFonts w:ascii="Times New Roman" w:hAnsi="Times New Roman"/>
                <w:b/>
                <w:sz w:val="18"/>
                <w:szCs w:val="18"/>
                <w:lang w:val="lv-LV"/>
              </w:rPr>
              <w:t>Mērvienība</w:t>
            </w:r>
          </w:p>
        </w:tc>
        <w:tc>
          <w:tcPr>
            <w:tcW w:w="876" w:type="pct"/>
            <w:shd w:val="clear" w:color="auto" w:fill="auto"/>
          </w:tcPr>
          <w:p w:rsidR="004544E0" w:rsidRPr="00CD6D0C" w:rsidRDefault="00432940" w:rsidP="00E302F6">
            <w:pPr>
              <w:pStyle w:val="ListDash"/>
              <w:numPr>
                <w:ilvl w:val="0"/>
                <w:numId w:val="0"/>
              </w:numPr>
              <w:spacing w:before="120" w:line="240" w:lineRule="auto"/>
              <w:jc w:val="left"/>
              <w:rPr>
                <w:rFonts w:ascii="Times New Roman" w:hAnsi="Times New Roman"/>
                <w:b/>
                <w:sz w:val="18"/>
                <w:szCs w:val="18"/>
                <w:lang w:val="lv-LV"/>
              </w:rPr>
            </w:pPr>
            <w:r>
              <w:rPr>
                <w:rFonts w:ascii="Times New Roman" w:hAnsi="Times New Roman"/>
                <w:b/>
                <w:sz w:val="18"/>
                <w:szCs w:val="18"/>
                <w:lang w:val="lv-LV"/>
              </w:rPr>
              <w:t>Mērķvērtība (2023)</w:t>
            </w:r>
          </w:p>
        </w:tc>
        <w:tc>
          <w:tcPr>
            <w:tcW w:w="1109" w:type="pct"/>
            <w:shd w:val="clear" w:color="auto" w:fill="auto"/>
          </w:tcPr>
          <w:p w:rsidR="004544E0" w:rsidRPr="00CD6D0C" w:rsidRDefault="00432940" w:rsidP="00E302F6">
            <w:pPr>
              <w:pStyle w:val="ListDash"/>
              <w:numPr>
                <w:ilvl w:val="0"/>
                <w:numId w:val="0"/>
              </w:numPr>
              <w:spacing w:before="120" w:line="240" w:lineRule="auto"/>
              <w:jc w:val="left"/>
              <w:rPr>
                <w:rFonts w:ascii="Times New Roman" w:hAnsi="Times New Roman"/>
                <w:b/>
                <w:sz w:val="18"/>
                <w:szCs w:val="18"/>
                <w:lang w:val="lv-LV"/>
              </w:rPr>
            </w:pPr>
            <w:r>
              <w:rPr>
                <w:rFonts w:ascii="Times New Roman" w:hAnsi="Times New Roman"/>
                <w:b/>
                <w:sz w:val="18"/>
                <w:szCs w:val="18"/>
                <w:lang w:val="lv-LV"/>
              </w:rPr>
              <w:t>Datu avots</w:t>
            </w:r>
          </w:p>
        </w:tc>
      </w:tr>
      <w:tr w:rsidR="00AE45B9" w:rsidRPr="00CD6D0C" w:rsidTr="00EA79A6">
        <w:trPr>
          <w:trHeight w:val="683"/>
          <w:jc w:val="center"/>
        </w:trPr>
        <w:tc>
          <w:tcPr>
            <w:tcW w:w="431" w:type="pct"/>
          </w:tcPr>
          <w:p w:rsidR="00AE45B9" w:rsidRPr="00CD6D0C" w:rsidRDefault="00451AD5" w:rsidP="00E302F6">
            <w:pPr>
              <w:pStyle w:val="ListDash"/>
              <w:numPr>
                <w:ilvl w:val="0"/>
                <w:numId w:val="0"/>
              </w:numPr>
              <w:spacing w:before="120" w:line="240" w:lineRule="auto"/>
              <w:rPr>
                <w:rFonts w:ascii="Times New Roman" w:hAnsi="Times New Roman"/>
                <w:sz w:val="18"/>
                <w:szCs w:val="18"/>
                <w:lang w:val="lv-LV"/>
              </w:rPr>
            </w:pPr>
            <w:r w:rsidRPr="00CD6D0C">
              <w:rPr>
                <w:sz w:val="16"/>
                <w:szCs w:val="16"/>
              </w:rPr>
              <w:t>1.2.O1</w:t>
            </w:r>
          </w:p>
        </w:tc>
        <w:tc>
          <w:tcPr>
            <w:tcW w:w="1563" w:type="pct"/>
            <w:shd w:val="clear" w:color="auto" w:fill="auto"/>
          </w:tcPr>
          <w:p w:rsidR="00AE45B9" w:rsidRPr="00CD6D0C" w:rsidRDefault="00451AD5" w:rsidP="00E302F6">
            <w:pPr>
              <w:pStyle w:val="ListDash"/>
              <w:numPr>
                <w:ilvl w:val="0"/>
                <w:numId w:val="0"/>
              </w:numPr>
              <w:spacing w:before="120" w:line="240" w:lineRule="auto"/>
              <w:jc w:val="left"/>
              <w:rPr>
                <w:rFonts w:ascii="Times New Roman" w:hAnsi="Times New Roman"/>
                <w:sz w:val="18"/>
                <w:szCs w:val="18"/>
                <w:lang w:val="lv-LV"/>
              </w:rPr>
            </w:pPr>
            <w:r w:rsidRPr="00CD6D0C">
              <w:rPr>
                <w:rFonts w:ascii="Times New Roman" w:hAnsi="Times New Roman"/>
                <w:sz w:val="18"/>
                <w:szCs w:val="18"/>
                <w:lang w:val="lv-LV"/>
              </w:rPr>
              <w:t xml:space="preserve">Institūcijas, kas </w:t>
            </w:r>
            <w:r w:rsidR="00C041CB" w:rsidRPr="00CD6D0C">
              <w:rPr>
                <w:rFonts w:ascii="Times New Roman" w:hAnsi="Times New Roman"/>
                <w:sz w:val="18"/>
                <w:szCs w:val="18"/>
                <w:lang w:val="lv-LV"/>
              </w:rPr>
              <w:t xml:space="preserve">vides resursu apsaimniekošanai izmanto </w:t>
            </w:r>
            <w:r w:rsidRPr="00CD6D0C">
              <w:rPr>
                <w:rFonts w:ascii="Times New Roman" w:hAnsi="Times New Roman"/>
                <w:sz w:val="18"/>
                <w:szCs w:val="18"/>
                <w:lang w:val="lv-LV"/>
              </w:rPr>
              <w:t xml:space="preserve"> kopīgus ilgtspējīgus risinājumus </w:t>
            </w:r>
          </w:p>
        </w:tc>
        <w:tc>
          <w:tcPr>
            <w:tcW w:w="1020" w:type="pct"/>
            <w:shd w:val="clear" w:color="auto" w:fill="auto"/>
          </w:tcPr>
          <w:p w:rsidR="00AE45B9" w:rsidRPr="00CD6D0C" w:rsidRDefault="00451AD5" w:rsidP="00E302F6">
            <w:pPr>
              <w:pStyle w:val="ListDash"/>
              <w:numPr>
                <w:ilvl w:val="0"/>
                <w:numId w:val="0"/>
              </w:numPr>
              <w:spacing w:before="120" w:line="240" w:lineRule="auto"/>
              <w:jc w:val="left"/>
              <w:rPr>
                <w:rFonts w:ascii="Times New Roman" w:hAnsi="Times New Roman"/>
                <w:sz w:val="18"/>
                <w:szCs w:val="18"/>
                <w:lang w:val="lv-LV"/>
              </w:rPr>
            </w:pPr>
            <w:r w:rsidRPr="00CD6D0C">
              <w:rPr>
                <w:rFonts w:ascii="Times New Roman" w:hAnsi="Times New Roman"/>
                <w:sz w:val="18"/>
                <w:szCs w:val="18"/>
                <w:lang w:val="lv-LV"/>
              </w:rPr>
              <w:t>Vienības</w:t>
            </w:r>
          </w:p>
          <w:p w:rsidR="00AE45B9" w:rsidRPr="00CD6D0C" w:rsidRDefault="00AE45B9" w:rsidP="00E302F6">
            <w:pPr>
              <w:pStyle w:val="ListDash"/>
              <w:spacing w:before="120" w:line="240" w:lineRule="auto"/>
              <w:ind w:left="0"/>
              <w:jc w:val="left"/>
              <w:rPr>
                <w:rFonts w:ascii="Times New Roman" w:hAnsi="Times New Roman"/>
                <w:sz w:val="18"/>
                <w:szCs w:val="18"/>
                <w:lang w:val="lv-LV"/>
              </w:rPr>
            </w:pPr>
          </w:p>
        </w:tc>
        <w:tc>
          <w:tcPr>
            <w:tcW w:w="876" w:type="pct"/>
            <w:shd w:val="clear" w:color="auto" w:fill="auto"/>
          </w:tcPr>
          <w:p w:rsidR="00AE45B9" w:rsidRPr="00CD6D0C" w:rsidRDefault="00432940" w:rsidP="00E302F6">
            <w:pPr>
              <w:pStyle w:val="ListDash"/>
              <w:numPr>
                <w:ilvl w:val="0"/>
                <w:numId w:val="0"/>
              </w:numPr>
              <w:spacing w:before="120" w:line="240" w:lineRule="auto"/>
              <w:jc w:val="left"/>
              <w:rPr>
                <w:rFonts w:ascii="Times New Roman" w:hAnsi="Times New Roman"/>
                <w:sz w:val="18"/>
                <w:szCs w:val="18"/>
                <w:lang w:val="lv-LV"/>
              </w:rPr>
            </w:pPr>
            <w:r>
              <w:rPr>
                <w:rFonts w:ascii="Times New Roman" w:hAnsi="Times New Roman"/>
                <w:sz w:val="18"/>
                <w:szCs w:val="18"/>
                <w:lang w:val="lv-LV"/>
              </w:rPr>
              <w:t>17</w:t>
            </w:r>
          </w:p>
        </w:tc>
        <w:tc>
          <w:tcPr>
            <w:tcW w:w="1109" w:type="pct"/>
            <w:shd w:val="clear" w:color="auto" w:fill="auto"/>
          </w:tcPr>
          <w:p w:rsidR="00AE45B9" w:rsidRPr="00CD6D0C" w:rsidRDefault="00432940" w:rsidP="00E302F6">
            <w:pPr>
              <w:pStyle w:val="ListDash"/>
              <w:numPr>
                <w:ilvl w:val="0"/>
                <w:numId w:val="0"/>
              </w:numPr>
              <w:spacing w:before="120" w:line="240" w:lineRule="auto"/>
              <w:jc w:val="left"/>
              <w:rPr>
                <w:rFonts w:ascii="Times New Roman" w:hAnsi="Times New Roman"/>
                <w:sz w:val="18"/>
                <w:szCs w:val="18"/>
                <w:lang w:val="lv-LV"/>
              </w:rPr>
            </w:pPr>
            <w:r>
              <w:rPr>
                <w:rFonts w:ascii="Times New Roman" w:hAnsi="Times New Roman"/>
                <w:sz w:val="18"/>
                <w:szCs w:val="18"/>
                <w:lang w:val="lv-LV"/>
              </w:rPr>
              <w:t>Progresa ziņojumi</w:t>
            </w:r>
          </w:p>
        </w:tc>
      </w:tr>
    </w:tbl>
    <w:p w:rsidR="00EA79A6" w:rsidRDefault="00EA79A6" w:rsidP="00E302F6">
      <w:pPr>
        <w:spacing w:before="120" w:line="240" w:lineRule="auto"/>
        <w:rPr>
          <w:lang w:val="lv-LV"/>
        </w:rPr>
      </w:pPr>
    </w:p>
    <w:p w:rsidR="00EA79A6" w:rsidRPr="00CD6D0C" w:rsidRDefault="00EA79A6" w:rsidP="00E302F6">
      <w:pPr>
        <w:spacing w:before="120" w:line="240" w:lineRule="auto"/>
        <w:rPr>
          <w:rFonts w:ascii="Times New Roman" w:hAnsi="Times New Roman"/>
          <w:b/>
          <w:u w:val="single"/>
          <w:lang w:val="lv-LV"/>
        </w:rPr>
      </w:pPr>
      <w:r w:rsidRPr="00CD6D0C">
        <w:rPr>
          <w:rFonts w:ascii="Times New Roman" w:hAnsi="Times New Roman"/>
          <w:b/>
          <w:u w:val="single"/>
          <w:lang w:val="lv-LV"/>
        </w:rPr>
        <w:t>Darbību atlases pamatprincipi</w:t>
      </w:r>
    </w:p>
    <w:p w:rsidR="00D21DDB" w:rsidRPr="00CD6D0C" w:rsidRDefault="00EA79A6" w:rsidP="00D66FB7">
      <w:pPr>
        <w:pStyle w:val="Heading2"/>
      </w:pPr>
      <w:r>
        <w:rPr>
          <w:lang w:val="lv-LV"/>
        </w:rPr>
        <w:t>Projektu atlases</w:t>
      </w:r>
      <w:r w:rsidRPr="00B66B1A">
        <w:rPr>
          <w:lang w:val="lv-LV"/>
        </w:rPr>
        <w:t xml:space="preserve"> princip</w:t>
      </w:r>
      <w:r>
        <w:rPr>
          <w:lang w:val="lv-LV"/>
        </w:rPr>
        <w:t>u d</w:t>
      </w:r>
      <w:r w:rsidRPr="00B66B1A">
        <w:rPr>
          <w:lang w:val="lv-LV"/>
        </w:rPr>
        <w:t>etalizēta kārtība noteikta 5.3. punktā</w:t>
      </w:r>
    </w:p>
    <w:p w:rsidR="00D21DDB" w:rsidRPr="00CD6D0C" w:rsidRDefault="00D21DDB" w:rsidP="00E302F6">
      <w:pPr>
        <w:spacing w:before="120" w:line="240" w:lineRule="auto"/>
        <w:rPr>
          <w:lang w:val="lv-LV" w:eastAsia="fr-BE"/>
        </w:rPr>
      </w:pPr>
      <w:r w:rsidRPr="00CD6D0C">
        <w:rPr>
          <w:lang w:val="lv-LV"/>
        </w:rPr>
        <w:br w:type="page"/>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141"/>
      </w:tblGrid>
      <w:tr w:rsidR="004544E0" w:rsidRPr="00CD6D0C" w:rsidTr="00FE1A59">
        <w:trPr>
          <w:trHeight w:val="1246"/>
        </w:trPr>
        <w:tc>
          <w:tcPr>
            <w:tcW w:w="5000" w:type="pct"/>
            <w:shd w:val="clear" w:color="auto" w:fill="EAF1DD"/>
          </w:tcPr>
          <w:p w:rsidR="004544E0" w:rsidRPr="00CD6D0C" w:rsidRDefault="002215EC" w:rsidP="00E302F6">
            <w:pPr>
              <w:pStyle w:val="Text1"/>
              <w:tabs>
                <w:tab w:val="left" w:pos="2302"/>
              </w:tabs>
              <w:spacing w:before="120" w:line="240" w:lineRule="auto"/>
              <w:ind w:left="0" w:right="-432"/>
              <w:rPr>
                <w:szCs w:val="24"/>
                <w:lang w:val="lv-LV"/>
              </w:rPr>
            </w:pPr>
            <w:r w:rsidRPr="00CD6D0C">
              <w:rPr>
                <w:szCs w:val="24"/>
                <w:lang w:val="lv-LV"/>
              </w:rPr>
              <w:lastRenderedPageBreak/>
              <w:t>3. investīciju prioritāte:</w:t>
            </w:r>
          </w:p>
          <w:p w:rsidR="005D735D" w:rsidRPr="00CD6D0C" w:rsidRDefault="00BE21FA" w:rsidP="00755612">
            <w:pPr>
              <w:spacing w:before="120" w:line="240" w:lineRule="auto"/>
              <w:rPr>
                <w:rFonts w:ascii="Times New Roman" w:hAnsi="Times New Roman"/>
                <w:b/>
                <w:u w:val="single"/>
                <w:lang w:val="lv-LV"/>
              </w:rPr>
            </w:pPr>
            <w:r w:rsidRPr="00CD6D0C">
              <w:rPr>
                <w:rFonts w:ascii="Times New Roman" w:hAnsi="Times New Roman"/>
                <w:b/>
                <w:u w:val="single"/>
                <w:lang w:val="lv-LV"/>
              </w:rPr>
              <w:t>veikt darbības, lai uzlabotu pilsētvidi, atdzīvinātu pilsētas, atjaunotu un attīrītu pamestas rūpnieciskās teritorijas (tai skaitā pārveidei paredzētās zonas), samazinātu gaisa piesārņojumu un veicināt</w:t>
            </w:r>
            <w:r w:rsidR="000C58A8" w:rsidRPr="00CD6D0C">
              <w:rPr>
                <w:rFonts w:ascii="Times New Roman" w:hAnsi="Times New Roman"/>
                <w:b/>
                <w:u w:val="single"/>
                <w:lang w:val="lv-LV"/>
              </w:rPr>
              <w:t>u</w:t>
            </w:r>
            <w:r w:rsidRPr="00CD6D0C">
              <w:rPr>
                <w:rFonts w:ascii="Times New Roman" w:hAnsi="Times New Roman"/>
                <w:b/>
                <w:u w:val="single"/>
                <w:lang w:val="lv-LV"/>
              </w:rPr>
              <w:t xml:space="preserve"> trokšņa mazināšanas pasākumu</w:t>
            </w:r>
            <w:r w:rsidR="003324BD" w:rsidRPr="00CD6D0C">
              <w:rPr>
                <w:rFonts w:ascii="Times New Roman" w:hAnsi="Times New Roman"/>
                <w:b/>
                <w:u w:val="single"/>
                <w:lang w:val="lv-LV"/>
              </w:rPr>
              <w:t>s</w:t>
            </w:r>
          </w:p>
          <w:p w:rsidR="004544E0" w:rsidRPr="00CD6D0C" w:rsidRDefault="0030029A" w:rsidP="00E302F6">
            <w:pPr>
              <w:spacing w:before="120" w:line="240" w:lineRule="auto"/>
              <w:ind w:right="-432"/>
              <w:jc w:val="left"/>
              <w:rPr>
                <w:rFonts w:ascii="Times New Roman" w:hAnsi="Times New Roman"/>
                <w:lang w:val="lv-LV"/>
              </w:rPr>
            </w:pPr>
            <w:r>
              <w:rPr>
                <w:rFonts w:ascii="Times New Roman" w:hAnsi="Times New Roman"/>
                <w:lang w:val="lv-LV"/>
              </w:rPr>
              <w:t>Konkrēt</w:t>
            </w:r>
            <w:r w:rsidR="0080797D" w:rsidRPr="00CD6D0C">
              <w:rPr>
                <w:rFonts w:ascii="Times New Roman" w:hAnsi="Times New Roman"/>
                <w:lang w:val="lv-LV"/>
              </w:rPr>
              <w:t xml:space="preserve">ais </w:t>
            </w:r>
            <w:r w:rsidR="002215EC" w:rsidRPr="00CD6D0C">
              <w:rPr>
                <w:rFonts w:ascii="Times New Roman" w:hAnsi="Times New Roman"/>
                <w:lang w:val="lv-LV"/>
              </w:rPr>
              <w:t>mērķis</w:t>
            </w:r>
            <w:r w:rsidR="004544E0" w:rsidRPr="00CD6D0C">
              <w:rPr>
                <w:rFonts w:ascii="Times New Roman" w:hAnsi="Times New Roman"/>
                <w:lang w:val="lv-LV"/>
              </w:rPr>
              <w:t xml:space="preserve">: </w:t>
            </w:r>
          </w:p>
          <w:p w:rsidR="004544E0" w:rsidRPr="00CD6D0C" w:rsidRDefault="002215EC" w:rsidP="00E302F6">
            <w:pPr>
              <w:spacing w:before="120" w:line="240" w:lineRule="auto"/>
              <w:ind w:right="-432"/>
              <w:jc w:val="left"/>
              <w:rPr>
                <w:rFonts w:ascii="Times New Roman" w:hAnsi="Times New Roman"/>
                <w:b/>
                <w:lang w:val="lv-LV"/>
              </w:rPr>
            </w:pPr>
            <w:r w:rsidRPr="00CD6D0C">
              <w:rPr>
                <w:rFonts w:ascii="Times New Roman" w:hAnsi="Times New Roman"/>
                <w:b/>
                <w:u w:val="single"/>
                <w:lang w:val="lv-LV"/>
              </w:rPr>
              <w:t xml:space="preserve">atjaunot </w:t>
            </w:r>
            <w:r w:rsidR="003324BD" w:rsidRPr="00CD6D0C">
              <w:rPr>
                <w:rFonts w:ascii="Times New Roman" w:hAnsi="Times New Roman"/>
                <w:b/>
                <w:u w:val="single"/>
                <w:lang w:val="lv-LV"/>
              </w:rPr>
              <w:t xml:space="preserve">publiskās </w:t>
            </w:r>
            <w:r w:rsidRPr="00CD6D0C">
              <w:rPr>
                <w:rFonts w:ascii="Times New Roman" w:hAnsi="Times New Roman"/>
                <w:b/>
                <w:u w:val="single"/>
                <w:lang w:val="lv-LV"/>
              </w:rPr>
              <w:t>teritorijas</w:t>
            </w:r>
            <w:r w:rsidR="003324BD" w:rsidRPr="00CD6D0C">
              <w:rPr>
                <w:rFonts w:ascii="Times New Roman" w:hAnsi="Times New Roman"/>
                <w:b/>
                <w:u w:val="single"/>
                <w:lang w:val="lv-LV"/>
              </w:rPr>
              <w:t xml:space="preserve">, kurās pastāv </w:t>
            </w:r>
            <w:r w:rsidRPr="00CD6D0C">
              <w:rPr>
                <w:rFonts w:ascii="Times New Roman" w:hAnsi="Times New Roman"/>
                <w:b/>
                <w:u w:val="single"/>
                <w:lang w:val="lv-LV"/>
              </w:rPr>
              <w:t>vides problēm</w:t>
            </w:r>
            <w:r w:rsidR="003324BD" w:rsidRPr="00CD6D0C">
              <w:rPr>
                <w:rFonts w:ascii="Times New Roman" w:hAnsi="Times New Roman"/>
                <w:b/>
                <w:u w:val="single"/>
                <w:lang w:val="lv-LV"/>
              </w:rPr>
              <w:t>as</w:t>
            </w:r>
            <w:r w:rsidRPr="00CD6D0C">
              <w:rPr>
                <w:rFonts w:ascii="Times New Roman" w:hAnsi="Times New Roman"/>
                <w:b/>
                <w:u w:val="single"/>
                <w:lang w:val="lv-LV"/>
              </w:rPr>
              <w:t xml:space="preserve"> </w:t>
            </w:r>
          </w:p>
        </w:tc>
      </w:tr>
    </w:tbl>
    <w:p w:rsidR="004544E0" w:rsidRPr="00CD6D0C" w:rsidRDefault="004544E0" w:rsidP="00E302F6">
      <w:pPr>
        <w:spacing w:before="120" w:line="240" w:lineRule="auto"/>
        <w:ind w:right="-432"/>
        <w:rPr>
          <w:sz w:val="20"/>
          <w:szCs w:val="20"/>
          <w:lang w:val="lv-LV" w:eastAsia="fr-BE"/>
        </w:rPr>
      </w:pPr>
    </w:p>
    <w:p w:rsidR="00F73204" w:rsidRPr="00CD6D0C" w:rsidRDefault="002758D8" w:rsidP="00E302F6">
      <w:pPr>
        <w:spacing w:before="120" w:line="240" w:lineRule="auto"/>
        <w:ind w:right="-432"/>
        <w:rPr>
          <w:rFonts w:ascii="Times New Roman" w:hAnsi="Times New Roman"/>
          <w:lang w:val="lv-LV"/>
        </w:rPr>
      </w:pPr>
      <w:r w:rsidRPr="00CD6D0C">
        <w:rPr>
          <w:rFonts w:ascii="Times New Roman" w:hAnsi="Times New Roman"/>
          <w:lang w:val="lv-LV"/>
        </w:rPr>
        <w:t xml:space="preserve">Publiskās infrastruktūras </w:t>
      </w:r>
      <w:r w:rsidR="003F2D99" w:rsidRPr="00CD6D0C">
        <w:rPr>
          <w:rFonts w:ascii="Times New Roman" w:hAnsi="Times New Roman"/>
          <w:lang w:val="lv-LV"/>
        </w:rPr>
        <w:t xml:space="preserve">vizuālā un strukturālā pasliktināšanās </w:t>
      </w:r>
      <w:r w:rsidRPr="00CD6D0C">
        <w:rPr>
          <w:rFonts w:ascii="Times New Roman" w:hAnsi="Times New Roman"/>
          <w:lang w:val="lv-LV"/>
        </w:rPr>
        <w:t>un pilsētu/ pašvaldību vides problēmas</w:t>
      </w:r>
      <w:r w:rsidR="003F2D99" w:rsidRPr="00CD6D0C">
        <w:rPr>
          <w:rFonts w:ascii="Times New Roman" w:hAnsi="Times New Roman"/>
          <w:lang w:val="lv-LV"/>
        </w:rPr>
        <w:t xml:space="preserve"> ir faktori, kas kavē ekonomisk</w:t>
      </w:r>
      <w:r w:rsidR="003324BD" w:rsidRPr="00CD6D0C">
        <w:rPr>
          <w:rFonts w:ascii="Times New Roman" w:hAnsi="Times New Roman"/>
          <w:lang w:val="lv-LV"/>
        </w:rPr>
        <w:t>ā</w:t>
      </w:r>
      <w:r w:rsidR="003F2D99" w:rsidRPr="00CD6D0C">
        <w:rPr>
          <w:rFonts w:ascii="Times New Roman" w:hAnsi="Times New Roman"/>
          <w:lang w:val="lv-LV"/>
        </w:rPr>
        <w:t xml:space="preserve"> potenciāl</w:t>
      </w:r>
      <w:r w:rsidR="003324BD" w:rsidRPr="00CD6D0C">
        <w:rPr>
          <w:rFonts w:ascii="Times New Roman" w:hAnsi="Times New Roman"/>
          <w:lang w:val="lv-LV"/>
        </w:rPr>
        <w:t>a izmantošanu</w:t>
      </w:r>
      <w:r w:rsidR="003F2D99" w:rsidRPr="00CD6D0C">
        <w:rPr>
          <w:rFonts w:ascii="Times New Roman" w:hAnsi="Times New Roman"/>
          <w:lang w:val="lv-LV"/>
        </w:rPr>
        <w:t xml:space="preserve"> un negatīvi ietekmē attiecīgā reģiona iedzīvotāju </w:t>
      </w:r>
      <w:r w:rsidR="005D735D" w:rsidRPr="00CD6D0C">
        <w:rPr>
          <w:rFonts w:ascii="Times New Roman" w:hAnsi="Times New Roman"/>
          <w:lang w:val="lv-LV"/>
        </w:rPr>
        <w:t>dzīves kvalitāti</w:t>
      </w:r>
      <w:r w:rsidR="003F2D99" w:rsidRPr="00CD6D0C">
        <w:rPr>
          <w:rFonts w:ascii="Times New Roman" w:hAnsi="Times New Roman"/>
          <w:lang w:val="lv-LV"/>
        </w:rPr>
        <w:t>. Tādējādi Programma</w:t>
      </w:r>
      <w:r w:rsidR="00BE21FA" w:rsidRPr="00CD6D0C">
        <w:rPr>
          <w:rFonts w:ascii="Times New Roman" w:hAnsi="Times New Roman"/>
          <w:lang w:val="lv-LV"/>
        </w:rPr>
        <w:t xml:space="preserve"> saredz</w:t>
      </w:r>
      <w:r w:rsidR="003F2D99" w:rsidRPr="00CD6D0C">
        <w:rPr>
          <w:rFonts w:ascii="Times New Roman" w:hAnsi="Times New Roman"/>
          <w:lang w:val="lv-LV"/>
        </w:rPr>
        <w:t xml:space="preserve"> nepieciešamīb</w:t>
      </w:r>
      <w:r w:rsidR="00BE21FA" w:rsidRPr="00CD6D0C">
        <w:rPr>
          <w:rFonts w:ascii="Times New Roman" w:hAnsi="Times New Roman"/>
          <w:lang w:val="lv-LV"/>
        </w:rPr>
        <w:t>u</w:t>
      </w:r>
      <w:r w:rsidR="003F2D99" w:rsidRPr="00CD6D0C">
        <w:rPr>
          <w:rFonts w:ascii="Times New Roman" w:hAnsi="Times New Roman"/>
          <w:lang w:val="lv-LV"/>
        </w:rPr>
        <w:t xml:space="preserve"> radīt labvēlīgus apstākļus dzīvošan</w:t>
      </w:r>
      <w:r w:rsidR="00BE21FA" w:rsidRPr="00CD6D0C">
        <w:rPr>
          <w:rFonts w:ascii="Times New Roman" w:hAnsi="Times New Roman"/>
          <w:lang w:val="lv-LV"/>
        </w:rPr>
        <w:t xml:space="preserve">ai, </w:t>
      </w:r>
      <w:r w:rsidR="003F2D99" w:rsidRPr="00CD6D0C">
        <w:rPr>
          <w:rFonts w:ascii="Times New Roman" w:hAnsi="Times New Roman"/>
          <w:lang w:val="lv-LV"/>
        </w:rPr>
        <w:t>uzņēmējdarbības uzsākšan</w:t>
      </w:r>
      <w:r w:rsidR="00BE21FA" w:rsidRPr="00CD6D0C">
        <w:rPr>
          <w:rFonts w:ascii="Times New Roman" w:hAnsi="Times New Roman"/>
          <w:lang w:val="lv-LV"/>
        </w:rPr>
        <w:t>ai</w:t>
      </w:r>
      <w:r w:rsidR="003F2D99" w:rsidRPr="00CD6D0C">
        <w:rPr>
          <w:rFonts w:ascii="Times New Roman" w:hAnsi="Times New Roman"/>
          <w:lang w:val="lv-LV"/>
        </w:rPr>
        <w:t xml:space="preserve"> un attīstīšan</w:t>
      </w:r>
      <w:r w:rsidR="00BE21FA" w:rsidRPr="00CD6D0C">
        <w:rPr>
          <w:rFonts w:ascii="Times New Roman" w:hAnsi="Times New Roman"/>
          <w:lang w:val="lv-LV"/>
        </w:rPr>
        <w:t>ai</w:t>
      </w:r>
      <w:r w:rsidR="003F2D99" w:rsidRPr="00CD6D0C">
        <w:rPr>
          <w:rFonts w:ascii="Times New Roman" w:hAnsi="Times New Roman"/>
          <w:lang w:val="lv-LV"/>
        </w:rPr>
        <w:t>. Program</w:t>
      </w:r>
      <w:r w:rsidR="00CE5E08" w:rsidRPr="00CD6D0C">
        <w:rPr>
          <w:rFonts w:ascii="Times New Roman" w:hAnsi="Times New Roman"/>
          <w:lang w:val="lv-LV"/>
        </w:rPr>
        <w:t>m</w:t>
      </w:r>
      <w:r w:rsidR="003F2D99" w:rsidRPr="00CD6D0C">
        <w:rPr>
          <w:rFonts w:ascii="Times New Roman" w:hAnsi="Times New Roman"/>
          <w:lang w:val="lv-LV"/>
        </w:rPr>
        <w:t xml:space="preserve">as ietvaros uzmanība tiek vērsta uz to </w:t>
      </w:r>
      <w:r w:rsidR="005D735D" w:rsidRPr="00CD6D0C">
        <w:rPr>
          <w:rFonts w:ascii="Times New Roman" w:hAnsi="Times New Roman"/>
          <w:lang w:val="lv-LV"/>
        </w:rPr>
        <w:t>teritoriju</w:t>
      </w:r>
      <w:r w:rsidR="003F2D99" w:rsidRPr="00CD6D0C">
        <w:rPr>
          <w:rFonts w:ascii="Times New Roman" w:hAnsi="Times New Roman"/>
          <w:lang w:val="lv-LV"/>
        </w:rPr>
        <w:t xml:space="preserve"> atjaunošanu, kurā</w:t>
      </w:r>
      <w:r w:rsidR="005D735D" w:rsidRPr="00CD6D0C">
        <w:rPr>
          <w:rFonts w:ascii="Times New Roman" w:hAnsi="Times New Roman"/>
          <w:lang w:val="lv-LV"/>
        </w:rPr>
        <w:t>s</w:t>
      </w:r>
      <w:r w:rsidR="003F2D99" w:rsidRPr="00CD6D0C">
        <w:rPr>
          <w:rFonts w:ascii="Times New Roman" w:hAnsi="Times New Roman"/>
          <w:lang w:val="lv-LV"/>
        </w:rPr>
        <w:t xml:space="preserve"> novērojamas vides problēmas, lai tādējādi sekmētu ekonomisko attīstību attiecīgajos reģionos.</w:t>
      </w:r>
    </w:p>
    <w:p w:rsidR="00F73204" w:rsidRPr="00CD6D0C" w:rsidRDefault="00ED0CD6" w:rsidP="00E302F6">
      <w:pPr>
        <w:spacing w:before="120" w:line="240" w:lineRule="auto"/>
        <w:ind w:right="-432"/>
        <w:rPr>
          <w:rFonts w:ascii="Times New Roman" w:hAnsi="Times New Roman"/>
          <w:lang w:val="lv-LV"/>
        </w:rPr>
      </w:pPr>
      <w:r w:rsidRPr="00CD6D0C">
        <w:rPr>
          <w:rFonts w:ascii="Times New Roman" w:hAnsi="Times New Roman"/>
          <w:lang w:val="lv-LV"/>
        </w:rPr>
        <w:t>Pārrobežu sadarbība sekmē pieredzes apmaiņu attiecībā uz pilsētu un pašvaldību</w:t>
      </w:r>
      <w:r w:rsidR="003324BD" w:rsidRPr="00CD6D0C">
        <w:rPr>
          <w:rFonts w:ascii="Times New Roman" w:hAnsi="Times New Roman"/>
          <w:lang w:val="lv-LV"/>
        </w:rPr>
        <w:t xml:space="preserve"> teritoriju</w:t>
      </w:r>
      <w:r w:rsidRPr="00CD6D0C">
        <w:rPr>
          <w:rFonts w:ascii="Times New Roman" w:hAnsi="Times New Roman"/>
          <w:lang w:val="lv-LV"/>
        </w:rPr>
        <w:t xml:space="preserve"> plānošanu, lai </w:t>
      </w:r>
      <w:r w:rsidR="003324BD" w:rsidRPr="00CD6D0C">
        <w:rPr>
          <w:rFonts w:ascii="Times New Roman" w:hAnsi="Times New Roman"/>
          <w:lang w:val="lv-LV"/>
        </w:rPr>
        <w:t>vietas</w:t>
      </w:r>
      <w:r w:rsidRPr="00CD6D0C">
        <w:rPr>
          <w:rFonts w:ascii="Times New Roman" w:hAnsi="Times New Roman"/>
          <w:lang w:val="lv-LV"/>
        </w:rPr>
        <w:t xml:space="preserve">, kurās novērojamas vides problēmas, pārtaptu </w:t>
      </w:r>
      <w:r w:rsidR="00D178A7" w:rsidRPr="00CD6D0C">
        <w:rPr>
          <w:rFonts w:ascii="Times New Roman" w:hAnsi="Times New Roman"/>
          <w:lang w:val="lv-LV"/>
        </w:rPr>
        <w:t>par tādām</w:t>
      </w:r>
      <w:r w:rsidRPr="00CD6D0C">
        <w:rPr>
          <w:rFonts w:ascii="Times New Roman" w:hAnsi="Times New Roman"/>
          <w:lang w:val="lv-LV"/>
        </w:rPr>
        <w:t xml:space="preserve">, kur </w:t>
      </w:r>
      <w:r w:rsidR="00BE21FA" w:rsidRPr="00CD6D0C">
        <w:rPr>
          <w:rFonts w:ascii="Times New Roman" w:hAnsi="Times New Roman"/>
          <w:lang w:val="lv-LV"/>
        </w:rPr>
        <w:t xml:space="preserve">notiek </w:t>
      </w:r>
      <w:r w:rsidRPr="00CD6D0C">
        <w:rPr>
          <w:rFonts w:ascii="Times New Roman" w:hAnsi="Times New Roman"/>
          <w:lang w:val="lv-LV"/>
        </w:rPr>
        <w:t>ekonomiskā attīstība un</w:t>
      </w:r>
      <w:r w:rsidR="00BE21FA" w:rsidRPr="00CD6D0C">
        <w:rPr>
          <w:rFonts w:ascii="Times New Roman" w:hAnsi="Times New Roman"/>
          <w:lang w:val="lv-LV"/>
        </w:rPr>
        <w:t xml:space="preserve"> ir</w:t>
      </w:r>
      <w:r w:rsidRPr="00CD6D0C">
        <w:rPr>
          <w:rFonts w:ascii="Times New Roman" w:hAnsi="Times New Roman"/>
          <w:lang w:val="lv-LV"/>
        </w:rPr>
        <w:t xml:space="preserve"> uzlaboti dzīves apstākļi. Ņemot vērā, ka reģionos abās robežas pusēs novērojamas līdzīgas problēmas (piemēram, iedzīvotāju skaita samazināšanās un relatīvi zema saimnieciskā darbība), pārrobežu sadarbības ietvaros tiks izstrādāti jauni risinājumi, kā attīstīt to </w:t>
      </w:r>
      <w:r w:rsidR="003324BD" w:rsidRPr="00CD6D0C">
        <w:rPr>
          <w:rFonts w:ascii="Times New Roman" w:hAnsi="Times New Roman"/>
          <w:lang w:val="lv-LV"/>
        </w:rPr>
        <w:t xml:space="preserve">pašvaldību </w:t>
      </w:r>
      <w:r w:rsidRPr="00CD6D0C">
        <w:rPr>
          <w:rFonts w:ascii="Times New Roman" w:hAnsi="Times New Roman"/>
          <w:lang w:val="lv-LV"/>
        </w:rPr>
        <w:t xml:space="preserve">teritoriju potenciālu, </w:t>
      </w:r>
      <w:r w:rsidR="00BE21FA" w:rsidRPr="00CD6D0C">
        <w:rPr>
          <w:rFonts w:ascii="Times New Roman" w:hAnsi="Times New Roman"/>
          <w:lang w:val="lv-LV"/>
        </w:rPr>
        <w:t xml:space="preserve">, kurās konstatētas </w:t>
      </w:r>
      <w:r w:rsidRPr="00CD6D0C">
        <w:rPr>
          <w:rFonts w:ascii="Times New Roman" w:hAnsi="Times New Roman"/>
          <w:lang w:val="lv-LV"/>
        </w:rPr>
        <w:t xml:space="preserve">vides problēmas. </w:t>
      </w:r>
    </w:p>
    <w:p w:rsidR="004544E0" w:rsidRPr="00CD6D0C" w:rsidRDefault="008F1C4C" w:rsidP="00E302F6">
      <w:pPr>
        <w:spacing w:before="120" w:line="240" w:lineRule="auto"/>
        <w:ind w:right="-432"/>
        <w:rPr>
          <w:rFonts w:ascii="Times New Roman" w:hAnsi="Times New Roman"/>
          <w:lang w:val="lv-LV"/>
        </w:rPr>
      </w:pPr>
      <w:r w:rsidRPr="00CD6D0C">
        <w:rPr>
          <w:rFonts w:ascii="Times New Roman" w:hAnsi="Times New Roman"/>
          <w:lang w:val="lv-LV"/>
        </w:rPr>
        <w:t>Tiek sagaidīts</w:t>
      </w:r>
      <w:r w:rsidR="004F149C" w:rsidRPr="00CD6D0C">
        <w:rPr>
          <w:rFonts w:ascii="Times New Roman" w:hAnsi="Times New Roman"/>
          <w:lang w:val="lv-LV"/>
        </w:rPr>
        <w:t>, ka pašvaldīb</w:t>
      </w:r>
      <w:r w:rsidR="003324BD" w:rsidRPr="00CD6D0C">
        <w:rPr>
          <w:rFonts w:ascii="Times New Roman" w:hAnsi="Times New Roman"/>
          <w:lang w:val="lv-LV"/>
        </w:rPr>
        <w:t>ām</w:t>
      </w:r>
      <w:r w:rsidR="004F149C" w:rsidRPr="00CD6D0C">
        <w:rPr>
          <w:rFonts w:ascii="Times New Roman" w:hAnsi="Times New Roman"/>
          <w:lang w:val="lv-LV"/>
        </w:rPr>
        <w:t xml:space="preserve"> piederošo </w:t>
      </w:r>
      <w:r w:rsidR="003324BD" w:rsidRPr="00CD6D0C">
        <w:rPr>
          <w:rFonts w:ascii="Times New Roman" w:hAnsi="Times New Roman"/>
          <w:lang w:val="lv-LV"/>
        </w:rPr>
        <w:t xml:space="preserve">(un vides problēmu skarto) </w:t>
      </w:r>
      <w:r w:rsidR="004F149C" w:rsidRPr="00CD6D0C">
        <w:rPr>
          <w:rFonts w:ascii="Times New Roman" w:hAnsi="Times New Roman"/>
          <w:lang w:val="lv-LV"/>
        </w:rPr>
        <w:t xml:space="preserve">teritoriju plānotās atjaunošana </w:t>
      </w:r>
      <w:r w:rsidR="00335EE7" w:rsidRPr="00CD6D0C">
        <w:rPr>
          <w:rFonts w:ascii="Times New Roman" w:hAnsi="Times New Roman"/>
          <w:lang w:val="lv-LV"/>
        </w:rPr>
        <w:t>pozitīvi ietekmēs Programmas teritorijas ekonomiskās attīstības potenciāl</w:t>
      </w:r>
      <w:r w:rsidR="003324BD" w:rsidRPr="00CD6D0C">
        <w:rPr>
          <w:rFonts w:ascii="Times New Roman" w:hAnsi="Times New Roman"/>
          <w:lang w:val="lv-LV"/>
        </w:rPr>
        <w:t>u</w:t>
      </w:r>
      <w:r w:rsidR="00335EE7" w:rsidRPr="00CD6D0C">
        <w:rPr>
          <w:rFonts w:ascii="Times New Roman" w:hAnsi="Times New Roman"/>
          <w:lang w:val="lv-LV"/>
        </w:rPr>
        <w:t xml:space="preserve">, </w:t>
      </w:r>
      <w:r w:rsidR="00190F27" w:rsidRPr="00CD6D0C">
        <w:rPr>
          <w:rFonts w:ascii="Times New Roman" w:hAnsi="Times New Roman"/>
          <w:lang w:val="lv-LV"/>
        </w:rPr>
        <w:t xml:space="preserve">kā arī </w:t>
      </w:r>
      <w:r w:rsidR="00335EE7" w:rsidRPr="00CD6D0C">
        <w:rPr>
          <w:rFonts w:ascii="Times New Roman" w:hAnsi="Times New Roman"/>
          <w:lang w:val="lv-LV"/>
        </w:rPr>
        <w:t>sekmē</w:t>
      </w:r>
      <w:r w:rsidR="003324BD" w:rsidRPr="00CD6D0C">
        <w:rPr>
          <w:rFonts w:ascii="Times New Roman" w:hAnsi="Times New Roman"/>
          <w:lang w:val="lv-LV"/>
        </w:rPr>
        <w:t>s</w:t>
      </w:r>
      <w:r w:rsidR="00335EE7" w:rsidRPr="00CD6D0C">
        <w:rPr>
          <w:rFonts w:ascii="Times New Roman" w:hAnsi="Times New Roman"/>
          <w:lang w:val="lv-LV"/>
        </w:rPr>
        <w:t xml:space="preserve"> dzīves apstākļu uzlabošan</w:t>
      </w:r>
      <w:r w:rsidR="003324BD" w:rsidRPr="00CD6D0C">
        <w:rPr>
          <w:rFonts w:ascii="Times New Roman" w:hAnsi="Times New Roman"/>
          <w:lang w:val="lv-LV"/>
        </w:rPr>
        <w:t>os</w:t>
      </w:r>
      <w:r w:rsidR="00335EE7" w:rsidRPr="00CD6D0C">
        <w:rPr>
          <w:rFonts w:ascii="Times New Roman" w:hAnsi="Times New Roman"/>
          <w:lang w:val="lv-LV"/>
        </w:rPr>
        <w:t>.</w:t>
      </w:r>
    </w:p>
    <w:p w:rsidR="004544E0" w:rsidRPr="00CD6D0C" w:rsidRDefault="004544E0" w:rsidP="00E302F6">
      <w:pPr>
        <w:spacing w:before="120" w:line="240" w:lineRule="auto"/>
        <w:ind w:right="-432"/>
        <w:contextualSpacing/>
        <w:rPr>
          <w:rFonts w:ascii="Times New Roman" w:hAnsi="Times New Roman"/>
          <w:lang w:val="lv-LV"/>
        </w:rPr>
      </w:pPr>
    </w:p>
    <w:p w:rsidR="004544E0" w:rsidRPr="00CD6D0C" w:rsidRDefault="00335EE7" w:rsidP="00E302F6">
      <w:pPr>
        <w:spacing w:before="120" w:line="240" w:lineRule="auto"/>
        <w:ind w:right="-432"/>
        <w:contextualSpacing/>
        <w:rPr>
          <w:rFonts w:ascii="Times New Roman" w:hAnsi="Times New Roman"/>
          <w:u w:val="single"/>
          <w:lang w:val="lv-LV"/>
        </w:rPr>
      </w:pPr>
      <w:r w:rsidRPr="00CD6D0C">
        <w:rPr>
          <w:rFonts w:ascii="Times New Roman" w:hAnsi="Times New Roman"/>
          <w:b/>
          <w:u w:val="single"/>
          <w:lang w:val="lv-LV"/>
        </w:rPr>
        <w:t>Sagaidāmais rezultāts</w:t>
      </w:r>
      <w:r w:rsidR="004544E0" w:rsidRPr="00CD6D0C">
        <w:rPr>
          <w:rFonts w:ascii="Times New Roman" w:hAnsi="Times New Roman"/>
          <w:b/>
          <w:u w:val="single"/>
          <w:lang w:val="lv-LV"/>
        </w:rPr>
        <w:t>:</w:t>
      </w:r>
      <w:r w:rsidRPr="00CD6D0C">
        <w:rPr>
          <w:rFonts w:ascii="Times New Roman" w:hAnsi="Times New Roman"/>
          <w:b/>
          <w:lang w:val="lv-LV"/>
        </w:rPr>
        <w:t xml:space="preserve"> </w:t>
      </w:r>
      <w:r w:rsidR="00694EC4" w:rsidRPr="00CD6D0C">
        <w:rPr>
          <w:rFonts w:ascii="Times New Roman" w:hAnsi="Times New Roman"/>
          <w:lang w:val="lv-LV"/>
        </w:rPr>
        <w:t>uzlabota vide pašvaldību iedzīvotājiem un atbalsts ekonomsikas attīstībai</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03"/>
        <w:gridCol w:w="1094"/>
        <w:gridCol w:w="1695"/>
        <w:gridCol w:w="918"/>
        <w:gridCol w:w="1026"/>
        <w:gridCol w:w="987"/>
        <w:gridCol w:w="1255"/>
      </w:tblGrid>
      <w:tr w:rsidR="00755612" w:rsidRPr="00CD6D0C" w:rsidTr="00FE1A59">
        <w:trPr>
          <w:trHeight w:val="885"/>
        </w:trPr>
        <w:tc>
          <w:tcPr>
            <w:tcW w:w="439" w:type="pct"/>
            <w:tcBorders>
              <w:top w:val="single" w:sz="4" w:space="0" w:color="auto"/>
              <w:left w:val="single" w:sz="4" w:space="0" w:color="auto"/>
              <w:bottom w:val="single" w:sz="4" w:space="0" w:color="auto"/>
              <w:right w:val="single" w:sz="4" w:space="0" w:color="auto"/>
            </w:tcBorders>
          </w:tcPr>
          <w:p w:rsidR="004544E0" w:rsidRPr="00CD6D0C" w:rsidRDefault="004544E0"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CD6D0C">
              <w:rPr>
                <w:rFonts w:ascii="Times New Roman" w:hAnsi="Times New Roman"/>
                <w:b/>
                <w:sz w:val="18"/>
                <w:szCs w:val="18"/>
                <w:lang w:val="lv-LV"/>
              </w:rPr>
              <w:t>ID</w:t>
            </w:r>
          </w:p>
        </w:tc>
        <w:tc>
          <w:tcPr>
            <w:tcW w:w="808" w:type="pct"/>
            <w:tcBorders>
              <w:top w:val="single" w:sz="4" w:space="0" w:color="auto"/>
              <w:left w:val="single" w:sz="4" w:space="0" w:color="auto"/>
              <w:bottom w:val="single" w:sz="4" w:space="0" w:color="auto"/>
              <w:right w:val="single" w:sz="4" w:space="0" w:color="auto"/>
            </w:tcBorders>
            <w:hideMark/>
          </w:tcPr>
          <w:p w:rsidR="004544E0" w:rsidRPr="00FE1A59" w:rsidRDefault="0095520A" w:rsidP="00755612">
            <w:pPr>
              <w:pStyle w:val="ListBullet"/>
              <w:numPr>
                <w:ilvl w:val="0"/>
                <w:numId w:val="0"/>
              </w:numPr>
              <w:tabs>
                <w:tab w:val="left" w:pos="720"/>
              </w:tabs>
              <w:spacing w:before="120" w:line="240" w:lineRule="auto"/>
              <w:ind w:right="-70"/>
              <w:rPr>
                <w:rFonts w:ascii="Times New Roman" w:hAnsi="Times New Roman"/>
                <w:b/>
                <w:sz w:val="18"/>
                <w:szCs w:val="18"/>
                <w:lang w:val="lv-LV"/>
              </w:rPr>
            </w:pPr>
            <w:r w:rsidRPr="00FE1A59">
              <w:rPr>
                <w:rFonts w:ascii="Times New Roman" w:hAnsi="Times New Roman"/>
                <w:b/>
                <w:sz w:val="18"/>
                <w:szCs w:val="18"/>
                <w:lang w:val="lv-LV" w:bidi="en-US"/>
              </w:rPr>
              <w:t>Rezultatīvais rādītājs</w:t>
            </w:r>
          </w:p>
        </w:tc>
        <w:tc>
          <w:tcPr>
            <w:tcW w:w="588" w:type="pct"/>
            <w:tcBorders>
              <w:top w:val="single" w:sz="4" w:space="0" w:color="auto"/>
              <w:left w:val="single" w:sz="4" w:space="0" w:color="auto"/>
              <w:bottom w:val="single" w:sz="4" w:space="0" w:color="auto"/>
              <w:right w:val="single" w:sz="4" w:space="0" w:color="auto"/>
            </w:tcBorders>
            <w:hideMark/>
          </w:tcPr>
          <w:p w:rsidR="004544E0" w:rsidRPr="00FE1A59" w:rsidRDefault="00335EE7" w:rsidP="00E302F6">
            <w:pPr>
              <w:snapToGrid w:val="0"/>
              <w:spacing w:before="120" w:line="240" w:lineRule="auto"/>
              <w:ind w:right="-432"/>
              <w:rPr>
                <w:rFonts w:ascii="Times New Roman" w:hAnsi="Times New Roman"/>
                <w:b/>
                <w:sz w:val="18"/>
                <w:szCs w:val="18"/>
                <w:lang w:val="lv-LV"/>
              </w:rPr>
            </w:pPr>
            <w:r w:rsidRPr="00FE1A59">
              <w:rPr>
                <w:rFonts w:ascii="Times New Roman" w:hAnsi="Times New Roman"/>
                <w:b/>
                <w:sz w:val="18"/>
                <w:szCs w:val="18"/>
                <w:lang w:val="lv-LV"/>
              </w:rPr>
              <w:t>Mērvienība</w:t>
            </w:r>
          </w:p>
        </w:tc>
        <w:tc>
          <w:tcPr>
            <w:tcW w:w="912" w:type="pct"/>
            <w:tcBorders>
              <w:top w:val="single" w:sz="4" w:space="0" w:color="auto"/>
              <w:left w:val="single" w:sz="4" w:space="0" w:color="auto"/>
              <w:bottom w:val="single" w:sz="4" w:space="0" w:color="auto"/>
              <w:right w:val="single" w:sz="4" w:space="0" w:color="auto"/>
            </w:tcBorders>
            <w:hideMark/>
          </w:tcPr>
          <w:p w:rsidR="0095520A" w:rsidRPr="00FE1A59" w:rsidRDefault="0095520A" w:rsidP="00755612">
            <w:pPr>
              <w:pStyle w:val="Bodytext50"/>
              <w:shd w:val="clear" w:color="auto" w:fill="auto"/>
              <w:spacing w:before="120" w:after="120" w:line="240" w:lineRule="auto"/>
              <w:ind w:right="-432" w:firstLine="0"/>
              <w:rPr>
                <w:rFonts w:ascii="Times New Roman" w:hAnsi="Times New Roman" w:cs="Arial Narrow"/>
                <w:b/>
                <w:sz w:val="18"/>
                <w:szCs w:val="18"/>
                <w:lang w:val="lv-LV" w:bidi="en-US"/>
              </w:rPr>
            </w:pPr>
            <w:r w:rsidRPr="00FE1A59">
              <w:rPr>
                <w:rFonts w:ascii="Times New Roman" w:hAnsi="Times New Roman" w:cs="Arial Narrow"/>
                <w:b/>
                <w:sz w:val="18"/>
                <w:szCs w:val="18"/>
                <w:lang w:val="lv-LV" w:bidi="en-US"/>
              </w:rPr>
              <w:t>Atsauces</w:t>
            </w:r>
          </w:p>
          <w:p w:rsidR="004544E0" w:rsidRPr="00FE1A59" w:rsidRDefault="0095520A"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FE1A59">
              <w:rPr>
                <w:rFonts w:ascii="Times New Roman" w:hAnsi="Times New Roman"/>
                <w:b/>
                <w:sz w:val="18"/>
                <w:szCs w:val="18"/>
                <w:lang w:val="lv-LV" w:bidi="en-US"/>
              </w:rPr>
              <w:t>vērtība</w:t>
            </w:r>
          </w:p>
        </w:tc>
        <w:tc>
          <w:tcPr>
            <w:tcW w:w="494" w:type="pct"/>
            <w:tcBorders>
              <w:top w:val="single" w:sz="4" w:space="0" w:color="auto"/>
              <w:left w:val="single" w:sz="4" w:space="0" w:color="auto"/>
              <w:bottom w:val="single" w:sz="4" w:space="0" w:color="auto"/>
              <w:right w:val="single" w:sz="4" w:space="0" w:color="auto"/>
            </w:tcBorders>
            <w:hideMark/>
          </w:tcPr>
          <w:p w:rsidR="0095520A" w:rsidRPr="00FE1A59" w:rsidRDefault="0095520A" w:rsidP="00755612">
            <w:pPr>
              <w:pStyle w:val="Bodytext50"/>
              <w:shd w:val="clear" w:color="auto" w:fill="auto"/>
              <w:spacing w:before="120" w:after="120" w:line="240" w:lineRule="auto"/>
              <w:ind w:right="-284" w:firstLine="0"/>
              <w:rPr>
                <w:rFonts w:ascii="Times New Roman" w:hAnsi="Times New Roman" w:cs="Arial Narrow"/>
                <w:b/>
                <w:sz w:val="18"/>
                <w:szCs w:val="18"/>
                <w:lang w:val="lv-LV" w:bidi="en-US"/>
              </w:rPr>
            </w:pPr>
            <w:r w:rsidRPr="00FE1A59">
              <w:rPr>
                <w:rFonts w:ascii="Times New Roman" w:hAnsi="Times New Roman" w:cs="Arial Narrow"/>
                <w:b/>
                <w:sz w:val="18"/>
                <w:szCs w:val="18"/>
                <w:lang w:val="lv-LV" w:bidi="en-US"/>
              </w:rPr>
              <w:t>Atsauces</w:t>
            </w:r>
          </w:p>
          <w:p w:rsidR="004544E0" w:rsidRPr="00FE1A59" w:rsidRDefault="00335EE7" w:rsidP="00E302F6">
            <w:pPr>
              <w:snapToGrid w:val="0"/>
              <w:spacing w:before="120" w:line="240" w:lineRule="auto"/>
              <w:ind w:right="-432"/>
              <w:rPr>
                <w:rFonts w:ascii="Times New Roman" w:hAnsi="Times New Roman"/>
                <w:b/>
                <w:sz w:val="18"/>
                <w:szCs w:val="18"/>
                <w:lang w:val="lv-LV"/>
              </w:rPr>
            </w:pPr>
            <w:r w:rsidRPr="00FE1A59">
              <w:rPr>
                <w:rFonts w:ascii="Times New Roman" w:hAnsi="Times New Roman"/>
                <w:b/>
                <w:sz w:val="18"/>
                <w:szCs w:val="18"/>
                <w:lang w:val="lv-LV"/>
              </w:rPr>
              <w:t xml:space="preserve"> gads</w:t>
            </w:r>
          </w:p>
        </w:tc>
        <w:tc>
          <w:tcPr>
            <w:tcW w:w="552" w:type="pct"/>
            <w:tcBorders>
              <w:top w:val="single" w:sz="4" w:space="0" w:color="auto"/>
              <w:left w:val="single" w:sz="4" w:space="0" w:color="auto"/>
              <w:bottom w:val="single" w:sz="4" w:space="0" w:color="auto"/>
              <w:right w:val="single" w:sz="4" w:space="0" w:color="auto"/>
            </w:tcBorders>
            <w:hideMark/>
          </w:tcPr>
          <w:p w:rsidR="00FE1A59" w:rsidRPr="00FE1A59" w:rsidRDefault="00335EE7"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FE1A59">
              <w:rPr>
                <w:rFonts w:ascii="Times New Roman" w:hAnsi="Times New Roman"/>
                <w:b/>
                <w:sz w:val="18"/>
                <w:szCs w:val="18"/>
                <w:lang w:val="lv-LV"/>
              </w:rPr>
              <w:t>Mērķ</w:t>
            </w:r>
            <w:r w:rsidR="0095520A" w:rsidRPr="00FE1A59">
              <w:rPr>
                <w:rFonts w:ascii="Times New Roman" w:hAnsi="Times New Roman"/>
                <w:b/>
                <w:sz w:val="18"/>
                <w:szCs w:val="18"/>
                <w:lang w:val="lv-LV"/>
              </w:rPr>
              <w:t>-</w:t>
            </w:r>
            <w:r w:rsidRPr="00FE1A59">
              <w:rPr>
                <w:rFonts w:ascii="Times New Roman" w:hAnsi="Times New Roman"/>
                <w:b/>
                <w:sz w:val="18"/>
                <w:szCs w:val="18"/>
                <w:lang w:val="lv-LV"/>
              </w:rPr>
              <w:t xml:space="preserve"> </w:t>
            </w:r>
          </w:p>
          <w:p w:rsidR="004544E0" w:rsidRPr="00FE1A59" w:rsidRDefault="00335EE7" w:rsidP="00FE1A59">
            <w:pPr>
              <w:pStyle w:val="ListBullet"/>
              <w:numPr>
                <w:ilvl w:val="0"/>
                <w:numId w:val="0"/>
              </w:numPr>
              <w:tabs>
                <w:tab w:val="left" w:pos="720"/>
              </w:tabs>
              <w:spacing w:before="120" w:line="240" w:lineRule="auto"/>
              <w:ind w:right="-109"/>
              <w:rPr>
                <w:rFonts w:ascii="Times New Roman" w:hAnsi="Times New Roman"/>
                <w:b/>
                <w:sz w:val="18"/>
                <w:szCs w:val="18"/>
                <w:lang w:val="lv-LV"/>
              </w:rPr>
            </w:pPr>
            <w:r w:rsidRPr="00FE1A59">
              <w:rPr>
                <w:rFonts w:ascii="Times New Roman" w:hAnsi="Times New Roman"/>
                <w:b/>
                <w:sz w:val="18"/>
                <w:szCs w:val="18"/>
                <w:lang w:val="lv-LV"/>
              </w:rPr>
              <w:t>vērtība</w:t>
            </w:r>
            <w:r w:rsidR="004544E0" w:rsidRPr="00FE1A59">
              <w:rPr>
                <w:rFonts w:ascii="Times New Roman" w:hAnsi="Times New Roman"/>
                <w:b/>
                <w:sz w:val="18"/>
                <w:szCs w:val="18"/>
                <w:lang w:val="lv-LV"/>
              </w:rPr>
              <w:t xml:space="preserve"> (2023) </w:t>
            </w:r>
          </w:p>
        </w:tc>
        <w:tc>
          <w:tcPr>
            <w:tcW w:w="531" w:type="pct"/>
            <w:tcBorders>
              <w:top w:val="single" w:sz="4" w:space="0" w:color="auto"/>
              <w:left w:val="single" w:sz="4" w:space="0" w:color="auto"/>
              <w:bottom w:val="single" w:sz="4" w:space="0" w:color="auto"/>
              <w:right w:val="single" w:sz="4" w:space="0" w:color="auto"/>
            </w:tcBorders>
            <w:hideMark/>
          </w:tcPr>
          <w:p w:rsidR="004544E0" w:rsidRPr="00FE1A59" w:rsidRDefault="00335EE7" w:rsidP="00FE1A59">
            <w:pPr>
              <w:pStyle w:val="ListBullet"/>
              <w:numPr>
                <w:ilvl w:val="0"/>
                <w:numId w:val="0"/>
              </w:numPr>
              <w:tabs>
                <w:tab w:val="left" w:pos="720"/>
              </w:tabs>
              <w:spacing w:before="120" w:line="240" w:lineRule="auto"/>
              <w:ind w:left="35" w:right="-114" w:hanging="35"/>
              <w:rPr>
                <w:rFonts w:ascii="Times New Roman" w:hAnsi="Times New Roman"/>
                <w:b/>
                <w:sz w:val="18"/>
                <w:szCs w:val="18"/>
                <w:lang w:val="lv-LV"/>
              </w:rPr>
            </w:pPr>
            <w:r w:rsidRPr="00FE1A59">
              <w:rPr>
                <w:rFonts w:ascii="Times New Roman" w:hAnsi="Times New Roman"/>
                <w:b/>
                <w:sz w:val="18"/>
                <w:szCs w:val="18"/>
                <w:lang w:val="lv-LV"/>
              </w:rPr>
              <w:t>Datu avots</w:t>
            </w:r>
          </w:p>
        </w:tc>
        <w:tc>
          <w:tcPr>
            <w:tcW w:w="675" w:type="pct"/>
            <w:tcBorders>
              <w:top w:val="single" w:sz="4" w:space="0" w:color="auto"/>
              <w:left w:val="single" w:sz="4" w:space="0" w:color="auto"/>
              <w:bottom w:val="single" w:sz="4" w:space="0" w:color="auto"/>
              <w:right w:val="single" w:sz="4" w:space="0" w:color="auto"/>
            </w:tcBorders>
          </w:tcPr>
          <w:p w:rsidR="0009546C" w:rsidRPr="00FE1A59" w:rsidRDefault="0009546C" w:rsidP="00E302F6">
            <w:pPr>
              <w:pStyle w:val="Bodytext50"/>
              <w:shd w:val="clear" w:color="auto" w:fill="auto"/>
              <w:spacing w:before="120" w:after="120" w:line="240" w:lineRule="auto"/>
              <w:ind w:right="-432" w:firstLine="0"/>
              <w:rPr>
                <w:rFonts w:ascii="Times New Roman" w:hAnsi="Times New Roman" w:cs="Arial Narrow"/>
                <w:b/>
                <w:sz w:val="18"/>
                <w:szCs w:val="18"/>
                <w:lang w:val="lv-LV" w:bidi="en-US"/>
              </w:rPr>
            </w:pPr>
            <w:r w:rsidRPr="00FE1A59">
              <w:rPr>
                <w:rFonts w:ascii="Times New Roman" w:hAnsi="Times New Roman" w:cs="Arial Narrow"/>
                <w:b/>
                <w:sz w:val="18"/>
                <w:szCs w:val="18"/>
                <w:lang w:val="lv-LV" w:bidi="en-US"/>
              </w:rPr>
              <w:t>Ziņojuma</w:t>
            </w:r>
          </w:p>
          <w:p w:rsidR="0009546C" w:rsidRPr="00FE1A59" w:rsidRDefault="0009546C" w:rsidP="00E302F6">
            <w:pPr>
              <w:pStyle w:val="Bodytext50"/>
              <w:shd w:val="clear" w:color="auto" w:fill="auto"/>
              <w:spacing w:before="120" w:after="120" w:line="240" w:lineRule="auto"/>
              <w:ind w:right="-432" w:firstLine="0"/>
              <w:rPr>
                <w:rFonts w:ascii="Times New Roman" w:hAnsi="Times New Roman" w:cs="Arial Narrow"/>
                <w:b/>
                <w:sz w:val="18"/>
                <w:szCs w:val="18"/>
                <w:lang w:val="lv-LV" w:bidi="en-US"/>
              </w:rPr>
            </w:pPr>
            <w:r w:rsidRPr="00FE1A59">
              <w:rPr>
                <w:rFonts w:ascii="Times New Roman" w:hAnsi="Times New Roman" w:cs="Arial Narrow"/>
                <w:b/>
                <w:sz w:val="18"/>
                <w:szCs w:val="18"/>
                <w:lang w:val="lv-LV" w:bidi="en-US"/>
              </w:rPr>
              <w:t>iesniegšanas</w:t>
            </w:r>
          </w:p>
          <w:p w:rsidR="004544E0" w:rsidRPr="00FE1A59" w:rsidRDefault="0009546C" w:rsidP="00E302F6">
            <w:pPr>
              <w:pStyle w:val="ListBullet"/>
              <w:numPr>
                <w:ilvl w:val="0"/>
                <w:numId w:val="0"/>
              </w:numPr>
              <w:tabs>
                <w:tab w:val="left" w:pos="720"/>
              </w:tabs>
              <w:spacing w:before="120" w:line="240" w:lineRule="auto"/>
              <w:ind w:right="-432"/>
              <w:rPr>
                <w:rFonts w:ascii="Times New Roman" w:hAnsi="Times New Roman"/>
                <w:b/>
                <w:sz w:val="18"/>
                <w:szCs w:val="18"/>
                <w:lang w:val="lv-LV"/>
              </w:rPr>
            </w:pPr>
            <w:r w:rsidRPr="00FE1A59">
              <w:rPr>
                <w:rFonts w:ascii="Times New Roman" w:hAnsi="Times New Roman"/>
                <w:b/>
                <w:sz w:val="18"/>
                <w:szCs w:val="18"/>
                <w:lang w:val="lv-LV" w:bidi="en-US"/>
              </w:rPr>
              <w:t>biežums</w:t>
            </w:r>
          </w:p>
        </w:tc>
      </w:tr>
      <w:tr w:rsidR="00755612" w:rsidRPr="00CD6D0C" w:rsidTr="00FE1A59">
        <w:trPr>
          <w:trHeight w:val="1510"/>
        </w:trPr>
        <w:tc>
          <w:tcPr>
            <w:tcW w:w="439" w:type="pct"/>
            <w:tcBorders>
              <w:top w:val="single" w:sz="4" w:space="0" w:color="auto"/>
              <w:left w:val="single" w:sz="4" w:space="0" w:color="auto"/>
              <w:bottom w:val="single" w:sz="4" w:space="0" w:color="auto"/>
              <w:right w:val="single" w:sz="4" w:space="0" w:color="auto"/>
            </w:tcBorders>
          </w:tcPr>
          <w:p w:rsidR="004544E0" w:rsidRPr="00FE1A59" w:rsidRDefault="005F7F12" w:rsidP="00E302F6">
            <w:pPr>
              <w:pStyle w:val="Text1"/>
              <w:spacing w:before="120" w:line="240" w:lineRule="auto"/>
              <w:ind w:left="0" w:right="-432"/>
              <w:jc w:val="left"/>
              <w:rPr>
                <w:sz w:val="18"/>
                <w:szCs w:val="18"/>
                <w:lang w:val="lv-LV"/>
              </w:rPr>
            </w:pPr>
            <w:r w:rsidRPr="00FE1A59">
              <w:rPr>
                <w:sz w:val="18"/>
                <w:szCs w:val="18"/>
              </w:rPr>
              <w:t>1.3.R1</w:t>
            </w:r>
          </w:p>
        </w:tc>
        <w:tc>
          <w:tcPr>
            <w:tcW w:w="808" w:type="pct"/>
            <w:tcBorders>
              <w:top w:val="single" w:sz="4" w:space="0" w:color="auto"/>
              <w:left w:val="single" w:sz="4" w:space="0" w:color="auto"/>
              <w:bottom w:val="single" w:sz="4" w:space="0" w:color="auto"/>
              <w:right w:val="single" w:sz="4" w:space="0" w:color="auto"/>
            </w:tcBorders>
          </w:tcPr>
          <w:p w:rsidR="004544E0" w:rsidRPr="00FE1A59" w:rsidRDefault="00694EC4" w:rsidP="00755612">
            <w:pPr>
              <w:pStyle w:val="Text1"/>
              <w:spacing w:before="120" w:line="240" w:lineRule="auto"/>
              <w:ind w:left="0"/>
              <w:jc w:val="left"/>
              <w:rPr>
                <w:sz w:val="18"/>
                <w:szCs w:val="18"/>
                <w:lang w:val="lv-LV"/>
              </w:rPr>
            </w:pPr>
            <w:r w:rsidRPr="00FE1A59">
              <w:rPr>
                <w:color w:val="000000"/>
                <w:sz w:val="18"/>
                <w:szCs w:val="18"/>
                <w:lang w:val="lv-LV"/>
              </w:rPr>
              <w:t>Mājsaimniecības, kas saskaras ar piesārņojumu un citām vides problēmām pašvaldībās</w:t>
            </w:r>
          </w:p>
        </w:tc>
        <w:tc>
          <w:tcPr>
            <w:tcW w:w="588" w:type="pct"/>
            <w:tcBorders>
              <w:top w:val="single" w:sz="4" w:space="0" w:color="auto"/>
              <w:left w:val="single" w:sz="4" w:space="0" w:color="auto"/>
              <w:bottom w:val="single" w:sz="4" w:space="0" w:color="auto"/>
              <w:right w:val="single" w:sz="4" w:space="0" w:color="auto"/>
            </w:tcBorders>
          </w:tcPr>
          <w:p w:rsidR="004544E0" w:rsidRPr="00FE1A59" w:rsidRDefault="00374109" w:rsidP="00755612">
            <w:pPr>
              <w:pStyle w:val="Text1"/>
              <w:spacing w:before="120" w:line="240" w:lineRule="auto"/>
              <w:ind w:left="0"/>
              <w:jc w:val="left"/>
              <w:rPr>
                <w:sz w:val="18"/>
                <w:szCs w:val="18"/>
                <w:lang w:val="lv-LV"/>
              </w:rPr>
            </w:pPr>
            <w:r w:rsidRPr="00FE1A59">
              <w:rPr>
                <w:sz w:val="18"/>
                <w:szCs w:val="18"/>
                <w:lang w:val="lv-LV"/>
              </w:rPr>
              <w:t>P</w:t>
            </w:r>
            <w:r w:rsidR="00335EE7" w:rsidRPr="00FE1A59">
              <w:rPr>
                <w:sz w:val="18"/>
                <w:szCs w:val="18"/>
                <w:lang w:val="lv-LV"/>
              </w:rPr>
              <w:t>rocenti</w:t>
            </w:r>
          </w:p>
        </w:tc>
        <w:tc>
          <w:tcPr>
            <w:tcW w:w="912" w:type="pct"/>
            <w:tcBorders>
              <w:top w:val="single" w:sz="4" w:space="0" w:color="auto"/>
              <w:left w:val="single" w:sz="4" w:space="0" w:color="auto"/>
              <w:bottom w:val="single" w:sz="4" w:space="0" w:color="auto"/>
              <w:right w:val="single" w:sz="4" w:space="0" w:color="auto"/>
            </w:tcBorders>
          </w:tcPr>
          <w:p w:rsidR="006B1EA8" w:rsidRPr="00FE1A59" w:rsidRDefault="00EA79A6" w:rsidP="00E302F6">
            <w:pPr>
              <w:pStyle w:val="Text1"/>
              <w:spacing w:before="120" w:line="240" w:lineRule="auto"/>
              <w:ind w:left="0" w:right="-432"/>
              <w:jc w:val="center"/>
              <w:rPr>
                <w:b/>
                <w:sz w:val="18"/>
                <w:szCs w:val="18"/>
                <w:lang w:val="lv-LV"/>
              </w:rPr>
            </w:pPr>
            <w:r w:rsidRPr="00FE1A59">
              <w:rPr>
                <w:sz w:val="18"/>
                <w:szCs w:val="18"/>
                <w:lang w:val="lv-LV"/>
              </w:rPr>
              <w:t xml:space="preserve"> 17,2%</w:t>
            </w:r>
          </w:p>
        </w:tc>
        <w:tc>
          <w:tcPr>
            <w:tcW w:w="494" w:type="pct"/>
            <w:tcBorders>
              <w:top w:val="single" w:sz="4" w:space="0" w:color="auto"/>
              <w:left w:val="single" w:sz="4" w:space="0" w:color="auto"/>
              <w:bottom w:val="single" w:sz="4" w:space="0" w:color="auto"/>
              <w:right w:val="single" w:sz="4" w:space="0" w:color="auto"/>
            </w:tcBorders>
          </w:tcPr>
          <w:p w:rsidR="004544E0" w:rsidRPr="00FE1A59" w:rsidRDefault="004544E0" w:rsidP="00E302F6">
            <w:pPr>
              <w:pStyle w:val="Text1"/>
              <w:spacing w:before="120" w:line="240" w:lineRule="auto"/>
              <w:ind w:left="0" w:right="-432"/>
              <w:rPr>
                <w:sz w:val="18"/>
                <w:szCs w:val="18"/>
                <w:lang w:val="lv-LV"/>
              </w:rPr>
            </w:pPr>
            <w:r w:rsidRPr="00FE1A59">
              <w:rPr>
                <w:sz w:val="18"/>
                <w:szCs w:val="18"/>
                <w:lang w:val="lv-LV"/>
              </w:rPr>
              <w:t>201</w:t>
            </w:r>
            <w:r w:rsidR="006B6E87" w:rsidRPr="00FE1A59">
              <w:rPr>
                <w:sz w:val="18"/>
                <w:szCs w:val="18"/>
                <w:lang w:val="lv-LV"/>
              </w:rPr>
              <w:t>3</w:t>
            </w:r>
          </w:p>
        </w:tc>
        <w:tc>
          <w:tcPr>
            <w:tcW w:w="552" w:type="pct"/>
            <w:tcBorders>
              <w:top w:val="single" w:sz="4" w:space="0" w:color="auto"/>
              <w:left w:val="single" w:sz="4" w:space="0" w:color="auto"/>
              <w:bottom w:val="single" w:sz="4" w:space="0" w:color="auto"/>
              <w:right w:val="single" w:sz="4" w:space="0" w:color="auto"/>
            </w:tcBorders>
          </w:tcPr>
          <w:p w:rsidR="004544E0" w:rsidRPr="00FE1A59" w:rsidRDefault="00EA79A6" w:rsidP="00E302F6">
            <w:pPr>
              <w:pStyle w:val="Text1"/>
              <w:spacing w:before="120" w:line="240" w:lineRule="auto"/>
              <w:ind w:left="0" w:right="-432"/>
              <w:jc w:val="left"/>
              <w:rPr>
                <w:sz w:val="18"/>
                <w:szCs w:val="18"/>
                <w:lang w:val="lv-LV"/>
              </w:rPr>
            </w:pPr>
            <w:r w:rsidRPr="00FE1A59">
              <w:rPr>
                <w:sz w:val="18"/>
                <w:szCs w:val="18"/>
              </w:rPr>
              <w:t>16.5%</w:t>
            </w:r>
          </w:p>
        </w:tc>
        <w:tc>
          <w:tcPr>
            <w:tcW w:w="531" w:type="pct"/>
            <w:tcBorders>
              <w:top w:val="single" w:sz="4" w:space="0" w:color="auto"/>
              <w:left w:val="single" w:sz="4" w:space="0" w:color="auto"/>
              <w:bottom w:val="single" w:sz="4" w:space="0" w:color="auto"/>
              <w:right w:val="single" w:sz="4" w:space="0" w:color="auto"/>
            </w:tcBorders>
          </w:tcPr>
          <w:p w:rsidR="004544E0" w:rsidRPr="00FE1A59" w:rsidRDefault="00BE21FA" w:rsidP="00FE1A59">
            <w:pPr>
              <w:pStyle w:val="Text1"/>
              <w:spacing w:before="120" w:line="240" w:lineRule="auto"/>
              <w:ind w:left="0" w:right="-114"/>
              <w:jc w:val="left"/>
              <w:rPr>
                <w:sz w:val="18"/>
                <w:szCs w:val="18"/>
                <w:lang w:val="lv-LV"/>
              </w:rPr>
            </w:pPr>
            <w:r w:rsidRPr="00FE1A59">
              <w:rPr>
                <w:sz w:val="18"/>
                <w:szCs w:val="18"/>
                <w:lang w:val="lv-LV"/>
              </w:rPr>
              <w:t xml:space="preserve"> </w:t>
            </w:r>
            <w:r w:rsidR="00EA79A6" w:rsidRPr="00FE1A59">
              <w:rPr>
                <w:sz w:val="18"/>
                <w:szCs w:val="18"/>
                <w:lang w:val="lv-LV"/>
              </w:rPr>
              <w:t>Valstu statistika</w:t>
            </w:r>
          </w:p>
        </w:tc>
        <w:tc>
          <w:tcPr>
            <w:tcW w:w="675" w:type="pct"/>
            <w:tcBorders>
              <w:top w:val="single" w:sz="4" w:space="0" w:color="auto"/>
              <w:left w:val="single" w:sz="4" w:space="0" w:color="auto"/>
              <w:bottom w:val="single" w:sz="4" w:space="0" w:color="auto"/>
              <w:right w:val="single" w:sz="4" w:space="0" w:color="auto"/>
            </w:tcBorders>
          </w:tcPr>
          <w:p w:rsidR="006B1EA8" w:rsidRPr="00FE1A59" w:rsidRDefault="00EA79A6" w:rsidP="00FE1A59">
            <w:pPr>
              <w:pStyle w:val="Text1"/>
              <w:spacing w:before="120" w:line="240" w:lineRule="auto"/>
              <w:ind w:left="0" w:right="7"/>
              <w:jc w:val="center"/>
              <w:rPr>
                <w:sz w:val="18"/>
                <w:szCs w:val="18"/>
                <w:lang w:val="lv-LV"/>
              </w:rPr>
            </w:pPr>
            <w:r w:rsidRPr="00FE1A59">
              <w:rPr>
                <w:sz w:val="18"/>
                <w:szCs w:val="18"/>
                <w:lang w:val="lv-LV"/>
              </w:rPr>
              <w:t xml:space="preserve">Vienreiz, </w:t>
            </w:r>
            <w:r w:rsidR="006B6E87" w:rsidRPr="00FE1A59">
              <w:rPr>
                <w:sz w:val="18"/>
                <w:szCs w:val="18"/>
                <w:lang w:val="lv-LV"/>
              </w:rPr>
              <w:t>2023</w:t>
            </w:r>
            <w:r w:rsidRPr="00FE1A59">
              <w:rPr>
                <w:sz w:val="18"/>
                <w:szCs w:val="18"/>
                <w:lang w:val="lv-LV"/>
              </w:rPr>
              <w:t>.gadā</w:t>
            </w:r>
          </w:p>
        </w:tc>
      </w:tr>
    </w:tbl>
    <w:p w:rsidR="004544E0" w:rsidRPr="00CD6D0C" w:rsidRDefault="004544E0" w:rsidP="00E302F6">
      <w:pPr>
        <w:spacing w:before="120" w:line="240" w:lineRule="auto"/>
        <w:ind w:right="-432"/>
        <w:rPr>
          <w:lang w:val="lv-LV"/>
        </w:rPr>
      </w:pPr>
    </w:p>
    <w:p w:rsidR="004544E0" w:rsidRPr="00CD6D0C" w:rsidRDefault="008D51F5" w:rsidP="00E302F6">
      <w:pPr>
        <w:spacing w:before="120" w:line="240" w:lineRule="auto"/>
        <w:ind w:right="-432"/>
        <w:rPr>
          <w:rFonts w:ascii="Times New Roman" w:hAnsi="Times New Roman"/>
          <w:lang w:val="lv-LV"/>
        </w:rPr>
      </w:pPr>
      <w:r w:rsidRPr="00CD6D0C">
        <w:rPr>
          <w:rFonts w:ascii="Times New Roman" w:hAnsi="Times New Roman"/>
          <w:lang w:val="lv-LV"/>
        </w:rPr>
        <w:t xml:space="preserve">Plānotos rezultātus var ietekmēt dažādi faktori, tādēļ Programmas ietvaros uzmanība tiek </w:t>
      </w:r>
      <w:r w:rsidR="00694EC4" w:rsidRPr="00CD6D0C">
        <w:rPr>
          <w:rFonts w:ascii="Times New Roman" w:hAnsi="Times New Roman"/>
          <w:lang w:val="lv-LV"/>
        </w:rPr>
        <w:t>pie</w:t>
      </w:r>
      <w:r w:rsidRPr="00CD6D0C">
        <w:rPr>
          <w:rFonts w:ascii="Times New Roman" w:hAnsi="Times New Roman"/>
          <w:lang w:val="lv-LV"/>
        </w:rPr>
        <w:t>vērsta vien</w:t>
      </w:r>
      <w:r w:rsidR="00694EC4" w:rsidRPr="00CD6D0C">
        <w:rPr>
          <w:rFonts w:ascii="Times New Roman" w:hAnsi="Times New Roman"/>
          <w:lang w:val="lv-LV"/>
        </w:rPr>
        <w:t>ai</w:t>
      </w:r>
      <w:r w:rsidRPr="00CD6D0C">
        <w:rPr>
          <w:rFonts w:ascii="Times New Roman" w:hAnsi="Times New Roman"/>
          <w:lang w:val="lv-LV"/>
        </w:rPr>
        <w:t xml:space="preserve"> noteikt</w:t>
      </w:r>
      <w:r w:rsidR="00694EC4" w:rsidRPr="00CD6D0C">
        <w:rPr>
          <w:rFonts w:ascii="Times New Roman" w:hAnsi="Times New Roman"/>
          <w:lang w:val="lv-LV"/>
        </w:rPr>
        <w:t>ai</w:t>
      </w:r>
      <w:r w:rsidRPr="00CD6D0C">
        <w:rPr>
          <w:rFonts w:ascii="Times New Roman" w:hAnsi="Times New Roman"/>
          <w:lang w:val="lv-LV"/>
        </w:rPr>
        <w:t xml:space="preserve">  </w:t>
      </w:r>
      <w:r w:rsidR="00694EC4" w:rsidRPr="00CD6D0C">
        <w:rPr>
          <w:rFonts w:ascii="Times New Roman" w:hAnsi="Times New Roman"/>
          <w:lang w:val="lv-LV"/>
        </w:rPr>
        <w:t>jomai</w:t>
      </w:r>
      <w:r w:rsidRPr="00CD6D0C">
        <w:rPr>
          <w:rFonts w:ascii="Times New Roman" w:hAnsi="Times New Roman"/>
          <w:lang w:val="lv-LV"/>
        </w:rPr>
        <w:t>, proti, vides problēmu risināšan</w:t>
      </w:r>
      <w:r w:rsidR="00694EC4" w:rsidRPr="00CD6D0C">
        <w:rPr>
          <w:rFonts w:ascii="Times New Roman" w:hAnsi="Times New Roman"/>
          <w:lang w:val="lv-LV"/>
        </w:rPr>
        <w:t>ai</w:t>
      </w:r>
      <w:r w:rsidRPr="00CD6D0C">
        <w:rPr>
          <w:rFonts w:ascii="Times New Roman" w:hAnsi="Times New Roman"/>
          <w:lang w:val="lv-LV"/>
        </w:rPr>
        <w:t>, uzlabojot pilsētu/</w:t>
      </w:r>
      <w:r w:rsidR="00871FD7" w:rsidRPr="00CD6D0C">
        <w:rPr>
          <w:rFonts w:ascii="Times New Roman" w:hAnsi="Times New Roman"/>
          <w:lang w:val="lv-LV"/>
        </w:rPr>
        <w:t xml:space="preserve"> </w:t>
      </w:r>
      <w:r w:rsidRPr="00CD6D0C">
        <w:rPr>
          <w:rFonts w:ascii="Times New Roman" w:hAnsi="Times New Roman"/>
          <w:lang w:val="lv-LV"/>
        </w:rPr>
        <w:t xml:space="preserve">pašvaldības teritorijas un izveidojot infrastruktūru un </w:t>
      </w:r>
      <w:r w:rsidR="00694EC4" w:rsidRPr="00CD6D0C">
        <w:rPr>
          <w:rFonts w:ascii="Times New Roman" w:hAnsi="Times New Roman"/>
          <w:lang w:val="lv-LV"/>
        </w:rPr>
        <w:t xml:space="preserve">nodrošinot </w:t>
      </w:r>
      <w:r w:rsidR="005D735D" w:rsidRPr="00CD6D0C">
        <w:rPr>
          <w:rFonts w:ascii="Times New Roman" w:hAnsi="Times New Roman"/>
          <w:lang w:val="lv-LV"/>
        </w:rPr>
        <w:t>publiskās infrastruktūras</w:t>
      </w:r>
      <w:r w:rsidRPr="00CD6D0C">
        <w:rPr>
          <w:rFonts w:ascii="Times New Roman" w:hAnsi="Times New Roman"/>
          <w:lang w:val="lv-LV"/>
        </w:rPr>
        <w:t xml:space="preserve"> </w:t>
      </w:r>
      <w:r w:rsidR="00694EC4" w:rsidRPr="00CD6D0C">
        <w:rPr>
          <w:rFonts w:ascii="Times New Roman" w:hAnsi="Times New Roman"/>
          <w:lang w:val="lv-LV"/>
        </w:rPr>
        <w:t xml:space="preserve">pieejamību </w:t>
      </w:r>
      <w:r w:rsidRPr="00CD6D0C">
        <w:rPr>
          <w:rFonts w:ascii="Times New Roman" w:hAnsi="Times New Roman"/>
          <w:lang w:val="lv-LV"/>
        </w:rPr>
        <w:t xml:space="preserve">turpmākai attīstībai. Galvenais </w:t>
      </w:r>
      <w:r w:rsidR="00694EC4" w:rsidRPr="00CD6D0C">
        <w:rPr>
          <w:rFonts w:ascii="Times New Roman" w:hAnsi="Times New Roman"/>
          <w:lang w:val="lv-LV"/>
        </w:rPr>
        <w:t xml:space="preserve">atbalsta </w:t>
      </w:r>
      <w:r w:rsidRPr="00CD6D0C">
        <w:rPr>
          <w:rFonts w:ascii="Times New Roman" w:hAnsi="Times New Roman"/>
          <w:lang w:val="lv-LV"/>
        </w:rPr>
        <w:t xml:space="preserve">mērķis </w:t>
      </w:r>
      <w:r w:rsidR="005D735D" w:rsidRPr="00CD6D0C">
        <w:rPr>
          <w:rFonts w:ascii="Times New Roman" w:hAnsi="Times New Roman"/>
          <w:lang w:val="lv-LV"/>
        </w:rPr>
        <w:t>ir, atrisinot vides problēmas, radīt</w:t>
      </w:r>
      <w:r w:rsidRPr="00CD6D0C">
        <w:rPr>
          <w:rFonts w:ascii="Times New Roman" w:hAnsi="Times New Roman"/>
          <w:lang w:val="lv-LV"/>
        </w:rPr>
        <w:t xml:space="preserve"> labvēlīgu</w:t>
      </w:r>
      <w:r w:rsidR="005D735D" w:rsidRPr="00CD6D0C">
        <w:rPr>
          <w:rFonts w:ascii="Times New Roman" w:hAnsi="Times New Roman"/>
          <w:lang w:val="lv-LV"/>
        </w:rPr>
        <w:t>s</w:t>
      </w:r>
      <w:r w:rsidRPr="00CD6D0C">
        <w:rPr>
          <w:rFonts w:ascii="Times New Roman" w:hAnsi="Times New Roman"/>
          <w:lang w:val="lv-LV"/>
        </w:rPr>
        <w:t xml:space="preserve"> apstākļu</w:t>
      </w:r>
      <w:r w:rsidR="005D735D" w:rsidRPr="00CD6D0C">
        <w:rPr>
          <w:rFonts w:ascii="Times New Roman" w:hAnsi="Times New Roman"/>
          <w:lang w:val="lv-LV"/>
        </w:rPr>
        <w:t>s</w:t>
      </w:r>
      <w:r w:rsidRPr="00CD6D0C">
        <w:rPr>
          <w:rFonts w:ascii="Times New Roman" w:hAnsi="Times New Roman"/>
          <w:lang w:val="lv-LV"/>
        </w:rPr>
        <w:t xml:space="preserve"> dzīvošanai, kā arī uzņēmējdarbības uzsākšanai un attīstīšanai.</w:t>
      </w:r>
    </w:p>
    <w:p w:rsidR="00CC1141" w:rsidRPr="00CD6D0C" w:rsidRDefault="00CC1141" w:rsidP="00E302F6">
      <w:pPr>
        <w:spacing w:before="120" w:line="240" w:lineRule="auto"/>
        <w:ind w:right="-432"/>
        <w:rPr>
          <w:rFonts w:ascii="Times New Roman" w:hAnsi="Times New Roman"/>
          <w:b/>
          <w:u w:val="single"/>
          <w:lang w:val="lv-LV"/>
        </w:rPr>
      </w:pPr>
    </w:p>
    <w:p w:rsidR="009A0391" w:rsidRPr="00CD6D0C" w:rsidRDefault="005D735D" w:rsidP="00E302F6">
      <w:pPr>
        <w:spacing w:before="120" w:line="240" w:lineRule="auto"/>
        <w:ind w:right="-432"/>
        <w:rPr>
          <w:rFonts w:ascii="Times New Roman" w:hAnsi="Times New Roman"/>
          <w:b/>
          <w:u w:val="single"/>
          <w:lang w:val="lv-LV"/>
        </w:rPr>
      </w:pPr>
      <w:r w:rsidRPr="00CD6D0C">
        <w:rPr>
          <w:rFonts w:ascii="Times New Roman" w:hAnsi="Times New Roman"/>
          <w:b/>
          <w:u w:val="single"/>
          <w:lang w:val="lv-LV"/>
        </w:rPr>
        <w:t>Indikatīvs a</w:t>
      </w:r>
      <w:r w:rsidR="008D51F5" w:rsidRPr="00CD6D0C">
        <w:rPr>
          <w:rFonts w:ascii="Times New Roman" w:hAnsi="Times New Roman"/>
          <w:b/>
          <w:u w:val="single"/>
          <w:lang w:val="lv-LV"/>
        </w:rPr>
        <w:t>tbalstāmo pasākumu saraksts</w:t>
      </w:r>
    </w:p>
    <w:p w:rsidR="004544E0" w:rsidRPr="00CD6D0C" w:rsidRDefault="008D51F5" w:rsidP="00E302F6">
      <w:pPr>
        <w:numPr>
          <w:ilvl w:val="0"/>
          <w:numId w:val="7"/>
        </w:numPr>
        <w:spacing w:before="120" w:line="240" w:lineRule="auto"/>
        <w:ind w:right="-432"/>
        <w:rPr>
          <w:rFonts w:ascii="Times New Roman" w:hAnsi="Times New Roman"/>
          <w:lang w:val="lv-LV"/>
        </w:rPr>
      </w:pPr>
      <w:r w:rsidRPr="00CD6D0C">
        <w:rPr>
          <w:rFonts w:ascii="Times New Roman" w:hAnsi="Times New Roman"/>
          <w:lang w:val="lv-LV"/>
        </w:rPr>
        <w:t>publiskās infrastruktūras uzlabošana pašvaldīb</w:t>
      </w:r>
      <w:r w:rsidR="005D735D" w:rsidRPr="00CD6D0C">
        <w:rPr>
          <w:rFonts w:ascii="Times New Roman" w:hAnsi="Times New Roman"/>
          <w:lang w:val="lv-LV"/>
        </w:rPr>
        <w:t>u</w:t>
      </w:r>
      <w:r w:rsidRPr="00CD6D0C">
        <w:rPr>
          <w:rFonts w:ascii="Times New Roman" w:hAnsi="Times New Roman"/>
          <w:lang w:val="lv-LV"/>
        </w:rPr>
        <w:t xml:space="preserve"> teritorijās, kurās novērojamas vides problēmas</w:t>
      </w:r>
      <w:r w:rsidR="00694EC4" w:rsidRPr="00CD6D0C">
        <w:rPr>
          <w:rFonts w:ascii="Times New Roman" w:hAnsi="Times New Roman"/>
          <w:lang w:val="lv-LV"/>
        </w:rPr>
        <w:t xml:space="preserve">, piemēram, attīrot teritoriju, nojaucot </w:t>
      </w:r>
      <w:r w:rsidR="00554F7F" w:rsidRPr="00CD6D0C">
        <w:rPr>
          <w:rFonts w:ascii="Times New Roman" w:hAnsi="Times New Roman"/>
          <w:lang w:val="lv-LV"/>
        </w:rPr>
        <w:t>graustus</w:t>
      </w:r>
      <w:r w:rsidRPr="00CD6D0C">
        <w:rPr>
          <w:rFonts w:ascii="Times New Roman" w:hAnsi="Times New Roman"/>
          <w:lang w:val="lv-LV"/>
        </w:rPr>
        <w:t>;</w:t>
      </w:r>
    </w:p>
    <w:p w:rsidR="009A0391" w:rsidRPr="00CD6D0C" w:rsidRDefault="008D51F5" w:rsidP="00E302F6">
      <w:pPr>
        <w:pStyle w:val="ListParagraph"/>
        <w:numPr>
          <w:ilvl w:val="0"/>
          <w:numId w:val="7"/>
        </w:numPr>
        <w:spacing w:before="120" w:line="240" w:lineRule="auto"/>
        <w:ind w:right="-432"/>
        <w:rPr>
          <w:rFonts w:ascii="Times New Roman" w:hAnsi="Times New Roman"/>
          <w:lang w:val="lv-LV"/>
        </w:rPr>
      </w:pPr>
      <w:r w:rsidRPr="00CD6D0C">
        <w:rPr>
          <w:rFonts w:ascii="Times New Roman" w:hAnsi="Times New Roman"/>
          <w:lang w:val="lv-LV"/>
        </w:rPr>
        <w:t xml:space="preserve">pieredzes apmaiņa </w:t>
      </w:r>
      <w:r w:rsidR="005D735D" w:rsidRPr="00CD6D0C">
        <w:rPr>
          <w:rFonts w:ascii="Times New Roman" w:hAnsi="Times New Roman"/>
          <w:lang w:val="lv-LV"/>
        </w:rPr>
        <w:t>par</w:t>
      </w:r>
      <w:r w:rsidR="00A50134" w:rsidRPr="00CD6D0C">
        <w:rPr>
          <w:rFonts w:ascii="Times New Roman" w:hAnsi="Times New Roman"/>
          <w:lang w:val="lv-LV"/>
        </w:rPr>
        <w:t xml:space="preserve"> </w:t>
      </w:r>
      <w:r w:rsidR="00554F7F" w:rsidRPr="00CD6D0C">
        <w:rPr>
          <w:rFonts w:ascii="Times New Roman" w:hAnsi="Times New Roman"/>
          <w:lang w:val="lv-LV"/>
        </w:rPr>
        <w:t xml:space="preserve">teritoriju </w:t>
      </w:r>
      <w:r w:rsidR="00A50134" w:rsidRPr="00CD6D0C">
        <w:rPr>
          <w:rFonts w:ascii="Times New Roman" w:hAnsi="Times New Roman"/>
          <w:lang w:val="lv-LV"/>
        </w:rPr>
        <w:t xml:space="preserve">attīstības </w:t>
      </w:r>
      <w:r w:rsidRPr="00CD6D0C">
        <w:rPr>
          <w:rFonts w:ascii="Times New Roman" w:hAnsi="Times New Roman"/>
          <w:lang w:val="lv-LV"/>
        </w:rPr>
        <w:t>plānošanu</w:t>
      </w:r>
      <w:r w:rsidR="005D735D" w:rsidRPr="00CD6D0C">
        <w:rPr>
          <w:rFonts w:ascii="Times New Roman" w:hAnsi="Times New Roman"/>
          <w:lang w:val="lv-LV"/>
        </w:rPr>
        <w:t xml:space="preserve"> </w:t>
      </w:r>
      <w:r w:rsidR="00554F7F" w:rsidRPr="00CD6D0C">
        <w:rPr>
          <w:rFonts w:ascii="Times New Roman" w:hAnsi="Times New Roman"/>
          <w:lang w:val="lv-LV"/>
        </w:rPr>
        <w:t xml:space="preserve">pašvaldībās, kurās pastāv </w:t>
      </w:r>
      <w:r w:rsidR="00A50134" w:rsidRPr="00CD6D0C">
        <w:rPr>
          <w:rFonts w:ascii="Times New Roman" w:hAnsi="Times New Roman"/>
          <w:lang w:val="lv-LV"/>
        </w:rPr>
        <w:t xml:space="preserve"> </w:t>
      </w:r>
      <w:r w:rsidR="005D735D" w:rsidRPr="00CD6D0C">
        <w:rPr>
          <w:rFonts w:ascii="Times New Roman" w:hAnsi="Times New Roman"/>
          <w:lang w:val="lv-LV"/>
        </w:rPr>
        <w:t>vides problēm</w:t>
      </w:r>
      <w:r w:rsidR="00554F7F" w:rsidRPr="00CD6D0C">
        <w:rPr>
          <w:rFonts w:ascii="Times New Roman" w:hAnsi="Times New Roman"/>
          <w:lang w:val="lv-LV"/>
        </w:rPr>
        <w:t>as (t.sk. pilotprojekti)</w:t>
      </w:r>
      <w:r w:rsidR="00A50134" w:rsidRPr="00CD6D0C">
        <w:rPr>
          <w:rFonts w:ascii="Times New Roman" w:hAnsi="Times New Roman"/>
          <w:lang w:val="lv-LV"/>
        </w:rPr>
        <w:t>.</w:t>
      </w:r>
    </w:p>
    <w:p w:rsidR="004544E0" w:rsidRPr="00CD6D0C" w:rsidRDefault="00A50134" w:rsidP="00E302F6">
      <w:pPr>
        <w:pStyle w:val="ListParagraph"/>
        <w:spacing w:before="120" w:line="240" w:lineRule="auto"/>
        <w:ind w:left="0" w:right="-432"/>
        <w:rPr>
          <w:rFonts w:ascii="Times New Roman" w:hAnsi="Times New Roman"/>
          <w:lang w:val="lv-LV"/>
        </w:rPr>
      </w:pPr>
      <w:r w:rsidRPr="00CD6D0C">
        <w:rPr>
          <w:rFonts w:ascii="Times New Roman" w:hAnsi="Times New Roman"/>
          <w:lang w:val="lv-LV"/>
        </w:rPr>
        <w:t>Darbības ir veicamas ar mērķi risināt pašreizējās pašvaldības vides problēmas un sekmēt uzņēmējdarbības attīstību.</w:t>
      </w:r>
    </w:p>
    <w:p w:rsidR="00F861CB" w:rsidRPr="00CD6D0C" w:rsidRDefault="00F861CB" w:rsidP="00E302F6">
      <w:pPr>
        <w:spacing w:before="120" w:line="240" w:lineRule="auto"/>
        <w:ind w:right="-432"/>
        <w:rPr>
          <w:rFonts w:ascii="Times New Roman" w:hAnsi="Times New Roman"/>
          <w:b/>
          <w:lang w:val="lv-LV"/>
        </w:rPr>
      </w:pPr>
    </w:p>
    <w:p w:rsidR="004544E0" w:rsidRPr="00CD6D0C" w:rsidRDefault="000D340E" w:rsidP="00E302F6">
      <w:pPr>
        <w:spacing w:before="120" w:line="240" w:lineRule="auto"/>
        <w:rPr>
          <w:rFonts w:ascii="Times New Roman" w:hAnsi="Times New Roman"/>
          <w:b/>
          <w:u w:val="single"/>
          <w:lang w:val="lv-LV"/>
        </w:rPr>
      </w:pPr>
      <w:r w:rsidRPr="00CD6D0C">
        <w:rPr>
          <w:rFonts w:ascii="Times New Roman" w:hAnsi="Times New Roman"/>
          <w:b/>
          <w:u w:val="single"/>
          <w:lang w:val="lv-LV"/>
        </w:rPr>
        <w:t xml:space="preserve">Iznākumu </w:t>
      </w:r>
      <w:r w:rsidR="00A50134" w:rsidRPr="00CD6D0C">
        <w:rPr>
          <w:rFonts w:ascii="Times New Roman" w:hAnsi="Times New Roman"/>
          <w:b/>
          <w:u w:val="single"/>
          <w:lang w:val="lv-LV"/>
        </w:rPr>
        <w:t>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2"/>
        <w:gridCol w:w="2797"/>
        <w:gridCol w:w="1835"/>
        <w:gridCol w:w="1579"/>
        <w:gridCol w:w="1993"/>
      </w:tblGrid>
      <w:tr w:rsidR="004544E0" w:rsidRPr="00CD6D0C" w:rsidTr="004544E0">
        <w:trPr>
          <w:trHeight w:val="503"/>
          <w:jc w:val="center"/>
        </w:trPr>
        <w:tc>
          <w:tcPr>
            <w:tcW w:w="325" w:type="pct"/>
          </w:tcPr>
          <w:p w:rsidR="004544E0" w:rsidRPr="00CD6D0C" w:rsidRDefault="004544E0"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CD6D0C">
              <w:rPr>
                <w:rFonts w:ascii="Times New Roman" w:hAnsi="Times New Roman"/>
                <w:b/>
                <w:sz w:val="18"/>
                <w:szCs w:val="18"/>
                <w:lang w:val="lv-LV"/>
              </w:rPr>
              <w:t>ID</w:t>
            </w:r>
          </w:p>
        </w:tc>
        <w:tc>
          <w:tcPr>
            <w:tcW w:w="1590" w:type="pct"/>
            <w:shd w:val="clear" w:color="auto" w:fill="auto"/>
          </w:tcPr>
          <w:p w:rsidR="004544E0" w:rsidRPr="00CD6D0C" w:rsidRDefault="0095520A"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CD6D0C">
              <w:rPr>
                <w:rFonts w:ascii="Times New Roman" w:hAnsi="Times New Roman"/>
                <w:sz w:val="20"/>
                <w:szCs w:val="20"/>
                <w:lang w:val="lv-LV" w:bidi="en-US"/>
              </w:rPr>
              <w:t>Rezultatīvais rādītājs</w:t>
            </w:r>
          </w:p>
        </w:tc>
        <w:tc>
          <w:tcPr>
            <w:tcW w:w="1047" w:type="pct"/>
            <w:shd w:val="clear" w:color="auto" w:fill="auto"/>
          </w:tcPr>
          <w:p w:rsidR="004544E0" w:rsidRPr="00CD6D0C" w:rsidRDefault="00A50134" w:rsidP="00E302F6">
            <w:pPr>
              <w:pStyle w:val="ListDash"/>
              <w:numPr>
                <w:ilvl w:val="0"/>
                <w:numId w:val="0"/>
              </w:numPr>
              <w:spacing w:before="120" w:line="240" w:lineRule="auto"/>
              <w:jc w:val="left"/>
              <w:rPr>
                <w:rFonts w:ascii="Times New Roman" w:hAnsi="Times New Roman"/>
                <w:b/>
                <w:sz w:val="18"/>
                <w:szCs w:val="18"/>
                <w:lang w:val="lv-LV"/>
              </w:rPr>
            </w:pPr>
            <w:r w:rsidRPr="00CD6D0C">
              <w:rPr>
                <w:rFonts w:ascii="Times New Roman" w:hAnsi="Times New Roman"/>
                <w:b/>
                <w:sz w:val="18"/>
                <w:szCs w:val="18"/>
                <w:lang w:val="lv-LV"/>
              </w:rPr>
              <w:t>Mērvienība</w:t>
            </w:r>
          </w:p>
        </w:tc>
        <w:tc>
          <w:tcPr>
            <w:tcW w:w="902" w:type="pct"/>
            <w:shd w:val="clear" w:color="auto" w:fill="auto"/>
          </w:tcPr>
          <w:p w:rsidR="004544E0" w:rsidRPr="00CD6D0C" w:rsidRDefault="00A50134" w:rsidP="00E302F6">
            <w:pPr>
              <w:pStyle w:val="ListDash"/>
              <w:numPr>
                <w:ilvl w:val="0"/>
                <w:numId w:val="0"/>
              </w:numPr>
              <w:spacing w:before="120" w:line="240" w:lineRule="auto"/>
              <w:jc w:val="left"/>
              <w:rPr>
                <w:rFonts w:ascii="Times New Roman" w:hAnsi="Times New Roman"/>
                <w:b/>
                <w:sz w:val="18"/>
                <w:szCs w:val="18"/>
                <w:lang w:val="lv-LV"/>
              </w:rPr>
            </w:pPr>
            <w:r w:rsidRPr="00CD6D0C">
              <w:rPr>
                <w:rFonts w:ascii="Times New Roman" w:hAnsi="Times New Roman"/>
                <w:b/>
                <w:sz w:val="18"/>
                <w:szCs w:val="18"/>
                <w:lang w:val="lv-LV"/>
              </w:rPr>
              <w:t>Mērķvērtība</w:t>
            </w:r>
            <w:r w:rsidR="004544E0" w:rsidRPr="00CD6D0C">
              <w:rPr>
                <w:rFonts w:ascii="Times New Roman" w:hAnsi="Times New Roman"/>
                <w:b/>
                <w:sz w:val="18"/>
                <w:szCs w:val="18"/>
                <w:lang w:val="lv-LV"/>
              </w:rPr>
              <w:t xml:space="preserve"> (2023)</w:t>
            </w:r>
          </w:p>
        </w:tc>
        <w:tc>
          <w:tcPr>
            <w:tcW w:w="1136" w:type="pct"/>
            <w:shd w:val="clear" w:color="auto" w:fill="auto"/>
          </w:tcPr>
          <w:p w:rsidR="004544E0" w:rsidRPr="00CD6D0C" w:rsidRDefault="00A50134" w:rsidP="00E302F6">
            <w:pPr>
              <w:pStyle w:val="ListDash"/>
              <w:numPr>
                <w:ilvl w:val="0"/>
                <w:numId w:val="0"/>
              </w:numPr>
              <w:spacing w:before="120" w:line="240" w:lineRule="auto"/>
              <w:jc w:val="left"/>
              <w:rPr>
                <w:rFonts w:ascii="Times New Roman" w:hAnsi="Times New Roman"/>
                <w:b/>
                <w:sz w:val="18"/>
                <w:szCs w:val="18"/>
                <w:lang w:val="lv-LV"/>
              </w:rPr>
            </w:pPr>
            <w:r w:rsidRPr="00CD6D0C">
              <w:rPr>
                <w:rFonts w:ascii="Times New Roman" w:hAnsi="Times New Roman"/>
                <w:b/>
                <w:sz w:val="18"/>
                <w:szCs w:val="18"/>
                <w:lang w:val="lv-LV"/>
              </w:rPr>
              <w:t>Datu avots</w:t>
            </w:r>
          </w:p>
        </w:tc>
      </w:tr>
      <w:tr w:rsidR="004544E0" w:rsidRPr="00B66B1A" w:rsidTr="004544E0">
        <w:trPr>
          <w:trHeight w:val="827"/>
          <w:jc w:val="center"/>
        </w:trPr>
        <w:tc>
          <w:tcPr>
            <w:tcW w:w="325" w:type="pct"/>
          </w:tcPr>
          <w:p w:rsidR="004544E0" w:rsidRPr="00FE1A59" w:rsidRDefault="005F7F12" w:rsidP="00E302F6">
            <w:pPr>
              <w:pStyle w:val="ListDash"/>
              <w:numPr>
                <w:ilvl w:val="0"/>
                <w:numId w:val="0"/>
              </w:numPr>
              <w:spacing w:before="120" w:line="240" w:lineRule="auto"/>
              <w:rPr>
                <w:rFonts w:ascii="Times New Roman" w:hAnsi="Times New Roman"/>
                <w:sz w:val="18"/>
                <w:szCs w:val="18"/>
                <w:lang w:val="lv-LV"/>
              </w:rPr>
            </w:pPr>
            <w:r w:rsidRPr="00FE1A59">
              <w:rPr>
                <w:rFonts w:ascii="Times New Roman" w:hAnsi="Times New Roman"/>
                <w:sz w:val="16"/>
                <w:szCs w:val="16"/>
              </w:rPr>
              <w:t>1.3.O1</w:t>
            </w:r>
          </w:p>
        </w:tc>
        <w:tc>
          <w:tcPr>
            <w:tcW w:w="1590" w:type="pct"/>
            <w:tcBorders>
              <w:bottom w:val="single" w:sz="4" w:space="0" w:color="auto"/>
            </w:tcBorders>
            <w:shd w:val="clear" w:color="auto" w:fill="auto"/>
          </w:tcPr>
          <w:p w:rsidR="004544E0" w:rsidRPr="00FE1A59" w:rsidRDefault="00A50134" w:rsidP="00E302F6">
            <w:pPr>
              <w:pStyle w:val="ListDash"/>
              <w:numPr>
                <w:ilvl w:val="0"/>
                <w:numId w:val="0"/>
              </w:numPr>
              <w:spacing w:before="120" w:line="240" w:lineRule="auto"/>
              <w:jc w:val="left"/>
              <w:rPr>
                <w:rFonts w:ascii="Times New Roman" w:hAnsi="Times New Roman"/>
                <w:sz w:val="18"/>
                <w:szCs w:val="18"/>
                <w:lang w:val="lv-LV"/>
              </w:rPr>
            </w:pPr>
            <w:r w:rsidRPr="00FE1A59">
              <w:rPr>
                <w:rFonts w:ascii="Times New Roman" w:hAnsi="Times New Roman"/>
                <w:sz w:val="18"/>
                <w:szCs w:val="18"/>
                <w:lang w:val="lv-LV"/>
              </w:rPr>
              <w:t>Atjaunotā</w:t>
            </w:r>
            <w:r w:rsidR="00554F7F" w:rsidRPr="00FE1A59">
              <w:rPr>
                <w:rFonts w:ascii="Times New Roman" w:hAnsi="Times New Roman"/>
                <w:sz w:val="18"/>
                <w:szCs w:val="18"/>
                <w:lang w:val="lv-LV"/>
              </w:rPr>
              <w:t xml:space="preserve">s pilsētvides un </w:t>
            </w:r>
            <w:r w:rsidRPr="00FE1A59">
              <w:rPr>
                <w:rFonts w:ascii="Times New Roman" w:hAnsi="Times New Roman"/>
                <w:sz w:val="18"/>
                <w:szCs w:val="18"/>
                <w:lang w:val="lv-LV"/>
              </w:rPr>
              <w:t xml:space="preserve"> pašvaldības teritorija</w:t>
            </w:r>
            <w:r w:rsidR="00554F7F" w:rsidRPr="00FE1A59">
              <w:rPr>
                <w:rFonts w:ascii="Times New Roman" w:hAnsi="Times New Roman"/>
                <w:sz w:val="18"/>
                <w:szCs w:val="18"/>
                <w:lang w:val="lv-LV"/>
              </w:rPr>
              <w:t xml:space="preserve">s, kur iespējams veicināt </w:t>
            </w:r>
            <w:r w:rsidRPr="00FE1A59">
              <w:rPr>
                <w:rFonts w:ascii="Times New Roman" w:hAnsi="Times New Roman"/>
                <w:sz w:val="18"/>
                <w:szCs w:val="18"/>
                <w:lang w:val="lv-LV"/>
              </w:rPr>
              <w:t xml:space="preserve"> ekonomisk</w:t>
            </w:r>
            <w:r w:rsidR="00554F7F" w:rsidRPr="00FE1A59">
              <w:rPr>
                <w:rFonts w:ascii="Times New Roman" w:hAnsi="Times New Roman"/>
                <w:sz w:val="18"/>
                <w:szCs w:val="18"/>
                <w:lang w:val="lv-LV"/>
              </w:rPr>
              <w:t>o</w:t>
            </w:r>
            <w:r w:rsidRPr="00FE1A59">
              <w:rPr>
                <w:rFonts w:ascii="Times New Roman" w:hAnsi="Times New Roman"/>
                <w:sz w:val="18"/>
                <w:szCs w:val="18"/>
                <w:lang w:val="lv-LV"/>
              </w:rPr>
              <w:t xml:space="preserve"> attīstīb</w:t>
            </w:r>
            <w:r w:rsidR="00554F7F" w:rsidRPr="00FE1A59">
              <w:rPr>
                <w:rFonts w:ascii="Times New Roman" w:hAnsi="Times New Roman"/>
                <w:sz w:val="18"/>
                <w:szCs w:val="18"/>
                <w:lang w:val="lv-LV"/>
              </w:rPr>
              <w:t>u</w:t>
            </w:r>
          </w:p>
        </w:tc>
        <w:tc>
          <w:tcPr>
            <w:tcW w:w="1047" w:type="pct"/>
            <w:tcBorders>
              <w:bottom w:val="single" w:sz="4" w:space="0" w:color="auto"/>
            </w:tcBorders>
            <w:shd w:val="clear" w:color="auto" w:fill="auto"/>
          </w:tcPr>
          <w:p w:rsidR="004544E0" w:rsidRPr="00CD6D0C" w:rsidRDefault="00A50134" w:rsidP="00E302F6">
            <w:pPr>
              <w:pStyle w:val="ListDash"/>
              <w:numPr>
                <w:ilvl w:val="0"/>
                <w:numId w:val="0"/>
              </w:numPr>
              <w:spacing w:before="120" w:line="240" w:lineRule="auto"/>
              <w:jc w:val="left"/>
              <w:rPr>
                <w:rFonts w:ascii="Times New Roman" w:hAnsi="Times New Roman"/>
                <w:sz w:val="18"/>
                <w:szCs w:val="18"/>
                <w:lang w:val="lv-LV"/>
              </w:rPr>
            </w:pPr>
            <w:r w:rsidRPr="00CD6D0C">
              <w:rPr>
                <w:rFonts w:ascii="Times New Roman" w:hAnsi="Times New Roman"/>
                <w:sz w:val="18"/>
                <w:szCs w:val="18"/>
                <w:lang w:val="lv-LV"/>
              </w:rPr>
              <w:t>Kvadrātmetri</w:t>
            </w:r>
          </w:p>
          <w:p w:rsidR="004544E0" w:rsidRPr="00CD6D0C" w:rsidRDefault="004544E0" w:rsidP="00E302F6">
            <w:pPr>
              <w:pStyle w:val="ListDash"/>
              <w:numPr>
                <w:ilvl w:val="0"/>
                <w:numId w:val="0"/>
              </w:numPr>
              <w:spacing w:before="120" w:line="240" w:lineRule="auto"/>
              <w:jc w:val="left"/>
              <w:rPr>
                <w:rFonts w:ascii="Times New Roman" w:hAnsi="Times New Roman"/>
                <w:sz w:val="18"/>
                <w:szCs w:val="18"/>
                <w:lang w:val="lv-LV"/>
              </w:rPr>
            </w:pPr>
          </w:p>
        </w:tc>
        <w:tc>
          <w:tcPr>
            <w:tcW w:w="902" w:type="pct"/>
            <w:tcBorders>
              <w:bottom w:val="single" w:sz="4" w:space="0" w:color="auto"/>
            </w:tcBorders>
            <w:shd w:val="clear" w:color="auto" w:fill="auto"/>
          </w:tcPr>
          <w:p w:rsidR="00EA79A6" w:rsidRPr="00EA79A6" w:rsidRDefault="00EA79A6" w:rsidP="00E302F6">
            <w:pPr>
              <w:pStyle w:val="ListDash"/>
              <w:numPr>
                <w:ilvl w:val="0"/>
                <w:numId w:val="0"/>
              </w:numPr>
              <w:spacing w:before="120" w:line="240" w:lineRule="auto"/>
              <w:jc w:val="left"/>
              <w:rPr>
                <w:rFonts w:ascii="Times New Roman" w:hAnsi="Times New Roman"/>
                <w:sz w:val="18"/>
                <w:szCs w:val="18"/>
              </w:rPr>
            </w:pPr>
            <w:r w:rsidRPr="00EA79A6">
              <w:rPr>
                <w:rFonts w:ascii="Times New Roman" w:hAnsi="Times New Roman"/>
                <w:sz w:val="18"/>
                <w:szCs w:val="18"/>
              </w:rPr>
              <w:t xml:space="preserve">160 000* </w:t>
            </w:r>
          </w:p>
          <w:p w:rsidR="004544E0" w:rsidRPr="00EA79A6" w:rsidRDefault="00EA79A6" w:rsidP="00E302F6">
            <w:pPr>
              <w:pStyle w:val="ListDash"/>
              <w:numPr>
                <w:ilvl w:val="0"/>
                <w:numId w:val="0"/>
              </w:numPr>
              <w:spacing w:before="120" w:line="240" w:lineRule="auto"/>
              <w:jc w:val="left"/>
              <w:rPr>
                <w:rFonts w:ascii="Times New Roman" w:hAnsi="Times New Roman"/>
                <w:sz w:val="18"/>
                <w:szCs w:val="18"/>
                <w:lang w:val="lv-LV"/>
              </w:rPr>
            </w:pPr>
            <w:r w:rsidRPr="00EA79A6">
              <w:rPr>
                <w:rFonts w:ascii="Times New Roman" w:hAnsi="Times New Roman"/>
                <w:sz w:val="18"/>
                <w:szCs w:val="18"/>
              </w:rPr>
              <w:t>* varētu tikt pārskatīts</w:t>
            </w:r>
          </w:p>
        </w:tc>
        <w:tc>
          <w:tcPr>
            <w:tcW w:w="1136" w:type="pct"/>
            <w:tcBorders>
              <w:bottom w:val="single" w:sz="4" w:space="0" w:color="auto"/>
            </w:tcBorders>
            <w:shd w:val="clear" w:color="auto" w:fill="auto"/>
          </w:tcPr>
          <w:p w:rsidR="004544E0" w:rsidRPr="00B66B1A" w:rsidRDefault="00A50134" w:rsidP="00E302F6">
            <w:pPr>
              <w:pStyle w:val="ListDash"/>
              <w:numPr>
                <w:ilvl w:val="0"/>
                <w:numId w:val="0"/>
              </w:numPr>
              <w:spacing w:before="120" w:line="240" w:lineRule="auto"/>
              <w:jc w:val="left"/>
              <w:rPr>
                <w:rFonts w:ascii="Times New Roman" w:hAnsi="Times New Roman"/>
                <w:sz w:val="18"/>
                <w:szCs w:val="18"/>
                <w:lang w:val="lv-LV"/>
              </w:rPr>
            </w:pPr>
            <w:r w:rsidRPr="00CD6D0C">
              <w:rPr>
                <w:rFonts w:ascii="Times New Roman" w:hAnsi="Times New Roman"/>
                <w:sz w:val="18"/>
                <w:szCs w:val="18"/>
                <w:lang w:val="lv-LV"/>
              </w:rPr>
              <w:t>Progresa ziņojumi</w:t>
            </w:r>
          </w:p>
        </w:tc>
      </w:tr>
    </w:tbl>
    <w:p w:rsidR="00F73204" w:rsidRPr="00543A74" w:rsidRDefault="00F73204" w:rsidP="00D66FB7">
      <w:pPr>
        <w:pStyle w:val="Heading2"/>
      </w:pPr>
    </w:p>
    <w:p w:rsidR="00EA79A6" w:rsidRPr="00CD6D0C" w:rsidRDefault="00EA79A6" w:rsidP="00E302F6">
      <w:pPr>
        <w:spacing w:before="120" w:line="240" w:lineRule="auto"/>
        <w:rPr>
          <w:rFonts w:ascii="Times New Roman" w:hAnsi="Times New Roman"/>
          <w:b/>
          <w:u w:val="single"/>
          <w:lang w:val="lv-LV"/>
        </w:rPr>
      </w:pPr>
      <w:bookmarkStart w:id="17" w:name="OLE_LINK1"/>
      <w:bookmarkStart w:id="18" w:name="OLE_LINK2"/>
      <w:r w:rsidRPr="00CD6D0C">
        <w:rPr>
          <w:rFonts w:ascii="Times New Roman" w:hAnsi="Times New Roman"/>
          <w:b/>
          <w:u w:val="single"/>
          <w:lang w:val="lv-LV"/>
        </w:rPr>
        <w:t>Darbību atlases pamatprincipi</w:t>
      </w:r>
    </w:p>
    <w:p w:rsidR="00EA79A6" w:rsidRPr="00CD6D0C" w:rsidRDefault="00EA79A6" w:rsidP="00D66FB7">
      <w:pPr>
        <w:pStyle w:val="Heading2"/>
      </w:pPr>
      <w:r>
        <w:rPr>
          <w:lang w:val="lv-LV"/>
        </w:rPr>
        <w:t>Projektu atlases</w:t>
      </w:r>
      <w:r w:rsidRPr="00B66B1A">
        <w:rPr>
          <w:lang w:val="lv-LV"/>
        </w:rPr>
        <w:t xml:space="preserve"> princip</w:t>
      </w:r>
      <w:r>
        <w:rPr>
          <w:lang w:val="lv-LV"/>
        </w:rPr>
        <w:t>u d</w:t>
      </w:r>
      <w:r w:rsidRPr="00B66B1A">
        <w:rPr>
          <w:lang w:val="lv-LV"/>
        </w:rPr>
        <w:t>etalizēta kārtība noteikta 5.3. punktā</w:t>
      </w:r>
    </w:p>
    <w:bookmarkEnd w:id="17"/>
    <w:bookmarkEnd w:id="18"/>
    <w:p w:rsidR="00F73204" w:rsidRPr="00543A74" w:rsidRDefault="00F73204" w:rsidP="00E302F6">
      <w:pPr>
        <w:spacing w:before="120" w:line="240" w:lineRule="auto"/>
        <w:rPr>
          <w:lang w:val="lv-LV" w:eastAsia="fr-BE"/>
        </w:rPr>
      </w:pPr>
      <w:r w:rsidRPr="00543A74">
        <w:rPr>
          <w:lang w:val="lv-LV"/>
        </w:rPr>
        <w:br w:type="page"/>
      </w:r>
    </w:p>
    <w:p w:rsidR="004544E0" w:rsidRPr="00B66B1A" w:rsidRDefault="004544E0" w:rsidP="00D66FB7">
      <w:pPr>
        <w:pStyle w:val="Heading2"/>
      </w:pPr>
      <w:bookmarkStart w:id="19" w:name="_Toc384383728"/>
      <w:r w:rsidRPr="00B66B1A">
        <w:lastRenderedPageBreak/>
        <w:t xml:space="preserve">2.2. </w:t>
      </w:r>
      <w:r w:rsidR="00BE21FA" w:rsidRPr="00B66B1A">
        <w:t>II Prioritāte</w:t>
      </w:r>
      <w:r w:rsidR="00EE2803" w:rsidRPr="00B66B1A">
        <w:t>: nodarbinātības un darbaspēka mobilitātes uzlabošana</w:t>
      </w:r>
      <w:bookmarkEnd w:id="1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4544E0" w:rsidRPr="00C77C1E" w:rsidTr="00FE1A59">
        <w:trPr>
          <w:trHeight w:val="930"/>
        </w:trPr>
        <w:tc>
          <w:tcPr>
            <w:tcW w:w="9000" w:type="dxa"/>
            <w:shd w:val="clear" w:color="auto" w:fill="EAF1DD"/>
          </w:tcPr>
          <w:p w:rsidR="004544E0" w:rsidRPr="00B66B1A" w:rsidRDefault="00EE2803" w:rsidP="00FE1A59">
            <w:pPr>
              <w:pStyle w:val="Text1"/>
              <w:spacing w:before="120" w:line="240" w:lineRule="auto"/>
              <w:ind w:left="0"/>
              <w:rPr>
                <w:szCs w:val="24"/>
                <w:lang w:val="lv-LV"/>
              </w:rPr>
            </w:pPr>
            <w:r w:rsidRPr="00B66B1A">
              <w:rPr>
                <w:szCs w:val="24"/>
                <w:lang w:val="lv-LV"/>
              </w:rPr>
              <w:t>TM</w:t>
            </w:r>
            <w:r w:rsidR="00C13BD0" w:rsidRPr="00B66B1A">
              <w:rPr>
                <w:szCs w:val="24"/>
                <w:lang w:val="lv-LV"/>
                <w:specVanish/>
              </w:rPr>
              <w:t xml:space="preserve"> 8: </w:t>
            </w:r>
            <w:r w:rsidR="00871FD7" w:rsidRPr="00B66B1A">
              <w:rPr>
                <w:szCs w:val="24"/>
                <w:lang w:val="lv-LV"/>
              </w:rPr>
              <w:t>stabilu un kvalitatīvu darba</w:t>
            </w:r>
            <w:r w:rsidR="00BE21FA" w:rsidRPr="00B66B1A">
              <w:rPr>
                <w:szCs w:val="24"/>
                <w:lang w:val="lv-LV"/>
              </w:rPr>
              <w:t>vietu veicināšana un darbaspēka mobilitātes atbalstīšana</w:t>
            </w:r>
          </w:p>
        </w:tc>
      </w:tr>
    </w:tbl>
    <w:p w:rsidR="004544E0" w:rsidRPr="00B66B1A" w:rsidRDefault="004544E0" w:rsidP="00D66FB7">
      <w:pPr>
        <w:pStyle w:val="Heading2"/>
      </w:pPr>
    </w:p>
    <w:tbl>
      <w:tblPr>
        <w:tblpPr w:leftFromText="180" w:rightFromText="180" w:vertAnchor="text" w:horzAnchor="margin" w:tblpY="58"/>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094"/>
      </w:tblGrid>
      <w:tr w:rsidR="004544E0" w:rsidRPr="00A812A8" w:rsidTr="00FE1A59">
        <w:trPr>
          <w:trHeight w:val="759"/>
        </w:trPr>
        <w:tc>
          <w:tcPr>
            <w:tcW w:w="9094" w:type="dxa"/>
            <w:shd w:val="clear" w:color="auto" w:fill="EAF1DD"/>
          </w:tcPr>
          <w:p w:rsidR="004544E0" w:rsidRPr="00B66B1A" w:rsidRDefault="00A5391B" w:rsidP="00E302F6">
            <w:pPr>
              <w:pStyle w:val="Text1"/>
              <w:spacing w:before="120" w:line="240" w:lineRule="auto"/>
              <w:ind w:left="0" w:right="-431"/>
              <w:jc w:val="left"/>
              <w:rPr>
                <w:szCs w:val="24"/>
                <w:lang w:val="lv-LV"/>
              </w:rPr>
            </w:pPr>
            <w:bookmarkStart w:id="20" w:name="_Toc372107601"/>
            <w:r w:rsidRPr="00B66B1A">
              <w:rPr>
                <w:szCs w:val="24"/>
                <w:lang w:val="lv-LV"/>
              </w:rPr>
              <w:t>1. investīciju prioritāte:</w:t>
            </w:r>
          </w:p>
          <w:p w:rsidR="005D735D" w:rsidRPr="00B66B1A" w:rsidRDefault="00BE21FA" w:rsidP="00FE1A59">
            <w:pPr>
              <w:spacing w:before="120" w:line="240" w:lineRule="auto"/>
              <w:rPr>
                <w:rFonts w:ascii="Times New Roman" w:hAnsi="Times New Roman"/>
                <w:b/>
                <w:u w:val="single"/>
                <w:lang w:val="lv-LV"/>
              </w:rPr>
            </w:pPr>
            <w:r w:rsidRPr="00B66B1A">
              <w:rPr>
                <w:rFonts w:ascii="Times New Roman" w:hAnsi="Times New Roman"/>
                <w:b/>
                <w:u w:val="single"/>
                <w:lang w:val="lv-LV"/>
              </w:rPr>
              <w:t xml:space="preserve">atbalstīt uzņēmumu inkubatoru attīstību un investīcijas pašnodarbinātības, mikrouzņēmumu un </w:t>
            </w:r>
            <w:r w:rsidR="000D340E">
              <w:rPr>
                <w:rFonts w:ascii="Times New Roman" w:hAnsi="Times New Roman"/>
                <w:b/>
                <w:u w:val="single"/>
                <w:lang w:val="lv-LV"/>
              </w:rPr>
              <w:t>uzņēmējdarbības</w:t>
            </w:r>
            <w:r w:rsidR="000D340E" w:rsidRPr="00B66B1A">
              <w:rPr>
                <w:rFonts w:ascii="Times New Roman" w:hAnsi="Times New Roman"/>
                <w:b/>
                <w:u w:val="single"/>
                <w:lang w:val="lv-LV"/>
              </w:rPr>
              <w:t xml:space="preserve"> </w:t>
            </w:r>
            <w:r w:rsidRPr="00B66B1A">
              <w:rPr>
                <w:rFonts w:ascii="Times New Roman" w:hAnsi="Times New Roman"/>
                <w:b/>
                <w:u w:val="single"/>
                <w:lang w:val="lv-LV"/>
              </w:rPr>
              <w:t>izveidē</w:t>
            </w:r>
          </w:p>
          <w:p w:rsidR="004544E0" w:rsidRPr="00B66B1A" w:rsidRDefault="0030029A" w:rsidP="00E302F6">
            <w:pPr>
              <w:spacing w:before="120" w:line="240" w:lineRule="auto"/>
              <w:ind w:right="-431"/>
              <w:rPr>
                <w:rFonts w:ascii="Times New Roman" w:hAnsi="Times New Roman"/>
                <w:lang w:val="lv-LV"/>
              </w:rPr>
            </w:pPr>
            <w:r>
              <w:rPr>
                <w:rFonts w:ascii="Times New Roman" w:hAnsi="Times New Roman"/>
                <w:lang w:val="lv-LV"/>
              </w:rPr>
              <w:t>Konkrētais</w:t>
            </w:r>
            <w:r w:rsidR="0080797D" w:rsidRPr="00B66B1A">
              <w:rPr>
                <w:rFonts w:ascii="Times New Roman" w:hAnsi="Times New Roman"/>
                <w:lang w:val="lv-LV"/>
              </w:rPr>
              <w:t xml:space="preserve"> </w:t>
            </w:r>
            <w:r w:rsidR="00A5391B" w:rsidRPr="00B66B1A">
              <w:rPr>
                <w:rFonts w:ascii="Times New Roman" w:hAnsi="Times New Roman"/>
                <w:lang w:val="lv-LV"/>
              </w:rPr>
              <w:t>mērķis</w:t>
            </w:r>
            <w:r w:rsidR="004544E0" w:rsidRPr="00B66B1A">
              <w:rPr>
                <w:rFonts w:ascii="Times New Roman" w:hAnsi="Times New Roman"/>
                <w:lang w:val="lv-LV"/>
              </w:rPr>
              <w:t>:</w:t>
            </w:r>
          </w:p>
          <w:p w:rsidR="00671517" w:rsidRPr="00B66B1A" w:rsidRDefault="005D735D" w:rsidP="00E302F6">
            <w:pPr>
              <w:spacing w:before="120" w:line="240" w:lineRule="auto"/>
              <w:ind w:right="-431"/>
              <w:rPr>
                <w:rFonts w:ascii="Times New Roman" w:hAnsi="Times New Roman"/>
                <w:b/>
                <w:u w:val="single"/>
                <w:lang w:val="lv-LV"/>
              </w:rPr>
            </w:pPr>
            <w:r w:rsidRPr="00B66B1A">
              <w:rPr>
                <w:rFonts w:ascii="Times New Roman" w:hAnsi="Times New Roman"/>
                <w:b/>
                <w:u w:val="single"/>
                <w:lang w:val="lv-LV"/>
              </w:rPr>
              <w:t>r</w:t>
            </w:r>
            <w:r w:rsidR="00BE21FA" w:rsidRPr="00B66B1A">
              <w:rPr>
                <w:rFonts w:ascii="Times New Roman" w:hAnsi="Times New Roman"/>
                <w:b/>
                <w:u w:val="single"/>
                <w:lang w:val="lv-LV"/>
              </w:rPr>
              <w:t xml:space="preserve">adīt nodarbinātības </w:t>
            </w:r>
            <w:r w:rsidR="009A465D" w:rsidRPr="00B66B1A">
              <w:rPr>
                <w:rFonts w:ascii="Times New Roman" w:hAnsi="Times New Roman"/>
                <w:b/>
                <w:u w:val="single"/>
                <w:lang w:val="lv-LV"/>
              </w:rPr>
              <w:t>iespējas,</w:t>
            </w:r>
            <w:r w:rsidR="00A5391B" w:rsidRPr="00B66B1A">
              <w:rPr>
                <w:rFonts w:ascii="Times New Roman" w:hAnsi="Times New Roman"/>
                <w:b/>
                <w:u w:val="single"/>
                <w:lang w:val="lv-LV"/>
              </w:rPr>
              <w:t xml:space="preserve"> atbalstot uzņēmējdarbību</w:t>
            </w:r>
          </w:p>
        </w:tc>
      </w:tr>
      <w:bookmarkEnd w:id="20"/>
    </w:tbl>
    <w:p w:rsidR="008B38E7" w:rsidRPr="00B66B1A" w:rsidRDefault="008B38E7" w:rsidP="00E302F6">
      <w:pPr>
        <w:spacing w:before="120" w:line="240" w:lineRule="auto"/>
        <w:ind w:right="-431"/>
        <w:rPr>
          <w:rFonts w:ascii="Times New Roman" w:hAnsi="Times New Roman"/>
          <w:lang w:val="lv-LV"/>
        </w:rPr>
      </w:pPr>
    </w:p>
    <w:p w:rsidR="00F73204" w:rsidRPr="00B66B1A" w:rsidRDefault="009A465D" w:rsidP="00E302F6">
      <w:pPr>
        <w:spacing w:before="120" w:line="240" w:lineRule="auto"/>
        <w:ind w:right="-431"/>
        <w:rPr>
          <w:rFonts w:ascii="Times New Roman" w:hAnsi="Times New Roman"/>
          <w:lang w:val="lv-LV"/>
        </w:rPr>
      </w:pPr>
      <w:r w:rsidRPr="00B66B1A">
        <w:rPr>
          <w:rFonts w:ascii="Times New Roman" w:hAnsi="Times New Roman"/>
          <w:lang w:val="lv-LV"/>
        </w:rPr>
        <w:t>Tiek sagaidīts</w:t>
      </w:r>
      <w:r w:rsidR="00BE21FA" w:rsidRPr="00B66B1A">
        <w:rPr>
          <w:rFonts w:ascii="Times New Roman" w:hAnsi="Times New Roman"/>
          <w:lang w:val="lv-LV"/>
        </w:rPr>
        <w:t>, ka plānotais atbalsts radīs</w:t>
      </w:r>
      <w:r w:rsidR="00556D2F" w:rsidRPr="00B66B1A">
        <w:rPr>
          <w:rFonts w:ascii="Times New Roman" w:hAnsi="Times New Roman"/>
          <w:lang w:val="lv-LV"/>
        </w:rPr>
        <w:t xml:space="preserve"> pozitīvas nodarbinātības tendences, </w:t>
      </w:r>
      <w:r w:rsidR="00BE21FA" w:rsidRPr="00B66B1A">
        <w:rPr>
          <w:rFonts w:ascii="Times New Roman" w:hAnsi="Times New Roman"/>
          <w:lang w:val="lv-LV"/>
        </w:rPr>
        <w:t xml:space="preserve">jaunu </w:t>
      </w:r>
      <w:r w:rsidR="00556D2F" w:rsidRPr="00B66B1A">
        <w:rPr>
          <w:rFonts w:ascii="Times New Roman" w:hAnsi="Times New Roman"/>
          <w:lang w:val="lv-LV"/>
        </w:rPr>
        <w:t>uzņēmumu izveidi, mikrouzņēmumu attīstību un pašnodarbinātību.</w:t>
      </w:r>
    </w:p>
    <w:p w:rsidR="00F73204" w:rsidRPr="00B66B1A" w:rsidRDefault="00556D2F" w:rsidP="00E302F6">
      <w:pPr>
        <w:spacing w:before="120" w:line="240" w:lineRule="auto"/>
        <w:ind w:right="-431"/>
        <w:rPr>
          <w:rFonts w:ascii="Times New Roman" w:hAnsi="Times New Roman"/>
          <w:lang w:val="lv-LV"/>
        </w:rPr>
      </w:pPr>
      <w:r w:rsidRPr="00B66B1A">
        <w:rPr>
          <w:rFonts w:ascii="Times New Roman" w:hAnsi="Times New Roman"/>
          <w:lang w:val="lv-LV"/>
        </w:rPr>
        <w:t>Apdzīvotības blīvums Programmas reģionos</w:t>
      </w:r>
      <w:r w:rsidR="008D0FA8" w:rsidRPr="00B66B1A">
        <w:rPr>
          <w:rFonts w:ascii="Times New Roman" w:hAnsi="Times New Roman"/>
          <w:lang w:val="lv-LV"/>
        </w:rPr>
        <w:t xml:space="preserve"> ir ievērojami zemāks nekā abu valstu </w:t>
      </w:r>
      <w:r w:rsidR="00CB0801" w:rsidRPr="00B66B1A">
        <w:rPr>
          <w:rFonts w:ascii="Times New Roman" w:hAnsi="Times New Roman"/>
          <w:lang w:val="lv-LV"/>
        </w:rPr>
        <w:t xml:space="preserve">nozīmīgākajās </w:t>
      </w:r>
      <w:r w:rsidR="008D0FA8" w:rsidRPr="00B66B1A">
        <w:rPr>
          <w:rFonts w:ascii="Times New Roman" w:hAnsi="Times New Roman"/>
          <w:lang w:val="lv-LV"/>
        </w:rPr>
        <w:t>pilsētās, kas nozīmē to, ka</w:t>
      </w:r>
      <w:r w:rsidR="00CB0801" w:rsidRPr="00B66B1A">
        <w:rPr>
          <w:rFonts w:ascii="Times New Roman" w:hAnsi="Times New Roman"/>
          <w:lang w:val="lv-LV"/>
        </w:rPr>
        <w:t xml:space="preserve"> uzņēmēju</w:t>
      </w:r>
      <w:r w:rsidR="008D0FA8" w:rsidRPr="00B66B1A">
        <w:rPr>
          <w:rFonts w:ascii="Times New Roman" w:hAnsi="Times New Roman"/>
          <w:lang w:val="lv-LV"/>
        </w:rPr>
        <w:t xml:space="preserve"> piekļuve patērētāj</w:t>
      </w:r>
      <w:r w:rsidR="00CB0801" w:rsidRPr="00B66B1A">
        <w:rPr>
          <w:rFonts w:ascii="Times New Roman" w:hAnsi="Times New Roman"/>
          <w:lang w:val="lv-LV"/>
        </w:rPr>
        <w:t>iem</w:t>
      </w:r>
      <w:r w:rsidR="008D0FA8" w:rsidRPr="00B66B1A">
        <w:rPr>
          <w:rFonts w:ascii="Times New Roman" w:hAnsi="Times New Roman"/>
          <w:lang w:val="lv-LV"/>
        </w:rPr>
        <w:t xml:space="preserve"> </w:t>
      </w:r>
      <w:r w:rsidR="005D735D" w:rsidRPr="00B66B1A">
        <w:rPr>
          <w:rFonts w:ascii="Times New Roman" w:hAnsi="Times New Roman"/>
          <w:lang w:val="lv-LV"/>
        </w:rPr>
        <w:t xml:space="preserve">un </w:t>
      </w:r>
      <w:r w:rsidR="008D0FA8" w:rsidRPr="00B66B1A">
        <w:rPr>
          <w:rFonts w:ascii="Times New Roman" w:hAnsi="Times New Roman"/>
          <w:lang w:val="lv-LV"/>
        </w:rPr>
        <w:t>tirgiem ir relatīvi ierobežota</w:t>
      </w:r>
      <w:r w:rsidR="00CB0801" w:rsidRPr="00B66B1A">
        <w:rPr>
          <w:rFonts w:ascii="Times New Roman" w:hAnsi="Times New Roman"/>
          <w:lang w:val="lv-LV"/>
        </w:rPr>
        <w:t xml:space="preserve"> - t</w:t>
      </w:r>
      <w:r w:rsidR="008D0FA8" w:rsidRPr="00B66B1A">
        <w:rPr>
          <w:rFonts w:ascii="Times New Roman" w:hAnsi="Times New Roman"/>
          <w:lang w:val="lv-LV"/>
        </w:rPr>
        <w:t xml:space="preserve">ādējādi uzņēmumu izveidei nepieciešamā infrastruktūra un kontakti </w:t>
      </w:r>
      <w:r w:rsidR="005D735D" w:rsidRPr="00B66B1A">
        <w:rPr>
          <w:rFonts w:ascii="Times New Roman" w:hAnsi="Times New Roman"/>
          <w:lang w:val="lv-LV"/>
        </w:rPr>
        <w:t xml:space="preserve">ir ļoti būtiski un </w:t>
      </w:r>
      <w:r w:rsidR="0066633B" w:rsidRPr="00B66B1A">
        <w:rPr>
          <w:rFonts w:ascii="Times New Roman" w:hAnsi="Times New Roman"/>
          <w:lang w:val="lv-LV"/>
        </w:rPr>
        <w:t xml:space="preserve">ir </w:t>
      </w:r>
      <w:r w:rsidR="00CB0801" w:rsidRPr="00B66B1A">
        <w:rPr>
          <w:rFonts w:ascii="Times New Roman" w:hAnsi="Times New Roman"/>
          <w:lang w:val="lv-LV"/>
        </w:rPr>
        <w:t>n</w:t>
      </w:r>
      <w:r w:rsidR="008D0FA8" w:rsidRPr="00B66B1A">
        <w:rPr>
          <w:rFonts w:ascii="Times New Roman" w:hAnsi="Times New Roman"/>
          <w:lang w:val="lv-LV"/>
        </w:rPr>
        <w:t>epieciešams motivēt vietējo mazo uzņēmumu un p</w:t>
      </w:r>
      <w:r w:rsidR="005D735D" w:rsidRPr="00B66B1A">
        <w:rPr>
          <w:rFonts w:ascii="Times New Roman" w:hAnsi="Times New Roman"/>
          <w:lang w:val="lv-LV"/>
        </w:rPr>
        <w:t>ašnodarbināto personu sadarbību.</w:t>
      </w:r>
      <w:r w:rsidR="008D0FA8" w:rsidRPr="00B66B1A">
        <w:rPr>
          <w:rFonts w:ascii="Times New Roman" w:hAnsi="Times New Roman"/>
          <w:lang w:val="lv-LV"/>
        </w:rPr>
        <w:t xml:space="preserve"> </w:t>
      </w:r>
      <w:r w:rsidR="00D7255D">
        <w:rPr>
          <w:rFonts w:ascii="Times New Roman" w:hAnsi="Times New Roman"/>
          <w:lang w:val="lv-LV"/>
        </w:rPr>
        <w:t xml:space="preserve">Programma plāno atbalstīt pasākumus, kas veicinās un radīs </w:t>
      </w:r>
      <w:r w:rsidR="00EA79A6">
        <w:rPr>
          <w:rFonts w:ascii="Times New Roman" w:hAnsi="Times New Roman"/>
          <w:lang w:val="lv-LV"/>
        </w:rPr>
        <w:t>jaunas darba vietas</w:t>
      </w:r>
      <w:r w:rsidR="00D7255D">
        <w:rPr>
          <w:rFonts w:ascii="Times New Roman" w:hAnsi="Times New Roman"/>
          <w:lang w:val="lv-LV"/>
        </w:rPr>
        <w:t xml:space="preserve">. </w:t>
      </w:r>
      <w:r w:rsidR="00A670E7">
        <w:rPr>
          <w:rFonts w:ascii="Times New Roman" w:hAnsi="Times New Roman"/>
          <w:lang w:val="lv-LV"/>
        </w:rPr>
        <w:t xml:space="preserve">Programmas ietvaros varētu tikt atbalstīta arī darbības </w:t>
      </w:r>
      <w:r w:rsidR="008D0FA8" w:rsidRPr="00B66B1A">
        <w:rPr>
          <w:rFonts w:ascii="Times New Roman" w:hAnsi="Times New Roman"/>
          <w:lang w:val="lv-LV"/>
        </w:rPr>
        <w:t>mazo lauku apvidu uzņēmumu pastāvēšanai un attīstībai (</w:t>
      </w:r>
      <w:r w:rsidR="00A670E7">
        <w:rPr>
          <w:rFonts w:ascii="Times New Roman" w:hAnsi="Times New Roman"/>
          <w:lang w:val="lv-LV"/>
        </w:rPr>
        <w:t xml:space="preserve">tai skaitā veicināt </w:t>
      </w:r>
      <w:r w:rsidR="00B0273F" w:rsidRPr="00B66B1A">
        <w:rPr>
          <w:rFonts w:ascii="Times New Roman" w:hAnsi="Times New Roman"/>
          <w:lang w:val="lv-LV"/>
        </w:rPr>
        <w:t>spēj</w:t>
      </w:r>
      <w:r w:rsidR="00A670E7">
        <w:rPr>
          <w:rFonts w:ascii="Times New Roman" w:hAnsi="Times New Roman"/>
          <w:lang w:val="lv-LV"/>
        </w:rPr>
        <w:t>u</w:t>
      </w:r>
      <w:r w:rsidR="00B0273F" w:rsidRPr="00B66B1A">
        <w:rPr>
          <w:rFonts w:ascii="Times New Roman" w:hAnsi="Times New Roman"/>
          <w:lang w:val="lv-LV"/>
        </w:rPr>
        <w:t xml:space="preserve"> piekļūt tirgum un pārdot vietējos produktus, piemēram, ekoloģiskos pārtikas produktus, amatniecības izstrādājumus, suvenīrus u.c.).</w:t>
      </w:r>
    </w:p>
    <w:p w:rsidR="004544E0" w:rsidRPr="00B66B1A" w:rsidRDefault="00B0273F" w:rsidP="00E302F6">
      <w:pPr>
        <w:spacing w:before="120" w:line="240" w:lineRule="auto"/>
        <w:ind w:right="-431"/>
        <w:rPr>
          <w:rFonts w:ascii="Times New Roman" w:hAnsi="Times New Roman"/>
          <w:lang w:val="lv-LV"/>
        </w:rPr>
      </w:pPr>
      <w:r w:rsidRPr="00B66B1A">
        <w:rPr>
          <w:rFonts w:ascii="Times New Roman" w:hAnsi="Times New Roman"/>
          <w:lang w:val="lv-LV"/>
        </w:rPr>
        <w:t xml:space="preserve">Šīs investīciju prioritātes ietvaros Programma </w:t>
      </w:r>
      <w:r w:rsidR="005D735D" w:rsidRPr="00B66B1A">
        <w:rPr>
          <w:rFonts w:ascii="Times New Roman" w:hAnsi="Times New Roman"/>
          <w:lang w:val="lv-LV"/>
        </w:rPr>
        <w:t>plāno sniegt netiešu atbalstu</w:t>
      </w:r>
      <w:r w:rsidRPr="00B66B1A">
        <w:rPr>
          <w:rFonts w:ascii="Times New Roman" w:hAnsi="Times New Roman"/>
          <w:lang w:val="lv-LV"/>
        </w:rPr>
        <w:t xml:space="preserve"> uzņēmumu izveidei, mikrouzņēmumiem un pašnodarbinātajām personām, attīstot un radot uzņēmējdarbības atbalsta pakalpojumus, kā arī </w:t>
      </w:r>
      <w:r w:rsidR="005D735D" w:rsidRPr="00B66B1A">
        <w:rPr>
          <w:rFonts w:ascii="Times New Roman" w:hAnsi="Times New Roman"/>
          <w:lang w:val="lv-LV"/>
        </w:rPr>
        <w:t>uzlabojot/ radot infrastruktūru</w:t>
      </w:r>
      <w:r w:rsidRPr="00B66B1A">
        <w:rPr>
          <w:rFonts w:ascii="Times New Roman" w:hAnsi="Times New Roman"/>
          <w:lang w:val="lv-LV"/>
        </w:rPr>
        <w:t>.</w:t>
      </w:r>
      <w:r w:rsidR="00D7255D">
        <w:rPr>
          <w:rFonts w:ascii="Times New Roman" w:hAnsi="Times New Roman"/>
          <w:lang w:val="lv-LV"/>
        </w:rPr>
        <w:t xml:space="preserve"> </w:t>
      </w:r>
    </w:p>
    <w:p w:rsidR="004544E0" w:rsidRPr="00B66B1A" w:rsidRDefault="00563E0F" w:rsidP="00E302F6">
      <w:pPr>
        <w:spacing w:before="120" w:line="240" w:lineRule="auto"/>
        <w:ind w:right="-431"/>
        <w:rPr>
          <w:rFonts w:ascii="Times New Roman" w:hAnsi="Times New Roman"/>
          <w:lang w:val="lv-LV"/>
        </w:rPr>
      </w:pPr>
      <w:r w:rsidRPr="00B66B1A">
        <w:rPr>
          <w:rFonts w:ascii="Times New Roman" w:hAnsi="Times New Roman"/>
          <w:lang w:val="lv-LV"/>
        </w:rPr>
        <w:t>Tiek sagaidīts</w:t>
      </w:r>
      <w:r w:rsidR="00B0273F" w:rsidRPr="00B66B1A">
        <w:rPr>
          <w:rFonts w:ascii="Times New Roman" w:hAnsi="Times New Roman"/>
          <w:lang w:val="lv-LV"/>
        </w:rPr>
        <w:t xml:space="preserve">, ka </w:t>
      </w:r>
      <w:r w:rsidRPr="00B66B1A">
        <w:rPr>
          <w:rFonts w:ascii="Times New Roman" w:hAnsi="Times New Roman"/>
          <w:lang w:val="lv-LV"/>
        </w:rPr>
        <w:t>Porgrammas</w:t>
      </w:r>
      <w:r w:rsidR="006718A5" w:rsidRPr="00B66B1A">
        <w:rPr>
          <w:rFonts w:ascii="Times New Roman" w:hAnsi="Times New Roman"/>
          <w:lang w:val="lv-LV"/>
        </w:rPr>
        <w:t xml:space="preserve"> atbalsts sekmēs</w:t>
      </w:r>
      <w:r w:rsidR="00B0273F" w:rsidRPr="00B66B1A">
        <w:rPr>
          <w:rFonts w:ascii="Times New Roman" w:hAnsi="Times New Roman"/>
          <w:lang w:val="lv-LV"/>
        </w:rPr>
        <w:t xml:space="preserve"> uzņēmumu izveidi reģionos.</w:t>
      </w:r>
    </w:p>
    <w:p w:rsidR="004544E0" w:rsidRPr="00B66B1A" w:rsidRDefault="004544E0" w:rsidP="00E302F6">
      <w:pPr>
        <w:spacing w:before="120" w:line="240" w:lineRule="auto"/>
        <w:rPr>
          <w:rFonts w:ascii="Times New Roman" w:hAnsi="Times New Roman"/>
          <w:u w:val="single"/>
          <w:lang w:val="lv-LV"/>
        </w:rPr>
      </w:pPr>
    </w:p>
    <w:p w:rsidR="004544E0" w:rsidRPr="00B66B1A" w:rsidRDefault="00B0273F" w:rsidP="00E302F6">
      <w:pPr>
        <w:spacing w:before="120" w:line="240" w:lineRule="auto"/>
        <w:rPr>
          <w:rFonts w:ascii="Times New Roman" w:hAnsi="Times New Roman"/>
          <w:u w:val="single"/>
          <w:lang w:val="lv-LV"/>
        </w:rPr>
      </w:pPr>
      <w:r w:rsidRPr="00B66B1A">
        <w:rPr>
          <w:rFonts w:ascii="Times New Roman" w:hAnsi="Times New Roman"/>
          <w:b/>
          <w:u w:val="single"/>
          <w:lang w:val="lv-LV"/>
        </w:rPr>
        <w:t>Sagaidāmais rezultāts:</w:t>
      </w:r>
      <w:r w:rsidRPr="00B66B1A">
        <w:rPr>
          <w:rFonts w:ascii="Times New Roman" w:hAnsi="Times New Roman"/>
          <w:b/>
          <w:lang w:val="lv-LV"/>
        </w:rPr>
        <w:t xml:space="preserve"> </w:t>
      </w:r>
      <w:r w:rsidRPr="00B66B1A">
        <w:rPr>
          <w:rFonts w:ascii="Times New Roman" w:hAnsi="Times New Roman"/>
          <w:lang w:val="lv-LV"/>
        </w:rPr>
        <w:t>uzlabota saimnieciskā darbība Programmas teritorijā un jaunas uzņēmējdarbības iespējas.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03"/>
        <w:gridCol w:w="1295"/>
        <w:gridCol w:w="1273"/>
        <w:gridCol w:w="1134"/>
        <w:gridCol w:w="1134"/>
        <w:gridCol w:w="850"/>
        <w:gridCol w:w="1093"/>
      </w:tblGrid>
      <w:tr w:rsidR="004F1EF0" w:rsidRPr="00B66B1A" w:rsidTr="006B1EA8">
        <w:trPr>
          <w:trHeight w:val="870"/>
        </w:trPr>
        <w:tc>
          <w:tcPr>
            <w:tcW w:w="381" w:type="pct"/>
            <w:tcBorders>
              <w:top w:val="single" w:sz="4" w:space="0" w:color="auto"/>
              <w:left w:val="single" w:sz="4" w:space="0" w:color="auto"/>
              <w:bottom w:val="single" w:sz="4" w:space="0" w:color="auto"/>
              <w:right w:val="single" w:sz="4" w:space="0" w:color="auto"/>
            </w:tcBorders>
          </w:tcPr>
          <w:p w:rsidR="004544E0" w:rsidRPr="00B66B1A" w:rsidRDefault="004544E0"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ID</w:t>
            </w:r>
          </w:p>
        </w:tc>
        <w:tc>
          <w:tcPr>
            <w:tcW w:w="792" w:type="pct"/>
            <w:tcBorders>
              <w:top w:val="single" w:sz="4" w:space="0" w:color="auto"/>
              <w:left w:val="single" w:sz="4" w:space="0" w:color="auto"/>
              <w:bottom w:val="single" w:sz="4" w:space="0" w:color="auto"/>
              <w:right w:val="single" w:sz="4" w:space="0" w:color="auto"/>
            </w:tcBorders>
            <w:hideMark/>
          </w:tcPr>
          <w:p w:rsidR="004544E0" w:rsidRPr="00B66B1A" w:rsidRDefault="00B0273F"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R</w:t>
            </w:r>
            <w:r w:rsidR="004F1EF0">
              <w:rPr>
                <w:rFonts w:ascii="Times New Roman" w:hAnsi="Times New Roman"/>
                <w:b/>
                <w:sz w:val="18"/>
                <w:szCs w:val="18"/>
                <w:lang w:val="lv-LV"/>
              </w:rPr>
              <w:t>ezultatīvais r</w:t>
            </w:r>
            <w:r w:rsidRPr="00B66B1A">
              <w:rPr>
                <w:rFonts w:ascii="Times New Roman" w:hAnsi="Times New Roman"/>
                <w:b/>
                <w:sz w:val="18"/>
                <w:szCs w:val="18"/>
                <w:lang w:val="lv-LV"/>
              </w:rPr>
              <w:t>ādītājs</w:t>
            </w:r>
          </w:p>
        </w:tc>
        <w:tc>
          <w:tcPr>
            <w:tcW w:w="731" w:type="pct"/>
            <w:tcBorders>
              <w:top w:val="single" w:sz="4" w:space="0" w:color="auto"/>
              <w:left w:val="single" w:sz="4" w:space="0" w:color="auto"/>
              <w:bottom w:val="single" w:sz="4" w:space="0" w:color="auto"/>
              <w:right w:val="single" w:sz="4" w:space="0" w:color="auto"/>
            </w:tcBorders>
            <w:hideMark/>
          </w:tcPr>
          <w:p w:rsidR="004544E0" w:rsidRPr="00B66B1A" w:rsidRDefault="00B0273F" w:rsidP="00E302F6">
            <w:pPr>
              <w:snapToGrid w:val="0"/>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Mērvienība</w:t>
            </w:r>
          </w:p>
        </w:tc>
        <w:tc>
          <w:tcPr>
            <w:tcW w:w="719" w:type="pct"/>
            <w:tcBorders>
              <w:top w:val="single" w:sz="4" w:space="0" w:color="auto"/>
              <w:left w:val="single" w:sz="4" w:space="0" w:color="auto"/>
              <w:bottom w:val="single" w:sz="4" w:space="0" w:color="auto"/>
              <w:right w:val="single" w:sz="4" w:space="0" w:color="auto"/>
            </w:tcBorders>
            <w:hideMark/>
          </w:tcPr>
          <w:p w:rsidR="004544E0" w:rsidRPr="00B66B1A" w:rsidRDefault="004F1EF0" w:rsidP="00E302F6">
            <w:pPr>
              <w:pStyle w:val="ListBullet"/>
              <w:numPr>
                <w:ilvl w:val="0"/>
                <w:numId w:val="0"/>
              </w:numPr>
              <w:tabs>
                <w:tab w:val="left" w:pos="720"/>
              </w:tabs>
              <w:spacing w:before="120" w:line="240" w:lineRule="auto"/>
              <w:rPr>
                <w:rFonts w:ascii="Times New Roman" w:hAnsi="Times New Roman"/>
                <w:b/>
                <w:sz w:val="18"/>
                <w:szCs w:val="18"/>
                <w:lang w:val="lv-LV"/>
              </w:rPr>
            </w:pPr>
            <w:r>
              <w:rPr>
                <w:rFonts w:ascii="Times New Roman" w:hAnsi="Times New Roman"/>
                <w:b/>
                <w:sz w:val="18"/>
                <w:szCs w:val="18"/>
                <w:lang w:val="lv-LV"/>
              </w:rPr>
              <w:t>Atsauces</w:t>
            </w:r>
            <w:r w:rsidRPr="00B66B1A">
              <w:rPr>
                <w:rFonts w:ascii="Times New Roman" w:hAnsi="Times New Roman"/>
                <w:b/>
                <w:sz w:val="18"/>
                <w:szCs w:val="18"/>
                <w:lang w:val="lv-LV"/>
              </w:rPr>
              <w:t xml:space="preserve"> </w:t>
            </w:r>
            <w:r w:rsidR="00B0273F" w:rsidRPr="00B66B1A">
              <w:rPr>
                <w:rFonts w:ascii="Times New Roman" w:hAnsi="Times New Roman"/>
                <w:b/>
                <w:sz w:val="18"/>
                <w:szCs w:val="18"/>
                <w:lang w:val="lv-LV"/>
              </w:rPr>
              <w:t>vērtība</w:t>
            </w:r>
            <w:r w:rsidR="004544E0" w:rsidRPr="00B66B1A">
              <w:rPr>
                <w:rFonts w:ascii="Times New Roman" w:hAnsi="Times New Roman"/>
                <w:b/>
                <w:sz w:val="18"/>
                <w:szCs w:val="18"/>
                <w:lang w:val="lv-LV"/>
              </w:rPr>
              <w:t xml:space="preserve"> </w:t>
            </w:r>
          </w:p>
        </w:tc>
        <w:tc>
          <w:tcPr>
            <w:tcW w:w="640" w:type="pct"/>
            <w:tcBorders>
              <w:top w:val="single" w:sz="4" w:space="0" w:color="auto"/>
              <w:left w:val="single" w:sz="4" w:space="0" w:color="auto"/>
              <w:bottom w:val="single" w:sz="4" w:space="0" w:color="auto"/>
              <w:right w:val="single" w:sz="4" w:space="0" w:color="auto"/>
            </w:tcBorders>
            <w:hideMark/>
          </w:tcPr>
          <w:p w:rsidR="004544E0" w:rsidRPr="00B66B1A" w:rsidRDefault="004F1EF0" w:rsidP="00E302F6">
            <w:pPr>
              <w:snapToGrid w:val="0"/>
              <w:spacing w:before="120" w:line="240" w:lineRule="auto"/>
              <w:rPr>
                <w:rFonts w:ascii="Times New Roman" w:hAnsi="Times New Roman"/>
                <w:b/>
                <w:sz w:val="18"/>
                <w:szCs w:val="18"/>
                <w:lang w:val="lv-LV"/>
              </w:rPr>
            </w:pPr>
            <w:r>
              <w:rPr>
                <w:rFonts w:ascii="Times New Roman" w:hAnsi="Times New Roman"/>
                <w:b/>
                <w:sz w:val="18"/>
                <w:szCs w:val="18"/>
                <w:lang w:val="lv-LV"/>
              </w:rPr>
              <w:t>Atsauce</w:t>
            </w:r>
            <w:r w:rsidRPr="00B66B1A">
              <w:rPr>
                <w:rFonts w:ascii="Times New Roman" w:hAnsi="Times New Roman"/>
                <w:b/>
                <w:sz w:val="18"/>
                <w:szCs w:val="18"/>
                <w:lang w:val="lv-LV"/>
              </w:rPr>
              <w:t xml:space="preserve">s </w:t>
            </w:r>
            <w:r w:rsidR="00B0273F" w:rsidRPr="00B66B1A">
              <w:rPr>
                <w:rFonts w:ascii="Times New Roman" w:hAnsi="Times New Roman"/>
                <w:b/>
                <w:sz w:val="18"/>
                <w:szCs w:val="18"/>
                <w:lang w:val="lv-LV"/>
              </w:rPr>
              <w:t>gads</w:t>
            </w:r>
          </w:p>
        </w:tc>
        <w:tc>
          <w:tcPr>
            <w:tcW w:w="640" w:type="pct"/>
            <w:tcBorders>
              <w:top w:val="single" w:sz="4" w:space="0" w:color="auto"/>
              <w:left w:val="single" w:sz="4" w:space="0" w:color="auto"/>
              <w:bottom w:val="single" w:sz="4" w:space="0" w:color="auto"/>
              <w:right w:val="single" w:sz="4" w:space="0" w:color="auto"/>
            </w:tcBorders>
            <w:hideMark/>
          </w:tcPr>
          <w:p w:rsidR="004544E0" w:rsidRPr="00B66B1A" w:rsidRDefault="00B0273F"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Mērķvērtība</w:t>
            </w:r>
            <w:r w:rsidR="00195220" w:rsidRPr="00B66B1A">
              <w:rPr>
                <w:rFonts w:ascii="Times New Roman" w:hAnsi="Times New Roman"/>
                <w:b/>
                <w:sz w:val="18"/>
                <w:szCs w:val="18"/>
                <w:lang w:val="lv-LV"/>
              </w:rPr>
              <w:t xml:space="preserve"> </w:t>
            </w:r>
            <w:r w:rsidR="004544E0" w:rsidRPr="00B66B1A">
              <w:rPr>
                <w:rFonts w:ascii="Times New Roman" w:hAnsi="Times New Roman"/>
                <w:b/>
                <w:sz w:val="18"/>
                <w:szCs w:val="18"/>
                <w:lang w:val="lv-LV"/>
              </w:rPr>
              <w:t xml:space="preserve">(2023) </w:t>
            </w:r>
          </w:p>
        </w:tc>
        <w:tc>
          <w:tcPr>
            <w:tcW w:w="480" w:type="pct"/>
            <w:tcBorders>
              <w:top w:val="single" w:sz="4" w:space="0" w:color="auto"/>
              <w:left w:val="single" w:sz="4" w:space="0" w:color="auto"/>
              <w:bottom w:val="single" w:sz="4" w:space="0" w:color="auto"/>
              <w:right w:val="single" w:sz="4" w:space="0" w:color="auto"/>
            </w:tcBorders>
            <w:hideMark/>
          </w:tcPr>
          <w:p w:rsidR="004544E0" w:rsidRPr="00B66B1A" w:rsidRDefault="00B0273F"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Datu avots</w:t>
            </w:r>
          </w:p>
        </w:tc>
        <w:tc>
          <w:tcPr>
            <w:tcW w:w="617" w:type="pct"/>
            <w:tcBorders>
              <w:top w:val="single" w:sz="4" w:space="0" w:color="auto"/>
              <w:left w:val="single" w:sz="4" w:space="0" w:color="auto"/>
              <w:bottom w:val="single" w:sz="4" w:space="0" w:color="auto"/>
              <w:right w:val="single" w:sz="4" w:space="0" w:color="auto"/>
            </w:tcBorders>
          </w:tcPr>
          <w:p w:rsidR="0009546C" w:rsidRPr="00B81180" w:rsidRDefault="0009546C"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Ziņojuma</w:t>
            </w:r>
          </w:p>
          <w:p w:rsidR="0009546C" w:rsidRPr="00B81180" w:rsidRDefault="0009546C"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iesniegšanas</w:t>
            </w:r>
          </w:p>
          <w:p w:rsidR="004544E0" w:rsidRPr="00B66B1A" w:rsidRDefault="0009546C"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FC1594">
              <w:rPr>
                <w:rFonts w:ascii="Times New Roman" w:hAnsi="Times New Roman"/>
                <w:sz w:val="20"/>
                <w:szCs w:val="20"/>
                <w:lang w:val="lv-LV" w:bidi="en-US"/>
              </w:rPr>
              <w:t>biežums</w:t>
            </w:r>
          </w:p>
        </w:tc>
      </w:tr>
      <w:tr w:rsidR="004F1EF0" w:rsidRPr="00B66B1A" w:rsidTr="006B1EA8">
        <w:trPr>
          <w:trHeight w:val="841"/>
        </w:trPr>
        <w:tc>
          <w:tcPr>
            <w:tcW w:w="381" w:type="pct"/>
            <w:tcBorders>
              <w:top w:val="single" w:sz="4" w:space="0" w:color="auto"/>
              <w:left w:val="single" w:sz="4" w:space="0" w:color="auto"/>
              <w:bottom w:val="single" w:sz="4" w:space="0" w:color="auto"/>
              <w:right w:val="single" w:sz="4" w:space="0" w:color="auto"/>
            </w:tcBorders>
            <w:vAlign w:val="center"/>
          </w:tcPr>
          <w:p w:rsidR="004544E0" w:rsidRPr="00B66B1A" w:rsidRDefault="005F7F12" w:rsidP="00E302F6">
            <w:pPr>
              <w:pStyle w:val="Text1"/>
              <w:spacing w:before="120" w:line="240" w:lineRule="auto"/>
              <w:ind w:left="0"/>
              <w:jc w:val="left"/>
              <w:rPr>
                <w:sz w:val="18"/>
                <w:szCs w:val="18"/>
                <w:lang w:val="lv-LV"/>
              </w:rPr>
            </w:pPr>
            <w:r w:rsidRPr="00BA2B1E">
              <w:rPr>
                <w:rFonts w:ascii="Verdana" w:hAnsi="Verdana"/>
                <w:sz w:val="16"/>
                <w:szCs w:val="16"/>
              </w:rPr>
              <w:t>2.1.R1</w:t>
            </w:r>
          </w:p>
        </w:tc>
        <w:tc>
          <w:tcPr>
            <w:tcW w:w="792" w:type="pct"/>
            <w:tcBorders>
              <w:top w:val="single" w:sz="4" w:space="0" w:color="auto"/>
              <w:left w:val="single" w:sz="4" w:space="0" w:color="auto"/>
              <w:bottom w:val="single" w:sz="4" w:space="0" w:color="auto"/>
              <w:right w:val="single" w:sz="4" w:space="0" w:color="auto"/>
            </w:tcBorders>
            <w:vAlign w:val="center"/>
          </w:tcPr>
          <w:p w:rsidR="004544E0" w:rsidRPr="00B66B1A" w:rsidRDefault="00114F9C" w:rsidP="00E302F6">
            <w:pPr>
              <w:pStyle w:val="Text1"/>
              <w:spacing w:before="120" w:line="240" w:lineRule="auto"/>
              <w:ind w:left="0"/>
              <w:jc w:val="left"/>
              <w:rPr>
                <w:sz w:val="18"/>
                <w:szCs w:val="18"/>
                <w:lang w:val="lv-LV"/>
              </w:rPr>
            </w:pPr>
            <w:r>
              <w:rPr>
                <w:sz w:val="18"/>
                <w:szCs w:val="18"/>
                <w:lang w:val="lv-LV"/>
              </w:rPr>
              <w:t>J</w:t>
            </w:r>
            <w:r w:rsidR="00B0273F" w:rsidRPr="00B66B1A">
              <w:rPr>
                <w:sz w:val="18"/>
                <w:szCs w:val="18"/>
                <w:lang w:val="lv-LV"/>
              </w:rPr>
              <w:t>aunizveidoto uzņēmumu skait</w:t>
            </w:r>
            <w:r w:rsidR="004F1EF0">
              <w:rPr>
                <w:sz w:val="18"/>
                <w:szCs w:val="18"/>
                <w:lang w:val="lv-LV"/>
              </w:rPr>
              <w:t>a pieaugums</w:t>
            </w:r>
          </w:p>
        </w:tc>
        <w:tc>
          <w:tcPr>
            <w:tcW w:w="731" w:type="pct"/>
            <w:tcBorders>
              <w:top w:val="single" w:sz="4" w:space="0" w:color="auto"/>
              <w:left w:val="single" w:sz="4" w:space="0" w:color="auto"/>
              <w:bottom w:val="single" w:sz="4" w:space="0" w:color="auto"/>
              <w:right w:val="single" w:sz="4" w:space="0" w:color="auto"/>
            </w:tcBorders>
            <w:vAlign w:val="center"/>
          </w:tcPr>
          <w:p w:rsidR="004544E0" w:rsidRPr="00B66B1A" w:rsidRDefault="0043367E" w:rsidP="00E302F6">
            <w:pPr>
              <w:snapToGrid w:val="0"/>
              <w:spacing w:before="120" w:line="240" w:lineRule="auto"/>
              <w:jc w:val="left"/>
              <w:rPr>
                <w:rFonts w:ascii="Times New Roman" w:hAnsi="Times New Roman"/>
                <w:sz w:val="18"/>
                <w:szCs w:val="18"/>
                <w:lang w:val="lv-LV"/>
              </w:rPr>
            </w:pPr>
            <w:r>
              <w:rPr>
                <w:rFonts w:ascii="Times New Roman" w:hAnsi="Times New Roman"/>
                <w:sz w:val="18"/>
                <w:szCs w:val="18"/>
                <w:lang w:val="lv-LV"/>
              </w:rPr>
              <w:t>Procent</w:t>
            </w:r>
            <w:r w:rsidR="00114F9C">
              <w:rPr>
                <w:rFonts w:ascii="Times New Roman" w:hAnsi="Times New Roman"/>
                <w:sz w:val="18"/>
                <w:szCs w:val="18"/>
                <w:lang w:val="lv-LV"/>
              </w:rPr>
              <w:t>i</w:t>
            </w:r>
          </w:p>
        </w:tc>
        <w:tc>
          <w:tcPr>
            <w:tcW w:w="719" w:type="pct"/>
            <w:tcBorders>
              <w:top w:val="single" w:sz="4" w:space="0" w:color="auto"/>
              <w:left w:val="single" w:sz="4" w:space="0" w:color="auto"/>
              <w:bottom w:val="single" w:sz="4" w:space="0" w:color="auto"/>
              <w:right w:val="single" w:sz="4" w:space="0" w:color="auto"/>
            </w:tcBorders>
            <w:vAlign w:val="center"/>
          </w:tcPr>
          <w:p w:rsidR="004544E0" w:rsidRPr="00B66B1A" w:rsidRDefault="008B4B1A"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6619 </w:t>
            </w:r>
            <w:r w:rsidR="004F1EF0">
              <w:rPr>
                <w:rFonts w:ascii="Times New Roman" w:hAnsi="Times New Roman"/>
                <w:sz w:val="18"/>
                <w:szCs w:val="18"/>
                <w:lang w:val="lv-LV"/>
              </w:rPr>
              <w:t>jaundibināti uzņēmumi</w:t>
            </w:r>
          </w:p>
        </w:tc>
        <w:tc>
          <w:tcPr>
            <w:tcW w:w="640" w:type="pct"/>
            <w:tcBorders>
              <w:top w:val="single" w:sz="4" w:space="0" w:color="auto"/>
              <w:left w:val="single" w:sz="4" w:space="0" w:color="auto"/>
              <w:bottom w:val="single" w:sz="4" w:space="0" w:color="auto"/>
              <w:right w:val="single" w:sz="4" w:space="0" w:color="auto"/>
            </w:tcBorders>
            <w:vAlign w:val="center"/>
          </w:tcPr>
          <w:p w:rsidR="004544E0" w:rsidRPr="00B66B1A" w:rsidRDefault="008B4B1A" w:rsidP="00E302F6">
            <w:pPr>
              <w:snapToGrid w:val="0"/>
              <w:spacing w:before="120" w:line="240" w:lineRule="auto"/>
              <w:jc w:val="left"/>
              <w:rPr>
                <w:rFonts w:ascii="Times New Roman" w:hAnsi="Times New Roman"/>
                <w:sz w:val="18"/>
                <w:szCs w:val="18"/>
                <w:lang w:val="lv-LV"/>
              </w:rPr>
            </w:pPr>
            <w:r>
              <w:rPr>
                <w:rFonts w:ascii="Times New Roman" w:hAnsi="Times New Roman"/>
                <w:sz w:val="18"/>
                <w:szCs w:val="18"/>
                <w:lang w:val="lv-LV"/>
              </w:rPr>
              <w:t>2012</w:t>
            </w:r>
          </w:p>
        </w:tc>
        <w:tc>
          <w:tcPr>
            <w:tcW w:w="640" w:type="pct"/>
            <w:tcBorders>
              <w:top w:val="single" w:sz="4" w:space="0" w:color="auto"/>
              <w:left w:val="single" w:sz="4" w:space="0" w:color="auto"/>
              <w:bottom w:val="single" w:sz="4" w:space="0" w:color="auto"/>
              <w:right w:val="single" w:sz="4" w:space="0" w:color="auto"/>
            </w:tcBorders>
            <w:vAlign w:val="center"/>
          </w:tcPr>
          <w:p w:rsidR="004544E0" w:rsidRPr="00B66B1A" w:rsidRDefault="008B4B1A"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Pieaugums par 10% salīdzinot ar 2012 (7280 jauni reģistrētie </w:t>
            </w:r>
            <w:r>
              <w:rPr>
                <w:rFonts w:ascii="Times New Roman" w:hAnsi="Times New Roman"/>
                <w:sz w:val="18"/>
                <w:szCs w:val="18"/>
                <w:lang w:val="lv-LV"/>
              </w:rPr>
              <w:lastRenderedPageBreak/>
              <w:t>uzņēmumi 2023.gadā)</w:t>
            </w:r>
          </w:p>
        </w:tc>
        <w:tc>
          <w:tcPr>
            <w:tcW w:w="480" w:type="pct"/>
            <w:tcBorders>
              <w:top w:val="single" w:sz="4" w:space="0" w:color="auto"/>
              <w:left w:val="single" w:sz="4" w:space="0" w:color="auto"/>
              <w:bottom w:val="single" w:sz="4" w:space="0" w:color="auto"/>
              <w:right w:val="single" w:sz="4" w:space="0" w:color="auto"/>
            </w:tcBorders>
            <w:vAlign w:val="center"/>
          </w:tcPr>
          <w:p w:rsidR="00B66B1A" w:rsidRDefault="00B66B1A"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p>
          <w:p w:rsidR="00B66B1A" w:rsidRPr="00B66B1A" w:rsidRDefault="00B0273F"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Valst</w:t>
            </w:r>
            <w:r w:rsidR="00114F9C">
              <w:rPr>
                <w:rFonts w:ascii="Times New Roman" w:hAnsi="Times New Roman"/>
                <w:sz w:val="18"/>
                <w:szCs w:val="18"/>
                <w:lang w:val="lv-LV"/>
              </w:rPr>
              <w:t>u</w:t>
            </w:r>
            <w:r w:rsidRPr="00B66B1A">
              <w:rPr>
                <w:rFonts w:ascii="Times New Roman" w:hAnsi="Times New Roman"/>
                <w:sz w:val="18"/>
                <w:szCs w:val="18"/>
                <w:lang w:val="lv-LV"/>
              </w:rPr>
              <w:t xml:space="preserve"> statistikas dati</w:t>
            </w:r>
          </w:p>
        </w:tc>
        <w:tc>
          <w:tcPr>
            <w:tcW w:w="617" w:type="pct"/>
            <w:tcBorders>
              <w:top w:val="single" w:sz="4" w:space="0" w:color="auto"/>
              <w:left w:val="single" w:sz="4" w:space="0" w:color="auto"/>
              <w:bottom w:val="single" w:sz="4" w:space="0" w:color="auto"/>
              <w:right w:val="single" w:sz="4" w:space="0" w:color="auto"/>
            </w:tcBorders>
            <w:vAlign w:val="center"/>
          </w:tcPr>
          <w:p w:rsidR="004544E0" w:rsidRPr="00B66B1A" w:rsidRDefault="00114F9C"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Vienreiz, </w:t>
            </w:r>
            <w:r w:rsidR="006F3EB5" w:rsidRPr="00B66B1A">
              <w:rPr>
                <w:rFonts w:ascii="Times New Roman" w:hAnsi="Times New Roman"/>
                <w:sz w:val="18"/>
                <w:szCs w:val="18"/>
                <w:lang w:val="lv-LV"/>
              </w:rPr>
              <w:t>2023</w:t>
            </w:r>
            <w:r>
              <w:rPr>
                <w:rFonts w:ascii="Times New Roman" w:hAnsi="Times New Roman"/>
                <w:sz w:val="18"/>
                <w:szCs w:val="18"/>
                <w:lang w:val="lv-LV"/>
              </w:rPr>
              <w:t>.gadā</w:t>
            </w:r>
          </w:p>
        </w:tc>
      </w:tr>
    </w:tbl>
    <w:p w:rsidR="00E302F6" w:rsidRDefault="00E302F6" w:rsidP="00E302F6">
      <w:pPr>
        <w:spacing w:before="120" w:line="240" w:lineRule="auto"/>
        <w:ind w:right="-432"/>
        <w:rPr>
          <w:rFonts w:ascii="Times New Roman" w:hAnsi="Times New Roman"/>
          <w:lang w:val="lv-LV"/>
        </w:rPr>
      </w:pPr>
    </w:p>
    <w:p w:rsidR="004544E0" w:rsidRPr="00B66B1A" w:rsidRDefault="00EB6FE0" w:rsidP="00E302F6">
      <w:pPr>
        <w:spacing w:before="120" w:line="240" w:lineRule="auto"/>
        <w:ind w:right="-432"/>
        <w:rPr>
          <w:rFonts w:ascii="Times New Roman" w:hAnsi="Times New Roman"/>
          <w:lang w:val="lv-LV"/>
        </w:rPr>
      </w:pPr>
      <w:r w:rsidRPr="00B66B1A">
        <w:rPr>
          <w:rFonts w:ascii="Times New Roman" w:hAnsi="Times New Roman"/>
          <w:lang w:val="lv-LV"/>
        </w:rPr>
        <w:t>Plānotos rezultātus var ietekmēt dažādi faktori, tādēļ Programmas ietvaros uzmanība vērsta uz vienu noteiktu pasākumu sfēru, proti,</w:t>
      </w:r>
      <w:r w:rsidR="005D735D" w:rsidRPr="00B66B1A">
        <w:rPr>
          <w:rFonts w:ascii="Times New Roman" w:hAnsi="Times New Roman"/>
          <w:lang w:val="lv-LV"/>
        </w:rPr>
        <w:t xml:space="preserve"> uzlabo</w:t>
      </w:r>
      <w:r w:rsidRPr="00B66B1A">
        <w:rPr>
          <w:rFonts w:ascii="Times New Roman" w:hAnsi="Times New Roman"/>
          <w:lang w:val="lv-LV"/>
        </w:rPr>
        <w:t xml:space="preserve">t uzņēmējdarbības atbalsta pakalpojumus un infrastruktūru. Galvenais rezultāts ir saistīts </w:t>
      </w:r>
      <w:r w:rsidR="0018256A">
        <w:rPr>
          <w:rFonts w:ascii="Times New Roman" w:hAnsi="Times New Roman"/>
          <w:lang w:val="lv-LV"/>
        </w:rPr>
        <w:t xml:space="preserve">ieteikmi uz </w:t>
      </w:r>
      <w:r w:rsidRPr="00B66B1A">
        <w:rPr>
          <w:rFonts w:ascii="Times New Roman" w:hAnsi="Times New Roman"/>
          <w:lang w:val="lv-LV"/>
        </w:rPr>
        <w:t>stabil</w:t>
      </w:r>
      <w:r w:rsidR="0018256A">
        <w:rPr>
          <w:rFonts w:ascii="Times New Roman" w:hAnsi="Times New Roman"/>
          <w:lang w:val="lv-LV"/>
        </w:rPr>
        <w:t>u</w:t>
      </w:r>
      <w:r w:rsidRPr="00B66B1A">
        <w:rPr>
          <w:rFonts w:ascii="Times New Roman" w:hAnsi="Times New Roman"/>
          <w:lang w:val="lv-LV"/>
        </w:rPr>
        <w:t xml:space="preserve"> jaunizveidoto uzņēmumu skaita palielināšano</w:t>
      </w:r>
      <w:r w:rsidR="00820CC5" w:rsidRPr="00B66B1A">
        <w:rPr>
          <w:rFonts w:ascii="Times New Roman" w:hAnsi="Times New Roman"/>
          <w:lang w:val="lv-LV"/>
        </w:rPr>
        <w:t xml:space="preserve">s, kā rezultātā </w:t>
      </w:r>
      <w:r w:rsidR="0018256A">
        <w:rPr>
          <w:rFonts w:ascii="Times New Roman" w:hAnsi="Times New Roman"/>
          <w:lang w:val="lv-LV"/>
        </w:rPr>
        <w:t>tiks</w:t>
      </w:r>
      <w:r w:rsidR="0018256A" w:rsidRPr="00B66B1A">
        <w:rPr>
          <w:rFonts w:ascii="Times New Roman" w:hAnsi="Times New Roman"/>
          <w:lang w:val="lv-LV"/>
        </w:rPr>
        <w:t xml:space="preserve"> </w:t>
      </w:r>
      <w:r w:rsidR="00820CC5" w:rsidRPr="00B66B1A">
        <w:rPr>
          <w:rFonts w:ascii="Times New Roman" w:hAnsi="Times New Roman"/>
          <w:lang w:val="lv-LV"/>
        </w:rPr>
        <w:t>nodrošināts</w:t>
      </w:r>
      <w:r w:rsidRPr="00B66B1A">
        <w:rPr>
          <w:rFonts w:ascii="Times New Roman" w:hAnsi="Times New Roman"/>
          <w:lang w:val="lv-LV"/>
        </w:rPr>
        <w:t xml:space="preserve"> Pr</w:t>
      </w:r>
      <w:r w:rsidR="00820CC5" w:rsidRPr="00B66B1A">
        <w:rPr>
          <w:rFonts w:ascii="Times New Roman" w:hAnsi="Times New Roman"/>
          <w:lang w:val="lv-LV"/>
        </w:rPr>
        <w:t>ogrammas investīciju ilgtspējīgums</w:t>
      </w:r>
      <w:r w:rsidRPr="00B66B1A">
        <w:rPr>
          <w:rFonts w:ascii="Times New Roman" w:hAnsi="Times New Roman"/>
          <w:lang w:val="lv-LV"/>
        </w:rPr>
        <w:t xml:space="preserve">. </w:t>
      </w:r>
    </w:p>
    <w:p w:rsidR="006F3EB5" w:rsidRPr="00543A74" w:rsidRDefault="006F3EB5" w:rsidP="00E302F6">
      <w:pPr>
        <w:spacing w:before="120" w:line="240" w:lineRule="auto"/>
        <w:ind w:right="-432"/>
        <w:rPr>
          <w:sz w:val="20"/>
          <w:szCs w:val="20"/>
          <w:lang w:val="lv-LV"/>
        </w:rPr>
      </w:pPr>
    </w:p>
    <w:p w:rsidR="004544E0" w:rsidRPr="00B66B1A" w:rsidRDefault="006B53DE" w:rsidP="00E302F6">
      <w:pPr>
        <w:spacing w:before="120" w:line="240" w:lineRule="auto"/>
        <w:ind w:right="-432"/>
        <w:rPr>
          <w:rFonts w:ascii="Times New Roman" w:hAnsi="Times New Roman"/>
          <w:b/>
          <w:u w:val="single"/>
          <w:lang w:val="lv-LV"/>
        </w:rPr>
      </w:pPr>
      <w:bookmarkStart w:id="21" w:name="_Toc372107602"/>
      <w:r w:rsidRPr="00B66B1A">
        <w:rPr>
          <w:rFonts w:ascii="Times New Roman" w:hAnsi="Times New Roman"/>
          <w:b/>
          <w:u w:val="single"/>
          <w:lang w:val="lv-LV"/>
        </w:rPr>
        <w:t>Indikatīvs a</w:t>
      </w:r>
      <w:r w:rsidR="00EB6FE0" w:rsidRPr="00B66B1A">
        <w:rPr>
          <w:rFonts w:ascii="Times New Roman" w:hAnsi="Times New Roman"/>
          <w:b/>
          <w:u w:val="single"/>
          <w:lang w:val="lv-LV"/>
        </w:rPr>
        <w:t>tbalstāmo pasākumu saraksts</w:t>
      </w:r>
    </w:p>
    <w:p w:rsidR="004544E0" w:rsidRPr="00B66B1A" w:rsidRDefault="00EB6FE0"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 xml:space="preserve">uzņēmumu izveidei un atbalstam nepieciešamās </w:t>
      </w:r>
      <w:r w:rsidR="00CB0801" w:rsidRPr="00B66B1A">
        <w:rPr>
          <w:rFonts w:ascii="Times New Roman" w:hAnsi="Times New Roman"/>
          <w:lang w:val="lv-LV"/>
        </w:rPr>
        <w:t xml:space="preserve">pašvaldību </w:t>
      </w:r>
      <w:r w:rsidRPr="00B66B1A">
        <w:rPr>
          <w:rFonts w:ascii="Times New Roman" w:hAnsi="Times New Roman"/>
          <w:lang w:val="lv-LV"/>
        </w:rPr>
        <w:t>pamata infrastruktūras attīstīšana (</w:t>
      </w:r>
      <w:r w:rsidR="00CB0801" w:rsidRPr="00B66B1A">
        <w:rPr>
          <w:rFonts w:ascii="Times New Roman" w:hAnsi="Times New Roman"/>
          <w:lang w:val="lv-LV"/>
        </w:rPr>
        <w:t xml:space="preserve">publiskās infrastruktūras savienojumi </w:t>
      </w:r>
      <w:r w:rsidRPr="00B66B1A">
        <w:rPr>
          <w:rFonts w:ascii="Times New Roman" w:hAnsi="Times New Roman"/>
          <w:lang w:val="lv-LV"/>
        </w:rPr>
        <w:t xml:space="preserve">u.c.); </w:t>
      </w:r>
    </w:p>
    <w:p w:rsidR="004544E0" w:rsidRPr="00B66B1A" w:rsidRDefault="00CB0801"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 xml:space="preserve">pārrobežu </w:t>
      </w:r>
      <w:r w:rsidR="00EB6FE0" w:rsidRPr="00B66B1A">
        <w:rPr>
          <w:rFonts w:ascii="Times New Roman" w:hAnsi="Times New Roman"/>
          <w:lang w:val="lv-LV"/>
        </w:rPr>
        <w:t>uzņēmējdarbības atbalsta pasākum</w:t>
      </w:r>
      <w:r w:rsidRPr="00B66B1A">
        <w:rPr>
          <w:rFonts w:ascii="Times New Roman" w:hAnsi="Times New Roman"/>
          <w:lang w:val="lv-LV"/>
        </w:rPr>
        <w:t>i</w:t>
      </w:r>
      <w:r w:rsidR="00EB6FE0" w:rsidRPr="00B66B1A">
        <w:rPr>
          <w:rFonts w:ascii="Times New Roman" w:hAnsi="Times New Roman"/>
          <w:lang w:val="lv-LV"/>
        </w:rPr>
        <w:t>;</w:t>
      </w:r>
    </w:p>
    <w:p w:rsidR="00CC1141" w:rsidRPr="00B66B1A" w:rsidRDefault="00CB0801"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inovatīvi IKT pakalpojumi kā uzņēmējdarbības atbalsta pasākumu sastāvadaļa;</w:t>
      </w:r>
    </w:p>
    <w:p w:rsidR="004544E0" w:rsidRPr="00B66B1A" w:rsidRDefault="00EB6FE0"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 xml:space="preserve">pārrobežu uzņēmējdarbības iespēju </w:t>
      </w:r>
      <w:r w:rsidR="00CB0801" w:rsidRPr="00B66B1A">
        <w:rPr>
          <w:rFonts w:ascii="Times New Roman" w:hAnsi="Times New Roman"/>
          <w:lang w:val="lv-LV"/>
        </w:rPr>
        <w:t>popularizēšana</w:t>
      </w:r>
      <w:r w:rsidRPr="00B66B1A">
        <w:rPr>
          <w:rFonts w:ascii="Times New Roman" w:hAnsi="Times New Roman"/>
          <w:lang w:val="lv-LV"/>
        </w:rPr>
        <w:t>;</w:t>
      </w:r>
    </w:p>
    <w:p w:rsidR="004544E0" w:rsidRPr="00B66B1A" w:rsidRDefault="005C48FF"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 xml:space="preserve">apmācības </w:t>
      </w:r>
      <w:r w:rsidR="00DF31D9" w:rsidRPr="00B66B1A">
        <w:rPr>
          <w:rFonts w:ascii="Times New Roman" w:hAnsi="Times New Roman"/>
          <w:lang w:val="lv-LV"/>
        </w:rPr>
        <w:t xml:space="preserve">un </w:t>
      </w:r>
      <w:r w:rsidRPr="00B66B1A">
        <w:rPr>
          <w:rFonts w:ascii="Times New Roman" w:hAnsi="Times New Roman"/>
          <w:lang w:val="lv-LV"/>
        </w:rPr>
        <w:t>konsultācijas potenciālajiem pārrobežu uzņēmumiem;</w:t>
      </w:r>
    </w:p>
    <w:p w:rsidR="004544E0" w:rsidRPr="00442EB9" w:rsidRDefault="00DF31D9"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 xml:space="preserve">atbalsts </w:t>
      </w:r>
      <w:r w:rsidR="005C48FF" w:rsidRPr="00B66B1A">
        <w:rPr>
          <w:rFonts w:ascii="Times New Roman" w:hAnsi="Times New Roman"/>
          <w:lang w:val="lv-LV"/>
        </w:rPr>
        <w:t xml:space="preserve">uzņēmēju </w:t>
      </w:r>
      <w:r w:rsidRPr="00B66B1A">
        <w:rPr>
          <w:rFonts w:ascii="Times New Roman" w:hAnsi="Times New Roman"/>
          <w:lang w:val="lv-LV"/>
        </w:rPr>
        <w:t>kontaktu tīklu radīšanai</w:t>
      </w:r>
      <w:r w:rsidR="005C48FF" w:rsidRPr="00B66B1A">
        <w:rPr>
          <w:rFonts w:ascii="Times New Roman" w:hAnsi="Times New Roman"/>
          <w:lang w:val="lv-LV"/>
        </w:rPr>
        <w:t>.</w:t>
      </w:r>
    </w:p>
    <w:bookmarkEnd w:id="21"/>
    <w:p w:rsidR="004544E0" w:rsidRPr="00B66B1A" w:rsidRDefault="000D340E" w:rsidP="00E302F6">
      <w:pPr>
        <w:spacing w:before="120" w:line="240" w:lineRule="auto"/>
        <w:ind w:right="-432"/>
        <w:rPr>
          <w:rFonts w:ascii="Times New Roman" w:hAnsi="Times New Roman"/>
          <w:b/>
          <w:u w:val="single"/>
          <w:lang w:val="lv-LV"/>
        </w:rPr>
      </w:pPr>
      <w:r>
        <w:rPr>
          <w:rFonts w:ascii="Times New Roman" w:hAnsi="Times New Roman"/>
          <w:b/>
          <w:u w:val="single"/>
          <w:lang w:val="lv-LV"/>
        </w:rPr>
        <w:t>Iznākumu</w:t>
      </w:r>
      <w:r w:rsidRPr="00B66B1A">
        <w:rPr>
          <w:rFonts w:ascii="Times New Roman" w:hAnsi="Times New Roman"/>
          <w:b/>
          <w:u w:val="single"/>
          <w:lang w:val="lv-LV"/>
        </w:rPr>
        <w:t xml:space="preserve"> </w:t>
      </w:r>
      <w:r w:rsidR="00D45C21" w:rsidRPr="00B66B1A">
        <w:rPr>
          <w:rFonts w:ascii="Times New Roman" w:hAnsi="Times New Roman"/>
          <w:b/>
          <w:u w:val="single"/>
          <w:lang w:val="lv-LV"/>
        </w:rPr>
        <w:t>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4"/>
        <w:gridCol w:w="2769"/>
        <w:gridCol w:w="1807"/>
        <w:gridCol w:w="1552"/>
        <w:gridCol w:w="1964"/>
      </w:tblGrid>
      <w:tr w:rsidR="004544E0" w:rsidRPr="00B66B1A" w:rsidTr="005F7F12">
        <w:trPr>
          <w:trHeight w:val="706"/>
          <w:jc w:val="center"/>
        </w:trPr>
        <w:tc>
          <w:tcPr>
            <w:tcW w:w="431" w:type="pct"/>
          </w:tcPr>
          <w:p w:rsidR="004544E0" w:rsidRPr="00B66B1A" w:rsidRDefault="004544E0" w:rsidP="00E302F6">
            <w:pPr>
              <w:pStyle w:val="ListDash"/>
              <w:numPr>
                <w:ilvl w:val="0"/>
                <w:numId w:val="0"/>
              </w:numPr>
              <w:spacing w:before="120" w:line="240" w:lineRule="auto"/>
              <w:ind w:left="283" w:right="-432" w:hanging="283"/>
              <w:jc w:val="left"/>
              <w:rPr>
                <w:rFonts w:ascii="Times New Roman" w:hAnsi="Times New Roman"/>
                <w:b/>
                <w:sz w:val="18"/>
                <w:szCs w:val="18"/>
                <w:lang w:val="lv-LV"/>
              </w:rPr>
            </w:pPr>
            <w:r w:rsidRPr="00B66B1A">
              <w:rPr>
                <w:rFonts w:ascii="Times New Roman" w:hAnsi="Times New Roman"/>
                <w:b/>
                <w:sz w:val="18"/>
                <w:szCs w:val="18"/>
                <w:lang w:val="lv-LV"/>
              </w:rPr>
              <w:t>ID</w:t>
            </w:r>
          </w:p>
        </w:tc>
        <w:tc>
          <w:tcPr>
            <w:tcW w:w="1563" w:type="pct"/>
            <w:shd w:val="clear" w:color="auto" w:fill="auto"/>
          </w:tcPr>
          <w:p w:rsidR="004544E0" w:rsidRPr="00B66B1A" w:rsidRDefault="00D45C21" w:rsidP="00E302F6">
            <w:pPr>
              <w:pStyle w:val="ListDash"/>
              <w:numPr>
                <w:ilvl w:val="0"/>
                <w:numId w:val="0"/>
              </w:numPr>
              <w:spacing w:before="120" w:line="240" w:lineRule="auto"/>
              <w:ind w:left="283" w:right="-432" w:hanging="283"/>
              <w:jc w:val="left"/>
              <w:rPr>
                <w:rFonts w:ascii="Times New Roman" w:hAnsi="Times New Roman"/>
                <w:b/>
                <w:sz w:val="18"/>
                <w:szCs w:val="18"/>
                <w:lang w:val="lv-LV"/>
              </w:rPr>
            </w:pPr>
            <w:r w:rsidRPr="00B66B1A">
              <w:rPr>
                <w:rFonts w:ascii="Times New Roman" w:hAnsi="Times New Roman"/>
                <w:b/>
                <w:sz w:val="18"/>
                <w:szCs w:val="18"/>
                <w:lang w:val="lv-LV"/>
              </w:rPr>
              <w:t>R</w:t>
            </w:r>
            <w:r w:rsidR="004F1EF0">
              <w:rPr>
                <w:rFonts w:ascii="Times New Roman" w:hAnsi="Times New Roman"/>
                <w:b/>
                <w:sz w:val="18"/>
                <w:szCs w:val="18"/>
                <w:lang w:val="lv-LV"/>
              </w:rPr>
              <w:t>ezultatīvais r</w:t>
            </w:r>
            <w:r w:rsidRPr="00B66B1A">
              <w:rPr>
                <w:rFonts w:ascii="Times New Roman" w:hAnsi="Times New Roman"/>
                <w:b/>
                <w:sz w:val="18"/>
                <w:szCs w:val="18"/>
                <w:lang w:val="lv-LV"/>
              </w:rPr>
              <w:t>ādītājs</w:t>
            </w:r>
          </w:p>
        </w:tc>
        <w:tc>
          <w:tcPr>
            <w:tcW w:w="1020" w:type="pct"/>
            <w:shd w:val="clear" w:color="auto" w:fill="auto"/>
          </w:tcPr>
          <w:p w:rsidR="004544E0" w:rsidRPr="00B66B1A" w:rsidRDefault="00D45C21" w:rsidP="00E302F6">
            <w:pPr>
              <w:pStyle w:val="ListDash"/>
              <w:numPr>
                <w:ilvl w:val="0"/>
                <w:numId w:val="0"/>
              </w:numPr>
              <w:spacing w:before="120" w:line="240" w:lineRule="auto"/>
              <w:ind w:right="-432"/>
              <w:jc w:val="left"/>
              <w:rPr>
                <w:rFonts w:ascii="Times New Roman" w:hAnsi="Times New Roman"/>
                <w:b/>
                <w:sz w:val="18"/>
                <w:szCs w:val="18"/>
                <w:lang w:val="lv-LV"/>
              </w:rPr>
            </w:pPr>
            <w:r w:rsidRPr="00B66B1A">
              <w:rPr>
                <w:rFonts w:ascii="Times New Roman" w:hAnsi="Times New Roman"/>
                <w:b/>
                <w:sz w:val="18"/>
                <w:szCs w:val="18"/>
                <w:lang w:val="lv-LV"/>
              </w:rPr>
              <w:t>Mērvienība</w:t>
            </w:r>
          </w:p>
        </w:tc>
        <w:tc>
          <w:tcPr>
            <w:tcW w:w="876" w:type="pct"/>
            <w:shd w:val="clear" w:color="auto" w:fill="auto"/>
          </w:tcPr>
          <w:p w:rsidR="004544E0" w:rsidRPr="00B66B1A" w:rsidRDefault="00D45C21" w:rsidP="00E302F6">
            <w:pPr>
              <w:pStyle w:val="ListDash"/>
              <w:numPr>
                <w:ilvl w:val="0"/>
                <w:numId w:val="0"/>
              </w:numPr>
              <w:spacing w:before="120" w:line="240" w:lineRule="auto"/>
              <w:ind w:right="-432"/>
              <w:jc w:val="left"/>
              <w:rPr>
                <w:rFonts w:ascii="Times New Roman" w:hAnsi="Times New Roman"/>
                <w:b/>
                <w:sz w:val="18"/>
                <w:szCs w:val="18"/>
                <w:lang w:val="lv-LV"/>
              </w:rPr>
            </w:pPr>
            <w:r w:rsidRPr="00B66B1A">
              <w:rPr>
                <w:rFonts w:ascii="Times New Roman" w:hAnsi="Times New Roman"/>
                <w:b/>
                <w:sz w:val="18"/>
                <w:szCs w:val="18"/>
                <w:lang w:val="lv-LV"/>
              </w:rPr>
              <w:t>Mērķvērtība</w:t>
            </w:r>
            <w:r w:rsidR="004544E0" w:rsidRPr="00B66B1A">
              <w:rPr>
                <w:rFonts w:ascii="Times New Roman" w:hAnsi="Times New Roman"/>
                <w:b/>
                <w:sz w:val="18"/>
                <w:szCs w:val="18"/>
                <w:lang w:val="lv-LV"/>
              </w:rPr>
              <w:t xml:space="preserve"> (2023)</w:t>
            </w:r>
          </w:p>
        </w:tc>
        <w:tc>
          <w:tcPr>
            <w:tcW w:w="1109" w:type="pct"/>
            <w:shd w:val="clear" w:color="auto" w:fill="auto"/>
          </w:tcPr>
          <w:p w:rsidR="004544E0" w:rsidRPr="00B66B1A" w:rsidRDefault="00D45C21" w:rsidP="00E302F6">
            <w:pPr>
              <w:pStyle w:val="ListDash"/>
              <w:numPr>
                <w:ilvl w:val="0"/>
                <w:numId w:val="0"/>
              </w:numPr>
              <w:spacing w:before="120" w:line="240" w:lineRule="auto"/>
              <w:ind w:right="-432"/>
              <w:jc w:val="left"/>
              <w:rPr>
                <w:rFonts w:ascii="Times New Roman" w:hAnsi="Times New Roman"/>
                <w:b/>
                <w:sz w:val="18"/>
                <w:szCs w:val="18"/>
                <w:lang w:val="lv-LV"/>
              </w:rPr>
            </w:pPr>
            <w:r w:rsidRPr="00B66B1A">
              <w:rPr>
                <w:rFonts w:ascii="Times New Roman" w:hAnsi="Times New Roman"/>
                <w:b/>
                <w:sz w:val="18"/>
                <w:szCs w:val="18"/>
                <w:lang w:val="lv-LV"/>
              </w:rPr>
              <w:t>Datu avots</w:t>
            </w:r>
          </w:p>
        </w:tc>
      </w:tr>
      <w:tr w:rsidR="005F7F12" w:rsidRPr="00B66B1A" w:rsidTr="005F7F12">
        <w:trPr>
          <w:trHeight w:val="760"/>
          <w:jc w:val="center"/>
        </w:trPr>
        <w:tc>
          <w:tcPr>
            <w:tcW w:w="431" w:type="pct"/>
          </w:tcPr>
          <w:p w:rsidR="005F7F12" w:rsidRPr="00B66B1A" w:rsidRDefault="005F7F12" w:rsidP="00E302F6">
            <w:pPr>
              <w:pStyle w:val="ListDash"/>
              <w:numPr>
                <w:ilvl w:val="0"/>
                <w:numId w:val="0"/>
              </w:numPr>
              <w:spacing w:before="120" w:line="240" w:lineRule="auto"/>
              <w:ind w:right="-432"/>
              <w:rPr>
                <w:rFonts w:ascii="Times New Roman" w:hAnsi="Times New Roman"/>
                <w:sz w:val="18"/>
                <w:szCs w:val="18"/>
                <w:lang w:val="lv-LV"/>
              </w:rPr>
            </w:pPr>
            <w:r w:rsidRPr="00BA2B1E">
              <w:rPr>
                <w:sz w:val="16"/>
                <w:szCs w:val="16"/>
              </w:rPr>
              <w:t>2.1.O1</w:t>
            </w:r>
          </w:p>
        </w:tc>
        <w:tc>
          <w:tcPr>
            <w:tcW w:w="1563" w:type="pct"/>
            <w:tcBorders>
              <w:bottom w:val="single" w:sz="4" w:space="0" w:color="auto"/>
            </w:tcBorders>
            <w:shd w:val="clear" w:color="auto" w:fill="auto"/>
          </w:tcPr>
          <w:p w:rsidR="005F7F12" w:rsidRPr="00B66B1A" w:rsidRDefault="005F7F12" w:rsidP="00E302F6">
            <w:pPr>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 xml:space="preserve">Pārrobežu sadarbības rezultātā uzlaboti/ radīti uzņēmējdarbības atbalsta pakalpojumi. </w:t>
            </w:r>
          </w:p>
        </w:tc>
        <w:tc>
          <w:tcPr>
            <w:tcW w:w="1020" w:type="pct"/>
            <w:tcBorders>
              <w:bottom w:val="single" w:sz="4" w:space="0" w:color="auto"/>
            </w:tcBorders>
            <w:shd w:val="clear" w:color="auto" w:fill="auto"/>
          </w:tcPr>
          <w:p w:rsidR="005F7F12" w:rsidRPr="00B66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Vienības</w:t>
            </w:r>
          </w:p>
          <w:p w:rsidR="005F7F12" w:rsidRPr="00B66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p>
        </w:tc>
        <w:tc>
          <w:tcPr>
            <w:tcW w:w="876" w:type="pct"/>
            <w:tcBorders>
              <w:bottom w:val="single" w:sz="4" w:space="0" w:color="auto"/>
            </w:tcBorders>
            <w:shd w:val="clear" w:color="auto" w:fill="auto"/>
          </w:tcPr>
          <w:p w:rsidR="005F7F12" w:rsidRPr="008B4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r w:rsidRPr="008B4B1A">
              <w:rPr>
                <w:rFonts w:ascii="Times New Roman" w:hAnsi="Times New Roman"/>
                <w:sz w:val="18"/>
                <w:szCs w:val="18"/>
                <w:lang w:val="lv-LV"/>
              </w:rPr>
              <w:t>14</w:t>
            </w:r>
          </w:p>
        </w:tc>
        <w:tc>
          <w:tcPr>
            <w:tcW w:w="1109" w:type="pct"/>
            <w:tcBorders>
              <w:bottom w:val="single" w:sz="4" w:space="0" w:color="auto"/>
            </w:tcBorders>
            <w:shd w:val="clear" w:color="auto" w:fill="auto"/>
          </w:tcPr>
          <w:p w:rsidR="005F7F12" w:rsidRPr="00B66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Progresa ziņojumi</w:t>
            </w:r>
          </w:p>
        </w:tc>
      </w:tr>
      <w:tr w:rsidR="005F7F12" w:rsidRPr="00B66B1A" w:rsidTr="005F7F12">
        <w:trPr>
          <w:trHeight w:val="908"/>
          <w:jc w:val="center"/>
        </w:trPr>
        <w:tc>
          <w:tcPr>
            <w:tcW w:w="431" w:type="pct"/>
          </w:tcPr>
          <w:p w:rsidR="005F7F12" w:rsidRPr="00B66B1A" w:rsidRDefault="005F7F12" w:rsidP="00E302F6">
            <w:pPr>
              <w:pStyle w:val="ListDash"/>
              <w:numPr>
                <w:ilvl w:val="0"/>
                <w:numId w:val="0"/>
              </w:numPr>
              <w:spacing w:before="120" w:line="240" w:lineRule="auto"/>
              <w:ind w:right="-432"/>
              <w:rPr>
                <w:rFonts w:ascii="Times New Roman" w:hAnsi="Times New Roman"/>
                <w:sz w:val="18"/>
                <w:szCs w:val="18"/>
                <w:lang w:val="lv-LV"/>
              </w:rPr>
            </w:pPr>
            <w:r w:rsidRPr="00BA2B1E">
              <w:rPr>
                <w:sz w:val="16"/>
                <w:szCs w:val="16"/>
              </w:rPr>
              <w:t>2.1.O2</w:t>
            </w:r>
          </w:p>
        </w:tc>
        <w:tc>
          <w:tcPr>
            <w:tcW w:w="1563" w:type="pct"/>
            <w:tcBorders>
              <w:top w:val="single" w:sz="4" w:space="0" w:color="auto"/>
            </w:tcBorders>
            <w:shd w:val="clear" w:color="auto" w:fill="auto"/>
          </w:tcPr>
          <w:p w:rsidR="005F7F12" w:rsidRPr="00B66B1A" w:rsidRDefault="005F7F12" w:rsidP="00E302F6">
            <w:pPr>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Uzlaboti vai radīti uzņēmējdarbības atbalsta infrastruktūras objekti, kas nodrošina netiešu uzņēmējdarbības atbalstu.</w:t>
            </w:r>
          </w:p>
        </w:tc>
        <w:tc>
          <w:tcPr>
            <w:tcW w:w="1020" w:type="pct"/>
            <w:tcBorders>
              <w:top w:val="single" w:sz="4" w:space="0" w:color="auto"/>
            </w:tcBorders>
            <w:shd w:val="clear" w:color="auto" w:fill="auto"/>
          </w:tcPr>
          <w:p w:rsidR="005F7F12" w:rsidRPr="00B66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Vienības</w:t>
            </w:r>
          </w:p>
          <w:p w:rsidR="005F7F12" w:rsidRPr="00B66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p>
          <w:p w:rsidR="005F7F12" w:rsidRPr="00B66B1A" w:rsidRDefault="005F7F12" w:rsidP="00E302F6">
            <w:pPr>
              <w:pStyle w:val="ListDash"/>
              <w:spacing w:before="120" w:line="240" w:lineRule="auto"/>
              <w:ind w:left="0" w:right="-432"/>
              <w:jc w:val="left"/>
              <w:rPr>
                <w:rFonts w:ascii="Times New Roman" w:hAnsi="Times New Roman"/>
                <w:sz w:val="18"/>
                <w:szCs w:val="18"/>
                <w:lang w:val="lv-LV"/>
              </w:rPr>
            </w:pPr>
          </w:p>
        </w:tc>
        <w:tc>
          <w:tcPr>
            <w:tcW w:w="876" w:type="pct"/>
            <w:tcBorders>
              <w:top w:val="single" w:sz="4" w:space="0" w:color="auto"/>
            </w:tcBorders>
            <w:shd w:val="clear" w:color="auto" w:fill="auto"/>
          </w:tcPr>
          <w:p w:rsidR="005F7F12" w:rsidRPr="008B4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r w:rsidRPr="008B4B1A">
              <w:rPr>
                <w:rFonts w:ascii="Times New Roman" w:hAnsi="Times New Roman"/>
                <w:sz w:val="18"/>
                <w:szCs w:val="18"/>
                <w:lang w:val="lv-LV"/>
              </w:rPr>
              <w:t>11</w:t>
            </w:r>
          </w:p>
        </w:tc>
        <w:tc>
          <w:tcPr>
            <w:tcW w:w="1109" w:type="pct"/>
            <w:tcBorders>
              <w:top w:val="single" w:sz="4" w:space="0" w:color="auto"/>
            </w:tcBorders>
            <w:shd w:val="clear" w:color="auto" w:fill="auto"/>
          </w:tcPr>
          <w:p w:rsidR="005F7F12" w:rsidRPr="00B66B1A" w:rsidRDefault="005F7F12" w:rsidP="00E302F6">
            <w:pPr>
              <w:pStyle w:val="ListDash"/>
              <w:numPr>
                <w:ilvl w:val="0"/>
                <w:numId w:val="0"/>
              </w:numPr>
              <w:spacing w:before="120" w:line="240" w:lineRule="auto"/>
              <w:ind w:right="-432"/>
              <w:jc w:val="left"/>
              <w:rPr>
                <w:rFonts w:ascii="Times New Roman" w:hAnsi="Times New Roman"/>
                <w:sz w:val="18"/>
                <w:szCs w:val="18"/>
                <w:lang w:val="lv-LV"/>
              </w:rPr>
            </w:pPr>
            <w:r w:rsidRPr="00B66B1A">
              <w:rPr>
                <w:rFonts w:ascii="Times New Roman" w:hAnsi="Times New Roman"/>
                <w:sz w:val="18"/>
                <w:szCs w:val="18"/>
                <w:lang w:val="lv-LV"/>
              </w:rPr>
              <w:t>Progresa ziņojumi</w:t>
            </w:r>
          </w:p>
        </w:tc>
      </w:tr>
    </w:tbl>
    <w:p w:rsidR="005D735D" w:rsidRDefault="005D735D" w:rsidP="00E302F6">
      <w:pPr>
        <w:spacing w:before="120" w:line="240" w:lineRule="auto"/>
        <w:ind w:right="-432"/>
        <w:jc w:val="left"/>
        <w:rPr>
          <w:b/>
          <w:color w:val="FF0000"/>
          <w:sz w:val="20"/>
          <w:szCs w:val="20"/>
          <w:lang w:val="lv-LV"/>
        </w:rPr>
      </w:pPr>
    </w:p>
    <w:p w:rsidR="00114F9C" w:rsidRPr="00CD6D0C" w:rsidRDefault="00114F9C" w:rsidP="00E302F6">
      <w:pPr>
        <w:spacing w:before="120" w:line="240" w:lineRule="auto"/>
        <w:ind w:right="-432"/>
        <w:rPr>
          <w:rFonts w:ascii="Times New Roman" w:hAnsi="Times New Roman"/>
          <w:b/>
          <w:u w:val="single"/>
          <w:lang w:val="lv-LV"/>
        </w:rPr>
      </w:pPr>
      <w:r w:rsidRPr="00CD6D0C">
        <w:rPr>
          <w:rFonts w:ascii="Times New Roman" w:hAnsi="Times New Roman"/>
          <w:b/>
          <w:u w:val="single"/>
          <w:lang w:val="lv-LV"/>
        </w:rPr>
        <w:t>Darbību atlases pamatprincipi</w:t>
      </w:r>
    </w:p>
    <w:p w:rsidR="00114F9C" w:rsidRPr="00CD6D0C" w:rsidRDefault="00114F9C" w:rsidP="00D66FB7">
      <w:pPr>
        <w:pStyle w:val="Heading2"/>
      </w:pPr>
      <w:r>
        <w:rPr>
          <w:lang w:val="lv-LV"/>
        </w:rPr>
        <w:t>Projektu atlases</w:t>
      </w:r>
      <w:r w:rsidRPr="00B66B1A">
        <w:rPr>
          <w:lang w:val="lv-LV"/>
        </w:rPr>
        <w:t xml:space="preserve"> princip</w:t>
      </w:r>
      <w:r>
        <w:rPr>
          <w:lang w:val="lv-LV"/>
        </w:rPr>
        <w:t>u d</w:t>
      </w:r>
      <w:r w:rsidRPr="00B66B1A">
        <w:rPr>
          <w:lang w:val="lv-LV"/>
        </w:rPr>
        <w:t>etalizēta kārtība noteikta 5.3. punktā</w:t>
      </w:r>
    </w:p>
    <w:p w:rsidR="005D735D" w:rsidRDefault="005D735D" w:rsidP="00E302F6">
      <w:pPr>
        <w:spacing w:before="120" w:line="240" w:lineRule="auto"/>
        <w:ind w:right="-432"/>
        <w:jc w:val="left"/>
        <w:rPr>
          <w:b/>
          <w:color w:val="FF0000"/>
          <w:sz w:val="20"/>
          <w:szCs w:val="20"/>
        </w:rPr>
      </w:pPr>
    </w:p>
    <w:p w:rsidR="00E302F6" w:rsidRDefault="00E302F6" w:rsidP="00E302F6">
      <w:pPr>
        <w:spacing w:before="120" w:line="240" w:lineRule="auto"/>
        <w:ind w:right="-432"/>
        <w:jc w:val="left"/>
        <w:rPr>
          <w:b/>
          <w:color w:val="FF0000"/>
          <w:sz w:val="20"/>
          <w:szCs w:val="20"/>
        </w:rPr>
      </w:pPr>
    </w:p>
    <w:p w:rsidR="00E302F6" w:rsidRDefault="00E302F6" w:rsidP="00E302F6">
      <w:pPr>
        <w:spacing w:before="120" w:line="240" w:lineRule="auto"/>
        <w:ind w:right="-432"/>
        <w:jc w:val="left"/>
        <w:rPr>
          <w:b/>
          <w:color w:val="FF0000"/>
          <w:sz w:val="20"/>
          <w:szCs w:val="20"/>
        </w:rPr>
      </w:pPr>
    </w:p>
    <w:p w:rsidR="00E302F6" w:rsidRPr="00114F9C" w:rsidRDefault="00E302F6" w:rsidP="00E302F6">
      <w:pPr>
        <w:spacing w:before="120" w:line="240" w:lineRule="auto"/>
        <w:ind w:right="-432"/>
        <w:jc w:val="left"/>
        <w:rPr>
          <w:b/>
          <w:color w:val="FF0000"/>
          <w:sz w:val="20"/>
          <w:szCs w:val="20"/>
        </w:rPr>
      </w:pPr>
    </w:p>
    <w:tbl>
      <w:tblPr>
        <w:tblpPr w:leftFromText="180" w:rightFromText="180" w:vertAnchor="text" w:horzAnchor="margin" w:tblpY="29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180"/>
      </w:tblGrid>
      <w:tr w:rsidR="004544E0" w:rsidRPr="00C77C1E" w:rsidTr="00E302F6">
        <w:trPr>
          <w:trHeight w:val="726"/>
        </w:trPr>
        <w:tc>
          <w:tcPr>
            <w:tcW w:w="9180" w:type="dxa"/>
            <w:shd w:val="clear" w:color="auto" w:fill="EAF1DD"/>
          </w:tcPr>
          <w:p w:rsidR="004544E0" w:rsidRPr="00B66B1A" w:rsidRDefault="007866D4" w:rsidP="00E302F6">
            <w:pPr>
              <w:pStyle w:val="Text1"/>
              <w:spacing w:before="120" w:line="240" w:lineRule="auto"/>
              <w:ind w:left="0" w:right="-432"/>
              <w:jc w:val="left"/>
              <w:rPr>
                <w:szCs w:val="24"/>
                <w:lang w:val="lv-LV"/>
              </w:rPr>
            </w:pPr>
            <w:r w:rsidRPr="00B66B1A">
              <w:rPr>
                <w:szCs w:val="24"/>
                <w:lang w:val="lv-LV"/>
              </w:rPr>
              <w:lastRenderedPageBreak/>
              <w:t>2. investīciju prioritāte:</w:t>
            </w:r>
            <w:r w:rsidR="00C13BD0" w:rsidRPr="00B66B1A">
              <w:rPr>
                <w:szCs w:val="24"/>
                <w:lang w:val="lv-LV"/>
                <w:specVanish/>
              </w:rPr>
              <w:t xml:space="preserve"> </w:t>
            </w:r>
          </w:p>
          <w:p w:rsidR="005D735D" w:rsidRPr="00B66B1A" w:rsidRDefault="00DF31D9" w:rsidP="00E302F6">
            <w:pPr>
              <w:spacing w:before="120" w:line="240" w:lineRule="auto"/>
              <w:ind w:right="-432"/>
              <w:rPr>
                <w:rFonts w:ascii="Times New Roman" w:hAnsi="Times New Roman"/>
                <w:b/>
                <w:u w:val="single"/>
                <w:lang w:val="lv-LV"/>
              </w:rPr>
            </w:pPr>
            <w:r w:rsidRPr="00B66B1A">
              <w:rPr>
                <w:rFonts w:ascii="Times New Roman" w:hAnsi="Times New Roman"/>
                <w:b/>
                <w:u w:val="single"/>
                <w:lang w:val="lv-LV"/>
              </w:rPr>
              <w:t>īstenot pārrobežu darba tirgu integrāciju, tostarp pārrobežu mobilitāti, kopīgas nodarbinātības iniciatīvas vietējā mērogā, informatīvus un konsultatīvus pakalpojumus un kopīgu apmācību</w:t>
            </w:r>
          </w:p>
          <w:p w:rsidR="004544E0" w:rsidRPr="00B66B1A" w:rsidRDefault="0030029A" w:rsidP="00E302F6">
            <w:pPr>
              <w:spacing w:before="120" w:line="240" w:lineRule="auto"/>
              <w:ind w:right="-432"/>
              <w:jc w:val="left"/>
              <w:rPr>
                <w:rFonts w:ascii="Times New Roman" w:hAnsi="Times New Roman"/>
                <w:lang w:val="lv-LV"/>
              </w:rPr>
            </w:pPr>
            <w:r>
              <w:rPr>
                <w:rFonts w:ascii="Times New Roman" w:hAnsi="Times New Roman"/>
                <w:lang w:val="lv-LV"/>
              </w:rPr>
              <w:t>Konkrētais</w:t>
            </w:r>
            <w:r w:rsidR="0080797D" w:rsidRPr="00B66B1A">
              <w:rPr>
                <w:rFonts w:ascii="Times New Roman" w:hAnsi="Times New Roman"/>
                <w:lang w:val="lv-LV"/>
              </w:rPr>
              <w:t xml:space="preserve"> </w:t>
            </w:r>
            <w:r w:rsidR="007866D4" w:rsidRPr="00B66B1A">
              <w:rPr>
                <w:rFonts w:ascii="Times New Roman" w:hAnsi="Times New Roman"/>
                <w:lang w:val="lv-LV"/>
              </w:rPr>
              <w:t>mērķis</w:t>
            </w:r>
            <w:r w:rsidR="004544E0" w:rsidRPr="00B66B1A">
              <w:rPr>
                <w:rFonts w:ascii="Times New Roman" w:hAnsi="Times New Roman"/>
                <w:lang w:val="lv-LV"/>
              </w:rPr>
              <w:t xml:space="preserve">: </w:t>
            </w:r>
          </w:p>
          <w:p w:rsidR="004544E0" w:rsidRPr="00B66B1A" w:rsidRDefault="007866D4" w:rsidP="00E302F6">
            <w:pPr>
              <w:spacing w:before="120" w:line="240" w:lineRule="auto"/>
              <w:ind w:right="-432"/>
              <w:rPr>
                <w:rFonts w:ascii="Times New Roman" w:hAnsi="Times New Roman"/>
                <w:b/>
                <w:u w:val="single"/>
                <w:lang w:val="lv-LV"/>
              </w:rPr>
            </w:pPr>
            <w:r w:rsidRPr="00B66B1A">
              <w:rPr>
                <w:rFonts w:ascii="Times New Roman" w:hAnsi="Times New Roman"/>
                <w:b/>
                <w:u w:val="single"/>
                <w:lang w:val="lv-LV"/>
              </w:rPr>
              <w:t>palielināt darba iespējas, uzlabojot darbaspēka mobilitāti un prasmes</w:t>
            </w:r>
          </w:p>
        </w:tc>
      </w:tr>
    </w:tbl>
    <w:p w:rsidR="004544E0" w:rsidRPr="00543A74" w:rsidRDefault="004544E0" w:rsidP="00D66FB7">
      <w:pPr>
        <w:pStyle w:val="Heading2"/>
      </w:pPr>
    </w:p>
    <w:p w:rsidR="004544E0" w:rsidRPr="00B66B1A" w:rsidRDefault="00254219" w:rsidP="00E302F6">
      <w:pPr>
        <w:spacing w:before="120" w:line="240" w:lineRule="auto"/>
        <w:ind w:right="-432"/>
        <w:rPr>
          <w:rFonts w:ascii="Times New Roman" w:hAnsi="Times New Roman"/>
          <w:lang w:val="lv-LV"/>
        </w:rPr>
      </w:pPr>
      <w:r w:rsidRPr="00B66B1A">
        <w:rPr>
          <w:rFonts w:ascii="Times New Roman" w:hAnsi="Times New Roman"/>
          <w:lang w:val="lv-LV"/>
        </w:rPr>
        <w:t xml:space="preserve">Programmas reģionos (un </w:t>
      </w:r>
      <w:r w:rsidR="00195220" w:rsidRPr="00B66B1A">
        <w:rPr>
          <w:rFonts w:ascii="Times New Roman" w:hAnsi="Times New Roman"/>
          <w:lang w:val="lv-LV"/>
        </w:rPr>
        <w:t xml:space="preserve">kopumā </w:t>
      </w:r>
      <w:r w:rsidRPr="00B66B1A">
        <w:rPr>
          <w:rFonts w:ascii="Times New Roman" w:hAnsi="Times New Roman"/>
          <w:lang w:val="lv-LV"/>
        </w:rPr>
        <w:t xml:space="preserve">abās valstīs) </w:t>
      </w:r>
      <w:r w:rsidR="0018256A" w:rsidRPr="00B66B1A">
        <w:rPr>
          <w:rFonts w:ascii="Times New Roman" w:hAnsi="Times New Roman"/>
          <w:lang w:val="lv-LV"/>
        </w:rPr>
        <w:t>novērojam</w:t>
      </w:r>
      <w:r w:rsidR="0018256A">
        <w:rPr>
          <w:rFonts w:ascii="Times New Roman" w:hAnsi="Times New Roman"/>
          <w:lang w:val="lv-LV"/>
        </w:rPr>
        <w:t>s</w:t>
      </w:r>
      <w:r w:rsidR="0018256A" w:rsidRPr="00B66B1A">
        <w:rPr>
          <w:rFonts w:ascii="Times New Roman" w:hAnsi="Times New Roman"/>
          <w:lang w:val="lv-LV"/>
        </w:rPr>
        <w:t xml:space="preserve"> </w:t>
      </w:r>
      <w:r w:rsidRPr="00B66B1A">
        <w:rPr>
          <w:rFonts w:ascii="Times New Roman" w:hAnsi="Times New Roman"/>
          <w:lang w:val="lv-LV"/>
        </w:rPr>
        <w:t>pieaugošu bezdarbnieku skait</w:t>
      </w:r>
      <w:r w:rsidR="0018256A">
        <w:rPr>
          <w:rFonts w:ascii="Times New Roman" w:hAnsi="Times New Roman"/>
          <w:lang w:val="lv-LV"/>
        </w:rPr>
        <w:t>s</w:t>
      </w:r>
      <w:r w:rsidRPr="00B66B1A">
        <w:rPr>
          <w:rFonts w:ascii="Times New Roman" w:hAnsi="Times New Roman"/>
          <w:lang w:val="lv-LV"/>
        </w:rPr>
        <w:t xml:space="preserve"> ar zemu izglītības līmeni. </w:t>
      </w:r>
      <w:r w:rsidR="00DF31D9" w:rsidRPr="00B66B1A">
        <w:rPr>
          <w:rFonts w:ascii="Times New Roman" w:hAnsi="Times New Roman"/>
          <w:lang w:val="lv-LV"/>
        </w:rPr>
        <w:t xml:space="preserve">Salīdzinoši </w:t>
      </w:r>
      <w:r w:rsidR="00FA36E0" w:rsidRPr="00B66B1A">
        <w:rPr>
          <w:rFonts w:ascii="Times New Roman" w:hAnsi="Times New Roman"/>
          <w:lang w:val="lv-LV"/>
        </w:rPr>
        <w:t xml:space="preserve">augsts bezdarba līmenis </w:t>
      </w:r>
      <w:r w:rsidR="00495808" w:rsidRPr="00B66B1A">
        <w:rPr>
          <w:rFonts w:ascii="Times New Roman" w:hAnsi="Times New Roman"/>
          <w:lang w:val="lv-LV"/>
        </w:rPr>
        <w:t xml:space="preserve">ir </w:t>
      </w:r>
      <w:r w:rsidR="00FA36E0" w:rsidRPr="00B66B1A">
        <w:rPr>
          <w:rFonts w:ascii="Times New Roman" w:hAnsi="Times New Roman"/>
          <w:lang w:val="lv-LV"/>
        </w:rPr>
        <w:t>novērojams arī personām ar profesionālo izglītīb</w:t>
      </w:r>
      <w:r w:rsidR="00DF31D9" w:rsidRPr="00B66B1A">
        <w:rPr>
          <w:rFonts w:ascii="Times New Roman" w:hAnsi="Times New Roman"/>
          <w:lang w:val="lv-LV"/>
        </w:rPr>
        <w:t>u, tāpat i</w:t>
      </w:r>
      <w:r w:rsidR="00FA36E0" w:rsidRPr="00B66B1A">
        <w:rPr>
          <w:rFonts w:ascii="Times New Roman" w:hAnsi="Times New Roman"/>
          <w:lang w:val="lv-LV"/>
        </w:rPr>
        <w:t xml:space="preserve">lgtermiņa un jauniešu bezdarba līmenis ir bijis augsts, kas liecina par faktisko prasmju neatbilstību darba tirgū izvirzītajām prasībām. </w:t>
      </w:r>
    </w:p>
    <w:p w:rsidR="004544E0" w:rsidRPr="00B66B1A" w:rsidRDefault="006615A6" w:rsidP="00E302F6">
      <w:pPr>
        <w:spacing w:before="120" w:line="240" w:lineRule="auto"/>
        <w:ind w:right="-432"/>
        <w:rPr>
          <w:rFonts w:ascii="Times New Roman" w:hAnsi="Times New Roman"/>
          <w:color w:val="FF0000"/>
          <w:lang w:val="lv-LV"/>
        </w:rPr>
      </w:pPr>
      <w:r w:rsidRPr="00B66B1A">
        <w:rPr>
          <w:rFonts w:ascii="Times New Roman" w:hAnsi="Times New Roman"/>
          <w:lang w:val="lv-LV"/>
        </w:rPr>
        <w:t>Programmas reģioniem</w:t>
      </w:r>
      <w:r w:rsidR="00910549" w:rsidRPr="00B66B1A">
        <w:rPr>
          <w:rFonts w:ascii="Times New Roman" w:hAnsi="Times New Roman"/>
          <w:lang w:val="lv-LV"/>
        </w:rPr>
        <w:t xml:space="preserve"> </w:t>
      </w:r>
      <w:r w:rsidR="00DF31D9" w:rsidRPr="00B66B1A">
        <w:rPr>
          <w:rFonts w:ascii="Times New Roman" w:hAnsi="Times New Roman"/>
          <w:lang w:val="lv-LV"/>
        </w:rPr>
        <w:t xml:space="preserve">ir kopīgi izaicinājumi </w:t>
      </w:r>
      <w:r w:rsidR="00910549" w:rsidRPr="00B66B1A">
        <w:rPr>
          <w:rFonts w:ascii="Times New Roman" w:hAnsi="Times New Roman"/>
          <w:lang w:val="lv-LV"/>
        </w:rPr>
        <w:t xml:space="preserve">– </w:t>
      </w:r>
      <w:r w:rsidR="00DF31D9" w:rsidRPr="00B66B1A">
        <w:rPr>
          <w:rFonts w:ascii="Times New Roman" w:hAnsi="Times New Roman"/>
          <w:lang w:val="lv-LV"/>
        </w:rPr>
        <w:t xml:space="preserve">neatbilstoša </w:t>
      </w:r>
      <w:r w:rsidR="00910549" w:rsidRPr="00B66B1A">
        <w:rPr>
          <w:rFonts w:ascii="Times New Roman" w:hAnsi="Times New Roman"/>
          <w:lang w:val="lv-LV"/>
        </w:rPr>
        <w:t xml:space="preserve">izglītības infrastruktūras kvalitāte, izglītības un apmācību programmas, kas neietver sevī darba tirgū izvirzītās prasības, nepieciešamība </w:t>
      </w:r>
      <w:r w:rsidR="00F26997" w:rsidRPr="00B66B1A">
        <w:rPr>
          <w:rFonts w:ascii="Times New Roman" w:hAnsi="Times New Roman"/>
          <w:lang w:val="lv-LV"/>
        </w:rPr>
        <w:t xml:space="preserve">sniegt iespējas apgūt praktiskas iemaņas </w:t>
      </w:r>
      <w:r w:rsidR="00910549" w:rsidRPr="00B66B1A">
        <w:rPr>
          <w:rFonts w:ascii="Times New Roman" w:hAnsi="Times New Roman"/>
          <w:lang w:val="lv-LV"/>
        </w:rPr>
        <w:t xml:space="preserve">studentiem, kas studē augstākās un profesionālās izglītības iestādēs, kā arī nepieciešamība </w:t>
      </w:r>
      <w:r w:rsidR="00DF31D9" w:rsidRPr="00B66B1A">
        <w:rPr>
          <w:rFonts w:ascii="Times New Roman" w:hAnsi="Times New Roman"/>
          <w:lang w:val="lv-LV"/>
        </w:rPr>
        <w:t xml:space="preserve">uzlabot </w:t>
      </w:r>
      <w:r w:rsidR="00910549" w:rsidRPr="00B66B1A">
        <w:rPr>
          <w:rFonts w:ascii="Times New Roman" w:hAnsi="Times New Roman"/>
          <w:lang w:val="lv-LV"/>
        </w:rPr>
        <w:t>profesionāl</w:t>
      </w:r>
      <w:r w:rsidR="00DF31D9" w:rsidRPr="00B66B1A">
        <w:rPr>
          <w:rFonts w:ascii="Times New Roman" w:hAnsi="Times New Roman"/>
          <w:lang w:val="lv-LV"/>
        </w:rPr>
        <w:t>ās</w:t>
      </w:r>
      <w:r w:rsidR="00910549" w:rsidRPr="00B66B1A">
        <w:rPr>
          <w:rFonts w:ascii="Times New Roman" w:hAnsi="Times New Roman"/>
          <w:lang w:val="lv-LV"/>
        </w:rPr>
        <w:t xml:space="preserve"> izglītīb</w:t>
      </w:r>
      <w:r w:rsidR="00DF31D9" w:rsidRPr="00B66B1A">
        <w:rPr>
          <w:rFonts w:ascii="Times New Roman" w:hAnsi="Times New Roman"/>
          <w:lang w:val="lv-LV"/>
        </w:rPr>
        <w:t>as kvalitāti</w:t>
      </w:r>
      <w:r w:rsidR="00910549" w:rsidRPr="00B66B1A">
        <w:rPr>
          <w:rFonts w:ascii="Times New Roman" w:hAnsi="Times New Roman"/>
          <w:lang w:val="lv-LV"/>
        </w:rPr>
        <w:t xml:space="preserve">. </w:t>
      </w:r>
    </w:p>
    <w:p w:rsidR="004544E0" w:rsidRPr="00B66B1A" w:rsidRDefault="00AD1BC0" w:rsidP="00E302F6">
      <w:pPr>
        <w:spacing w:before="120" w:line="240" w:lineRule="auto"/>
        <w:ind w:right="-432"/>
        <w:rPr>
          <w:rFonts w:ascii="Times New Roman" w:hAnsi="Times New Roman"/>
          <w:lang w:val="lv-LV"/>
        </w:rPr>
      </w:pPr>
      <w:r w:rsidRPr="00B66B1A">
        <w:rPr>
          <w:rFonts w:ascii="Times New Roman" w:hAnsi="Times New Roman"/>
          <w:lang w:val="lv-LV"/>
        </w:rPr>
        <w:t xml:space="preserve">Šīs investīciju prioritātes ietvaros Programma </w:t>
      </w:r>
      <w:r w:rsidR="006615A6" w:rsidRPr="00B66B1A">
        <w:rPr>
          <w:rFonts w:ascii="Times New Roman" w:hAnsi="Times New Roman"/>
          <w:lang w:val="lv-LV"/>
        </w:rPr>
        <w:t xml:space="preserve">plāno atbalstīt </w:t>
      </w:r>
      <w:r w:rsidRPr="00B66B1A">
        <w:rPr>
          <w:rFonts w:ascii="Times New Roman" w:hAnsi="Times New Roman"/>
          <w:lang w:val="lv-LV"/>
        </w:rPr>
        <w:t xml:space="preserve">sadarbību starp uzņēmumiem un izglītības organizācijām (apmācību, </w:t>
      </w:r>
      <w:r w:rsidR="00DF31D9" w:rsidRPr="00B66B1A">
        <w:rPr>
          <w:rFonts w:ascii="Times New Roman" w:hAnsi="Times New Roman"/>
          <w:lang w:val="lv-LV"/>
        </w:rPr>
        <w:t xml:space="preserve">pieredzes </w:t>
      </w:r>
      <w:r w:rsidRPr="00B66B1A">
        <w:rPr>
          <w:rFonts w:ascii="Times New Roman" w:hAnsi="Times New Roman"/>
          <w:lang w:val="lv-LV"/>
        </w:rPr>
        <w:t xml:space="preserve">apmaiņas, mācību prakses u.c. uzlabošana), sadarbību starp izglītības organizācijām, lai uzlabotu to pakalpojumus, apmācību programmas un nepieciešamo infrastruktūru, kā arī pārrobežu nodarbinātības informācijas apmaiņas sekmēšanu </w:t>
      </w:r>
      <w:r w:rsidR="00DF31D9" w:rsidRPr="00B66B1A">
        <w:rPr>
          <w:rFonts w:ascii="Times New Roman" w:hAnsi="Times New Roman"/>
          <w:lang w:val="lv-LV"/>
        </w:rPr>
        <w:t>par</w:t>
      </w:r>
      <w:r w:rsidRPr="00B66B1A">
        <w:rPr>
          <w:rFonts w:ascii="Times New Roman" w:hAnsi="Times New Roman"/>
          <w:lang w:val="lv-LV"/>
        </w:rPr>
        <w:t xml:space="preserve">darba </w:t>
      </w:r>
      <w:r w:rsidR="00DF31D9" w:rsidRPr="00B66B1A">
        <w:rPr>
          <w:rFonts w:ascii="Times New Roman" w:hAnsi="Times New Roman"/>
          <w:lang w:val="lv-LV"/>
        </w:rPr>
        <w:t>vietām un pārrobežu darba tirgū pieprasītajām prasmēm</w:t>
      </w:r>
      <w:r w:rsidRPr="00B66B1A">
        <w:rPr>
          <w:rFonts w:ascii="Times New Roman" w:hAnsi="Times New Roman"/>
          <w:lang w:val="lv-LV"/>
        </w:rPr>
        <w:t>.</w:t>
      </w:r>
    </w:p>
    <w:p w:rsidR="00EB142F" w:rsidRDefault="009B0E6A" w:rsidP="00E302F6">
      <w:pPr>
        <w:spacing w:before="120" w:line="240" w:lineRule="auto"/>
        <w:ind w:right="-432"/>
        <w:rPr>
          <w:rFonts w:ascii="Times New Roman" w:hAnsi="Times New Roman"/>
          <w:lang w:val="lv-LV"/>
        </w:rPr>
      </w:pPr>
      <w:r w:rsidRPr="00B66B1A">
        <w:rPr>
          <w:rFonts w:ascii="Times New Roman" w:hAnsi="Times New Roman"/>
          <w:lang w:val="lv-LV"/>
        </w:rPr>
        <w:t xml:space="preserve">Programmas ietvaros plānots </w:t>
      </w:r>
      <w:r w:rsidR="00F26997" w:rsidRPr="00B66B1A">
        <w:rPr>
          <w:rFonts w:ascii="Times New Roman" w:hAnsi="Times New Roman"/>
          <w:lang w:val="lv-LV"/>
        </w:rPr>
        <w:t xml:space="preserve">veikt noteiktu </w:t>
      </w:r>
      <w:r w:rsidRPr="00B66B1A">
        <w:rPr>
          <w:rFonts w:ascii="Times New Roman" w:hAnsi="Times New Roman"/>
          <w:lang w:val="lv-LV"/>
        </w:rPr>
        <w:t>pārrobežu ceļu</w:t>
      </w:r>
      <w:r w:rsidR="0018256A">
        <w:rPr>
          <w:rFonts w:ascii="Times New Roman" w:hAnsi="Times New Roman"/>
          <w:lang w:val="lv-LV"/>
        </w:rPr>
        <w:t xml:space="preserve"> posmu</w:t>
      </w:r>
      <w:r w:rsidR="006615A6" w:rsidRPr="00B66B1A">
        <w:rPr>
          <w:rFonts w:ascii="Times New Roman" w:hAnsi="Times New Roman"/>
          <w:lang w:val="lv-LV"/>
        </w:rPr>
        <w:t xml:space="preserve"> </w:t>
      </w:r>
      <w:r w:rsidR="00F26997" w:rsidRPr="00B66B1A">
        <w:rPr>
          <w:rFonts w:ascii="Times New Roman" w:hAnsi="Times New Roman"/>
          <w:lang w:val="lv-LV"/>
        </w:rPr>
        <w:t>rekonstrukciju</w:t>
      </w:r>
      <w:r w:rsidRPr="00B66B1A">
        <w:rPr>
          <w:rFonts w:ascii="Times New Roman" w:hAnsi="Times New Roman"/>
          <w:lang w:val="lv-LV"/>
        </w:rPr>
        <w:t xml:space="preserve">, kā rezultātā </w:t>
      </w:r>
      <w:r w:rsidR="0026571A" w:rsidRPr="00B66B1A">
        <w:rPr>
          <w:rFonts w:ascii="Times New Roman" w:hAnsi="Times New Roman"/>
          <w:lang w:val="lv-LV"/>
        </w:rPr>
        <w:t>palielināsies darbaspēka mobilitāte</w:t>
      </w:r>
      <w:r w:rsidR="0018256A">
        <w:rPr>
          <w:rFonts w:ascii="Times New Roman" w:hAnsi="Times New Roman"/>
          <w:lang w:val="lv-LV"/>
        </w:rPr>
        <w:t xml:space="preserve"> un uzlabota</w:t>
      </w:r>
      <w:r w:rsidR="0026571A" w:rsidRPr="00B66B1A">
        <w:rPr>
          <w:rFonts w:ascii="Times New Roman" w:hAnsi="Times New Roman"/>
          <w:lang w:val="lv-LV"/>
        </w:rPr>
        <w:t xml:space="preserve"> </w:t>
      </w:r>
      <w:r w:rsidR="00495808" w:rsidRPr="00B66B1A">
        <w:rPr>
          <w:rFonts w:ascii="Times New Roman" w:hAnsi="Times New Roman"/>
          <w:lang w:val="lv-LV"/>
        </w:rPr>
        <w:t>piekļuv</w:t>
      </w:r>
      <w:r w:rsidR="0018256A">
        <w:rPr>
          <w:rFonts w:ascii="Times New Roman" w:hAnsi="Times New Roman"/>
          <w:lang w:val="lv-LV"/>
        </w:rPr>
        <w:t>e</w:t>
      </w:r>
      <w:r w:rsidR="00495808" w:rsidRPr="00B66B1A">
        <w:rPr>
          <w:rFonts w:ascii="Times New Roman" w:hAnsi="Times New Roman"/>
          <w:lang w:val="lv-LV"/>
        </w:rPr>
        <w:t xml:space="preserve"> pakalpojumiem un darba</w:t>
      </w:r>
      <w:r w:rsidR="0026571A" w:rsidRPr="00B66B1A">
        <w:rPr>
          <w:rFonts w:ascii="Times New Roman" w:hAnsi="Times New Roman"/>
          <w:lang w:val="lv-LV"/>
        </w:rPr>
        <w:t>vietām</w:t>
      </w:r>
      <w:r w:rsidR="0018256A">
        <w:rPr>
          <w:rFonts w:ascii="Times New Roman" w:hAnsi="Times New Roman"/>
          <w:lang w:val="lv-LV"/>
        </w:rPr>
        <w:t>,</w:t>
      </w:r>
      <w:r w:rsidR="0026571A" w:rsidRPr="00B66B1A">
        <w:rPr>
          <w:rFonts w:ascii="Times New Roman" w:hAnsi="Times New Roman"/>
          <w:lang w:val="lv-LV"/>
        </w:rPr>
        <w:t xml:space="preserve"> </w:t>
      </w:r>
      <w:r w:rsidR="0018256A">
        <w:rPr>
          <w:rFonts w:ascii="Times New Roman" w:hAnsi="Times New Roman"/>
          <w:lang w:val="lv-LV"/>
        </w:rPr>
        <w:t xml:space="preserve">savienojot </w:t>
      </w:r>
      <w:r w:rsidR="0026571A" w:rsidRPr="00B66B1A">
        <w:rPr>
          <w:rFonts w:ascii="Times New Roman" w:hAnsi="Times New Roman"/>
          <w:lang w:val="lv-LV"/>
        </w:rPr>
        <w:t xml:space="preserve">reģionālās mazpilsētas, kur pieejami pakalpojumi un </w:t>
      </w:r>
      <w:r w:rsidR="00495808" w:rsidRPr="00B66B1A">
        <w:rPr>
          <w:rFonts w:ascii="Times New Roman" w:hAnsi="Times New Roman"/>
          <w:lang w:val="lv-LV"/>
        </w:rPr>
        <w:t>darba</w:t>
      </w:r>
      <w:r w:rsidR="00F26997" w:rsidRPr="00B66B1A">
        <w:rPr>
          <w:rFonts w:ascii="Times New Roman" w:hAnsi="Times New Roman"/>
          <w:lang w:val="lv-LV"/>
        </w:rPr>
        <w:t>vietas</w:t>
      </w:r>
      <w:r w:rsidR="0026571A" w:rsidRPr="00B66B1A">
        <w:rPr>
          <w:rFonts w:ascii="Times New Roman" w:hAnsi="Times New Roman"/>
          <w:lang w:val="lv-LV"/>
        </w:rPr>
        <w:t xml:space="preserve">. Tiek plānots, ka uzlabotās mobilitātes rezultātā rekonstruētajos ceļu </w:t>
      </w:r>
      <w:r w:rsidR="00114F9C">
        <w:rPr>
          <w:rFonts w:ascii="Times New Roman" w:hAnsi="Times New Roman"/>
          <w:lang w:val="lv-LV"/>
        </w:rPr>
        <w:t>posmos</w:t>
      </w:r>
      <w:r w:rsidR="00114F9C" w:rsidRPr="00B66B1A">
        <w:rPr>
          <w:rFonts w:ascii="Times New Roman" w:hAnsi="Times New Roman"/>
          <w:lang w:val="lv-LV"/>
        </w:rPr>
        <w:t xml:space="preserve"> </w:t>
      </w:r>
      <w:r w:rsidR="0026571A" w:rsidRPr="00B66B1A">
        <w:rPr>
          <w:rFonts w:ascii="Times New Roman" w:hAnsi="Times New Roman"/>
          <w:lang w:val="lv-LV"/>
        </w:rPr>
        <w:t xml:space="preserve">palielināsies satiksmes intensitāte. </w:t>
      </w:r>
    </w:p>
    <w:p w:rsidR="001743B6" w:rsidRDefault="00114F9C" w:rsidP="00E302F6">
      <w:pPr>
        <w:spacing w:before="120" w:line="240" w:lineRule="auto"/>
        <w:ind w:right="-432"/>
        <w:rPr>
          <w:rFonts w:ascii="Times New Roman" w:hAnsi="Times New Roman"/>
          <w:lang w:val="lv-LV"/>
        </w:rPr>
      </w:pPr>
      <w:r>
        <w:rPr>
          <w:rFonts w:ascii="Times New Roman" w:hAnsi="Times New Roman"/>
          <w:lang w:val="lv-LV"/>
        </w:rPr>
        <w:t xml:space="preserve">Dalībvalstis vienojās par </w:t>
      </w:r>
      <w:r w:rsidR="001743B6">
        <w:rPr>
          <w:rFonts w:ascii="Times New Roman" w:hAnsi="Times New Roman"/>
          <w:lang w:val="lv-LV"/>
        </w:rPr>
        <w:t xml:space="preserve">Programmas teritorijā uzlabojamajiem </w:t>
      </w:r>
      <w:r>
        <w:rPr>
          <w:rFonts w:ascii="Times New Roman" w:hAnsi="Times New Roman"/>
          <w:lang w:val="lv-LV"/>
        </w:rPr>
        <w:t>pārrobežu ceļu</w:t>
      </w:r>
      <w:r w:rsidR="001743B6">
        <w:rPr>
          <w:rFonts w:ascii="Times New Roman" w:hAnsi="Times New Roman"/>
          <w:lang w:val="lv-LV"/>
        </w:rPr>
        <w:t xml:space="preserve"> posmiem.</w:t>
      </w:r>
    </w:p>
    <w:p w:rsidR="001743B6" w:rsidRPr="001743B6" w:rsidRDefault="001743B6" w:rsidP="00E302F6">
      <w:pPr>
        <w:spacing w:before="120" w:line="240" w:lineRule="auto"/>
        <w:ind w:right="-432"/>
        <w:rPr>
          <w:rFonts w:ascii="Times New Roman" w:hAnsi="Times New Roman"/>
          <w:lang w:val="lv-LV"/>
        </w:rPr>
      </w:pPr>
      <w:r w:rsidRPr="001743B6">
        <w:rPr>
          <w:rFonts w:ascii="Times New Roman" w:hAnsi="Times New Roman"/>
          <w:lang w:val="lv-LV"/>
        </w:rPr>
        <w:t>Uzlabojamie ceļu posmi Latvijā:</w:t>
      </w:r>
    </w:p>
    <w:p w:rsidR="001743B6" w:rsidRPr="001743B6" w:rsidRDefault="001743B6" w:rsidP="00E302F6">
      <w:pPr>
        <w:pStyle w:val="ListParagraph"/>
        <w:widowControl w:val="0"/>
        <w:numPr>
          <w:ilvl w:val="0"/>
          <w:numId w:val="25"/>
        </w:numPr>
        <w:autoSpaceDE w:val="0"/>
        <w:autoSpaceDN w:val="0"/>
        <w:adjustRightInd w:val="0"/>
        <w:spacing w:before="120" w:line="240" w:lineRule="auto"/>
        <w:ind w:right="-432"/>
        <w:rPr>
          <w:rFonts w:ascii="Times New Roman" w:hAnsi="Times New Roman"/>
          <w:lang w:val="lv-LV"/>
        </w:rPr>
      </w:pPr>
      <w:r w:rsidRPr="001743B6">
        <w:rPr>
          <w:rFonts w:ascii="Times New Roman" w:hAnsi="Times New Roman"/>
          <w:u w:val="single"/>
          <w:lang w:val="lv-LV"/>
        </w:rPr>
        <w:t>Ceļa klasifikācijas kods: V1028</w:t>
      </w:r>
      <w:r w:rsidRPr="001743B6">
        <w:rPr>
          <w:rFonts w:ascii="Times New Roman" w:hAnsi="Times New Roman"/>
          <w:lang w:val="lv-LV"/>
        </w:rPr>
        <w:t xml:space="preserve"> Bauska – Bērzi – Lietuvas robeža 7,44 -14,625 km; garums 7,185 km;</w:t>
      </w:r>
    </w:p>
    <w:p w:rsidR="001743B6" w:rsidRPr="001743B6" w:rsidRDefault="001743B6" w:rsidP="00E302F6">
      <w:pPr>
        <w:pStyle w:val="ListParagraph"/>
        <w:widowControl w:val="0"/>
        <w:numPr>
          <w:ilvl w:val="0"/>
          <w:numId w:val="25"/>
        </w:numPr>
        <w:autoSpaceDE w:val="0"/>
        <w:autoSpaceDN w:val="0"/>
        <w:adjustRightInd w:val="0"/>
        <w:spacing w:before="120" w:line="240" w:lineRule="auto"/>
        <w:ind w:right="-432"/>
        <w:rPr>
          <w:rFonts w:ascii="Times New Roman" w:hAnsi="Times New Roman"/>
          <w:lang w:val="lv-LV"/>
        </w:rPr>
      </w:pPr>
      <w:r w:rsidRPr="001743B6">
        <w:rPr>
          <w:rFonts w:ascii="Times New Roman" w:hAnsi="Times New Roman"/>
          <w:u w:val="single"/>
          <w:lang w:val="lv-LV"/>
        </w:rPr>
        <w:t>Ceļa klasifikācijas kods: P75</w:t>
      </w:r>
      <w:r w:rsidRPr="001743B6">
        <w:rPr>
          <w:rFonts w:ascii="Times New Roman" w:hAnsi="Times New Roman"/>
          <w:lang w:val="lv-LV"/>
        </w:rPr>
        <w:t>Jēkabpils – Nereta –Lietuvas robeža 56,09 – 60,50 km Nereta –Sleķi 0 -1,2km; garums 5,61km;</w:t>
      </w:r>
    </w:p>
    <w:p w:rsidR="001743B6" w:rsidRDefault="001743B6" w:rsidP="00E302F6">
      <w:pPr>
        <w:pStyle w:val="ListParagraph"/>
        <w:widowControl w:val="0"/>
        <w:numPr>
          <w:ilvl w:val="0"/>
          <w:numId w:val="25"/>
        </w:numPr>
        <w:autoSpaceDE w:val="0"/>
        <w:autoSpaceDN w:val="0"/>
        <w:adjustRightInd w:val="0"/>
        <w:spacing w:before="120" w:line="240" w:lineRule="auto"/>
        <w:ind w:right="-432"/>
        <w:rPr>
          <w:rFonts w:ascii="Times New Roman" w:hAnsi="Times New Roman"/>
          <w:lang w:val="lv-LV"/>
        </w:rPr>
      </w:pPr>
      <w:r w:rsidRPr="001743B6">
        <w:rPr>
          <w:rFonts w:ascii="Times New Roman" w:hAnsi="Times New Roman"/>
          <w:u w:val="single"/>
          <w:lang w:val="lv-LV"/>
        </w:rPr>
        <w:t>Ceļa klasifikācijas kods: P106</w:t>
      </w:r>
      <w:r w:rsidRPr="001743B6">
        <w:rPr>
          <w:rFonts w:ascii="Times New Roman" w:hAnsi="Times New Roman"/>
          <w:lang w:val="lv-LV"/>
        </w:rPr>
        <w:t xml:space="preserve"> Ezere – Embute - Grobiņa – Lietuvas robeža 0-14 km; garums 14,00</w:t>
      </w:r>
      <w:r w:rsidR="001C73E8">
        <w:rPr>
          <w:rFonts w:ascii="Times New Roman" w:hAnsi="Times New Roman"/>
          <w:lang w:val="lv-LV"/>
        </w:rPr>
        <w:t xml:space="preserve"> </w:t>
      </w:r>
      <w:r w:rsidRPr="001743B6">
        <w:rPr>
          <w:rFonts w:ascii="Times New Roman" w:hAnsi="Times New Roman"/>
          <w:lang w:val="lv-LV"/>
        </w:rPr>
        <w:t>km..</w:t>
      </w:r>
    </w:p>
    <w:p w:rsidR="001743B6" w:rsidRPr="001743B6" w:rsidRDefault="001743B6" w:rsidP="00E302F6">
      <w:pPr>
        <w:pStyle w:val="ListParagraph"/>
        <w:widowControl w:val="0"/>
        <w:autoSpaceDE w:val="0"/>
        <w:autoSpaceDN w:val="0"/>
        <w:adjustRightInd w:val="0"/>
        <w:spacing w:before="120" w:line="240" w:lineRule="auto"/>
        <w:ind w:left="820" w:right="-432"/>
        <w:rPr>
          <w:rFonts w:ascii="Times New Roman" w:hAnsi="Times New Roman"/>
          <w:lang w:val="lv-LV"/>
        </w:rPr>
      </w:pPr>
    </w:p>
    <w:p w:rsidR="001743B6" w:rsidRPr="001743B6" w:rsidRDefault="001743B6" w:rsidP="00E302F6">
      <w:pPr>
        <w:spacing w:before="120" w:line="240" w:lineRule="auto"/>
        <w:ind w:right="-432"/>
        <w:rPr>
          <w:rFonts w:ascii="Times New Roman" w:hAnsi="Times New Roman"/>
          <w:lang w:val="lv-LV"/>
        </w:rPr>
      </w:pPr>
      <w:r w:rsidRPr="001743B6">
        <w:rPr>
          <w:rFonts w:ascii="Times New Roman" w:hAnsi="Times New Roman"/>
          <w:lang w:val="lv-LV"/>
        </w:rPr>
        <w:t>Uzlabojamie ceļu posmi Lietuvā:</w:t>
      </w:r>
    </w:p>
    <w:p w:rsidR="001743B6" w:rsidRPr="001743B6" w:rsidRDefault="001743B6" w:rsidP="00E302F6">
      <w:pPr>
        <w:pStyle w:val="ListParagraph"/>
        <w:widowControl w:val="0"/>
        <w:numPr>
          <w:ilvl w:val="0"/>
          <w:numId w:val="24"/>
        </w:numPr>
        <w:autoSpaceDE w:val="0"/>
        <w:autoSpaceDN w:val="0"/>
        <w:adjustRightInd w:val="0"/>
        <w:spacing w:before="120" w:line="240" w:lineRule="auto"/>
        <w:ind w:right="-432"/>
        <w:rPr>
          <w:rFonts w:ascii="Times New Roman" w:hAnsi="Times New Roman"/>
          <w:lang w:val="lv-LV"/>
        </w:rPr>
      </w:pPr>
      <w:r w:rsidRPr="001743B6">
        <w:rPr>
          <w:rFonts w:ascii="Times New Roman" w:hAnsi="Times New Roman"/>
          <w:u w:val="single"/>
          <w:lang w:val="lv-LV"/>
        </w:rPr>
        <w:t>Ceļa klasifikācijas kods: 2912</w:t>
      </w:r>
      <w:r w:rsidRPr="001743B6">
        <w:rPr>
          <w:rFonts w:ascii="Times New Roman" w:hAnsi="Times New Roman"/>
          <w:lang w:val="lv-LV"/>
        </w:rPr>
        <w:t xml:space="preserve"> Žeimeļi - Vileiši – Latvijas robeža; 0,0-5,1 km; garums 5,1 km;</w:t>
      </w:r>
    </w:p>
    <w:p w:rsidR="001743B6" w:rsidRPr="001743B6" w:rsidRDefault="001743B6" w:rsidP="00E302F6">
      <w:pPr>
        <w:pStyle w:val="ListParagraph"/>
        <w:widowControl w:val="0"/>
        <w:numPr>
          <w:ilvl w:val="0"/>
          <w:numId w:val="24"/>
        </w:numPr>
        <w:autoSpaceDE w:val="0"/>
        <w:autoSpaceDN w:val="0"/>
        <w:adjustRightInd w:val="0"/>
        <w:spacing w:before="120" w:line="240" w:lineRule="auto"/>
        <w:ind w:right="-432"/>
        <w:rPr>
          <w:rFonts w:ascii="Times New Roman" w:hAnsi="Times New Roman"/>
          <w:lang w:val="lv-LV"/>
        </w:rPr>
      </w:pPr>
      <w:r w:rsidRPr="001743B6">
        <w:rPr>
          <w:rFonts w:ascii="Times New Roman" w:hAnsi="Times New Roman"/>
          <w:u w:val="single"/>
          <w:lang w:val="lv-LV"/>
        </w:rPr>
        <w:lastRenderedPageBreak/>
        <w:t>Ceļa klasifikācijas kods: 3647</w:t>
      </w:r>
      <w:r w:rsidRPr="001743B6">
        <w:rPr>
          <w:rFonts w:ascii="Times New Roman" w:hAnsi="Times New Roman"/>
          <w:lang w:val="lv-LV"/>
        </w:rPr>
        <w:t xml:space="preserve"> Pandēle – Suvainišķi – Latvijas robeža 13,3-18,3 km; garums 5 km;</w:t>
      </w:r>
    </w:p>
    <w:p w:rsidR="001743B6" w:rsidRPr="001743B6" w:rsidRDefault="001743B6" w:rsidP="00E302F6">
      <w:pPr>
        <w:pStyle w:val="ListParagraph"/>
        <w:widowControl w:val="0"/>
        <w:numPr>
          <w:ilvl w:val="0"/>
          <w:numId w:val="24"/>
        </w:numPr>
        <w:autoSpaceDE w:val="0"/>
        <w:autoSpaceDN w:val="0"/>
        <w:adjustRightInd w:val="0"/>
        <w:spacing w:before="120" w:line="240" w:lineRule="auto"/>
        <w:rPr>
          <w:rFonts w:ascii="Times New Roman" w:hAnsi="Times New Roman"/>
          <w:lang w:val="lv-LV"/>
        </w:rPr>
      </w:pPr>
      <w:r w:rsidRPr="001743B6">
        <w:rPr>
          <w:rFonts w:ascii="Times New Roman" w:hAnsi="Times New Roman"/>
          <w:u w:val="single"/>
          <w:lang w:val="lv-LV"/>
        </w:rPr>
        <w:t xml:space="preserve">Ceļa klasifikācijas kods: 163 </w:t>
      </w:r>
      <w:r w:rsidRPr="001743B6">
        <w:rPr>
          <w:rFonts w:ascii="Times New Roman" w:hAnsi="Times New Roman"/>
          <w:lang w:val="lv-LV"/>
        </w:rPr>
        <w:t>Mažeiķi – Latvijas robeža 0,0- 9,19 km, garums 9,19 km</w:t>
      </w:r>
    </w:p>
    <w:p w:rsidR="00114F9C" w:rsidRPr="001743B6" w:rsidRDefault="00114F9C" w:rsidP="00E302F6">
      <w:pPr>
        <w:spacing w:before="120" w:line="240" w:lineRule="auto"/>
        <w:rPr>
          <w:rFonts w:ascii="Times New Roman" w:hAnsi="Times New Roman"/>
          <w:lang w:val="lv-LV"/>
        </w:rPr>
      </w:pPr>
    </w:p>
    <w:p w:rsidR="004544E0" w:rsidRPr="00B66B1A" w:rsidRDefault="00495808" w:rsidP="00E302F6">
      <w:pPr>
        <w:spacing w:before="120" w:line="240" w:lineRule="auto"/>
        <w:rPr>
          <w:rFonts w:ascii="Times New Roman" w:hAnsi="Times New Roman"/>
          <w:lang w:val="lv-LV"/>
        </w:rPr>
      </w:pPr>
      <w:bookmarkStart w:id="22" w:name="page69"/>
      <w:bookmarkEnd w:id="22"/>
      <w:r w:rsidRPr="00B66B1A">
        <w:rPr>
          <w:rFonts w:ascii="Times New Roman" w:hAnsi="Times New Roman"/>
          <w:lang w:val="lv-LV"/>
        </w:rPr>
        <w:t>Tiek sagaidīts</w:t>
      </w:r>
      <w:r w:rsidR="00886429" w:rsidRPr="00B66B1A">
        <w:rPr>
          <w:rFonts w:ascii="Times New Roman" w:hAnsi="Times New Roman"/>
          <w:lang w:val="lv-LV"/>
        </w:rPr>
        <w:t xml:space="preserve">, ka </w:t>
      </w:r>
      <w:r w:rsidR="005D35A1" w:rsidRPr="00B66B1A">
        <w:rPr>
          <w:rFonts w:ascii="Times New Roman" w:hAnsi="Times New Roman"/>
          <w:lang w:val="lv-LV"/>
        </w:rPr>
        <w:t>palielin</w:t>
      </w:r>
      <w:r w:rsidR="00886429" w:rsidRPr="00B66B1A">
        <w:rPr>
          <w:rFonts w:ascii="Times New Roman" w:hAnsi="Times New Roman"/>
          <w:lang w:val="lv-LV"/>
        </w:rPr>
        <w:t>āsies</w:t>
      </w:r>
      <w:r w:rsidR="005D35A1" w:rsidRPr="00B66B1A">
        <w:rPr>
          <w:rFonts w:ascii="Times New Roman" w:hAnsi="Times New Roman"/>
          <w:lang w:val="lv-LV"/>
        </w:rPr>
        <w:t xml:space="preserve"> darba iespējas, uzlabojot </w:t>
      </w:r>
      <w:r w:rsidR="00886429" w:rsidRPr="00B66B1A">
        <w:rPr>
          <w:rFonts w:ascii="Times New Roman" w:hAnsi="Times New Roman"/>
          <w:lang w:val="lv-LV"/>
        </w:rPr>
        <w:t>darba tirgus prasībām atbilstošās prasmes, un uzlabosies darbaspēka mobilitāte.</w:t>
      </w:r>
    </w:p>
    <w:p w:rsidR="004544E0" w:rsidRPr="00B66B1A" w:rsidRDefault="004544E0" w:rsidP="00E302F6">
      <w:pPr>
        <w:spacing w:before="120" w:line="240" w:lineRule="auto"/>
        <w:rPr>
          <w:rFonts w:ascii="Times New Roman" w:hAnsi="Times New Roman"/>
          <w:b/>
          <w:u w:val="single"/>
          <w:lang w:val="lv-LV"/>
        </w:rPr>
      </w:pPr>
    </w:p>
    <w:p w:rsidR="004544E0" w:rsidRPr="00B66B1A" w:rsidRDefault="00CB48E5" w:rsidP="00E302F6">
      <w:pPr>
        <w:spacing w:before="120" w:line="240" w:lineRule="auto"/>
        <w:rPr>
          <w:rFonts w:ascii="Times New Roman" w:hAnsi="Times New Roman"/>
          <w:b/>
          <w:u w:val="single"/>
          <w:lang w:val="lv-LV"/>
        </w:rPr>
      </w:pPr>
      <w:r w:rsidRPr="00B66B1A">
        <w:rPr>
          <w:rFonts w:ascii="Times New Roman" w:hAnsi="Times New Roman"/>
          <w:b/>
          <w:u w:val="single"/>
          <w:lang w:val="lv-LV"/>
        </w:rPr>
        <w:t>Sagaidāmie rezultāti</w:t>
      </w:r>
      <w:r w:rsidR="004544E0" w:rsidRPr="00B66B1A">
        <w:rPr>
          <w:rFonts w:ascii="Times New Roman" w:hAnsi="Times New Roman"/>
          <w:b/>
          <w:u w:val="single"/>
          <w:lang w:val="lv-LV"/>
        </w:rPr>
        <w:t>:</w:t>
      </w:r>
    </w:p>
    <w:p w:rsidR="007A5272" w:rsidRPr="00B66B1A" w:rsidRDefault="00F26997" w:rsidP="00E302F6">
      <w:pPr>
        <w:pStyle w:val="ListParagraph"/>
        <w:numPr>
          <w:ilvl w:val="0"/>
          <w:numId w:val="7"/>
        </w:numPr>
        <w:spacing w:before="120" w:line="240" w:lineRule="auto"/>
        <w:rPr>
          <w:rFonts w:ascii="Times New Roman" w:hAnsi="Times New Roman"/>
          <w:b/>
          <w:lang w:val="lv-LV"/>
        </w:rPr>
      </w:pPr>
      <w:r w:rsidRPr="00B66B1A">
        <w:rPr>
          <w:rFonts w:ascii="Times New Roman" w:hAnsi="Times New Roman"/>
          <w:lang w:val="lv-LV"/>
        </w:rPr>
        <w:t xml:space="preserve">radītas </w:t>
      </w:r>
      <w:r w:rsidR="00CB48E5" w:rsidRPr="00B66B1A">
        <w:rPr>
          <w:rFonts w:ascii="Times New Roman" w:hAnsi="Times New Roman"/>
          <w:lang w:val="lv-LV"/>
        </w:rPr>
        <w:t>darba iespēj</w:t>
      </w:r>
      <w:r w:rsidRPr="00B66B1A">
        <w:rPr>
          <w:rFonts w:ascii="Times New Roman" w:hAnsi="Times New Roman"/>
          <w:lang w:val="lv-LV"/>
        </w:rPr>
        <w:t>as</w:t>
      </w:r>
      <w:r w:rsidR="00CB48E5" w:rsidRPr="00B66B1A">
        <w:rPr>
          <w:rFonts w:ascii="Times New Roman" w:hAnsi="Times New Roman"/>
          <w:lang w:val="lv-LV"/>
        </w:rPr>
        <w:t>, iegūstot darba tirgus prasībām atbilstošas prasmes.</w:t>
      </w:r>
    </w:p>
    <w:p w:rsidR="004544E0" w:rsidRPr="00B66B1A" w:rsidRDefault="00CB48E5" w:rsidP="00E302F6">
      <w:pPr>
        <w:pStyle w:val="ListParagraph"/>
        <w:numPr>
          <w:ilvl w:val="0"/>
          <w:numId w:val="7"/>
        </w:numPr>
        <w:spacing w:before="120" w:line="240" w:lineRule="auto"/>
        <w:rPr>
          <w:rFonts w:ascii="Times New Roman" w:hAnsi="Times New Roman"/>
          <w:b/>
          <w:u w:val="single"/>
          <w:lang w:val="lv-LV"/>
        </w:rPr>
      </w:pPr>
      <w:r w:rsidRPr="00B66B1A">
        <w:rPr>
          <w:rFonts w:ascii="Times New Roman" w:hAnsi="Times New Roman"/>
          <w:lang w:val="lv-LV"/>
        </w:rPr>
        <w:t>palielināta pārrobežu mobilitāte Programmas teritorijā.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199"/>
        <w:gridCol w:w="1497"/>
        <w:gridCol w:w="1155"/>
        <w:gridCol w:w="1000"/>
        <w:gridCol w:w="1104"/>
        <w:gridCol w:w="1274"/>
      </w:tblGrid>
      <w:tr w:rsidR="0009546C" w:rsidRPr="00B66B1A" w:rsidTr="0009546C">
        <w:trPr>
          <w:trHeight w:val="870"/>
        </w:trPr>
        <w:tc>
          <w:tcPr>
            <w:tcW w:w="295" w:type="pct"/>
            <w:tcBorders>
              <w:top w:val="single" w:sz="4" w:space="0" w:color="auto"/>
              <w:left w:val="single" w:sz="4" w:space="0" w:color="auto"/>
              <w:bottom w:val="single" w:sz="4" w:space="0" w:color="auto"/>
              <w:right w:val="single" w:sz="4" w:space="0" w:color="auto"/>
            </w:tcBorders>
          </w:tcPr>
          <w:p w:rsidR="004544E0" w:rsidRPr="00B66B1A" w:rsidRDefault="004544E0"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ID</w:t>
            </w:r>
          </w:p>
        </w:tc>
        <w:tc>
          <w:tcPr>
            <w:tcW w:w="705" w:type="pct"/>
            <w:tcBorders>
              <w:top w:val="single" w:sz="4" w:space="0" w:color="auto"/>
              <w:left w:val="single" w:sz="4" w:space="0" w:color="auto"/>
              <w:bottom w:val="single" w:sz="4" w:space="0" w:color="auto"/>
              <w:right w:val="single" w:sz="4" w:space="0" w:color="auto"/>
            </w:tcBorders>
            <w:hideMark/>
          </w:tcPr>
          <w:p w:rsidR="004544E0" w:rsidRPr="00B66B1A" w:rsidRDefault="00D240FB"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R</w:t>
            </w:r>
            <w:r w:rsidR="0009546C">
              <w:rPr>
                <w:rFonts w:ascii="Times New Roman" w:hAnsi="Times New Roman"/>
                <w:b/>
                <w:sz w:val="18"/>
                <w:szCs w:val="18"/>
                <w:lang w:val="lv-LV"/>
              </w:rPr>
              <w:t>ezultatīvais r</w:t>
            </w:r>
            <w:r w:rsidRPr="00B66B1A">
              <w:rPr>
                <w:rFonts w:ascii="Times New Roman" w:hAnsi="Times New Roman"/>
                <w:b/>
                <w:sz w:val="18"/>
                <w:szCs w:val="18"/>
                <w:lang w:val="lv-LV"/>
              </w:rPr>
              <w:t>ādītājs</w:t>
            </w:r>
            <w:r w:rsidR="004544E0" w:rsidRPr="00B66B1A">
              <w:rPr>
                <w:rFonts w:ascii="Times New Roman" w:hAnsi="Times New Roman"/>
                <w:b/>
                <w:sz w:val="18"/>
                <w:szCs w:val="18"/>
                <w:lang w:val="lv-LV"/>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4544E0" w:rsidRPr="00B66B1A" w:rsidRDefault="00D240FB" w:rsidP="00E302F6">
            <w:pPr>
              <w:snapToGrid w:val="0"/>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Mērvienība</w:t>
            </w:r>
          </w:p>
        </w:tc>
        <w:tc>
          <w:tcPr>
            <w:tcW w:w="828" w:type="pct"/>
            <w:tcBorders>
              <w:top w:val="single" w:sz="4" w:space="0" w:color="auto"/>
              <w:left w:val="single" w:sz="4" w:space="0" w:color="auto"/>
              <w:bottom w:val="single" w:sz="4" w:space="0" w:color="auto"/>
              <w:right w:val="single" w:sz="4" w:space="0" w:color="auto"/>
            </w:tcBorders>
            <w:hideMark/>
          </w:tcPr>
          <w:p w:rsidR="004544E0" w:rsidRPr="00B66B1A" w:rsidRDefault="0009546C" w:rsidP="00E302F6">
            <w:pPr>
              <w:pStyle w:val="ListBullet"/>
              <w:numPr>
                <w:ilvl w:val="0"/>
                <w:numId w:val="0"/>
              </w:numPr>
              <w:tabs>
                <w:tab w:val="left" w:pos="720"/>
              </w:tabs>
              <w:spacing w:before="120" w:line="240" w:lineRule="auto"/>
              <w:rPr>
                <w:rFonts w:ascii="Times New Roman" w:hAnsi="Times New Roman"/>
                <w:b/>
                <w:sz w:val="18"/>
                <w:szCs w:val="18"/>
                <w:lang w:val="lv-LV"/>
              </w:rPr>
            </w:pPr>
            <w:r>
              <w:rPr>
                <w:rFonts w:ascii="Times New Roman" w:hAnsi="Times New Roman"/>
                <w:b/>
                <w:sz w:val="18"/>
                <w:szCs w:val="18"/>
                <w:lang w:val="lv-LV"/>
              </w:rPr>
              <w:t>Atsauces</w:t>
            </w:r>
            <w:r w:rsidRPr="00B66B1A">
              <w:rPr>
                <w:rFonts w:ascii="Times New Roman" w:hAnsi="Times New Roman"/>
                <w:b/>
                <w:sz w:val="18"/>
                <w:szCs w:val="18"/>
                <w:lang w:val="lv-LV"/>
              </w:rPr>
              <w:t xml:space="preserve"> </w:t>
            </w:r>
            <w:r w:rsidR="00D240FB" w:rsidRPr="00B66B1A">
              <w:rPr>
                <w:rFonts w:ascii="Times New Roman" w:hAnsi="Times New Roman"/>
                <w:b/>
                <w:sz w:val="18"/>
                <w:szCs w:val="18"/>
                <w:lang w:val="lv-LV"/>
              </w:rPr>
              <w:t>vērtība</w:t>
            </w:r>
            <w:r w:rsidR="004544E0" w:rsidRPr="00B66B1A">
              <w:rPr>
                <w:rFonts w:ascii="Times New Roman" w:hAnsi="Times New Roman"/>
                <w:b/>
                <w:sz w:val="18"/>
                <w:szCs w:val="18"/>
                <w:lang w:val="lv-LV"/>
              </w:rPr>
              <w:t xml:space="preserve"> </w:t>
            </w:r>
          </w:p>
        </w:tc>
        <w:tc>
          <w:tcPr>
            <w:tcW w:w="639" w:type="pct"/>
            <w:tcBorders>
              <w:top w:val="single" w:sz="4" w:space="0" w:color="auto"/>
              <w:left w:val="single" w:sz="4" w:space="0" w:color="auto"/>
              <w:bottom w:val="single" w:sz="4" w:space="0" w:color="auto"/>
              <w:right w:val="single" w:sz="4" w:space="0" w:color="auto"/>
            </w:tcBorders>
            <w:hideMark/>
          </w:tcPr>
          <w:p w:rsidR="004544E0" w:rsidRPr="00B66B1A" w:rsidRDefault="0009546C" w:rsidP="00E302F6">
            <w:pPr>
              <w:snapToGrid w:val="0"/>
              <w:spacing w:before="120" w:line="240" w:lineRule="auto"/>
              <w:rPr>
                <w:rFonts w:ascii="Times New Roman" w:hAnsi="Times New Roman"/>
                <w:b/>
                <w:sz w:val="18"/>
                <w:szCs w:val="18"/>
                <w:lang w:val="lv-LV"/>
              </w:rPr>
            </w:pPr>
            <w:r>
              <w:rPr>
                <w:rFonts w:ascii="Times New Roman" w:hAnsi="Times New Roman"/>
                <w:b/>
                <w:sz w:val="18"/>
                <w:szCs w:val="18"/>
                <w:lang w:val="lv-LV"/>
              </w:rPr>
              <w:t xml:space="preserve">Atsauces </w:t>
            </w:r>
            <w:r w:rsidR="00D240FB" w:rsidRPr="00B66B1A">
              <w:rPr>
                <w:rFonts w:ascii="Times New Roman" w:hAnsi="Times New Roman"/>
                <w:b/>
                <w:sz w:val="18"/>
                <w:szCs w:val="18"/>
                <w:lang w:val="lv-LV"/>
              </w:rPr>
              <w:t>gads</w:t>
            </w:r>
          </w:p>
        </w:tc>
        <w:tc>
          <w:tcPr>
            <w:tcW w:w="553" w:type="pct"/>
            <w:tcBorders>
              <w:top w:val="single" w:sz="4" w:space="0" w:color="auto"/>
              <w:left w:val="single" w:sz="4" w:space="0" w:color="auto"/>
              <w:bottom w:val="single" w:sz="4" w:space="0" w:color="auto"/>
              <w:right w:val="single" w:sz="4" w:space="0" w:color="auto"/>
            </w:tcBorders>
            <w:hideMark/>
          </w:tcPr>
          <w:p w:rsidR="004544E0" w:rsidRPr="00B66B1A" w:rsidRDefault="00D240FB"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Mērķvērtība</w:t>
            </w:r>
            <w:r w:rsidR="004544E0" w:rsidRPr="00B66B1A">
              <w:rPr>
                <w:rFonts w:ascii="Times New Roman" w:hAnsi="Times New Roman"/>
                <w:b/>
                <w:sz w:val="18"/>
                <w:szCs w:val="18"/>
                <w:lang w:val="lv-LV"/>
              </w:rPr>
              <w:t xml:space="preserve"> (2023) </w:t>
            </w:r>
          </w:p>
        </w:tc>
        <w:tc>
          <w:tcPr>
            <w:tcW w:w="611" w:type="pct"/>
            <w:tcBorders>
              <w:top w:val="single" w:sz="4" w:space="0" w:color="auto"/>
              <w:left w:val="single" w:sz="4" w:space="0" w:color="auto"/>
              <w:bottom w:val="single" w:sz="4" w:space="0" w:color="auto"/>
              <w:right w:val="single" w:sz="4" w:space="0" w:color="auto"/>
            </w:tcBorders>
            <w:hideMark/>
          </w:tcPr>
          <w:p w:rsidR="004544E0" w:rsidRPr="00B66B1A" w:rsidRDefault="00D240FB"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Datu avots</w:t>
            </w:r>
          </w:p>
        </w:tc>
        <w:tc>
          <w:tcPr>
            <w:tcW w:w="705" w:type="pct"/>
            <w:tcBorders>
              <w:top w:val="single" w:sz="4" w:space="0" w:color="auto"/>
              <w:left w:val="single" w:sz="4" w:space="0" w:color="auto"/>
              <w:bottom w:val="single" w:sz="4" w:space="0" w:color="auto"/>
              <w:right w:val="single" w:sz="4" w:space="0" w:color="auto"/>
            </w:tcBorders>
          </w:tcPr>
          <w:p w:rsidR="0009546C" w:rsidRPr="00B81180" w:rsidRDefault="0009546C"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Ziņojuma</w:t>
            </w:r>
          </w:p>
          <w:p w:rsidR="0009546C" w:rsidRPr="00B81180" w:rsidRDefault="0009546C"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iesniegšanas</w:t>
            </w:r>
          </w:p>
          <w:p w:rsidR="004544E0" w:rsidRPr="00B66B1A" w:rsidRDefault="0009546C"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FC1594">
              <w:rPr>
                <w:rFonts w:ascii="Times New Roman" w:hAnsi="Times New Roman"/>
                <w:sz w:val="20"/>
                <w:szCs w:val="20"/>
                <w:lang w:val="lv-LV" w:bidi="en-US"/>
              </w:rPr>
              <w:t>biežums</w:t>
            </w:r>
          </w:p>
        </w:tc>
      </w:tr>
      <w:tr w:rsidR="005F7F12" w:rsidRPr="00B66B1A" w:rsidTr="0009546C">
        <w:trPr>
          <w:trHeight w:val="274"/>
        </w:trPr>
        <w:tc>
          <w:tcPr>
            <w:tcW w:w="295"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pStyle w:val="Text1"/>
              <w:spacing w:before="120" w:line="240" w:lineRule="auto"/>
              <w:ind w:left="0"/>
              <w:jc w:val="left"/>
              <w:rPr>
                <w:sz w:val="18"/>
                <w:szCs w:val="18"/>
                <w:lang w:val="lv-LV"/>
              </w:rPr>
            </w:pPr>
            <w:r w:rsidRPr="00BA2B1E">
              <w:rPr>
                <w:rFonts w:ascii="Verdana" w:hAnsi="Verdana"/>
                <w:sz w:val="16"/>
                <w:szCs w:val="16"/>
              </w:rPr>
              <w:t>2.2.R1</w:t>
            </w:r>
          </w:p>
        </w:tc>
        <w:tc>
          <w:tcPr>
            <w:tcW w:w="705" w:type="pct"/>
            <w:tcBorders>
              <w:top w:val="single" w:sz="4" w:space="0" w:color="auto"/>
              <w:left w:val="single" w:sz="4" w:space="0" w:color="auto"/>
              <w:bottom w:val="single" w:sz="4" w:space="0" w:color="auto"/>
              <w:right w:val="single" w:sz="4" w:space="0" w:color="auto"/>
            </w:tcBorders>
          </w:tcPr>
          <w:p w:rsidR="005F7F12" w:rsidRPr="00B66B1A" w:rsidRDefault="001C73E8" w:rsidP="00E302F6">
            <w:pPr>
              <w:pStyle w:val="Text1"/>
              <w:spacing w:before="120" w:line="240" w:lineRule="auto"/>
              <w:ind w:left="0"/>
              <w:jc w:val="left"/>
              <w:rPr>
                <w:sz w:val="18"/>
                <w:szCs w:val="18"/>
                <w:lang w:val="lv-LV"/>
              </w:rPr>
            </w:pPr>
            <w:r>
              <w:rPr>
                <w:sz w:val="18"/>
                <w:szCs w:val="18"/>
                <w:lang w:val="lv-LV"/>
              </w:rPr>
              <w:t>Iz</w:t>
            </w:r>
            <w:r w:rsidR="00E16BE1">
              <w:rPr>
                <w:sz w:val="18"/>
                <w:szCs w:val="18"/>
                <w:lang w:val="lv-LV"/>
              </w:rPr>
              <w:t>maiņas p</w:t>
            </w:r>
            <w:r w:rsidR="005F7F12" w:rsidRPr="00B66B1A">
              <w:rPr>
                <w:sz w:val="18"/>
                <w:szCs w:val="18"/>
                <w:lang w:val="lv-LV"/>
              </w:rPr>
              <w:t>ersonu skait</w:t>
            </w:r>
            <w:r w:rsidR="00E16BE1">
              <w:rPr>
                <w:sz w:val="18"/>
                <w:szCs w:val="18"/>
                <w:lang w:val="lv-LV"/>
              </w:rPr>
              <w:t>ā</w:t>
            </w:r>
            <w:r w:rsidR="005F7F12" w:rsidRPr="00B66B1A">
              <w:rPr>
                <w:sz w:val="18"/>
                <w:szCs w:val="18"/>
                <w:lang w:val="lv-LV"/>
              </w:rPr>
              <w:t xml:space="preserve">, kas uzlabo prasmes atbilstoši darba tirgus prasībām </w:t>
            </w:r>
          </w:p>
        </w:tc>
        <w:tc>
          <w:tcPr>
            <w:tcW w:w="663"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snapToGrid w:val="0"/>
              <w:spacing w:before="120" w:line="240" w:lineRule="auto"/>
              <w:jc w:val="left"/>
              <w:rPr>
                <w:rFonts w:ascii="Times New Roman" w:hAnsi="Times New Roman"/>
                <w:sz w:val="18"/>
                <w:szCs w:val="18"/>
                <w:lang w:val="lv-LV"/>
              </w:rPr>
            </w:pPr>
            <w:r>
              <w:rPr>
                <w:rFonts w:ascii="Times New Roman" w:hAnsi="Times New Roman"/>
                <w:sz w:val="18"/>
                <w:szCs w:val="18"/>
                <w:lang w:val="lv-LV"/>
              </w:rPr>
              <w:t>P</w:t>
            </w:r>
            <w:r w:rsidR="00404C79">
              <w:rPr>
                <w:rFonts w:ascii="Times New Roman" w:hAnsi="Times New Roman"/>
                <w:sz w:val="18"/>
                <w:szCs w:val="18"/>
                <w:lang w:val="lv-LV"/>
              </w:rPr>
              <w:t>ersonas</w:t>
            </w:r>
          </w:p>
        </w:tc>
        <w:tc>
          <w:tcPr>
            <w:tcW w:w="828" w:type="pct"/>
            <w:tcBorders>
              <w:top w:val="single" w:sz="4" w:space="0" w:color="auto"/>
              <w:left w:val="single" w:sz="4" w:space="0" w:color="auto"/>
              <w:bottom w:val="single" w:sz="4" w:space="0" w:color="auto"/>
              <w:right w:val="single" w:sz="4" w:space="0" w:color="auto"/>
            </w:tcBorders>
          </w:tcPr>
          <w:p w:rsidR="005F7F12" w:rsidRPr="00B66B1A" w:rsidRDefault="00404C79"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Ap </w:t>
            </w:r>
            <w:r w:rsidR="005F7F12">
              <w:rPr>
                <w:rFonts w:ascii="Times New Roman" w:hAnsi="Times New Roman"/>
                <w:sz w:val="18"/>
                <w:szCs w:val="18"/>
                <w:lang w:val="lv-LV"/>
              </w:rPr>
              <w:t>1000</w:t>
            </w:r>
            <w:r w:rsidR="00576D09">
              <w:rPr>
                <w:rFonts w:ascii="Times New Roman" w:hAnsi="Times New Roman"/>
                <w:sz w:val="18"/>
                <w:szCs w:val="18"/>
                <w:lang w:val="lv-LV"/>
              </w:rPr>
              <w:t xml:space="preserve"> personu, kuras </w:t>
            </w:r>
            <w:r w:rsidR="00A552CA">
              <w:rPr>
                <w:rFonts w:ascii="Times New Roman" w:hAnsi="Times New Roman"/>
                <w:sz w:val="18"/>
                <w:szCs w:val="18"/>
                <w:lang w:val="lv-LV"/>
              </w:rPr>
              <w:t xml:space="preserve">uzlabotu apmācību programmu ietvaros </w:t>
            </w:r>
            <w:r w:rsidR="00576D09">
              <w:rPr>
                <w:rFonts w:ascii="Times New Roman" w:hAnsi="Times New Roman"/>
                <w:sz w:val="18"/>
                <w:szCs w:val="18"/>
                <w:lang w:val="lv-LV"/>
              </w:rPr>
              <w:t>sanēmušas</w:t>
            </w:r>
            <w:r w:rsidR="00A552CA">
              <w:rPr>
                <w:rFonts w:ascii="Times New Roman" w:hAnsi="Times New Roman"/>
                <w:sz w:val="18"/>
                <w:szCs w:val="18"/>
                <w:lang w:val="lv-LV"/>
              </w:rPr>
              <w:t xml:space="preserve"> aktuālās prasmes (atbilstoši darba tirgus vajadzībām 2007.–2013. gada Programmā) </w:t>
            </w:r>
          </w:p>
        </w:tc>
        <w:tc>
          <w:tcPr>
            <w:tcW w:w="639"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snapToGrid w:val="0"/>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2013</w:t>
            </w:r>
          </w:p>
        </w:tc>
        <w:tc>
          <w:tcPr>
            <w:tcW w:w="553" w:type="pct"/>
            <w:tcBorders>
              <w:top w:val="single" w:sz="4" w:space="0" w:color="auto"/>
              <w:left w:val="single" w:sz="4" w:space="0" w:color="auto"/>
              <w:bottom w:val="single" w:sz="4" w:space="0" w:color="auto"/>
              <w:right w:val="single" w:sz="4" w:space="0" w:color="auto"/>
            </w:tcBorders>
          </w:tcPr>
          <w:p w:rsidR="005F7F12" w:rsidRPr="00B66B1A" w:rsidRDefault="005F7F12" w:rsidP="0095484C">
            <w:pPr>
              <w:pStyle w:val="ListBullet"/>
              <w:numPr>
                <w:ilvl w:val="0"/>
                <w:numId w:val="0"/>
              </w:numPr>
              <w:tabs>
                <w:tab w:val="left" w:pos="1003"/>
              </w:tabs>
              <w:spacing w:before="120" w:line="240" w:lineRule="auto"/>
              <w:ind w:left="-36" w:right="-77"/>
              <w:jc w:val="left"/>
              <w:rPr>
                <w:rFonts w:ascii="Times New Roman" w:hAnsi="Times New Roman"/>
                <w:sz w:val="18"/>
                <w:szCs w:val="18"/>
                <w:lang w:val="lv-LV"/>
              </w:rPr>
            </w:pPr>
            <w:r>
              <w:rPr>
                <w:rFonts w:ascii="Times New Roman" w:hAnsi="Times New Roman"/>
                <w:sz w:val="18"/>
                <w:szCs w:val="18"/>
                <w:lang w:val="lv-LV"/>
              </w:rPr>
              <w:t xml:space="preserve">  ~1200 (20% pieaugums).</w:t>
            </w:r>
          </w:p>
        </w:tc>
        <w:tc>
          <w:tcPr>
            <w:tcW w:w="611"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2007.–2013. gada Programma</w:t>
            </w:r>
          </w:p>
        </w:tc>
        <w:tc>
          <w:tcPr>
            <w:tcW w:w="705" w:type="pct"/>
            <w:tcBorders>
              <w:top w:val="single" w:sz="4" w:space="0" w:color="auto"/>
              <w:left w:val="single" w:sz="4" w:space="0" w:color="auto"/>
              <w:bottom w:val="single" w:sz="4" w:space="0" w:color="auto"/>
              <w:right w:val="single" w:sz="4" w:space="0" w:color="auto"/>
            </w:tcBorders>
          </w:tcPr>
          <w:p w:rsidR="005F7F12" w:rsidRPr="00B66B1A" w:rsidRDefault="00576D09"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vienreiz, </w:t>
            </w:r>
            <w:r w:rsidR="005F7F12" w:rsidRPr="00B66B1A">
              <w:rPr>
                <w:rFonts w:ascii="Times New Roman" w:hAnsi="Times New Roman"/>
                <w:sz w:val="18"/>
                <w:szCs w:val="18"/>
                <w:lang w:val="lv-LV"/>
              </w:rPr>
              <w:t>2023</w:t>
            </w:r>
          </w:p>
        </w:tc>
      </w:tr>
      <w:tr w:rsidR="005F7F12" w:rsidRPr="00A552CA" w:rsidTr="0009546C">
        <w:trPr>
          <w:trHeight w:val="1151"/>
        </w:trPr>
        <w:tc>
          <w:tcPr>
            <w:tcW w:w="295"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pStyle w:val="Text1"/>
              <w:spacing w:before="120" w:line="240" w:lineRule="auto"/>
              <w:ind w:left="0"/>
              <w:jc w:val="left"/>
              <w:rPr>
                <w:sz w:val="18"/>
                <w:szCs w:val="18"/>
                <w:lang w:val="lv-LV"/>
              </w:rPr>
            </w:pPr>
            <w:r w:rsidRPr="00BA2B1E">
              <w:rPr>
                <w:rFonts w:ascii="Verdana" w:hAnsi="Verdana"/>
                <w:sz w:val="16"/>
                <w:szCs w:val="16"/>
              </w:rPr>
              <w:t>2.2.R2</w:t>
            </w:r>
          </w:p>
        </w:tc>
        <w:tc>
          <w:tcPr>
            <w:tcW w:w="705"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pStyle w:val="Text1"/>
              <w:spacing w:before="120" w:line="240" w:lineRule="auto"/>
              <w:ind w:left="0"/>
              <w:jc w:val="left"/>
              <w:rPr>
                <w:sz w:val="18"/>
                <w:szCs w:val="18"/>
                <w:lang w:val="lv-LV"/>
              </w:rPr>
            </w:pPr>
            <w:r w:rsidRPr="00B66B1A">
              <w:rPr>
                <w:sz w:val="18"/>
                <w:szCs w:val="18"/>
                <w:lang w:val="lv-LV"/>
              </w:rPr>
              <w:t>Satiksmes intensitāte uz renovētajiem ceļiem</w:t>
            </w:r>
          </w:p>
        </w:tc>
        <w:tc>
          <w:tcPr>
            <w:tcW w:w="663"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snapToGrid w:val="0"/>
              <w:spacing w:before="120" w:line="240" w:lineRule="auto"/>
              <w:jc w:val="left"/>
              <w:rPr>
                <w:rFonts w:ascii="Times New Roman" w:hAnsi="Times New Roman"/>
                <w:sz w:val="18"/>
                <w:szCs w:val="18"/>
                <w:lang w:val="lv-LV"/>
              </w:rPr>
            </w:pPr>
            <w:r>
              <w:rPr>
                <w:rFonts w:ascii="Times New Roman" w:hAnsi="Times New Roman"/>
                <w:sz w:val="18"/>
                <w:szCs w:val="18"/>
                <w:lang w:val="lv-LV"/>
              </w:rPr>
              <w:t>Pieaugums procentos</w:t>
            </w:r>
          </w:p>
        </w:tc>
        <w:tc>
          <w:tcPr>
            <w:tcW w:w="828" w:type="pct"/>
            <w:tcBorders>
              <w:top w:val="single" w:sz="4" w:space="0" w:color="auto"/>
              <w:left w:val="single" w:sz="4" w:space="0" w:color="auto"/>
              <w:bottom w:val="single" w:sz="4" w:space="0" w:color="auto"/>
              <w:right w:val="single" w:sz="4" w:space="0" w:color="auto"/>
            </w:tcBorders>
          </w:tcPr>
          <w:p w:rsidR="005F7F12" w:rsidRPr="00B66B1A" w:rsidRDefault="00A552CA"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Skat. 3.pielikumu ”Rīcības plāns -rezultatīvā rādītāja atsauces vērtības un mērķvērtības aprēķins”</w:t>
            </w:r>
          </w:p>
        </w:tc>
        <w:tc>
          <w:tcPr>
            <w:tcW w:w="639"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snapToGrid w:val="0"/>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2013</w:t>
            </w:r>
          </w:p>
        </w:tc>
        <w:tc>
          <w:tcPr>
            <w:tcW w:w="553" w:type="pct"/>
            <w:tcBorders>
              <w:top w:val="single" w:sz="4" w:space="0" w:color="auto"/>
              <w:left w:val="single" w:sz="4" w:space="0" w:color="auto"/>
              <w:bottom w:val="single" w:sz="4" w:space="0" w:color="auto"/>
              <w:right w:val="single" w:sz="4" w:space="0" w:color="auto"/>
            </w:tcBorders>
          </w:tcPr>
          <w:p w:rsidR="005F7F12" w:rsidRPr="00B66B1A" w:rsidRDefault="00A552CA" w:rsidP="0095484C">
            <w:pPr>
              <w:pStyle w:val="ListBullet"/>
              <w:numPr>
                <w:ilvl w:val="0"/>
                <w:numId w:val="0"/>
              </w:numPr>
              <w:tabs>
                <w:tab w:val="left" w:pos="1003"/>
              </w:tabs>
              <w:spacing w:before="120" w:line="240" w:lineRule="auto"/>
              <w:ind w:right="-77"/>
              <w:jc w:val="left"/>
              <w:rPr>
                <w:rFonts w:ascii="Times New Roman" w:hAnsi="Times New Roman"/>
                <w:sz w:val="18"/>
                <w:szCs w:val="18"/>
                <w:lang w:val="lv-LV"/>
              </w:rPr>
            </w:pPr>
            <w:r>
              <w:rPr>
                <w:rFonts w:ascii="Times New Roman" w:hAnsi="Times New Roman"/>
                <w:sz w:val="18"/>
                <w:szCs w:val="18"/>
                <w:lang w:val="lv-LV"/>
              </w:rPr>
              <w:t>Skat. 3.pielikumu  ”Rīcības plāns -rezultatīvā rādītāja atsauces vērtības un mērķvērtības aprēķins”</w:t>
            </w:r>
          </w:p>
        </w:tc>
        <w:tc>
          <w:tcPr>
            <w:tcW w:w="611" w:type="pct"/>
            <w:tcBorders>
              <w:top w:val="single" w:sz="4" w:space="0" w:color="auto"/>
              <w:left w:val="single" w:sz="4" w:space="0" w:color="auto"/>
              <w:bottom w:val="single" w:sz="4" w:space="0" w:color="auto"/>
              <w:right w:val="single" w:sz="4" w:space="0" w:color="auto"/>
            </w:tcBorders>
          </w:tcPr>
          <w:p w:rsidR="005F7F12" w:rsidRPr="00B66B1A" w:rsidRDefault="005F7F12"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Informācija no valstu ceļu administrācijām</w:t>
            </w:r>
          </w:p>
        </w:tc>
        <w:tc>
          <w:tcPr>
            <w:tcW w:w="705" w:type="pct"/>
            <w:tcBorders>
              <w:top w:val="single" w:sz="4" w:space="0" w:color="auto"/>
              <w:left w:val="single" w:sz="4" w:space="0" w:color="auto"/>
              <w:bottom w:val="single" w:sz="4" w:space="0" w:color="auto"/>
              <w:right w:val="single" w:sz="4" w:space="0" w:color="auto"/>
            </w:tcBorders>
          </w:tcPr>
          <w:p w:rsidR="005F7F12" w:rsidRPr="00B66B1A" w:rsidRDefault="00576D09"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vienreiz, </w:t>
            </w:r>
            <w:r w:rsidR="005F7F12" w:rsidRPr="00E25955">
              <w:rPr>
                <w:rFonts w:ascii="Times New Roman" w:hAnsi="Times New Roman"/>
                <w:sz w:val="20"/>
                <w:szCs w:val="20"/>
                <w:lang w:val="lv-LV" w:bidi="en-US"/>
              </w:rPr>
              <w:t>2023</w:t>
            </w:r>
          </w:p>
        </w:tc>
      </w:tr>
    </w:tbl>
    <w:p w:rsidR="004544E0" w:rsidRPr="00A552CA" w:rsidRDefault="004544E0" w:rsidP="00D66FB7">
      <w:pPr>
        <w:pStyle w:val="Heading2"/>
        <w:rPr>
          <w:lang w:val="lv-LV"/>
        </w:rPr>
      </w:pPr>
    </w:p>
    <w:p w:rsidR="004544E0" w:rsidRPr="006B1EA8" w:rsidRDefault="006615A6" w:rsidP="00E302F6">
      <w:pPr>
        <w:spacing w:before="120" w:line="240" w:lineRule="auto"/>
        <w:rPr>
          <w:rFonts w:ascii="Times New Roman" w:hAnsi="Times New Roman"/>
          <w:b/>
          <w:u w:val="single"/>
          <w:lang w:val="lv-LV"/>
        </w:rPr>
      </w:pPr>
      <w:r w:rsidRPr="006B1EA8">
        <w:rPr>
          <w:rFonts w:ascii="Times New Roman" w:hAnsi="Times New Roman"/>
          <w:b/>
          <w:u w:val="single"/>
          <w:lang w:val="lv-LV"/>
        </w:rPr>
        <w:t>Indikatīvs a</w:t>
      </w:r>
      <w:r w:rsidR="00C07A34" w:rsidRPr="006B1EA8">
        <w:rPr>
          <w:rFonts w:ascii="Times New Roman" w:hAnsi="Times New Roman"/>
          <w:b/>
          <w:u w:val="single"/>
          <w:lang w:val="lv-LV"/>
        </w:rPr>
        <w:t>tbalstāmo darbību saraksts</w:t>
      </w:r>
    </w:p>
    <w:p w:rsidR="002968C2" w:rsidRPr="006B1EA8" w:rsidRDefault="00A83646" w:rsidP="00E302F6">
      <w:pPr>
        <w:pStyle w:val="ListParagraph"/>
        <w:numPr>
          <w:ilvl w:val="0"/>
          <w:numId w:val="8"/>
        </w:numPr>
        <w:spacing w:before="120" w:line="240" w:lineRule="auto"/>
        <w:rPr>
          <w:rFonts w:ascii="Times New Roman" w:hAnsi="Times New Roman"/>
          <w:lang w:val="lv-LV"/>
        </w:rPr>
      </w:pPr>
      <w:r w:rsidRPr="006B1EA8">
        <w:rPr>
          <w:rFonts w:ascii="Times New Roman" w:hAnsi="Times New Roman"/>
          <w:lang w:val="lv-LV"/>
        </w:rPr>
        <w:t>izglītības infrastruktūras</w:t>
      </w:r>
      <w:r w:rsidR="00442EB9">
        <w:rPr>
          <w:rFonts w:ascii="Times New Roman" w:hAnsi="Times New Roman"/>
          <w:lang w:val="lv-LV"/>
        </w:rPr>
        <w:t xml:space="preserve"> renovācija un izbūve, </w:t>
      </w:r>
      <w:r w:rsidRPr="006B1EA8">
        <w:rPr>
          <w:rFonts w:ascii="Times New Roman" w:hAnsi="Times New Roman"/>
          <w:lang w:val="lv-LV"/>
        </w:rPr>
        <w:t xml:space="preserve">aprīkojuma </w:t>
      </w:r>
      <w:r w:rsidR="000D1C9F" w:rsidRPr="006B1EA8">
        <w:rPr>
          <w:rFonts w:ascii="Times New Roman" w:hAnsi="Times New Roman"/>
          <w:lang w:val="lv-LV"/>
        </w:rPr>
        <w:t xml:space="preserve">iegāde un </w:t>
      </w:r>
      <w:r w:rsidRPr="006B1EA8">
        <w:rPr>
          <w:rFonts w:ascii="Times New Roman" w:hAnsi="Times New Roman"/>
          <w:lang w:val="lv-LV"/>
        </w:rPr>
        <w:t>uzlabošana;</w:t>
      </w:r>
    </w:p>
    <w:p w:rsidR="00D04A8B" w:rsidRPr="006B1EA8" w:rsidRDefault="00953AA5" w:rsidP="00E302F6">
      <w:pPr>
        <w:pStyle w:val="ListParagraph"/>
        <w:numPr>
          <w:ilvl w:val="0"/>
          <w:numId w:val="8"/>
        </w:numPr>
        <w:spacing w:before="120" w:line="240" w:lineRule="auto"/>
        <w:rPr>
          <w:rFonts w:ascii="Times New Roman" w:hAnsi="Times New Roman"/>
          <w:lang w:val="lv-LV"/>
        </w:rPr>
      </w:pPr>
      <w:r w:rsidRPr="006B1EA8">
        <w:rPr>
          <w:rFonts w:ascii="Times New Roman" w:hAnsi="Times New Roman"/>
          <w:lang w:val="lv-LV"/>
        </w:rPr>
        <w:t xml:space="preserve">uzņēmējdarbību veicinošas mobilitātes </w:t>
      </w:r>
      <w:r w:rsidR="00D04A8B" w:rsidRPr="006B1EA8">
        <w:rPr>
          <w:rFonts w:ascii="Times New Roman" w:hAnsi="Times New Roman"/>
          <w:lang w:val="lv-LV"/>
        </w:rPr>
        <w:t xml:space="preserve">un </w:t>
      </w:r>
      <w:r w:rsidRPr="006B1EA8">
        <w:rPr>
          <w:rFonts w:ascii="Times New Roman" w:hAnsi="Times New Roman"/>
          <w:lang w:val="lv-LV"/>
        </w:rPr>
        <w:t>apmācības</w:t>
      </w:r>
      <w:r w:rsidR="00D04A8B" w:rsidRPr="006B1EA8">
        <w:rPr>
          <w:rFonts w:ascii="Times New Roman" w:hAnsi="Times New Roman"/>
          <w:lang w:val="lv-LV"/>
        </w:rPr>
        <w:t xml:space="preserve"> programmas;</w:t>
      </w:r>
    </w:p>
    <w:p w:rsidR="004544E0" w:rsidRPr="006B1EA8" w:rsidRDefault="00953AA5" w:rsidP="00E302F6">
      <w:pPr>
        <w:pStyle w:val="ListParagraph"/>
        <w:numPr>
          <w:ilvl w:val="0"/>
          <w:numId w:val="8"/>
        </w:numPr>
        <w:spacing w:before="120" w:line="240" w:lineRule="auto"/>
        <w:rPr>
          <w:rFonts w:ascii="Times New Roman" w:hAnsi="Times New Roman"/>
          <w:lang w:val="lv-LV"/>
        </w:rPr>
      </w:pPr>
      <w:r w:rsidRPr="006B1EA8">
        <w:rPr>
          <w:rFonts w:ascii="Times New Roman" w:hAnsi="Times New Roman"/>
          <w:lang w:val="lv-LV"/>
        </w:rPr>
        <w:lastRenderedPageBreak/>
        <w:t xml:space="preserve">uzņēmēju un nodarbinātu personu iesaiste mūžizglītībā un </w:t>
      </w:r>
      <w:r w:rsidR="00D04A8B" w:rsidRPr="006B1EA8">
        <w:rPr>
          <w:rFonts w:ascii="Times New Roman" w:hAnsi="Times New Roman"/>
          <w:lang w:val="lv-LV"/>
        </w:rPr>
        <w:t>citos</w:t>
      </w:r>
      <w:r w:rsidRPr="006B1EA8">
        <w:rPr>
          <w:rFonts w:ascii="Times New Roman" w:hAnsi="Times New Roman"/>
          <w:lang w:val="lv-LV"/>
        </w:rPr>
        <w:t xml:space="preserve"> atbalsta pasākumos ar mērķi sekmēt konkurētspēju darba tirg</w:t>
      </w:r>
      <w:r w:rsidR="00D04A8B" w:rsidRPr="006B1EA8">
        <w:rPr>
          <w:rFonts w:ascii="Times New Roman" w:hAnsi="Times New Roman"/>
          <w:lang w:val="lv-LV"/>
        </w:rPr>
        <w:t>ū</w:t>
      </w:r>
      <w:r w:rsidR="00297954" w:rsidRPr="006B1EA8">
        <w:rPr>
          <w:rFonts w:ascii="Times New Roman" w:hAnsi="Times New Roman"/>
          <w:lang w:val="lv-LV"/>
        </w:rPr>
        <w:t>;</w:t>
      </w:r>
    </w:p>
    <w:p w:rsidR="00D04A8B" w:rsidRPr="006B1EA8" w:rsidRDefault="00D04A8B" w:rsidP="00E302F6">
      <w:pPr>
        <w:pStyle w:val="ListParagraph"/>
        <w:numPr>
          <w:ilvl w:val="0"/>
          <w:numId w:val="8"/>
        </w:numPr>
        <w:spacing w:before="120" w:line="240" w:lineRule="auto"/>
        <w:rPr>
          <w:rFonts w:ascii="Times New Roman" w:hAnsi="Times New Roman"/>
          <w:lang w:val="lv-LV"/>
        </w:rPr>
      </w:pPr>
      <w:r w:rsidRPr="006B1EA8">
        <w:rPr>
          <w:rFonts w:ascii="Times New Roman" w:hAnsi="Times New Roman"/>
          <w:lang w:val="lv-LV"/>
        </w:rPr>
        <w:t xml:space="preserve">Apmācības, pieredzes apmaiņa, </w:t>
      </w:r>
      <w:r w:rsidR="0009546C" w:rsidRPr="006B1EA8">
        <w:rPr>
          <w:rFonts w:ascii="Times New Roman" w:hAnsi="Times New Roman"/>
          <w:lang w:val="lv-LV"/>
        </w:rPr>
        <w:t>prakses un starptautiska mācību prakse;</w:t>
      </w:r>
    </w:p>
    <w:p w:rsidR="004544E0" w:rsidRPr="006B1EA8" w:rsidRDefault="00297954" w:rsidP="00E302F6">
      <w:pPr>
        <w:pStyle w:val="ListParagraph"/>
        <w:numPr>
          <w:ilvl w:val="0"/>
          <w:numId w:val="8"/>
        </w:numPr>
        <w:spacing w:before="120" w:line="240" w:lineRule="auto"/>
        <w:rPr>
          <w:rFonts w:ascii="Times New Roman" w:hAnsi="Times New Roman"/>
          <w:lang w:val="lv-LV"/>
        </w:rPr>
      </w:pPr>
      <w:r w:rsidRPr="006B1EA8">
        <w:rPr>
          <w:rFonts w:ascii="Times New Roman" w:hAnsi="Times New Roman"/>
          <w:lang w:val="lv-LV"/>
        </w:rPr>
        <w:t>sadarbība starp uzņēmumiem un izglītības institūcijām;</w:t>
      </w:r>
    </w:p>
    <w:p w:rsidR="004544E0" w:rsidRPr="006B1EA8" w:rsidRDefault="0009546C" w:rsidP="00E302F6">
      <w:pPr>
        <w:pStyle w:val="ListParagraph"/>
        <w:numPr>
          <w:ilvl w:val="0"/>
          <w:numId w:val="8"/>
        </w:numPr>
        <w:spacing w:before="120" w:line="240" w:lineRule="auto"/>
        <w:rPr>
          <w:rFonts w:ascii="Times New Roman" w:hAnsi="Times New Roman"/>
          <w:lang w:val="lv-LV"/>
        </w:rPr>
      </w:pPr>
      <w:r w:rsidRPr="006B1EA8">
        <w:rPr>
          <w:rFonts w:ascii="Times New Roman" w:hAnsi="Times New Roman"/>
          <w:lang w:val="lv-LV"/>
        </w:rPr>
        <w:t xml:space="preserve">darba gadatirgi un </w:t>
      </w:r>
      <w:r w:rsidR="00297954" w:rsidRPr="006B1EA8">
        <w:rPr>
          <w:rFonts w:ascii="Times New Roman" w:hAnsi="Times New Roman"/>
          <w:lang w:val="lv-LV"/>
        </w:rPr>
        <w:t xml:space="preserve">informācijas </w:t>
      </w:r>
      <w:r w:rsidRPr="006B1EA8">
        <w:rPr>
          <w:rFonts w:ascii="Times New Roman" w:hAnsi="Times New Roman"/>
          <w:lang w:val="lv-LV"/>
        </w:rPr>
        <w:t>apmaiņa</w:t>
      </w:r>
      <w:r w:rsidR="00DA4C1B" w:rsidRPr="006B1EA8">
        <w:rPr>
          <w:rFonts w:ascii="Times New Roman" w:hAnsi="Times New Roman"/>
          <w:lang w:val="lv-LV"/>
        </w:rPr>
        <w:t xml:space="preserve"> par </w:t>
      </w:r>
      <w:r w:rsidRPr="006B1EA8">
        <w:rPr>
          <w:rFonts w:ascii="Times New Roman" w:hAnsi="Times New Roman"/>
          <w:lang w:val="lv-LV"/>
        </w:rPr>
        <w:t>darbavietu un nepieciešamo prasmju pieprasījumu</w:t>
      </w:r>
      <w:r w:rsidR="00297954" w:rsidRPr="006B1EA8">
        <w:rPr>
          <w:rFonts w:ascii="Times New Roman" w:hAnsi="Times New Roman"/>
          <w:lang w:val="lv-LV"/>
        </w:rPr>
        <w:t>;</w:t>
      </w:r>
    </w:p>
    <w:p w:rsidR="004544E0" w:rsidRPr="00B66B1A" w:rsidRDefault="00297954" w:rsidP="00E302F6">
      <w:pPr>
        <w:pStyle w:val="ListParagraph"/>
        <w:numPr>
          <w:ilvl w:val="0"/>
          <w:numId w:val="8"/>
        </w:numPr>
        <w:spacing w:before="120" w:line="240" w:lineRule="auto"/>
        <w:rPr>
          <w:rFonts w:ascii="Times New Roman" w:hAnsi="Times New Roman"/>
          <w:lang w:val="lv-LV"/>
        </w:rPr>
      </w:pPr>
      <w:r w:rsidRPr="006B1EA8">
        <w:rPr>
          <w:rFonts w:ascii="Times New Roman" w:hAnsi="Times New Roman"/>
          <w:lang w:val="lv-LV"/>
        </w:rPr>
        <w:t>pārrobežu ceļu infrastruktūras uzlabošana</w:t>
      </w:r>
      <w:r w:rsidRPr="00B66B1A">
        <w:rPr>
          <w:rFonts w:ascii="Times New Roman" w:hAnsi="Times New Roman"/>
          <w:lang w:val="lv-LV"/>
        </w:rPr>
        <w:t>.</w:t>
      </w:r>
    </w:p>
    <w:p w:rsidR="004544E0" w:rsidRPr="00B66B1A" w:rsidRDefault="004544E0" w:rsidP="00E302F6">
      <w:pPr>
        <w:spacing w:before="120" w:line="240" w:lineRule="auto"/>
        <w:rPr>
          <w:rFonts w:ascii="Times New Roman" w:hAnsi="Times New Roman"/>
          <w:b/>
          <w:u w:val="single"/>
          <w:lang w:val="lv-LV"/>
        </w:rPr>
      </w:pPr>
    </w:p>
    <w:p w:rsidR="007A5272" w:rsidRPr="00B66B1A" w:rsidRDefault="00E90006" w:rsidP="00E302F6">
      <w:pPr>
        <w:spacing w:before="120" w:line="240" w:lineRule="auto"/>
        <w:rPr>
          <w:rFonts w:ascii="Times New Roman" w:hAnsi="Times New Roman"/>
          <w:b/>
          <w:u w:val="single"/>
          <w:lang w:val="lv-LV"/>
        </w:rPr>
      </w:pPr>
      <w:r w:rsidRPr="00B66B1A">
        <w:rPr>
          <w:rFonts w:ascii="Times New Roman" w:hAnsi="Times New Roman"/>
          <w:b/>
          <w:u w:val="single"/>
          <w:lang w:val="lv-LV"/>
        </w:rPr>
        <w:t>Teritorijas un labuma guvēji</w:t>
      </w:r>
    </w:p>
    <w:p w:rsidR="007A5272" w:rsidRPr="00B66B1A" w:rsidRDefault="00E90006" w:rsidP="00E302F6">
      <w:pPr>
        <w:spacing w:before="120" w:line="240" w:lineRule="auto"/>
        <w:rPr>
          <w:rFonts w:ascii="Times New Roman" w:hAnsi="Times New Roman"/>
          <w:lang w:val="lv-LV"/>
        </w:rPr>
      </w:pPr>
      <w:r w:rsidRPr="00B66B1A">
        <w:rPr>
          <w:rFonts w:ascii="Times New Roman" w:hAnsi="Times New Roman"/>
          <w:lang w:val="lv-LV"/>
        </w:rPr>
        <w:t>Rekonstruējamie ceļu posmi atrodas Programmas teritorijā, un tos iespējams noteikt pēc ceļu klasifikācijas kodiem</w:t>
      </w:r>
      <w:r w:rsidR="00E21E6A">
        <w:rPr>
          <w:rFonts w:ascii="Times New Roman" w:hAnsi="Times New Roman"/>
          <w:lang w:val="lv-LV"/>
        </w:rPr>
        <w:t>.</w:t>
      </w:r>
      <w:r w:rsidRPr="00B66B1A">
        <w:rPr>
          <w:rFonts w:ascii="Times New Roman" w:hAnsi="Times New Roman"/>
          <w:lang w:val="lv-LV"/>
        </w:rPr>
        <w:t xml:space="preserve"> </w:t>
      </w:r>
    </w:p>
    <w:p w:rsidR="007A5272" w:rsidRPr="00B66B1A" w:rsidRDefault="00E90006" w:rsidP="00E302F6">
      <w:pPr>
        <w:spacing w:before="120" w:line="240" w:lineRule="auto"/>
        <w:rPr>
          <w:rFonts w:ascii="Times New Roman" w:hAnsi="Times New Roman"/>
          <w:lang w:val="lv-LV"/>
        </w:rPr>
      </w:pPr>
      <w:r w:rsidRPr="00B66B1A">
        <w:rPr>
          <w:rFonts w:ascii="Times New Roman" w:hAnsi="Times New Roman"/>
          <w:lang w:val="lv-LV"/>
        </w:rPr>
        <w:t xml:space="preserve">Ceļu rekonstrukciju </w:t>
      </w:r>
      <w:r w:rsidR="00F26997" w:rsidRPr="00B66B1A">
        <w:rPr>
          <w:rFonts w:ascii="Times New Roman" w:hAnsi="Times New Roman"/>
          <w:lang w:val="lv-LV"/>
        </w:rPr>
        <w:t xml:space="preserve">veiks sekojoši </w:t>
      </w:r>
      <w:r w:rsidRPr="00B66B1A">
        <w:rPr>
          <w:rFonts w:ascii="Times New Roman" w:hAnsi="Times New Roman"/>
          <w:lang w:val="lv-LV"/>
        </w:rPr>
        <w:t>projekta partneri:</w:t>
      </w:r>
    </w:p>
    <w:p w:rsidR="007A5272" w:rsidRPr="00B66B1A" w:rsidRDefault="00E90006" w:rsidP="00E302F6">
      <w:pPr>
        <w:pStyle w:val="ListParagraph"/>
        <w:numPr>
          <w:ilvl w:val="0"/>
          <w:numId w:val="8"/>
        </w:numPr>
        <w:spacing w:before="120" w:line="240" w:lineRule="auto"/>
        <w:rPr>
          <w:rFonts w:ascii="Times New Roman" w:hAnsi="Times New Roman"/>
          <w:lang w:val="lv-LV"/>
        </w:rPr>
      </w:pPr>
      <w:r w:rsidRPr="00B66B1A">
        <w:rPr>
          <w:rFonts w:ascii="Times New Roman" w:hAnsi="Times New Roman"/>
          <w:lang w:val="lv-LV"/>
        </w:rPr>
        <w:t xml:space="preserve">Latvijā: </w:t>
      </w:r>
      <w:r w:rsidR="007B3A57" w:rsidRPr="00B66B1A">
        <w:rPr>
          <w:rFonts w:ascii="Times New Roman" w:hAnsi="Times New Roman"/>
          <w:lang w:val="lv-LV"/>
        </w:rPr>
        <w:t>V</w:t>
      </w:r>
      <w:r w:rsidRPr="00B66B1A">
        <w:rPr>
          <w:rFonts w:ascii="Times New Roman" w:hAnsi="Times New Roman"/>
          <w:lang w:val="lv-LV"/>
        </w:rPr>
        <w:t xml:space="preserve">alsts akciju sabiedrība „Latvijas Valsts </w:t>
      </w:r>
      <w:r w:rsidR="0009546C">
        <w:rPr>
          <w:rFonts w:ascii="Times New Roman" w:hAnsi="Times New Roman"/>
          <w:lang w:val="lv-LV"/>
        </w:rPr>
        <w:t>c</w:t>
      </w:r>
      <w:r w:rsidRPr="00B66B1A">
        <w:rPr>
          <w:rFonts w:ascii="Times New Roman" w:hAnsi="Times New Roman"/>
          <w:lang w:val="lv-LV"/>
        </w:rPr>
        <w:t>eļi”;</w:t>
      </w:r>
    </w:p>
    <w:p w:rsidR="007A5272" w:rsidRPr="00B66B1A" w:rsidRDefault="00E90006" w:rsidP="00E302F6">
      <w:pPr>
        <w:pStyle w:val="ListParagraph"/>
        <w:numPr>
          <w:ilvl w:val="0"/>
          <w:numId w:val="8"/>
        </w:numPr>
        <w:spacing w:before="120" w:line="240" w:lineRule="auto"/>
        <w:rPr>
          <w:rFonts w:ascii="Times New Roman" w:hAnsi="Times New Roman"/>
          <w:lang w:val="lv-LV"/>
        </w:rPr>
      </w:pPr>
      <w:r w:rsidRPr="00B66B1A">
        <w:rPr>
          <w:rFonts w:ascii="Times New Roman" w:hAnsi="Times New Roman"/>
          <w:lang w:val="lv-LV"/>
        </w:rPr>
        <w:t>Lietuvā: valsts iestāde</w:t>
      </w:r>
      <w:r w:rsidR="007A5272" w:rsidRPr="00B66B1A">
        <w:rPr>
          <w:rFonts w:ascii="Times New Roman" w:hAnsi="Times New Roman"/>
          <w:lang w:val="lv-LV"/>
        </w:rPr>
        <w:t xml:space="preserve"> </w:t>
      </w:r>
      <w:r w:rsidRPr="00B66B1A">
        <w:rPr>
          <w:rFonts w:ascii="Times New Roman" w:hAnsi="Times New Roman"/>
          <w:lang w:val="lv-LV"/>
        </w:rPr>
        <w:t>„</w:t>
      </w:r>
      <w:r w:rsidR="007A5272" w:rsidRPr="00B66B1A">
        <w:rPr>
          <w:rFonts w:ascii="Times New Roman" w:hAnsi="Times New Roman"/>
          <w:lang w:val="lv-LV"/>
        </w:rPr>
        <w:t>Lietuvos automobilių kelių direkcija”.</w:t>
      </w:r>
    </w:p>
    <w:p w:rsidR="007A5272" w:rsidRPr="00B66B1A" w:rsidRDefault="007A5272" w:rsidP="00E302F6">
      <w:pPr>
        <w:spacing w:before="120" w:line="240" w:lineRule="auto"/>
        <w:rPr>
          <w:rFonts w:ascii="Times New Roman" w:hAnsi="Times New Roman"/>
          <w:b/>
          <w:u w:val="single"/>
          <w:lang w:val="lv-LV"/>
        </w:rPr>
      </w:pPr>
    </w:p>
    <w:p w:rsidR="004544E0" w:rsidRPr="00B66B1A" w:rsidRDefault="000D340E" w:rsidP="00E302F6">
      <w:pPr>
        <w:spacing w:before="120" w:line="240" w:lineRule="auto"/>
        <w:rPr>
          <w:rFonts w:ascii="Times New Roman" w:hAnsi="Times New Roman"/>
          <w:b/>
          <w:u w:val="single"/>
          <w:lang w:val="lv-LV"/>
        </w:rPr>
      </w:pPr>
      <w:r>
        <w:rPr>
          <w:rFonts w:ascii="Times New Roman" w:hAnsi="Times New Roman"/>
          <w:b/>
          <w:u w:val="single"/>
          <w:lang w:val="lv-LV"/>
        </w:rPr>
        <w:t>Iznākumu</w:t>
      </w:r>
      <w:r w:rsidRPr="00B66B1A">
        <w:rPr>
          <w:rFonts w:ascii="Times New Roman" w:hAnsi="Times New Roman"/>
          <w:b/>
          <w:u w:val="single"/>
          <w:lang w:val="lv-LV"/>
        </w:rPr>
        <w:t xml:space="preserve"> </w:t>
      </w:r>
      <w:r w:rsidR="00981302" w:rsidRPr="00B66B1A">
        <w:rPr>
          <w:rFonts w:ascii="Times New Roman" w:hAnsi="Times New Roman"/>
          <w:b/>
          <w:u w:val="single"/>
          <w:lang w:val="lv-LV"/>
        </w:rPr>
        <w:t>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4"/>
        <w:gridCol w:w="2769"/>
        <w:gridCol w:w="1807"/>
        <w:gridCol w:w="1551"/>
        <w:gridCol w:w="1965"/>
      </w:tblGrid>
      <w:tr w:rsidR="004544E0" w:rsidRPr="00B66B1A" w:rsidTr="004544E0">
        <w:trPr>
          <w:trHeight w:val="706"/>
          <w:jc w:val="center"/>
        </w:trPr>
        <w:tc>
          <w:tcPr>
            <w:tcW w:w="325" w:type="pct"/>
          </w:tcPr>
          <w:p w:rsidR="004544E0" w:rsidRPr="00B66B1A" w:rsidRDefault="004544E0" w:rsidP="00E302F6">
            <w:pPr>
              <w:pStyle w:val="ListDash"/>
              <w:numPr>
                <w:ilvl w:val="0"/>
                <w:numId w:val="0"/>
              </w:numPr>
              <w:spacing w:before="120" w:line="240" w:lineRule="auto"/>
              <w:ind w:left="283" w:hanging="283"/>
              <w:jc w:val="left"/>
              <w:rPr>
                <w:rFonts w:ascii="Times New Roman" w:hAnsi="Times New Roman"/>
                <w:b/>
                <w:sz w:val="18"/>
                <w:szCs w:val="18"/>
                <w:u w:val="single"/>
                <w:lang w:val="lv-LV"/>
              </w:rPr>
            </w:pPr>
            <w:r w:rsidRPr="00B66B1A">
              <w:rPr>
                <w:rFonts w:ascii="Times New Roman" w:hAnsi="Times New Roman"/>
                <w:b/>
                <w:sz w:val="18"/>
                <w:szCs w:val="18"/>
                <w:u w:val="single"/>
                <w:lang w:val="lv-LV"/>
              </w:rPr>
              <w:t>ID</w:t>
            </w:r>
          </w:p>
        </w:tc>
        <w:tc>
          <w:tcPr>
            <w:tcW w:w="1590" w:type="pct"/>
            <w:shd w:val="clear" w:color="auto" w:fill="auto"/>
          </w:tcPr>
          <w:p w:rsidR="004544E0" w:rsidRPr="00B66B1A" w:rsidRDefault="00981302" w:rsidP="00E302F6">
            <w:pPr>
              <w:pStyle w:val="ListDash"/>
              <w:numPr>
                <w:ilvl w:val="0"/>
                <w:numId w:val="0"/>
              </w:numPr>
              <w:spacing w:before="120" w:line="240" w:lineRule="auto"/>
              <w:ind w:left="283" w:hanging="283"/>
              <w:jc w:val="left"/>
              <w:rPr>
                <w:rFonts w:ascii="Times New Roman" w:hAnsi="Times New Roman"/>
                <w:b/>
                <w:sz w:val="18"/>
                <w:szCs w:val="18"/>
                <w:u w:val="single"/>
                <w:lang w:val="lv-LV"/>
              </w:rPr>
            </w:pPr>
            <w:r w:rsidRPr="00B66B1A">
              <w:rPr>
                <w:rFonts w:ascii="Times New Roman" w:hAnsi="Times New Roman"/>
                <w:b/>
                <w:sz w:val="18"/>
                <w:szCs w:val="18"/>
                <w:u w:val="single"/>
                <w:lang w:val="lv-LV"/>
              </w:rPr>
              <w:t>R</w:t>
            </w:r>
            <w:r w:rsidR="0009546C">
              <w:rPr>
                <w:rFonts w:ascii="Times New Roman" w:hAnsi="Times New Roman"/>
                <w:b/>
                <w:sz w:val="18"/>
                <w:szCs w:val="18"/>
                <w:u w:val="single"/>
                <w:lang w:val="lv-LV"/>
              </w:rPr>
              <w:t>ezultatīvais r</w:t>
            </w:r>
            <w:r w:rsidRPr="00B66B1A">
              <w:rPr>
                <w:rFonts w:ascii="Times New Roman" w:hAnsi="Times New Roman"/>
                <w:b/>
                <w:sz w:val="18"/>
                <w:szCs w:val="18"/>
                <w:u w:val="single"/>
                <w:lang w:val="lv-LV"/>
              </w:rPr>
              <w:t>ādītājs</w:t>
            </w:r>
          </w:p>
        </w:tc>
        <w:tc>
          <w:tcPr>
            <w:tcW w:w="1047" w:type="pct"/>
            <w:shd w:val="clear" w:color="auto" w:fill="auto"/>
          </w:tcPr>
          <w:p w:rsidR="004544E0" w:rsidRPr="00B66B1A" w:rsidRDefault="00981302" w:rsidP="00E302F6">
            <w:pPr>
              <w:pStyle w:val="ListDash"/>
              <w:numPr>
                <w:ilvl w:val="0"/>
                <w:numId w:val="0"/>
              </w:numPr>
              <w:spacing w:before="120" w:line="240" w:lineRule="auto"/>
              <w:jc w:val="left"/>
              <w:rPr>
                <w:rFonts w:ascii="Times New Roman" w:hAnsi="Times New Roman"/>
                <w:b/>
                <w:sz w:val="18"/>
                <w:szCs w:val="18"/>
                <w:u w:val="single"/>
                <w:lang w:val="lv-LV"/>
              </w:rPr>
            </w:pPr>
            <w:r w:rsidRPr="00B66B1A">
              <w:rPr>
                <w:rFonts w:ascii="Times New Roman" w:hAnsi="Times New Roman"/>
                <w:b/>
                <w:sz w:val="18"/>
                <w:szCs w:val="18"/>
                <w:u w:val="single"/>
                <w:lang w:val="lv-LV"/>
              </w:rPr>
              <w:t>Mērvienība</w:t>
            </w:r>
          </w:p>
        </w:tc>
        <w:tc>
          <w:tcPr>
            <w:tcW w:w="902" w:type="pct"/>
            <w:shd w:val="clear" w:color="auto" w:fill="auto"/>
          </w:tcPr>
          <w:p w:rsidR="004544E0" w:rsidRPr="00B66B1A" w:rsidRDefault="004D6C79" w:rsidP="00E302F6">
            <w:pPr>
              <w:pStyle w:val="ListDash"/>
              <w:numPr>
                <w:ilvl w:val="0"/>
                <w:numId w:val="0"/>
              </w:numPr>
              <w:spacing w:before="120" w:line="240" w:lineRule="auto"/>
              <w:jc w:val="left"/>
              <w:rPr>
                <w:rFonts w:ascii="Times New Roman" w:hAnsi="Times New Roman"/>
                <w:b/>
                <w:sz w:val="18"/>
                <w:szCs w:val="18"/>
                <w:u w:val="single"/>
                <w:lang w:val="lv-LV"/>
              </w:rPr>
            </w:pPr>
            <w:r w:rsidRPr="00B66B1A">
              <w:rPr>
                <w:rFonts w:ascii="Times New Roman" w:hAnsi="Times New Roman"/>
                <w:b/>
                <w:sz w:val="18"/>
                <w:szCs w:val="18"/>
                <w:u w:val="single"/>
                <w:lang w:val="lv-LV"/>
              </w:rPr>
              <w:t>Mērķ</w:t>
            </w:r>
            <w:r w:rsidR="00981302" w:rsidRPr="00B66B1A">
              <w:rPr>
                <w:rFonts w:ascii="Times New Roman" w:hAnsi="Times New Roman"/>
                <w:b/>
                <w:sz w:val="18"/>
                <w:szCs w:val="18"/>
                <w:u w:val="single"/>
                <w:lang w:val="lv-LV"/>
              </w:rPr>
              <w:t>vērtība</w:t>
            </w:r>
            <w:r w:rsidR="004544E0" w:rsidRPr="00B66B1A">
              <w:rPr>
                <w:rFonts w:ascii="Times New Roman" w:hAnsi="Times New Roman"/>
                <w:b/>
                <w:sz w:val="18"/>
                <w:szCs w:val="18"/>
                <w:u w:val="single"/>
                <w:lang w:val="lv-LV"/>
              </w:rPr>
              <w:t xml:space="preserve"> (2023)</w:t>
            </w:r>
          </w:p>
        </w:tc>
        <w:tc>
          <w:tcPr>
            <w:tcW w:w="1136" w:type="pct"/>
            <w:shd w:val="clear" w:color="auto" w:fill="auto"/>
          </w:tcPr>
          <w:p w:rsidR="004544E0" w:rsidRPr="00B66B1A" w:rsidRDefault="00981302" w:rsidP="00E302F6">
            <w:pPr>
              <w:pStyle w:val="ListDash"/>
              <w:numPr>
                <w:ilvl w:val="0"/>
                <w:numId w:val="0"/>
              </w:numPr>
              <w:spacing w:before="120" w:line="240" w:lineRule="auto"/>
              <w:jc w:val="left"/>
              <w:rPr>
                <w:rFonts w:ascii="Times New Roman" w:hAnsi="Times New Roman"/>
                <w:b/>
                <w:sz w:val="18"/>
                <w:szCs w:val="18"/>
                <w:u w:val="single"/>
                <w:lang w:val="lv-LV"/>
              </w:rPr>
            </w:pPr>
            <w:r w:rsidRPr="00B66B1A">
              <w:rPr>
                <w:rFonts w:ascii="Times New Roman" w:hAnsi="Times New Roman"/>
                <w:b/>
                <w:sz w:val="18"/>
                <w:szCs w:val="18"/>
                <w:u w:val="single"/>
                <w:lang w:val="lv-LV"/>
              </w:rPr>
              <w:t>Datu avots</w:t>
            </w:r>
          </w:p>
        </w:tc>
      </w:tr>
      <w:tr w:rsidR="00DA2473" w:rsidRPr="00B66B1A" w:rsidTr="000F129C">
        <w:trPr>
          <w:trHeight w:val="764"/>
          <w:jc w:val="center"/>
        </w:trPr>
        <w:tc>
          <w:tcPr>
            <w:tcW w:w="325" w:type="pct"/>
          </w:tcPr>
          <w:p w:rsidR="00DA2473" w:rsidRPr="00B66B1A" w:rsidRDefault="00DA2473" w:rsidP="00E302F6">
            <w:pPr>
              <w:pStyle w:val="ListDash"/>
              <w:numPr>
                <w:ilvl w:val="0"/>
                <w:numId w:val="0"/>
              </w:numPr>
              <w:spacing w:before="120" w:line="240" w:lineRule="auto"/>
              <w:rPr>
                <w:rFonts w:ascii="Times New Roman" w:hAnsi="Times New Roman"/>
                <w:sz w:val="18"/>
                <w:szCs w:val="18"/>
                <w:u w:val="single"/>
                <w:lang w:val="lv-LV"/>
              </w:rPr>
            </w:pPr>
            <w:r w:rsidRPr="00BA2B1E">
              <w:rPr>
                <w:sz w:val="16"/>
                <w:szCs w:val="16"/>
              </w:rPr>
              <w:t>2.2.O1</w:t>
            </w:r>
          </w:p>
        </w:tc>
        <w:tc>
          <w:tcPr>
            <w:tcW w:w="1590" w:type="pct"/>
            <w:tcBorders>
              <w:bottom w:val="single" w:sz="4" w:space="0" w:color="auto"/>
            </w:tcBorders>
            <w:shd w:val="clear" w:color="auto" w:fill="auto"/>
          </w:tcPr>
          <w:p w:rsidR="00DA2473" w:rsidRPr="00B66B1A" w:rsidRDefault="00DA2473" w:rsidP="00E302F6">
            <w:p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Dalībnieku skaits kopējos izglītības un apmācību pasākumos, ar ko tiek sekmēta jauniešu nodarbinātība, izglītības iespējas, kā arī augstākā un profesionālā izglītība ārpus valsts robežām.</w:t>
            </w:r>
          </w:p>
        </w:tc>
        <w:tc>
          <w:tcPr>
            <w:tcW w:w="1047" w:type="pct"/>
            <w:tcBorders>
              <w:bottom w:val="single" w:sz="4" w:space="0" w:color="auto"/>
            </w:tcBorders>
            <w:shd w:val="clear" w:color="auto" w:fill="auto"/>
          </w:tcPr>
          <w:p w:rsidR="00DA2473" w:rsidRPr="00B66B1A" w:rsidRDefault="00DA2473"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Vienības</w:t>
            </w:r>
          </w:p>
        </w:tc>
        <w:tc>
          <w:tcPr>
            <w:tcW w:w="902" w:type="pct"/>
            <w:tcBorders>
              <w:bottom w:val="single" w:sz="4" w:space="0" w:color="auto"/>
            </w:tcBorders>
            <w:shd w:val="clear" w:color="auto" w:fill="auto"/>
          </w:tcPr>
          <w:p w:rsidR="00DA2473" w:rsidRPr="00B66B1A" w:rsidRDefault="00DA2473" w:rsidP="00E302F6">
            <w:pPr>
              <w:pStyle w:val="ListDash"/>
              <w:numPr>
                <w:ilvl w:val="0"/>
                <w:numId w:val="0"/>
              </w:numPr>
              <w:spacing w:before="120" w:line="240" w:lineRule="auto"/>
              <w:jc w:val="right"/>
              <w:rPr>
                <w:rFonts w:ascii="Times New Roman" w:hAnsi="Times New Roman"/>
                <w:sz w:val="18"/>
                <w:szCs w:val="18"/>
                <w:lang w:val="lv-LV"/>
              </w:rPr>
            </w:pPr>
            <w:r>
              <w:rPr>
                <w:rFonts w:ascii="Times New Roman" w:hAnsi="Times New Roman"/>
                <w:sz w:val="18"/>
                <w:szCs w:val="18"/>
                <w:lang w:val="lv-LV"/>
              </w:rPr>
              <w:t>700</w:t>
            </w:r>
          </w:p>
        </w:tc>
        <w:tc>
          <w:tcPr>
            <w:tcW w:w="1136" w:type="pct"/>
            <w:tcBorders>
              <w:bottom w:val="single" w:sz="4" w:space="0" w:color="auto"/>
            </w:tcBorders>
            <w:shd w:val="clear" w:color="auto" w:fill="auto"/>
          </w:tcPr>
          <w:p w:rsidR="00DA2473" w:rsidRPr="00B66B1A" w:rsidRDefault="00DA2473"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Progresa ziņojumi</w:t>
            </w:r>
          </w:p>
        </w:tc>
      </w:tr>
      <w:tr w:rsidR="00DA2473" w:rsidRPr="00B66B1A" w:rsidTr="000F129C">
        <w:trPr>
          <w:trHeight w:val="953"/>
          <w:jc w:val="center"/>
        </w:trPr>
        <w:tc>
          <w:tcPr>
            <w:tcW w:w="325" w:type="pct"/>
          </w:tcPr>
          <w:p w:rsidR="00DA2473" w:rsidRPr="00B66B1A" w:rsidRDefault="00DA2473" w:rsidP="00E302F6">
            <w:pPr>
              <w:pStyle w:val="ListDash"/>
              <w:numPr>
                <w:ilvl w:val="0"/>
                <w:numId w:val="0"/>
              </w:numPr>
              <w:spacing w:before="120" w:line="240" w:lineRule="auto"/>
              <w:rPr>
                <w:rFonts w:ascii="Times New Roman" w:hAnsi="Times New Roman"/>
                <w:sz w:val="18"/>
                <w:szCs w:val="18"/>
                <w:u w:val="single"/>
                <w:lang w:val="lv-LV"/>
              </w:rPr>
            </w:pPr>
            <w:r w:rsidRPr="00BA2B1E">
              <w:rPr>
                <w:sz w:val="16"/>
                <w:szCs w:val="16"/>
              </w:rPr>
              <w:t>2.2.O2</w:t>
            </w:r>
          </w:p>
        </w:tc>
        <w:tc>
          <w:tcPr>
            <w:tcW w:w="1590" w:type="pct"/>
            <w:tcBorders>
              <w:top w:val="single" w:sz="4" w:space="0" w:color="auto"/>
              <w:bottom w:val="single" w:sz="4" w:space="0" w:color="auto"/>
            </w:tcBorders>
            <w:shd w:val="clear" w:color="auto" w:fill="auto"/>
          </w:tcPr>
          <w:p w:rsidR="00DA2473" w:rsidRPr="00B66B1A" w:rsidRDefault="00DA2473" w:rsidP="00E302F6">
            <w:p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Kopīgai izmantošanai plānotie radītie vai uzlabotie izglītības un apmācību infrastruktūras objekti.</w:t>
            </w:r>
          </w:p>
        </w:tc>
        <w:tc>
          <w:tcPr>
            <w:tcW w:w="1047" w:type="pct"/>
            <w:tcBorders>
              <w:top w:val="single" w:sz="4" w:space="0" w:color="auto"/>
              <w:bottom w:val="single" w:sz="4" w:space="0" w:color="auto"/>
            </w:tcBorders>
            <w:shd w:val="clear" w:color="auto" w:fill="auto"/>
          </w:tcPr>
          <w:p w:rsidR="00DA2473" w:rsidRPr="00B66B1A" w:rsidRDefault="00DA2473"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Vienības</w:t>
            </w:r>
          </w:p>
        </w:tc>
        <w:tc>
          <w:tcPr>
            <w:tcW w:w="902" w:type="pct"/>
            <w:tcBorders>
              <w:top w:val="single" w:sz="4" w:space="0" w:color="auto"/>
              <w:bottom w:val="single" w:sz="4" w:space="0" w:color="auto"/>
            </w:tcBorders>
            <w:shd w:val="clear" w:color="auto" w:fill="auto"/>
          </w:tcPr>
          <w:p w:rsidR="00DA2473" w:rsidRPr="00B66B1A" w:rsidRDefault="00DA2473" w:rsidP="00E302F6">
            <w:pPr>
              <w:pStyle w:val="ListDash"/>
              <w:numPr>
                <w:ilvl w:val="0"/>
                <w:numId w:val="0"/>
              </w:numPr>
              <w:spacing w:before="120" w:line="240" w:lineRule="auto"/>
              <w:jc w:val="right"/>
              <w:rPr>
                <w:rFonts w:ascii="Times New Roman" w:hAnsi="Times New Roman"/>
                <w:sz w:val="18"/>
                <w:szCs w:val="18"/>
                <w:lang w:val="lv-LV"/>
              </w:rPr>
            </w:pPr>
            <w:r>
              <w:rPr>
                <w:rFonts w:ascii="Times New Roman" w:hAnsi="Times New Roman"/>
                <w:sz w:val="18"/>
                <w:szCs w:val="18"/>
                <w:lang w:val="lv-LV"/>
              </w:rPr>
              <w:t>13</w:t>
            </w:r>
          </w:p>
        </w:tc>
        <w:tc>
          <w:tcPr>
            <w:tcW w:w="1136" w:type="pct"/>
            <w:tcBorders>
              <w:top w:val="single" w:sz="4" w:space="0" w:color="auto"/>
              <w:bottom w:val="single" w:sz="4" w:space="0" w:color="auto"/>
            </w:tcBorders>
            <w:shd w:val="clear" w:color="auto" w:fill="auto"/>
          </w:tcPr>
          <w:p w:rsidR="00DA2473" w:rsidRPr="00B66B1A" w:rsidRDefault="00DA2473"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Progresa ziņojumi</w:t>
            </w:r>
          </w:p>
        </w:tc>
      </w:tr>
      <w:tr w:rsidR="00DA2473" w:rsidRPr="00B66B1A" w:rsidTr="000F129C">
        <w:trPr>
          <w:trHeight w:val="647"/>
          <w:jc w:val="center"/>
        </w:trPr>
        <w:tc>
          <w:tcPr>
            <w:tcW w:w="325" w:type="pct"/>
          </w:tcPr>
          <w:p w:rsidR="00DA2473" w:rsidRPr="00B66B1A" w:rsidRDefault="00DA2473" w:rsidP="00E302F6">
            <w:pPr>
              <w:pStyle w:val="ListDash"/>
              <w:numPr>
                <w:ilvl w:val="0"/>
                <w:numId w:val="0"/>
              </w:numPr>
              <w:spacing w:before="120" w:line="240" w:lineRule="auto"/>
              <w:rPr>
                <w:rFonts w:ascii="Times New Roman" w:hAnsi="Times New Roman"/>
                <w:sz w:val="18"/>
                <w:szCs w:val="18"/>
                <w:lang w:val="lv-LV"/>
              </w:rPr>
            </w:pPr>
            <w:r w:rsidRPr="00BA2B1E">
              <w:rPr>
                <w:sz w:val="16"/>
                <w:szCs w:val="16"/>
              </w:rPr>
              <w:t>2.2.O3</w:t>
            </w:r>
          </w:p>
        </w:tc>
        <w:tc>
          <w:tcPr>
            <w:tcW w:w="1590" w:type="pct"/>
            <w:tcBorders>
              <w:top w:val="single" w:sz="4" w:space="0" w:color="auto"/>
            </w:tcBorders>
            <w:shd w:val="clear" w:color="auto" w:fill="auto"/>
          </w:tcPr>
          <w:p w:rsidR="00DA2473" w:rsidRPr="00B66B1A" w:rsidRDefault="00DA2473" w:rsidP="00E302F6">
            <w:pPr>
              <w:pStyle w:val="ListParagraph"/>
              <w:spacing w:before="120" w:line="240" w:lineRule="auto"/>
              <w:ind w:left="0"/>
              <w:jc w:val="left"/>
              <w:rPr>
                <w:rFonts w:ascii="Times New Roman" w:hAnsi="Times New Roman"/>
                <w:sz w:val="18"/>
                <w:szCs w:val="18"/>
                <w:lang w:val="lv-LV"/>
              </w:rPr>
            </w:pPr>
            <w:r w:rsidRPr="00B66B1A">
              <w:rPr>
                <w:rFonts w:ascii="Times New Roman" w:hAnsi="Times New Roman"/>
                <w:sz w:val="18"/>
                <w:szCs w:val="18"/>
                <w:lang w:val="lv-LV"/>
              </w:rPr>
              <w:t>Rekonstruēto vai atjaunoto ceļu kopējais garums robežu teritorijā.</w:t>
            </w:r>
          </w:p>
        </w:tc>
        <w:tc>
          <w:tcPr>
            <w:tcW w:w="1047" w:type="pct"/>
            <w:tcBorders>
              <w:top w:val="single" w:sz="4" w:space="0" w:color="auto"/>
            </w:tcBorders>
            <w:shd w:val="clear" w:color="auto" w:fill="auto"/>
          </w:tcPr>
          <w:p w:rsidR="00DA2473" w:rsidRPr="00B66B1A" w:rsidRDefault="00A552CA" w:rsidP="00E302F6">
            <w:pPr>
              <w:pStyle w:val="ListDash"/>
              <w:numPr>
                <w:ilvl w:val="0"/>
                <w:numId w:val="0"/>
              </w:numPr>
              <w:spacing w:before="120" w:line="240" w:lineRule="auto"/>
              <w:jc w:val="left"/>
              <w:rPr>
                <w:rFonts w:ascii="Times New Roman" w:hAnsi="Times New Roman"/>
                <w:sz w:val="18"/>
                <w:szCs w:val="18"/>
                <w:lang w:val="lv-LV"/>
              </w:rPr>
            </w:pPr>
            <w:r>
              <w:rPr>
                <w:rFonts w:ascii="Times New Roman" w:hAnsi="Times New Roman"/>
                <w:sz w:val="18"/>
                <w:szCs w:val="18"/>
                <w:lang w:val="lv-LV"/>
              </w:rPr>
              <w:t>k</w:t>
            </w:r>
            <w:r w:rsidR="00DA2473" w:rsidRPr="00B66B1A">
              <w:rPr>
                <w:rFonts w:ascii="Times New Roman" w:hAnsi="Times New Roman"/>
                <w:sz w:val="18"/>
                <w:szCs w:val="18"/>
                <w:lang w:val="lv-LV"/>
              </w:rPr>
              <w:t>m</w:t>
            </w:r>
          </w:p>
        </w:tc>
        <w:tc>
          <w:tcPr>
            <w:tcW w:w="902" w:type="pct"/>
            <w:tcBorders>
              <w:top w:val="single" w:sz="4" w:space="0" w:color="auto"/>
            </w:tcBorders>
            <w:shd w:val="clear" w:color="auto" w:fill="auto"/>
          </w:tcPr>
          <w:p w:rsidR="00DA2473" w:rsidRPr="00B66B1A" w:rsidRDefault="00DA2473" w:rsidP="00E302F6">
            <w:pPr>
              <w:pStyle w:val="ListDash"/>
              <w:numPr>
                <w:ilvl w:val="0"/>
                <w:numId w:val="0"/>
              </w:numPr>
              <w:spacing w:before="120" w:line="240" w:lineRule="auto"/>
              <w:jc w:val="right"/>
              <w:rPr>
                <w:rFonts w:ascii="Times New Roman" w:hAnsi="Times New Roman"/>
                <w:sz w:val="18"/>
                <w:szCs w:val="18"/>
                <w:lang w:val="lv-LV"/>
              </w:rPr>
            </w:pPr>
            <w:r>
              <w:rPr>
                <w:rFonts w:ascii="Times New Roman" w:hAnsi="Times New Roman"/>
                <w:sz w:val="18"/>
                <w:szCs w:val="18"/>
                <w:lang w:val="lv-LV"/>
              </w:rPr>
              <w:t>46</w:t>
            </w:r>
            <w:r w:rsidR="00A552CA">
              <w:rPr>
                <w:rFonts w:ascii="Times New Roman" w:hAnsi="Times New Roman"/>
                <w:sz w:val="18"/>
                <w:szCs w:val="18"/>
                <w:lang w:val="lv-LV"/>
              </w:rPr>
              <w:t>,085</w:t>
            </w:r>
          </w:p>
        </w:tc>
        <w:tc>
          <w:tcPr>
            <w:tcW w:w="1136" w:type="pct"/>
            <w:tcBorders>
              <w:top w:val="single" w:sz="4" w:space="0" w:color="auto"/>
            </w:tcBorders>
            <w:shd w:val="clear" w:color="auto" w:fill="auto"/>
          </w:tcPr>
          <w:p w:rsidR="00DA2473" w:rsidRPr="00B66B1A" w:rsidRDefault="00DA2473"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Progresa ziņojumi</w:t>
            </w:r>
          </w:p>
        </w:tc>
      </w:tr>
    </w:tbl>
    <w:p w:rsidR="004544E0" w:rsidRPr="00543A74" w:rsidRDefault="004544E0" w:rsidP="00E302F6">
      <w:pPr>
        <w:spacing w:before="120" w:line="240" w:lineRule="auto"/>
        <w:rPr>
          <w:b/>
          <w:lang w:val="lv-LV"/>
        </w:rPr>
      </w:pPr>
    </w:p>
    <w:p w:rsidR="004544E0" w:rsidRPr="00B66B1A" w:rsidRDefault="00CB09C5" w:rsidP="00E302F6">
      <w:pPr>
        <w:spacing w:before="120" w:line="240" w:lineRule="auto"/>
        <w:rPr>
          <w:rFonts w:ascii="Times New Roman" w:hAnsi="Times New Roman"/>
          <w:b/>
          <w:lang w:val="lv-LV"/>
        </w:rPr>
      </w:pPr>
      <w:r w:rsidRPr="00B66B1A">
        <w:rPr>
          <w:rFonts w:ascii="Times New Roman" w:hAnsi="Times New Roman"/>
          <w:b/>
          <w:lang w:val="lv-LV"/>
        </w:rPr>
        <w:t>Projektu izvēles vadošie principi 2. prioritārā virziena ietvaros</w:t>
      </w:r>
    </w:p>
    <w:p w:rsidR="004544E0" w:rsidRPr="00B66B1A" w:rsidRDefault="007B3A57" w:rsidP="00E302F6">
      <w:pPr>
        <w:spacing w:before="120" w:line="240" w:lineRule="auto"/>
        <w:rPr>
          <w:rFonts w:ascii="Times New Roman" w:hAnsi="Times New Roman"/>
          <w:lang w:val="lv-LV"/>
        </w:rPr>
      </w:pPr>
      <w:r w:rsidRPr="00B66B1A">
        <w:rPr>
          <w:rFonts w:ascii="Times New Roman" w:hAnsi="Times New Roman"/>
          <w:lang w:val="lv-LV"/>
        </w:rPr>
        <w:t>Programmas ietvaros plānots turpināt piemērot</w:t>
      </w:r>
      <w:r w:rsidR="00F26997" w:rsidRPr="00B66B1A">
        <w:rPr>
          <w:rFonts w:ascii="Times New Roman" w:hAnsi="Times New Roman"/>
          <w:lang w:val="lv-LV"/>
        </w:rPr>
        <w:t xml:space="preserve"> 2007.-2013.</w:t>
      </w:r>
      <w:r w:rsidR="007404A8" w:rsidRPr="00B66B1A">
        <w:rPr>
          <w:rFonts w:ascii="Times New Roman" w:hAnsi="Times New Roman"/>
          <w:lang w:val="lv-LV"/>
        </w:rPr>
        <w:t xml:space="preserve"> </w:t>
      </w:r>
      <w:r w:rsidR="00F26997" w:rsidRPr="00B66B1A">
        <w:rPr>
          <w:rFonts w:ascii="Times New Roman" w:hAnsi="Times New Roman"/>
          <w:lang w:val="lv-LV"/>
        </w:rPr>
        <w:t>gada Programmā izveidotos</w:t>
      </w:r>
      <w:r w:rsidRPr="00B66B1A">
        <w:rPr>
          <w:rFonts w:ascii="Times New Roman" w:hAnsi="Times New Roman"/>
          <w:lang w:val="lv-LV"/>
        </w:rPr>
        <w:t xml:space="preserve"> projektu </w:t>
      </w:r>
      <w:r w:rsidR="00CD6D0C">
        <w:rPr>
          <w:rFonts w:ascii="Times New Roman" w:hAnsi="Times New Roman"/>
          <w:lang w:val="lv-LV"/>
        </w:rPr>
        <w:t>atlases</w:t>
      </w:r>
      <w:r w:rsidR="00CD6D0C" w:rsidRPr="00B66B1A">
        <w:rPr>
          <w:rFonts w:ascii="Times New Roman" w:hAnsi="Times New Roman"/>
          <w:lang w:val="lv-LV"/>
        </w:rPr>
        <w:t xml:space="preserve"> </w:t>
      </w:r>
      <w:r w:rsidRPr="00B66B1A">
        <w:rPr>
          <w:rFonts w:ascii="Times New Roman" w:hAnsi="Times New Roman"/>
          <w:lang w:val="lv-LV"/>
        </w:rPr>
        <w:t>principus</w:t>
      </w:r>
      <w:r w:rsidR="00F26997" w:rsidRPr="00B66B1A">
        <w:rPr>
          <w:rFonts w:ascii="Times New Roman" w:hAnsi="Times New Roman"/>
          <w:lang w:val="lv-LV"/>
        </w:rPr>
        <w:t>.</w:t>
      </w:r>
      <w:r w:rsidRPr="00B66B1A">
        <w:rPr>
          <w:rFonts w:ascii="Times New Roman" w:hAnsi="Times New Roman"/>
          <w:lang w:val="lv-LV"/>
        </w:rPr>
        <w:t xml:space="preserve"> </w:t>
      </w:r>
      <w:r w:rsidR="006615A6" w:rsidRPr="00B66B1A">
        <w:rPr>
          <w:rFonts w:ascii="Times New Roman" w:hAnsi="Times New Roman"/>
          <w:lang w:val="lv-LV"/>
        </w:rPr>
        <w:t xml:space="preserve">Detalizēta kārtība noteikta Programmas </w:t>
      </w:r>
      <w:r w:rsidR="00F26997" w:rsidRPr="00B66B1A">
        <w:rPr>
          <w:rFonts w:ascii="Times New Roman" w:hAnsi="Times New Roman"/>
          <w:lang w:val="lv-LV"/>
        </w:rPr>
        <w:t>5</w:t>
      </w:r>
      <w:r w:rsidRPr="00B66B1A">
        <w:rPr>
          <w:rFonts w:ascii="Times New Roman" w:hAnsi="Times New Roman"/>
          <w:lang w:val="lv-LV"/>
        </w:rPr>
        <w:t>.</w:t>
      </w:r>
      <w:r w:rsidR="00F26997" w:rsidRPr="00B66B1A">
        <w:rPr>
          <w:rFonts w:ascii="Times New Roman" w:hAnsi="Times New Roman"/>
          <w:lang w:val="lv-LV"/>
        </w:rPr>
        <w:t>3</w:t>
      </w:r>
      <w:r w:rsidR="006615A6" w:rsidRPr="00B66B1A">
        <w:rPr>
          <w:rFonts w:ascii="Times New Roman" w:hAnsi="Times New Roman"/>
          <w:lang w:val="lv-LV"/>
        </w:rPr>
        <w:t>. punktā</w:t>
      </w:r>
      <w:r w:rsidR="00F26997" w:rsidRPr="00B66B1A">
        <w:rPr>
          <w:rFonts w:ascii="Times New Roman" w:hAnsi="Times New Roman"/>
          <w:lang w:val="lv-LV"/>
        </w:rPr>
        <w:t>.</w:t>
      </w:r>
    </w:p>
    <w:p w:rsidR="00F26997" w:rsidRPr="00B66B1A" w:rsidRDefault="00F26997" w:rsidP="00E302F6">
      <w:pPr>
        <w:spacing w:before="120" w:line="240" w:lineRule="auto"/>
        <w:ind w:right="-432"/>
        <w:rPr>
          <w:rFonts w:ascii="Times New Roman" w:hAnsi="Times New Roman"/>
          <w:lang w:val="lv-LV"/>
        </w:rPr>
      </w:pPr>
      <w:r w:rsidRPr="00B66B1A">
        <w:rPr>
          <w:rFonts w:ascii="Times New Roman" w:hAnsi="Times New Roman"/>
          <w:lang w:val="lv-LV"/>
        </w:rPr>
        <w:t xml:space="preserve">Vienīgais izņēmums no </w:t>
      </w:r>
      <w:r w:rsidR="006615A6" w:rsidRPr="00B66B1A">
        <w:rPr>
          <w:rFonts w:ascii="Times New Roman" w:hAnsi="Times New Roman"/>
          <w:lang w:val="lv-LV"/>
        </w:rPr>
        <w:t>noteiktās</w:t>
      </w:r>
      <w:r w:rsidRPr="00B66B1A">
        <w:rPr>
          <w:rFonts w:ascii="Times New Roman" w:hAnsi="Times New Roman"/>
          <w:lang w:val="lv-LV"/>
        </w:rPr>
        <w:t xml:space="preserve"> procedūras ir projekti, kas </w:t>
      </w:r>
      <w:r w:rsidR="008D162D" w:rsidRPr="00B66B1A">
        <w:rPr>
          <w:rFonts w:ascii="Times New Roman" w:hAnsi="Times New Roman"/>
          <w:lang w:val="lv-LV"/>
        </w:rPr>
        <w:t>sekmē</w:t>
      </w:r>
      <w:r w:rsidRPr="00B66B1A">
        <w:rPr>
          <w:rFonts w:ascii="Times New Roman" w:hAnsi="Times New Roman"/>
          <w:lang w:val="lv-LV"/>
        </w:rPr>
        <w:t>s</w:t>
      </w:r>
      <w:r w:rsidR="008D162D" w:rsidRPr="00B66B1A">
        <w:rPr>
          <w:rFonts w:ascii="Times New Roman" w:hAnsi="Times New Roman"/>
          <w:lang w:val="lv-LV"/>
        </w:rPr>
        <w:t xml:space="preserve"> rezultātu rādītāju „satiksmes intensitātes palielināšanās uz renovētajiem ceļiem” un </w:t>
      </w:r>
      <w:r w:rsidR="000D340E">
        <w:rPr>
          <w:rFonts w:ascii="Times New Roman" w:hAnsi="Times New Roman"/>
          <w:lang w:val="lv-LV"/>
        </w:rPr>
        <w:t>iznākumu</w:t>
      </w:r>
      <w:r w:rsidR="000D340E" w:rsidRPr="00B66B1A">
        <w:rPr>
          <w:rFonts w:ascii="Times New Roman" w:hAnsi="Times New Roman"/>
          <w:lang w:val="lv-LV"/>
        </w:rPr>
        <w:t xml:space="preserve"> </w:t>
      </w:r>
      <w:r w:rsidR="008D162D" w:rsidRPr="00B66B1A">
        <w:rPr>
          <w:rFonts w:ascii="Times New Roman" w:hAnsi="Times New Roman"/>
          <w:lang w:val="lv-LV"/>
        </w:rPr>
        <w:t>rādītāju „</w:t>
      </w:r>
      <w:r w:rsidR="007B3A57" w:rsidRPr="00B66B1A">
        <w:rPr>
          <w:rFonts w:ascii="Times New Roman" w:hAnsi="Times New Roman"/>
          <w:lang w:val="lv-LV"/>
        </w:rPr>
        <w:t>rekonstruēto vai atjaunoto ceļu kopējais garums robežu teritorijā / km</w:t>
      </w:r>
      <w:r w:rsidR="00A552CA">
        <w:rPr>
          <w:rFonts w:ascii="Times New Roman" w:hAnsi="Times New Roman"/>
          <w:lang w:val="lv-LV"/>
        </w:rPr>
        <w:t xml:space="preserve">, jo projektu partneriem </w:t>
      </w:r>
      <w:r w:rsidR="0067787D">
        <w:rPr>
          <w:rFonts w:ascii="Times New Roman" w:hAnsi="Times New Roman"/>
          <w:lang w:val="lv-LV"/>
        </w:rPr>
        <w:t>ir pienākums</w:t>
      </w:r>
      <w:r w:rsidR="00A552CA">
        <w:rPr>
          <w:rFonts w:ascii="Times New Roman" w:hAnsi="Times New Roman"/>
          <w:lang w:val="lv-LV"/>
        </w:rPr>
        <w:t xml:space="preserve"> </w:t>
      </w:r>
      <w:r w:rsidR="0067787D">
        <w:rPr>
          <w:rFonts w:ascii="Times New Roman" w:hAnsi="Times New Roman"/>
          <w:lang w:val="lv-LV"/>
        </w:rPr>
        <w:t>veikt</w:t>
      </w:r>
      <w:r w:rsidR="00A552CA">
        <w:rPr>
          <w:rFonts w:ascii="Times New Roman" w:hAnsi="Times New Roman"/>
          <w:lang w:val="lv-LV"/>
        </w:rPr>
        <w:t xml:space="preserve"> </w:t>
      </w:r>
      <w:r w:rsidR="0067787D">
        <w:rPr>
          <w:rFonts w:ascii="Times New Roman" w:hAnsi="Times New Roman"/>
          <w:lang w:val="lv-LV"/>
        </w:rPr>
        <w:t>minēto ceļu posmu rekonstrukciju un šim mērķim no programmas resursiem ir iezīmēts līdz 9 200 00,00 EUR (ERAF)</w:t>
      </w:r>
      <w:r w:rsidRPr="00B66B1A">
        <w:rPr>
          <w:rFonts w:ascii="Times New Roman" w:hAnsi="Times New Roman"/>
          <w:lang w:val="lv-LV"/>
        </w:rPr>
        <w:t>.</w:t>
      </w:r>
      <w:r w:rsidRPr="00B66B1A" w:rsidDel="00F26997">
        <w:rPr>
          <w:rFonts w:ascii="Times New Roman" w:hAnsi="Times New Roman"/>
          <w:lang w:val="lv-LV"/>
        </w:rPr>
        <w:t xml:space="preserve"> </w:t>
      </w:r>
    </w:p>
    <w:p w:rsidR="0067787D" w:rsidRPr="00C419BF" w:rsidRDefault="00F26997" w:rsidP="00E302F6">
      <w:pPr>
        <w:spacing w:before="120" w:line="240" w:lineRule="auto"/>
        <w:ind w:right="-432"/>
        <w:rPr>
          <w:rFonts w:ascii="Times New Roman" w:hAnsi="Times New Roman"/>
          <w:lang w:val="lv-LV"/>
        </w:rPr>
      </w:pPr>
      <w:r w:rsidRPr="00B66B1A">
        <w:rPr>
          <w:rFonts w:ascii="Times New Roman" w:hAnsi="Times New Roman"/>
          <w:lang w:val="lv-LV"/>
        </w:rPr>
        <w:lastRenderedPageBreak/>
        <w:t xml:space="preserve">Projekta partneriem </w:t>
      </w:r>
      <w:r w:rsidR="0077224C">
        <w:rPr>
          <w:rFonts w:ascii="Times New Roman" w:hAnsi="Times New Roman"/>
          <w:lang w:val="lv-LV"/>
        </w:rPr>
        <w:t xml:space="preserve">ir jāiesniedz </w:t>
      </w:r>
      <w:r w:rsidR="00425869" w:rsidRPr="00B66B1A">
        <w:rPr>
          <w:rFonts w:ascii="Times New Roman" w:hAnsi="Times New Roman"/>
          <w:lang w:val="lv-LV"/>
        </w:rPr>
        <w:t xml:space="preserve">projektu pieteikumus un </w:t>
      </w:r>
      <w:r w:rsidR="0077224C">
        <w:rPr>
          <w:rFonts w:ascii="Times New Roman" w:hAnsi="Times New Roman"/>
          <w:lang w:val="lv-LV"/>
        </w:rPr>
        <w:t xml:space="preserve">saskaņā ar </w:t>
      </w:r>
      <w:r w:rsidRPr="00B66B1A">
        <w:rPr>
          <w:rFonts w:ascii="Times New Roman" w:hAnsi="Times New Roman"/>
          <w:lang w:val="lv-LV"/>
        </w:rPr>
        <w:t xml:space="preserve">Programmā </w:t>
      </w:r>
      <w:r w:rsidR="0077224C" w:rsidRPr="00B66B1A">
        <w:rPr>
          <w:rFonts w:ascii="Times New Roman" w:hAnsi="Times New Roman"/>
          <w:lang w:val="lv-LV"/>
        </w:rPr>
        <w:t>noteikt</w:t>
      </w:r>
      <w:r w:rsidR="0077224C">
        <w:rPr>
          <w:rFonts w:ascii="Times New Roman" w:hAnsi="Times New Roman"/>
          <w:lang w:val="lv-LV"/>
        </w:rPr>
        <w:t>ajiem</w:t>
      </w:r>
      <w:r w:rsidR="0077224C" w:rsidRPr="00B66B1A">
        <w:rPr>
          <w:rFonts w:ascii="Times New Roman" w:hAnsi="Times New Roman"/>
          <w:lang w:val="lv-LV"/>
        </w:rPr>
        <w:t xml:space="preserve"> </w:t>
      </w:r>
      <w:r w:rsidR="00425869" w:rsidRPr="00B66B1A">
        <w:rPr>
          <w:rFonts w:ascii="Times New Roman" w:hAnsi="Times New Roman"/>
          <w:lang w:val="lv-LV"/>
        </w:rPr>
        <w:t xml:space="preserve">projektu </w:t>
      </w:r>
      <w:r w:rsidR="0077224C">
        <w:rPr>
          <w:rFonts w:ascii="Times New Roman" w:hAnsi="Times New Roman"/>
          <w:lang w:val="lv-LV"/>
        </w:rPr>
        <w:t>atlases</w:t>
      </w:r>
      <w:r w:rsidR="0077224C" w:rsidRPr="00B66B1A">
        <w:rPr>
          <w:rFonts w:ascii="Times New Roman" w:hAnsi="Times New Roman"/>
          <w:lang w:val="lv-LV"/>
        </w:rPr>
        <w:t xml:space="preserve"> vispārīg</w:t>
      </w:r>
      <w:r w:rsidR="0077224C">
        <w:rPr>
          <w:rFonts w:ascii="Times New Roman" w:hAnsi="Times New Roman"/>
          <w:lang w:val="lv-LV"/>
        </w:rPr>
        <w:t>ajiem</w:t>
      </w:r>
      <w:r w:rsidR="0077224C" w:rsidRPr="00B66B1A">
        <w:rPr>
          <w:rFonts w:ascii="Times New Roman" w:hAnsi="Times New Roman"/>
          <w:lang w:val="lv-LV"/>
        </w:rPr>
        <w:t xml:space="preserve"> princip</w:t>
      </w:r>
      <w:r w:rsidR="0077224C">
        <w:rPr>
          <w:rFonts w:ascii="Times New Roman" w:hAnsi="Times New Roman"/>
          <w:lang w:val="lv-LV"/>
        </w:rPr>
        <w:t>iem</w:t>
      </w:r>
      <w:r w:rsidR="00425869" w:rsidRPr="00B66B1A">
        <w:rPr>
          <w:rFonts w:ascii="Times New Roman" w:hAnsi="Times New Roman"/>
          <w:lang w:val="lv-LV"/>
        </w:rPr>
        <w:t xml:space="preserve">, kas norādīti 5.3. punktā. </w:t>
      </w:r>
      <w:r w:rsidR="0067787D" w:rsidRPr="00C419BF">
        <w:rPr>
          <w:rFonts w:ascii="Times New Roman" w:hAnsi="Times New Roman"/>
          <w:lang w:val="lv-LV"/>
        </w:rPr>
        <w:t>Uz</w:t>
      </w:r>
      <w:r w:rsidR="00BC5147" w:rsidRPr="00C419BF">
        <w:rPr>
          <w:rFonts w:ascii="Times New Roman" w:hAnsi="Times New Roman"/>
          <w:lang w:val="lv-LV"/>
        </w:rPr>
        <w:t xml:space="preserve"> tiešo piešķīrumu saņemošajām</w:t>
      </w:r>
      <w:r w:rsidR="0067787D" w:rsidRPr="00C419BF">
        <w:rPr>
          <w:rFonts w:ascii="Times New Roman" w:hAnsi="Times New Roman"/>
          <w:lang w:val="lv-LV"/>
        </w:rPr>
        <w:t xml:space="preserve"> </w:t>
      </w:r>
      <w:r w:rsidR="00BC5147" w:rsidRPr="00C419BF">
        <w:rPr>
          <w:rFonts w:ascii="Times New Roman" w:hAnsi="Times New Roman"/>
          <w:lang w:val="lv-LV"/>
        </w:rPr>
        <w:t>iestādēm</w:t>
      </w:r>
      <w:r w:rsidR="0067787D" w:rsidRPr="00C419BF">
        <w:rPr>
          <w:rFonts w:ascii="Times New Roman" w:hAnsi="Times New Roman"/>
          <w:lang w:val="lv-LV"/>
        </w:rPr>
        <w:t xml:space="preserve"> attieksies šādi noteikumi:</w:t>
      </w:r>
    </w:p>
    <w:p w:rsidR="0067787D" w:rsidRPr="00E302F6" w:rsidRDefault="0067787D" w:rsidP="00E302F6">
      <w:pPr>
        <w:pStyle w:val="ListParagraph"/>
        <w:numPr>
          <w:ilvl w:val="0"/>
          <w:numId w:val="8"/>
        </w:numPr>
        <w:spacing w:before="120" w:line="240" w:lineRule="auto"/>
        <w:ind w:right="-432"/>
        <w:rPr>
          <w:rFonts w:ascii="Times New Roman" w:hAnsi="Times New Roman"/>
          <w:lang w:val="lv-LV"/>
        </w:rPr>
      </w:pPr>
      <w:r w:rsidRPr="00E302F6">
        <w:rPr>
          <w:rFonts w:ascii="Times New Roman" w:hAnsi="Times New Roman"/>
          <w:lang w:val="lv-LV"/>
        </w:rPr>
        <w:t>Ja projekta īstenošanas gaitā,</w:t>
      </w:r>
      <w:r w:rsidR="00BC5147" w:rsidRPr="00E302F6">
        <w:rPr>
          <w:rFonts w:ascii="Times New Roman" w:hAnsi="Times New Roman"/>
          <w:lang w:val="lv-LV"/>
        </w:rPr>
        <w:t xml:space="preserve"> (piemēram, publiskā iepirkuma rezultātā) </w:t>
      </w:r>
      <w:r w:rsidRPr="00E302F6">
        <w:rPr>
          <w:rFonts w:ascii="Times New Roman" w:hAnsi="Times New Roman"/>
          <w:lang w:val="lv-LV"/>
        </w:rPr>
        <w:t xml:space="preserve"> izmaksas pārsniegs programm</w:t>
      </w:r>
      <w:r w:rsidR="00BC5147" w:rsidRPr="00E302F6">
        <w:rPr>
          <w:rFonts w:ascii="Times New Roman" w:hAnsi="Times New Roman"/>
          <w:lang w:val="lv-LV"/>
        </w:rPr>
        <w:t>ā un finansēšanas līgumā</w:t>
      </w:r>
      <w:r w:rsidRPr="00E302F6">
        <w:rPr>
          <w:rFonts w:ascii="Times New Roman" w:hAnsi="Times New Roman"/>
          <w:lang w:val="lv-LV"/>
        </w:rPr>
        <w:t xml:space="preserve"> </w:t>
      </w:r>
      <w:r w:rsidR="00BC5147" w:rsidRPr="00E302F6">
        <w:rPr>
          <w:rFonts w:ascii="Times New Roman" w:hAnsi="Times New Roman"/>
          <w:lang w:val="lv-LV"/>
        </w:rPr>
        <w:t>atvēlēto pieejamo finansējumu</w:t>
      </w:r>
      <w:r w:rsidRPr="00E302F6">
        <w:rPr>
          <w:rFonts w:ascii="Times New Roman" w:hAnsi="Times New Roman"/>
          <w:lang w:val="lv-LV"/>
        </w:rPr>
        <w:t xml:space="preserve">, </w:t>
      </w:r>
      <w:r w:rsidR="00BC5147" w:rsidRPr="00E302F6">
        <w:rPr>
          <w:rFonts w:ascii="Times New Roman" w:hAnsi="Times New Roman"/>
          <w:lang w:val="lv-LV"/>
        </w:rPr>
        <w:t xml:space="preserve">izmaksas, kuras pārsniedz </w:t>
      </w:r>
      <w:r w:rsidRPr="00E302F6">
        <w:rPr>
          <w:rFonts w:ascii="Times New Roman" w:hAnsi="Times New Roman"/>
          <w:lang w:val="lv-LV"/>
        </w:rPr>
        <w:t>paredzēt</w:t>
      </w:r>
      <w:r w:rsidR="00BC5147" w:rsidRPr="00E302F6">
        <w:rPr>
          <w:rFonts w:ascii="Times New Roman" w:hAnsi="Times New Roman"/>
          <w:lang w:val="lv-LV"/>
        </w:rPr>
        <w:t>o</w:t>
      </w:r>
      <w:r w:rsidRPr="00E302F6">
        <w:rPr>
          <w:rFonts w:ascii="Times New Roman" w:hAnsi="Times New Roman"/>
          <w:lang w:val="lv-LV"/>
        </w:rPr>
        <w:t xml:space="preserve"> finansējum</w:t>
      </w:r>
      <w:r w:rsidR="00BC5147" w:rsidRPr="00E302F6">
        <w:rPr>
          <w:rFonts w:ascii="Times New Roman" w:hAnsi="Times New Roman"/>
          <w:lang w:val="lv-LV"/>
        </w:rPr>
        <w:t>u</w:t>
      </w:r>
      <w:r w:rsidRPr="00E302F6">
        <w:rPr>
          <w:rFonts w:ascii="Times New Roman" w:hAnsi="Times New Roman"/>
          <w:lang w:val="lv-LV"/>
        </w:rPr>
        <w:t xml:space="preserve"> </w:t>
      </w:r>
      <w:r w:rsidR="00BC5147" w:rsidRPr="00E302F6">
        <w:rPr>
          <w:rFonts w:ascii="Times New Roman" w:hAnsi="Times New Roman"/>
          <w:lang w:val="lv-LV"/>
        </w:rPr>
        <w:t xml:space="preserve">nevar tikt apmaksātas no programmas līdzekļiem, bet iestādēm tās jāapmaksā </w:t>
      </w:r>
      <w:r w:rsidRPr="00E302F6">
        <w:rPr>
          <w:rFonts w:ascii="Times New Roman" w:hAnsi="Times New Roman"/>
          <w:lang w:val="lv-LV"/>
        </w:rPr>
        <w:t xml:space="preserve">no </w:t>
      </w:r>
      <w:r w:rsidR="00BC5147" w:rsidRPr="00E302F6">
        <w:rPr>
          <w:rFonts w:ascii="Times New Roman" w:hAnsi="Times New Roman"/>
          <w:lang w:val="lv-LV"/>
        </w:rPr>
        <w:t>citiem finansēšanas</w:t>
      </w:r>
      <w:r w:rsidRPr="00E302F6">
        <w:rPr>
          <w:rFonts w:ascii="Times New Roman" w:hAnsi="Times New Roman"/>
          <w:lang w:val="lv-LV"/>
        </w:rPr>
        <w:t xml:space="preserve"> avotiem kamēr </w:t>
      </w:r>
      <w:r w:rsidR="00BC5147" w:rsidRPr="00E302F6">
        <w:rPr>
          <w:rFonts w:ascii="Times New Roman" w:hAnsi="Times New Roman"/>
          <w:lang w:val="lv-LV"/>
        </w:rPr>
        <w:t>projekta aktivitātes tiek</w:t>
      </w:r>
      <w:r w:rsidRPr="00E302F6">
        <w:rPr>
          <w:rFonts w:ascii="Times New Roman" w:hAnsi="Times New Roman"/>
          <w:lang w:val="lv-LV"/>
        </w:rPr>
        <w:t xml:space="preserve"> īsteno</w:t>
      </w:r>
      <w:r w:rsidR="00BC5147" w:rsidRPr="00E302F6">
        <w:rPr>
          <w:rFonts w:ascii="Times New Roman" w:hAnsi="Times New Roman"/>
          <w:lang w:val="lv-LV"/>
        </w:rPr>
        <w:t>tas</w:t>
      </w:r>
      <w:r w:rsidRPr="00E302F6">
        <w:rPr>
          <w:rFonts w:ascii="Times New Roman" w:hAnsi="Times New Roman"/>
          <w:lang w:val="lv-LV"/>
        </w:rPr>
        <w:t xml:space="preserve"> plānotajā apmērā;</w:t>
      </w:r>
    </w:p>
    <w:p w:rsidR="0067787D" w:rsidRDefault="0067787D" w:rsidP="00E302F6">
      <w:pPr>
        <w:pStyle w:val="ListParagraph"/>
        <w:numPr>
          <w:ilvl w:val="0"/>
          <w:numId w:val="8"/>
        </w:numPr>
        <w:spacing w:before="120" w:line="240" w:lineRule="auto"/>
        <w:ind w:right="-432"/>
        <w:rPr>
          <w:rFonts w:ascii="Times New Roman" w:hAnsi="Times New Roman"/>
          <w:lang w:val="lv-LV"/>
        </w:rPr>
      </w:pPr>
      <w:r w:rsidRPr="00E302F6">
        <w:rPr>
          <w:rFonts w:ascii="Times New Roman" w:hAnsi="Times New Roman"/>
          <w:lang w:val="lv-LV"/>
        </w:rPr>
        <w:t xml:space="preserve">Ja projekta īstenošanas gaitā, faktiskās izmaksas būs zemākas par </w:t>
      </w:r>
      <w:r w:rsidR="00C419BF" w:rsidRPr="00E302F6">
        <w:rPr>
          <w:rFonts w:ascii="Times New Roman" w:hAnsi="Times New Roman"/>
          <w:lang w:val="lv-LV"/>
        </w:rPr>
        <w:t xml:space="preserve">šim projektam programmā paredzēto </w:t>
      </w:r>
      <w:r w:rsidRPr="00E302F6">
        <w:rPr>
          <w:rFonts w:ascii="Times New Roman" w:hAnsi="Times New Roman"/>
          <w:lang w:val="lv-LV"/>
        </w:rPr>
        <w:t xml:space="preserve">pieejamo finansējumu, neiztērēto finansējums </w:t>
      </w:r>
      <w:r w:rsidR="00C419BF" w:rsidRPr="00E302F6">
        <w:rPr>
          <w:rFonts w:ascii="Times New Roman" w:hAnsi="Times New Roman"/>
          <w:lang w:val="lv-LV"/>
        </w:rPr>
        <w:t>jāatgriež</w:t>
      </w:r>
      <w:r w:rsidRPr="00E302F6">
        <w:rPr>
          <w:rFonts w:ascii="Times New Roman" w:hAnsi="Times New Roman"/>
          <w:lang w:val="lv-LV"/>
        </w:rPr>
        <w:t xml:space="preserve"> programma</w:t>
      </w:r>
      <w:r w:rsidR="00C419BF" w:rsidRPr="00E302F6">
        <w:rPr>
          <w:rFonts w:ascii="Times New Roman" w:hAnsi="Times New Roman"/>
          <w:lang w:val="lv-LV"/>
        </w:rPr>
        <w:t>i</w:t>
      </w:r>
      <w:r w:rsidRPr="00E302F6">
        <w:rPr>
          <w:rFonts w:ascii="Times New Roman" w:hAnsi="Times New Roman"/>
          <w:lang w:val="lv-LV"/>
        </w:rPr>
        <w:t xml:space="preserve"> un </w:t>
      </w:r>
      <w:r w:rsidR="00C419BF" w:rsidRPr="00E302F6">
        <w:rPr>
          <w:rFonts w:ascii="Times New Roman" w:hAnsi="Times New Roman"/>
          <w:lang w:val="lv-LV"/>
        </w:rPr>
        <w:t xml:space="preserve">jāiegulda atklātā konkursā atlasītiem projektiem tā paša TM un investīciju prioritātes ietvaros. </w:t>
      </w:r>
    </w:p>
    <w:p w:rsidR="00E302F6" w:rsidRDefault="00E302F6" w:rsidP="00E302F6">
      <w:pPr>
        <w:pStyle w:val="ListParagraph"/>
        <w:spacing w:before="120" w:line="240" w:lineRule="auto"/>
        <w:ind w:right="-432"/>
        <w:rPr>
          <w:rFonts w:ascii="Times New Roman" w:hAnsi="Times New Roman"/>
          <w:lang w:val="lv-LV"/>
        </w:rPr>
      </w:pPr>
    </w:p>
    <w:p w:rsidR="00E302F6" w:rsidRPr="00E302F6" w:rsidRDefault="00E302F6" w:rsidP="00E302F6">
      <w:pPr>
        <w:pStyle w:val="ListParagraph"/>
        <w:spacing w:before="120" w:line="240" w:lineRule="auto"/>
        <w:ind w:right="-432"/>
        <w:rPr>
          <w:rFonts w:ascii="Times New Roman" w:hAnsi="Times New Roman"/>
          <w:lang w:val="lv-LV"/>
        </w:rPr>
      </w:pPr>
    </w:p>
    <w:p w:rsidR="00775C7A" w:rsidRDefault="00775C7A">
      <w:pPr>
        <w:spacing w:after="0" w:line="240" w:lineRule="auto"/>
        <w:jc w:val="left"/>
        <w:rPr>
          <w:b/>
          <w:lang w:val="lv-LV" w:eastAsia="fr-BE"/>
        </w:rPr>
      </w:pPr>
      <w:r>
        <w:rPr>
          <w:b/>
          <w:lang w:val="lv-LV" w:eastAsia="fr-BE"/>
        </w:rPr>
        <w:br w:type="page"/>
      </w:r>
    </w:p>
    <w:p w:rsidR="0067787D" w:rsidRPr="00543A74" w:rsidRDefault="0067787D" w:rsidP="00E302F6">
      <w:pPr>
        <w:spacing w:before="120" w:line="240" w:lineRule="auto"/>
        <w:jc w:val="left"/>
        <w:rPr>
          <w:b/>
          <w:lang w:val="lv-LV" w:eastAsia="fr-BE"/>
        </w:rPr>
      </w:pPr>
    </w:p>
    <w:p w:rsidR="004544E0" w:rsidRPr="00197F9C" w:rsidRDefault="00432940" w:rsidP="00D66FB7">
      <w:pPr>
        <w:pStyle w:val="Heading2"/>
        <w:rPr>
          <w:lang w:val="lv-LV"/>
        </w:rPr>
      </w:pPr>
      <w:bookmarkStart w:id="23" w:name="_Toc384383729"/>
      <w:r w:rsidRPr="00432940">
        <w:rPr>
          <w:lang w:val="lv-LV"/>
        </w:rPr>
        <w:t>2.3. III Prioritāte: sociālā iekļaušana kā teritoriālās attīstības priekšnoteikums</w:t>
      </w:r>
      <w:bookmarkEnd w:id="23"/>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4544E0" w:rsidRPr="00A812A8" w:rsidTr="00E302F6">
        <w:tc>
          <w:tcPr>
            <w:tcW w:w="9162" w:type="dxa"/>
            <w:shd w:val="clear" w:color="auto" w:fill="EAF1DD"/>
          </w:tcPr>
          <w:p w:rsidR="004544E0" w:rsidRPr="00B66B1A" w:rsidRDefault="0024185D" w:rsidP="00E302F6">
            <w:pPr>
              <w:pStyle w:val="Text1"/>
              <w:spacing w:before="120" w:line="240" w:lineRule="auto"/>
              <w:ind w:left="0"/>
              <w:rPr>
                <w:szCs w:val="24"/>
                <w:lang w:val="lv-LV"/>
              </w:rPr>
            </w:pPr>
            <w:r w:rsidRPr="00B66B1A">
              <w:rPr>
                <w:szCs w:val="24"/>
                <w:lang w:val="lv-LV"/>
              </w:rPr>
              <w:t xml:space="preserve">TM 9: </w:t>
            </w:r>
            <w:r w:rsidR="00F26997" w:rsidRPr="00B66B1A">
              <w:rPr>
                <w:szCs w:val="24"/>
                <w:lang w:val="lv-LV"/>
              </w:rPr>
              <w:t>sociālās iekļaušanas veicināšana, cīņa pret nabadzību un jebkādu diskrimināciju</w:t>
            </w:r>
          </w:p>
        </w:tc>
      </w:tr>
    </w:tbl>
    <w:p w:rsidR="006B6E87" w:rsidRPr="00B66B1A" w:rsidRDefault="006B6E87" w:rsidP="00E302F6">
      <w:pPr>
        <w:spacing w:before="120" w:line="240" w:lineRule="auto"/>
        <w:rPr>
          <w:rFonts w:ascii="Times New Roman" w:hAnsi="Times New Roman"/>
          <w:vanish/>
          <w:lang w:val="lv-LV"/>
        </w:rPr>
      </w:pPr>
    </w:p>
    <w:tbl>
      <w:tblPr>
        <w:tblpPr w:leftFromText="180" w:rightFromText="180" w:vertAnchor="text" w:horzAnchor="margin" w:tblpY="29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180"/>
      </w:tblGrid>
      <w:tr w:rsidR="004544E0" w:rsidRPr="00A812A8" w:rsidTr="00E302F6">
        <w:trPr>
          <w:trHeight w:val="726"/>
        </w:trPr>
        <w:tc>
          <w:tcPr>
            <w:tcW w:w="9180" w:type="dxa"/>
            <w:shd w:val="clear" w:color="auto" w:fill="EAF1DD"/>
          </w:tcPr>
          <w:p w:rsidR="004544E0" w:rsidRPr="00B66B1A" w:rsidRDefault="0024185D" w:rsidP="00E302F6">
            <w:pPr>
              <w:pStyle w:val="Text1"/>
              <w:spacing w:before="120" w:line="240" w:lineRule="auto"/>
              <w:ind w:left="0"/>
              <w:jc w:val="left"/>
              <w:rPr>
                <w:szCs w:val="24"/>
                <w:lang w:val="lv-LV"/>
              </w:rPr>
            </w:pPr>
            <w:r w:rsidRPr="00B66B1A">
              <w:rPr>
                <w:szCs w:val="24"/>
                <w:lang w:val="lv-LV"/>
              </w:rPr>
              <w:t>1. investīciju prioritāte</w:t>
            </w:r>
            <w:r w:rsidR="00C13BD0" w:rsidRPr="00B66B1A">
              <w:rPr>
                <w:szCs w:val="24"/>
                <w:lang w:val="lv-LV"/>
                <w:specVanish/>
              </w:rPr>
              <w:t xml:space="preserve">: </w:t>
            </w:r>
          </w:p>
          <w:p w:rsidR="006615A6" w:rsidRPr="00B66B1A" w:rsidRDefault="00F26997" w:rsidP="00E302F6">
            <w:pPr>
              <w:spacing w:before="120" w:line="240" w:lineRule="auto"/>
              <w:rPr>
                <w:rFonts w:ascii="Times New Roman" w:hAnsi="Times New Roman"/>
                <w:b/>
                <w:u w:val="single"/>
                <w:lang w:val="lv-LV"/>
              </w:rPr>
            </w:pPr>
            <w:r w:rsidRPr="00B66B1A">
              <w:rPr>
                <w:rFonts w:ascii="Times New Roman" w:hAnsi="Times New Roman"/>
                <w:b/>
                <w:u w:val="single"/>
                <w:lang w:val="lv-LV"/>
              </w:rPr>
              <w:t xml:space="preserve">investēt veselības aprūpes un sociālajā infrastruktūrā, kas sniedz ieguldījumu valsts, reģionālajā un vietējā attīstībā, mazināt atšķirības veselības stāvokļa ziņā, veicināt sociālo iekļaušanu ar sociālo, kultūras un atpūtas pakalpojumu uzlabotas </w:t>
            </w:r>
            <w:r w:rsidR="006615A6" w:rsidRPr="00B66B1A">
              <w:rPr>
                <w:rFonts w:ascii="Times New Roman" w:hAnsi="Times New Roman"/>
                <w:b/>
                <w:u w:val="single"/>
                <w:lang w:val="lv-LV"/>
              </w:rPr>
              <w:t>pieejamības palīdzību un veicinā</w:t>
            </w:r>
            <w:r w:rsidRPr="00B66B1A">
              <w:rPr>
                <w:rFonts w:ascii="Times New Roman" w:hAnsi="Times New Roman"/>
                <w:b/>
                <w:u w:val="single"/>
                <w:lang w:val="lv-LV"/>
              </w:rPr>
              <w:t>t pāreju no institucionāliem uz pašvaldību pakalpojumiem</w:t>
            </w:r>
          </w:p>
          <w:p w:rsidR="004544E0" w:rsidRPr="00B66B1A" w:rsidRDefault="0030029A" w:rsidP="00E302F6">
            <w:pPr>
              <w:spacing w:before="120" w:line="240" w:lineRule="auto"/>
              <w:jc w:val="left"/>
              <w:rPr>
                <w:rFonts w:ascii="Times New Roman" w:hAnsi="Times New Roman"/>
                <w:lang w:val="lv-LV"/>
              </w:rPr>
            </w:pPr>
            <w:r>
              <w:rPr>
                <w:rFonts w:ascii="Times New Roman" w:hAnsi="Times New Roman"/>
                <w:lang w:val="lv-LV"/>
              </w:rPr>
              <w:t>Konkrētais</w:t>
            </w:r>
            <w:r w:rsidR="0028002D" w:rsidRPr="00B66B1A">
              <w:rPr>
                <w:rFonts w:ascii="Times New Roman" w:hAnsi="Times New Roman"/>
                <w:lang w:val="lv-LV"/>
              </w:rPr>
              <w:t xml:space="preserve"> </w:t>
            </w:r>
            <w:r w:rsidR="0024185D" w:rsidRPr="00B66B1A">
              <w:rPr>
                <w:rFonts w:ascii="Times New Roman" w:hAnsi="Times New Roman"/>
                <w:lang w:val="lv-LV"/>
              </w:rPr>
              <w:t>mērķis</w:t>
            </w:r>
            <w:r w:rsidR="004544E0" w:rsidRPr="00B66B1A">
              <w:rPr>
                <w:rFonts w:ascii="Times New Roman" w:hAnsi="Times New Roman"/>
                <w:lang w:val="lv-LV"/>
              </w:rPr>
              <w:t xml:space="preserve">: </w:t>
            </w:r>
          </w:p>
          <w:p w:rsidR="004544E0" w:rsidRPr="00B66B1A" w:rsidRDefault="0024185D" w:rsidP="00E302F6">
            <w:pPr>
              <w:spacing w:before="120" w:line="240" w:lineRule="auto"/>
              <w:rPr>
                <w:rFonts w:ascii="Times New Roman" w:hAnsi="Times New Roman"/>
                <w:b/>
                <w:u w:val="single"/>
                <w:lang w:val="lv-LV"/>
              </w:rPr>
            </w:pPr>
            <w:r w:rsidRPr="00B66B1A">
              <w:rPr>
                <w:rFonts w:ascii="Times New Roman" w:hAnsi="Times New Roman"/>
                <w:b/>
                <w:u w:val="single"/>
                <w:lang w:val="lv-LV"/>
              </w:rPr>
              <w:t xml:space="preserve">uzlabot sociālo infrastruktūru un pakalpojumus sociālās </w:t>
            </w:r>
            <w:r w:rsidR="002E417D">
              <w:rPr>
                <w:rFonts w:ascii="Times New Roman" w:hAnsi="Times New Roman"/>
                <w:b/>
                <w:u w:val="single"/>
                <w:lang w:val="lv-LV"/>
              </w:rPr>
              <w:t>iekļaušanas</w:t>
            </w:r>
            <w:r w:rsidR="002E417D" w:rsidRPr="00B66B1A">
              <w:rPr>
                <w:rFonts w:ascii="Times New Roman" w:hAnsi="Times New Roman"/>
                <w:b/>
                <w:u w:val="single"/>
                <w:lang w:val="lv-LV"/>
              </w:rPr>
              <w:t xml:space="preserve"> </w:t>
            </w:r>
            <w:r w:rsidRPr="00B66B1A">
              <w:rPr>
                <w:rFonts w:ascii="Times New Roman" w:hAnsi="Times New Roman"/>
                <w:b/>
                <w:u w:val="single"/>
                <w:lang w:val="lv-LV"/>
              </w:rPr>
              <w:t>sekmēšanai</w:t>
            </w:r>
          </w:p>
        </w:tc>
      </w:tr>
    </w:tbl>
    <w:p w:rsidR="004544E0" w:rsidRPr="00197F9C" w:rsidRDefault="004544E0" w:rsidP="00D66FB7">
      <w:pPr>
        <w:pStyle w:val="Heading2"/>
        <w:rPr>
          <w:lang w:val="lv-LV"/>
        </w:rPr>
      </w:pPr>
    </w:p>
    <w:p w:rsidR="005A0BC4" w:rsidRPr="00B66B1A" w:rsidRDefault="00CB7F0E" w:rsidP="00E302F6">
      <w:pPr>
        <w:pStyle w:val="Default"/>
        <w:spacing w:before="120" w:after="120"/>
        <w:ind w:right="-432"/>
        <w:jc w:val="both"/>
        <w:rPr>
          <w:rStyle w:val="googqs-tidbit1"/>
          <w:rFonts w:ascii="Times New Roman" w:hAnsi="Times New Roman" w:cs="Times New Roman"/>
          <w:color w:val="auto"/>
          <w:lang w:val="lv-LV"/>
        </w:rPr>
      </w:pPr>
      <w:r w:rsidRPr="00B66B1A">
        <w:rPr>
          <w:rStyle w:val="googqs-tidbit1"/>
          <w:rFonts w:ascii="Times New Roman" w:hAnsi="Times New Roman" w:cs="Times New Roman"/>
          <w:color w:val="auto"/>
          <w:lang w:val="lv-LV"/>
        </w:rPr>
        <w:t xml:space="preserve">Programmas reģionos </w:t>
      </w:r>
      <w:r w:rsidR="00037521" w:rsidRPr="00B66B1A">
        <w:rPr>
          <w:rStyle w:val="googqs-tidbit1"/>
          <w:rFonts w:ascii="Times New Roman" w:hAnsi="Times New Roman" w:cs="Times New Roman"/>
          <w:color w:val="auto"/>
          <w:lang w:val="lv-LV"/>
        </w:rPr>
        <w:t>īstenotie</w:t>
      </w:r>
      <w:r w:rsidRPr="00B66B1A">
        <w:rPr>
          <w:rStyle w:val="googqs-tidbit1"/>
          <w:rFonts w:ascii="Times New Roman" w:hAnsi="Times New Roman" w:cs="Times New Roman"/>
          <w:color w:val="auto"/>
          <w:lang w:val="lv-LV"/>
        </w:rPr>
        <w:t xml:space="preserve"> sociālie pakalpojumi</w:t>
      </w:r>
      <w:r w:rsidR="006615A6" w:rsidRPr="00B66B1A">
        <w:rPr>
          <w:rStyle w:val="googqs-tidbit1"/>
          <w:rFonts w:ascii="Times New Roman" w:hAnsi="Times New Roman" w:cs="Times New Roman"/>
          <w:color w:val="auto"/>
          <w:lang w:val="lv-LV"/>
        </w:rPr>
        <w:t xml:space="preserve"> </w:t>
      </w:r>
      <w:r w:rsidR="00037521" w:rsidRPr="00B66B1A">
        <w:rPr>
          <w:rStyle w:val="googqs-tidbit1"/>
          <w:rFonts w:ascii="Times New Roman" w:hAnsi="Times New Roman" w:cs="Times New Roman"/>
          <w:color w:val="auto"/>
          <w:lang w:val="lv-LV"/>
        </w:rPr>
        <w:t xml:space="preserve">paredzēti </w:t>
      </w:r>
      <w:r w:rsidRPr="00B66B1A">
        <w:rPr>
          <w:rStyle w:val="googqs-tidbit1"/>
          <w:rFonts w:ascii="Times New Roman" w:hAnsi="Times New Roman" w:cs="Times New Roman"/>
          <w:color w:val="auto"/>
          <w:lang w:val="lv-LV"/>
        </w:rPr>
        <w:t>palīdzības sniegšan</w:t>
      </w:r>
      <w:r w:rsidR="00037521" w:rsidRPr="00B66B1A">
        <w:rPr>
          <w:rStyle w:val="googqs-tidbit1"/>
          <w:rFonts w:ascii="Times New Roman" w:hAnsi="Times New Roman" w:cs="Times New Roman"/>
          <w:color w:val="auto"/>
          <w:lang w:val="lv-LV"/>
        </w:rPr>
        <w:t>ai</w:t>
      </w:r>
      <w:r w:rsidRPr="00B66B1A">
        <w:rPr>
          <w:rStyle w:val="googqs-tidbit1"/>
          <w:rFonts w:ascii="Times New Roman" w:hAnsi="Times New Roman" w:cs="Times New Roman"/>
          <w:color w:val="auto"/>
          <w:lang w:val="lv-LV"/>
        </w:rPr>
        <w:t xml:space="preserve"> dažādām mērķa grupām (piemēram, gados vecākām personām, personām ar fiziskiem un garīgiem traucējumiem, </w:t>
      </w:r>
      <w:r w:rsidR="00A54708" w:rsidRPr="00B66B1A">
        <w:rPr>
          <w:rStyle w:val="googqs-tidbit1"/>
          <w:rFonts w:ascii="Times New Roman" w:hAnsi="Times New Roman" w:cs="Times New Roman"/>
          <w:color w:val="auto"/>
          <w:lang w:val="lv-LV"/>
        </w:rPr>
        <w:t xml:space="preserve">krīzes situācijā nonākušām personām, </w:t>
      </w:r>
      <w:r w:rsidR="0091473F">
        <w:rPr>
          <w:rStyle w:val="googqs-tidbit1"/>
          <w:rFonts w:ascii="Times New Roman" w:hAnsi="Times New Roman" w:cs="Times New Roman"/>
          <w:color w:val="auto"/>
          <w:lang w:val="lv-LV"/>
        </w:rPr>
        <w:t xml:space="preserve">daudzbērnu </w:t>
      </w:r>
      <w:r w:rsidR="00A54708" w:rsidRPr="00B66B1A">
        <w:rPr>
          <w:rStyle w:val="googqs-tidbit1"/>
          <w:rFonts w:ascii="Times New Roman" w:hAnsi="Times New Roman" w:cs="Times New Roman"/>
          <w:color w:val="auto"/>
          <w:lang w:val="lv-LV"/>
        </w:rPr>
        <w:t xml:space="preserve"> ģimenēm, bezdarbniekiem u.c.). Līdzās valstij, pašvaldībām un pašvaldīb</w:t>
      </w:r>
      <w:r w:rsidR="00B06868" w:rsidRPr="00B66B1A">
        <w:rPr>
          <w:rStyle w:val="googqs-tidbit1"/>
          <w:rFonts w:ascii="Times New Roman" w:hAnsi="Times New Roman" w:cs="Times New Roman"/>
          <w:color w:val="auto"/>
          <w:lang w:val="lv-LV"/>
        </w:rPr>
        <w:t>u</w:t>
      </w:r>
      <w:r w:rsidR="00A54708" w:rsidRPr="00B66B1A">
        <w:rPr>
          <w:rStyle w:val="googqs-tidbit1"/>
          <w:rFonts w:ascii="Times New Roman" w:hAnsi="Times New Roman" w:cs="Times New Roman"/>
          <w:color w:val="auto"/>
          <w:lang w:val="lv-LV"/>
        </w:rPr>
        <w:t xml:space="preserve"> iestādēm, kas sniedz sociāl</w:t>
      </w:r>
      <w:r w:rsidR="009604ED" w:rsidRPr="00B66B1A">
        <w:rPr>
          <w:rStyle w:val="googqs-tidbit1"/>
          <w:rFonts w:ascii="Times New Roman" w:hAnsi="Times New Roman" w:cs="Times New Roman"/>
          <w:color w:val="auto"/>
          <w:lang w:val="lv-LV"/>
        </w:rPr>
        <w:t>us</w:t>
      </w:r>
      <w:r w:rsidR="00A54708" w:rsidRPr="00B66B1A">
        <w:rPr>
          <w:rStyle w:val="googqs-tidbit1"/>
          <w:rFonts w:ascii="Times New Roman" w:hAnsi="Times New Roman" w:cs="Times New Roman"/>
          <w:color w:val="auto"/>
          <w:lang w:val="lv-LV"/>
        </w:rPr>
        <w:t xml:space="preserve"> pakalpojumus, novērojama intensīva NVO iesaistīšanās</w:t>
      </w:r>
      <w:r w:rsidR="00037521" w:rsidRPr="00B66B1A">
        <w:rPr>
          <w:rStyle w:val="googqs-tidbit1"/>
          <w:rFonts w:ascii="Times New Roman" w:hAnsi="Times New Roman" w:cs="Times New Roman"/>
          <w:color w:val="auto"/>
          <w:lang w:val="lv-LV"/>
        </w:rPr>
        <w:t xml:space="preserve"> sociālo pakalpojumu sniegšanā un sociālās iekļaušanas veicināšanā</w:t>
      </w:r>
      <w:r w:rsidR="00A54708" w:rsidRPr="00B66B1A">
        <w:rPr>
          <w:rStyle w:val="googqs-tidbit1"/>
          <w:rFonts w:ascii="Times New Roman" w:hAnsi="Times New Roman" w:cs="Times New Roman"/>
          <w:color w:val="auto"/>
          <w:lang w:val="lv-LV"/>
        </w:rPr>
        <w:t xml:space="preserve">. </w:t>
      </w:r>
    </w:p>
    <w:p w:rsidR="001F5A6D" w:rsidRPr="00B66B1A" w:rsidRDefault="00037521" w:rsidP="00E302F6">
      <w:pPr>
        <w:pStyle w:val="Default"/>
        <w:spacing w:before="120" w:after="120"/>
        <w:ind w:right="-432"/>
        <w:jc w:val="both"/>
        <w:rPr>
          <w:rStyle w:val="googqs-tidbit1"/>
          <w:rFonts w:ascii="Times New Roman" w:hAnsi="Times New Roman" w:cs="Times New Roman"/>
          <w:color w:val="auto"/>
          <w:lang w:val="lv-LV"/>
        </w:rPr>
      </w:pPr>
      <w:r w:rsidRPr="00B66B1A">
        <w:rPr>
          <w:rStyle w:val="googqs-tidbit1"/>
          <w:rFonts w:ascii="Times New Roman" w:hAnsi="Times New Roman" w:cs="Times New Roman"/>
          <w:color w:val="auto"/>
          <w:lang w:val="lv-LV"/>
        </w:rPr>
        <w:t>Kopumā</w:t>
      </w:r>
      <w:r w:rsidR="00812B64" w:rsidRPr="00B66B1A">
        <w:rPr>
          <w:rStyle w:val="googqs-tidbit1"/>
          <w:rFonts w:ascii="Times New Roman" w:hAnsi="Times New Roman" w:cs="Times New Roman"/>
          <w:color w:val="auto"/>
          <w:lang w:val="lv-LV"/>
        </w:rPr>
        <w:t xml:space="preserve"> </w:t>
      </w:r>
      <w:r w:rsidR="0091473F">
        <w:rPr>
          <w:rStyle w:val="googqs-tidbit1"/>
          <w:rFonts w:ascii="Times New Roman" w:hAnsi="Times New Roman" w:cs="Times New Roman"/>
          <w:color w:val="auto"/>
          <w:lang w:val="lv-LV"/>
        </w:rPr>
        <w:t>ilgstošā</w:t>
      </w:r>
      <w:r w:rsidRPr="00B66B1A">
        <w:rPr>
          <w:rStyle w:val="googqs-tidbit1"/>
          <w:rFonts w:ascii="Times New Roman" w:hAnsi="Times New Roman" w:cs="Times New Roman"/>
          <w:color w:val="auto"/>
          <w:lang w:val="lv-LV"/>
        </w:rPr>
        <w:t xml:space="preserve"> </w:t>
      </w:r>
      <w:r w:rsidR="00812B64" w:rsidRPr="00B66B1A">
        <w:rPr>
          <w:rStyle w:val="googqs-tidbit1"/>
          <w:rFonts w:ascii="Times New Roman" w:hAnsi="Times New Roman" w:cs="Times New Roman"/>
          <w:color w:val="auto"/>
          <w:lang w:val="lv-LV"/>
        </w:rPr>
        <w:t>aprūpe institūcijās ir dārgāka</w:t>
      </w:r>
      <w:r w:rsidR="006615A6" w:rsidRPr="00B66B1A">
        <w:rPr>
          <w:rStyle w:val="googqs-tidbit1"/>
          <w:rFonts w:ascii="Times New Roman" w:hAnsi="Times New Roman" w:cs="Times New Roman"/>
          <w:color w:val="auto"/>
          <w:lang w:val="lv-LV"/>
        </w:rPr>
        <w:t xml:space="preserve"> </w:t>
      </w:r>
      <w:r w:rsidR="004545F4" w:rsidRPr="00B66B1A">
        <w:rPr>
          <w:rStyle w:val="googqs-tidbit1"/>
          <w:rFonts w:ascii="Times New Roman" w:hAnsi="Times New Roman" w:cs="Times New Roman"/>
          <w:color w:val="auto"/>
          <w:lang w:val="lv-LV"/>
        </w:rPr>
        <w:t>nekā citi</w:t>
      </w:r>
      <w:r w:rsidR="006615A6" w:rsidRPr="00B66B1A">
        <w:rPr>
          <w:rStyle w:val="googqs-tidbit1"/>
          <w:rFonts w:ascii="Times New Roman" w:hAnsi="Times New Roman" w:cs="Times New Roman"/>
          <w:color w:val="auto"/>
          <w:lang w:val="lv-LV"/>
        </w:rPr>
        <w:t xml:space="preserve"> aprūpes veidi</w:t>
      </w:r>
      <w:r w:rsidR="00812B64" w:rsidRPr="00B66B1A">
        <w:rPr>
          <w:rStyle w:val="googqs-tidbit1"/>
          <w:rFonts w:ascii="Times New Roman" w:hAnsi="Times New Roman" w:cs="Times New Roman"/>
          <w:color w:val="auto"/>
          <w:lang w:val="lv-LV"/>
        </w:rPr>
        <w:t xml:space="preserve">, </w:t>
      </w:r>
      <w:r w:rsidR="006615A6" w:rsidRPr="00B66B1A">
        <w:rPr>
          <w:rStyle w:val="googqs-tidbit1"/>
          <w:rFonts w:ascii="Times New Roman" w:hAnsi="Times New Roman" w:cs="Times New Roman"/>
          <w:color w:val="auto"/>
          <w:lang w:val="lv-LV"/>
        </w:rPr>
        <w:t xml:space="preserve">tāpēc </w:t>
      </w:r>
      <w:r w:rsidR="00812B64" w:rsidRPr="00B66B1A">
        <w:rPr>
          <w:rStyle w:val="googqs-tidbit1"/>
          <w:rFonts w:ascii="Times New Roman" w:hAnsi="Times New Roman" w:cs="Times New Roman"/>
          <w:color w:val="auto"/>
          <w:lang w:val="lv-LV"/>
        </w:rPr>
        <w:t>nepieciešams vairāk resursu</w:t>
      </w:r>
      <w:r w:rsidR="004545F4" w:rsidRPr="00B66B1A">
        <w:rPr>
          <w:rStyle w:val="googqs-tidbit1"/>
          <w:rFonts w:ascii="Times New Roman" w:hAnsi="Times New Roman" w:cs="Times New Roman"/>
          <w:color w:val="auto"/>
          <w:lang w:val="lv-LV"/>
        </w:rPr>
        <w:t xml:space="preserve"> salīdzinājumā</w:t>
      </w:r>
      <w:r w:rsidRPr="00B66B1A">
        <w:rPr>
          <w:rStyle w:val="googqs-tidbit1"/>
          <w:rFonts w:ascii="Times New Roman" w:hAnsi="Times New Roman" w:cs="Times New Roman"/>
          <w:color w:val="auto"/>
          <w:lang w:val="lv-LV"/>
        </w:rPr>
        <w:t xml:space="preserve"> ar </w:t>
      </w:r>
      <w:r w:rsidR="009476D9" w:rsidRPr="00B66B1A">
        <w:rPr>
          <w:rStyle w:val="googqs-tidbit1"/>
          <w:rFonts w:ascii="Times New Roman" w:hAnsi="Times New Roman" w:cs="Times New Roman"/>
          <w:color w:val="auto"/>
          <w:lang w:val="lv-LV"/>
        </w:rPr>
        <w:t>alternatīvās rehabilitācijas formām</w:t>
      </w:r>
      <w:r w:rsidR="00812B64" w:rsidRPr="00B66B1A">
        <w:rPr>
          <w:rStyle w:val="googqs-tidbit1"/>
          <w:rFonts w:ascii="Times New Roman" w:hAnsi="Times New Roman" w:cs="Times New Roman"/>
          <w:color w:val="auto"/>
          <w:lang w:val="lv-LV"/>
        </w:rPr>
        <w:t>. Tādējādi</w:t>
      </w:r>
      <w:r w:rsidR="009476D9" w:rsidRPr="00B66B1A">
        <w:rPr>
          <w:rStyle w:val="googqs-tidbit1"/>
          <w:rFonts w:ascii="Times New Roman" w:hAnsi="Times New Roman" w:cs="Times New Roman"/>
          <w:color w:val="auto"/>
          <w:lang w:val="lv-LV"/>
        </w:rPr>
        <w:t xml:space="preserve"> plānots atbalstīt</w:t>
      </w:r>
      <w:r w:rsidR="00812B64" w:rsidRPr="00B66B1A">
        <w:rPr>
          <w:rStyle w:val="googqs-tidbit1"/>
          <w:rFonts w:ascii="Times New Roman" w:hAnsi="Times New Roman" w:cs="Times New Roman"/>
          <w:color w:val="auto"/>
          <w:lang w:val="lv-LV"/>
        </w:rPr>
        <w:t xml:space="preserve"> </w:t>
      </w:r>
      <w:r w:rsidR="009476D9" w:rsidRPr="00B66B1A">
        <w:rPr>
          <w:rStyle w:val="googqs-tidbit1"/>
          <w:rFonts w:ascii="Times New Roman" w:hAnsi="Times New Roman" w:cs="Times New Roman"/>
          <w:color w:val="auto"/>
          <w:lang w:val="lv-LV"/>
        </w:rPr>
        <w:t xml:space="preserve">alternatīvu </w:t>
      </w:r>
      <w:r w:rsidR="00812B64" w:rsidRPr="00B66B1A">
        <w:rPr>
          <w:rStyle w:val="googqs-tidbit1"/>
          <w:rFonts w:ascii="Times New Roman" w:hAnsi="Times New Roman" w:cs="Times New Roman"/>
          <w:color w:val="auto"/>
          <w:lang w:val="lv-LV"/>
        </w:rPr>
        <w:t>sociā</w:t>
      </w:r>
      <w:r w:rsidR="006615A6" w:rsidRPr="00B66B1A">
        <w:rPr>
          <w:rStyle w:val="googqs-tidbit1"/>
          <w:rFonts w:ascii="Times New Roman" w:hAnsi="Times New Roman" w:cs="Times New Roman"/>
          <w:color w:val="auto"/>
          <w:lang w:val="lv-LV"/>
        </w:rPr>
        <w:t>lo</w:t>
      </w:r>
      <w:r w:rsidR="00812B64" w:rsidRPr="00B66B1A">
        <w:rPr>
          <w:rStyle w:val="googqs-tidbit1"/>
          <w:rFonts w:ascii="Times New Roman" w:hAnsi="Times New Roman" w:cs="Times New Roman"/>
          <w:color w:val="auto"/>
          <w:lang w:val="lv-LV"/>
        </w:rPr>
        <w:t xml:space="preserve"> pakalpojum</w:t>
      </w:r>
      <w:r w:rsidR="009476D9" w:rsidRPr="00B66B1A">
        <w:rPr>
          <w:rStyle w:val="googqs-tidbit1"/>
          <w:rFonts w:ascii="Times New Roman" w:hAnsi="Times New Roman" w:cs="Times New Roman"/>
          <w:color w:val="auto"/>
          <w:lang w:val="lv-LV"/>
        </w:rPr>
        <w:t>u attīstību</w:t>
      </w:r>
      <w:r w:rsidR="00812B64" w:rsidRPr="00B66B1A">
        <w:rPr>
          <w:rStyle w:val="googqs-tidbit1"/>
          <w:rFonts w:ascii="Times New Roman" w:hAnsi="Times New Roman" w:cs="Times New Roman"/>
          <w:color w:val="auto"/>
          <w:lang w:val="lv-LV"/>
        </w:rPr>
        <w:t xml:space="preserve">. </w:t>
      </w:r>
      <w:r w:rsidR="009476D9" w:rsidRPr="00B66B1A">
        <w:rPr>
          <w:rStyle w:val="googqs-tidbit1"/>
          <w:rFonts w:ascii="Times New Roman" w:hAnsi="Times New Roman" w:cs="Times New Roman"/>
          <w:color w:val="auto"/>
          <w:lang w:val="lv-LV"/>
        </w:rPr>
        <w:t>Šādā kontekstā jāuzsver p</w:t>
      </w:r>
      <w:r w:rsidR="00812B64" w:rsidRPr="00B66B1A">
        <w:rPr>
          <w:rStyle w:val="googqs-tidbit1"/>
          <w:rFonts w:ascii="Times New Roman" w:hAnsi="Times New Roman" w:cs="Times New Roman"/>
          <w:color w:val="auto"/>
          <w:lang w:val="lv-LV"/>
        </w:rPr>
        <w:t>ārrobežu sadarbīb</w:t>
      </w:r>
      <w:r w:rsidR="009476D9" w:rsidRPr="00B66B1A">
        <w:rPr>
          <w:rStyle w:val="googqs-tidbit1"/>
          <w:rFonts w:ascii="Times New Roman" w:hAnsi="Times New Roman" w:cs="Times New Roman"/>
          <w:color w:val="auto"/>
          <w:lang w:val="lv-LV"/>
        </w:rPr>
        <w:t>as nozīme, kas atļauj atrast efektīvākos risinājumus,</w:t>
      </w:r>
      <w:r w:rsidR="006615A6" w:rsidRPr="00B66B1A">
        <w:rPr>
          <w:rStyle w:val="googqs-tidbit1"/>
          <w:rFonts w:ascii="Times New Roman" w:hAnsi="Times New Roman" w:cs="Times New Roman"/>
          <w:color w:val="auto"/>
          <w:lang w:val="lv-LV"/>
        </w:rPr>
        <w:t xml:space="preserve"> ņemot vērā dažādo praksi</w:t>
      </w:r>
      <w:r w:rsidR="009476D9" w:rsidRPr="00B66B1A">
        <w:rPr>
          <w:rStyle w:val="googqs-tidbit1"/>
          <w:rFonts w:ascii="Times New Roman" w:hAnsi="Times New Roman" w:cs="Times New Roman"/>
          <w:color w:val="auto"/>
          <w:lang w:val="lv-LV"/>
        </w:rPr>
        <w:t xml:space="preserve"> Programmas reģionos.</w:t>
      </w:r>
      <w:r w:rsidR="006615A6" w:rsidRPr="00B66B1A">
        <w:rPr>
          <w:rStyle w:val="googqs-tidbit1"/>
          <w:rFonts w:ascii="Times New Roman" w:hAnsi="Times New Roman" w:cs="Times New Roman"/>
          <w:color w:val="auto"/>
          <w:lang w:val="lv-LV"/>
        </w:rPr>
        <w:t xml:space="preserve"> </w:t>
      </w:r>
      <w:r w:rsidR="009476D9" w:rsidRPr="00B66B1A">
        <w:rPr>
          <w:rStyle w:val="googqs-tidbit1"/>
          <w:rFonts w:ascii="Times New Roman" w:hAnsi="Times New Roman" w:cs="Times New Roman"/>
          <w:color w:val="auto"/>
          <w:lang w:val="lv-LV"/>
        </w:rPr>
        <w:t>Tāpat arī pieredze pieejamības un iekļaušanas</w:t>
      </w:r>
      <w:r w:rsidR="006615A6" w:rsidRPr="00B66B1A">
        <w:rPr>
          <w:rStyle w:val="googqs-tidbit1"/>
          <w:rFonts w:ascii="Times New Roman" w:hAnsi="Times New Roman" w:cs="Times New Roman"/>
          <w:color w:val="auto"/>
          <w:lang w:val="lv-LV"/>
        </w:rPr>
        <w:t xml:space="preserve"> </w:t>
      </w:r>
      <w:r w:rsidR="009476D9" w:rsidRPr="00B66B1A">
        <w:rPr>
          <w:rStyle w:val="googqs-tidbit1"/>
          <w:rFonts w:ascii="Times New Roman" w:hAnsi="Times New Roman" w:cs="Times New Roman"/>
          <w:color w:val="auto"/>
          <w:lang w:val="lv-LV"/>
        </w:rPr>
        <w:t>jautājumu risināšana</w:t>
      </w:r>
      <w:r w:rsidR="006615A6" w:rsidRPr="00B66B1A">
        <w:rPr>
          <w:rStyle w:val="googqs-tidbit1"/>
          <w:rFonts w:ascii="Times New Roman" w:hAnsi="Times New Roman" w:cs="Times New Roman"/>
          <w:color w:val="auto"/>
          <w:lang w:val="lv-LV"/>
        </w:rPr>
        <w:t>i</w:t>
      </w:r>
      <w:r w:rsidR="009476D9" w:rsidRPr="00B66B1A">
        <w:rPr>
          <w:rStyle w:val="googqs-tidbit1"/>
          <w:rFonts w:ascii="Times New Roman" w:hAnsi="Times New Roman" w:cs="Times New Roman"/>
          <w:color w:val="auto"/>
          <w:lang w:val="lv-LV"/>
        </w:rPr>
        <w:t xml:space="preserve"> </w:t>
      </w:r>
      <w:r w:rsidR="00812B64" w:rsidRPr="00B66B1A">
        <w:rPr>
          <w:rStyle w:val="googqs-tidbit1"/>
          <w:rFonts w:ascii="Times New Roman" w:hAnsi="Times New Roman" w:cs="Times New Roman"/>
          <w:color w:val="auto"/>
          <w:lang w:val="lv-LV"/>
        </w:rPr>
        <w:t xml:space="preserve">attiecībā uz </w:t>
      </w:r>
      <w:r w:rsidR="00841669" w:rsidRPr="00B66B1A">
        <w:rPr>
          <w:rStyle w:val="googqs-tidbit1"/>
          <w:rFonts w:ascii="Times New Roman" w:hAnsi="Times New Roman" w:cs="Times New Roman"/>
          <w:color w:val="auto"/>
          <w:lang w:val="lv-LV"/>
        </w:rPr>
        <w:t>mazaizsargāto personu grupām</w:t>
      </w:r>
      <w:r w:rsidR="00812B64" w:rsidRPr="00B66B1A">
        <w:rPr>
          <w:rStyle w:val="googqs-tidbit1"/>
          <w:rFonts w:ascii="Times New Roman" w:hAnsi="Times New Roman" w:cs="Times New Roman"/>
          <w:color w:val="auto"/>
          <w:lang w:val="lv-LV"/>
        </w:rPr>
        <w:t xml:space="preserve"> Programmas reģionos ir atšķirīga. </w:t>
      </w:r>
    </w:p>
    <w:p w:rsidR="004544E0" w:rsidRPr="00B66B1A" w:rsidRDefault="00873159" w:rsidP="00E302F6">
      <w:pPr>
        <w:pStyle w:val="Default"/>
        <w:spacing w:before="120" w:after="120"/>
        <w:ind w:right="-432"/>
        <w:jc w:val="both"/>
        <w:rPr>
          <w:rStyle w:val="googqs-tidbit1"/>
          <w:rFonts w:ascii="Times New Roman" w:hAnsi="Times New Roman" w:cs="Times New Roman"/>
          <w:lang w:val="lv-LV"/>
        </w:rPr>
      </w:pPr>
      <w:r w:rsidRPr="00B66B1A">
        <w:rPr>
          <w:rStyle w:val="googqs-tidbit1"/>
          <w:rFonts w:ascii="Times New Roman" w:hAnsi="Times New Roman" w:cs="Times New Roman"/>
          <w:lang w:val="lv-LV"/>
        </w:rPr>
        <w:t>Papildus sociālos pakalpojumu</w:t>
      </w:r>
      <w:r w:rsidR="009476D9" w:rsidRPr="00B66B1A">
        <w:rPr>
          <w:rStyle w:val="googqs-tidbit1"/>
          <w:rFonts w:ascii="Times New Roman" w:hAnsi="Times New Roman" w:cs="Times New Roman"/>
          <w:lang w:val="lv-LV"/>
        </w:rPr>
        <w:t xml:space="preserve"> modernizācijai</w:t>
      </w:r>
      <w:r w:rsidRPr="00B66B1A">
        <w:rPr>
          <w:rStyle w:val="googqs-tidbit1"/>
          <w:rFonts w:ascii="Times New Roman" w:hAnsi="Times New Roman" w:cs="Times New Roman"/>
          <w:lang w:val="lv-LV"/>
        </w:rPr>
        <w:t xml:space="preserve"> Programmas ietvaros </w:t>
      </w:r>
      <w:r w:rsidR="009462EE" w:rsidRPr="00B66B1A">
        <w:rPr>
          <w:rStyle w:val="googqs-tidbit1"/>
          <w:rFonts w:ascii="Times New Roman" w:hAnsi="Times New Roman" w:cs="Times New Roman"/>
          <w:lang w:val="lv-LV"/>
        </w:rPr>
        <w:t>ir plānots</w:t>
      </w:r>
      <w:r w:rsidRPr="00B66B1A">
        <w:rPr>
          <w:rStyle w:val="googqs-tidbit1"/>
          <w:rFonts w:ascii="Times New Roman" w:hAnsi="Times New Roman" w:cs="Times New Roman"/>
          <w:lang w:val="lv-LV"/>
        </w:rPr>
        <w:t xml:space="preserve"> sekmēt sociālo </w:t>
      </w:r>
      <w:r w:rsidR="002E417D">
        <w:rPr>
          <w:rStyle w:val="googqs-tidbit1"/>
          <w:rFonts w:ascii="Times New Roman" w:hAnsi="Times New Roman" w:cs="Times New Roman"/>
          <w:lang w:val="lv-LV"/>
        </w:rPr>
        <w:t>iekļaušanu</w:t>
      </w:r>
      <w:r w:rsidR="002E417D" w:rsidRPr="00B66B1A">
        <w:rPr>
          <w:rStyle w:val="googqs-tidbit1"/>
          <w:rFonts w:ascii="Times New Roman" w:hAnsi="Times New Roman" w:cs="Times New Roman"/>
          <w:lang w:val="lv-LV"/>
        </w:rPr>
        <w:t xml:space="preserve"> </w:t>
      </w:r>
      <w:r w:rsidRPr="00B66B1A">
        <w:rPr>
          <w:rStyle w:val="googqs-tidbit1"/>
          <w:rFonts w:ascii="Times New Roman" w:hAnsi="Times New Roman" w:cs="Times New Roman"/>
          <w:lang w:val="lv-LV"/>
        </w:rPr>
        <w:t xml:space="preserve">Programmas teritorijā. </w:t>
      </w:r>
      <w:r w:rsidR="00376A98" w:rsidRPr="00B66B1A">
        <w:rPr>
          <w:rStyle w:val="googqs-tidbit1"/>
          <w:rFonts w:ascii="Times New Roman" w:hAnsi="Times New Roman" w:cs="Times New Roman"/>
          <w:lang w:val="lv-LV"/>
        </w:rPr>
        <w:t>Tiek p</w:t>
      </w:r>
      <w:r w:rsidR="009476D9" w:rsidRPr="00B66B1A">
        <w:rPr>
          <w:rStyle w:val="googqs-tidbit1"/>
          <w:rFonts w:ascii="Times New Roman" w:hAnsi="Times New Roman" w:cs="Times New Roman"/>
          <w:lang w:val="lv-LV"/>
        </w:rPr>
        <w:t xml:space="preserve">lānots atbalstīt </w:t>
      </w:r>
      <w:r w:rsidRPr="00B66B1A">
        <w:rPr>
          <w:rStyle w:val="googqs-tidbit1"/>
          <w:rFonts w:ascii="Times New Roman" w:hAnsi="Times New Roman" w:cs="Times New Roman"/>
          <w:lang w:val="lv-LV"/>
        </w:rPr>
        <w:t>publisk</w:t>
      </w:r>
      <w:r w:rsidR="00376A98" w:rsidRPr="00B66B1A">
        <w:rPr>
          <w:rStyle w:val="googqs-tidbit1"/>
          <w:rFonts w:ascii="Times New Roman" w:hAnsi="Times New Roman" w:cs="Times New Roman"/>
          <w:lang w:val="lv-LV"/>
        </w:rPr>
        <w:t>o</w:t>
      </w:r>
      <w:r w:rsidRPr="00B66B1A">
        <w:rPr>
          <w:rStyle w:val="googqs-tidbit1"/>
          <w:rFonts w:ascii="Times New Roman" w:hAnsi="Times New Roman" w:cs="Times New Roman"/>
          <w:lang w:val="lv-LV"/>
        </w:rPr>
        <w:t xml:space="preserve"> pakalpojum</w:t>
      </w:r>
      <w:r w:rsidR="009476D9" w:rsidRPr="00B66B1A">
        <w:rPr>
          <w:rStyle w:val="googqs-tidbit1"/>
          <w:rFonts w:ascii="Times New Roman" w:hAnsi="Times New Roman" w:cs="Times New Roman"/>
          <w:lang w:val="lv-LV"/>
        </w:rPr>
        <w:t>u pieejamības veicināšanu</w:t>
      </w:r>
      <w:r w:rsidRPr="00B66B1A">
        <w:rPr>
          <w:rStyle w:val="googqs-tidbit1"/>
          <w:rFonts w:ascii="Times New Roman" w:hAnsi="Times New Roman" w:cs="Times New Roman"/>
          <w:lang w:val="lv-LV"/>
        </w:rPr>
        <w:t xml:space="preserve">, augstas kvalitātes sociālo pakalpojumu uzlabošanu un izstrādi, iesaistoties plašākai sabiedrībai un NVO, sociālās rehabilitācijas sekmēšanu, </w:t>
      </w:r>
      <w:r w:rsidR="004906B8" w:rsidRPr="00B66B1A">
        <w:rPr>
          <w:rStyle w:val="googqs-tidbit1"/>
          <w:rFonts w:ascii="Times New Roman" w:hAnsi="Times New Roman" w:cs="Times New Roman"/>
          <w:lang w:val="lv-LV"/>
        </w:rPr>
        <w:t>tā</w:t>
      </w:r>
      <w:r w:rsidRPr="00B66B1A">
        <w:rPr>
          <w:rStyle w:val="googqs-tidbit1"/>
          <w:rFonts w:ascii="Times New Roman" w:hAnsi="Times New Roman" w:cs="Times New Roman"/>
          <w:lang w:val="lv-LV"/>
        </w:rPr>
        <w:t xml:space="preserve"> ļau</w:t>
      </w:r>
      <w:r w:rsidR="004906B8" w:rsidRPr="00B66B1A">
        <w:rPr>
          <w:rStyle w:val="googqs-tidbit1"/>
          <w:rFonts w:ascii="Times New Roman" w:hAnsi="Times New Roman" w:cs="Times New Roman"/>
          <w:lang w:val="lv-LV"/>
        </w:rPr>
        <w:t>jot</w:t>
      </w:r>
      <w:r w:rsidRPr="00B66B1A">
        <w:rPr>
          <w:rStyle w:val="googqs-tidbit1"/>
          <w:rFonts w:ascii="Times New Roman" w:hAnsi="Times New Roman" w:cs="Times New Roman"/>
          <w:lang w:val="lv-LV"/>
        </w:rPr>
        <w:t xml:space="preserve"> nabadzības un atstumtības riskam pakļautajām personām atgūt sociālo statusu un </w:t>
      </w:r>
      <w:r w:rsidR="004906B8" w:rsidRPr="00B66B1A">
        <w:rPr>
          <w:rStyle w:val="googqs-tidbit1"/>
          <w:rFonts w:ascii="Times New Roman" w:hAnsi="Times New Roman" w:cs="Times New Roman"/>
          <w:lang w:val="lv-LV"/>
        </w:rPr>
        <w:t>veicinot to</w:t>
      </w:r>
      <w:r w:rsidR="006615A6" w:rsidRPr="00B66B1A">
        <w:rPr>
          <w:rStyle w:val="googqs-tidbit1"/>
          <w:rFonts w:ascii="Times New Roman" w:hAnsi="Times New Roman" w:cs="Times New Roman"/>
          <w:lang w:val="lv-LV"/>
        </w:rPr>
        <w:t xml:space="preserve"> </w:t>
      </w:r>
      <w:r w:rsidRPr="00B66B1A">
        <w:rPr>
          <w:rStyle w:val="googqs-tidbit1"/>
          <w:rFonts w:ascii="Times New Roman" w:hAnsi="Times New Roman" w:cs="Times New Roman"/>
          <w:lang w:val="lv-LV"/>
        </w:rPr>
        <w:t>integrēšanos darba tirgū.</w:t>
      </w:r>
    </w:p>
    <w:p w:rsidR="00E302F6" w:rsidRDefault="00E302F6" w:rsidP="00E302F6">
      <w:pPr>
        <w:spacing w:before="120" w:line="240" w:lineRule="auto"/>
        <w:rPr>
          <w:rFonts w:ascii="Times New Roman" w:hAnsi="Times New Roman"/>
          <w:color w:val="FF0000"/>
          <w:lang w:val="lv-LV"/>
        </w:rPr>
      </w:pPr>
    </w:p>
    <w:p w:rsidR="004544E0" w:rsidRDefault="00873159" w:rsidP="00E302F6">
      <w:pPr>
        <w:spacing w:before="120" w:line="240" w:lineRule="auto"/>
        <w:rPr>
          <w:rFonts w:ascii="Times New Roman" w:hAnsi="Times New Roman"/>
          <w:lang w:val="lv-LV"/>
        </w:rPr>
      </w:pPr>
      <w:r w:rsidRPr="00B66B1A">
        <w:rPr>
          <w:rFonts w:ascii="Times New Roman" w:hAnsi="Times New Roman"/>
          <w:b/>
          <w:u w:val="single"/>
          <w:lang w:val="lv-LV"/>
        </w:rPr>
        <w:t>Sagaidāmais rezultāts:</w:t>
      </w:r>
      <w:r w:rsidR="009D1764" w:rsidRPr="00B66B1A">
        <w:rPr>
          <w:rFonts w:ascii="Times New Roman" w:hAnsi="Times New Roman"/>
          <w:b/>
          <w:lang w:val="lv-LV"/>
        </w:rPr>
        <w:t xml:space="preserve"> </w:t>
      </w:r>
      <w:r w:rsidRPr="00B66B1A">
        <w:rPr>
          <w:rFonts w:ascii="Times New Roman" w:hAnsi="Times New Roman"/>
          <w:lang w:val="lv-LV"/>
        </w:rPr>
        <w:t xml:space="preserve">personas, kas gūst labumu no kopīgas sociālās </w:t>
      </w:r>
      <w:r w:rsidR="002E417D">
        <w:rPr>
          <w:rFonts w:ascii="Times New Roman" w:hAnsi="Times New Roman"/>
          <w:lang w:val="lv-LV"/>
        </w:rPr>
        <w:t>iekļaušanas</w:t>
      </w:r>
      <w:r w:rsidR="002E417D" w:rsidRPr="00B66B1A">
        <w:rPr>
          <w:rFonts w:ascii="Times New Roman" w:hAnsi="Times New Roman"/>
          <w:lang w:val="lv-LV"/>
        </w:rPr>
        <w:t xml:space="preserve"> </w:t>
      </w:r>
      <w:r w:rsidRPr="00B66B1A">
        <w:rPr>
          <w:rFonts w:ascii="Times New Roman" w:hAnsi="Times New Roman"/>
          <w:lang w:val="lv-LV"/>
        </w:rPr>
        <w:t>un sociālajiem pakalpojumiem.</w:t>
      </w:r>
    </w:p>
    <w:p w:rsidR="0095484C" w:rsidRDefault="0095484C" w:rsidP="00E302F6">
      <w:pPr>
        <w:spacing w:before="120" w:line="240" w:lineRule="auto"/>
        <w:rPr>
          <w:rFonts w:ascii="Times New Roman" w:hAnsi="Times New Roman"/>
          <w:lang w:val="lv-LV"/>
        </w:rPr>
      </w:pPr>
    </w:p>
    <w:p w:rsidR="0095484C" w:rsidRDefault="0095484C" w:rsidP="00E302F6">
      <w:pPr>
        <w:spacing w:before="120" w:line="240" w:lineRule="auto"/>
        <w:rPr>
          <w:rFonts w:ascii="Times New Roman" w:hAnsi="Times New Roman"/>
          <w:lang w:val="lv-LV"/>
        </w:rPr>
      </w:pPr>
    </w:p>
    <w:p w:rsidR="0095484C" w:rsidRPr="00B66B1A" w:rsidRDefault="0095484C" w:rsidP="00E302F6">
      <w:pPr>
        <w:spacing w:before="120" w:line="240" w:lineRule="auto"/>
        <w:rPr>
          <w:rFonts w:ascii="Times New Roman" w:hAnsi="Times New Roman"/>
          <w:lang w:val="lv-LV"/>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7"/>
        <w:gridCol w:w="1418"/>
        <w:gridCol w:w="1558"/>
        <w:gridCol w:w="1136"/>
        <w:gridCol w:w="992"/>
        <w:gridCol w:w="854"/>
        <w:gridCol w:w="1272"/>
      </w:tblGrid>
      <w:tr w:rsidR="00DA2473" w:rsidRPr="00B66B1A" w:rsidTr="00EC5685">
        <w:trPr>
          <w:trHeight w:val="870"/>
        </w:trPr>
        <w:tc>
          <w:tcPr>
            <w:tcW w:w="432" w:type="pct"/>
            <w:tcBorders>
              <w:top w:val="single" w:sz="4" w:space="0" w:color="auto"/>
              <w:left w:val="single" w:sz="4" w:space="0" w:color="auto"/>
              <w:bottom w:val="single" w:sz="4" w:space="0" w:color="auto"/>
              <w:right w:val="single" w:sz="4" w:space="0" w:color="auto"/>
            </w:tcBorders>
          </w:tcPr>
          <w:p w:rsidR="004544E0" w:rsidRPr="00B66B1A" w:rsidRDefault="004544E0"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lastRenderedPageBreak/>
              <w:t>ID</w:t>
            </w:r>
          </w:p>
        </w:tc>
        <w:tc>
          <w:tcPr>
            <w:tcW w:w="749" w:type="pct"/>
            <w:tcBorders>
              <w:top w:val="single" w:sz="4" w:space="0" w:color="auto"/>
              <w:left w:val="single" w:sz="4" w:space="0" w:color="auto"/>
              <w:bottom w:val="single" w:sz="4" w:space="0" w:color="auto"/>
              <w:right w:val="single" w:sz="4" w:space="0" w:color="auto"/>
            </w:tcBorders>
            <w:hideMark/>
          </w:tcPr>
          <w:p w:rsidR="004544E0" w:rsidRPr="00B66B1A" w:rsidRDefault="00873159"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R</w:t>
            </w:r>
            <w:r w:rsidR="00855192">
              <w:rPr>
                <w:rFonts w:ascii="Times New Roman" w:hAnsi="Times New Roman"/>
                <w:b/>
                <w:sz w:val="18"/>
                <w:szCs w:val="18"/>
                <w:lang w:val="lv-LV"/>
              </w:rPr>
              <w:t>ezultatīvais r</w:t>
            </w:r>
            <w:r w:rsidRPr="00B66B1A">
              <w:rPr>
                <w:rFonts w:ascii="Times New Roman" w:hAnsi="Times New Roman"/>
                <w:b/>
                <w:sz w:val="18"/>
                <w:szCs w:val="18"/>
                <w:lang w:val="lv-LV"/>
              </w:rPr>
              <w:t>ādītājs</w:t>
            </w:r>
            <w:r w:rsidR="004544E0" w:rsidRPr="00B66B1A">
              <w:rPr>
                <w:rFonts w:ascii="Times New Roman" w:hAnsi="Times New Roman"/>
                <w:b/>
                <w:sz w:val="18"/>
                <w:szCs w:val="18"/>
                <w:lang w:val="lv-LV"/>
              </w:rPr>
              <w:t xml:space="preserve"> </w:t>
            </w:r>
          </w:p>
        </w:tc>
        <w:tc>
          <w:tcPr>
            <w:tcW w:w="749" w:type="pct"/>
            <w:tcBorders>
              <w:top w:val="single" w:sz="4" w:space="0" w:color="auto"/>
              <w:left w:val="single" w:sz="4" w:space="0" w:color="auto"/>
              <w:bottom w:val="single" w:sz="4" w:space="0" w:color="auto"/>
              <w:right w:val="single" w:sz="4" w:space="0" w:color="auto"/>
            </w:tcBorders>
            <w:hideMark/>
          </w:tcPr>
          <w:p w:rsidR="004544E0" w:rsidRPr="00B66B1A" w:rsidRDefault="00873159" w:rsidP="00E302F6">
            <w:pPr>
              <w:snapToGrid w:val="0"/>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Mērvienība</w:t>
            </w:r>
          </w:p>
        </w:tc>
        <w:tc>
          <w:tcPr>
            <w:tcW w:w="823" w:type="pct"/>
            <w:tcBorders>
              <w:top w:val="single" w:sz="4" w:space="0" w:color="auto"/>
              <w:left w:val="single" w:sz="4" w:space="0" w:color="auto"/>
              <w:bottom w:val="single" w:sz="4" w:space="0" w:color="auto"/>
              <w:right w:val="single" w:sz="4" w:space="0" w:color="auto"/>
            </w:tcBorders>
            <w:hideMark/>
          </w:tcPr>
          <w:p w:rsidR="004544E0" w:rsidRPr="00B66B1A" w:rsidRDefault="00855192" w:rsidP="00E302F6">
            <w:pPr>
              <w:pStyle w:val="ListBullet"/>
              <w:numPr>
                <w:ilvl w:val="0"/>
                <w:numId w:val="0"/>
              </w:numPr>
              <w:tabs>
                <w:tab w:val="left" w:pos="720"/>
              </w:tabs>
              <w:spacing w:before="120" w:line="240" w:lineRule="auto"/>
              <w:rPr>
                <w:rFonts w:ascii="Times New Roman" w:hAnsi="Times New Roman"/>
                <w:b/>
                <w:sz w:val="18"/>
                <w:szCs w:val="18"/>
                <w:lang w:val="lv-LV"/>
              </w:rPr>
            </w:pPr>
            <w:r>
              <w:rPr>
                <w:rFonts w:ascii="Times New Roman" w:hAnsi="Times New Roman"/>
                <w:b/>
                <w:sz w:val="18"/>
                <w:szCs w:val="18"/>
                <w:lang w:val="lv-LV"/>
              </w:rPr>
              <w:t>Atsauces</w:t>
            </w:r>
            <w:r w:rsidRPr="00B66B1A">
              <w:rPr>
                <w:rFonts w:ascii="Times New Roman" w:hAnsi="Times New Roman"/>
                <w:b/>
                <w:sz w:val="18"/>
                <w:szCs w:val="18"/>
                <w:lang w:val="lv-LV"/>
              </w:rPr>
              <w:t xml:space="preserve"> </w:t>
            </w:r>
            <w:r w:rsidR="00873159" w:rsidRPr="00B66B1A">
              <w:rPr>
                <w:rFonts w:ascii="Times New Roman" w:hAnsi="Times New Roman"/>
                <w:b/>
                <w:sz w:val="18"/>
                <w:szCs w:val="18"/>
                <w:lang w:val="lv-LV"/>
              </w:rPr>
              <w:t>vērtība</w:t>
            </w:r>
            <w:r w:rsidR="004544E0" w:rsidRPr="00B66B1A">
              <w:rPr>
                <w:rFonts w:ascii="Times New Roman" w:hAnsi="Times New Roman"/>
                <w:b/>
                <w:sz w:val="18"/>
                <w:szCs w:val="18"/>
                <w:lang w:val="lv-LV"/>
              </w:rPr>
              <w:t xml:space="preserve"> </w:t>
            </w:r>
          </w:p>
        </w:tc>
        <w:tc>
          <w:tcPr>
            <w:tcW w:w="600" w:type="pct"/>
            <w:tcBorders>
              <w:top w:val="single" w:sz="4" w:space="0" w:color="auto"/>
              <w:left w:val="single" w:sz="4" w:space="0" w:color="auto"/>
              <w:bottom w:val="single" w:sz="4" w:space="0" w:color="auto"/>
              <w:right w:val="single" w:sz="4" w:space="0" w:color="auto"/>
            </w:tcBorders>
            <w:hideMark/>
          </w:tcPr>
          <w:p w:rsidR="004544E0" w:rsidRPr="00B66B1A" w:rsidRDefault="00855192" w:rsidP="00E302F6">
            <w:pPr>
              <w:snapToGrid w:val="0"/>
              <w:spacing w:before="120" w:line="240" w:lineRule="auto"/>
              <w:rPr>
                <w:rFonts w:ascii="Times New Roman" w:hAnsi="Times New Roman"/>
                <w:b/>
                <w:sz w:val="18"/>
                <w:szCs w:val="18"/>
                <w:lang w:val="lv-LV"/>
              </w:rPr>
            </w:pPr>
            <w:r>
              <w:rPr>
                <w:rFonts w:ascii="Times New Roman" w:hAnsi="Times New Roman"/>
                <w:b/>
                <w:sz w:val="18"/>
                <w:szCs w:val="18"/>
                <w:lang w:val="lv-LV"/>
              </w:rPr>
              <w:t>Atsauces</w:t>
            </w:r>
            <w:r w:rsidRPr="00B66B1A">
              <w:rPr>
                <w:rFonts w:ascii="Times New Roman" w:hAnsi="Times New Roman"/>
                <w:b/>
                <w:sz w:val="18"/>
                <w:szCs w:val="18"/>
                <w:lang w:val="lv-LV"/>
              </w:rPr>
              <w:t xml:space="preserve"> </w:t>
            </w:r>
            <w:r w:rsidR="00873159" w:rsidRPr="00B66B1A">
              <w:rPr>
                <w:rFonts w:ascii="Times New Roman" w:hAnsi="Times New Roman"/>
                <w:b/>
                <w:sz w:val="18"/>
                <w:szCs w:val="18"/>
                <w:lang w:val="lv-LV"/>
              </w:rPr>
              <w:t>gads</w:t>
            </w:r>
          </w:p>
        </w:tc>
        <w:tc>
          <w:tcPr>
            <w:tcW w:w="524" w:type="pct"/>
            <w:tcBorders>
              <w:top w:val="single" w:sz="4" w:space="0" w:color="auto"/>
              <w:left w:val="single" w:sz="4" w:space="0" w:color="auto"/>
              <w:bottom w:val="single" w:sz="4" w:space="0" w:color="auto"/>
              <w:right w:val="single" w:sz="4" w:space="0" w:color="auto"/>
            </w:tcBorders>
            <w:hideMark/>
          </w:tcPr>
          <w:p w:rsidR="004544E0" w:rsidRPr="00B66B1A" w:rsidRDefault="00873159"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Mērķvērtība</w:t>
            </w:r>
            <w:r w:rsidR="004544E0" w:rsidRPr="00B66B1A">
              <w:rPr>
                <w:rFonts w:ascii="Times New Roman" w:hAnsi="Times New Roman"/>
                <w:b/>
                <w:sz w:val="18"/>
                <w:szCs w:val="18"/>
                <w:lang w:val="lv-LV"/>
              </w:rPr>
              <w:t xml:space="preserve"> (2023) </w:t>
            </w:r>
          </w:p>
        </w:tc>
        <w:tc>
          <w:tcPr>
            <w:tcW w:w="451" w:type="pct"/>
            <w:tcBorders>
              <w:top w:val="single" w:sz="4" w:space="0" w:color="auto"/>
              <w:left w:val="single" w:sz="4" w:space="0" w:color="auto"/>
              <w:bottom w:val="single" w:sz="4" w:space="0" w:color="auto"/>
              <w:right w:val="single" w:sz="4" w:space="0" w:color="auto"/>
            </w:tcBorders>
            <w:hideMark/>
          </w:tcPr>
          <w:p w:rsidR="004544E0" w:rsidRPr="00B66B1A" w:rsidRDefault="00873159"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Datu avots</w:t>
            </w:r>
          </w:p>
        </w:tc>
        <w:tc>
          <w:tcPr>
            <w:tcW w:w="672" w:type="pct"/>
            <w:tcBorders>
              <w:top w:val="single" w:sz="4" w:space="0" w:color="auto"/>
              <w:left w:val="single" w:sz="4" w:space="0" w:color="auto"/>
              <w:bottom w:val="single" w:sz="4" w:space="0" w:color="auto"/>
              <w:right w:val="single" w:sz="4" w:space="0" w:color="auto"/>
            </w:tcBorders>
          </w:tcPr>
          <w:p w:rsidR="00855192" w:rsidRPr="00B81180" w:rsidRDefault="00855192"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Ziņojuma</w:t>
            </w:r>
          </w:p>
          <w:p w:rsidR="00855192" w:rsidRPr="00B81180" w:rsidRDefault="00855192"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iesniegšanas</w:t>
            </w:r>
          </w:p>
          <w:p w:rsidR="004544E0" w:rsidRPr="00B66B1A" w:rsidRDefault="00855192"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FC1594">
              <w:rPr>
                <w:rFonts w:ascii="Times New Roman" w:hAnsi="Times New Roman"/>
                <w:sz w:val="20"/>
                <w:szCs w:val="20"/>
                <w:lang w:val="lv-LV" w:bidi="en-US"/>
              </w:rPr>
              <w:t>biežums</w:t>
            </w:r>
          </w:p>
        </w:tc>
      </w:tr>
      <w:tr w:rsidR="00DA2473" w:rsidRPr="00B66B1A" w:rsidTr="00EC5685">
        <w:trPr>
          <w:trHeight w:val="1729"/>
        </w:trPr>
        <w:tc>
          <w:tcPr>
            <w:tcW w:w="432" w:type="pct"/>
            <w:tcBorders>
              <w:top w:val="single" w:sz="4" w:space="0" w:color="auto"/>
              <w:left w:val="single" w:sz="4" w:space="0" w:color="auto"/>
              <w:bottom w:val="single" w:sz="4" w:space="0" w:color="auto"/>
              <w:right w:val="single" w:sz="4" w:space="0" w:color="auto"/>
            </w:tcBorders>
          </w:tcPr>
          <w:p w:rsidR="004544E0" w:rsidRPr="00B66B1A" w:rsidRDefault="00EC5685" w:rsidP="00E302F6">
            <w:pPr>
              <w:pStyle w:val="Text1"/>
              <w:spacing w:before="120" w:line="240" w:lineRule="auto"/>
              <w:ind w:left="0"/>
              <w:jc w:val="left"/>
              <w:rPr>
                <w:sz w:val="18"/>
                <w:szCs w:val="18"/>
                <w:lang w:val="lv-LV"/>
              </w:rPr>
            </w:pPr>
            <w:r w:rsidRPr="00BA2B1E">
              <w:rPr>
                <w:rFonts w:ascii="Verdana" w:hAnsi="Verdana"/>
                <w:sz w:val="16"/>
                <w:szCs w:val="16"/>
              </w:rPr>
              <w:t>3.1.R1</w:t>
            </w:r>
          </w:p>
        </w:tc>
        <w:tc>
          <w:tcPr>
            <w:tcW w:w="749" w:type="pct"/>
            <w:tcBorders>
              <w:top w:val="single" w:sz="4" w:space="0" w:color="auto"/>
              <w:left w:val="single" w:sz="4" w:space="0" w:color="auto"/>
              <w:bottom w:val="single" w:sz="4" w:space="0" w:color="auto"/>
              <w:right w:val="single" w:sz="4" w:space="0" w:color="auto"/>
            </w:tcBorders>
          </w:tcPr>
          <w:p w:rsidR="004544E0" w:rsidRPr="00B66B1A" w:rsidRDefault="00873159" w:rsidP="00E302F6">
            <w:pPr>
              <w:pStyle w:val="Text1"/>
              <w:spacing w:before="120" w:line="240" w:lineRule="auto"/>
              <w:ind w:left="0"/>
              <w:jc w:val="left"/>
              <w:rPr>
                <w:sz w:val="18"/>
                <w:szCs w:val="18"/>
                <w:lang w:val="lv-LV"/>
              </w:rPr>
            </w:pPr>
            <w:r w:rsidRPr="00B66B1A">
              <w:rPr>
                <w:sz w:val="18"/>
                <w:szCs w:val="18"/>
                <w:lang w:val="lv-LV"/>
              </w:rPr>
              <w:t xml:space="preserve">Tocilvēku </w:t>
            </w:r>
            <w:r w:rsidR="00C419BF">
              <w:rPr>
                <w:sz w:val="18"/>
                <w:szCs w:val="18"/>
                <w:lang w:val="lv-LV"/>
              </w:rPr>
              <w:t>īpatsvars</w:t>
            </w:r>
            <w:r w:rsidRPr="00B66B1A">
              <w:rPr>
                <w:sz w:val="18"/>
                <w:szCs w:val="18"/>
                <w:lang w:val="lv-LV"/>
              </w:rPr>
              <w:t xml:space="preserve">, kas gūst labumu no sociālās </w:t>
            </w:r>
            <w:r w:rsidR="002E417D">
              <w:rPr>
                <w:sz w:val="18"/>
                <w:szCs w:val="18"/>
                <w:lang w:val="lv-LV"/>
              </w:rPr>
              <w:t>iekļaušanas</w:t>
            </w:r>
            <w:r w:rsidR="002E417D" w:rsidRPr="00B66B1A">
              <w:rPr>
                <w:sz w:val="18"/>
                <w:szCs w:val="18"/>
                <w:lang w:val="lv-LV"/>
              </w:rPr>
              <w:t xml:space="preserve"> </w:t>
            </w:r>
            <w:r w:rsidRPr="00B66B1A">
              <w:rPr>
                <w:sz w:val="18"/>
                <w:szCs w:val="18"/>
                <w:lang w:val="lv-LV"/>
              </w:rPr>
              <w:t>pasākumiem un sociālajiem pakalpojumiem</w:t>
            </w:r>
          </w:p>
        </w:tc>
        <w:tc>
          <w:tcPr>
            <w:tcW w:w="749" w:type="pct"/>
            <w:tcBorders>
              <w:top w:val="single" w:sz="4" w:space="0" w:color="auto"/>
              <w:left w:val="single" w:sz="4" w:space="0" w:color="auto"/>
              <w:bottom w:val="single" w:sz="4" w:space="0" w:color="auto"/>
              <w:right w:val="single" w:sz="4" w:space="0" w:color="auto"/>
            </w:tcBorders>
          </w:tcPr>
          <w:p w:rsidR="004544E0" w:rsidRPr="00B66B1A" w:rsidRDefault="0043367E" w:rsidP="00E302F6">
            <w:pPr>
              <w:snapToGrid w:val="0"/>
              <w:spacing w:before="120" w:line="240" w:lineRule="auto"/>
              <w:jc w:val="left"/>
              <w:rPr>
                <w:rFonts w:ascii="Times New Roman" w:hAnsi="Times New Roman"/>
                <w:sz w:val="18"/>
                <w:szCs w:val="18"/>
                <w:lang w:val="lv-LV"/>
              </w:rPr>
            </w:pPr>
            <w:r>
              <w:rPr>
                <w:rFonts w:ascii="Times New Roman" w:hAnsi="Times New Roman"/>
                <w:sz w:val="18"/>
                <w:szCs w:val="18"/>
                <w:lang w:val="lv-LV"/>
              </w:rPr>
              <w:t>Pprocentos</w:t>
            </w:r>
          </w:p>
        </w:tc>
        <w:tc>
          <w:tcPr>
            <w:tcW w:w="823" w:type="pct"/>
            <w:tcBorders>
              <w:top w:val="single" w:sz="4" w:space="0" w:color="auto"/>
              <w:left w:val="single" w:sz="4" w:space="0" w:color="auto"/>
              <w:bottom w:val="single" w:sz="4" w:space="0" w:color="auto"/>
              <w:right w:val="single" w:sz="4" w:space="0" w:color="auto"/>
            </w:tcBorders>
          </w:tcPr>
          <w:p w:rsidR="004544E0" w:rsidRPr="00B66B1A" w:rsidRDefault="00C419BF"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Skat. 3.pielikumu  ”Rīcības plāns -rezultatīvā rādītāja atsauces vērtības un mērķvērtības aprēķins”</w:t>
            </w:r>
            <w:r w:rsidDel="00C419BF">
              <w:rPr>
                <w:rFonts w:ascii="Times New Roman" w:hAnsi="Times New Roman"/>
                <w:sz w:val="18"/>
                <w:szCs w:val="18"/>
                <w:lang w:val="lv-LV"/>
              </w:rPr>
              <w:t xml:space="preserve"> </w:t>
            </w:r>
          </w:p>
        </w:tc>
        <w:tc>
          <w:tcPr>
            <w:tcW w:w="600" w:type="pct"/>
            <w:tcBorders>
              <w:top w:val="single" w:sz="4" w:space="0" w:color="auto"/>
              <w:left w:val="single" w:sz="4" w:space="0" w:color="auto"/>
              <w:bottom w:val="single" w:sz="4" w:space="0" w:color="auto"/>
              <w:right w:val="single" w:sz="4" w:space="0" w:color="auto"/>
            </w:tcBorders>
          </w:tcPr>
          <w:p w:rsidR="004544E0" w:rsidRPr="00B66B1A" w:rsidRDefault="004544E0" w:rsidP="00E302F6">
            <w:pPr>
              <w:snapToGrid w:val="0"/>
              <w:spacing w:before="120" w:line="240" w:lineRule="auto"/>
              <w:rPr>
                <w:rFonts w:ascii="Times New Roman" w:hAnsi="Times New Roman"/>
                <w:sz w:val="18"/>
                <w:szCs w:val="18"/>
                <w:lang w:val="lv-LV"/>
              </w:rPr>
            </w:pPr>
            <w:r w:rsidRPr="00B66B1A">
              <w:rPr>
                <w:rFonts w:ascii="Times New Roman" w:hAnsi="Times New Roman"/>
                <w:sz w:val="18"/>
                <w:szCs w:val="18"/>
                <w:lang w:val="lv-LV"/>
              </w:rPr>
              <w:t>2013</w:t>
            </w:r>
          </w:p>
        </w:tc>
        <w:tc>
          <w:tcPr>
            <w:tcW w:w="524" w:type="pct"/>
            <w:tcBorders>
              <w:top w:val="single" w:sz="4" w:space="0" w:color="auto"/>
              <w:left w:val="single" w:sz="4" w:space="0" w:color="auto"/>
              <w:bottom w:val="single" w:sz="4" w:space="0" w:color="auto"/>
              <w:right w:val="single" w:sz="4" w:space="0" w:color="auto"/>
            </w:tcBorders>
          </w:tcPr>
          <w:p w:rsidR="004544E0" w:rsidRPr="00C419BF" w:rsidRDefault="00C419BF" w:rsidP="0095484C">
            <w:pPr>
              <w:pStyle w:val="ListBullet"/>
              <w:numPr>
                <w:ilvl w:val="0"/>
                <w:numId w:val="0"/>
              </w:numPr>
              <w:tabs>
                <w:tab w:val="left" w:pos="1025"/>
              </w:tabs>
              <w:spacing w:before="120" w:line="240" w:lineRule="auto"/>
              <w:rPr>
                <w:rFonts w:ascii="Times New Roman" w:hAnsi="Times New Roman"/>
                <w:sz w:val="18"/>
                <w:szCs w:val="18"/>
                <w:lang w:val="lv-LV"/>
              </w:rPr>
            </w:pPr>
            <w:r>
              <w:rPr>
                <w:rFonts w:ascii="Times New Roman" w:hAnsi="Times New Roman"/>
                <w:sz w:val="18"/>
                <w:szCs w:val="18"/>
                <w:lang w:val="lv-LV"/>
              </w:rPr>
              <w:t>Skat. 3.pielikumu</w:t>
            </w:r>
            <w:proofErr w:type="gramStart"/>
            <w:r>
              <w:rPr>
                <w:rFonts w:ascii="Times New Roman" w:hAnsi="Times New Roman"/>
                <w:sz w:val="18"/>
                <w:szCs w:val="18"/>
                <w:lang w:val="lv-LV"/>
              </w:rPr>
              <w:t xml:space="preserve">  </w:t>
            </w:r>
            <w:proofErr w:type="gramEnd"/>
            <w:r>
              <w:rPr>
                <w:rFonts w:ascii="Times New Roman" w:hAnsi="Times New Roman"/>
                <w:sz w:val="18"/>
                <w:szCs w:val="18"/>
                <w:lang w:val="lv-LV"/>
              </w:rPr>
              <w:t>”Rīcības plāns -rezultatīvā rādītāja atsauces vērtības un mērķvērtības aprēķins”</w:t>
            </w:r>
            <w:r w:rsidDel="00C419BF">
              <w:rPr>
                <w:rFonts w:ascii="Times New Roman" w:hAnsi="Times New Roman"/>
                <w:sz w:val="18"/>
                <w:szCs w:val="18"/>
                <w:lang w:val="lv-LV"/>
              </w:rPr>
              <w:t xml:space="preserve"> </w:t>
            </w:r>
          </w:p>
        </w:tc>
        <w:tc>
          <w:tcPr>
            <w:tcW w:w="451" w:type="pct"/>
            <w:tcBorders>
              <w:top w:val="single" w:sz="4" w:space="0" w:color="auto"/>
              <w:left w:val="single" w:sz="4" w:space="0" w:color="auto"/>
              <w:bottom w:val="single" w:sz="4" w:space="0" w:color="auto"/>
              <w:right w:val="single" w:sz="4" w:space="0" w:color="auto"/>
            </w:tcBorders>
          </w:tcPr>
          <w:p w:rsidR="004544E0" w:rsidRPr="00B66B1A" w:rsidRDefault="00C419BF" w:rsidP="00E302F6">
            <w:pPr>
              <w:pStyle w:val="ListBullet"/>
              <w:numPr>
                <w:ilvl w:val="0"/>
                <w:numId w:val="0"/>
              </w:numPr>
              <w:tabs>
                <w:tab w:val="left" w:pos="720"/>
              </w:tabs>
              <w:spacing w:before="120" w:line="240" w:lineRule="auto"/>
              <w:rPr>
                <w:rFonts w:ascii="Times New Roman" w:hAnsi="Times New Roman"/>
                <w:sz w:val="18"/>
                <w:szCs w:val="18"/>
                <w:lang w:val="lv-LV"/>
              </w:rPr>
            </w:pPr>
            <w:r>
              <w:rPr>
                <w:rFonts w:ascii="Times New Roman" w:hAnsi="Times New Roman"/>
                <w:sz w:val="18"/>
                <w:szCs w:val="18"/>
                <w:lang w:val="lv-LV"/>
              </w:rPr>
              <w:t>Aptauja</w:t>
            </w:r>
            <w:r w:rsidR="00873159" w:rsidRPr="00B66B1A">
              <w:rPr>
                <w:rFonts w:ascii="Times New Roman" w:hAnsi="Times New Roman"/>
                <w:sz w:val="18"/>
                <w:szCs w:val="18"/>
                <w:lang w:val="lv-LV"/>
              </w:rPr>
              <w:t xml:space="preserve"> </w:t>
            </w:r>
          </w:p>
        </w:tc>
        <w:tc>
          <w:tcPr>
            <w:tcW w:w="672" w:type="pct"/>
            <w:tcBorders>
              <w:top w:val="single" w:sz="4" w:space="0" w:color="auto"/>
              <w:left w:val="single" w:sz="4" w:space="0" w:color="auto"/>
              <w:bottom w:val="single" w:sz="4" w:space="0" w:color="auto"/>
              <w:right w:val="single" w:sz="4" w:space="0" w:color="auto"/>
            </w:tcBorders>
          </w:tcPr>
          <w:p w:rsidR="004544E0" w:rsidRPr="00B66B1A" w:rsidRDefault="00C419BF"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vienreiz, </w:t>
            </w:r>
            <w:r w:rsidR="0017101B" w:rsidRPr="00B66B1A">
              <w:rPr>
                <w:rFonts w:ascii="Times New Roman" w:hAnsi="Times New Roman"/>
                <w:sz w:val="18"/>
                <w:szCs w:val="18"/>
                <w:lang w:val="lv-LV"/>
              </w:rPr>
              <w:t>2023</w:t>
            </w:r>
            <w:r>
              <w:rPr>
                <w:rFonts w:ascii="Times New Roman" w:hAnsi="Times New Roman"/>
                <w:sz w:val="18"/>
                <w:szCs w:val="18"/>
                <w:lang w:val="lv-LV"/>
              </w:rPr>
              <w:t>.gadā</w:t>
            </w:r>
          </w:p>
        </w:tc>
      </w:tr>
    </w:tbl>
    <w:p w:rsidR="004544E0" w:rsidRPr="00543A74" w:rsidRDefault="004544E0" w:rsidP="00E302F6">
      <w:pPr>
        <w:spacing w:before="120" w:line="240" w:lineRule="auto"/>
        <w:rPr>
          <w:b/>
          <w:lang w:val="lv-LV"/>
        </w:rPr>
      </w:pPr>
      <w:bookmarkStart w:id="24" w:name="_Toc372107606"/>
    </w:p>
    <w:p w:rsidR="004544E0" w:rsidRPr="00B66B1A" w:rsidRDefault="006B53DE" w:rsidP="00E302F6">
      <w:pPr>
        <w:spacing w:before="120" w:line="240" w:lineRule="auto"/>
        <w:ind w:right="-432"/>
        <w:rPr>
          <w:rFonts w:ascii="Times New Roman" w:hAnsi="Times New Roman"/>
          <w:b/>
          <w:u w:val="single"/>
          <w:lang w:val="lv-LV"/>
        </w:rPr>
      </w:pPr>
      <w:r w:rsidRPr="00B66B1A">
        <w:rPr>
          <w:rFonts w:ascii="Times New Roman" w:hAnsi="Times New Roman"/>
          <w:b/>
          <w:u w:val="single"/>
          <w:lang w:val="lv-LV"/>
        </w:rPr>
        <w:t>Indikatīvs atbalstāmo</w:t>
      </w:r>
      <w:r w:rsidR="00274369" w:rsidRPr="00B66B1A">
        <w:rPr>
          <w:rFonts w:ascii="Times New Roman" w:hAnsi="Times New Roman"/>
          <w:b/>
          <w:u w:val="single"/>
          <w:lang w:val="lv-LV"/>
        </w:rPr>
        <w:t xml:space="preserve"> darbību saraksts</w:t>
      </w:r>
    </w:p>
    <w:p w:rsidR="004544E0" w:rsidRPr="00B66B1A" w:rsidRDefault="00274369"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sociālajiem pakalpojumiem nepieciešamās infrastruktūras un aprīkojuma uzlabošana;</w:t>
      </w:r>
    </w:p>
    <w:p w:rsidR="004544E0" w:rsidRPr="00B66B1A" w:rsidRDefault="00274369"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 xml:space="preserve">sociālos pakalpojumu speciālistu </w:t>
      </w:r>
      <w:r w:rsidR="00C419BF">
        <w:rPr>
          <w:rFonts w:ascii="Times New Roman" w:hAnsi="Times New Roman"/>
          <w:lang w:val="lv-LV"/>
        </w:rPr>
        <w:t>kompetences</w:t>
      </w:r>
      <w:r w:rsidR="00C419BF" w:rsidRPr="00B66B1A">
        <w:rPr>
          <w:rFonts w:ascii="Times New Roman" w:hAnsi="Times New Roman"/>
          <w:lang w:val="lv-LV"/>
        </w:rPr>
        <w:t xml:space="preserve"> </w:t>
      </w:r>
      <w:r w:rsidRPr="00B66B1A">
        <w:rPr>
          <w:rFonts w:ascii="Times New Roman" w:hAnsi="Times New Roman"/>
          <w:lang w:val="lv-LV"/>
        </w:rPr>
        <w:t>uzlabošana;</w:t>
      </w:r>
    </w:p>
    <w:p w:rsidR="004544E0" w:rsidRPr="00B66B1A" w:rsidRDefault="00274369"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pakalpojumu un infrastruktūras/ aprīkojuma uzlabošana/ attīstīšana attiecībā uz sociālās atstumtības riskam pakļautajām personām;</w:t>
      </w:r>
    </w:p>
    <w:p w:rsidR="004544E0" w:rsidRPr="00B66B1A" w:rsidRDefault="00274369" w:rsidP="00E302F6">
      <w:pPr>
        <w:pStyle w:val="ListParagraph"/>
        <w:numPr>
          <w:ilvl w:val="0"/>
          <w:numId w:val="8"/>
        </w:numPr>
        <w:spacing w:before="120" w:line="240" w:lineRule="auto"/>
        <w:ind w:right="-432"/>
        <w:rPr>
          <w:rFonts w:ascii="Times New Roman" w:hAnsi="Times New Roman"/>
          <w:lang w:val="lv-LV"/>
        </w:rPr>
      </w:pPr>
      <w:r w:rsidRPr="00B66B1A">
        <w:rPr>
          <w:rFonts w:ascii="Times New Roman" w:hAnsi="Times New Roman"/>
          <w:lang w:val="lv-LV"/>
        </w:rPr>
        <w:t xml:space="preserve">sociālās atstumtības riskam pakļauto personu </w:t>
      </w:r>
      <w:r w:rsidR="002E417D">
        <w:rPr>
          <w:rFonts w:ascii="Times New Roman" w:hAnsi="Times New Roman"/>
          <w:lang w:val="lv-LV"/>
        </w:rPr>
        <w:t>iekļaušana</w:t>
      </w:r>
      <w:r w:rsidR="002E417D" w:rsidRPr="00B66B1A">
        <w:rPr>
          <w:rFonts w:ascii="Times New Roman" w:hAnsi="Times New Roman"/>
          <w:lang w:val="lv-LV"/>
        </w:rPr>
        <w:t xml:space="preserve"> </w:t>
      </w:r>
      <w:r w:rsidRPr="00B66B1A">
        <w:rPr>
          <w:rFonts w:ascii="Times New Roman" w:hAnsi="Times New Roman"/>
          <w:lang w:val="lv-LV"/>
        </w:rPr>
        <w:t>darba tirgū.</w:t>
      </w:r>
    </w:p>
    <w:p w:rsidR="004544E0" w:rsidRPr="00B66B1A" w:rsidRDefault="004544E0" w:rsidP="00E302F6">
      <w:pPr>
        <w:spacing w:before="120" w:line="240" w:lineRule="auto"/>
        <w:rPr>
          <w:rFonts w:ascii="Times New Roman" w:hAnsi="Times New Roman"/>
          <w:b/>
          <w:u w:val="single"/>
          <w:lang w:val="lv-LV"/>
        </w:rPr>
      </w:pPr>
    </w:p>
    <w:p w:rsidR="004544E0" w:rsidRPr="00B66B1A" w:rsidRDefault="000D340E" w:rsidP="00E302F6">
      <w:pPr>
        <w:spacing w:before="120" w:line="240" w:lineRule="auto"/>
        <w:rPr>
          <w:rFonts w:ascii="Times New Roman" w:hAnsi="Times New Roman"/>
          <w:b/>
          <w:u w:val="single"/>
          <w:lang w:val="lv-LV"/>
        </w:rPr>
      </w:pPr>
      <w:r>
        <w:rPr>
          <w:rFonts w:ascii="Times New Roman" w:hAnsi="Times New Roman"/>
          <w:b/>
          <w:u w:val="single"/>
          <w:lang w:val="lv-LV"/>
        </w:rPr>
        <w:t>Iznākumu</w:t>
      </w:r>
      <w:r w:rsidRPr="00B66B1A">
        <w:rPr>
          <w:rFonts w:ascii="Times New Roman" w:hAnsi="Times New Roman"/>
          <w:b/>
          <w:u w:val="single"/>
          <w:lang w:val="lv-LV"/>
        </w:rPr>
        <w:t xml:space="preserve"> </w:t>
      </w:r>
      <w:r w:rsidR="00815C20" w:rsidRPr="00B66B1A">
        <w:rPr>
          <w:rFonts w:ascii="Times New Roman" w:hAnsi="Times New Roman"/>
          <w:b/>
          <w:u w:val="single"/>
          <w:lang w:val="lv-LV"/>
        </w:rPr>
        <w:t>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4"/>
        <w:gridCol w:w="2769"/>
        <w:gridCol w:w="1807"/>
        <w:gridCol w:w="1552"/>
        <w:gridCol w:w="1964"/>
      </w:tblGrid>
      <w:tr w:rsidR="004544E0" w:rsidRPr="00B66B1A" w:rsidTr="00855192">
        <w:trPr>
          <w:trHeight w:val="458"/>
          <w:jc w:val="center"/>
        </w:trPr>
        <w:tc>
          <w:tcPr>
            <w:tcW w:w="326" w:type="pct"/>
          </w:tcPr>
          <w:bookmarkEnd w:id="24"/>
          <w:p w:rsidR="004544E0" w:rsidRPr="00B66B1A" w:rsidRDefault="004544E0"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B66B1A">
              <w:rPr>
                <w:rFonts w:ascii="Times New Roman" w:hAnsi="Times New Roman"/>
                <w:b/>
                <w:sz w:val="18"/>
                <w:szCs w:val="18"/>
                <w:lang w:val="lv-LV"/>
              </w:rPr>
              <w:t>ID</w:t>
            </w:r>
          </w:p>
        </w:tc>
        <w:tc>
          <w:tcPr>
            <w:tcW w:w="1590" w:type="pct"/>
            <w:shd w:val="clear" w:color="auto" w:fill="auto"/>
          </w:tcPr>
          <w:p w:rsidR="004544E0" w:rsidRPr="00B66B1A" w:rsidRDefault="00815C20"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B66B1A">
              <w:rPr>
                <w:rFonts w:ascii="Times New Roman" w:hAnsi="Times New Roman"/>
                <w:b/>
                <w:sz w:val="18"/>
                <w:szCs w:val="18"/>
                <w:lang w:val="lv-LV"/>
              </w:rPr>
              <w:t>R</w:t>
            </w:r>
            <w:r w:rsidR="00855192">
              <w:rPr>
                <w:rFonts w:ascii="Times New Roman" w:hAnsi="Times New Roman"/>
                <w:b/>
                <w:sz w:val="18"/>
                <w:szCs w:val="18"/>
                <w:lang w:val="lv-LV"/>
              </w:rPr>
              <w:t>ezultatīvais r</w:t>
            </w:r>
            <w:r w:rsidRPr="00B66B1A">
              <w:rPr>
                <w:rFonts w:ascii="Times New Roman" w:hAnsi="Times New Roman"/>
                <w:b/>
                <w:sz w:val="18"/>
                <w:szCs w:val="18"/>
                <w:lang w:val="lv-LV"/>
              </w:rPr>
              <w:t>ādītājs</w:t>
            </w:r>
          </w:p>
        </w:tc>
        <w:tc>
          <w:tcPr>
            <w:tcW w:w="1047" w:type="pct"/>
            <w:shd w:val="clear" w:color="auto" w:fill="auto"/>
          </w:tcPr>
          <w:p w:rsidR="004544E0" w:rsidRPr="00B66B1A" w:rsidRDefault="00815C20" w:rsidP="00E302F6">
            <w:pPr>
              <w:pStyle w:val="ListDash"/>
              <w:numPr>
                <w:ilvl w:val="0"/>
                <w:numId w:val="0"/>
              </w:numPr>
              <w:spacing w:before="120" w:line="240" w:lineRule="auto"/>
              <w:jc w:val="left"/>
              <w:rPr>
                <w:rFonts w:ascii="Times New Roman" w:hAnsi="Times New Roman"/>
                <w:b/>
                <w:sz w:val="18"/>
                <w:szCs w:val="18"/>
                <w:lang w:val="lv-LV"/>
              </w:rPr>
            </w:pPr>
            <w:r w:rsidRPr="00B66B1A">
              <w:rPr>
                <w:rFonts w:ascii="Times New Roman" w:hAnsi="Times New Roman"/>
                <w:b/>
                <w:sz w:val="18"/>
                <w:szCs w:val="18"/>
                <w:lang w:val="lv-LV"/>
              </w:rPr>
              <w:t>Mērvienība</w:t>
            </w:r>
          </w:p>
        </w:tc>
        <w:tc>
          <w:tcPr>
            <w:tcW w:w="902" w:type="pct"/>
            <w:shd w:val="clear" w:color="auto" w:fill="auto"/>
          </w:tcPr>
          <w:p w:rsidR="004544E0" w:rsidRPr="00B66B1A" w:rsidRDefault="00815C20" w:rsidP="00E302F6">
            <w:pPr>
              <w:pStyle w:val="ListDash"/>
              <w:numPr>
                <w:ilvl w:val="0"/>
                <w:numId w:val="0"/>
              </w:numPr>
              <w:spacing w:before="120" w:line="240" w:lineRule="auto"/>
              <w:jc w:val="left"/>
              <w:rPr>
                <w:rFonts w:ascii="Times New Roman" w:hAnsi="Times New Roman"/>
                <w:b/>
                <w:sz w:val="18"/>
                <w:szCs w:val="18"/>
                <w:lang w:val="lv-LV"/>
              </w:rPr>
            </w:pPr>
            <w:r w:rsidRPr="00B66B1A">
              <w:rPr>
                <w:rFonts w:ascii="Times New Roman" w:hAnsi="Times New Roman"/>
                <w:b/>
                <w:sz w:val="18"/>
                <w:szCs w:val="18"/>
                <w:lang w:val="lv-LV"/>
              </w:rPr>
              <w:t>Mērķvērtība</w:t>
            </w:r>
            <w:r w:rsidR="004544E0" w:rsidRPr="00B66B1A">
              <w:rPr>
                <w:rFonts w:ascii="Times New Roman" w:hAnsi="Times New Roman"/>
                <w:b/>
                <w:sz w:val="18"/>
                <w:szCs w:val="18"/>
                <w:lang w:val="lv-LV"/>
              </w:rPr>
              <w:t xml:space="preserve"> (2023)</w:t>
            </w:r>
          </w:p>
        </w:tc>
        <w:tc>
          <w:tcPr>
            <w:tcW w:w="1135" w:type="pct"/>
            <w:shd w:val="clear" w:color="auto" w:fill="auto"/>
          </w:tcPr>
          <w:p w:rsidR="004544E0" w:rsidRPr="00B66B1A" w:rsidRDefault="00815C20" w:rsidP="00E302F6">
            <w:pPr>
              <w:pStyle w:val="ListDash"/>
              <w:numPr>
                <w:ilvl w:val="0"/>
                <w:numId w:val="0"/>
              </w:numPr>
              <w:spacing w:before="120" w:line="240" w:lineRule="auto"/>
              <w:jc w:val="left"/>
              <w:rPr>
                <w:rFonts w:ascii="Times New Roman" w:hAnsi="Times New Roman"/>
                <w:b/>
                <w:sz w:val="18"/>
                <w:szCs w:val="18"/>
                <w:lang w:val="lv-LV"/>
              </w:rPr>
            </w:pPr>
            <w:r w:rsidRPr="00B66B1A">
              <w:rPr>
                <w:rFonts w:ascii="Times New Roman" w:hAnsi="Times New Roman"/>
                <w:b/>
                <w:sz w:val="18"/>
                <w:szCs w:val="18"/>
                <w:lang w:val="lv-LV"/>
              </w:rPr>
              <w:t>Datu avots</w:t>
            </w:r>
          </w:p>
        </w:tc>
      </w:tr>
      <w:tr w:rsidR="00855192" w:rsidRPr="00B66B1A" w:rsidTr="00855192">
        <w:trPr>
          <w:trHeight w:val="557"/>
          <w:jc w:val="center"/>
        </w:trPr>
        <w:tc>
          <w:tcPr>
            <w:tcW w:w="326" w:type="pct"/>
          </w:tcPr>
          <w:p w:rsidR="00855192" w:rsidRPr="00B66B1A" w:rsidRDefault="00EC5685" w:rsidP="00E302F6">
            <w:pPr>
              <w:pStyle w:val="ListDash"/>
              <w:numPr>
                <w:ilvl w:val="0"/>
                <w:numId w:val="0"/>
              </w:numPr>
              <w:spacing w:before="120" w:line="240" w:lineRule="auto"/>
              <w:rPr>
                <w:rFonts w:ascii="Times New Roman" w:hAnsi="Times New Roman"/>
                <w:sz w:val="18"/>
                <w:szCs w:val="18"/>
                <w:lang w:val="lv-LV"/>
              </w:rPr>
            </w:pPr>
            <w:r w:rsidRPr="00BA2B1E">
              <w:rPr>
                <w:sz w:val="16"/>
                <w:szCs w:val="16"/>
              </w:rPr>
              <w:t>3.1.O1</w:t>
            </w:r>
          </w:p>
        </w:tc>
        <w:tc>
          <w:tcPr>
            <w:tcW w:w="1590" w:type="pct"/>
            <w:shd w:val="clear" w:color="auto" w:fill="auto"/>
          </w:tcPr>
          <w:p w:rsidR="00855192" w:rsidRPr="00B66B1A" w:rsidRDefault="00855192" w:rsidP="00E302F6">
            <w:p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Izveidoti/ uzlaboti sociālie pakalpojumi un infrastruktūra</w:t>
            </w:r>
          </w:p>
        </w:tc>
        <w:tc>
          <w:tcPr>
            <w:tcW w:w="1047" w:type="pct"/>
            <w:shd w:val="clear" w:color="auto" w:fill="auto"/>
          </w:tcPr>
          <w:p w:rsidR="00855192" w:rsidRPr="00B66B1A" w:rsidRDefault="00855192"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Vienības</w:t>
            </w:r>
          </w:p>
          <w:p w:rsidR="00855192" w:rsidRPr="00B66B1A" w:rsidRDefault="00855192" w:rsidP="00E302F6">
            <w:pPr>
              <w:pStyle w:val="ListDash"/>
              <w:spacing w:before="120" w:line="240" w:lineRule="auto"/>
              <w:ind w:left="0"/>
              <w:jc w:val="left"/>
              <w:rPr>
                <w:rFonts w:ascii="Times New Roman" w:hAnsi="Times New Roman"/>
                <w:sz w:val="18"/>
                <w:szCs w:val="18"/>
                <w:lang w:val="lv-LV"/>
              </w:rPr>
            </w:pPr>
          </w:p>
        </w:tc>
        <w:tc>
          <w:tcPr>
            <w:tcW w:w="902" w:type="pct"/>
            <w:shd w:val="clear" w:color="auto" w:fill="auto"/>
          </w:tcPr>
          <w:p w:rsidR="00855192" w:rsidRPr="008B4B1A" w:rsidRDefault="00855192" w:rsidP="00E302F6">
            <w:pPr>
              <w:pStyle w:val="ListDash"/>
              <w:numPr>
                <w:ilvl w:val="0"/>
                <w:numId w:val="0"/>
              </w:numPr>
              <w:spacing w:before="120" w:line="240" w:lineRule="auto"/>
              <w:jc w:val="right"/>
              <w:rPr>
                <w:rFonts w:ascii="Times New Roman" w:hAnsi="Times New Roman"/>
                <w:sz w:val="18"/>
                <w:szCs w:val="18"/>
                <w:lang w:val="lv-LV"/>
              </w:rPr>
            </w:pPr>
            <w:r w:rsidRPr="008B4B1A">
              <w:rPr>
                <w:rFonts w:ascii="Times New Roman" w:hAnsi="Times New Roman"/>
                <w:sz w:val="18"/>
                <w:szCs w:val="18"/>
                <w:lang w:val="lv-LV"/>
              </w:rPr>
              <w:t>15</w:t>
            </w:r>
          </w:p>
        </w:tc>
        <w:tc>
          <w:tcPr>
            <w:tcW w:w="1135" w:type="pct"/>
            <w:shd w:val="clear" w:color="auto" w:fill="auto"/>
          </w:tcPr>
          <w:p w:rsidR="00855192" w:rsidRPr="00B66B1A" w:rsidRDefault="00855192"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Progresa pārskati</w:t>
            </w:r>
          </w:p>
        </w:tc>
      </w:tr>
      <w:tr w:rsidR="00855192" w:rsidRPr="00B66B1A" w:rsidTr="00855192">
        <w:trPr>
          <w:trHeight w:val="620"/>
          <w:jc w:val="center"/>
        </w:trPr>
        <w:tc>
          <w:tcPr>
            <w:tcW w:w="326" w:type="pct"/>
          </w:tcPr>
          <w:p w:rsidR="00855192" w:rsidRPr="00B66B1A" w:rsidRDefault="00EC5685" w:rsidP="00E302F6">
            <w:pPr>
              <w:pStyle w:val="ListDash"/>
              <w:numPr>
                <w:ilvl w:val="0"/>
                <w:numId w:val="0"/>
              </w:numPr>
              <w:spacing w:before="120" w:line="240" w:lineRule="auto"/>
              <w:rPr>
                <w:rFonts w:ascii="Times New Roman" w:hAnsi="Times New Roman"/>
                <w:sz w:val="18"/>
                <w:szCs w:val="18"/>
                <w:lang w:val="lv-LV"/>
              </w:rPr>
            </w:pPr>
            <w:r w:rsidRPr="00BA2B1E">
              <w:rPr>
                <w:sz w:val="16"/>
                <w:szCs w:val="16"/>
              </w:rPr>
              <w:t>3.2.O2</w:t>
            </w:r>
          </w:p>
        </w:tc>
        <w:tc>
          <w:tcPr>
            <w:tcW w:w="1590" w:type="pct"/>
            <w:tcBorders>
              <w:top w:val="single" w:sz="4" w:space="0" w:color="auto"/>
            </w:tcBorders>
            <w:shd w:val="clear" w:color="auto" w:fill="auto"/>
          </w:tcPr>
          <w:p w:rsidR="00855192" w:rsidRPr="00B66B1A" w:rsidRDefault="00855192" w:rsidP="00E302F6">
            <w:p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 xml:space="preserve">Izveidoti/ uzlaboti sociālās </w:t>
            </w:r>
            <w:r>
              <w:rPr>
                <w:rFonts w:ascii="Times New Roman" w:hAnsi="Times New Roman"/>
                <w:sz w:val="18"/>
                <w:szCs w:val="18"/>
                <w:lang w:val="lv-LV"/>
              </w:rPr>
              <w:t>iekļaušanas</w:t>
            </w:r>
            <w:r w:rsidRPr="00B66B1A">
              <w:rPr>
                <w:rFonts w:ascii="Times New Roman" w:hAnsi="Times New Roman"/>
                <w:sz w:val="18"/>
                <w:szCs w:val="18"/>
                <w:lang w:val="lv-LV"/>
              </w:rPr>
              <w:t xml:space="preserve"> pasākumi</w:t>
            </w:r>
          </w:p>
        </w:tc>
        <w:tc>
          <w:tcPr>
            <w:tcW w:w="1047" w:type="pct"/>
            <w:tcBorders>
              <w:top w:val="single" w:sz="4" w:space="0" w:color="auto"/>
            </w:tcBorders>
            <w:shd w:val="clear" w:color="auto" w:fill="auto"/>
          </w:tcPr>
          <w:p w:rsidR="00855192" w:rsidRPr="00B66B1A" w:rsidRDefault="00855192"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Vienības</w:t>
            </w:r>
          </w:p>
        </w:tc>
        <w:tc>
          <w:tcPr>
            <w:tcW w:w="902" w:type="pct"/>
            <w:tcBorders>
              <w:top w:val="single" w:sz="4" w:space="0" w:color="auto"/>
            </w:tcBorders>
            <w:shd w:val="clear" w:color="auto" w:fill="auto"/>
          </w:tcPr>
          <w:p w:rsidR="00855192" w:rsidRPr="008B4B1A" w:rsidRDefault="00855192" w:rsidP="00E302F6">
            <w:pPr>
              <w:pStyle w:val="ListDash"/>
              <w:numPr>
                <w:ilvl w:val="0"/>
                <w:numId w:val="0"/>
              </w:numPr>
              <w:spacing w:before="120" w:line="240" w:lineRule="auto"/>
              <w:jc w:val="right"/>
              <w:rPr>
                <w:rFonts w:ascii="Times New Roman" w:hAnsi="Times New Roman"/>
                <w:sz w:val="18"/>
                <w:szCs w:val="18"/>
                <w:lang w:val="lv-LV"/>
              </w:rPr>
            </w:pPr>
            <w:r w:rsidRPr="008B4B1A">
              <w:rPr>
                <w:rFonts w:ascii="Times New Roman" w:hAnsi="Times New Roman"/>
                <w:sz w:val="18"/>
                <w:szCs w:val="18"/>
                <w:lang w:val="lv-LV"/>
              </w:rPr>
              <w:t>28</w:t>
            </w:r>
          </w:p>
        </w:tc>
        <w:tc>
          <w:tcPr>
            <w:tcW w:w="1135" w:type="pct"/>
            <w:tcBorders>
              <w:top w:val="single" w:sz="4" w:space="0" w:color="auto"/>
            </w:tcBorders>
            <w:shd w:val="clear" w:color="auto" w:fill="auto"/>
          </w:tcPr>
          <w:p w:rsidR="00855192" w:rsidRPr="00B66B1A" w:rsidRDefault="00855192"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Progresa pārskati</w:t>
            </w:r>
          </w:p>
        </w:tc>
      </w:tr>
    </w:tbl>
    <w:p w:rsidR="007A5272" w:rsidRPr="00543A74" w:rsidRDefault="007A5272" w:rsidP="00E302F6">
      <w:pPr>
        <w:spacing w:before="120" w:line="240" w:lineRule="auto"/>
        <w:rPr>
          <w:lang w:val="lv-LV"/>
        </w:rPr>
      </w:pPr>
    </w:p>
    <w:p w:rsidR="00C419BF" w:rsidRPr="00CD6D0C" w:rsidRDefault="00C419BF" w:rsidP="00E302F6">
      <w:pPr>
        <w:spacing w:before="120" w:line="240" w:lineRule="auto"/>
        <w:rPr>
          <w:rFonts w:ascii="Times New Roman" w:hAnsi="Times New Roman"/>
          <w:b/>
          <w:u w:val="single"/>
          <w:lang w:val="lv-LV"/>
        </w:rPr>
      </w:pPr>
      <w:r w:rsidRPr="00CD6D0C">
        <w:rPr>
          <w:rFonts w:ascii="Times New Roman" w:hAnsi="Times New Roman"/>
          <w:b/>
          <w:u w:val="single"/>
          <w:lang w:val="lv-LV"/>
        </w:rPr>
        <w:t>Darbību atlases pamatprincipi</w:t>
      </w:r>
    </w:p>
    <w:p w:rsidR="00C419BF" w:rsidRPr="00CD6D0C" w:rsidRDefault="00C419BF" w:rsidP="00D66FB7">
      <w:pPr>
        <w:pStyle w:val="Heading2"/>
      </w:pPr>
      <w:r>
        <w:rPr>
          <w:lang w:val="lv-LV"/>
        </w:rPr>
        <w:t>Projektu atlases</w:t>
      </w:r>
      <w:r w:rsidRPr="00B66B1A">
        <w:rPr>
          <w:lang w:val="lv-LV"/>
        </w:rPr>
        <w:t xml:space="preserve"> princip</w:t>
      </w:r>
      <w:r>
        <w:rPr>
          <w:lang w:val="lv-LV"/>
        </w:rPr>
        <w:t>u d</w:t>
      </w:r>
      <w:r w:rsidRPr="00B66B1A">
        <w:rPr>
          <w:lang w:val="lv-LV"/>
        </w:rPr>
        <w:t>etalizēta kārtība noteikta 5.3. punktā</w:t>
      </w:r>
    </w:p>
    <w:p w:rsidR="00C419BF" w:rsidRPr="00114F9C" w:rsidRDefault="00C419BF" w:rsidP="00E302F6">
      <w:pPr>
        <w:spacing w:before="120" w:line="240" w:lineRule="auto"/>
        <w:jc w:val="left"/>
        <w:rPr>
          <w:b/>
          <w:color w:val="FF0000"/>
          <w:sz w:val="20"/>
          <w:szCs w:val="20"/>
        </w:rPr>
      </w:pPr>
    </w:p>
    <w:p w:rsidR="004544E0" w:rsidRPr="00B66B1A" w:rsidRDefault="007A5272" w:rsidP="00E302F6">
      <w:pPr>
        <w:spacing w:before="120" w:line="240" w:lineRule="auto"/>
        <w:jc w:val="left"/>
        <w:rPr>
          <w:rFonts w:ascii="Times New Roman" w:hAnsi="Times New Roman"/>
          <w:lang w:val="lv-LV"/>
        </w:rPr>
      </w:pPr>
      <w:r w:rsidRPr="00543A74">
        <w:rPr>
          <w:lang w:val="lv-LV"/>
        </w:rPr>
        <w:br w:type="page"/>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748"/>
      </w:tblGrid>
      <w:tr w:rsidR="004544E0" w:rsidRPr="00A812A8" w:rsidTr="006B6E87">
        <w:trPr>
          <w:trHeight w:val="726"/>
        </w:trPr>
        <w:tc>
          <w:tcPr>
            <w:tcW w:w="8748" w:type="dxa"/>
            <w:shd w:val="clear" w:color="auto" w:fill="EAF1DD"/>
          </w:tcPr>
          <w:p w:rsidR="004544E0" w:rsidRPr="00B66B1A" w:rsidRDefault="002C02A4" w:rsidP="00E302F6">
            <w:pPr>
              <w:pStyle w:val="Text1"/>
              <w:spacing w:before="120" w:line="240" w:lineRule="auto"/>
              <w:ind w:left="0"/>
              <w:rPr>
                <w:szCs w:val="24"/>
                <w:lang w:val="lv-LV"/>
              </w:rPr>
            </w:pPr>
            <w:r w:rsidRPr="00B66B1A">
              <w:rPr>
                <w:szCs w:val="24"/>
                <w:lang w:val="lv-LV"/>
              </w:rPr>
              <w:lastRenderedPageBreak/>
              <w:t>2. investīciju prioritāte</w:t>
            </w:r>
            <w:r w:rsidR="00C13BD0" w:rsidRPr="00B66B1A">
              <w:rPr>
                <w:szCs w:val="24"/>
                <w:lang w:val="lv-LV"/>
                <w:specVanish/>
              </w:rPr>
              <w:t xml:space="preserve">: </w:t>
            </w:r>
          </w:p>
          <w:p w:rsidR="006615A6" w:rsidRPr="00B66B1A" w:rsidRDefault="007122D3" w:rsidP="00E302F6">
            <w:pPr>
              <w:spacing w:before="120" w:line="240" w:lineRule="auto"/>
              <w:rPr>
                <w:rFonts w:ascii="Times New Roman" w:hAnsi="Times New Roman"/>
                <w:b/>
                <w:u w:val="single"/>
                <w:lang w:val="lv-LV"/>
              </w:rPr>
            </w:pPr>
            <w:r w:rsidRPr="00B66B1A">
              <w:rPr>
                <w:rFonts w:ascii="Times New Roman" w:hAnsi="Times New Roman"/>
                <w:b/>
                <w:u w:val="single"/>
                <w:lang w:val="lv-LV"/>
              </w:rPr>
              <w:t>sniegt atbalstu trūcīgu kopienu fiziskai, ekonomiskai un sociālai atjaunošanai pilsētās un lauku rajonos</w:t>
            </w:r>
          </w:p>
          <w:p w:rsidR="004544E0" w:rsidRPr="00B66B1A" w:rsidRDefault="0030029A" w:rsidP="00E302F6">
            <w:pPr>
              <w:spacing w:before="120" w:line="240" w:lineRule="auto"/>
              <w:rPr>
                <w:rFonts w:ascii="Times New Roman" w:hAnsi="Times New Roman"/>
                <w:lang w:val="lv-LV"/>
              </w:rPr>
            </w:pPr>
            <w:r>
              <w:rPr>
                <w:rFonts w:ascii="Times New Roman" w:hAnsi="Times New Roman"/>
                <w:lang w:val="lv-LV"/>
              </w:rPr>
              <w:t>Konkrētais</w:t>
            </w:r>
            <w:r w:rsidR="0028002D" w:rsidRPr="00B66B1A">
              <w:rPr>
                <w:rFonts w:ascii="Times New Roman" w:hAnsi="Times New Roman"/>
                <w:lang w:val="lv-LV"/>
              </w:rPr>
              <w:t xml:space="preserve"> </w:t>
            </w:r>
            <w:r w:rsidR="00D20D4B" w:rsidRPr="00B66B1A">
              <w:rPr>
                <w:rFonts w:ascii="Times New Roman" w:hAnsi="Times New Roman"/>
                <w:lang w:val="lv-LV"/>
              </w:rPr>
              <w:t>mērķis</w:t>
            </w:r>
            <w:r w:rsidR="004544E0" w:rsidRPr="00B66B1A">
              <w:rPr>
                <w:rFonts w:ascii="Times New Roman" w:hAnsi="Times New Roman"/>
                <w:lang w:val="lv-LV"/>
              </w:rPr>
              <w:t>:</w:t>
            </w:r>
          </w:p>
          <w:p w:rsidR="004544E0" w:rsidRPr="00B66B1A" w:rsidRDefault="00D20D4B" w:rsidP="00E302F6">
            <w:pPr>
              <w:spacing w:before="120" w:line="240" w:lineRule="auto"/>
              <w:rPr>
                <w:rFonts w:ascii="Times New Roman" w:hAnsi="Times New Roman"/>
                <w:b/>
                <w:u w:val="single"/>
                <w:lang w:val="lv-LV"/>
              </w:rPr>
            </w:pPr>
            <w:r w:rsidRPr="00B66B1A">
              <w:rPr>
                <w:rFonts w:ascii="Times New Roman" w:hAnsi="Times New Roman"/>
                <w:b/>
                <w:u w:val="single"/>
                <w:lang w:val="lv-LV"/>
              </w:rPr>
              <w:t xml:space="preserve">uzlabot dzīves apstākļus </w:t>
            </w:r>
            <w:r w:rsidR="006B53DE" w:rsidRPr="00B66B1A">
              <w:rPr>
                <w:rFonts w:ascii="Times New Roman" w:hAnsi="Times New Roman"/>
                <w:b/>
                <w:u w:val="single"/>
                <w:lang w:val="lv-LV"/>
              </w:rPr>
              <w:t>mazāk a</w:t>
            </w:r>
            <w:r w:rsidRPr="00B66B1A">
              <w:rPr>
                <w:rFonts w:ascii="Times New Roman" w:hAnsi="Times New Roman"/>
                <w:b/>
                <w:u w:val="single"/>
                <w:lang w:val="lv-LV"/>
              </w:rPr>
              <w:t>ttīstītajās kopienās un teritorijās</w:t>
            </w:r>
          </w:p>
        </w:tc>
      </w:tr>
    </w:tbl>
    <w:p w:rsidR="004544E0" w:rsidRPr="00197F9C" w:rsidRDefault="004544E0" w:rsidP="00D66FB7">
      <w:pPr>
        <w:pStyle w:val="Heading2"/>
        <w:rPr>
          <w:lang w:val="lv-LV"/>
        </w:rPr>
      </w:pPr>
    </w:p>
    <w:p w:rsidR="00AB03A7" w:rsidRPr="00B66B1A" w:rsidRDefault="00D20D4B" w:rsidP="00E302F6">
      <w:pPr>
        <w:spacing w:before="120" w:line="240" w:lineRule="auto"/>
        <w:ind w:right="-432"/>
        <w:rPr>
          <w:rFonts w:ascii="Times New Roman" w:hAnsi="Times New Roman"/>
          <w:lang w:val="lv-LV"/>
        </w:rPr>
      </w:pPr>
      <w:r w:rsidRPr="00B66B1A">
        <w:rPr>
          <w:rFonts w:ascii="Times New Roman" w:hAnsi="Times New Roman"/>
          <w:lang w:val="lv-LV"/>
        </w:rPr>
        <w:t xml:space="preserve">Galvenie statistikas dati attiecībā uz ekonomisko attīstību liecina par to, ka lauku un pašvaldību teritorijas </w:t>
      </w:r>
      <w:r w:rsidR="007122D3" w:rsidRPr="00B66B1A">
        <w:rPr>
          <w:rFonts w:ascii="Times New Roman" w:hAnsi="Times New Roman"/>
          <w:lang w:val="lv-LV"/>
        </w:rPr>
        <w:t xml:space="preserve">attīstās lēnāk </w:t>
      </w:r>
      <w:r w:rsidRPr="00B66B1A">
        <w:rPr>
          <w:rFonts w:ascii="Times New Roman" w:hAnsi="Times New Roman"/>
          <w:lang w:val="lv-LV"/>
        </w:rPr>
        <w:t xml:space="preserve">(skat. 1.1. punktu), </w:t>
      </w:r>
      <w:r w:rsidR="007122D3" w:rsidRPr="00B66B1A">
        <w:rPr>
          <w:rFonts w:ascii="Times New Roman" w:hAnsi="Times New Roman"/>
          <w:lang w:val="lv-LV"/>
        </w:rPr>
        <w:t xml:space="preserve">kā arī tajās ir virkne </w:t>
      </w:r>
      <w:r w:rsidRPr="00B66B1A">
        <w:rPr>
          <w:rFonts w:ascii="Times New Roman" w:hAnsi="Times New Roman"/>
          <w:lang w:val="lv-LV"/>
        </w:rPr>
        <w:t>sociālo problēmu, kuras nepieciešams risināt.</w:t>
      </w:r>
    </w:p>
    <w:p w:rsidR="007122D3" w:rsidRPr="00B66B1A" w:rsidRDefault="007122D3" w:rsidP="00E302F6">
      <w:pPr>
        <w:spacing w:before="120" w:line="240" w:lineRule="auto"/>
        <w:ind w:right="-432"/>
        <w:rPr>
          <w:rFonts w:ascii="Times New Roman" w:hAnsi="Times New Roman"/>
          <w:lang w:val="lv-LV"/>
        </w:rPr>
      </w:pPr>
      <w:r w:rsidRPr="00B66B1A">
        <w:rPr>
          <w:rFonts w:ascii="Times New Roman" w:hAnsi="Times New Roman"/>
          <w:lang w:val="lv-LV"/>
        </w:rPr>
        <w:t>V</w:t>
      </w:r>
      <w:r w:rsidR="00D20D4B" w:rsidRPr="00B66B1A">
        <w:rPr>
          <w:rFonts w:ascii="Times New Roman" w:hAnsi="Times New Roman"/>
          <w:lang w:val="lv-LV"/>
        </w:rPr>
        <w:t xml:space="preserve">isefektīvākais veids, kā </w:t>
      </w:r>
      <w:r w:rsidRPr="00B66B1A">
        <w:rPr>
          <w:rFonts w:ascii="Times New Roman" w:hAnsi="Times New Roman"/>
          <w:lang w:val="lv-LV"/>
        </w:rPr>
        <w:t xml:space="preserve">Programma plāno </w:t>
      </w:r>
      <w:r w:rsidR="00D20D4B" w:rsidRPr="00B66B1A">
        <w:rPr>
          <w:rFonts w:ascii="Times New Roman" w:hAnsi="Times New Roman"/>
          <w:lang w:val="lv-LV"/>
        </w:rPr>
        <w:t xml:space="preserve">sekmēt </w:t>
      </w:r>
      <w:r w:rsidR="006B53DE" w:rsidRPr="00B66B1A">
        <w:rPr>
          <w:rFonts w:ascii="Times New Roman" w:hAnsi="Times New Roman"/>
          <w:lang w:val="lv-LV"/>
        </w:rPr>
        <w:t>ma</w:t>
      </w:r>
      <w:r w:rsidRPr="00B66B1A">
        <w:rPr>
          <w:rFonts w:ascii="Times New Roman" w:hAnsi="Times New Roman"/>
          <w:lang w:val="lv-LV"/>
        </w:rPr>
        <w:t xml:space="preserve">zāk attīstīto </w:t>
      </w:r>
      <w:r w:rsidR="00D20D4B" w:rsidRPr="00B66B1A">
        <w:rPr>
          <w:rFonts w:ascii="Times New Roman" w:hAnsi="Times New Roman"/>
          <w:lang w:val="lv-LV"/>
        </w:rPr>
        <w:t xml:space="preserve">kopienu </w:t>
      </w:r>
      <w:r w:rsidRPr="00B66B1A">
        <w:rPr>
          <w:rFonts w:ascii="Times New Roman" w:hAnsi="Times New Roman"/>
          <w:lang w:val="lv-LV"/>
        </w:rPr>
        <w:t>attīstību</w:t>
      </w:r>
      <w:r w:rsidR="00D20D4B" w:rsidRPr="00B66B1A">
        <w:rPr>
          <w:rFonts w:ascii="Times New Roman" w:hAnsi="Times New Roman"/>
          <w:lang w:val="lv-LV"/>
        </w:rPr>
        <w:t xml:space="preserve">, ir maza mēroga sociālās sadarbības projekti, ieskaitot </w:t>
      </w:r>
      <w:r w:rsidRPr="00B66B1A">
        <w:rPr>
          <w:rFonts w:ascii="Times New Roman" w:hAnsi="Times New Roman"/>
          <w:lang w:val="lv-LV"/>
        </w:rPr>
        <w:t xml:space="preserve">mazās </w:t>
      </w:r>
      <w:r w:rsidR="00D20D4B" w:rsidRPr="00B66B1A">
        <w:rPr>
          <w:rFonts w:ascii="Times New Roman" w:hAnsi="Times New Roman"/>
          <w:lang w:val="lv-LV"/>
        </w:rPr>
        <w:t>infrastruktūr</w:t>
      </w:r>
      <w:r w:rsidRPr="00B66B1A">
        <w:rPr>
          <w:rFonts w:ascii="Times New Roman" w:hAnsi="Times New Roman"/>
          <w:lang w:val="lv-LV"/>
        </w:rPr>
        <w:t>as izveidi</w:t>
      </w:r>
      <w:r w:rsidR="00D20D4B" w:rsidRPr="00B66B1A">
        <w:rPr>
          <w:rFonts w:ascii="Times New Roman" w:hAnsi="Times New Roman"/>
          <w:lang w:val="lv-LV"/>
        </w:rPr>
        <w:t>.</w:t>
      </w:r>
    </w:p>
    <w:p w:rsidR="007A5272" w:rsidRPr="00B66B1A" w:rsidRDefault="00D20D4B" w:rsidP="00E302F6">
      <w:pPr>
        <w:spacing w:before="120" w:line="240" w:lineRule="auto"/>
        <w:ind w:right="-432"/>
        <w:rPr>
          <w:rFonts w:ascii="Times New Roman" w:hAnsi="Times New Roman"/>
          <w:lang w:val="lv-LV"/>
        </w:rPr>
      </w:pPr>
      <w:r w:rsidRPr="00B66B1A">
        <w:rPr>
          <w:rFonts w:ascii="Times New Roman" w:hAnsi="Times New Roman"/>
          <w:lang w:val="lv-LV"/>
        </w:rPr>
        <w:t xml:space="preserve">Sociālā un materiālā </w:t>
      </w:r>
      <w:r w:rsidR="007122D3" w:rsidRPr="00B66B1A">
        <w:rPr>
          <w:rFonts w:ascii="Times New Roman" w:hAnsi="Times New Roman"/>
          <w:lang w:val="lv-LV"/>
        </w:rPr>
        <w:t xml:space="preserve">nenodrošinātība ir identificējama, izmantojot dažādus rādītājus, tai skaitā </w:t>
      </w:r>
      <w:r w:rsidR="0011312F" w:rsidRPr="00B66B1A">
        <w:rPr>
          <w:rFonts w:ascii="Times New Roman" w:hAnsi="Times New Roman"/>
          <w:lang w:val="lv-LV"/>
        </w:rPr>
        <w:t>dzīvesvietas un dzīves apstākļus</w:t>
      </w:r>
      <w:r w:rsidR="00B0403B" w:rsidRPr="00B66B1A">
        <w:rPr>
          <w:rFonts w:ascii="Times New Roman" w:hAnsi="Times New Roman"/>
          <w:lang w:val="lv-LV"/>
        </w:rPr>
        <w:t xml:space="preserve">, </w:t>
      </w:r>
      <w:r w:rsidR="007122D3" w:rsidRPr="00B66B1A">
        <w:rPr>
          <w:rFonts w:ascii="Times New Roman" w:hAnsi="Times New Roman"/>
          <w:lang w:val="lv-LV"/>
        </w:rPr>
        <w:t xml:space="preserve">piemēram, </w:t>
      </w:r>
      <w:r w:rsidR="0011312F" w:rsidRPr="00B66B1A">
        <w:rPr>
          <w:rFonts w:ascii="Times New Roman" w:hAnsi="Times New Roman"/>
          <w:lang w:val="lv-LV"/>
        </w:rPr>
        <w:t>mājsaimniecīb</w:t>
      </w:r>
      <w:r w:rsidR="007122D3" w:rsidRPr="00B66B1A">
        <w:rPr>
          <w:rFonts w:ascii="Times New Roman" w:hAnsi="Times New Roman"/>
          <w:lang w:val="lv-LV"/>
        </w:rPr>
        <w:t>u</w:t>
      </w:r>
      <w:r w:rsidR="0011312F" w:rsidRPr="00B66B1A">
        <w:rPr>
          <w:rFonts w:ascii="Times New Roman" w:hAnsi="Times New Roman"/>
          <w:lang w:val="lv-LV"/>
        </w:rPr>
        <w:t xml:space="preserve"> </w:t>
      </w:r>
      <w:r w:rsidR="000D340E" w:rsidRPr="000D340E">
        <w:rPr>
          <w:rFonts w:ascii="Times New Roman" w:hAnsi="Times New Roman"/>
          <w:lang w:val="lv-LV"/>
        </w:rPr>
        <w:t>, kas norādījušas uz apkārtējās vides piesārņojumu, putekļiem un/vai citām vides problēm</w:t>
      </w:r>
      <w:r w:rsidR="000D340E">
        <w:rPr>
          <w:rFonts w:ascii="Times New Roman" w:hAnsi="Times New Roman"/>
          <w:lang w:val="lv-LV"/>
        </w:rPr>
        <w:t>ām</w:t>
      </w:r>
      <w:r w:rsidR="000D340E" w:rsidRPr="000D340E">
        <w:rPr>
          <w:rFonts w:ascii="Times New Roman" w:hAnsi="Times New Roman"/>
          <w:lang w:val="lv-LV"/>
        </w:rPr>
        <w:t xml:space="preserve"> dzīvesvietas tuvumā</w:t>
      </w:r>
      <w:r w:rsidR="000D340E">
        <w:rPr>
          <w:rFonts w:ascii="Times New Roman" w:hAnsi="Times New Roman"/>
          <w:lang w:val="lv-LV"/>
        </w:rPr>
        <w:t xml:space="preserve"> </w:t>
      </w:r>
      <w:r w:rsidR="007122D3" w:rsidRPr="00B66B1A">
        <w:rPr>
          <w:rFonts w:ascii="Times New Roman" w:hAnsi="Times New Roman"/>
          <w:lang w:val="lv-LV"/>
        </w:rPr>
        <w:t xml:space="preserve">, </w:t>
      </w:r>
      <w:r w:rsidR="000D340E" w:rsidRPr="000D340E">
        <w:rPr>
          <w:rFonts w:ascii="Times New Roman" w:hAnsi="Times New Roman"/>
          <w:lang w:val="lv-LV"/>
        </w:rPr>
        <w:t>īpatsvar</w:t>
      </w:r>
      <w:r w:rsidR="000D340E">
        <w:rPr>
          <w:rFonts w:ascii="Times New Roman" w:hAnsi="Times New Roman"/>
          <w:lang w:val="lv-LV"/>
        </w:rPr>
        <w:t>a</w:t>
      </w:r>
      <w:r w:rsidR="000D340E" w:rsidRPr="00B66B1A" w:rsidDel="000D340E">
        <w:rPr>
          <w:rFonts w:ascii="Times New Roman" w:hAnsi="Times New Roman"/>
          <w:lang w:val="lv-LV"/>
        </w:rPr>
        <w:t xml:space="preserve"> </w:t>
      </w:r>
      <w:r w:rsidR="007122D3" w:rsidRPr="00B66B1A">
        <w:rPr>
          <w:rFonts w:ascii="Times New Roman" w:hAnsi="Times New Roman"/>
          <w:lang w:val="lv-LV"/>
        </w:rPr>
        <w:t>pieaugums</w:t>
      </w:r>
      <w:r w:rsidR="0011312F" w:rsidRPr="00B66B1A">
        <w:rPr>
          <w:rFonts w:ascii="Times New Roman" w:hAnsi="Times New Roman"/>
          <w:lang w:val="lv-LV"/>
        </w:rPr>
        <w:t xml:space="preserve"> (skat. analīzi 1.3. punktā). Ņemot vērā, ka Programmas ietvaros </w:t>
      </w:r>
      <w:r w:rsidR="00EE349E" w:rsidRPr="00B66B1A">
        <w:rPr>
          <w:rFonts w:ascii="Times New Roman" w:hAnsi="Times New Roman"/>
          <w:lang w:val="lv-LV"/>
        </w:rPr>
        <w:t xml:space="preserve">tiek </w:t>
      </w:r>
      <w:r w:rsidR="0011312F" w:rsidRPr="00B66B1A">
        <w:rPr>
          <w:rFonts w:ascii="Times New Roman" w:hAnsi="Times New Roman"/>
          <w:lang w:val="lv-LV"/>
        </w:rPr>
        <w:t>plānots finansēt arī neliela mēroga infrastruktūras projektu</w:t>
      </w:r>
      <w:r w:rsidR="007122D3" w:rsidRPr="00B66B1A">
        <w:rPr>
          <w:rFonts w:ascii="Times New Roman" w:hAnsi="Times New Roman"/>
          <w:lang w:val="lv-LV"/>
        </w:rPr>
        <w:t>s, lai mazinātu sociālās un materiālās nenodrošinātības ietekmi,</w:t>
      </w:r>
      <w:r w:rsidR="0011312F" w:rsidRPr="00B66B1A">
        <w:rPr>
          <w:rFonts w:ascii="Times New Roman" w:hAnsi="Times New Roman"/>
          <w:lang w:val="lv-LV"/>
        </w:rPr>
        <w:t xml:space="preserve"> </w:t>
      </w:r>
      <w:r w:rsidR="00EE349E" w:rsidRPr="00B66B1A">
        <w:rPr>
          <w:rFonts w:ascii="Times New Roman" w:hAnsi="Times New Roman"/>
          <w:lang w:val="lv-LV"/>
        </w:rPr>
        <w:t>tiek sagaidīts</w:t>
      </w:r>
      <w:r w:rsidR="007122D3" w:rsidRPr="00B66B1A">
        <w:rPr>
          <w:rFonts w:ascii="Times New Roman" w:hAnsi="Times New Roman"/>
          <w:lang w:val="lv-LV"/>
        </w:rPr>
        <w:t>, ka projekt</w:t>
      </w:r>
      <w:r w:rsidR="003F49DE" w:rsidRPr="00B66B1A">
        <w:rPr>
          <w:rFonts w:ascii="Times New Roman" w:hAnsi="Times New Roman"/>
          <w:lang w:val="lv-LV"/>
        </w:rPr>
        <w:t>u ietvaros tiks</w:t>
      </w:r>
      <w:r w:rsidR="007122D3" w:rsidRPr="00B66B1A">
        <w:rPr>
          <w:rFonts w:ascii="Times New Roman" w:hAnsi="Times New Roman"/>
          <w:lang w:val="lv-LV"/>
        </w:rPr>
        <w:t xml:space="preserve"> samazinā</w:t>
      </w:r>
      <w:r w:rsidR="003F49DE" w:rsidRPr="00B66B1A">
        <w:rPr>
          <w:rFonts w:ascii="Times New Roman" w:hAnsi="Times New Roman"/>
          <w:lang w:val="lv-LV"/>
        </w:rPr>
        <w:t>t</w:t>
      </w:r>
      <w:r w:rsidR="00F679F9" w:rsidRPr="00B66B1A">
        <w:rPr>
          <w:rFonts w:ascii="Times New Roman" w:hAnsi="Times New Roman"/>
          <w:lang w:val="lv-LV"/>
        </w:rPr>
        <w:t>as</w:t>
      </w:r>
      <w:r w:rsidR="007122D3" w:rsidRPr="00B66B1A">
        <w:rPr>
          <w:rFonts w:ascii="Times New Roman" w:hAnsi="Times New Roman"/>
          <w:lang w:val="lv-LV"/>
        </w:rPr>
        <w:t xml:space="preserve"> </w:t>
      </w:r>
      <w:r w:rsidR="0011312F" w:rsidRPr="00B66B1A">
        <w:rPr>
          <w:rFonts w:ascii="Times New Roman" w:hAnsi="Times New Roman"/>
          <w:lang w:val="lv-LV"/>
        </w:rPr>
        <w:t>pašvaldīb</w:t>
      </w:r>
      <w:r w:rsidR="00F679F9" w:rsidRPr="00B66B1A">
        <w:rPr>
          <w:rFonts w:ascii="Times New Roman" w:hAnsi="Times New Roman"/>
          <w:lang w:val="lv-LV"/>
        </w:rPr>
        <w:t>u</w:t>
      </w:r>
      <w:r w:rsidR="0011312F" w:rsidRPr="00B66B1A">
        <w:rPr>
          <w:rFonts w:ascii="Times New Roman" w:hAnsi="Times New Roman"/>
          <w:lang w:val="lv-LV"/>
        </w:rPr>
        <w:t xml:space="preserve"> vides problēmas (</w:t>
      </w:r>
      <w:r w:rsidR="007122D3" w:rsidRPr="00B66B1A">
        <w:rPr>
          <w:rFonts w:ascii="Times New Roman" w:hAnsi="Times New Roman"/>
          <w:lang w:val="lv-LV"/>
        </w:rPr>
        <w:t>kas attiecīgi</w:t>
      </w:r>
      <w:r w:rsidR="006B53DE" w:rsidRPr="00B66B1A">
        <w:rPr>
          <w:rFonts w:ascii="Times New Roman" w:hAnsi="Times New Roman"/>
          <w:lang w:val="lv-LV"/>
        </w:rPr>
        <w:t xml:space="preserve"> pozitīvi</w:t>
      </w:r>
      <w:r w:rsidR="007122D3" w:rsidRPr="00B66B1A">
        <w:rPr>
          <w:rFonts w:ascii="Times New Roman" w:hAnsi="Times New Roman"/>
          <w:lang w:val="lv-LV"/>
        </w:rPr>
        <w:t xml:space="preserve"> ietekmētu arī tās mājsaimniecības, kas saskar</w:t>
      </w:r>
      <w:r w:rsidR="00F679F9" w:rsidRPr="00B66B1A">
        <w:rPr>
          <w:rFonts w:ascii="Times New Roman" w:hAnsi="Times New Roman"/>
          <w:lang w:val="lv-LV"/>
        </w:rPr>
        <w:t>a</w:t>
      </w:r>
      <w:r w:rsidR="007122D3" w:rsidRPr="00B66B1A">
        <w:rPr>
          <w:rFonts w:ascii="Times New Roman" w:hAnsi="Times New Roman"/>
          <w:lang w:val="lv-LV"/>
        </w:rPr>
        <w:t xml:space="preserve">s ar šādām vides </w:t>
      </w:r>
      <w:r w:rsidR="006B53DE" w:rsidRPr="00B66B1A">
        <w:rPr>
          <w:rFonts w:ascii="Times New Roman" w:hAnsi="Times New Roman"/>
          <w:lang w:val="lv-LV"/>
        </w:rPr>
        <w:t>p</w:t>
      </w:r>
      <w:r w:rsidR="007122D3" w:rsidRPr="00B66B1A">
        <w:rPr>
          <w:rFonts w:ascii="Times New Roman" w:hAnsi="Times New Roman"/>
          <w:lang w:val="lv-LV"/>
        </w:rPr>
        <w:t>roblēmām)</w:t>
      </w:r>
      <w:r w:rsidR="0011312F" w:rsidRPr="00B66B1A">
        <w:rPr>
          <w:rFonts w:ascii="Times New Roman" w:hAnsi="Times New Roman"/>
          <w:lang w:val="lv-LV"/>
        </w:rPr>
        <w:t xml:space="preserve">. </w:t>
      </w:r>
      <w:r w:rsidR="007122D3" w:rsidRPr="00B66B1A">
        <w:rPr>
          <w:rFonts w:ascii="Times New Roman" w:hAnsi="Times New Roman"/>
          <w:lang w:val="lv-LV"/>
        </w:rPr>
        <w:t xml:space="preserve">Tāpat </w:t>
      </w:r>
      <w:r w:rsidR="0011312F" w:rsidRPr="00B66B1A">
        <w:rPr>
          <w:rFonts w:ascii="Times New Roman" w:hAnsi="Times New Roman"/>
          <w:lang w:val="lv-LV"/>
        </w:rPr>
        <w:t xml:space="preserve">Programmas mērķis ir turpināt atbalstīt ar sociālo </w:t>
      </w:r>
      <w:r w:rsidR="002E417D">
        <w:rPr>
          <w:rFonts w:ascii="Times New Roman" w:hAnsi="Times New Roman"/>
          <w:lang w:val="lv-LV"/>
        </w:rPr>
        <w:t>iekļaušanu</w:t>
      </w:r>
      <w:r w:rsidR="002E417D" w:rsidRPr="00B66B1A">
        <w:rPr>
          <w:rFonts w:ascii="Times New Roman" w:hAnsi="Times New Roman"/>
          <w:lang w:val="lv-LV"/>
        </w:rPr>
        <w:t xml:space="preserve"> </w:t>
      </w:r>
      <w:r w:rsidR="0011312F" w:rsidRPr="00B66B1A">
        <w:rPr>
          <w:rFonts w:ascii="Times New Roman" w:hAnsi="Times New Roman"/>
          <w:lang w:val="lv-LV"/>
        </w:rPr>
        <w:t>saistītos pasākumus, lai uzlabotu dzīves apstākļus pašvaldībās, vienlaicīgi sekmējot sociālās mazattīstības samazināšanos.</w:t>
      </w:r>
    </w:p>
    <w:p w:rsidR="00901C19" w:rsidRPr="00B66B1A" w:rsidRDefault="00F679F9" w:rsidP="00E302F6">
      <w:pPr>
        <w:spacing w:before="120" w:line="240" w:lineRule="auto"/>
        <w:ind w:right="-432"/>
        <w:rPr>
          <w:rFonts w:ascii="Times New Roman" w:hAnsi="Times New Roman"/>
          <w:lang w:val="lv-LV" w:eastAsia="fr-BE"/>
        </w:rPr>
      </w:pPr>
      <w:r w:rsidRPr="00B66B1A">
        <w:rPr>
          <w:rFonts w:ascii="Times New Roman" w:hAnsi="Times New Roman"/>
          <w:lang w:val="lv-LV" w:eastAsia="fr-BE"/>
        </w:rPr>
        <w:t>Paredzams, ka š</w:t>
      </w:r>
      <w:r w:rsidR="0011312F" w:rsidRPr="00B66B1A">
        <w:rPr>
          <w:rFonts w:ascii="Times New Roman" w:hAnsi="Times New Roman"/>
          <w:lang w:val="lv-LV" w:eastAsia="fr-BE"/>
        </w:rPr>
        <w:t xml:space="preserve">īs investīciju prioritātes ietvaros atbalstāmās darbības </w:t>
      </w:r>
      <w:r w:rsidR="007122D3" w:rsidRPr="00B66B1A">
        <w:rPr>
          <w:rFonts w:ascii="Times New Roman" w:hAnsi="Times New Roman"/>
          <w:lang w:val="lv-LV" w:eastAsia="fr-BE"/>
        </w:rPr>
        <w:t>veicinās sociālo sadarbību</w:t>
      </w:r>
      <w:r w:rsidR="0011312F" w:rsidRPr="00B66B1A">
        <w:rPr>
          <w:rFonts w:ascii="Times New Roman" w:hAnsi="Times New Roman"/>
          <w:lang w:val="lv-LV" w:eastAsia="fr-BE"/>
        </w:rPr>
        <w:t xml:space="preserve">, īstenojot iedzīvotāju savstarpējas sadarbības </w:t>
      </w:r>
      <w:r w:rsidR="0011312F" w:rsidRPr="00B66B1A">
        <w:rPr>
          <w:rFonts w:ascii="Times New Roman" w:hAnsi="Times New Roman"/>
          <w:i/>
          <w:lang w:val="lv-LV" w:eastAsia="fr-BE"/>
        </w:rPr>
        <w:t>(„people to people”</w:t>
      </w:r>
      <w:r w:rsidR="0011312F" w:rsidRPr="00B66B1A">
        <w:rPr>
          <w:rFonts w:ascii="Times New Roman" w:hAnsi="Times New Roman"/>
          <w:lang w:val="lv-LV" w:eastAsia="fr-BE"/>
        </w:rPr>
        <w:t xml:space="preserve">) projektus. Galvenā uzmanība tiek vērsta uz praktisku vietējā līmeņa problēmu risināšanu dažādu sociālo tēmu ietvaros. </w:t>
      </w:r>
    </w:p>
    <w:p w:rsidR="004544E0" w:rsidRPr="00B66B1A" w:rsidRDefault="0011312F" w:rsidP="00E302F6">
      <w:pPr>
        <w:spacing w:before="120" w:line="240" w:lineRule="auto"/>
        <w:ind w:right="-432"/>
        <w:rPr>
          <w:rFonts w:ascii="Times New Roman" w:hAnsi="Times New Roman"/>
          <w:lang w:val="lv-LV"/>
        </w:rPr>
      </w:pPr>
      <w:r w:rsidRPr="00B66B1A">
        <w:rPr>
          <w:rFonts w:ascii="Times New Roman" w:hAnsi="Times New Roman"/>
          <w:lang w:val="lv-LV"/>
        </w:rPr>
        <w:t xml:space="preserve">Programmas ietvaros sagaidāms, ka, atbalstot pilsētu un lauku kopienu atjaunošanu, tiks </w:t>
      </w:r>
      <w:r w:rsidR="007122D3" w:rsidRPr="00B66B1A">
        <w:rPr>
          <w:rFonts w:ascii="Times New Roman" w:hAnsi="Times New Roman"/>
          <w:lang w:val="lv-LV"/>
        </w:rPr>
        <w:t>samazināta sociālā un materiāla nenodrošinātība (saistībā ar iesaistīšanos sabiedriskajā dzīvē)</w:t>
      </w:r>
      <w:r w:rsidRPr="00B66B1A">
        <w:rPr>
          <w:rFonts w:ascii="Times New Roman" w:hAnsi="Times New Roman"/>
          <w:lang w:val="lv-LV"/>
        </w:rPr>
        <w:t>.</w:t>
      </w:r>
    </w:p>
    <w:p w:rsidR="00B66B1A" w:rsidRPr="00B66B1A" w:rsidRDefault="0011312F" w:rsidP="00E302F6">
      <w:pPr>
        <w:spacing w:before="120" w:line="240" w:lineRule="auto"/>
        <w:ind w:right="-432"/>
        <w:rPr>
          <w:rFonts w:ascii="Times New Roman" w:hAnsi="Times New Roman"/>
          <w:lang w:val="lv-LV"/>
        </w:rPr>
      </w:pPr>
      <w:r w:rsidRPr="00B66B1A">
        <w:rPr>
          <w:rFonts w:ascii="Times New Roman" w:hAnsi="Times New Roman"/>
          <w:b/>
          <w:u w:val="single"/>
          <w:lang w:val="lv-LV"/>
        </w:rPr>
        <w:t>Sagaidāmais rezultāts</w:t>
      </w:r>
      <w:r w:rsidR="004544E0" w:rsidRPr="00B66B1A">
        <w:rPr>
          <w:rFonts w:ascii="Times New Roman" w:hAnsi="Times New Roman"/>
          <w:b/>
          <w:u w:val="single"/>
          <w:lang w:val="lv-LV"/>
        </w:rPr>
        <w:t>:</w:t>
      </w:r>
      <w:r w:rsidRPr="00B66B1A">
        <w:rPr>
          <w:rFonts w:ascii="Times New Roman" w:hAnsi="Times New Roman"/>
          <w:b/>
          <w:lang w:val="lv-LV"/>
        </w:rPr>
        <w:t xml:space="preserve"> </w:t>
      </w:r>
      <w:r w:rsidRPr="00B66B1A">
        <w:rPr>
          <w:rFonts w:ascii="Times New Roman" w:hAnsi="Times New Roman"/>
          <w:lang w:val="lv-LV"/>
        </w:rPr>
        <w:t>mazāks personu skaits, kas saskaras ar</w:t>
      </w:r>
      <w:r w:rsidR="007122D3" w:rsidRPr="00B66B1A">
        <w:rPr>
          <w:rFonts w:ascii="Times New Roman" w:hAnsi="Times New Roman"/>
          <w:lang w:val="lv-LV"/>
        </w:rPr>
        <w:t xml:space="preserve"> </w:t>
      </w:r>
      <w:r w:rsidR="006B53DE" w:rsidRPr="00B66B1A">
        <w:rPr>
          <w:rFonts w:ascii="Times New Roman" w:hAnsi="Times New Roman"/>
          <w:lang w:val="lv-LV"/>
        </w:rPr>
        <w:t xml:space="preserve">sociālās un materiālās nenodrošinātības </w:t>
      </w:r>
      <w:r w:rsidRPr="00B66B1A">
        <w:rPr>
          <w:rFonts w:ascii="Times New Roman" w:hAnsi="Times New Roman"/>
          <w:lang w:val="lv-LV"/>
        </w:rPr>
        <w:t>problēmām.</w:t>
      </w:r>
      <w:r w:rsidR="00CE47FA" w:rsidRPr="00B66B1A">
        <w:rPr>
          <w:rFonts w:ascii="Times New Roman" w:hAnsi="Times New Roman"/>
          <w:lang w:val="lv-LV"/>
        </w:rPr>
        <w:t xml:space="preserve"> </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78"/>
        <w:gridCol w:w="1416"/>
        <w:gridCol w:w="1135"/>
        <w:gridCol w:w="48"/>
        <w:gridCol w:w="925"/>
        <w:gridCol w:w="1397"/>
        <w:gridCol w:w="1102"/>
        <w:gridCol w:w="1063"/>
      </w:tblGrid>
      <w:tr w:rsidR="005F5E9D" w:rsidRPr="00B66B1A" w:rsidTr="0095484C">
        <w:trPr>
          <w:trHeight w:val="870"/>
        </w:trPr>
        <w:tc>
          <w:tcPr>
            <w:tcW w:w="445" w:type="pct"/>
            <w:tcBorders>
              <w:top w:val="single" w:sz="4" w:space="0" w:color="auto"/>
              <w:left w:val="single" w:sz="4" w:space="0" w:color="auto"/>
              <w:bottom w:val="single" w:sz="4" w:space="0" w:color="auto"/>
              <w:right w:val="single" w:sz="4" w:space="0" w:color="auto"/>
            </w:tcBorders>
          </w:tcPr>
          <w:p w:rsidR="004544E0" w:rsidRPr="00B66B1A" w:rsidRDefault="004544E0"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ID</w:t>
            </w:r>
          </w:p>
        </w:tc>
        <w:tc>
          <w:tcPr>
            <w:tcW w:w="696" w:type="pct"/>
            <w:tcBorders>
              <w:top w:val="single" w:sz="4" w:space="0" w:color="auto"/>
              <w:left w:val="single" w:sz="4" w:space="0" w:color="auto"/>
              <w:bottom w:val="single" w:sz="4" w:space="0" w:color="auto"/>
              <w:right w:val="single" w:sz="4" w:space="0" w:color="auto"/>
            </w:tcBorders>
            <w:hideMark/>
          </w:tcPr>
          <w:p w:rsidR="004544E0" w:rsidRPr="00B66B1A" w:rsidRDefault="00167672"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R</w:t>
            </w:r>
            <w:r w:rsidR="003E04B7">
              <w:rPr>
                <w:rFonts w:ascii="Times New Roman" w:hAnsi="Times New Roman"/>
                <w:b/>
                <w:sz w:val="18"/>
                <w:szCs w:val="18"/>
                <w:lang w:val="lv-LV"/>
              </w:rPr>
              <w:t>ezultatīvais r</w:t>
            </w:r>
            <w:r w:rsidRPr="00B66B1A">
              <w:rPr>
                <w:rFonts w:ascii="Times New Roman" w:hAnsi="Times New Roman"/>
                <w:b/>
                <w:sz w:val="18"/>
                <w:szCs w:val="18"/>
                <w:lang w:val="lv-LV"/>
              </w:rPr>
              <w:t>ādītājs</w:t>
            </w:r>
            <w:r w:rsidR="004544E0" w:rsidRPr="00B66B1A">
              <w:rPr>
                <w:rFonts w:ascii="Times New Roman" w:hAnsi="Times New Roman"/>
                <w:b/>
                <w:sz w:val="18"/>
                <w:szCs w:val="18"/>
                <w:lang w:val="lv-LV"/>
              </w:rPr>
              <w:t xml:space="preserve"> </w:t>
            </w:r>
          </w:p>
        </w:tc>
        <w:tc>
          <w:tcPr>
            <w:tcW w:w="771" w:type="pct"/>
            <w:tcBorders>
              <w:top w:val="single" w:sz="4" w:space="0" w:color="auto"/>
              <w:left w:val="single" w:sz="4" w:space="0" w:color="auto"/>
              <w:bottom w:val="single" w:sz="4" w:space="0" w:color="auto"/>
              <w:right w:val="single" w:sz="4" w:space="0" w:color="auto"/>
            </w:tcBorders>
            <w:hideMark/>
          </w:tcPr>
          <w:p w:rsidR="004544E0" w:rsidRPr="00B66B1A" w:rsidRDefault="00167672" w:rsidP="00E302F6">
            <w:pPr>
              <w:snapToGrid w:val="0"/>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Mērvienība</w:t>
            </w:r>
          </w:p>
        </w:tc>
        <w:tc>
          <w:tcPr>
            <w:tcW w:w="644" w:type="pct"/>
            <w:gridSpan w:val="2"/>
            <w:tcBorders>
              <w:top w:val="single" w:sz="4" w:space="0" w:color="auto"/>
              <w:left w:val="single" w:sz="4" w:space="0" w:color="auto"/>
              <w:bottom w:val="single" w:sz="4" w:space="0" w:color="auto"/>
              <w:right w:val="single" w:sz="4" w:space="0" w:color="auto"/>
            </w:tcBorders>
            <w:hideMark/>
          </w:tcPr>
          <w:p w:rsidR="004544E0" w:rsidRPr="00B66B1A" w:rsidRDefault="003E04B7" w:rsidP="00E302F6">
            <w:pPr>
              <w:pStyle w:val="ListBullet"/>
              <w:numPr>
                <w:ilvl w:val="0"/>
                <w:numId w:val="0"/>
              </w:numPr>
              <w:tabs>
                <w:tab w:val="left" w:pos="720"/>
              </w:tabs>
              <w:spacing w:before="120" w:line="240" w:lineRule="auto"/>
              <w:rPr>
                <w:rFonts w:ascii="Times New Roman" w:hAnsi="Times New Roman"/>
                <w:b/>
                <w:sz w:val="18"/>
                <w:szCs w:val="18"/>
                <w:lang w:val="lv-LV"/>
              </w:rPr>
            </w:pPr>
            <w:r>
              <w:rPr>
                <w:rFonts w:ascii="Times New Roman" w:hAnsi="Times New Roman"/>
                <w:b/>
                <w:sz w:val="18"/>
                <w:szCs w:val="18"/>
                <w:lang w:val="lv-LV"/>
              </w:rPr>
              <w:t>Atsauces</w:t>
            </w:r>
            <w:r w:rsidRPr="00B66B1A">
              <w:rPr>
                <w:rFonts w:ascii="Times New Roman" w:hAnsi="Times New Roman"/>
                <w:b/>
                <w:sz w:val="18"/>
                <w:szCs w:val="18"/>
                <w:lang w:val="lv-LV"/>
              </w:rPr>
              <w:t xml:space="preserve"> </w:t>
            </w:r>
            <w:r w:rsidR="00167672" w:rsidRPr="00B66B1A">
              <w:rPr>
                <w:rFonts w:ascii="Times New Roman" w:hAnsi="Times New Roman"/>
                <w:b/>
                <w:sz w:val="18"/>
                <w:szCs w:val="18"/>
                <w:lang w:val="lv-LV"/>
              </w:rPr>
              <w:t>vērtība</w:t>
            </w:r>
            <w:r w:rsidR="004544E0" w:rsidRPr="00B66B1A">
              <w:rPr>
                <w:rFonts w:ascii="Times New Roman" w:hAnsi="Times New Roman"/>
                <w:b/>
                <w:sz w:val="18"/>
                <w:szCs w:val="18"/>
                <w:lang w:val="lv-LV"/>
              </w:rPr>
              <w:t xml:space="preserve"> </w:t>
            </w:r>
          </w:p>
        </w:tc>
        <w:tc>
          <w:tcPr>
            <w:tcW w:w="504" w:type="pct"/>
            <w:tcBorders>
              <w:top w:val="single" w:sz="4" w:space="0" w:color="auto"/>
              <w:left w:val="single" w:sz="4" w:space="0" w:color="auto"/>
              <w:bottom w:val="single" w:sz="4" w:space="0" w:color="auto"/>
              <w:right w:val="single" w:sz="4" w:space="0" w:color="auto"/>
            </w:tcBorders>
            <w:hideMark/>
          </w:tcPr>
          <w:p w:rsidR="004544E0" w:rsidRPr="00B66B1A" w:rsidRDefault="003E04B7" w:rsidP="00E302F6">
            <w:pPr>
              <w:snapToGrid w:val="0"/>
              <w:spacing w:before="120" w:line="240" w:lineRule="auto"/>
              <w:rPr>
                <w:rFonts w:ascii="Times New Roman" w:hAnsi="Times New Roman"/>
                <w:b/>
                <w:sz w:val="18"/>
                <w:szCs w:val="18"/>
                <w:lang w:val="lv-LV"/>
              </w:rPr>
            </w:pPr>
            <w:r>
              <w:rPr>
                <w:rFonts w:ascii="Times New Roman" w:hAnsi="Times New Roman"/>
                <w:b/>
                <w:sz w:val="18"/>
                <w:szCs w:val="18"/>
                <w:lang w:val="lv-LV"/>
              </w:rPr>
              <w:t>Atsauces</w:t>
            </w:r>
            <w:r w:rsidRPr="00B66B1A">
              <w:rPr>
                <w:rFonts w:ascii="Times New Roman" w:hAnsi="Times New Roman"/>
                <w:b/>
                <w:sz w:val="18"/>
                <w:szCs w:val="18"/>
                <w:lang w:val="lv-LV"/>
              </w:rPr>
              <w:t xml:space="preserve"> </w:t>
            </w:r>
            <w:r w:rsidR="00167672" w:rsidRPr="00B66B1A">
              <w:rPr>
                <w:rFonts w:ascii="Times New Roman" w:hAnsi="Times New Roman"/>
                <w:b/>
                <w:sz w:val="18"/>
                <w:szCs w:val="18"/>
                <w:lang w:val="lv-LV"/>
              </w:rPr>
              <w:t>gads</w:t>
            </w:r>
          </w:p>
        </w:tc>
        <w:tc>
          <w:tcPr>
            <w:tcW w:w="761" w:type="pct"/>
            <w:tcBorders>
              <w:top w:val="single" w:sz="4" w:space="0" w:color="auto"/>
              <w:left w:val="single" w:sz="4" w:space="0" w:color="auto"/>
              <w:bottom w:val="single" w:sz="4" w:space="0" w:color="auto"/>
              <w:right w:val="single" w:sz="4" w:space="0" w:color="auto"/>
            </w:tcBorders>
            <w:hideMark/>
          </w:tcPr>
          <w:p w:rsidR="004544E0" w:rsidRPr="00B66B1A" w:rsidRDefault="00167672"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Mērķvērtība</w:t>
            </w:r>
            <w:r w:rsidR="004544E0" w:rsidRPr="00B66B1A">
              <w:rPr>
                <w:rFonts w:ascii="Times New Roman" w:hAnsi="Times New Roman"/>
                <w:b/>
                <w:sz w:val="18"/>
                <w:szCs w:val="18"/>
                <w:lang w:val="lv-LV"/>
              </w:rPr>
              <w:t xml:space="preserve">  (2023) </w:t>
            </w:r>
          </w:p>
        </w:tc>
        <w:tc>
          <w:tcPr>
            <w:tcW w:w="600" w:type="pct"/>
            <w:tcBorders>
              <w:top w:val="single" w:sz="4" w:space="0" w:color="auto"/>
              <w:left w:val="single" w:sz="4" w:space="0" w:color="auto"/>
              <w:bottom w:val="single" w:sz="4" w:space="0" w:color="auto"/>
              <w:right w:val="single" w:sz="4" w:space="0" w:color="auto"/>
            </w:tcBorders>
            <w:hideMark/>
          </w:tcPr>
          <w:p w:rsidR="004544E0" w:rsidRPr="00B66B1A" w:rsidRDefault="00167672"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66B1A">
              <w:rPr>
                <w:rFonts w:ascii="Times New Roman" w:hAnsi="Times New Roman"/>
                <w:b/>
                <w:sz w:val="18"/>
                <w:szCs w:val="18"/>
                <w:lang w:val="lv-LV"/>
              </w:rPr>
              <w:t>Datu avots</w:t>
            </w:r>
          </w:p>
        </w:tc>
        <w:tc>
          <w:tcPr>
            <w:tcW w:w="580" w:type="pct"/>
            <w:tcBorders>
              <w:top w:val="single" w:sz="4" w:space="0" w:color="auto"/>
              <w:left w:val="single" w:sz="4" w:space="0" w:color="auto"/>
              <w:bottom w:val="single" w:sz="4" w:space="0" w:color="auto"/>
              <w:right w:val="single" w:sz="4" w:space="0" w:color="auto"/>
            </w:tcBorders>
          </w:tcPr>
          <w:p w:rsidR="00855192" w:rsidRPr="00B81180" w:rsidRDefault="00855192"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Ziņojuma</w:t>
            </w:r>
          </w:p>
          <w:p w:rsidR="00855192" w:rsidRPr="00B81180" w:rsidRDefault="00855192"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iesniegšanas</w:t>
            </w:r>
          </w:p>
          <w:p w:rsidR="004544E0" w:rsidRPr="00B66B1A" w:rsidRDefault="00855192"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FC1594">
              <w:rPr>
                <w:rFonts w:ascii="Times New Roman" w:hAnsi="Times New Roman"/>
                <w:sz w:val="20"/>
                <w:szCs w:val="20"/>
                <w:lang w:val="lv-LV" w:bidi="en-US"/>
              </w:rPr>
              <w:t>biežums</w:t>
            </w:r>
          </w:p>
        </w:tc>
      </w:tr>
      <w:tr w:rsidR="005F5E9D" w:rsidRPr="00B66B1A" w:rsidTr="0095484C">
        <w:trPr>
          <w:trHeight w:val="1160"/>
        </w:trPr>
        <w:tc>
          <w:tcPr>
            <w:tcW w:w="445" w:type="pct"/>
            <w:tcBorders>
              <w:top w:val="single" w:sz="4" w:space="0" w:color="auto"/>
              <w:left w:val="single" w:sz="4" w:space="0" w:color="auto"/>
              <w:bottom w:val="single" w:sz="4" w:space="0" w:color="auto"/>
              <w:right w:val="single" w:sz="4" w:space="0" w:color="auto"/>
            </w:tcBorders>
          </w:tcPr>
          <w:p w:rsidR="004544E0" w:rsidRPr="00B66B1A" w:rsidRDefault="00DA2473" w:rsidP="00E302F6">
            <w:pPr>
              <w:pStyle w:val="Text1"/>
              <w:spacing w:before="120" w:line="240" w:lineRule="auto"/>
              <w:ind w:left="0"/>
              <w:jc w:val="left"/>
              <w:rPr>
                <w:sz w:val="18"/>
                <w:szCs w:val="18"/>
                <w:lang w:val="lv-LV"/>
              </w:rPr>
            </w:pPr>
            <w:r w:rsidRPr="00BA2B1E">
              <w:rPr>
                <w:rFonts w:ascii="Verdana" w:hAnsi="Verdana"/>
                <w:sz w:val="16"/>
                <w:szCs w:val="16"/>
              </w:rPr>
              <w:t>3.2.R1</w:t>
            </w:r>
          </w:p>
        </w:tc>
        <w:tc>
          <w:tcPr>
            <w:tcW w:w="696" w:type="pct"/>
            <w:tcBorders>
              <w:top w:val="single" w:sz="4" w:space="0" w:color="auto"/>
              <w:left w:val="single" w:sz="4" w:space="0" w:color="auto"/>
              <w:bottom w:val="single" w:sz="4" w:space="0" w:color="auto"/>
              <w:right w:val="single" w:sz="4" w:space="0" w:color="auto"/>
            </w:tcBorders>
          </w:tcPr>
          <w:p w:rsidR="00641D41" w:rsidRPr="00B66B1A" w:rsidRDefault="000D340E" w:rsidP="00E302F6">
            <w:pPr>
              <w:pStyle w:val="Text1"/>
              <w:spacing w:before="120" w:line="240" w:lineRule="auto"/>
              <w:ind w:left="0"/>
              <w:jc w:val="left"/>
              <w:rPr>
                <w:b/>
                <w:sz w:val="18"/>
                <w:szCs w:val="18"/>
                <w:lang w:val="lv-LV"/>
              </w:rPr>
            </w:pPr>
            <w:r>
              <w:rPr>
                <w:sz w:val="18"/>
                <w:szCs w:val="18"/>
                <w:lang w:val="lv-LV"/>
              </w:rPr>
              <w:t>Mājsaimniecību īpatsvars, kas norādījušas uz apkārtējās vides piesārņojumu</w:t>
            </w:r>
            <w:r w:rsidRPr="000D340E">
              <w:rPr>
                <w:sz w:val="18"/>
                <w:szCs w:val="18"/>
                <w:lang w:val="lv-LV"/>
              </w:rPr>
              <w:t xml:space="preserve">, </w:t>
            </w:r>
            <w:r w:rsidRPr="000D340E">
              <w:rPr>
                <w:sz w:val="18"/>
                <w:szCs w:val="18"/>
                <w:lang w:val="lv-LV"/>
              </w:rPr>
              <w:lastRenderedPageBreak/>
              <w:t>putekļi</w:t>
            </w:r>
            <w:r>
              <w:rPr>
                <w:sz w:val="18"/>
                <w:szCs w:val="18"/>
                <w:lang w:val="lv-LV"/>
              </w:rPr>
              <w:t>em un/vai citām</w:t>
            </w:r>
            <w:r w:rsidRPr="000D340E">
              <w:rPr>
                <w:sz w:val="18"/>
                <w:szCs w:val="18"/>
                <w:lang w:val="lv-LV"/>
              </w:rPr>
              <w:t xml:space="preserve"> vides problēmas dzīvesvietas tuvumā</w:t>
            </w:r>
          </w:p>
        </w:tc>
        <w:tc>
          <w:tcPr>
            <w:tcW w:w="771" w:type="pct"/>
            <w:tcBorders>
              <w:top w:val="single" w:sz="4" w:space="0" w:color="auto"/>
              <w:left w:val="single" w:sz="4" w:space="0" w:color="auto"/>
              <w:bottom w:val="single" w:sz="4" w:space="0" w:color="auto"/>
              <w:right w:val="single" w:sz="4" w:space="0" w:color="auto"/>
            </w:tcBorders>
          </w:tcPr>
          <w:p w:rsidR="004544E0" w:rsidRPr="00B66B1A" w:rsidRDefault="00C419BF" w:rsidP="00E302F6">
            <w:pPr>
              <w:snapToGrid w:val="0"/>
              <w:spacing w:before="120" w:line="240" w:lineRule="auto"/>
              <w:rPr>
                <w:rFonts w:ascii="Times New Roman" w:hAnsi="Times New Roman"/>
                <w:sz w:val="18"/>
                <w:szCs w:val="18"/>
                <w:lang w:val="lv-LV"/>
              </w:rPr>
            </w:pPr>
            <w:r>
              <w:rPr>
                <w:rFonts w:ascii="Times New Roman" w:hAnsi="Times New Roman"/>
                <w:sz w:val="18"/>
                <w:szCs w:val="18"/>
                <w:lang w:val="lv-LV"/>
              </w:rPr>
              <w:lastRenderedPageBreak/>
              <w:t>P</w:t>
            </w:r>
            <w:r w:rsidR="0043367E">
              <w:rPr>
                <w:rFonts w:ascii="Times New Roman" w:hAnsi="Times New Roman"/>
                <w:sz w:val="18"/>
                <w:szCs w:val="18"/>
                <w:lang w:val="lv-LV"/>
              </w:rPr>
              <w:t>rocent</w:t>
            </w:r>
            <w:r>
              <w:rPr>
                <w:rFonts w:ascii="Times New Roman" w:hAnsi="Times New Roman"/>
                <w:sz w:val="18"/>
                <w:szCs w:val="18"/>
                <w:lang w:val="lv-LV"/>
              </w:rPr>
              <w:t>i</w:t>
            </w:r>
          </w:p>
        </w:tc>
        <w:tc>
          <w:tcPr>
            <w:tcW w:w="618" w:type="pct"/>
            <w:tcBorders>
              <w:top w:val="single" w:sz="4" w:space="0" w:color="auto"/>
              <w:left w:val="single" w:sz="4" w:space="0" w:color="auto"/>
              <w:bottom w:val="single" w:sz="4" w:space="0" w:color="auto"/>
              <w:right w:val="single" w:sz="4" w:space="0" w:color="auto"/>
            </w:tcBorders>
          </w:tcPr>
          <w:p w:rsidR="004544E0" w:rsidRPr="00B66B1A" w:rsidRDefault="008B4B1A" w:rsidP="00E302F6">
            <w:pPr>
              <w:pStyle w:val="ListBullet"/>
              <w:numPr>
                <w:ilvl w:val="0"/>
                <w:numId w:val="0"/>
              </w:numPr>
              <w:tabs>
                <w:tab w:val="left" w:pos="720"/>
              </w:tabs>
              <w:spacing w:before="120" w:line="240" w:lineRule="auto"/>
              <w:jc w:val="center"/>
              <w:rPr>
                <w:rFonts w:ascii="Times New Roman" w:hAnsi="Times New Roman"/>
                <w:sz w:val="18"/>
                <w:szCs w:val="18"/>
                <w:lang w:val="lv-LV"/>
              </w:rPr>
            </w:pPr>
            <w:r>
              <w:rPr>
                <w:rFonts w:ascii="Times New Roman" w:hAnsi="Times New Roman"/>
                <w:sz w:val="18"/>
                <w:szCs w:val="18"/>
                <w:lang w:val="lv-LV"/>
              </w:rPr>
              <w:t>17.2%</w:t>
            </w:r>
          </w:p>
        </w:tc>
        <w:tc>
          <w:tcPr>
            <w:tcW w:w="530" w:type="pct"/>
            <w:gridSpan w:val="2"/>
            <w:tcBorders>
              <w:top w:val="single" w:sz="4" w:space="0" w:color="auto"/>
              <w:left w:val="single" w:sz="4" w:space="0" w:color="auto"/>
              <w:bottom w:val="single" w:sz="4" w:space="0" w:color="auto"/>
              <w:right w:val="single" w:sz="4" w:space="0" w:color="auto"/>
            </w:tcBorders>
          </w:tcPr>
          <w:p w:rsidR="004544E0" w:rsidRPr="00B66B1A" w:rsidRDefault="004544E0" w:rsidP="00E302F6">
            <w:pPr>
              <w:snapToGrid w:val="0"/>
              <w:spacing w:before="120" w:line="240" w:lineRule="auto"/>
              <w:ind w:left="-108"/>
              <w:rPr>
                <w:rFonts w:ascii="Times New Roman" w:hAnsi="Times New Roman"/>
                <w:sz w:val="18"/>
                <w:szCs w:val="18"/>
                <w:lang w:val="lv-LV"/>
              </w:rPr>
            </w:pPr>
            <w:r w:rsidRPr="00B66B1A">
              <w:rPr>
                <w:rFonts w:ascii="Times New Roman" w:hAnsi="Times New Roman"/>
                <w:sz w:val="18"/>
                <w:szCs w:val="18"/>
                <w:lang w:val="lv-LV"/>
              </w:rPr>
              <w:t>2013</w:t>
            </w:r>
          </w:p>
        </w:tc>
        <w:tc>
          <w:tcPr>
            <w:tcW w:w="761" w:type="pct"/>
            <w:tcBorders>
              <w:top w:val="single" w:sz="4" w:space="0" w:color="auto"/>
              <w:left w:val="single" w:sz="4" w:space="0" w:color="auto"/>
              <w:bottom w:val="single" w:sz="4" w:space="0" w:color="auto"/>
              <w:right w:val="single" w:sz="4" w:space="0" w:color="auto"/>
            </w:tcBorders>
          </w:tcPr>
          <w:p w:rsidR="004544E0" w:rsidRPr="00B66B1A" w:rsidRDefault="008B4B1A" w:rsidP="00E302F6">
            <w:pPr>
              <w:pStyle w:val="ListBullet"/>
              <w:numPr>
                <w:ilvl w:val="0"/>
                <w:numId w:val="0"/>
              </w:numPr>
              <w:tabs>
                <w:tab w:val="left" w:pos="720"/>
              </w:tabs>
              <w:spacing w:before="120" w:line="240" w:lineRule="auto"/>
              <w:rPr>
                <w:rFonts w:ascii="Times New Roman" w:hAnsi="Times New Roman"/>
                <w:sz w:val="18"/>
                <w:szCs w:val="18"/>
                <w:lang w:val="lv-LV"/>
              </w:rPr>
            </w:pPr>
            <w:r>
              <w:rPr>
                <w:rFonts w:ascii="Times New Roman" w:hAnsi="Times New Roman"/>
                <w:sz w:val="18"/>
                <w:szCs w:val="18"/>
                <w:lang w:val="lv-LV"/>
              </w:rPr>
              <w:t>16.5%</w:t>
            </w:r>
          </w:p>
        </w:tc>
        <w:tc>
          <w:tcPr>
            <w:tcW w:w="600" w:type="pct"/>
            <w:tcBorders>
              <w:top w:val="single" w:sz="4" w:space="0" w:color="auto"/>
              <w:left w:val="single" w:sz="4" w:space="0" w:color="auto"/>
              <w:bottom w:val="single" w:sz="4" w:space="0" w:color="auto"/>
              <w:right w:val="single" w:sz="4" w:space="0" w:color="auto"/>
            </w:tcBorders>
          </w:tcPr>
          <w:p w:rsidR="004544E0" w:rsidRPr="00B66B1A" w:rsidRDefault="00167672" w:rsidP="00E302F6">
            <w:pPr>
              <w:pStyle w:val="ListBullet"/>
              <w:numPr>
                <w:ilvl w:val="0"/>
                <w:numId w:val="0"/>
              </w:numPr>
              <w:tabs>
                <w:tab w:val="left" w:pos="720"/>
              </w:tabs>
              <w:spacing w:before="120" w:line="240" w:lineRule="auto"/>
              <w:rPr>
                <w:rFonts w:ascii="Times New Roman" w:hAnsi="Times New Roman"/>
                <w:sz w:val="18"/>
                <w:szCs w:val="18"/>
                <w:lang w:val="lv-LV"/>
              </w:rPr>
            </w:pPr>
            <w:r w:rsidRPr="00B66B1A">
              <w:rPr>
                <w:rFonts w:ascii="Times New Roman" w:hAnsi="Times New Roman"/>
                <w:sz w:val="18"/>
                <w:szCs w:val="18"/>
                <w:lang w:val="lv-LV"/>
              </w:rPr>
              <w:t>Valst</w:t>
            </w:r>
            <w:r w:rsidR="00C419BF">
              <w:rPr>
                <w:rFonts w:ascii="Times New Roman" w:hAnsi="Times New Roman"/>
                <w:sz w:val="18"/>
                <w:szCs w:val="18"/>
                <w:lang w:val="lv-LV"/>
              </w:rPr>
              <w:t>u</w:t>
            </w:r>
            <w:r w:rsidRPr="00B66B1A">
              <w:rPr>
                <w:rFonts w:ascii="Times New Roman" w:hAnsi="Times New Roman"/>
                <w:sz w:val="18"/>
                <w:szCs w:val="18"/>
                <w:lang w:val="lv-LV"/>
              </w:rPr>
              <w:t xml:space="preserve"> statistikas dati</w:t>
            </w:r>
          </w:p>
        </w:tc>
        <w:tc>
          <w:tcPr>
            <w:tcW w:w="580" w:type="pct"/>
            <w:tcBorders>
              <w:top w:val="single" w:sz="4" w:space="0" w:color="auto"/>
              <w:left w:val="single" w:sz="4" w:space="0" w:color="auto"/>
              <w:bottom w:val="single" w:sz="4" w:space="0" w:color="auto"/>
              <w:right w:val="single" w:sz="4" w:space="0" w:color="auto"/>
            </w:tcBorders>
          </w:tcPr>
          <w:p w:rsidR="004544E0" w:rsidRPr="00B66B1A" w:rsidRDefault="00C419BF"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vienreiz, </w:t>
            </w:r>
            <w:r w:rsidR="004544E0" w:rsidRPr="00B66B1A">
              <w:rPr>
                <w:rFonts w:ascii="Times New Roman" w:hAnsi="Times New Roman"/>
                <w:sz w:val="18"/>
                <w:szCs w:val="18"/>
                <w:lang w:val="lv-LV"/>
              </w:rPr>
              <w:t>2023</w:t>
            </w:r>
            <w:r w:rsidR="0015028C">
              <w:rPr>
                <w:rFonts w:ascii="Times New Roman" w:hAnsi="Times New Roman"/>
                <w:sz w:val="18"/>
                <w:szCs w:val="18"/>
                <w:lang w:val="lv-LV"/>
              </w:rPr>
              <w:t>.gadā</w:t>
            </w:r>
          </w:p>
        </w:tc>
      </w:tr>
    </w:tbl>
    <w:p w:rsidR="004544E0" w:rsidRPr="00543A74" w:rsidRDefault="004544E0" w:rsidP="00D66FB7">
      <w:pPr>
        <w:pStyle w:val="Heading2"/>
      </w:pPr>
    </w:p>
    <w:p w:rsidR="004544E0" w:rsidRPr="00B66B1A" w:rsidRDefault="006B53DE" w:rsidP="00E302F6">
      <w:pPr>
        <w:spacing w:before="120" w:line="240" w:lineRule="auto"/>
        <w:ind w:right="-432"/>
        <w:rPr>
          <w:rFonts w:ascii="Times New Roman" w:hAnsi="Times New Roman"/>
          <w:b/>
          <w:u w:val="single"/>
          <w:lang w:val="lv-LV"/>
        </w:rPr>
      </w:pPr>
      <w:bookmarkStart w:id="25" w:name="_Toc372107608"/>
      <w:r w:rsidRPr="00B66B1A">
        <w:rPr>
          <w:rFonts w:ascii="Times New Roman" w:hAnsi="Times New Roman"/>
          <w:b/>
          <w:u w:val="single"/>
          <w:lang w:val="lv-LV"/>
        </w:rPr>
        <w:t>Indikatīvs a</w:t>
      </w:r>
      <w:r w:rsidR="00167672" w:rsidRPr="00B66B1A">
        <w:rPr>
          <w:rFonts w:ascii="Times New Roman" w:hAnsi="Times New Roman"/>
          <w:b/>
          <w:u w:val="single"/>
          <w:lang w:val="lv-LV"/>
        </w:rPr>
        <w:t>tbalstāmo pasākumu saraksts</w:t>
      </w:r>
    </w:p>
    <w:p w:rsidR="00332E7A" w:rsidRPr="00B66B1A" w:rsidRDefault="00841C82" w:rsidP="00E302F6">
      <w:pPr>
        <w:numPr>
          <w:ilvl w:val="0"/>
          <w:numId w:val="8"/>
        </w:numPr>
        <w:spacing w:before="120" w:line="240" w:lineRule="auto"/>
        <w:ind w:right="-432"/>
        <w:rPr>
          <w:rFonts w:ascii="Times New Roman" w:hAnsi="Times New Roman"/>
          <w:lang w:val="lv-LV"/>
        </w:rPr>
      </w:pPr>
      <w:r>
        <w:rPr>
          <w:rFonts w:ascii="Times New Roman" w:hAnsi="Times New Roman"/>
          <w:lang w:val="lv-LV"/>
        </w:rPr>
        <w:t>v</w:t>
      </w:r>
      <w:r w:rsidR="00167672" w:rsidRPr="00B66B1A">
        <w:rPr>
          <w:rFonts w:ascii="Times New Roman" w:hAnsi="Times New Roman"/>
          <w:lang w:val="lv-LV"/>
        </w:rPr>
        <w:t>ietēj</w:t>
      </w:r>
      <w:r w:rsidR="00A3121B" w:rsidRPr="00B66B1A">
        <w:rPr>
          <w:rFonts w:ascii="Times New Roman" w:hAnsi="Times New Roman"/>
          <w:lang w:val="lv-LV"/>
        </w:rPr>
        <w:t>a mēroga sadarbības projekti;</w:t>
      </w:r>
      <w:r w:rsidR="00A3121B" w:rsidRPr="00B66B1A" w:rsidDel="00A3121B">
        <w:rPr>
          <w:rFonts w:ascii="Times New Roman" w:hAnsi="Times New Roman"/>
          <w:lang w:val="lv-LV"/>
        </w:rPr>
        <w:t xml:space="preserve"> </w:t>
      </w:r>
      <w:r w:rsidR="00167672" w:rsidRPr="00B66B1A">
        <w:rPr>
          <w:rFonts w:ascii="Times New Roman" w:hAnsi="Times New Roman"/>
          <w:lang w:val="lv-LV"/>
        </w:rPr>
        <w:t>maza mēroga infrastruktūras uzlabošana vai izveide attiecībā (izņemot pamata publisko infrastruktūru</w:t>
      </w:r>
      <w:r w:rsidR="00A3121B" w:rsidRPr="00B66B1A">
        <w:rPr>
          <w:rFonts w:ascii="Times New Roman" w:hAnsi="Times New Roman"/>
          <w:lang w:val="lv-LV"/>
        </w:rPr>
        <w:t>, kā piemēram, ūdensapgādes sistēmas u.c.</w:t>
      </w:r>
      <w:r w:rsidR="00167672" w:rsidRPr="00B66B1A">
        <w:rPr>
          <w:rFonts w:ascii="Times New Roman" w:hAnsi="Times New Roman"/>
          <w:lang w:val="lv-LV"/>
        </w:rPr>
        <w:t>);</w:t>
      </w:r>
    </w:p>
    <w:p w:rsidR="00332E7A" w:rsidRPr="00B66B1A" w:rsidRDefault="00167672" w:rsidP="00E302F6">
      <w:pPr>
        <w:numPr>
          <w:ilvl w:val="0"/>
          <w:numId w:val="8"/>
        </w:numPr>
        <w:spacing w:before="120" w:line="240" w:lineRule="auto"/>
        <w:ind w:right="-432"/>
        <w:rPr>
          <w:rFonts w:ascii="Times New Roman" w:hAnsi="Times New Roman"/>
          <w:b/>
          <w:u w:val="single"/>
          <w:lang w:val="lv-LV"/>
        </w:rPr>
      </w:pPr>
      <w:r w:rsidRPr="00B66B1A">
        <w:rPr>
          <w:rFonts w:ascii="Times New Roman" w:hAnsi="Times New Roman"/>
          <w:lang w:val="lv-LV"/>
        </w:rPr>
        <w:t>kopīga</w:t>
      </w:r>
      <w:r w:rsidR="00A3121B" w:rsidRPr="00B66B1A">
        <w:rPr>
          <w:rFonts w:ascii="Times New Roman" w:hAnsi="Times New Roman"/>
          <w:lang w:val="lv-LV"/>
        </w:rPr>
        <w:t xml:space="preserve">s problēmu kartes izveide </w:t>
      </w:r>
      <w:r w:rsidRPr="00B66B1A">
        <w:rPr>
          <w:rFonts w:ascii="Times New Roman" w:hAnsi="Times New Roman"/>
          <w:lang w:val="lv-LV"/>
        </w:rPr>
        <w:t xml:space="preserve">un darbības problēmu risināšanai </w:t>
      </w:r>
      <w:r w:rsidR="00A3121B" w:rsidRPr="00B66B1A">
        <w:rPr>
          <w:rFonts w:ascii="Times New Roman" w:hAnsi="Times New Roman"/>
          <w:lang w:val="lv-LV"/>
        </w:rPr>
        <w:t>Programmas reģionos</w:t>
      </w:r>
      <w:r w:rsidRPr="00B66B1A">
        <w:rPr>
          <w:rFonts w:ascii="Times New Roman" w:hAnsi="Times New Roman"/>
          <w:lang w:val="lv-LV"/>
        </w:rPr>
        <w:t>;</w:t>
      </w:r>
    </w:p>
    <w:p w:rsidR="004544E0" w:rsidRPr="00B66B1A" w:rsidRDefault="00167672" w:rsidP="00E302F6">
      <w:pPr>
        <w:numPr>
          <w:ilvl w:val="0"/>
          <w:numId w:val="8"/>
        </w:numPr>
        <w:spacing w:before="120" w:line="240" w:lineRule="auto"/>
        <w:ind w:right="-432"/>
        <w:rPr>
          <w:rFonts w:ascii="Times New Roman" w:hAnsi="Times New Roman"/>
          <w:b/>
          <w:u w:val="single"/>
          <w:lang w:val="lv-LV"/>
        </w:rPr>
      </w:pPr>
      <w:r w:rsidRPr="00B66B1A">
        <w:rPr>
          <w:rFonts w:ascii="Times New Roman" w:hAnsi="Times New Roman"/>
          <w:lang w:val="lv-LV"/>
        </w:rPr>
        <w:t>ar izglītību un apmācību saistīti pasākumi attiecībā uz mazattīstītajām kopienām.</w:t>
      </w:r>
    </w:p>
    <w:bookmarkEnd w:id="25"/>
    <w:p w:rsidR="004F0253" w:rsidRPr="00B66B1A" w:rsidRDefault="004F0253" w:rsidP="00E302F6">
      <w:pPr>
        <w:spacing w:before="120" w:line="240" w:lineRule="auto"/>
        <w:rPr>
          <w:rFonts w:ascii="Times New Roman" w:hAnsi="Times New Roman"/>
          <w:lang w:val="lv-LV"/>
        </w:rPr>
      </w:pPr>
    </w:p>
    <w:p w:rsidR="004544E0" w:rsidRPr="00B66B1A" w:rsidRDefault="000D340E" w:rsidP="00E302F6">
      <w:pPr>
        <w:spacing w:before="120" w:line="240" w:lineRule="auto"/>
        <w:rPr>
          <w:rFonts w:ascii="Times New Roman" w:hAnsi="Times New Roman"/>
          <w:b/>
          <w:u w:val="single"/>
          <w:lang w:val="lv-LV"/>
        </w:rPr>
      </w:pPr>
      <w:r>
        <w:rPr>
          <w:rFonts w:ascii="Times New Roman" w:hAnsi="Times New Roman"/>
          <w:b/>
          <w:u w:val="single"/>
          <w:lang w:val="lv-LV"/>
        </w:rPr>
        <w:t>Iznākumu</w:t>
      </w:r>
      <w:r w:rsidRPr="00B66B1A">
        <w:rPr>
          <w:rFonts w:ascii="Times New Roman" w:hAnsi="Times New Roman"/>
          <w:b/>
          <w:u w:val="single"/>
          <w:lang w:val="lv-LV"/>
        </w:rPr>
        <w:t xml:space="preserve"> </w:t>
      </w:r>
      <w:r w:rsidR="00167672" w:rsidRPr="00B66B1A">
        <w:rPr>
          <w:rFonts w:ascii="Times New Roman" w:hAnsi="Times New Roman"/>
          <w:b/>
          <w:u w:val="single"/>
          <w:lang w:val="lv-LV"/>
        </w:rPr>
        <w:t>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5"/>
        <w:gridCol w:w="2768"/>
        <w:gridCol w:w="1807"/>
        <w:gridCol w:w="1552"/>
        <w:gridCol w:w="1964"/>
      </w:tblGrid>
      <w:tr w:rsidR="004544E0" w:rsidRPr="00B66B1A" w:rsidTr="0015028C">
        <w:trPr>
          <w:trHeight w:val="706"/>
          <w:jc w:val="center"/>
        </w:trPr>
        <w:tc>
          <w:tcPr>
            <w:tcW w:w="431" w:type="pct"/>
          </w:tcPr>
          <w:p w:rsidR="004544E0" w:rsidRPr="00B66B1A" w:rsidRDefault="004544E0"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B66B1A">
              <w:rPr>
                <w:rFonts w:ascii="Times New Roman" w:hAnsi="Times New Roman"/>
                <w:b/>
                <w:sz w:val="18"/>
                <w:szCs w:val="18"/>
                <w:lang w:val="lv-LV"/>
              </w:rPr>
              <w:t>ID</w:t>
            </w:r>
          </w:p>
        </w:tc>
        <w:tc>
          <w:tcPr>
            <w:tcW w:w="1563" w:type="pct"/>
            <w:shd w:val="clear" w:color="auto" w:fill="auto"/>
          </w:tcPr>
          <w:p w:rsidR="004544E0" w:rsidRPr="00B66B1A" w:rsidRDefault="00167672" w:rsidP="00E302F6">
            <w:pPr>
              <w:pStyle w:val="ListDash"/>
              <w:numPr>
                <w:ilvl w:val="0"/>
                <w:numId w:val="0"/>
              </w:numPr>
              <w:spacing w:before="120" w:line="240" w:lineRule="auto"/>
              <w:ind w:left="283" w:hanging="283"/>
              <w:jc w:val="left"/>
              <w:rPr>
                <w:rFonts w:ascii="Times New Roman" w:hAnsi="Times New Roman"/>
                <w:b/>
                <w:sz w:val="18"/>
                <w:szCs w:val="18"/>
                <w:lang w:val="lv-LV"/>
              </w:rPr>
            </w:pPr>
            <w:r w:rsidRPr="00B66B1A">
              <w:rPr>
                <w:rFonts w:ascii="Times New Roman" w:hAnsi="Times New Roman"/>
                <w:b/>
                <w:sz w:val="18"/>
                <w:szCs w:val="18"/>
                <w:lang w:val="lv-LV"/>
              </w:rPr>
              <w:t>R</w:t>
            </w:r>
            <w:r w:rsidR="003E04B7">
              <w:rPr>
                <w:rFonts w:ascii="Times New Roman" w:hAnsi="Times New Roman"/>
                <w:b/>
                <w:sz w:val="18"/>
                <w:szCs w:val="18"/>
                <w:lang w:val="lv-LV"/>
              </w:rPr>
              <w:t>ezultatīvais r</w:t>
            </w:r>
            <w:r w:rsidRPr="00B66B1A">
              <w:rPr>
                <w:rFonts w:ascii="Times New Roman" w:hAnsi="Times New Roman"/>
                <w:b/>
                <w:sz w:val="18"/>
                <w:szCs w:val="18"/>
                <w:lang w:val="lv-LV"/>
              </w:rPr>
              <w:t>ādītājs</w:t>
            </w:r>
          </w:p>
        </w:tc>
        <w:tc>
          <w:tcPr>
            <w:tcW w:w="1020" w:type="pct"/>
            <w:shd w:val="clear" w:color="auto" w:fill="auto"/>
          </w:tcPr>
          <w:p w:rsidR="004544E0" w:rsidRPr="00B66B1A" w:rsidRDefault="00167672" w:rsidP="00E302F6">
            <w:pPr>
              <w:pStyle w:val="ListDash"/>
              <w:numPr>
                <w:ilvl w:val="0"/>
                <w:numId w:val="0"/>
              </w:numPr>
              <w:spacing w:before="120" w:line="240" w:lineRule="auto"/>
              <w:jc w:val="left"/>
              <w:rPr>
                <w:rFonts w:ascii="Times New Roman" w:hAnsi="Times New Roman"/>
                <w:b/>
                <w:sz w:val="18"/>
                <w:szCs w:val="18"/>
                <w:lang w:val="lv-LV"/>
              </w:rPr>
            </w:pPr>
            <w:r w:rsidRPr="00B66B1A">
              <w:rPr>
                <w:rFonts w:ascii="Times New Roman" w:hAnsi="Times New Roman"/>
                <w:b/>
                <w:sz w:val="18"/>
                <w:szCs w:val="18"/>
                <w:lang w:val="lv-LV"/>
              </w:rPr>
              <w:t>Mērvienība</w:t>
            </w:r>
          </w:p>
        </w:tc>
        <w:tc>
          <w:tcPr>
            <w:tcW w:w="876" w:type="pct"/>
            <w:shd w:val="clear" w:color="auto" w:fill="auto"/>
          </w:tcPr>
          <w:p w:rsidR="004544E0" w:rsidRPr="00B66B1A" w:rsidRDefault="00167672" w:rsidP="00E302F6">
            <w:pPr>
              <w:pStyle w:val="ListDash"/>
              <w:numPr>
                <w:ilvl w:val="0"/>
                <w:numId w:val="0"/>
              </w:numPr>
              <w:spacing w:before="120" w:line="240" w:lineRule="auto"/>
              <w:jc w:val="left"/>
              <w:rPr>
                <w:rFonts w:ascii="Times New Roman" w:hAnsi="Times New Roman"/>
                <w:b/>
                <w:sz w:val="18"/>
                <w:szCs w:val="18"/>
                <w:lang w:val="lv-LV"/>
              </w:rPr>
            </w:pPr>
            <w:r w:rsidRPr="00B66B1A">
              <w:rPr>
                <w:rFonts w:ascii="Times New Roman" w:hAnsi="Times New Roman"/>
                <w:b/>
                <w:sz w:val="18"/>
                <w:szCs w:val="18"/>
                <w:lang w:val="lv-LV"/>
              </w:rPr>
              <w:t>Mērķvērtība</w:t>
            </w:r>
            <w:r w:rsidR="004544E0" w:rsidRPr="00B66B1A">
              <w:rPr>
                <w:rFonts w:ascii="Times New Roman" w:hAnsi="Times New Roman"/>
                <w:b/>
                <w:sz w:val="18"/>
                <w:szCs w:val="18"/>
                <w:lang w:val="lv-LV"/>
              </w:rPr>
              <w:t xml:space="preserve"> (2023)</w:t>
            </w:r>
          </w:p>
        </w:tc>
        <w:tc>
          <w:tcPr>
            <w:tcW w:w="1109" w:type="pct"/>
            <w:shd w:val="clear" w:color="auto" w:fill="auto"/>
          </w:tcPr>
          <w:p w:rsidR="004544E0" w:rsidRPr="00B66B1A" w:rsidRDefault="00167672" w:rsidP="00E302F6">
            <w:pPr>
              <w:pStyle w:val="ListDash"/>
              <w:numPr>
                <w:ilvl w:val="0"/>
                <w:numId w:val="0"/>
              </w:numPr>
              <w:spacing w:before="120" w:line="240" w:lineRule="auto"/>
              <w:jc w:val="left"/>
              <w:rPr>
                <w:rFonts w:ascii="Times New Roman" w:hAnsi="Times New Roman"/>
                <w:b/>
                <w:sz w:val="18"/>
                <w:szCs w:val="18"/>
                <w:lang w:val="lv-LV"/>
              </w:rPr>
            </w:pPr>
            <w:r w:rsidRPr="00B66B1A">
              <w:rPr>
                <w:rFonts w:ascii="Times New Roman" w:hAnsi="Times New Roman"/>
                <w:b/>
                <w:sz w:val="18"/>
                <w:szCs w:val="18"/>
                <w:lang w:val="lv-LV"/>
              </w:rPr>
              <w:t>Datu avots</w:t>
            </w:r>
          </w:p>
        </w:tc>
      </w:tr>
      <w:tr w:rsidR="00983C73" w:rsidRPr="00B66B1A" w:rsidTr="0015028C">
        <w:trPr>
          <w:trHeight w:val="845"/>
          <w:jc w:val="center"/>
        </w:trPr>
        <w:tc>
          <w:tcPr>
            <w:tcW w:w="431" w:type="pct"/>
          </w:tcPr>
          <w:p w:rsidR="00983C73" w:rsidRPr="00B66B1A" w:rsidRDefault="00EC5685" w:rsidP="00E302F6">
            <w:pPr>
              <w:pStyle w:val="ListDash"/>
              <w:numPr>
                <w:ilvl w:val="0"/>
                <w:numId w:val="0"/>
              </w:numPr>
              <w:spacing w:before="120" w:line="240" w:lineRule="auto"/>
              <w:rPr>
                <w:rFonts w:ascii="Times New Roman" w:hAnsi="Times New Roman"/>
                <w:sz w:val="18"/>
                <w:szCs w:val="18"/>
                <w:lang w:val="lv-LV"/>
              </w:rPr>
            </w:pPr>
            <w:r w:rsidRPr="00BA2B1E">
              <w:rPr>
                <w:sz w:val="16"/>
                <w:szCs w:val="16"/>
              </w:rPr>
              <w:t>3.2.O1</w:t>
            </w:r>
          </w:p>
        </w:tc>
        <w:tc>
          <w:tcPr>
            <w:tcW w:w="1563" w:type="pct"/>
            <w:tcBorders>
              <w:top w:val="single" w:sz="4" w:space="0" w:color="auto"/>
            </w:tcBorders>
            <w:shd w:val="clear" w:color="auto" w:fill="auto"/>
          </w:tcPr>
          <w:p w:rsidR="00983C73" w:rsidRPr="00B66B1A" w:rsidRDefault="00A3121B" w:rsidP="00E302F6">
            <w:p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Organizāciju skaits, kas piedalās sociālajās aktivitātēs</w:t>
            </w:r>
            <w:r w:rsidR="006801FF" w:rsidRPr="00B66B1A">
              <w:rPr>
                <w:rFonts w:ascii="Times New Roman" w:hAnsi="Times New Roman"/>
                <w:sz w:val="18"/>
                <w:szCs w:val="18"/>
                <w:lang w:val="lv-LV"/>
              </w:rPr>
              <w:t>.</w:t>
            </w:r>
          </w:p>
        </w:tc>
        <w:tc>
          <w:tcPr>
            <w:tcW w:w="1020" w:type="pct"/>
            <w:tcBorders>
              <w:top w:val="single" w:sz="4" w:space="0" w:color="auto"/>
            </w:tcBorders>
            <w:shd w:val="clear" w:color="auto" w:fill="auto"/>
          </w:tcPr>
          <w:p w:rsidR="00983C73" w:rsidRPr="00B66B1A" w:rsidRDefault="00167672" w:rsidP="00E302F6">
            <w:pPr>
              <w:pStyle w:val="ListDash"/>
              <w:numPr>
                <w:ilvl w:val="0"/>
                <w:numId w:val="0"/>
              </w:numPr>
              <w:spacing w:before="120" w:line="240" w:lineRule="auto"/>
              <w:jc w:val="left"/>
              <w:rPr>
                <w:rFonts w:ascii="Times New Roman" w:hAnsi="Times New Roman"/>
                <w:sz w:val="18"/>
                <w:szCs w:val="18"/>
                <w:lang w:val="lv-LV"/>
              </w:rPr>
            </w:pPr>
            <w:r w:rsidRPr="00B66B1A">
              <w:rPr>
                <w:rFonts w:ascii="Times New Roman" w:hAnsi="Times New Roman"/>
                <w:sz w:val="18"/>
                <w:szCs w:val="18"/>
                <w:lang w:val="lv-LV"/>
              </w:rPr>
              <w:t>Vienības</w:t>
            </w:r>
          </w:p>
          <w:p w:rsidR="00983C73" w:rsidRPr="00B66B1A" w:rsidRDefault="00983C73" w:rsidP="00E302F6">
            <w:pPr>
              <w:pStyle w:val="ListDash"/>
              <w:spacing w:before="120" w:line="240" w:lineRule="auto"/>
              <w:ind w:left="0"/>
              <w:jc w:val="left"/>
              <w:rPr>
                <w:rFonts w:ascii="Times New Roman" w:hAnsi="Times New Roman"/>
                <w:sz w:val="18"/>
                <w:szCs w:val="18"/>
                <w:lang w:val="lv-LV"/>
              </w:rPr>
            </w:pPr>
          </w:p>
        </w:tc>
        <w:tc>
          <w:tcPr>
            <w:tcW w:w="876" w:type="pct"/>
            <w:tcBorders>
              <w:top w:val="single" w:sz="4" w:space="0" w:color="auto"/>
            </w:tcBorders>
            <w:shd w:val="clear" w:color="auto" w:fill="auto"/>
          </w:tcPr>
          <w:p w:rsidR="00983C73" w:rsidRPr="008B4B1A" w:rsidRDefault="008B4B1A" w:rsidP="00E302F6">
            <w:pPr>
              <w:pStyle w:val="ListDash"/>
              <w:numPr>
                <w:ilvl w:val="0"/>
                <w:numId w:val="0"/>
              </w:numPr>
              <w:spacing w:before="120" w:line="240" w:lineRule="auto"/>
              <w:jc w:val="left"/>
              <w:rPr>
                <w:rFonts w:ascii="Times New Roman" w:hAnsi="Times New Roman"/>
                <w:sz w:val="18"/>
                <w:szCs w:val="18"/>
                <w:lang w:val="lv-LV"/>
              </w:rPr>
            </w:pPr>
            <w:r w:rsidRPr="008B4B1A">
              <w:rPr>
                <w:rFonts w:ascii="Times New Roman" w:hAnsi="Times New Roman"/>
                <w:sz w:val="18"/>
                <w:szCs w:val="18"/>
                <w:lang w:val="lv-LV"/>
              </w:rPr>
              <w:t>36</w:t>
            </w:r>
          </w:p>
        </w:tc>
        <w:tc>
          <w:tcPr>
            <w:tcW w:w="1109" w:type="pct"/>
            <w:tcBorders>
              <w:top w:val="single" w:sz="4" w:space="0" w:color="auto"/>
            </w:tcBorders>
            <w:shd w:val="clear" w:color="auto" w:fill="auto"/>
          </w:tcPr>
          <w:p w:rsidR="00983C73" w:rsidRPr="00B66B1A" w:rsidRDefault="00167672" w:rsidP="00E302F6">
            <w:pPr>
              <w:pStyle w:val="ListDash"/>
              <w:spacing w:before="120" w:line="240" w:lineRule="auto"/>
              <w:ind w:left="0"/>
              <w:jc w:val="left"/>
              <w:rPr>
                <w:rFonts w:ascii="Times New Roman" w:hAnsi="Times New Roman"/>
                <w:sz w:val="18"/>
                <w:szCs w:val="18"/>
                <w:lang w:val="lv-LV"/>
              </w:rPr>
            </w:pPr>
            <w:r w:rsidRPr="00B66B1A">
              <w:rPr>
                <w:rFonts w:ascii="Times New Roman" w:hAnsi="Times New Roman"/>
                <w:sz w:val="18"/>
                <w:szCs w:val="18"/>
                <w:lang w:val="lv-LV"/>
              </w:rPr>
              <w:t>Progresa ziņojumi</w:t>
            </w:r>
          </w:p>
        </w:tc>
      </w:tr>
    </w:tbl>
    <w:p w:rsidR="0015028C" w:rsidRDefault="0015028C" w:rsidP="00E302F6">
      <w:pPr>
        <w:spacing w:before="120" w:line="240" w:lineRule="auto"/>
        <w:rPr>
          <w:rFonts w:ascii="Times New Roman" w:hAnsi="Times New Roman"/>
          <w:b/>
          <w:u w:val="single"/>
          <w:lang w:val="lv-LV"/>
        </w:rPr>
      </w:pPr>
    </w:p>
    <w:p w:rsidR="0015028C" w:rsidRPr="00CD6D0C" w:rsidRDefault="0015028C" w:rsidP="00E302F6">
      <w:pPr>
        <w:spacing w:before="120" w:line="240" w:lineRule="auto"/>
        <w:rPr>
          <w:rFonts w:ascii="Times New Roman" w:hAnsi="Times New Roman"/>
          <w:b/>
          <w:u w:val="single"/>
          <w:lang w:val="lv-LV"/>
        </w:rPr>
      </w:pPr>
      <w:r w:rsidRPr="00CD6D0C">
        <w:rPr>
          <w:rFonts w:ascii="Times New Roman" w:hAnsi="Times New Roman"/>
          <w:b/>
          <w:u w:val="single"/>
          <w:lang w:val="lv-LV"/>
        </w:rPr>
        <w:t>Darbību atlases pamatprincipi</w:t>
      </w:r>
    </w:p>
    <w:p w:rsidR="0015028C" w:rsidRPr="00CD6D0C" w:rsidRDefault="0015028C" w:rsidP="00D66FB7">
      <w:pPr>
        <w:pStyle w:val="Heading2"/>
      </w:pPr>
      <w:r>
        <w:rPr>
          <w:lang w:val="lv-LV"/>
        </w:rPr>
        <w:t>Projektu atlases</w:t>
      </w:r>
      <w:r w:rsidRPr="00B66B1A">
        <w:rPr>
          <w:lang w:val="lv-LV"/>
        </w:rPr>
        <w:t xml:space="preserve"> princip</w:t>
      </w:r>
      <w:r>
        <w:rPr>
          <w:lang w:val="lv-LV"/>
        </w:rPr>
        <w:t>u d</w:t>
      </w:r>
      <w:r w:rsidRPr="00B66B1A">
        <w:rPr>
          <w:lang w:val="lv-LV"/>
        </w:rPr>
        <w:t>etalizēta kārtība noteikta 5.3. punktā</w:t>
      </w:r>
    </w:p>
    <w:p w:rsidR="004544E0" w:rsidRPr="0015028C" w:rsidRDefault="004544E0" w:rsidP="00E302F6">
      <w:pPr>
        <w:spacing w:before="120" w:line="240" w:lineRule="auto"/>
      </w:pPr>
    </w:p>
    <w:p w:rsidR="00DB6FDE" w:rsidRPr="00197F9C" w:rsidRDefault="00432940" w:rsidP="00D66FB7">
      <w:pPr>
        <w:pStyle w:val="Heading2"/>
        <w:rPr>
          <w:lang w:val="lv-LV"/>
        </w:rPr>
      </w:pPr>
      <w:r w:rsidRPr="00432940">
        <w:rPr>
          <w:lang w:val="lv-LV"/>
        </w:rPr>
        <w:br w:type="page"/>
      </w:r>
      <w:bookmarkStart w:id="26" w:name="_Toc384383730"/>
      <w:r w:rsidRPr="00432940">
        <w:rPr>
          <w:lang w:val="lv-LV"/>
        </w:rPr>
        <w:lastRenderedPageBreak/>
        <w:t>2.4. IV Prioritāte: uzlabota dzīves kvalitāte efektīvu publisko pakalpojumu un pārvaldes rezultātā</w:t>
      </w:r>
      <w:bookmarkEnd w:id="2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DB6FDE" w:rsidRPr="00A812A8" w:rsidTr="00841C82">
        <w:tc>
          <w:tcPr>
            <w:tcW w:w="9072" w:type="dxa"/>
            <w:tcBorders>
              <w:top w:val="single" w:sz="4" w:space="0" w:color="auto"/>
              <w:left w:val="single" w:sz="4" w:space="0" w:color="auto"/>
              <w:bottom w:val="single" w:sz="4" w:space="0" w:color="auto"/>
              <w:right w:val="single" w:sz="4" w:space="0" w:color="auto"/>
            </w:tcBorders>
            <w:shd w:val="clear" w:color="auto" w:fill="EAF1DD"/>
            <w:hideMark/>
          </w:tcPr>
          <w:p w:rsidR="00DB6FDE" w:rsidRPr="00BA5839" w:rsidRDefault="00DB6FDE" w:rsidP="00841C82">
            <w:pPr>
              <w:pStyle w:val="Text1"/>
              <w:spacing w:before="120" w:line="240" w:lineRule="auto"/>
              <w:ind w:left="0" w:right="33"/>
              <w:rPr>
                <w:szCs w:val="24"/>
                <w:lang w:val="lv-LV"/>
              </w:rPr>
            </w:pPr>
            <w:r w:rsidRPr="00BA5839">
              <w:rPr>
                <w:szCs w:val="24"/>
                <w:lang w:val="lv-LV"/>
              </w:rPr>
              <w:t>TM 11: publisko iestāžu un iesaistīto personu institucionālo spēju un valsts pārvaldes efektivitātes uzlabošana</w:t>
            </w:r>
          </w:p>
        </w:tc>
      </w:tr>
    </w:tbl>
    <w:p w:rsidR="00DB6FDE" w:rsidRDefault="00DB6FDE" w:rsidP="00E302F6">
      <w:pPr>
        <w:spacing w:before="120" w:line="240" w:lineRule="auto"/>
        <w:ind w:right="-432"/>
        <w:rPr>
          <w:vanish/>
          <w:sz w:val="20"/>
          <w:szCs w:val="20"/>
          <w:lang w:val="lv-LV"/>
        </w:rPr>
      </w:pPr>
    </w:p>
    <w:tbl>
      <w:tblPr>
        <w:tblpPr w:leftFromText="180" w:rightFromText="180" w:vertAnchor="text" w:horzAnchor="margin" w:tblpX="108" w:tblpY="29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039"/>
      </w:tblGrid>
      <w:tr w:rsidR="00DB6FDE" w:rsidRPr="00A812A8" w:rsidTr="00841C82">
        <w:trPr>
          <w:trHeight w:val="726"/>
        </w:trPr>
        <w:tc>
          <w:tcPr>
            <w:tcW w:w="9039" w:type="dxa"/>
            <w:tcBorders>
              <w:top w:val="single" w:sz="4" w:space="0" w:color="auto"/>
              <w:left w:val="single" w:sz="4" w:space="0" w:color="auto"/>
              <w:bottom w:val="single" w:sz="4" w:space="0" w:color="auto"/>
              <w:right w:val="single" w:sz="4" w:space="0" w:color="auto"/>
            </w:tcBorders>
            <w:shd w:val="clear" w:color="auto" w:fill="EAF1DD"/>
            <w:hideMark/>
          </w:tcPr>
          <w:p w:rsidR="00DB6FDE" w:rsidRPr="00BA5839" w:rsidRDefault="00DB6FDE" w:rsidP="00841C82">
            <w:pPr>
              <w:pStyle w:val="Text1"/>
              <w:spacing w:before="120" w:line="240" w:lineRule="auto"/>
              <w:ind w:left="0"/>
              <w:rPr>
                <w:szCs w:val="24"/>
                <w:lang w:val="lv-LV"/>
              </w:rPr>
            </w:pPr>
            <w:r w:rsidRPr="00BA5839">
              <w:rPr>
                <w:szCs w:val="24"/>
                <w:lang w:val="lv-LV"/>
              </w:rPr>
              <w:t xml:space="preserve">1. investīciju prioritāte: </w:t>
            </w:r>
          </w:p>
          <w:p w:rsidR="00DB6FDE" w:rsidRPr="00BA5839" w:rsidRDefault="00DB6FDE" w:rsidP="00841C82">
            <w:pPr>
              <w:spacing w:before="120" w:line="240" w:lineRule="auto"/>
              <w:rPr>
                <w:rFonts w:ascii="Times New Roman" w:hAnsi="Times New Roman"/>
                <w:b/>
                <w:u w:val="single"/>
                <w:lang w:val="lv-LV"/>
              </w:rPr>
            </w:pPr>
            <w:r w:rsidRPr="00BA5839">
              <w:rPr>
                <w:rFonts w:ascii="Times New Roman" w:hAnsi="Times New Roman"/>
                <w:b/>
                <w:u w:val="single"/>
                <w:lang w:val="lv-LV"/>
              </w:rPr>
              <w:t>veicināt tiesisko un administratīvo sadarbību un sadarbību starp iedzīvotājiem un iestādēm</w:t>
            </w:r>
          </w:p>
          <w:p w:rsidR="00DB6FDE" w:rsidRPr="00BA5839" w:rsidRDefault="0030029A" w:rsidP="00841C82">
            <w:pPr>
              <w:spacing w:before="120" w:line="240" w:lineRule="auto"/>
              <w:rPr>
                <w:rFonts w:ascii="Times New Roman" w:hAnsi="Times New Roman"/>
                <w:lang w:val="lv-LV"/>
              </w:rPr>
            </w:pPr>
            <w:r>
              <w:rPr>
                <w:rFonts w:ascii="Times New Roman" w:hAnsi="Times New Roman"/>
                <w:lang w:val="lv-LV"/>
              </w:rPr>
              <w:t>Konkrētais</w:t>
            </w:r>
            <w:r w:rsidR="0028002D" w:rsidRPr="00BA5839">
              <w:rPr>
                <w:rFonts w:ascii="Times New Roman" w:hAnsi="Times New Roman"/>
                <w:lang w:val="lv-LV"/>
              </w:rPr>
              <w:t xml:space="preserve"> </w:t>
            </w:r>
            <w:r w:rsidR="00DB6FDE" w:rsidRPr="00BA5839">
              <w:rPr>
                <w:rFonts w:ascii="Times New Roman" w:hAnsi="Times New Roman"/>
                <w:lang w:val="lv-LV"/>
              </w:rPr>
              <w:t>mērķis:</w:t>
            </w:r>
          </w:p>
          <w:p w:rsidR="00DB6FDE" w:rsidRPr="00BA5839" w:rsidRDefault="00DB6FDE" w:rsidP="00841C82">
            <w:pPr>
              <w:spacing w:before="120" w:line="240" w:lineRule="auto"/>
              <w:rPr>
                <w:rFonts w:ascii="Times New Roman" w:hAnsi="Times New Roman"/>
                <w:b/>
                <w:u w:val="single"/>
                <w:lang w:val="lv-LV"/>
              </w:rPr>
            </w:pPr>
            <w:r w:rsidRPr="00BA5839">
              <w:rPr>
                <w:rFonts w:ascii="Times New Roman" w:hAnsi="Times New Roman"/>
                <w:b/>
                <w:u w:val="single"/>
                <w:lang w:val="lv-LV"/>
              </w:rPr>
              <w:t>uzlabot publisko pakalpojumu efektivitāti, spēcinot kompetenci un sadarbību starp institūcijām</w:t>
            </w:r>
          </w:p>
        </w:tc>
      </w:tr>
    </w:tbl>
    <w:p w:rsidR="00DB6FDE" w:rsidRPr="00197F9C" w:rsidRDefault="00DB6FDE" w:rsidP="00D66FB7">
      <w:pPr>
        <w:pStyle w:val="Heading2"/>
        <w:rPr>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Gan Latvija, gan Lietuva apzinās nepieciešamību uzlabot publisko pakalpojumu efektivitāti. Līdzīga situācija ir arī Programmas reģionos, taču tos vairāk kā galvaspilsētas ietekmē iedzīvotāju skaita samazināšanās, salīdzinoši vājā infrastruktūra un zemais apdzīvotības blīvums. Tādējādi publisko pakalpojumu efektivitātei un to pieejamībai ir liela nozīme, un tāpēc reģionu attīstības plāni uzsver nepieciešamību uzlabot publisko pakalpojumu efektivitāti. </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Atbalstot publisko pakalpojumu efektivitātes uzlabošanu, tiek panākta sinerģija ar pārējām Programmas prioritātēm. Publisko pakalpojumu efektivitātes uzlabošana kopā ar pasākumiem nodarbinātības, mobilitātes, kā arī sociālo un vides problēmu risināšanai pozitīvi ietekmēs dzīves kvalitāti un ilgtspējīgu attīstību reģionos.</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Sadarbība starp publisko pakalpojumu sniedzējiem ir ļoti svarīgs faktors efektivitātes uzlabošanai. Tā kā drošības un pārrobežu noziedzības sfērā starp Latviju un Lietuvu jau pastāv nepieciešamais juridiskais ietvars, tad Programmas mērķis ir atbalstīt ar pārrobežu noziedzības apkarošanu un novēršanu saistītās praktiskās darbības un uzlabot sabiedrības drošību.</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Saistībā ar pakalpojumiem ko neaptver pārējās Programmas prioritātes, pārrobežu sadarbība dod priekšrocības, piemēram, palielina pakalpojumu pieejamību, nodrošina pieredzes apmaiņu, kā arī nodibina sadarbības tradīcijas un padara to ilgtspējīgu. Programmas mērķis ir nodrošināt sadarbību starp organizācijām, kas sniedz publiskos pakalpojumus, kā arī atbalstīt sadarbību starp iedzīvotājiem un institūcijām. Programmas ietvaros uzmanība tiks vērsta uz pašvaldību un iestāžu deleģētajām funkcijām. Sagaidāms, ka projektu partneri īstenos juridiska un administratīva rakstura sadarbību, kā arī apmainīsies ar pieredzi un praktiskiem risinājumiem. Sadarbības pievienotā vērtība ir novērojama dažādās sfērās, piemēram, risku vadība, izpēte un inovācijas (piemēram, samazinot administratīvo slogu reģionos) u.c. Līdzās juridiska un administratīva rakstura sadarbībai, sabiedrības iesaistīšanās lēmumu pieņemšanas procesā ir vērtīgs līdzeklis, lai palielinātu publisko pakalpojumu efektivitāti un pārskatāmību.     </w:t>
      </w:r>
    </w:p>
    <w:p w:rsidR="00E302F6" w:rsidRDefault="00E302F6" w:rsidP="00E302F6">
      <w:pPr>
        <w:spacing w:before="120" w:line="240" w:lineRule="auto"/>
        <w:ind w:right="-432"/>
        <w:rPr>
          <w:rFonts w:ascii="Times New Roman" w:hAnsi="Times New Roman"/>
          <w:b/>
          <w:u w:val="single"/>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b/>
          <w:u w:val="single"/>
          <w:lang w:val="lv-LV"/>
        </w:rPr>
        <w:lastRenderedPageBreak/>
        <w:t>Sagaidāmais rezultāts:</w:t>
      </w:r>
      <w:r w:rsidRPr="00BA5839">
        <w:rPr>
          <w:rFonts w:ascii="Times New Roman" w:hAnsi="Times New Roman"/>
          <w:b/>
          <w:lang w:val="lv-LV"/>
        </w:rPr>
        <w:t xml:space="preserve"> </w:t>
      </w:r>
      <w:r w:rsidRPr="00BA5839">
        <w:rPr>
          <w:rFonts w:ascii="Times New Roman" w:hAnsi="Times New Roman"/>
          <w:lang w:val="lv-LV"/>
        </w:rPr>
        <w:t>publisko pakalpojumu efektivitātes uzlabošana, ieviešot jaunus pārrobežu sadarbības risinājumus.</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1277"/>
        <w:gridCol w:w="1132"/>
        <w:gridCol w:w="1560"/>
        <w:gridCol w:w="857"/>
        <w:gridCol w:w="1249"/>
        <w:gridCol w:w="1295"/>
        <w:gridCol w:w="1270"/>
      </w:tblGrid>
      <w:tr w:rsidR="00575D23" w:rsidRPr="00BA5839" w:rsidTr="00E21E6A">
        <w:trPr>
          <w:trHeight w:val="870"/>
        </w:trPr>
        <w:tc>
          <w:tcPr>
            <w:tcW w:w="435" w:type="pct"/>
            <w:tcBorders>
              <w:top w:val="single" w:sz="4" w:space="0" w:color="auto"/>
              <w:left w:val="single" w:sz="4" w:space="0" w:color="auto"/>
              <w:bottom w:val="single" w:sz="4" w:space="0" w:color="auto"/>
              <w:right w:val="single" w:sz="4" w:space="0" w:color="auto"/>
            </w:tcBorders>
            <w:hideMark/>
          </w:tcPr>
          <w:p w:rsidR="00575D23" w:rsidRPr="00BA5839" w:rsidRDefault="00575D23"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A5839">
              <w:rPr>
                <w:rFonts w:ascii="Times New Roman" w:hAnsi="Times New Roman"/>
                <w:b/>
                <w:sz w:val="18"/>
                <w:szCs w:val="18"/>
                <w:lang w:val="lv-LV"/>
              </w:rPr>
              <w:t>ID</w:t>
            </w:r>
          </w:p>
        </w:tc>
        <w:tc>
          <w:tcPr>
            <w:tcW w:w="674" w:type="pct"/>
            <w:tcBorders>
              <w:top w:val="single" w:sz="4" w:space="0" w:color="auto"/>
              <w:left w:val="single" w:sz="4" w:space="0" w:color="auto"/>
              <w:bottom w:val="single" w:sz="4" w:space="0" w:color="auto"/>
              <w:right w:val="single" w:sz="4" w:space="0" w:color="auto"/>
            </w:tcBorders>
            <w:hideMark/>
          </w:tcPr>
          <w:p w:rsidR="00575D23" w:rsidRPr="00BA5839" w:rsidRDefault="00575D23"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A5839">
              <w:rPr>
                <w:rFonts w:ascii="Times New Roman" w:hAnsi="Times New Roman"/>
                <w:b/>
                <w:sz w:val="18"/>
                <w:szCs w:val="18"/>
                <w:lang w:val="lv-LV"/>
              </w:rPr>
              <w:t>R</w:t>
            </w:r>
            <w:r>
              <w:rPr>
                <w:rFonts w:ascii="Times New Roman" w:hAnsi="Times New Roman"/>
                <w:b/>
                <w:sz w:val="18"/>
                <w:szCs w:val="18"/>
                <w:lang w:val="lv-LV"/>
              </w:rPr>
              <w:t xml:space="preserve">ezultatīvais </w:t>
            </w:r>
            <w:r w:rsidRPr="00BA5839">
              <w:rPr>
                <w:rFonts w:ascii="Times New Roman" w:hAnsi="Times New Roman"/>
                <w:b/>
                <w:sz w:val="18"/>
                <w:szCs w:val="18"/>
                <w:lang w:val="lv-LV"/>
              </w:rPr>
              <w:t>ādītājs</w:t>
            </w:r>
          </w:p>
        </w:tc>
        <w:tc>
          <w:tcPr>
            <w:tcW w:w="598" w:type="pct"/>
            <w:tcBorders>
              <w:top w:val="single" w:sz="4" w:space="0" w:color="auto"/>
              <w:left w:val="single" w:sz="4" w:space="0" w:color="auto"/>
              <w:bottom w:val="single" w:sz="4" w:space="0" w:color="auto"/>
              <w:right w:val="single" w:sz="4" w:space="0" w:color="auto"/>
            </w:tcBorders>
            <w:hideMark/>
          </w:tcPr>
          <w:p w:rsidR="00575D23" w:rsidRPr="00BA5839" w:rsidRDefault="00575D23" w:rsidP="00E302F6">
            <w:pPr>
              <w:snapToGrid w:val="0"/>
              <w:spacing w:before="120" w:line="240" w:lineRule="auto"/>
              <w:rPr>
                <w:rFonts w:ascii="Times New Roman" w:hAnsi="Times New Roman"/>
                <w:b/>
                <w:sz w:val="18"/>
                <w:szCs w:val="18"/>
                <w:lang w:val="lv-LV"/>
              </w:rPr>
            </w:pPr>
            <w:r w:rsidRPr="00BA5839">
              <w:rPr>
                <w:rFonts w:ascii="Times New Roman" w:hAnsi="Times New Roman"/>
                <w:b/>
                <w:sz w:val="18"/>
                <w:szCs w:val="18"/>
                <w:lang w:val="lv-LV"/>
              </w:rPr>
              <w:t>Mērvienība</w:t>
            </w:r>
          </w:p>
        </w:tc>
        <w:tc>
          <w:tcPr>
            <w:tcW w:w="824" w:type="pct"/>
            <w:tcBorders>
              <w:top w:val="single" w:sz="4" w:space="0" w:color="auto"/>
              <w:left w:val="single" w:sz="4" w:space="0" w:color="auto"/>
              <w:bottom w:val="single" w:sz="4" w:space="0" w:color="auto"/>
              <w:right w:val="single" w:sz="4" w:space="0" w:color="auto"/>
            </w:tcBorders>
            <w:hideMark/>
          </w:tcPr>
          <w:p w:rsidR="00575D23" w:rsidRPr="00BA5839" w:rsidRDefault="00575D23" w:rsidP="00E302F6">
            <w:pPr>
              <w:pStyle w:val="ListBullet"/>
              <w:numPr>
                <w:ilvl w:val="0"/>
                <w:numId w:val="0"/>
              </w:numPr>
              <w:tabs>
                <w:tab w:val="left" w:pos="720"/>
              </w:tabs>
              <w:spacing w:before="120" w:line="240" w:lineRule="auto"/>
              <w:rPr>
                <w:rFonts w:ascii="Times New Roman" w:hAnsi="Times New Roman"/>
                <w:b/>
                <w:sz w:val="18"/>
                <w:szCs w:val="18"/>
                <w:lang w:val="lv-LV"/>
              </w:rPr>
            </w:pPr>
            <w:r>
              <w:rPr>
                <w:rFonts w:ascii="Times New Roman" w:hAnsi="Times New Roman"/>
                <w:b/>
                <w:sz w:val="18"/>
                <w:szCs w:val="18"/>
                <w:lang w:val="lv-LV"/>
              </w:rPr>
              <w:t>Atsauces</w:t>
            </w:r>
            <w:r w:rsidRPr="00BA5839">
              <w:rPr>
                <w:rFonts w:ascii="Times New Roman" w:hAnsi="Times New Roman"/>
                <w:b/>
                <w:sz w:val="18"/>
                <w:szCs w:val="18"/>
                <w:lang w:val="lv-LV"/>
              </w:rPr>
              <w:t xml:space="preserve"> vērtība </w:t>
            </w:r>
          </w:p>
        </w:tc>
        <w:tc>
          <w:tcPr>
            <w:tcW w:w="453" w:type="pct"/>
            <w:tcBorders>
              <w:top w:val="single" w:sz="4" w:space="0" w:color="auto"/>
              <w:left w:val="single" w:sz="4" w:space="0" w:color="auto"/>
              <w:bottom w:val="single" w:sz="4" w:space="0" w:color="auto"/>
              <w:right w:val="single" w:sz="4" w:space="0" w:color="auto"/>
            </w:tcBorders>
            <w:hideMark/>
          </w:tcPr>
          <w:p w:rsidR="00575D23" w:rsidRPr="00BA5839" w:rsidRDefault="00575D23" w:rsidP="00E302F6">
            <w:pPr>
              <w:snapToGrid w:val="0"/>
              <w:spacing w:before="120" w:line="240" w:lineRule="auto"/>
              <w:rPr>
                <w:rFonts w:ascii="Times New Roman" w:hAnsi="Times New Roman"/>
                <w:b/>
                <w:sz w:val="18"/>
                <w:szCs w:val="18"/>
                <w:lang w:val="lv-LV"/>
              </w:rPr>
            </w:pPr>
            <w:r>
              <w:rPr>
                <w:rFonts w:ascii="Times New Roman" w:hAnsi="Times New Roman"/>
                <w:b/>
                <w:sz w:val="18"/>
                <w:szCs w:val="18"/>
                <w:lang w:val="lv-LV"/>
              </w:rPr>
              <w:t>Atsauce</w:t>
            </w:r>
            <w:r w:rsidRPr="00BA5839">
              <w:rPr>
                <w:rFonts w:ascii="Times New Roman" w:hAnsi="Times New Roman"/>
                <w:b/>
                <w:sz w:val="18"/>
                <w:szCs w:val="18"/>
                <w:lang w:val="lv-LV"/>
              </w:rPr>
              <w:t>s gads</w:t>
            </w:r>
          </w:p>
        </w:tc>
        <w:tc>
          <w:tcPr>
            <w:tcW w:w="660" w:type="pct"/>
            <w:tcBorders>
              <w:top w:val="single" w:sz="4" w:space="0" w:color="auto"/>
              <w:left w:val="single" w:sz="4" w:space="0" w:color="auto"/>
              <w:bottom w:val="single" w:sz="4" w:space="0" w:color="auto"/>
              <w:right w:val="single" w:sz="4" w:space="0" w:color="auto"/>
            </w:tcBorders>
            <w:hideMark/>
          </w:tcPr>
          <w:p w:rsidR="00575D23" w:rsidRPr="00BA5839" w:rsidRDefault="00575D23"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A5839">
              <w:rPr>
                <w:rFonts w:ascii="Times New Roman" w:hAnsi="Times New Roman"/>
                <w:b/>
                <w:sz w:val="18"/>
                <w:szCs w:val="18"/>
                <w:lang w:val="lv-LV"/>
              </w:rPr>
              <w:t>Mērķ</w:t>
            </w:r>
            <w:r>
              <w:rPr>
                <w:rFonts w:ascii="Times New Roman" w:hAnsi="Times New Roman"/>
                <w:b/>
                <w:sz w:val="18"/>
                <w:szCs w:val="18"/>
                <w:lang w:val="lv-LV"/>
              </w:rPr>
              <w:t>-</w:t>
            </w:r>
            <w:r w:rsidRPr="00BA5839">
              <w:rPr>
                <w:rFonts w:ascii="Times New Roman" w:hAnsi="Times New Roman"/>
                <w:b/>
                <w:sz w:val="18"/>
                <w:szCs w:val="18"/>
                <w:lang w:val="lv-LV"/>
              </w:rPr>
              <w:t xml:space="preserve">vērtība (2023) </w:t>
            </w:r>
          </w:p>
        </w:tc>
        <w:tc>
          <w:tcPr>
            <w:tcW w:w="684" w:type="pct"/>
            <w:tcBorders>
              <w:top w:val="single" w:sz="4" w:space="0" w:color="auto"/>
              <w:left w:val="single" w:sz="4" w:space="0" w:color="auto"/>
              <w:bottom w:val="single" w:sz="4" w:space="0" w:color="auto"/>
              <w:right w:val="single" w:sz="4" w:space="0" w:color="auto"/>
            </w:tcBorders>
            <w:hideMark/>
          </w:tcPr>
          <w:p w:rsidR="00575D23" w:rsidRPr="00BA5839" w:rsidRDefault="00575D23"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BA5839">
              <w:rPr>
                <w:rFonts w:ascii="Times New Roman" w:hAnsi="Times New Roman"/>
                <w:b/>
                <w:sz w:val="18"/>
                <w:szCs w:val="18"/>
                <w:lang w:val="lv-LV"/>
              </w:rPr>
              <w:t>Datu avots</w:t>
            </w:r>
          </w:p>
        </w:tc>
        <w:tc>
          <w:tcPr>
            <w:tcW w:w="671" w:type="pct"/>
            <w:tcBorders>
              <w:top w:val="single" w:sz="4" w:space="0" w:color="auto"/>
              <w:left w:val="single" w:sz="4" w:space="0" w:color="auto"/>
              <w:bottom w:val="single" w:sz="4" w:space="0" w:color="auto"/>
              <w:right w:val="single" w:sz="4" w:space="0" w:color="auto"/>
            </w:tcBorders>
            <w:hideMark/>
          </w:tcPr>
          <w:p w:rsidR="00575D23" w:rsidRPr="00B81180" w:rsidRDefault="00575D23"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Ziņojuma</w:t>
            </w:r>
          </w:p>
          <w:p w:rsidR="00575D23" w:rsidRPr="00B81180" w:rsidRDefault="00575D23" w:rsidP="00E302F6">
            <w:pPr>
              <w:pStyle w:val="Bodytext50"/>
              <w:shd w:val="clear" w:color="auto" w:fill="auto"/>
              <w:spacing w:before="120" w:after="120" w:line="240" w:lineRule="auto"/>
              <w:ind w:firstLine="0"/>
              <w:rPr>
                <w:rFonts w:ascii="Times New Roman" w:hAnsi="Times New Roman" w:cs="Arial Narrow"/>
                <w:sz w:val="20"/>
                <w:szCs w:val="20"/>
                <w:lang w:val="lv-LV" w:bidi="en-US"/>
              </w:rPr>
            </w:pPr>
            <w:r w:rsidRPr="00B81180">
              <w:rPr>
                <w:rFonts w:ascii="Times New Roman" w:hAnsi="Times New Roman" w:cs="Arial Narrow"/>
                <w:sz w:val="20"/>
                <w:szCs w:val="20"/>
                <w:lang w:val="lv-LV" w:bidi="en-US"/>
              </w:rPr>
              <w:t>iesniegšanas</w:t>
            </w:r>
          </w:p>
          <w:p w:rsidR="00575D23" w:rsidRPr="00BA5839" w:rsidRDefault="00575D23" w:rsidP="00E302F6">
            <w:pPr>
              <w:pStyle w:val="ListBullet"/>
              <w:numPr>
                <w:ilvl w:val="0"/>
                <w:numId w:val="0"/>
              </w:numPr>
              <w:tabs>
                <w:tab w:val="left" w:pos="720"/>
              </w:tabs>
              <w:spacing w:before="120" w:line="240" w:lineRule="auto"/>
              <w:rPr>
                <w:rFonts w:ascii="Times New Roman" w:hAnsi="Times New Roman"/>
                <w:b/>
                <w:sz w:val="18"/>
                <w:szCs w:val="18"/>
                <w:lang w:val="lv-LV"/>
              </w:rPr>
            </w:pPr>
            <w:r w:rsidRPr="00FC1594">
              <w:rPr>
                <w:rFonts w:ascii="Times New Roman" w:hAnsi="Times New Roman"/>
                <w:sz w:val="20"/>
                <w:szCs w:val="20"/>
                <w:lang w:val="lv-LV" w:bidi="en-US"/>
              </w:rPr>
              <w:t>biežums</w:t>
            </w:r>
          </w:p>
        </w:tc>
      </w:tr>
      <w:tr w:rsidR="0015028C" w:rsidRPr="00BA5839" w:rsidTr="00E21E6A">
        <w:trPr>
          <w:trHeight w:val="1729"/>
        </w:trPr>
        <w:tc>
          <w:tcPr>
            <w:tcW w:w="435" w:type="pct"/>
            <w:tcBorders>
              <w:top w:val="single" w:sz="4" w:space="0" w:color="auto"/>
              <w:left w:val="single" w:sz="4" w:space="0" w:color="auto"/>
              <w:bottom w:val="single" w:sz="4" w:space="0" w:color="auto"/>
              <w:right w:val="single" w:sz="4" w:space="0" w:color="auto"/>
            </w:tcBorders>
            <w:hideMark/>
          </w:tcPr>
          <w:p w:rsidR="0015028C" w:rsidRPr="00BA5839" w:rsidRDefault="0015028C" w:rsidP="00E302F6">
            <w:pPr>
              <w:pStyle w:val="Text1"/>
              <w:spacing w:before="120" w:line="240" w:lineRule="auto"/>
              <w:ind w:left="0"/>
              <w:jc w:val="left"/>
              <w:rPr>
                <w:sz w:val="18"/>
                <w:szCs w:val="18"/>
                <w:lang w:val="lv-LV"/>
              </w:rPr>
            </w:pPr>
            <w:r w:rsidRPr="00BA2B1E">
              <w:rPr>
                <w:rFonts w:ascii="Verdana" w:hAnsi="Verdana"/>
                <w:sz w:val="16"/>
                <w:szCs w:val="16"/>
              </w:rPr>
              <w:t>4.1.R1</w:t>
            </w:r>
          </w:p>
        </w:tc>
        <w:tc>
          <w:tcPr>
            <w:tcW w:w="674" w:type="pct"/>
            <w:tcBorders>
              <w:top w:val="single" w:sz="4" w:space="0" w:color="auto"/>
              <w:left w:val="single" w:sz="4" w:space="0" w:color="auto"/>
              <w:bottom w:val="single" w:sz="4" w:space="0" w:color="auto"/>
              <w:right w:val="single" w:sz="4" w:space="0" w:color="auto"/>
            </w:tcBorders>
            <w:hideMark/>
          </w:tcPr>
          <w:p w:rsidR="0015028C" w:rsidRPr="00BA5839" w:rsidRDefault="0015028C" w:rsidP="00E302F6">
            <w:pPr>
              <w:pStyle w:val="Text1"/>
              <w:spacing w:before="120" w:line="240" w:lineRule="auto"/>
              <w:ind w:left="0"/>
              <w:jc w:val="left"/>
              <w:rPr>
                <w:sz w:val="18"/>
                <w:szCs w:val="18"/>
                <w:lang w:val="lv-LV"/>
              </w:rPr>
            </w:pPr>
            <w:r>
              <w:rPr>
                <w:sz w:val="18"/>
                <w:szCs w:val="18"/>
                <w:lang w:val="lv-LV"/>
              </w:rPr>
              <w:t xml:space="preserve"> Kopīgo risinājumu skaits</w:t>
            </w:r>
            <w:r w:rsidRPr="00BA5839">
              <w:rPr>
                <w:sz w:val="18"/>
                <w:szCs w:val="18"/>
                <w:lang w:val="lv-LV"/>
              </w:rPr>
              <w:t xml:space="preserve"> </w:t>
            </w:r>
            <w:r>
              <w:rPr>
                <w:sz w:val="18"/>
                <w:szCs w:val="18"/>
                <w:lang w:val="lv-LV"/>
              </w:rPr>
              <w:t xml:space="preserve">sabiedriskoo pakalpojumu uzlabošanai </w:t>
            </w:r>
          </w:p>
        </w:tc>
        <w:tc>
          <w:tcPr>
            <w:tcW w:w="598" w:type="pct"/>
            <w:tcBorders>
              <w:top w:val="single" w:sz="4" w:space="0" w:color="auto"/>
              <w:left w:val="single" w:sz="4" w:space="0" w:color="auto"/>
              <w:bottom w:val="single" w:sz="4" w:space="0" w:color="auto"/>
              <w:right w:val="single" w:sz="4" w:space="0" w:color="auto"/>
            </w:tcBorders>
            <w:hideMark/>
          </w:tcPr>
          <w:p w:rsidR="0015028C" w:rsidRPr="00BA5839" w:rsidRDefault="0015028C" w:rsidP="00E302F6">
            <w:pPr>
              <w:snapToGrid w:val="0"/>
              <w:spacing w:before="120" w:line="240" w:lineRule="auto"/>
              <w:rPr>
                <w:rFonts w:ascii="Times New Roman" w:hAnsi="Times New Roman"/>
                <w:sz w:val="18"/>
                <w:szCs w:val="18"/>
                <w:lang w:val="lv-LV"/>
              </w:rPr>
            </w:pPr>
            <w:r>
              <w:rPr>
                <w:rFonts w:ascii="Times New Roman" w:hAnsi="Times New Roman"/>
                <w:sz w:val="18"/>
                <w:szCs w:val="18"/>
                <w:lang w:val="lv-LV"/>
              </w:rPr>
              <w:t>Vienības</w:t>
            </w:r>
          </w:p>
        </w:tc>
        <w:tc>
          <w:tcPr>
            <w:tcW w:w="824" w:type="pct"/>
            <w:tcBorders>
              <w:top w:val="single" w:sz="4" w:space="0" w:color="auto"/>
              <w:left w:val="single" w:sz="4" w:space="0" w:color="auto"/>
              <w:bottom w:val="single" w:sz="4" w:space="0" w:color="auto"/>
              <w:right w:val="single" w:sz="4" w:space="0" w:color="auto"/>
            </w:tcBorders>
          </w:tcPr>
          <w:p w:rsidR="0015028C" w:rsidRPr="00BA5839" w:rsidRDefault="0015028C" w:rsidP="00E302F6">
            <w:pPr>
              <w:pStyle w:val="ListBullet"/>
              <w:numPr>
                <w:ilvl w:val="0"/>
                <w:numId w:val="0"/>
              </w:numPr>
              <w:tabs>
                <w:tab w:val="left" w:pos="720"/>
              </w:tabs>
              <w:spacing w:before="120" w:line="240" w:lineRule="auto"/>
              <w:jc w:val="center"/>
              <w:rPr>
                <w:rFonts w:ascii="Times New Roman" w:hAnsi="Times New Roman"/>
                <w:sz w:val="18"/>
                <w:szCs w:val="18"/>
                <w:lang w:val="lv-LV"/>
              </w:rPr>
            </w:pPr>
            <w:r>
              <w:rPr>
                <w:rFonts w:ascii="Times New Roman" w:hAnsi="Times New Roman"/>
                <w:sz w:val="18"/>
                <w:szCs w:val="18"/>
                <w:lang w:val="lv-LV"/>
              </w:rPr>
              <w:t>Skat. 3.pielikumu  ”Rīcības plāns -rezultatīvā rādītāja atsauces vērtības un mērķvērtības aprēķins”</w:t>
            </w:r>
            <w:r w:rsidDel="00C419BF">
              <w:rPr>
                <w:rFonts w:ascii="Times New Roman" w:hAnsi="Times New Roman"/>
                <w:sz w:val="18"/>
                <w:szCs w:val="18"/>
                <w:lang w:val="lv-LV"/>
              </w:rPr>
              <w:t xml:space="preserve"> </w:t>
            </w:r>
          </w:p>
        </w:tc>
        <w:tc>
          <w:tcPr>
            <w:tcW w:w="453" w:type="pct"/>
            <w:tcBorders>
              <w:top w:val="single" w:sz="4" w:space="0" w:color="auto"/>
              <w:left w:val="single" w:sz="4" w:space="0" w:color="auto"/>
              <w:bottom w:val="single" w:sz="4" w:space="0" w:color="auto"/>
              <w:right w:val="single" w:sz="4" w:space="0" w:color="auto"/>
            </w:tcBorders>
            <w:hideMark/>
          </w:tcPr>
          <w:p w:rsidR="0015028C" w:rsidRPr="00BA5839" w:rsidRDefault="0015028C" w:rsidP="00E302F6">
            <w:pPr>
              <w:snapToGrid w:val="0"/>
              <w:spacing w:before="120" w:line="240" w:lineRule="auto"/>
              <w:rPr>
                <w:rFonts w:ascii="Times New Roman" w:hAnsi="Times New Roman"/>
                <w:sz w:val="18"/>
                <w:szCs w:val="18"/>
                <w:lang w:val="lv-LV"/>
              </w:rPr>
            </w:pPr>
            <w:r w:rsidRPr="00BA5839">
              <w:rPr>
                <w:rFonts w:ascii="Times New Roman" w:hAnsi="Times New Roman"/>
                <w:sz w:val="18"/>
                <w:szCs w:val="18"/>
                <w:lang w:val="lv-LV"/>
              </w:rPr>
              <w:t>201</w:t>
            </w:r>
            <w:r>
              <w:rPr>
                <w:rFonts w:ascii="Times New Roman" w:hAnsi="Times New Roman"/>
                <w:sz w:val="18"/>
                <w:szCs w:val="18"/>
                <w:lang w:val="lv-LV"/>
              </w:rPr>
              <w:t>4</w:t>
            </w:r>
          </w:p>
        </w:tc>
        <w:tc>
          <w:tcPr>
            <w:tcW w:w="660" w:type="pct"/>
            <w:tcBorders>
              <w:top w:val="single" w:sz="4" w:space="0" w:color="auto"/>
              <w:left w:val="single" w:sz="4" w:space="0" w:color="auto"/>
              <w:bottom w:val="single" w:sz="4" w:space="0" w:color="auto"/>
              <w:right w:val="single" w:sz="4" w:space="0" w:color="auto"/>
            </w:tcBorders>
          </w:tcPr>
          <w:p w:rsidR="0015028C" w:rsidRPr="00BA5839" w:rsidRDefault="0015028C" w:rsidP="00E302F6">
            <w:pPr>
              <w:pStyle w:val="ListBullet"/>
              <w:numPr>
                <w:ilvl w:val="0"/>
                <w:numId w:val="0"/>
              </w:numPr>
              <w:tabs>
                <w:tab w:val="left" w:pos="720"/>
              </w:tabs>
              <w:spacing w:before="120" w:line="240" w:lineRule="auto"/>
              <w:rPr>
                <w:rFonts w:ascii="Times New Roman" w:hAnsi="Times New Roman"/>
                <w:sz w:val="18"/>
                <w:szCs w:val="18"/>
                <w:lang w:val="lv-LV"/>
              </w:rPr>
            </w:pPr>
            <w:r>
              <w:rPr>
                <w:rFonts w:ascii="Times New Roman" w:hAnsi="Times New Roman"/>
                <w:sz w:val="18"/>
                <w:szCs w:val="18"/>
                <w:lang w:val="lv-LV"/>
              </w:rPr>
              <w:t>Skat. 3.pielikumu  ”Rīcības plāns -rezultatīvā rādītāja atsauces vērtības un mērķvērtības aprēķins”</w:t>
            </w:r>
            <w:r w:rsidDel="00C419BF">
              <w:rPr>
                <w:rFonts w:ascii="Times New Roman" w:hAnsi="Times New Roman"/>
                <w:sz w:val="18"/>
                <w:szCs w:val="18"/>
                <w:lang w:val="lv-LV"/>
              </w:rP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15028C" w:rsidRPr="00BA5839" w:rsidRDefault="0015028C" w:rsidP="00E302F6">
            <w:pPr>
              <w:pStyle w:val="ListBullet"/>
              <w:numPr>
                <w:ilvl w:val="0"/>
                <w:numId w:val="0"/>
              </w:numPr>
              <w:tabs>
                <w:tab w:val="left" w:pos="720"/>
              </w:tabs>
              <w:spacing w:before="120" w:line="240" w:lineRule="auto"/>
              <w:rPr>
                <w:rFonts w:ascii="Times New Roman" w:hAnsi="Times New Roman"/>
                <w:sz w:val="18"/>
                <w:szCs w:val="18"/>
                <w:lang w:val="lv-LV"/>
              </w:rPr>
            </w:pPr>
            <w:r>
              <w:rPr>
                <w:rFonts w:ascii="Times New Roman" w:hAnsi="Times New Roman"/>
                <w:sz w:val="18"/>
                <w:szCs w:val="18"/>
                <w:lang w:val="lv-LV"/>
              </w:rPr>
              <w:t>Aptauja</w:t>
            </w:r>
          </w:p>
        </w:tc>
        <w:tc>
          <w:tcPr>
            <w:tcW w:w="671" w:type="pct"/>
            <w:tcBorders>
              <w:top w:val="single" w:sz="4" w:space="0" w:color="auto"/>
              <w:left w:val="single" w:sz="4" w:space="0" w:color="auto"/>
              <w:bottom w:val="single" w:sz="4" w:space="0" w:color="auto"/>
              <w:right w:val="single" w:sz="4" w:space="0" w:color="auto"/>
            </w:tcBorders>
            <w:hideMark/>
          </w:tcPr>
          <w:p w:rsidR="0015028C" w:rsidRPr="00BA5839" w:rsidRDefault="0015028C" w:rsidP="00E302F6">
            <w:pPr>
              <w:pStyle w:val="ListBullet"/>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 xml:space="preserve">vienreiz, </w:t>
            </w:r>
            <w:r w:rsidRPr="00BA5839">
              <w:rPr>
                <w:rFonts w:ascii="Times New Roman" w:hAnsi="Times New Roman"/>
                <w:sz w:val="18"/>
                <w:szCs w:val="18"/>
                <w:lang w:val="lv-LV"/>
              </w:rPr>
              <w:t>2023</w:t>
            </w:r>
            <w:r>
              <w:rPr>
                <w:rFonts w:ascii="Times New Roman" w:hAnsi="Times New Roman"/>
                <w:sz w:val="18"/>
                <w:szCs w:val="18"/>
                <w:lang w:val="lv-LV"/>
              </w:rPr>
              <w:t>.gadā</w:t>
            </w:r>
          </w:p>
        </w:tc>
      </w:tr>
    </w:tbl>
    <w:p w:rsidR="00DB6FDE" w:rsidRDefault="00DB6FDE" w:rsidP="00D66FB7">
      <w:pPr>
        <w:pStyle w:val="Heading2"/>
      </w:pPr>
    </w:p>
    <w:p w:rsidR="00DB6FDE" w:rsidRPr="00BA5839" w:rsidRDefault="00DB6FDE" w:rsidP="00E302F6">
      <w:pPr>
        <w:spacing w:before="120" w:line="240" w:lineRule="auto"/>
        <w:rPr>
          <w:rFonts w:ascii="Times New Roman" w:hAnsi="Times New Roman"/>
          <w:b/>
          <w:u w:val="single"/>
          <w:lang w:val="lv-LV"/>
        </w:rPr>
      </w:pPr>
      <w:r w:rsidRPr="00BA5839">
        <w:rPr>
          <w:rFonts w:ascii="Times New Roman" w:hAnsi="Times New Roman"/>
          <w:b/>
          <w:u w:val="single"/>
          <w:lang w:val="lv-LV"/>
        </w:rPr>
        <w:t>Indikatīvs atbalstāmo darbību saraksts</w:t>
      </w:r>
    </w:p>
    <w:p w:rsidR="00DB6FDE" w:rsidRPr="00BA5839" w:rsidRDefault="00DB6FDE" w:rsidP="00E302F6">
      <w:pPr>
        <w:pStyle w:val="ListParagraph"/>
        <w:numPr>
          <w:ilvl w:val="0"/>
          <w:numId w:val="10"/>
        </w:numPr>
        <w:spacing w:before="120" w:line="240" w:lineRule="auto"/>
        <w:rPr>
          <w:rFonts w:ascii="Times New Roman" w:hAnsi="Times New Roman"/>
          <w:lang w:val="lv-LV"/>
        </w:rPr>
      </w:pPr>
      <w:r w:rsidRPr="00BA5839">
        <w:rPr>
          <w:rFonts w:ascii="Times New Roman" w:hAnsi="Times New Roman"/>
          <w:lang w:val="lv-LV"/>
        </w:rPr>
        <w:t>pārrobežu sadarbība sabiedrības aizsardzības un drošības jautājumos;</w:t>
      </w:r>
    </w:p>
    <w:p w:rsidR="00DB6FDE" w:rsidRPr="00BA5839" w:rsidRDefault="00DB6FDE" w:rsidP="00E302F6">
      <w:pPr>
        <w:numPr>
          <w:ilvl w:val="0"/>
          <w:numId w:val="10"/>
        </w:numPr>
        <w:spacing w:before="120" w:line="240" w:lineRule="auto"/>
        <w:rPr>
          <w:rFonts w:ascii="Times New Roman" w:hAnsi="Times New Roman"/>
          <w:b/>
          <w:u w:val="single"/>
          <w:lang w:val="lv-LV"/>
        </w:rPr>
      </w:pPr>
      <w:r w:rsidRPr="00BA5839">
        <w:rPr>
          <w:rFonts w:ascii="Times New Roman" w:hAnsi="Times New Roman"/>
          <w:lang w:val="lv-LV"/>
        </w:rPr>
        <w:t>nacionālo, reģionālo un vietējo institūciju kapacitātes palielināšana publisko pakalpojumu sektoros, kuri nav iekļauti pārējās Programmas prioritātes;</w:t>
      </w:r>
    </w:p>
    <w:p w:rsidR="00DB6FDE" w:rsidRPr="00BA5839" w:rsidRDefault="00DB6FDE" w:rsidP="00E302F6">
      <w:pPr>
        <w:numPr>
          <w:ilvl w:val="0"/>
          <w:numId w:val="10"/>
        </w:numPr>
        <w:spacing w:before="120" w:line="240" w:lineRule="auto"/>
        <w:rPr>
          <w:rFonts w:ascii="Times New Roman" w:hAnsi="Times New Roman"/>
          <w:b/>
          <w:u w:val="single"/>
          <w:lang w:val="lv-LV"/>
        </w:rPr>
      </w:pPr>
      <w:r w:rsidRPr="00BA5839">
        <w:rPr>
          <w:rFonts w:ascii="Times New Roman" w:hAnsi="Times New Roman"/>
          <w:lang w:val="lv-LV"/>
        </w:rPr>
        <w:t>apmācības un mentorings;</w:t>
      </w:r>
    </w:p>
    <w:p w:rsidR="00DB6FDE" w:rsidRPr="00BA5839" w:rsidRDefault="00DB6FDE" w:rsidP="00E302F6">
      <w:pPr>
        <w:numPr>
          <w:ilvl w:val="0"/>
          <w:numId w:val="10"/>
        </w:numPr>
        <w:spacing w:before="120" w:line="240" w:lineRule="auto"/>
        <w:rPr>
          <w:rFonts w:ascii="Times New Roman" w:hAnsi="Times New Roman"/>
          <w:b/>
          <w:u w:val="single"/>
          <w:lang w:val="lv-LV"/>
        </w:rPr>
      </w:pPr>
      <w:r w:rsidRPr="00BA5839">
        <w:rPr>
          <w:rFonts w:ascii="Times New Roman" w:hAnsi="Times New Roman"/>
          <w:lang w:val="lv-LV"/>
        </w:rPr>
        <w:t>apmaiņa ar labo praksi;</w:t>
      </w:r>
    </w:p>
    <w:p w:rsidR="00DB6FDE" w:rsidRPr="00BA5839" w:rsidRDefault="00DB6FDE" w:rsidP="00E302F6">
      <w:pPr>
        <w:numPr>
          <w:ilvl w:val="0"/>
          <w:numId w:val="10"/>
        </w:numPr>
        <w:spacing w:before="120" w:line="240" w:lineRule="auto"/>
        <w:rPr>
          <w:rFonts w:ascii="Times New Roman" w:hAnsi="Times New Roman"/>
          <w:b/>
          <w:u w:val="single"/>
          <w:lang w:val="lv-LV"/>
        </w:rPr>
      </w:pPr>
      <w:r w:rsidRPr="00BA5839">
        <w:rPr>
          <w:rFonts w:ascii="Times New Roman" w:hAnsi="Times New Roman"/>
          <w:lang w:val="lv-LV"/>
        </w:rPr>
        <w:t>sabiedrības iesaistīšana lēmumu pieņemšanas procesā;</w:t>
      </w:r>
    </w:p>
    <w:p w:rsidR="00DB6FDE" w:rsidRPr="00BA5839" w:rsidRDefault="00DB6FDE" w:rsidP="00E302F6">
      <w:pPr>
        <w:numPr>
          <w:ilvl w:val="0"/>
          <w:numId w:val="10"/>
        </w:numPr>
        <w:spacing w:before="120" w:line="240" w:lineRule="auto"/>
        <w:rPr>
          <w:rFonts w:ascii="Times New Roman" w:hAnsi="Times New Roman"/>
          <w:b/>
          <w:lang w:val="lv-LV"/>
        </w:rPr>
      </w:pPr>
      <w:r w:rsidRPr="00BA5839">
        <w:rPr>
          <w:rFonts w:ascii="Times New Roman" w:hAnsi="Times New Roman"/>
          <w:lang w:val="lv-LV"/>
        </w:rPr>
        <w:t>maza mēroga infrastruktūra un aprīkojums kapacitātes celšanai;</w:t>
      </w:r>
    </w:p>
    <w:p w:rsidR="00DB6FDE" w:rsidRPr="00BA5839" w:rsidRDefault="00DB6FDE" w:rsidP="00E302F6">
      <w:pPr>
        <w:numPr>
          <w:ilvl w:val="0"/>
          <w:numId w:val="10"/>
        </w:numPr>
        <w:spacing w:before="120" w:line="240" w:lineRule="auto"/>
        <w:rPr>
          <w:rFonts w:ascii="Times New Roman" w:hAnsi="Times New Roman"/>
          <w:b/>
          <w:lang w:val="lv-LV"/>
        </w:rPr>
      </w:pPr>
      <w:r w:rsidRPr="00BA5839">
        <w:rPr>
          <w:rFonts w:ascii="Times New Roman" w:hAnsi="Times New Roman"/>
          <w:lang w:val="lv-LV"/>
        </w:rPr>
        <w:t>atbalsts juridiska un administratīva rakstura sadarbībai;</w:t>
      </w:r>
    </w:p>
    <w:p w:rsidR="00DB6FDE" w:rsidRPr="00BA5839" w:rsidRDefault="00DB6FDE" w:rsidP="00E302F6">
      <w:pPr>
        <w:numPr>
          <w:ilvl w:val="0"/>
          <w:numId w:val="10"/>
        </w:numPr>
        <w:spacing w:before="120" w:line="240" w:lineRule="auto"/>
        <w:rPr>
          <w:rFonts w:ascii="Times New Roman" w:hAnsi="Times New Roman"/>
          <w:b/>
          <w:lang w:val="lv-LV"/>
        </w:rPr>
      </w:pPr>
      <w:r w:rsidRPr="00BA5839">
        <w:rPr>
          <w:rFonts w:ascii="Times New Roman" w:hAnsi="Times New Roman"/>
          <w:lang w:val="lv-LV"/>
        </w:rPr>
        <w:t>infrastruktūras aprīkojuma iegāde un uzlabošana, lai novērstu nelaimes gadījumus un cīnītos ar noziedzību.</w:t>
      </w:r>
    </w:p>
    <w:p w:rsidR="00E302F6" w:rsidRDefault="00E302F6" w:rsidP="00E302F6">
      <w:pPr>
        <w:spacing w:before="120" w:line="240" w:lineRule="auto"/>
        <w:rPr>
          <w:rFonts w:ascii="Times New Roman" w:hAnsi="Times New Roman"/>
          <w:b/>
          <w:u w:val="single"/>
          <w:lang w:val="lv-LV"/>
        </w:rPr>
      </w:pPr>
    </w:p>
    <w:p w:rsidR="00DB6FDE" w:rsidRPr="00BA5839" w:rsidRDefault="000D340E" w:rsidP="00E302F6">
      <w:pPr>
        <w:spacing w:before="120" w:line="240" w:lineRule="auto"/>
        <w:rPr>
          <w:rFonts w:ascii="Times New Roman" w:hAnsi="Times New Roman"/>
          <w:b/>
          <w:u w:val="single"/>
          <w:lang w:val="lv-LV"/>
        </w:rPr>
      </w:pPr>
      <w:r>
        <w:rPr>
          <w:rFonts w:ascii="Times New Roman" w:hAnsi="Times New Roman"/>
          <w:b/>
          <w:u w:val="single"/>
          <w:lang w:val="lv-LV"/>
        </w:rPr>
        <w:t>Iznākumu</w:t>
      </w:r>
      <w:r w:rsidRPr="00BA5839">
        <w:rPr>
          <w:rFonts w:ascii="Times New Roman" w:hAnsi="Times New Roman"/>
          <w:b/>
          <w:u w:val="single"/>
          <w:lang w:val="lv-LV"/>
        </w:rPr>
        <w:t xml:space="preserve"> </w:t>
      </w:r>
      <w:r w:rsidR="00DB6FDE" w:rsidRPr="00BA5839">
        <w:rPr>
          <w:rFonts w:ascii="Times New Roman" w:hAnsi="Times New Roman"/>
          <w:b/>
          <w:u w:val="single"/>
          <w:lang w:val="lv-LV"/>
        </w:rPr>
        <w:t>rādītāji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
        <w:gridCol w:w="2768"/>
        <w:gridCol w:w="1807"/>
        <w:gridCol w:w="1552"/>
        <w:gridCol w:w="1964"/>
      </w:tblGrid>
      <w:tr w:rsidR="00DB6FDE" w:rsidRPr="00BA5839" w:rsidTr="0015028C">
        <w:trPr>
          <w:trHeight w:val="706"/>
          <w:jc w:val="center"/>
        </w:trPr>
        <w:tc>
          <w:tcPr>
            <w:tcW w:w="431" w:type="pct"/>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pStyle w:val="ListDash"/>
              <w:numPr>
                <w:ilvl w:val="0"/>
                <w:numId w:val="0"/>
              </w:numPr>
              <w:tabs>
                <w:tab w:val="left" w:pos="720"/>
              </w:tabs>
              <w:spacing w:before="120" w:line="240" w:lineRule="auto"/>
              <w:ind w:left="283" w:hanging="283"/>
              <w:jc w:val="left"/>
              <w:rPr>
                <w:rFonts w:ascii="Times New Roman" w:hAnsi="Times New Roman"/>
                <w:b/>
                <w:sz w:val="18"/>
                <w:szCs w:val="18"/>
                <w:lang w:val="lv-LV"/>
              </w:rPr>
            </w:pPr>
            <w:r w:rsidRPr="00BA5839">
              <w:rPr>
                <w:rFonts w:ascii="Times New Roman" w:hAnsi="Times New Roman"/>
                <w:b/>
                <w:sz w:val="18"/>
                <w:szCs w:val="18"/>
                <w:lang w:val="lv-LV"/>
              </w:rPr>
              <w:t>ID</w:t>
            </w:r>
          </w:p>
        </w:tc>
        <w:tc>
          <w:tcPr>
            <w:tcW w:w="1563" w:type="pct"/>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pStyle w:val="ListDash"/>
              <w:numPr>
                <w:ilvl w:val="0"/>
                <w:numId w:val="0"/>
              </w:numPr>
              <w:tabs>
                <w:tab w:val="left" w:pos="720"/>
              </w:tabs>
              <w:spacing w:before="120" w:line="240" w:lineRule="auto"/>
              <w:ind w:left="283" w:hanging="283"/>
              <w:jc w:val="left"/>
              <w:rPr>
                <w:rFonts w:ascii="Times New Roman" w:hAnsi="Times New Roman"/>
                <w:b/>
                <w:sz w:val="18"/>
                <w:szCs w:val="18"/>
                <w:lang w:val="lv-LV"/>
              </w:rPr>
            </w:pPr>
            <w:r w:rsidRPr="00BA5839">
              <w:rPr>
                <w:rFonts w:ascii="Times New Roman" w:hAnsi="Times New Roman"/>
                <w:b/>
                <w:sz w:val="18"/>
                <w:szCs w:val="18"/>
                <w:lang w:val="lv-LV"/>
              </w:rPr>
              <w:t>R</w:t>
            </w:r>
            <w:r w:rsidR="00575D23">
              <w:rPr>
                <w:rFonts w:ascii="Times New Roman" w:hAnsi="Times New Roman"/>
                <w:b/>
                <w:sz w:val="18"/>
                <w:szCs w:val="18"/>
                <w:lang w:val="lv-LV"/>
              </w:rPr>
              <w:t>ezultatīvais r</w:t>
            </w:r>
            <w:r w:rsidRPr="00BA5839">
              <w:rPr>
                <w:rFonts w:ascii="Times New Roman" w:hAnsi="Times New Roman"/>
                <w:b/>
                <w:sz w:val="18"/>
                <w:szCs w:val="18"/>
                <w:lang w:val="lv-LV"/>
              </w:rPr>
              <w:t>ādītājs</w:t>
            </w:r>
          </w:p>
        </w:tc>
        <w:tc>
          <w:tcPr>
            <w:tcW w:w="1020" w:type="pct"/>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pStyle w:val="ListDash"/>
              <w:numPr>
                <w:ilvl w:val="0"/>
                <w:numId w:val="0"/>
              </w:numPr>
              <w:tabs>
                <w:tab w:val="left" w:pos="720"/>
              </w:tabs>
              <w:spacing w:before="120" w:line="240" w:lineRule="auto"/>
              <w:jc w:val="left"/>
              <w:rPr>
                <w:rFonts w:ascii="Times New Roman" w:hAnsi="Times New Roman"/>
                <w:b/>
                <w:sz w:val="18"/>
                <w:szCs w:val="18"/>
                <w:lang w:val="lv-LV"/>
              </w:rPr>
            </w:pPr>
            <w:r w:rsidRPr="00BA5839">
              <w:rPr>
                <w:rFonts w:ascii="Times New Roman" w:hAnsi="Times New Roman"/>
                <w:b/>
                <w:sz w:val="18"/>
                <w:szCs w:val="18"/>
                <w:lang w:val="lv-LV"/>
              </w:rPr>
              <w:t>Mērvienība</w:t>
            </w:r>
          </w:p>
        </w:tc>
        <w:tc>
          <w:tcPr>
            <w:tcW w:w="876" w:type="pct"/>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pStyle w:val="ListDash"/>
              <w:numPr>
                <w:ilvl w:val="0"/>
                <w:numId w:val="0"/>
              </w:numPr>
              <w:tabs>
                <w:tab w:val="left" w:pos="720"/>
              </w:tabs>
              <w:spacing w:before="120" w:line="240" w:lineRule="auto"/>
              <w:jc w:val="left"/>
              <w:rPr>
                <w:rFonts w:ascii="Times New Roman" w:hAnsi="Times New Roman"/>
                <w:b/>
                <w:sz w:val="18"/>
                <w:szCs w:val="18"/>
                <w:lang w:val="lv-LV"/>
              </w:rPr>
            </w:pPr>
            <w:r w:rsidRPr="00BA5839">
              <w:rPr>
                <w:rFonts w:ascii="Times New Roman" w:hAnsi="Times New Roman"/>
                <w:b/>
                <w:sz w:val="18"/>
                <w:szCs w:val="18"/>
                <w:lang w:val="lv-LV"/>
              </w:rPr>
              <w:t>Mērķvērtība (202</w:t>
            </w:r>
            <w:r w:rsidR="0015028C">
              <w:rPr>
                <w:rFonts w:ascii="Times New Roman" w:hAnsi="Times New Roman"/>
                <w:b/>
                <w:sz w:val="18"/>
                <w:szCs w:val="18"/>
                <w:lang w:val="lv-LV"/>
              </w:rPr>
              <w:t>3</w:t>
            </w:r>
            <w:r w:rsidRPr="00BA5839">
              <w:rPr>
                <w:rFonts w:ascii="Times New Roman" w:hAnsi="Times New Roman"/>
                <w:b/>
                <w:sz w:val="18"/>
                <w:szCs w:val="18"/>
                <w:lang w:val="lv-LV"/>
              </w:rPr>
              <w:t>)</w:t>
            </w:r>
          </w:p>
        </w:tc>
        <w:tc>
          <w:tcPr>
            <w:tcW w:w="1109" w:type="pct"/>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pStyle w:val="ListDash"/>
              <w:numPr>
                <w:ilvl w:val="0"/>
                <w:numId w:val="0"/>
              </w:numPr>
              <w:tabs>
                <w:tab w:val="left" w:pos="720"/>
              </w:tabs>
              <w:spacing w:before="120" w:line="240" w:lineRule="auto"/>
              <w:jc w:val="left"/>
              <w:rPr>
                <w:rFonts w:ascii="Times New Roman" w:hAnsi="Times New Roman"/>
                <w:b/>
                <w:sz w:val="18"/>
                <w:szCs w:val="18"/>
                <w:lang w:val="lv-LV"/>
              </w:rPr>
            </w:pPr>
            <w:r w:rsidRPr="00BA5839">
              <w:rPr>
                <w:rFonts w:ascii="Times New Roman" w:hAnsi="Times New Roman"/>
                <w:b/>
                <w:sz w:val="18"/>
                <w:szCs w:val="18"/>
                <w:lang w:val="lv-LV"/>
              </w:rPr>
              <w:t>Datu avots</w:t>
            </w:r>
          </w:p>
        </w:tc>
      </w:tr>
      <w:tr w:rsidR="00DB6FDE" w:rsidRPr="00BA5839" w:rsidTr="0015028C">
        <w:trPr>
          <w:trHeight w:val="79"/>
          <w:jc w:val="center"/>
        </w:trPr>
        <w:tc>
          <w:tcPr>
            <w:tcW w:w="431" w:type="pct"/>
            <w:tcBorders>
              <w:top w:val="single" w:sz="4" w:space="0" w:color="000000"/>
              <w:left w:val="single" w:sz="4" w:space="0" w:color="000000"/>
              <w:bottom w:val="single" w:sz="4" w:space="0" w:color="000000"/>
              <w:right w:val="single" w:sz="4" w:space="0" w:color="000000"/>
            </w:tcBorders>
          </w:tcPr>
          <w:p w:rsidR="00DB6FDE" w:rsidRPr="00BA5839" w:rsidRDefault="00EC5685" w:rsidP="00E302F6">
            <w:pPr>
              <w:pStyle w:val="ListDash"/>
              <w:numPr>
                <w:ilvl w:val="0"/>
                <w:numId w:val="0"/>
              </w:numPr>
              <w:tabs>
                <w:tab w:val="left" w:pos="720"/>
              </w:tabs>
              <w:spacing w:before="120" w:line="240" w:lineRule="auto"/>
              <w:rPr>
                <w:rFonts w:ascii="Times New Roman" w:hAnsi="Times New Roman"/>
                <w:sz w:val="18"/>
                <w:szCs w:val="18"/>
                <w:lang w:val="lv-LV"/>
              </w:rPr>
            </w:pPr>
            <w:r w:rsidRPr="00BA2B1E">
              <w:rPr>
                <w:sz w:val="16"/>
                <w:szCs w:val="16"/>
              </w:rPr>
              <w:t>4.1.O1</w:t>
            </w:r>
          </w:p>
        </w:tc>
        <w:tc>
          <w:tcPr>
            <w:tcW w:w="1563" w:type="pct"/>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jc w:val="left"/>
              <w:rPr>
                <w:rFonts w:ascii="Times New Roman" w:hAnsi="Times New Roman"/>
                <w:sz w:val="18"/>
                <w:szCs w:val="18"/>
                <w:lang w:val="lv-LV"/>
              </w:rPr>
            </w:pPr>
            <w:r w:rsidRPr="00BA5839">
              <w:rPr>
                <w:rFonts w:ascii="Times New Roman" w:hAnsi="Times New Roman"/>
                <w:sz w:val="18"/>
                <w:szCs w:val="18"/>
                <w:lang w:val="lv-LV"/>
              </w:rPr>
              <w:t>Sadarbībā iesaistīto institūciju skaits</w:t>
            </w:r>
          </w:p>
        </w:tc>
        <w:tc>
          <w:tcPr>
            <w:tcW w:w="1020" w:type="pct"/>
            <w:tcBorders>
              <w:top w:val="single" w:sz="4" w:space="0" w:color="000000"/>
              <w:left w:val="single" w:sz="4" w:space="0" w:color="000000"/>
              <w:bottom w:val="single" w:sz="4" w:space="0" w:color="000000"/>
              <w:right w:val="single" w:sz="4" w:space="0" w:color="000000"/>
            </w:tcBorders>
          </w:tcPr>
          <w:p w:rsidR="00DB6FDE" w:rsidRPr="00BA5839" w:rsidRDefault="00DB6FDE" w:rsidP="00E302F6">
            <w:pPr>
              <w:pStyle w:val="ListDash"/>
              <w:numPr>
                <w:ilvl w:val="0"/>
                <w:numId w:val="0"/>
              </w:numPr>
              <w:tabs>
                <w:tab w:val="left" w:pos="720"/>
              </w:tabs>
              <w:spacing w:before="120" w:line="240" w:lineRule="auto"/>
              <w:jc w:val="left"/>
              <w:rPr>
                <w:rFonts w:ascii="Times New Roman" w:hAnsi="Times New Roman"/>
                <w:sz w:val="18"/>
                <w:szCs w:val="18"/>
                <w:lang w:val="lv-LV"/>
              </w:rPr>
            </w:pPr>
            <w:r w:rsidRPr="00BA5839">
              <w:rPr>
                <w:rFonts w:ascii="Times New Roman" w:hAnsi="Times New Roman"/>
                <w:sz w:val="18"/>
                <w:szCs w:val="18"/>
                <w:lang w:val="lv-LV"/>
              </w:rPr>
              <w:t>Vienības</w:t>
            </w:r>
          </w:p>
          <w:p w:rsidR="00DB6FDE" w:rsidRPr="00BA5839" w:rsidRDefault="00DB6FDE" w:rsidP="00E302F6">
            <w:pPr>
              <w:pStyle w:val="ListDash"/>
              <w:numPr>
                <w:ilvl w:val="0"/>
                <w:numId w:val="0"/>
              </w:numPr>
              <w:tabs>
                <w:tab w:val="left" w:pos="720"/>
              </w:tabs>
              <w:spacing w:before="120" w:line="240" w:lineRule="auto"/>
              <w:jc w:val="left"/>
              <w:rPr>
                <w:rFonts w:ascii="Times New Roman" w:hAnsi="Times New Roman"/>
                <w:sz w:val="18"/>
                <w:szCs w:val="18"/>
                <w:lang w:val="lv-LV"/>
              </w:rPr>
            </w:pPr>
          </w:p>
        </w:tc>
        <w:tc>
          <w:tcPr>
            <w:tcW w:w="876" w:type="pct"/>
            <w:tcBorders>
              <w:top w:val="single" w:sz="4" w:space="0" w:color="000000"/>
              <w:left w:val="single" w:sz="4" w:space="0" w:color="000000"/>
              <w:bottom w:val="single" w:sz="4" w:space="0" w:color="000000"/>
              <w:right w:val="single" w:sz="4" w:space="0" w:color="000000"/>
            </w:tcBorders>
          </w:tcPr>
          <w:p w:rsidR="00DB6FDE" w:rsidRPr="008B4B1A" w:rsidRDefault="008B4B1A" w:rsidP="00E302F6">
            <w:pPr>
              <w:pStyle w:val="ListDash"/>
              <w:numPr>
                <w:ilvl w:val="0"/>
                <w:numId w:val="0"/>
              </w:numPr>
              <w:tabs>
                <w:tab w:val="left" w:pos="720"/>
              </w:tabs>
              <w:spacing w:before="120" w:line="240" w:lineRule="auto"/>
              <w:jc w:val="left"/>
              <w:rPr>
                <w:rFonts w:ascii="Times New Roman" w:hAnsi="Times New Roman"/>
                <w:sz w:val="18"/>
                <w:szCs w:val="18"/>
                <w:lang w:val="lv-LV"/>
              </w:rPr>
            </w:pPr>
            <w:r>
              <w:rPr>
                <w:rFonts w:ascii="Times New Roman" w:hAnsi="Times New Roman"/>
                <w:sz w:val="18"/>
                <w:szCs w:val="18"/>
                <w:lang w:val="lv-LV"/>
              </w:rPr>
              <w:t>46</w:t>
            </w:r>
          </w:p>
        </w:tc>
        <w:tc>
          <w:tcPr>
            <w:tcW w:w="1109" w:type="pct"/>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pStyle w:val="ListDash"/>
              <w:numPr>
                <w:ilvl w:val="0"/>
                <w:numId w:val="0"/>
              </w:numPr>
              <w:tabs>
                <w:tab w:val="left" w:pos="720"/>
              </w:tabs>
              <w:spacing w:before="120" w:line="240" w:lineRule="auto"/>
              <w:jc w:val="left"/>
              <w:rPr>
                <w:rFonts w:ascii="Times New Roman" w:hAnsi="Times New Roman"/>
                <w:sz w:val="18"/>
                <w:szCs w:val="18"/>
                <w:lang w:val="lv-LV"/>
              </w:rPr>
            </w:pPr>
            <w:r w:rsidRPr="00BA5839">
              <w:rPr>
                <w:rFonts w:ascii="Times New Roman" w:hAnsi="Times New Roman"/>
                <w:sz w:val="18"/>
                <w:szCs w:val="18"/>
                <w:lang w:val="lv-LV"/>
              </w:rPr>
              <w:t>Progresa ziņojumi</w:t>
            </w:r>
          </w:p>
        </w:tc>
      </w:tr>
    </w:tbl>
    <w:p w:rsidR="0015028C" w:rsidRDefault="0015028C" w:rsidP="00E302F6">
      <w:pPr>
        <w:spacing w:before="120" w:line="240" w:lineRule="auto"/>
        <w:rPr>
          <w:rFonts w:ascii="Times New Roman" w:hAnsi="Times New Roman"/>
          <w:b/>
          <w:u w:val="single"/>
          <w:lang w:val="lv-LV"/>
        </w:rPr>
      </w:pPr>
      <w:bookmarkStart w:id="27" w:name="_Toc384383731"/>
    </w:p>
    <w:p w:rsidR="0015028C" w:rsidRPr="00CD6D0C" w:rsidRDefault="0015028C" w:rsidP="00E302F6">
      <w:pPr>
        <w:spacing w:before="120" w:line="240" w:lineRule="auto"/>
        <w:rPr>
          <w:rFonts w:ascii="Times New Roman" w:hAnsi="Times New Roman"/>
          <w:b/>
          <w:u w:val="single"/>
          <w:lang w:val="lv-LV"/>
        </w:rPr>
      </w:pPr>
      <w:r w:rsidRPr="00CD6D0C">
        <w:rPr>
          <w:rFonts w:ascii="Times New Roman" w:hAnsi="Times New Roman"/>
          <w:b/>
          <w:u w:val="single"/>
          <w:lang w:val="lv-LV"/>
        </w:rPr>
        <w:t>Darbību atlases pamatprincipi</w:t>
      </w:r>
    </w:p>
    <w:p w:rsidR="0015028C" w:rsidRPr="00CD6D0C" w:rsidRDefault="0015028C" w:rsidP="00D66FB7">
      <w:pPr>
        <w:pStyle w:val="Heading2"/>
      </w:pPr>
      <w:r>
        <w:rPr>
          <w:lang w:val="lv-LV"/>
        </w:rPr>
        <w:t>Projektu atlases</w:t>
      </w:r>
      <w:r w:rsidRPr="00B66B1A">
        <w:rPr>
          <w:lang w:val="lv-LV"/>
        </w:rPr>
        <w:t xml:space="preserve"> princip</w:t>
      </w:r>
      <w:r>
        <w:rPr>
          <w:lang w:val="lv-LV"/>
        </w:rPr>
        <w:t>u d</w:t>
      </w:r>
      <w:r w:rsidRPr="00B66B1A">
        <w:rPr>
          <w:lang w:val="lv-LV"/>
        </w:rPr>
        <w:t>etalizēta kārtība noteikta 5.3. punktā</w:t>
      </w:r>
    </w:p>
    <w:p w:rsidR="00812136" w:rsidRDefault="00812136" w:rsidP="00D66FB7">
      <w:pPr>
        <w:pStyle w:val="Heading2"/>
        <w:sectPr w:rsidR="00812136" w:rsidSect="00CD5A7D">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pPr>
    </w:p>
    <w:p w:rsidR="00470200" w:rsidRDefault="00DB6FDE" w:rsidP="00D66FB7">
      <w:pPr>
        <w:pStyle w:val="Heading2"/>
      </w:pPr>
      <w:r>
        <w:lastRenderedPageBreak/>
        <w:t>2.5</w:t>
      </w:r>
      <w:r w:rsidRPr="00BA5839">
        <w:t xml:space="preserve">. </w:t>
      </w:r>
      <w:r w:rsidR="00575D23">
        <w:rPr>
          <w:rStyle w:val="italic"/>
        </w:rPr>
        <w:t>Darbības rezultātu satvars</w:t>
      </w:r>
      <w:bookmarkEnd w:id="27"/>
    </w:p>
    <w:p w:rsidR="00DB6FDE" w:rsidRDefault="00EC5685" w:rsidP="00E302F6">
      <w:pPr>
        <w:spacing w:before="120" w:line="240" w:lineRule="auto"/>
        <w:rPr>
          <w:rFonts w:ascii="Times New Roman" w:hAnsi="Times New Roman"/>
          <w:b/>
          <w:lang w:val="lv-LV" w:eastAsia="fr-BE"/>
        </w:rPr>
      </w:pPr>
      <w:r>
        <w:rPr>
          <w:rFonts w:ascii="Times New Roman" w:hAnsi="Times New Roman"/>
          <w:b/>
          <w:lang w:val="lv-LV" w:eastAsia="fr-BE"/>
        </w:rPr>
        <w:t>4.t</w:t>
      </w:r>
      <w:r w:rsidR="004E0D5B" w:rsidRPr="004E0D5B">
        <w:rPr>
          <w:rFonts w:ascii="Times New Roman" w:hAnsi="Times New Roman"/>
          <w:b/>
          <w:lang w:val="lv-LV" w:eastAsia="fr-BE"/>
        </w:rPr>
        <w:t>abula Darbības rezultātu satvars</w:t>
      </w:r>
    </w:p>
    <w:p w:rsidR="0015028C" w:rsidRPr="00BA5839" w:rsidRDefault="002D646C" w:rsidP="00E302F6">
      <w:pPr>
        <w:spacing w:before="120" w:line="240" w:lineRule="auto"/>
        <w:rPr>
          <w:rFonts w:ascii="Times New Roman" w:hAnsi="Times New Roman"/>
          <w:lang w:val="lv-LV" w:eastAsia="fr-BE"/>
        </w:rPr>
      </w:pPr>
      <w:r>
        <w:rPr>
          <w:rFonts w:ascii="Times New Roman" w:hAnsi="Times New Roman"/>
          <w:lang w:val="lv-LV" w:eastAsia="fr-BE"/>
        </w:rPr>
        <w:t>Darbības rezultātu satvara</w:t>
      </w:r>
      <w:r w:rsidR="0015028C" w:rsidRPr="0015028C">
        <w:rPr>
          <w:rFonts w:ascii="Times New Roman" w:hAnsi="Times New Roman"/>
          <w:lang w:val="lv-LV" w:eastAsia="fr-BE"/>
        </w:rPr>
        <w:t xml:space="preserve"> vērtības ir balstītas uz iepriekšēj</w:t>
      </w:r>
      <w:r>
        <w:rPr>
          <w:rFonts w:ascii="Times New Roman" w:hAnsi="Times New Roman"/>
          <w:lang w:val="lv-LV" w:eastAsia="fr-BE"/>
        </w:rPr>
        <w:t xml:space="preserve">ās </w:t>
      </w:r>
      <w:r w:rsidR="0015028C" w:rsidRPr="0015028C">
        <w:rPr>
          <w:rFonts w:ascii="Times New Roman" w:hAnsi="Times New Roman"/>
          <w:lang w:val="lv-LV" w:eastAsia="fr-BE"/>
        </w:rPr>
        <w:t>2007-2013</w:t>
      </w:r>
      <w:r>
        <w:rPr>
          <w:rFonts w:ascii="Times New Roman" w:hAnsi="Times New Roman"/>
          <w:lang w:val="lv-LV" w:eastAsia="fr-BE"/>
        </w:rPr>
        <w:t>.gada</w:t>
      </w:r>
      <w:r w:rsidR="0015028C" w:rsidRPr="0015028C">
        <w:rPr>
          <w:rFonts w:ascii="Times New Roman" w:hAnsi="Times New Roman"/>
          <w:lang w:val="lv-LV" w:eastAsia="fr-BE"/>
        </w:rPr>
        <w:t xml:space="preserve"> programmas </w:t>
      </w:r>
      <w:r>
        <w:rPr>
          <w:rFonts w:ascii="Times New Roman" w:hAnsi="Times New Roman"/>
          <w:lang w:val="lv-LV" w:eastAsia="fr-BE"/>
        </w:rPr>
        <w:t xml:space="preserve">sasniegumiem </w:t>
      </w:r>
      <w:r w:rsidR="0015028C" w:rsidRPr="0015028C">
        <w:rPr>
          <w:rFonts w:ascii="Times New Roman" w:hAnsi="Times New Roman"/>
          <w:lang w:val="lv-LV" w:eastAsia="fr-BE"/>
        </w:rPr>
        <w:t xml:space="preserve">(finanšu </w:t>
      </w:r>
      <w:r>
        <w:rPr>
          <w:rFonts w:ascii="Times New Roman" w:hAnsi="Times New Roman"/>
          <w:lang w:val="lv-LV" w:eastAsia="fr-BE"/>
        </w:rPr>
        <w:t>apguve</w:t>
      </w:r>
      <w:r w:rsidR="0015028C" w:rsidRPr="0015028C">
        <w:rPr>
          <w:rFonts w:ascii="Times New Roman" w:hAnsi="Times New Roman"/>
          <w:lang w:val="lv-LV" w:eastAsia="fr-BE"/>
        </w:rPr>
        <w:t xml:space="preserve">, </w:t>
      </w:r>
      <w:r>
        <w:rPr>
          <w:rFonts w:ascii="Times New Roman" w:hAnsi="Times New Roman"/>
          <w:lang w:val="lv-LV" w:eastAsia="fr-BE"/>
        </w:rPr>
        <w:t>rezultatīvo rādītāju sasniegšana</w:t>
      </w:r>
      <w:r w:rsidR="0015028C" w:rsidRPr="0015028C">
        <w:rPr>
          <w:rFonts w:ascii="Times New Roman" w:hAnsi="Times New Roman"/>
          <w:lang w:val="lv-LV" w:eastAsia="fr-BE"/>
        </w:rPr>
        <w:t xml:space="preserve">) un paredzamo </w:t>
      </w:r>
      <w:r>
        <w:rPr>
          <w:rFonts w:ascii="Times New Roman" w:hAnsi="Times New Roman"/>
          <w:lang w:val="lv-LV" w:eastAsia="fr-BE"/>
        </w:rPr>
        <w:t>atklāto konkursu laika gr</w:t>
      </w:r>
      <w:r w:rsidR="0015028C" w:rsidRPr="0015028C">
        <w:rPr>
          <w:rFonts w:ascii="Times New Roman" w:hAnsi="Times New Roman"/>
          <w:lang w:val="lv-LV" w:eastAsia="fr-BE"/>
        </w:rPr>
        <w:t xml:space="preserve">afiku programmā. Ņemot vērā, ka </w:t>
      </w:r>
      <w:r w:rsidRPr="0015028C">
        <w:rPr>
          <w:rFonts w:ascii="Times New Roman" w:hAnsi="Times New Roman"/>
          <w:lang w:val="lv-LV" w:eastAsia="fr-BE"/>
        </w:rPr>
        <w:t>līdz 2018</w:t>
      </w:r>
      <w:r>
        <w:rPr>
          <w:rFonts w:ascii="Times New Roman" w:hAnsi="Times New Roman"/>
          <w:lang w:val="lv-LV" w:eastAsia="fr-BE"/>
        </w:rPr>
        <w:t>.gadam</w:t>
      </w:r>
      <w:r w:rsidRPr="002D646C">
        <w:rPr>
          <w:rFonts w:ascii="Times New Roman" w:hAnsi="Times New Roman"/>
          <w:lang w:val="lv-LV" w:eastAsia="fr-BE"/>
        </w:rPr>
        <w:t xml:space="preserve"> </w:t>
      </w:r>
      <w:r w:rsidRPr="0015028C">
        <w:rPr>
          <w:rFonts w:ascii="Times New Roman" w:hAnsi="Times New Roman"/>
          <w:lang w:val="lv-LV" w:eastAsia="fr-BE"/>
        </w:rPr>
        <w:t>par saviem sasniegumiem</w:t>
      </w:r>
      <w:r w:rsidR="005C4B15">
        <w:rPr>
          <w:rFonts w:ascii="Times New Roman" w:hAnsi="Times New Roman"/>
          <w:lang w:val="lv-LV" w:eastAsia="fr-BE"/>
        </w:rPr>
        <w:t xml:space="preserve"> varēs ziņot</w:t>
      </w:r>
      <w:r w:rsidRPr="0015028C">
        <w:rPr>
          <w:rFonts w:ascii="Times New Roman" w:hAnsi="Times New Roman"/>
          <w:lang w:val="lv-LV" w:eastAsia="fr-BE"/>
        </w:rPr>
        <w:t xml:space="preserve"> tikai </w:t>
      </w:r>
      <w:r w:rsidR="0015028C" w:rsidRPr="0015028C">
        <w:rPr>
          <w:rFonts w:ascii="Times New Roman" w:hAnsi="Times New Roman"/>
          <w:lang w:val="lv-LV" w:eastAsia="fr-BE"/>
        </w:rPr>
        <w:t xml:space="preserve">pirmā </w:t>
      </w:r>
      <w:r>
        <w:rPr>
          <w:rFonts w:ascii="Times New Roman" w:hAnsi="Times New Roman"/>
          <w:lang w:val="lv-LV" w:eastAsia="fr-BE"/>
        </w:rPr>
        <w:t>atklātā</w:t>
      </w:r>
      <w:r w:rsidR="0015028C" w:rsidRPr="0015028C">
        <w:rPr>
          <w:rFonts w:ascii="Times New Roman" w:hAnsi="Times New Roman"/>
          <w:lang w:val="lv-LV" w:eastAsia="fr-BE"/>
        </w:rPr>
        <w:t xml:space="preserve"> </w:t>
      </w:r>
      <w:r>
        <w:rPr>
          <w:rFonts w:ascii="Times New Roman" w:hAnsi="Times New Roman"/>
          <w:lang w:val="lv-LV" w:eastAsia="fr-BE"/>
        </w:rPr>
        <w:t xml:space="preserve">konkursa </w:t>
      </w:r>
      <w:r w:rsidR="0015028C" w:rsidRPr="0015028C">
        <w:rPr>
          <w:rFonts w:ascii="Times New Roman" w:hAnsi="Times New Roman"/>
          <w:lang w:val="lv-LV" w:eastAsia="fr-BE"/>
        </w:rPr>
        <w:t>projekt</w:t>
      </w:r>
      <w:r>
        <w:rPr>
          <w:rFonts w:ascii="Times New Roman" w:hAnsi="Times New Roman"/>
          <w:lang w:val="lv-LV" w:eastAsia="fr-BE"/>
        </w:rPr>
        <w:t>i</w:t>
      </w:r>
      <w:r w:rsidR="0015028C" w:rsidRPr="0015028C">
        <w:rPr>
          <w:rFonts w:ascii="Times New Roman" w:hAnsi="Times New Roman"/>
          <w:lang w:val="lv-LV" w:eastAsia="fr-BE"/>
        </w:rPr>
        <w:t xml:space="preserve">, modelējot </w:t>
      </w:r>
      <w:r>
        <w:rPr>
          <w:rFonts w:ascii="Times New Roman" w:hAnsi="Times New Roman"/>
          <w:lang w:val="lv-LV" w:eastAsia="fr-BE"/>
        </w:rPr>
        <w:t xml:space="preserve">darbības rezultātu satvaru tiek izmantota </w:t>
      </w:r>
      <w:r w:rsidRPr="0015028C">
        <w:rPr>
          <w:rFonts w:ascii="Times New Roman" w:hAnsi="Times New Roman"/>
          <w:lang w:val="lv-LV" w:eastAsia="fr-BE"/>
        </w:rPr>
        <w:t>piesardzīga pieeja</w:t>
      </w:r>
      <w:r>
        <w:rPr>
          <w:rFonts w:ascii="Times New Roman" w:hAnsi="Times New Roman"/>
          <w:lang w:val="lv-LV" w:eastAsia="fr-BE"/>
        </w:rPr>
        <w:t>.</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1963"/>
        <w:gridCol w:w="763"/>
        <w:gridCol w:w="2172"/>
        <w:gridCol w:w="1463"/>
        <w:gridCol w:w="1353"/>
        <w:gridCol w:w="1363"/>
        <w:gridCol w:w="1189"/>
        <w:gridCol w:w="1990"/>
      </w:tblGrid>
      <w:tr w:rsidR="00F071B5" w:rsidRPr="00A812A8" w:rsidTr="00F071B5">
        <w:tc>
          <w:tcPr>
            <w:tcW w:w="485" w:type="pct"/>
            <w:tcBorders>
              <w:top w:val="single" w:sz="4" w:space="0" w:color="auto"/>
              <w:left w:val="single" w:sz="4" w:space="0" w:color="auto"/>
              <w:bottom w:val="single" w:sz="4" w:space="0" w:color="auto"/>
              <w:right w:val="single" w:sz="4" w:space="0" w:color="auto"/>
            </w:tcBorders>
            <w:hideMark/>
          </w:tcPr>
          <w:p w:rsidR="00DB6FDE" w:rsidRPr="00A707C2" w:rsidRDefault="00DB6FDE" w:rsidP="00E302F6">
            <w:pPr>
              <w:pStyle w:val="Text1"/>
              <w:spacing w:before="120" w:line="240" w:lineRule="auto"/>
              <w:ind w:left="0"/>
              <w:jc w:val="left"/>
              <w:rPr>
                <w:b/>
                <w:sz w:val="22"/>
                <w:szCs w:val="22"/>
                <w:lang w:val="lv-LV"/>
              </w:rPr>
            </w:pPr>
            <w:r w:rsidRPr="00A707C2">
              <w:rPr>
                <w:b/>
                <w:sz w:val="22"/>
                <w:szCs w:val="22"/>
                <w:lang w:val="lv-LV" w:eastAsia="fr-BE"/>
              </w:rPr>
              <w:br w:type="page"/>
            </w:r>
            <w:r w:rsidRPr="00A707C2">
              <w:rPr>
                <w:b/>
                <w:sz w:val="22"/>
                <w:szCs w:val="22"/>
                <w:lang w:val="lv-LV"/>
              </w:rPr>
              <w:t>Prioritārais virziens</w:t>
            </w:r>
          </w:p>
        </w:tc>
        <w:tc>
          <w:tcPr>
            <w:tcW w:w="723" w:type="pct"/>
            <w:tcBorders>
              <w:top w:val="single" w:sz="4" w:space="0" w:color="auto"/>
              <w:left w:val="single" w:sz="4" w:space="0" w:color="auto"/>
              <w:bottom w:val="single" w:sz="4" w:space="0" w:color="auto"/>
              <w:right w:val="single" w:sz="4" w:space="0" w:color="auto"/>
            </w:tcBorders>
            <w:hideMark/>
          </w:tcPr>
          <w:p w:rsidR="00DB6FDE" w:rsidRPr="00EC5685" w:rsidRDefault="005C4B15" w:rsidP="00E302F6">
            <w:pPr>
              <w:pStyle w:val="Text1"/>
              <w:spacing w:before="120" w:line="240" w:lineRule="auto"/>
              <w:ind w:left="0"/>
              <w:jc w:val="left"/>
              <w:rPr>
                <w:b/>
                <w:sz w:val="22"/>
                <w:szCs w:val="22"/>
                <w:lang w:val="lv-LV"/>
              </w:rPr>
            </w:pPr>
            <w:bookmarkStart w:id="28" w:name="_Toc384391373"/>
            <w:bookmarkStart w:id="29" w:name="_Toc388006468"/>
            <w:bookmarkStart w:id="30" w:name="_Toc389750139"/>
            <w:bookmarkStart w:id="31" w:name="_Toc389750629"/>
            <w:bookmarkStart w:id="32" w:name="_Toc389751116"/>
            <w:bookmarkStart w:id="33" w:name="_Toc389751609"/>
            <w:bookmarkStart w:id="34" w:name="_Toc389811651"/>
            <w:r>
              <w:rPr>
                <w:rStyle w:val="Heading311"/>
                <w:rFonts w:ascii="Times New Roman" w:hAnsi="Times New Roman" w:cs="Times New Roman"/>
                <w:b/>
                <w:sz w:val="22"/>
                <w:szCs w:val="22"/>
                <w:lang w:val="lv-LV"/>
              </w:rPr>
              <w:t>Īstenošanas posms, iznākuma vai rezultatīvais rādītājs</w:t>
            </w:r>
            <w:bookmarkEnd w:id="28"/>
            <w:bookmarkEnd w:id="29"/>
            <w:bookmarkEnd w:id="30"/>
            <w:bookmarkEnd w:id="31"/>
            <w:bookmarkEnd w:id="32"/>
            <w:bookmarkEnd w:id="33"/>
            <w:bookmarkEnd w:id="34"/>
          </w:p>
        </w:tc>
        <w:tc>
          <w:tcPr>
            <w:tcW w:w="281" w:type="pct"/>
            <w:tcBorders>
              <w:top w:val="single" w:sz="4" w:space="0" w:color="auto"/>
              <w:left w:val="single" w:sz="4" w:space="0" w:color="auto"/>
              <w:bottom w:val="single" w:sz="4" w:space="0" w:color="auto"/>
              <w:right w:val="single" w:sz="4" w:space="0" w:color="auto"/>
            </w:tcBorders>
            <w:hideMark/>
          </w:tcPr>
          <w:p w:rsidR="00DB6FDE" w:rsidRPr="00A707C2" w:rsidRDefault="00EC5685" w:rsidP="00E302F6">
            <w:pPr>
              <w:pStyle w:val="Text1"/>
              <w:spacing w:before="120" w:line="240" w:lineRule="auto"/>
              <w:ind w:left="0"/>
              <w:jc w:val="left"/>
              <w:rPr>
                <w:b/>
                <w:sz w:val="22"/>
                <w:szCs w:val="22"/>
                <w:lang w:val="lv-LV"/>
              </w:rPr>
            </w:pPr>
            <w:r>
              <w:rPr>
                <w:b/>
                <w:sz w:val="22"/>
                <w:szCs w:val="22"/>
                <w:lang w:val="lv-LV"/>
              </w:rPr>
              <w:t>ID</w:t>
            </w:r>
          </w:p>
        </w:tc>
        <w:tc>
          <w:tcPr>
            <w:tcW w:w="800" w:type="pct"/>
            <w:tcBorders>
              <w:top w:val="single" w:sz="4" w:space="0" w:color="auto"/>
              <w:left w:val="single" w:sz="4" w:space="0" w:color="auto"/>
              <w:bottom w:val="single" w:sz="4" w:space="0" w:color="auto"/>
              <w:right w:val="single" w:sz="4" w:space="0" w:color="auto"/>
            </w:tcBorders>
            <w:hideMark/>
          </w:tcPr>
          <w:p w:rsidR="00DB6FDE" w:rsidRPr="00EC5685" w:rsidRDefault="005C4B15" w:rsidP="00E302F6">
            <w:pPr>
              <w:pStyle w:val="Text1"/>
              <w:spacing w:before="120" w:line="240" w:lineRule="auto"/>
              <w:ind w:left="0"/>
              <w:jc w:val="left"/>
              <w:rPr>
                <w:b/>
                <w:sz w:val="22"/>
                <w:szCs w:val="22"/>
                <w:lang w:val="lv-LV"/>
              </w:rPr>
            </w:pPr>
            <w:bookmarkStart w:id="35" w:name="_Toc384391375"/>
            <w:bookmarkStart w:id="36" w:name="_Toc388006470"/>
            <w:bookmarkStart w:id="37" w:name="_Toc389750141"/>
            <w:bookmarkStart w:id="38" w:name="_Toc389750631"/>
            <w:bookmarkStart w:id="39" w:name="_Toc389751118"/>
            <w:bookmarkStart w:id="40" w:name="_Toc389751611"/>
            <w:bookmarkStart w:id="41" w:name="_Toc389811653"/>
            <w:r>
              <w:rPr>
                <w:rStyle w:val="Heading311"/>
                <w:rFonts w:ascii="Times New Roman" w:hAnsi="Times New Roman" w:cs="Times New Roman"/>
                <w:b/>
                <w:sz w:val="22"/>
                <w:szCs w:val="22"/>
                <w:lang w:val="lv-LV"/>
              </w:rPr>
              <w:t xml:space="preserve">Īstenošanas posms, iznākuma vai rezultatīvais </w:t>
            </w:r>
            <w:r w:rsidR="00181C76">
              <w:rPr>
                <w:rStyle w:val="Heading311"/>
                <w:rFonts w:ascii="Times New Roman" w:hAnsi="Times New Roman" w:cs="Times New Roman"/>
                <w:b/>
                <w:sz w:val="22"/>
                <w:szCs w:val="22"/>
                <w:lang w:val="lv-LV"/>
              </w:rPr>
              <w:t>rādītāj</w:t>
            </w:r>
            <w:r>
              <w:rPr>
                <w:rStyle w:val="Heading311"/>
                <w:rFonts w:ascii="Times New Roman" w:hAnsi="Times New Roman" w:cs="Times New Roman"/>
                <w:b/>
                <w:sz w:val="22"/>
                <w:szCs w:val="22"/>
                <w:lang w:val="lv-LV"/>
              </w:rPr>
              <w:t>s</w:t>
            </w:r>
            <w:bookmarkEnd w:id="35"/>
            <w:bookmarkEnd w:id="36"/>
            <w:bookmarkEnd w:id="37"/>
            <w:bookmarkEnd w:id="38"/>
            <w:bookmarkEnd w:id="39"/>
            <w:bookmarkEnd w:id="40"/>
            <w:bookmarkEnd w:id="41"/>
          </w:p>
        </w:tc>
        <w:tc>
          <w:tcPr>
            <w:tcW w:w="539" w:type="pct"/>
            <w:tcBorders>
              <w:top w:val="single" w:sz="4" w:space="0" w:color="auto"/>
              <w:left w:val="single" w:sz="4" w:space="0" w:color="auto"/>
              <w:bottom w:val="single" w:sz="4" w:space="0" w:color="auto"/>
              <w:right w:val="single" w:sz="4" w:space="0" w:color="auto"/>
            </w:tcBorders>
            <w:hideMark/>
          </w:tcPr>
          <w:p w:rsidR="00DB6FDE" w:rsidRPr="00EC5685" w:rsidRDefault="00575D23" w:rsidP="00E302F6">
            <w:pPr>
              <w:pStyle w:val="Text1"/>
              <w:spacing w:before="120" w:line="240" w:lineRule="auto"/>
              <w:ind w:left="0"/>
              <w:jc w:val="left"/>
              <w:rPr>
                <w:b/>
                <w:sz w:val="22"/>
                <w:szCs w:val="22"/>
                <w:lang w:val="lv-LV"/>
              </w:rPr>
            </w:pPr>
            <w:bookmarkStart w:id="42" w:name="_Toc384391376"/>
            <w:bookmarkStart w:id="43" w:name="_Toc388006471"/>
            <w:bookmarkStart w:id="44" w:name="_Toc389750142"/>
            <w:bookmarkStart w:id="45" w:name="_Toc389750632"/>
            <w:bookmarkStart w:id="46" w:name="_Toc389751119"/>
            <w:bookmarkStart w:id="47" w:name="_Toc389751612"/>
            <w:bookmarkStart w:id="48" w:name="_Toc389811654"/>
            <w:r w:rsidRPr="00EC5685">
              <w:rPr>
                <w:rStyle w:val="Heading311"/>
                <w:rFonts w:ascii="Times New Roman" w:hAnsi="Times New Roman" w:cs="Times New Roman"/>
                <w:b/>
                <w:sz w:val="22"/>
                <w:szCs w:val="22"/>
                <w:lang w:val="lv-LV"/>
              </w:rPr>
              <w:t>Mērvienība, kur piemērojama</w:t>
            </w:r>
            <w:bookmarkEnd w:id="42"/>
            <w:bookmarkEnd w:id="43"/>
            <w:bookmarkEnd w:id="44"/>
            <w:bookmarkEnd w:id="45"/>
            <w:bookmarkEnd w:id="46"/>
            <w:bookmarkEnd w:id="47"/>
            <w:bookmarkEnd w:id="48"/>
          </w:p>
        </w:tc>
        <w:tc>
          <w:tcPr>
            <w:tcW w:w="498" w:type="pct"/>
            <w:tcBorders>
              <w:top w:val="single" w:sz="4" w:space="0" w:color="auto"/>
              <w:left w:val="single" w:sz="4" w:space="0" w:color="auto"/>
              <w:bottom w:val="single" w:sz="4" w:space="0" w:color="auto"/>
              <w:right w:val="single" w:sz="4" w:space="0" w:color="auto"/>
            </w:tcBorders>
            <w:hideMark/>
          </w:tcPr>
          <w:p w:rsidR="00DB6FDE" w:rsidRPr="00A707C2" w:rsidRDefault="00A707C2" w:rsidP="00E302F6">
            <w:pPr>
              <w:pStyle w:val="Text1"/>
              <w:spacing w:before="120" w:line="240" w:lineRule="auto"/>
              <w:ind w:left="0"/>
              <w:jc w:val="left"/>
              <w:rPr>
                <w:b/>
                <w:sz w:val="22"/>
                <w:szCs w:val="22"/>
                <w:lang w:val="lv-LV"/>
              </w:rPr>
            </w:pPr>
            <w:r w:rsidRPr="00A707C2">
              <w:rPr>
                <w:b/>
                <w:sz w:val="22"/>
                <w:szCs w:val="22"/>
              </w:rPr>
              <w:t>Starpposma mērķis 2018. gadam</w:t>
            </w:r>
          </w:p>
        </w:tc>
        <w:tc>
          <w:tcPr>
            <w:tcW w:w="502" w:type="pct"/>
            <w:tcBorders>
              <w:top w:val="single" w:sz="4" w:space="0" w:color="auto"/>
              <w:left w:val="single" w:sz="4" w:space="0" w:color="auto"/>
              <w:bottom w:val="single" w:sz="4" w:space="0" w:color="auto"/>
              <w:right w:val="single" w:sz="4" w:space="0" w:color="auto"/>
            </w:tcBorders>
            <w:hideMark/>
          </w:tcPr>
          <w:p w:rsidR="00DB6FDE" w:rsidRPr="00A707C2" w:rsidRDefault="00A707C2" w:rsidP="00E302F6">
            <w:pPr>
              <w:pStyle w:val="Text1"/>
              <w:spacing w:before="120" w:line="240" w:lineRule="auto"/>
              <w:ind w:left="0"/>
              <w:jc w:val="left"/>
              <w:rPr>
                <w:b/>
                <w:sz w:val="22"/>
                <w:szCs w:val="22"/>
                <w:lang w:val="lv-LV"/>
              </w:rPr>
            </w:pPr>
            <w:r w:rsidRPr="00A707C2">
              <w:rPr>
                <w:b/>
                <w:sz w:val="22"/>
                <w:szCs w:val="22"/>
                <w:lang w:val="lv-LV"/>
              </w:rPr>
              <w:t>Gala</w:t>
            </w:r>
            <w:r w:rsidR="00DB6FDE" w:rsidRPr="00A707C2">
              <w:rPr>
                <w:b/>
                <w:sz w:val="22"/>
                <w:szCs w:val="22"/>
                <w:lang w:val="lv-LV"/>
              </w:rPr>
              <w:t>mērķis (2023)</w:t>
            </w:r>
          </w:p>
        </w:tc>
        <w:tc>
          <w:tcPr>
            <w:tcW w:w="438" w:type="pct"/>
            <w:tcBorders>
              <w:top w:val="single" w:sz="4" w:space="0" w:color="auto"/>
              <w:left w:val="single" w:sz="4" w:space="0" w:color="auto"/>
              <w:bottom w:val="single" w:sz="4" w:space="0" w:color="auto"/>
              <w:right w:val="single" w:sz="4" w:space="0" w:color="auto"/>
            </w:tcBorders>
            <w:hideMark/>
          </w:tcPr>
          <w:p w:rsidR="00DB6FDE" w:rsidRPr="00A707C2" w:rsidRDefault="00F01BA6" w:rsidP="00E302F6">
            <w:pPr>
              <w:pStyle w:val="Text1"/>
              <w:spacing w:before="120" w:line="240" w:lineRule="auto"/>
              <w:ind w:left="0"/>
              <w:jc w:val="left"/>
              <w:rPr>
                <w:b/>
                <w:sz w:val="22"/>
                <w:szCs w:val="22"/>
                <w:lang w:val="lv-LV"/>
              </w:rPr>
            </w:pPr>
            <w:r w:rsidRPr="00F01BA6">
              <w:rPr>
                <w:b/>
                <w:sz w:val="22"/>
                <w:szCs w:val="22"/>
                <w:lang w:val="lv-LV"/>
              </w:rPr>
              <w:t>Datu avots</w:t>
            </w:r>
          </w:p>
        </w:tc>
        <w:tc>
          <w:tcPr>
            <w:tcW w:w="733" w:type="pct"/>
            <w:tcBorders>
              <w:top w:val="single" w:sz="4" w:space="0" w:color="auto"/>
              <w:left w:val="single" w:sz="4" w:space="0" w:color="auto"/>
              <w:bottom w:val="single" w:sz="4" w:space="0" w:color="auto"/>
              <w:right w:val="single" w:sz="4" w:space="0" w:color="auto"/>
            </w:tcBorders>
            <w:hideMark/>
          </w:tcPr>
          <w:p w:rsidR="00DB6FDE" w:rsidRPr="00E148C9" w:rsidRDefault="00686653" w:rsidP="00E302F6">
            <w:pPr>
              <w:spacing w:before="120" w:line="240" w:lineRule="auto"/>
              <w:jc w:val="left"/>
              <w:rPr>
                <w:rFonts w:ascii="Times New Roman" w:hAnsi="Times New Roman"/>
                <w:b/>
                <w:sz w:val="22"/>
                <w:szCs w:val="22"/>
                <w:lang w:val="lv-LV"/>
              </w:rPr>
            </w:pPr>
            <w:bookmarkStart w:id="49" w:name="_Toc389750145"/>
            <w:bookmarkStart w:id="50" w:name="_Toc389750635"/>
            <w:bookmarkStart w:id="51" w:name="_Toc389751122"/>
            <w:bookmarkStart w:id="52" w:name="_Toc389751615"/>
            <w:bookmarkStart w:id="53" w:name="_Toc389811657"/>
            <w:r>
              <w:rPr>
                <w:rFonts w:ascii="Times New Roman" w:hAnsi="Times New Roman"/>
                <w:b/>
                <w:sz w:val="22"/>
                <w:szCs w:val="22"/>
                <w:lang w:val="lv-LV"/>
              </w:rPr>
              <w:t>Rādītāja</w:t>
            </w:r>
            <w:r w:rsidR="00A707C2" w:rsidRPr="00A707C2">
              <w:rPr>
                <w:rFonts w:ascii="Times New Roman" w:hAnsi="Times New Roman"/>
                <w:b/>
                <w:sz w:val="22"/>
                <w:szCs w:val="22"/>
                <w:lang w:val="lv-LV"/>
              </w:rPr>
              <w:t xml:space="preserve"> atbilstības skaidrojums</w:t>
            </w:r>
            <w:bookmarkEnd w:id="49"/>
            <w:bookmarkEnd w:id="50"/>
            <w:bookmarkEnd w:id="51"/>
            <w:bookmarkEnd w:id="52"/>
            <w:bookmarkEnd w:id="53"/>
            <w:r w:rsidR="005C4B15">
              <w:rPr>
                <w:rFonts w:ascii="Times New Roman" w:hAnsi="Times New Roman"/>
                <w:b/>
                <w:sz w:val="22"/>
                <w:szCs w:val="22"/>
                <w:lang w:val="lv-LV"/>
              </w:rPr>
              <w:t>, kur attiecināms</w:t>
            </w: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jc w:val="left"/>
              <w:rPr>
                <w:sz w:val="18"/>
                <w:szCs w:val="18"/>
                <w:lang w:val="lv-LV"/>
              </w:rPr>
            </w:pPr>
            <w:r w:rsidRPr="00F071B5">
              <w:rPr>
                <w:sz w:val="18"/>
                <w:szCs w:val="18"/>
                <w:lang w:val="lv-LV"/>
              </w:rPr>
              <w:t>1.prioritārais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Finan</w:t>
            </w:r>
            <w:r w:rsidR="00575D23" w:rsidRPr="00F071B5">
              <w:rPr>
                <w:sz w:val="18"/>
                <w:szCs w:val="18"/>
                <w:lang w:val="lv-LV"/>
              </w:rPr>
              <w:t xml:space="preserve">šu </w:t>
            </w:r>
            <w:r w:rsidRPr="00F071B5">
              <w:rPr>
                <w:sz w:val="18"/>
                <w:szCs w:val="18"/>
                <w:lang w:val="lv-LV"/>
              </w:rPr>
              <w:t>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jc w:val="center"/>
              <w:rPr>
                <w:sz w:val="18"/>
                <w:szCs w:val="18"/>
                <w:lang w:val="lv-LV"/>
              </w:rPr>
            </w:pPr>
            <w:r w:rsidRPr="00F071B5">
              <w:rPr>
                <w:sz w:val="18"/>
                <w:szCs w:val="18"/>
                <w:lang w:val="lv-LV"/>
              </w:rPr>
              <w:t>Izdevumi</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5C4B15" w:rsidP="00E302F6">
            <w:pPr>
              <w:pStyle w:val="Text1"/>
              <w:spacing w:before="120" w:line="240" w:lineRule="auto"/>
              <w:ind w:left="0"/>
              <w:rPr>
                <w:sz w:val="18"/>
                <w:szCs w:val="18"/>
                <w:lang w:val="lv-LV"/>
              </w:rPr>
            </w:pPr>
            <w:r w:rsidRPr="00F071B5">
              <w:rPr>
                <w:sz w:val="18"/>
                <w:szCs w:val="18"/>
              </w:rPr>
              <w:t>EUR</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5C4B15" w:rsidP="00E302F6">
            <w:pPr>
              <w:pStyle w:val="Text1"/>
              <w:spacing w:before="120" w:line="240" w:lineRule="auto"/>
              <w:ind w:left="0"/>
              <w:jc w:val="center"/>
              <w:rPr>
                <w:sz w:val="18"/>
                <w:szCs w:val="18"/>
                <w:lang w:val="lv-LV"/>
              </w:rPr>
            </w:pPr>
            <w:r w:rsidRPr="00F071B5">
              <w:rPr>
                <w:sz w:val="18"/>
                <w:szCs w:val="18"/>
              </w:rPr>
              <w:t>1 395 042</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13</w:t>
            </w:r>
            <w:r w:rsidR="005C4B15" w:rsidRPr="00F071B5">
              <w:rPr>
                <w:sz w:val="18"/>
                <w:szCs w:val="18"/>
              </w:rPr>
              <w:t> </w:t>
            </w:r>
            <w:r w:rsidRPr="00F071B5">
              <w:rPr>
                <w:sz w:val="18"/>
                <w:szCs w:val="18"/>
              </w:rPr>
              <w:t>950</w:t>
            </w:r>
            <w:r w:rsidR="005C4B15" w:rsidRPr="00F071B5">
              <w:rPr>
                <w:sz w:val="18"/>
                <w:szCs w:val="18"/>
              </w:rPr>
              <w:t xml:space="preserve"> </w:t>
            </w:r>
            <w:r w:rsidRPr="00F071B5">
              <w:rPr>
                <w:sz w:val="18"/>
                <w:szCs w:val="18"/>
              </w:rPr>
              <w:t>422</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470200" w:rsidP="00E302F6">
            <w:pPr>
              <w:pStyle w:val="Text1"/>
              <w:spacing w:before="120" w:line="240" w:lineRule="auto"/>
              <w:ind w:left="0"/>
              <w:rPr>
                <w:sz w:val="18"/>
                <w:szCs w:val="18"/>
                <w:lang w:val="lv-LV"/>
              </w:rPr>
            </w:pPr>
            <w:r w:rsidRPr="00470200">
              <w:rPr>
                <w:sz w:val="18"/>
                <w:szCs w:val="18"/>
              </w:rPr>
              <w:t>Uzraudzības sistēma</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1.prioritārais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1.2.O1</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5700F" w:rsidP="00E302F6">
            <w:pPr>
              <w:pStyle w:val="Text1"/>
              <w:spacing w:before="120" w:line="240" w:lineRule="auto"/>
              <w:ind w:left="0"/>
              <w:rPr>
                <w:sz w:val="18"/>
                <w:szCs w:val="18"/>
                <w:lang w:val="lv-LV"/>
              </w:rPr>
            </w:pPr>
            <w:r w:rsidRPr="00F071B5">
              <w:rPr>
                <w:sz w:val="18"/>
                <w:szCs w:val="18"/>
                <w:lang w:val="lv-LV"/>
              </w:rPr>
              <w:t>Institūcijas, kas īsteno kopīgus ilgtspējīgus risinājumus attiecībā uz dabas resursu apsaimniekošanu</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5C4B15" w:rsidP="00E302F6">
            <w:pPr>
              <w:pStyle w:val="Text1"/>
              <w:spacing w:before="120" w:line="240" w:lineRule="auto"/>
              <w:ind w:left="0"/>
              <w:rPr>
                <w:sz w:val="18"/>
                <w:szCs w:val="18"/>
                <w:lang w:val="lv-LV"/>
              </w:rPr>
            </w:pPr>
            <w:r w:rsidRPr="00F071B5">
              <w:rPr>
                <w:sz w:val="18"/>
                <w:szCs w:val="18"/>
              </w:rPr>
              <w:t>2</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17</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470200" w:rsidP="00E302F6">
            <w:pPr>
              <w:pStyle w:val="Text1"/>
              <w:spacing w:before="120" w:line="240" w:lineRule="auto"/>
              <w:ind w:left="0"/>
              <w:rPr>
                <w:sz w:val="18"/>
                <w:szCs w:val="18"/>
                <w:lang w:val="lv-LV"/>
              </w:rPr>
            </w:pPr>
            <w:r w:rsidRPr="00470200">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1.prioritārais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1.3.O1</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5700F" w:rsidP="00E302F6">
            <w:pPr>
              <w:pStyle w:val="Text1"/>
              <w:spacing w:before="120" w:line="240" w:lineRule="auto"/>
              <w:ind w:left="0"/>
              <w:rPr>
                <w:sz w:val="18"/>
                <w:szCs w:val="18"/>
                <w:lang w:val="lv-LV"/>
              </w:rPr>
            </w:pPr>
            <w:r w:rsidRPr="00F071B5">
              <w:rPr>
                <w:sz w:val="18"/>
                <w:szCs w:val="18"/>
                <w:lang w:val="lv-LV"/>
              </w:rPr>
              <w:t xml:space="preserve">Atjaunotā </w:t>
            </w:r>
            <w:r w:rsidR="005C4B15" w:rsidRPr="00F071B5">
              <w:rPr>
                <w:sz w:val="18"/>
                <w:szCs w:val="18"/>
                <w:lang w:val="lv-LV"/>
              </w:rPr>
              <w:t xml:space="preserve">pilsētu un </w:t>
            </w:r>
            <w:r w:rsidRPr="00F071B5">
              <w:rPr>
                <w:sz w:val="18"/>
                <w:szCs w:val="18"/>
                <w:lang w:val="lv-LV"/>
              </w:rPr>
              <w:t>pašvaldības teritorija ar ekonomiskās attīstības potenciālu</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Kvadrātmetri</w:t>
            </w:r>
          </w:p>
        </w:tc>
        <w:tc>
          <w:tcPr>
            <w:tcW w:w="498" w:type="pct"/>
            <w:tcBorders>
              <w:top w:val="single" w:sz="4" w:space="0" w:color="auto"/>
              <w:left w:val="single" w:sz="4" w:space="0" w:color="auto"/>
              <w:bottom w:val="single" w:sz="4" w:space="0" w:color="auto"/>
              <w:right w:val="single" w:sz="4" w:space="0" w:color="auto"/>
            </w:tcBorders>
          </w:tcPr>
          <w:p w:rsidR="00ED7A41" w:rsidRPr="00181C76" w:rsidRDefault="00470200" w:rsidP="00E302F6">
            <w:pPr>
              <w:pStyle w:val="Text1"/>
              <w:spacing w:before="120" w:line="240" w:lineRule="auto"/>
              <w:ind w:left="0"/>
              <w:rPr>
                <w:sz w:val="18"/>
                <w:szCs w:val="18"/>
                <w:lang w:val="lv-LV"/>
              </w:rPr>
            </w:pPr>
            <w:r w:rsidRPr="00470200">
              <w:rPr>
                <w:sz w:val="18"/>
                <w:szCs w:val="18"/>
              </w:rPr>
              <w:t>16 000</w:t>
            </w:r>
          </w:p>
        </w:tc>
        <w:tc>
          <w:tcPr>
            <w:tcW w:w="502" w:type="pct"/>
            <w:tcBorders>
              <w:top w:val="single" w:sz="4" w:space="0" w:color="auto"/>
              <w:left w:val="single" w:sz="4" w:space="0" w:color="auto"/>
              <w:bottom w:val="single" w:sz="4" w:space="0" w:color="auto"/>
              <w:right w:val="single" w:sz="4" w:space="0" w:color="auto"/>
            </w:tcBorders>
          </w:tcPr>
          <w:p w:rsidR="00ED7A41" w:rsidRPr="00181C76" w:rsidRDefault="00470200" w:rsidP="00E302F6">
            <w:pPr>
              <w:pStyle w:val="Text1"/>
              <w:spacing w:before="120" w:line="240" w:lineRule="auto"/>
              <w:ind w:left="0"/>
              <w:rPr>
                <w:sz w:val="18"/>
                <w:szCs w:val="18"/>
                <w:lang w:val="lv-LV"/>
              </w:rPr>
            </w:pPr>
            <w:r w:rsidRPr="00470200">
              <w:rPr>
                <w:sz w:val="18"/>
                <w:szCs w:val="18"/>
              </w:rPr>
              <w:t>160 000</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470200" w:rsidP="00E302F6">
            <w:pPr>
              <w:pStyle w:val="Text1"/>
              <w:spacing w:before="120" w:line="240" w:lineRule="auto"/>
              <w:ind w:left="0"/>
              <w:rPr>
                <w:sz w:val="18"/>
                <w:szCs w:val="18"/>
                <w:lang w:val="lv-LV"/>
              </w:rPr>
            </w:pPr>
            <w:r w:rsidRPr="00470200">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2.prioritārais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Finansiālais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Izdevumi</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5C4B15" w:rsidP="00E302F6">
            <w:pPr>
              <w:pStyle w:val="Text1"/>
              <w:spacing w:before="120" w:line="240" w:lineRule="auto"/>
              <w:ind w:left="0"/>
              <w:rPr>
                <w:sz w:val="18"/>
                <w:szCs w:val="18"/>
                <w:lang w:val="lv-LV"/>
              </w:rPr>
            </w:pPr>
            <w:r w:rsidRPr="00F071B5">
              <w:rPr>
                <w:sz w:val="18"/>
                <w:szCs w:val="18"/>
              </w:rPr>
              <w:t>EUR</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5C4B15" w:rsidP="00E302F6">
            <w:pPr>
              <w:pStyle w:val="Text1"/>
              <w:spacing w:before="120" w:line="240" w:lineRule="auto"/>
              <w:ind w:left="0"/>
              <w:rPr>
                <w:sz w:val="18"/>
                <w:szCs w:val="18"/>
                <w:lang w:val="lv-LV"/>
              </w:rPr>
            </w:pPr>
            <w:r w:rsidRPr="00F071B5">
              <w:rPr>
                <w:sz w:val="18"/>
                <w:szCs w:val="18"/>
              </w:rPr>
              <w:t>1 808 388</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18</w:t>
            </w:r>
            <w:r w:rsidR="005C4B15" w:rsidRPr="00F071B5">
              <w:rPr>
                <w:sz w:val="18"/>
                <w:szCs w:val="18"/>
              </w:rPr>
              <w:t> </w:t>
            </w:r>
            <w:r w:rsidRPr="00F071B5">
              <w:rPr>
                <w:sz w:val="18"/>
                <w:szCs w:val="18"/>
              </w:rPr>
              <w:t>083</w:t>
            </w:r>
            <w:r w:rsidR="005C4B15" w:rsidRPr="00F071B5">
              <w:rPr>
                <w:sz w:val="18"/>
                <w:szCs w:val="18"/>
              </w:rPr>
              <w:t xml:space="preserve"> </w:t>
            </w:r>
            <w:r w:rsidRPr="00F071B5">
              <w:rPr>
                <w:sz w:val="18"/>
                <w:szCs w:val="18"/>
              </w:rPr>
              <w:t>880</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Uzraudzības sistēma</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2.prioritārais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2.1.O1</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5700F" w:rsidP="00E302F6">
            <w:pPr>
              <w:pStyle w:val="Text1"/>
              <w:spacing w:before="120" w:line="240" w:lineRule="auto"/>
              <w:ind w:left="0"/>
              <w:jc w:val="left"/>
              <w:rPr>
                <w:sz w:val="18"/>
                <w:szCs w:val="18"/>
                <w:lang w:val="lv-LV"/>
              </w:rPr>
            </w:pPr>
            <w:r w:rsidRPr="00F071B5">
              <w:rPr>
                <w:sz w:val="18"/>
                <w:szCs w:val="18"/>
                <w:lang w:val="lv-LV"/>
              </w:rPr>
              <w:t>Pārrobežu sadarbības rezultātā uzlaboti/ radīti uzņēmējdarbības atbalsta pakalpojumi</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2</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14</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lastRenderedPageBreak/>
              <w:t>2.prioritārais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2.2.O1</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5700F" w:rsidP="00E302F6">
            <w:pPr>
              <w:pStyle w:val="Text1"/>
              <w:spacing w:before="120" w:line="240" w:lineRule="auto"/>
              <w:ind w:left="0"/>
              <w:rPr>
                <w:sz w:val="18"/>
                <w:szCs w:val="18"/>
                <w:lang w:val="lv-LV"/>
              </w:rPr>
            </w:pPr>
            <w:r w:rsidRPr="00F071B5">
              <w:rPr>
                <w:sz w:val="18"/>
                <w:szCs w:val="18"/>
                <w:lang w:val="lv-LV"/>
              </w:rPr>
              <w:t>Dalībnieku skaits kopējos izglītības un apmācību pasākumos, ar ko tiek sekmēta jauniešu nodarbinātība, izglītības iespējas, kā arī augstākā un profesionālā izglītība ārpus valsts robežām.</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sidRPr="00F071B5">
              <w:rPr>
                <w:sz w:val="18"/>
                <w:szCs w:val="18"/>
              </w:rPr>
              <w:t>100</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700</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2.prioritārais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2.2.02</w:t>
            </w:r>
          </w:p>
        </w:tc>
        <w:tc>
          <w:tcPr>
            <w:tcW w:w="800" w:type="pct"/>
            <w:tcBorders>
              <w:top w:val="single" w:sz="4" w:space="0" w:color="auto"/>
              <w:left w:val="single" w:sz="4" w:space="0" w:color="auto"/>
              <w:bottom w:val="single" w:sz="4" w:space="0" w:color="auto"/>
              <w:right w:val="single" w:sz="4" w:space="0" w:color="auto"/>
            </w:tcBorders>
          </w:tcPr>
          <w:p w:rsidR="00E5700F" w:rsidRPr="00F071B5" w:rsidRDefault="00E5700F" w:rsidP="00E302F6">
            <w:pPr>
              <w:pStyle w:val="Text1"/>
              <w:spacing w:before="120" w:line="240" w:lineRule="auto"/>
              <w:ind w:left="0"/>
              <w:rPr>
                <w:sz w:val="18"/>
                <w:szCs w:val="18"/>
                <w:lang w:val="lv-LV"/>
              </w:rPr>
            </w:pPr>
            <w:r w:rsidRPr="00F071B5">
              <w:rPr>
                <w:sz w:val="18"/>
                <w:szCs w:val="18"/>
                <w:lang w:val="lv-LV"/>
              </w:rPr>
              <w:t>Kopīgai izmantošanai plānotie radītie vai uzlabotie izglītības un apmācību infrastruktūras objekti.</w:t>
            </w:r>
          </w:p>
          <w:p w:rsidR="00ED7A41" w:rsidRPr="00F071B5" w:rsidRDefault="00ED7A41" w:rsidP="00E302F6">
            <w:pPr>
              <w:pStyle w:val="Text1"/>
              <w:spacing w:before="120" w:line="240" w:lineRule="auto"/>
              <w:ind w:left="0"/>
              <w:rPr>
                <w:sz w:val="18"/>
                <w:szCs w:val="18"/>
                <w:lang w:val="lv-LV"/>
              </w:rPr>
            </w:pP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sidRPr="00F071B5">
              <w:rPr>
                <w:sz w:val="18"/>
                <w:szCs w:val="18"/>
              </w:rPr>
              <w:t>2</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13</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3.prioritārais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Finansiālais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Izdevumi</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sidRPr="00F071B5">
              <w:rPr>
                <w:sz w:val="18"/>
                <w:szCs w:val="18"/>
              </w:rPr>
              <w:t>EUR</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sidRPr="00F071B5">
              <w:rPr>
                <w:sz w:val="18"/>
                <w:szCs w:val="18"/>
              </w:rPr>
              <w:t xml:space="preserve">1 033 365 </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10333646</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Uzraudzības sistēma</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3.prioritārais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3.1.O1</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5700F" w:rsidP="00E302F6">
            <w:pPr>
              <w:pStyle w:val="Text1"/>
              <w:spacing w:before="120" w:line="240" w:lineRule="auto"/>
              <w:ind w:left="0"/>
              <w:rPr>
                <w:sz w:val="18"/>
                <w:szCs w:val="18"/>
                <w:lang w:val="lv-LV"/>
              </w:rPr>
            </w:pPr>
            <w:r w:rsidRPr="00F071B5">
              <w:rPr>
                <w:sz w:val="18"/>
                <w:szCs w:val="18"/>
                <w:lang w:val="lv-LV"/>
              </w:rPr>
              <w:t>Izveidoti/ uzlaboti sociālie pakalpojumi un infrastruktūra</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Pr>
                <w:sz w:val="18"/>
                <w:szCs w:val="18"/>
              </w:rPr>
              <w:t>2</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15</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3.prioritārais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3.1.O2</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Pr>
                <w:sz w:val="18"/>
                <w:szCs w:val="18"/>
                <w:lang w:val="lv-LV"/>
              </w:rPr>
              <w:t>Veikti</w:t>
            </w:r>
            <w:r w:rsidR="00E5700F" w:rsidRPr="00F071B5">
              <w:rPr>
                <w:sz w:val="18"/>
                <w:szCs w:val="18"/>
                <w:lang w:val="lv-LV"/>
              </w:rPr>
              <w:t>/ uzlaboti sociālās iekļaušanas pasākumi</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Pr>
                <w:sz w:val="18"/>
                <w:szCs w:val="18"/>
              </w:rPr>
              <w:t>3</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28</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3.prioritārais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3.2.O1</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181C76" w:rsidP="00E302F6">
            <w:pPr>
              <w:pStyle w:val="Text1"/>
              <w:spacing w:before="120" w:line="240" w:lineRule="auto"/>
              <w:ind w:left="0"/>
              <w:rPr>
                <w:sz w:val="18"/>
                <w:szCs w:val="18"/>
                <w:lang w:val="lv-LV"/>
              </w:rPr>
            </w:pPr>
            <w:r>
              <w:rPr>
                <w:sz w:val="18"/>
                <w:szCs w:val="18"/>
                <w:lang w:val="lv-LV"/>
              </w:rPr>
              <w:t>Trūcīgo kopienu</w:t>
            </w:r>
            <w:r w:rsidRPr="00F071B5">
              <w:rPr>
                <w:sz w:val="18"/>
                <w:szCs w:val="18"/>
                <w:lang w:val="lv-LV"/>
              </w:rPr>
              <w:t xml:space="preserve"> </w:t>
            </w:r>
            <w:r w:rsidR="00E5700F" w:rsidRPr="00F071B5">
              <w:rPr>
                <w:sz w:val="18"/>
                <w:szCs w:val="18"/>
                <w:lang w:val="lv-LV"/>
              </w:rPr>
              <w:t xml:space="preserve">skaits, kas piedalās </w:t>
            </w:r>
            <w:r>
              <w:rPr>
                <w:sz w:val="18"/>
                <w:szCs w:val="18"/>
                <w:lang w:val="lv-LV"/>
              </w:rPr>
              <w:t xml:space="preserve">atbalstošās </w:t>
            </w:r>
            <w:r w:rsidR="00E5700F" w:rsidRPr="00F071B5">
              <w:rPr>
                <w:sz w:val="18"/>
                <w:szCs w:val="18"/>
                <w:lang w:val="lv-LV"/>
              </w:rPr>
              <w:t>aktivitātēs</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Pr>
                <w:sz w:val="18"/>
                <w:szCs w:val="18"/>
              </w:rPr>
              <w:t>3</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36</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Progresa ziņojumi</w:t>
            </w:r>
          </w:p>
        </w:tc>
        <w:tc>
          <w:tcPr>
            <w:tcW w:w="733" w:type="pct"/>
            <w:tcBorders>
              <w:top w:val="single" w:sz="4" w:space="0" w:color="auto"/>
              <w:left w:val="single" w:sz="4" w:space="0" w:color="auto"/>
              <w:bottom w:val="single" w:sz="4" w:space="0" w:color="auto"/>
              <w:right w:val="single" w:sz="4" w:space="0" w:color="auto"/>
            </w:tcBorders>
          </w:tcPr>
          <w:p w:rsidR="00ED7A41" w:rsidRPr="00BA5839"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p>
        </w:tc>
        <w:tc>
          <w:tcPr>
            <w:tcW w:w="733" w:type="pct"/>
            <w:tcBorders>
              <w:top w:val="single" w:sz="4" w:space="0" w:color="auto"/>
              <w:left w:val="single" w:sz="4" w:space="0" w:color="auto"/>
              <w:bottom w:val="single" w:sz="4" w:space="0" w:color="auto"/>
              <w:right w:val="single" w:sz="4" w:space="0" w:color="auto"/>
            </w:tcBorders>
          </w:tcPr>
          <w:p w:rsidR="00ED7A41" w:rsidRPr="00BA5839"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4.prioritārais 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Finansiālais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Izdevumi</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686653" w:rsidP="00E302F6">
            <w:pPr>
              <w:pStyle w:val="Text1"/>
              <w:spacing w:before="120" w:line="240" w:lineRule="auto"/>
              <w:ind w:left="0"/>
              <w:rPr>
                <w:sz w:val="18"/>
                <w:szCs w:val="18"/>
                <w:lang w:val="lv-LV"/>
              </w:rPr>
            </w:pPr>
            <w:r w:rsidRPr="00F071B5">
              <w:rPr>
                <w:sz w:val="18"/>
                <w:szCs w:val="18"/>
              </w:rPr>
              <w:t>E</w:t>
            </w:r>
            <w:r>
              <w:rPr>
                <w:sz w:val="18"/>
                <w:szCs w:val="18"/>
              </w:rPr>
              <w:t>UR</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F071B5" w:rsidP="00E302F6">
            <w:pPr>
              <w:pStyle w:val="Text1"/>
              <w:spacing w:before="120" w:line="240" w:lineRule="auto"/>
              <w:ind w:left="0"/>
              <w:rPr>
                <w:sz w:val="18"/>
                <w:szCs w:val="18"/>
                <w:lang w:val="lv-LV"/>
              </w:rPr>
            </w:pPr>
            <w:r w:rsidRPr="00F071B5">
              <w:rPr>
                <w:sz w:val="16"/>
                <w:szCs w:val="16"/>
              </w:rPr>
              <w:t>930 028</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9</w:t>
            </w:r>
            <w:r w:rsidR="00181C76">
              <w:rPr>
                <w:sz w:val="18"/>
                <w:szCs w:val="18"/>
              </w:rPr>
              <w:t> </w:t>
            </w:r>
            <w:r w:rsidRPr="00F071B5">
              <w:rPr>
                <w:sz w:val="18"/>
                <w:szCs w:val="18"/>
              </w:rPr>
              <w:t>300</w:t>
            </w:r>
            <w:r w:rsidR="00181C76">
              <w:rPr>
                <w:sz w:val="18"/>
                <w:szCs w:val="18"/>
              </w:rPr>
              <w:t xml:space="preserve"> </w:t>
            </w:r>
            <w:r w:rsidRPr="00F071B5">
              <w:rPr>
                <w:sz w:val="18"/>
                <w:szCs w:val="18"/>
              </w:rPr>
              <w:t>281</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Uzraudzības sistēma</w:t>
            </w:r>
          </w:p>
        </w:tc>
        <w:tc>
          <w:tcPr>
            <w:tcW w:w="733" w:type="pct"/>
            <w:tcBorders>
              <w:top w:val="single" w:sz="4" w:space="0" w:color="auto"/>
              <w:left w:val="single" w:sz="4" w:space="0" w:color="auto"/>
              <w:bottom w:val="single" w:sz="4" w:space="0" w:color="auto"/>
              <w:right w:val="single" w:sz="4" w:space="0" w:color="auto"/>
            </w:tcBorders>
          </w:tcPr>
          <w:p w:rsidR="00ED7A41" w:rsidRPr="00BA5839" w:rsidRDefault="00ED7A41" w:rsidP="00E302F6">
            <w:pPr>
              <w:pStyle w:val="Text1"/>
              <w:spacing w:before="120" w:line="240" w:lineRule="auto"/>
              <w:ind w:left="0"/>
              <w:rPr>
                <w:sz w:val="18"/>
                <w:szCs w:val="18"/>
                <w:lang w:val="lv-LV"/>
              </w:rPr>
            </w:pPr>
          </w:p>
        </w:tc>
      </w:tr>
      <w:tr w:rsidR="00F071B5" w:rsidRPr="00BA5839" w:rsidTr="00F071B5">
        <w:tc>
          <w:tcPr>
            <w:tcW w:w="485"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t xml:space="preserve">4.prioritārais </w:t>
            </w:r>
            <w:r w:rsidRPr="00F071B5">
              <w:rPr>
                <w:sz w:val="18"/>
                <w:szCs w:val="18"/>
                <w:lang w:val="lv-LV"/>
              </w:rPr>
              <w:lastRenderedPageBreak/>
              <w:t>virziens</w:t>
            </w:r>
          </w:p>
        </w:tc>
        <w:tc>
          <w:tcPr>
            <w:tcW w:w="723"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lang w:val="lv-LV"/>
              </w:rPr>
              <w:lastRenderedPageBreak/>
              <w:t>Iznākumu rādītājs</w:t>
            </w:r>
          </w:p>
        </w:tc>
        <w:tc>
          <w:tcPr>
            <w:tcW w:w="281"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4.1.O1</w:t>
            </w:r>
          </w:p>
        </w:tc>
        <w:tc>
          <w:tcPr>
            <w:tcW w:w="800" w:type="pct"/>
            <w:tcBorders>
              <w:top w:val="single" w:sz="4" w:space="0" w:color="auto"/>
              <w:left w:val="single" w:sz="4" w:space="0" w:color="auto"/>
              <w:bottom w:val="single" w:sz="4" w:space="0" w:color="auto"/>
              <w:right w:val="single" w:sz="4" w:space="0" w:color="auto"/>
            </w:tcBorders>
          </w:tcPr>
          <w:p w:rsidR="00ED7A41" w:rsidRPr="00F071B5" w:rsidRDefault="00E5700F" w:rsidP="00E302F6">
            <w:pPr>
              <w:pStyle w:val="Text1"/>
              <w:spacing w:before="120" w:line="240" w:lineRule="auto"/>
              <w:ind w:left="0"/>
              <w:rPr>
                <w:sz w:val="18"/>
                <w:szCs w:val="18"/>
                <w:lang w:val="lv-LV"/>
              </w:rPr>
            </w:pPr>
            <w:r w:rsidRPr="00F071B5">
              <w:rPr>
                <w:sz w:val="18"/>
                <w:szCs w:val="18"/>
                <w:lang w:val="lv-LV"/>
              </w:rPr>
              <w:t xml:space="preserve">Sadarbībā iesaistīto </w:t>
            </w:r>
            <w:r w:rsidRPr="00F071B5">
              <w:rPr>
                <w:sz w:val="18"/>
                <w:szCs w:val="18"/>
                <w:lang w:val="lv-LV"/>
              </w:rPr>
              <w:lastRenderedPageBreak/>
              <w:t>institūciju skaits</w:t>
            </w:r>
          </w:p>
        </w:tc>
        <w:tc>
          <w:tcPr>
            <w:tcW w:w="539"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lastRenderedPageBreak/>
              <w:t>Vienības</w:t>
            </w:r>
          </w:p>
        </w:tc>
        <w:tc>
          <w:tcPr>
            <w:tcW w:w="498" w:type="pct"/>
            <w:tcBorders>
              <w:top w:val="single" w:sz="4" w:space="0" w:color="auto"/>
              <w:left w:val="single" w:sz="4" w:space="0" w:color="auto"/>
              <w:bottom w:val="single" w:sz="4" w:space="0" w:color="auto"/>
              <w:right w:val="single" w:sz="4" w:space="0" w:color="auto"/>
            </w:tcBorders>
          </w:tcPr>
          <w:p w:rsidR="00ED7A41" w:rsidRPr="00F071B5" w:rsidRDefault="00ED7A41" w:rsidP="00E302F6">
            <w:pPr>
              <w:pStyle w:val="Text1"/>
              <w:spacing w:before="120" w:line="240" w:lineRule="auto"/>
              <w:ind w:left="0"/>
              <w:rPr>
                <w:sz w:val="18"/>
                <w:szCs w:val="18"/>
                <w:lang w:val="lv-LV"/>
              </w:rPr>
            </w:pPr>
            <w:r w:rsidRPr="00F071B5">
              <w:rPr>
                <w:sz w:val="18"/>
                <w:szCs w:val="18"/>
              </w:rPr>
              <w:t>5</w:t>
            </w:r>
          </w:p>
        </w:tc>
        <w:tc>
          <w:tcPr>
            <w:tcW w:w="502" w:type="pct"/>
            <w:tcBorders>
              <w:top w:val="single" w:sz="4" w:space="0" w:color="auto"/>
              <w:left w:val="single" w:sz="4" w:space="0" w:color="auto"/>
              <w:bottom w:val="single" w:sz="4" w:space="0" w:color="auto"/>
              <w:right w:val="single" w:sz="4" w:space="0" w:color="auto"/>
            </w:tcBorders>
          </w:tcPr>
          <w:p w:rsidR="00ED7A41" w:rsidRPr="00F071B5" w:rsidRDefault="00181C76" w:rsidP="00E302F6">
            <w:pPr>
              <w:pStyle w:val="Text1"/>
              <w:spacing w:before="120" w:line="240" w:lineRule="auto"/>
              <w:ind w:left="0"/>
              <w:rPr>
                <w:sz w:val="18"/>
                <w:szCs w:val="18"/>
                <w:lang w:val="lv-LV"/>
              </w:rPr>
            </w:pPr>
            <w:r>
              <w:rPr>
                <w:sz w:val="18"/>
                <w:szCs w:val="18"/>
              </w:rPr>
              <w:t>4</w:t>
            </w:r>
            <w:r w:rsidR="00ED7A41" w:rsidRPr="00F071B5">
              <w:rPr>
                <w:sz w:val="18"/>
                <w:szCs w:val="18"/>
              </w:rPr>
              <w:t>6</w:t>
            </w:r>
          </w:p>
        </w:tc>
        <w:tc>
          <w:tcPr>
            <w:tcW w:w="438" w:type="pct"/>
            <w:tcBorders>
              <w:top w:val="single" w:sz="4" w:space="0" w:color="auto"/>
              <w:left w:val="single" w:sz="4" w:space="0" w:color="auto"/>
              <w:bottom w:val="single" w:sz="4" w:space="0" w:color="auto"/>
              <w:right w:val="single" w:sz="4" w:space="0" w:color="auto"/>
            </w:tcBorders>
          </w:tcPr>
          <w:p w:rsidR="00ED7A41" w:rsidRPr="00181C76" w:rsidRDefault="00ED7A41" w:rsidP="00E302F6">
            <w:pPr>
              <w:pStyle w:val="Text1"/>
              <w:spacing w:before="120" w:line="240" w:lineRule="auto"/>
              <w:ind w:left="0"/>
              <w:rPr>
                <w:sz w:val="18"/>
                <w:szCs w:val="18"/>
                <w:lang w:val="lv-LV"/>
              </w:rPr>
            </w:pPr>
            <w:r w:rsidRPr="00181C76">
              <w:rPr>
                <w:sz w:val="18"/>
                <w:szCs w:val="18"/>
              </w:rPr>
              <w:t xml:space="preserve">Progresa </w:t>
            </w:r>
            <w:r w:rsidRPr="00181C76">
              <w:rPr>
                <w:sz w:val="18"/>
                <w:szCs w:val="18"/>
              </w:rPr>
              <w:lastRenderedPageBreak/>
              <w:t>ziņojumi</w:t>
            </w:r>
          </w:p>
        </w:tc>
        <w:tc>
          <w:tcPr>
            <w:tcW w:w="733" w:type="pct"/>
            <w:tcBorders>
              <w:top w:val="single" w:sz="4" w:space="0" w:color="auto"/>
              <w:left w:val="single" w:sz="4" w:space="0" w:color="auto"/>
              <w:bottom w:val="single" w:sz="4" w:space="0" w:color="auto"/>
              <w:right w:val="single" w:sz="4" w:space="0" w:color="auto"/>
            </w:tcBorders>
          </w:tcPr>
          <w:p w:rsidR="00ED7A41" w:rsidRPr="00BA5839" w:rsidRDefault="00ED7A41" w:rsidP="00E302F6">
            <w:pPr>
              <w:pStyle w:val="Text1"/>
              <w:spacing w:before="120" w:line="240" w:lineRule="auto"/>
              <w:ind w:left="0"/>
              <w:rPr>
                <w:sz w:val="18"/>
                <w:szCs w:val="18"/>
                <w:lang w:val="lv-LV"/>
              </w:rPr>
            </w:pPr>
          </w:p>
        </w:tc>
      </w:tr>
    </w:tbl>
    <w:p w:rsidR="00DB6FDE" w:rsidRDefault="00DB6FDE" w:rsidP="00E302F6">
      <w:pPr>
        <w:spacing w:before="120" w:line="240" w:lineRule="auto"/>
        <w:jc w:val="left"/>
        <w:rPr>
          <w:b/>
          <w:lang w:val="lv-LV" w:eastAsia="fr-BE"/>
        </w:rPr>
      </w:pPr>
    </w:p>
    <w:p w:rsidR="00DB6FDE" w:rsidRPr="00BA5839" w:rsidRDefault="00DB6FDE" w:rsidP="00D66FB7">
      <w:pPr>
        <w:pStyle w:val="Heading2"/>
      </w:pPr>
      <w:bookmarkStart w:id="54" w:name="_Toc384383732"/>
      <w:r w:rsidRPr="00BA5839">
        <w:t xml:space="preserve">2.6. </w:t>
      </w:r>
      <w:r w:rsidR="00A707C2" w:rsidRPr="00A05398">
        <w:rPr>
          <w:rStyle w:val="italic"/>
        </w:rPr>
        <w:t xml:space="preserve">Intervences </w:t>
      </w:r>
      <w:r w:rsidRPr="00BA5839">
        <w:t>kategorijas</w:t>
      </w:r>
      <w:bookmarkEnd w:id="54"/>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8930"/>
        <w:gridCol w:w="1985"/>
      </w:tblGrid>
      <w:tr w:rsidR="00DB6FDE" w:rsidRPr="00BA5839" w:rsidTr="005F5E9D">
        <w:trPr>
          <w:trHeight w:val="364"/>
        </w:trPr>
        <w:tc>
          <w:tcPr>
            <w:tcW w:w="13717" w:type="dxa"/>
            <w:gridSpan w:val="3"/>
            <w:tcBorders>
              <w:top w:val="single" w:sz="4" w:space="0" w:color="auto"/>
              <w:left w:val="single" w:sz="4" w:space="0" w:color="auto"/>
              <w:bottom w:val="single" w:sz="4" w:space="0" w:color="auto"/>
              <w:right w:val="single" w:sz="4" w:space="0" w:color="auto"/>
            </w:tcBorders>
            <w:hideMark/>
          </w:tcPr>
          <w:p w:rsidR="00DB6FDE" w:rsidRPr="00BA5839" w:rsidRDefault="00ED7A41" w:rsidP="00E302F6">
            <w:pPr>
              <w:autoSpaceDE w:val="0"/>
              <w:autoSpaceDN w:val="0"/>
              <w:adjustRightInd w:val="0"/>
              <w:spacing w:before="120" w:line="240" w:lineRule="auto"/>
              <w:jc w:val="left"/>
              <w:rPr>
                <w:rFonts w:ascii="Times New Roman" w:hAnsi="Times New Roman"/>
                <w:b/>
                <w:color w:val="000000"/>
                <w:sz w:val="18"/>
                <w:szCs w:val="18"/>
                <w:lang w:val="lv-LV" w:eastAsia="en-GB"/>
              </w:rPr>
            </w:pPr>
            <w:r>
              <w:rPr>
                <w:rFonts w:ascii="Times New Roman" w:hAnsi="Times New Roman"/>
                <w:b/>
                <w:lang w:val="lv-LV"/>
              </w:rPr>
              <w:t>5. – 8.tabula</w:t>
            </w:r>
            <w:r w:rsidR="00DB6FDE" w:rsidRPr="00BA5839">
              <w:rPr>
                <w:rFonts w:ascii="Times New Roman" w:hAnsi="Times New Roman"/>
                <w:b/>
                <w:lang w:val="lv-LV"/>
              </w:rPr>
              <w:t xml:space="preserve">: </w:t>
            </w:r>
            <w:r w:rsidR="00F01BA6" w:rsidRPr="00F01BA6">
              <w:rPr>
                <w:rStyle w:val="Heading311"/>
                <w:rFonts w:ascii="Times New Roman" w:hAnsi="Times New Roman"/>
                <w:b/>
                <w:sz w:val="24"/>
                <w:szCs w:val="24"/>
                <w:lang w:val="lv-LV"/>
              </w:rPr>
              <w:t>Intervences</w:t>
            </w:r>
            <w:r w:rsidR="00F01BA6" w:rsidRPr="00F01BA6">
              <w:rPr>
                <w:rFonts w:ascii="Times New Roman" w:hAnsi="Times New Roman"/>
                <w:b/>
                <w:sz w:val="22"/>
                <w:szCs w:val="22"/>
                <w:lang w:val="lv-LV"/>
              </w:rPr>
              <w:t xml:space="preserve"> </w:t>
            </w:r>
            <w:r w:rsidR="00DB6FDE" w:rsidRPr="00BA5839">
              <w:rPr>
                <w:rFonts w:ascii="Times New Roman" w:hAnsi="Times New Roman"/>
                <w:b/>
                <w:lang w:val="lv-LV"/>
              </w:rPr>
              <w:t>kategorijas</w:t>
            </w:r>
            <w:r w:rsidR="00686653">
              <w:rPr>
                <w:rFonts w:ascii="Times New Roman" w:hAnsi="Times New Roman"/>
                <w:b/>
                <w:lang w:val="lv-LV"/>
              </w:rPr>
              <w:t xml:space="preserve"> </w:t>
            </w:r>
            <w:r w:rsidR="00BA7EFF" w:rsidRPr="00686653">
              <w:rPr>
                <w:rStyle w:val="CommentReference"/>
                <w:rFonts w:ascii="Times New Roman" w:hAnsi="Times New Roman"/>
                <w:b/>
                <w:sz w:val="24"/>
                <w:szCs w:val="24"/>
              </w:rPr>
              <w:t>5</w:t>
            </w:r>
            <w:r w:rsidR="00DB6FDE" w:rsidRPr="00686653">
              <w:rPr>
                <w:rFonts w:ascii="Times New Roman" w:hAnsi="Times New Roman"/>
                <w:b/>
                <w:color w:val="000000"/>
                <w:lang w:val="lv-LV" w:eastAsia="en-GB"/>
              </w:rPr>
              <w:t xml:space="preserve">. tabula: </w:t>
            </w:r>
            <w:bookmarkStart w:id="55" w:name="_Toc384391470"/>
            <w:bookmarkStart w:id="56" w:name="_Toc388006565"/>
            <w:bookmarkStart w:id="57" w:name="_Toc389750235"/>
            <w:bookmarkStart w:id="58" w:name="_Toc389750725"/>
            <w:bookmarkStart w:id="59" w:name="_Toc389751212"/>
            <w:bookmarkStart w:id="60" w:name="_Toc389751705"/>
            <w:bookmarkStart w:id="61" w:name="_Toc389811747"/>
            <w:r w:rsidR="00F01BA6" w:rsidRPr="00686653">
              <w:rPr>
                <w:rStyle w:val="Heading311"/>
                <w:rFonts w:ascii="Times New Roman" w:hAnsi="Times New Roman"/>
                <w:b/>
                <w:sz w:val="24"/>
                <w:szCs w:val="24"/>
                <w:lang w:val="lv-LV"/>
              </w:rPr>
              <w:t>1. Aspekts Iesaistīšanās joma</w:t>
            </w:r>
            <w:bookmarkEnd w:id="55"/>
            <w:bookmarkEnd w:id="56"/>
            <w:bookmarkEnd w:id="57"/>
            <w:bookmarkEnd w:id="58"/>
            <w:bookmarkEnd w:id="59"/>
            <w:bookmarkEnd w:id="60"/>
            <w:bookmarkEnd w:id="61"/>
          </w:p>
        </w:tc>
      </w:tr>
      <w:tr w:rsidR="00DB6FDE" w:rsidRPr="00BA5839" w:rsidTr="005F5E9D">
        <w:trPr>
          <w:trHeight w:val="267"/>
        </w:trPr>
        <w:tc>
          <w:tcPr>
            <w:tcW w:w="2802" w:type="dxa"/>
            <w:tcBorders>
              <w:top w:val="single" w:sz="4" w:space="0" w:color="auto"/>
              <w:left w:val="single" w:sz="4" w:space="0" w:color="auto"/>
              <w:bottom w:val="single" w:sz="4" w:space="0" w:color="auto"/>
              <w:right w:val="single" w:sz="4" w:space="0" w:color="auto"/>
            </w:tcBorders>
            <w:hideMark/>
          </w:tcPr>
          <w:p w:rsidR="00DB6FDE" w:rsidRPr="00A707C2" w:rsidRDefault="00F01BA6" w:rsidP="00E302F6">
            <w:pPr>
              <w:spacing w:before="120" w:line="240" w:lineRule="auto"/>
              <w:jc w:val="center"/>
              <w:rPr>
                <w:rFonts w:ascii="Times New Roman" w:hAnsi="Times New Roman"/>
                <w:b/>
                <w:sz w:val="18"/>
                <w:szCs w:val="18"/>
                <w:lang w:val="lv-LV"/>
              </w:rPr>
            </w:pPr>
            <w:bookmarkStart w:id="62" w:name="_Toc384391471"/>
            <w:bookmarkStart w:id="63" w:name="_Toc388006566"/>
            <w:bookmarkStart w:id="64" w:name="_Toc389750236"/>
            <w:bookmarkStart w:id="65" w:name="_Toc389750726"/>
            <w:bookmarkStart w:id="66" w:name="_Toc389751213"/>
            <w:bookmarkStart w:id="67" w:name="_Toc389751706"/>
            <w:bookmarkStart w:id="68" w:name="_Toc389811748"/>
            <w:r w:rsidRPr="00F01BA6">
              <w:rPr>
                <w:rStyle w:val="Heading311"/>
                <w:rFonts w:ascii="Times New Roman" w:hAnsi="Times New Roman"/>
                <w:b/>
                <w:sz w:val="18"/>
                <w:szCs w:val="18"/>
                <w:lang w:val="lv-LV"/>
              </w:rPr>
              <w:t>Prioritārā joma</w:t>
            </w:r>
            <w:bookmarkEnd w:id="62"/>
            <w:bookmarkEnd w:id="63"/>
            <w:bookmarkEnd w:id="64"/>
            <w:bookmarkEnd w:id="65"/>
            <w:bookmarkEnd w:id="66"/>
            <w:bookmarkEnd w:id="67"/>
            <w:bookmarkEnd w:id="68"/>
          </w:p>
        </w:tc>
        <w:tc>
          <w:tcPr>
            <w:tcW w:w="8930"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pacing w:before="120" w:line="240" w:lineRule="auto"/>
              <w:jc w:val="center"/>
              <w:rPr>
                <w:rFonts w:ascii="Times New Roman" w:hAnsi="Times New Roman"/>
                <w:sz w:val="18"/>
                <w:szCs w:val="18"/>
                <w:lang w:val="lv-LV"/>
              </w:rPr>
            </w:pPr>
            <w:r w:rsidRPr="00BA5839">
              <w:rPr>
                <w:rFonts w:ascii="Times New Roman" w:hAnsi="Times New Roman"/>
                <w:b/>
                <w:sz w:val="18"/>
                <w:szCs w:val="18"/>
                <w:lang w:val="lv-LV"/>
              </w:rPr>
              <w:t>Kods</w:t>
            </w:r>
          </w:p>
        </w:tc>
        <w:tc>
          <w:tcPr>
            <w:tcW w:w="1985" w:type="dxa"/>
            <w:tcBorders>
              <w:top w:val="single" w:sz="4" w:space="0" w:color="auto"/>
              <w:left w:val="single" w:sz="4" w:space="0" w:color="auto"/>
              <w:bottom w:val="single" w:sz="4" w:space="0" w:color="auto"/>
              <w:right w:val="single" w:sz="4" w:space="0" w:color="auto"/>
            </w:tcBorders>
            <w:hideMark/>
          </w:tcPr>
          <w:p w:rsidR="00DB6FDE" w:rsidRPr="00A707C2" w:rsidRDefault="00F01BA6" w:rsidP="00E302F6">
            <w:pPr>
              <w:spacing w:before="120" w:line="240" w:lineRule="auto"/>
              <w:jc w:val="center"/>
              <w:rPr>
                <w:rFonts w:ascii="Times New Roman" w:hAnsi="Times New Roman"/>
                <w:b/>
                <w:sz w:val="18"/>
                <w:szCs w:val="18"/>
                <w:lang w:val="lv-LV"/>
              </w:rPr>
            </w:pPr>
            <w:bookmarkStart w:id="69" w:name="_Toc384391473"/>
            <w:bookmarkStart w:id="70" w:name="_Toc388006568"/>
            <w:bookmarkStart w:id="71" w:name="_Toc389750238"/>
            <w:bookmarkStart w:id="72" w:name="_Toc389750728"/>
            <w:bookmarkStart w:id="73" w:name="_Toc389751215"/>
            <w:bookmarkStart w:id="74" w:name="_Toc389751708"/>
            <w:bookmarkStart w:id="75" w:name="_Toc389811750"/>
            <w:r w:rsidRPr="00F01BA6">
              <w:rPr>
                <w:rStyle w:val="Heading311"/>
                <w:rFonts w:ascii="Times New Roman" w:hAnsi="Times New Roman"/>
                <w:b/>
                <w:sz w:val="18"/>
                <w:szCs w:val="18"/>
                <w:lang w:val="lv-LV"/>
              </w:rPr>
              <w:t>Summa (euro)</w:t>
            </w:r>
            <w:bookmarkEnd w:id="69"/>
            <w:bookmarkEnd w:id="70"/>
            <w:bookmarkEnd w:id="71"/>
            <w:bookmarkEnd w:id="72"/>
            <w:bookmarkEnd w:id="73"/>
            <w:bookmarkEnd w:id="74"/>
            <w:bookmarkEnd w:id="75"/>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1.prioritārais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95484C" w:rsidRDefault="00EC5685" w:rsidP="00E302F6">
            <w:pPr>
              <w:pStyle w:val="Text1"/>
              <w:spacing w:before="120" w:line="240" w:lineRule="auto"/>
              <w:ind w:left="0"/>
              <w:rPr>
                <w:szCs w:val="24"/>
                <w:lang w:val="lv-LV"/>
              </w:rPr>
            </w:pPr>
            <w:bookmarkStart w:id="76" w:name="_Toc384391484"/>
            <w:bookmarkStart w:id="77" w:name="_Toc388006579"/>
            <w:bookmarkStart w:id="78" w:name="_Toc389750249"/>
            <w:bookmarkStart w:id="79" w:name="_Toc389750739"/>
            <w:bookmarkStart w:id="80" w:name="_Toc389751226"/>
            <w:bookmarkStart w:id="81" w:name="_Toc389751719"/>
            <w:bookmarkStart w:id="82" w:name="_Toc389811761"/>
            <w:r w:rsidRPr="0095484C">
              <w:rPr>
                <w:rStyle w:val="Heading311"/>
                <w:rFonts w:ascii="Times New Roman" w:hAnsi="Times New Roman" w:cs="Times New Roman"/>
                <w:sz w:val="24"/>
                <w:szCs w:val="24"/>
                <w:lang w:val="lv-LV"/>
              </w:rPr>
              <w:t xml:space="preserve">094 </w:t>
            </w:r>
            <w:r w:rsidR="00686653" w:rsidRPr="0095484C">
              <w:rPr>
                <w:szCs w:val="24"/>
                <w:shd w:val="clear" w:color="auto" w:fill="FFFFFF"/>
                <w:lang w:val="lv-LV"/>
              </w:rPr>
              <w:t>Publisko kultūras un mantojuma vērtību aizsardzība, pilnveidošana un popularizēšana</w:t>
            </w:r>
            <w:bookmarkEnd w:id="76"/>
            <w:bookmarkEnd w:id="77"/>
            <w:bookmarkEnd w:id="78"/>
            <w:bookmarkEnd w:id="79"/>
            <w:bookmarkEnd w:id="80"/>
            <w:bookmarkEnd w:id="81"/>
            <w:bookmarkEnd w:id="82"/>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686653" w:rsidP="00E302F6">
            <w:pPr>
              <w:pStyle w:val="Text1"/>
              <w:spacing w:before="120" w:line="240" w:lineRule="auto"/>
              <w:ind w:left="0"/>
              <w:jc w:val="center"/>
              <w:rPr>
                <w:sz w:val="18"/>
                <w:szCs w:val="18"/>
                <w:lang w:val="lv-LV"/>
              </w:rPr>
            </w:pPr>
            <w:r w:rsidRPr="00686653">
              <w:rPr>
                <w:szCs w:val="24"/>
              </w:rPr>
              <w:t>2 790 084</w:t>
            </w:r>
          </w:p>
        </w:tc>
      </w:tr>
      <w:tr w:rsidR="00686653" w:rsidRPr="00BA5839" w:rsidTr="005F5E9D">
        <w:tc>
          <w:tcPr>
            <w:tcW w:w="2802" w:type="dxa"/>
            <w:tcBorders>
              <w:top w:val="single" w:sz="4" w:space="0" w:color="auto"/>
              <w:left w:val="single" w:sz="4" w:space="0" w:color="auto"/>
              <w:bottom w:val="single" w:sz="4" w:space="0" w:color="auto"/>
              <w:right w:val="single" w:sz="4" w:space="0" w:color="auto"/>
            </w:tcBorders>
          </w:tcPr>
          <w:p w:rsidR="00686653" w:rsidRDefault="00686653" w:rsidP="00E302F6">
            <w:pPr>
              <w:pStyle w:val="Text1"/>
              <w:spacing w:before="120" w:line="240" w:lineRule="auto"/>
              <w:ind w:left="0"/>
              <w:jc w:val="left"/>
            </w:pPr>
            <w:r>
              <w:t>1.prioritārais virziens</w:t>
            </w:r>
          </w:p>
        </w:tc>
        <w:tc>
          <w:tcPr>
            <w:tcW w:w="8930" w:type="dxa"/>
            <w:tcBorders>
              <w:top w:val="single" w:sz="4" w:space="0" w:color="auto"/>
              <w:left w:val="single" w:sz="4" w:space="0" w:color="auto"/>
              <w:bottom w:val="single" w:sz="4" w:space="0" w:color="auto"/>
              <w:right w:val="single" w:sz="4" w:space="0" w:color="auto"/>
            </w:tcBorders>
          </w:tcPr>
          <w:p w:rsidR="00686653" w:rsidRPr="0095484C" w:rsidRDefault="00686653" w:rsidP="00E302F6">
            <w:pPr>
              <w:pStyle w:val="Text1"/>
              <w:spacing w:before="120" w:line="240" w:lineRule="auto"/>
              <w:ind w:left="0"/>
              <w:rPr>
                <w:rStyle w:val="Heading311"/>
                <w:rFonts w:ascii="Times New Roman" w:hAnsi="Times New Roman" w:cs="Times New Roman"/>
                <w:sz w:val="24"/>
                <w:szCs w:val="24"/>
                <w:lang w:val="lv-LV"/>
              </w:rPr>
            </w:pPr>
            <w:r w:rsidRPr="0095484C">
              <w:rPr>
                <w:rStyle w:val="Heading311"/>
                <w:rFonts w:ascii="Times New Roman" w:hAnsi="Times New Roman" w:cs="Times New Roman"/>
                <w:sz w:val="24"/>
                <w:szCs w:val="24"/>
                <w:lang w:val="lv-LV"/>
              </w:rPr>
              <w:t xml:space="preserve">095 </w:t>
            </w:r>
            <w:r w:rsidRPr="0095484C">
              <w:rPr>
                <w:szCs w:val="24"/>
                <w:shd w:val="clear" w:color="auto" w:fill="FFFFFF"/>
              </w:rPr>
              <w:t>Publisko kultūras un mantojuma pakalpojumu pilnveidošana un popularizēšana</w:t>
            </w:r>
          </w:p>
        </w:tc>
        <w:tc>
          <w:tcPr>
            <w:tcW w:w="1985" w:type="dxa"/>
            <w:tcBorders>
              <w:top w:val="single" w:sz="4" w:space="0" w:color="auto"/>
              <w:left w:val="single" w:sz="4" w:space="0" w:color="auto"/>
              <w:bottom w:val="single" w:sz="4" w:space="0" w:color="auto"/>
              <w:right w:val="single" w:sz="4" w:space="0" w:color="auto"/>
            </w:tcBorders>
          </w:tcPr>
          <w:p w:rsidR="00686653" w:rsidRPr="00741665" w:rsidRDefault="00117A47" w:rsidP="00E302F6">
            <w:pPr>
              <w:pStyle w:val="Text1"/>
              <w:spacing w:before="120" w:line="240" w:lineRule="auto"/>
              <w:ind w:left="0"/>
              <w:jc w:val="center"/>
            </w:pPr>
            <w:r>
              <w:t>2 790 084</w:t>
            </w:r>
          </w:p>
        </w:tc>
      </w:tr>
      <w:tr w:rsidR="00E5700F" w:rsidRPr="00BA5839" w:rsidTr="005F5E9D">
        <w:trPr>
          <w:trHeight w:val="641"/>
        </w:trPr>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1.prioritārais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1F7610" w:rsidRDefault="00EC5685" w:rsidP="00E302F6">
            <w:pPr>
              <w:pStyle w:val="Text1"/>
              <w:spacing w:before="120" w:line="240" w:lineRule="auto"/>
              <w:ind w:left="0"/>
              <w:rPr>
                <w:sz w:val="18"/>
                <w:szCs w:val="18"/>
                <w:lang w:val="lv-LV"/>
              </w:rPr>
            </w:pPr>
            <w:r>
              <w:rPr>
                <w:lang w:val="lv-LV"/>
              </w:rPr>
              <w:t xml:space="preserve">085 </w:t>
            </w:r>
            <w:r w:rsidR="001F7610" w:rsidRPr="001F7610">
              <w:rPr>
                <w:lang w:val="lv-LV"/>
              </w:rPr>
              <w:t>Bioloģiskās daudzveidības aizsardzība un spēcināšana, dabas aizsardzība un zaļā infrastruktūra</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1 116 034</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1.prioritārais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rPr>
                <w:sz w:val="18"/>
                <w:szCs w:val="18"/>
                <w:lang w:val="lv-LV"/>
              </w:rPr>
            </w:pPr>
            <w:r w:rsidRPr="00C77C1E">
              <w:rPr>
                <w:lang w:val="lv-LV"/>
              </w:rPr>
              <w:t xml:space="preserve">086 </w:t>
            </w:r>
            <w:r w:rsidR="001F7610" w:rsidRPr="00C77C1E">
              <w:rPr>
                <w:lang w:val="lv-LV"/>
              </w:rPr>
              <w:t>Natura 2000 teritoriju aizsardzība, atjaunošana un ilgtspējīga lietošana</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1 116 034</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1.prioritārais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1F7610" w:rsidRDefault="004E0D5B" w:rsidP="00E302F6">
            <w:pPr>
              <w:pStyle w:val="Text1"/>
              <w:spacing w:before="120" w:line="240" w:lineRule="auto"/>
              <w:ind w:left="0"/>
              <w:rPr>
                <w:sz w:val="18"/>
                <w:szCs w:val="18"/>
                <w:lang w:val="lv-LV"/>
              </w:rPr>
            </w:pPr>
            <w:r w:rsidRPr="004E0D5B">
              <w:rPr>
                <w:lang w:val="lv-LV"/>
              </w:rPr>
              <w:t>087 Pasākumi saistībā ar pielāgošanos klimata pārmaiņām un ar klimatu saistīto risku (piemēram, erozijas, ugunsgrēku, plūdu, vētru un sausumu) profilakses un vadības pasākumi, tostarp izpratnes veidošana, civilā aizsardzība un katastrofu pārvarēšanas sistēmas un infrastruktūras</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1255538</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1.prioritārais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1F7610" w:rsidRDefault="00E5700F" w:rsidP="00E302F6">
            <w:pPr>
              <w:pStyle w:val="Text1"/>
              <w:spacing w:before="120" w:line="240" w:lineRule="auto"/>
              <w:ind w:left="0"/>
              <w:rPr>
                <w:sz w:val="18"/>
                <w:szCs w:val="18"/>
                <w:lang w:val="lv-LV"/>
              </w:rPr>
            </w:pPr>
            <w:r w:rsidRPr="001F7610">
              <w:rPr>
                <w:lang w:val="lv-LV"/>
              </w:rPr>
              <w:t xml:space="preserve">089 </w:t>
            </w:r>
            <w:r w:rsidR="001F7610" w:rsidRPr="001F7610">
              <w:rPr>
                <w:lang w:val="lv-LV"/>
              </w:rPr>
              <w:t>Rūpniecībā izmantotās un piesārņotās zemes rehabilitācija</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4 882 648</w:t>
            </w:r>
          </w:p>
        </w:tc>
      </w:tr>
      <w:tr w:rsidR="00117A47" w:rsidRPr="00BA5839" w:rsidTr="005F5E9D">
        <w:tc>
          <w:tcPr>
            <w:tcW w:w="2802" w:type="dxa"/>
            <w:tcBorders>
              <w:top w:val="single" w:sz="4" w:space="0" w:color="auto"/>
              <w:left w:val="single" w:sz="4" w:space="0" w:color="auto"/>
              <w:bottom w:val="single" w:sz="4" w:space="0" w:color="auto"/>
              <w:right w:val="single" w:sz="4" w:space="0" w:color="auto"/>
            </w:tcBorders>
          </w:tcPr>
          <w:p w:rsidR="00117A47" w:rsidRDefault="00117A47" w:rsidP="00E302F6">
            <w:pPr>
              <w:pStyle w:val="Text1"/>
              <w:spacing w:before="120" w:line="240" w:lineRule="auto"/>
              <w:ind w:left="0"/>
              <w:jc w:val="left"/>
            </w:pPr>
            <w:r>
              <w:t>2.prioritārais virziens</w:t>
            </w:r>
          </w:p>
        </w:tc>
        <w:tc>
          <w:tcPr>
            <w:tcW w:w="8930" w:type="dxa"/>
            <w:tcBorders>
              <w:top w:val="single" w:sz="4" w:space="0" w:color="auto"/>
              <w:left w:val="single" w:sz="4" w:space="0" w:color="auto"/>
              <w:bottom w:val="single" w:sz="4" w:space="0" w:color="auto"/>
              <w:right w:val="single" w:sz="4" w:space="0" w:color="auto"/>
            </w:tcBorders>
          </w:tcPr>
          <w:p w:rsidR="00117A47" w:rsidRPr="001F7610" w:rsidRDefault="00117A47" w:rsidP="00E302F6">
            <w:pPr>
              <w:pStyle w:val="Text1"/>
              <w:spacing w:before="120" w:line="240" w:lineRule="auto"/>
              <w:ind w:left="0"/>
              <w:rPr>
                <w:lang w:val="lv-LV"/>
              </w:rPr>
            </w:pPr>
            <w:r>
              <w:rPr>
                <w:lang w:val="lv-LV"/>
              </w:rPr>
              <w:t xml:space="preserve">103 </w:t>
            </w:r>
            <w:r w:rsidRPr="0095484C">
              <w:rPr>
                <w:szCs w:val="24"/>
                <w:shd w:val="clear" w:color="auto" w:fill="FFFFFF"/>
              </w:rPr>
              <w:t>Jauniešu ilgtspējīga integrācija darba tirgū, īpašu uzmanību pievēršot nodarbinātībā, izglītībā vai apmācībā neiesaistītiem jauniešiem, tostarp jauniešiem, kuri pakļauti sociālās atstumtības riskam, un jauniešiem no atstumtām kopienām, arī ar garantijas jauniešiem shēmas īstenošana</w:t>
            </w:r>
          </w:p>
        </w:tc>
        <w:tc>
          <w:tcPr>
            <w:tcW w:w="1985" w:type="dxa"/>
            <w:tcBorders>
              <w:top w:val="single" w:sz="4" w:space="0" w:color="auto"/>
              <w:left w:val="single" w:sz="4" w:space="0" w:color="auto"/>
              <w:bottom w:val="single" w:sz="4" w:space="0" w:color="auto"/>
              <w:right w:val="single" w:sz="4" w:space="0" w:color="auto"/>
            </w:tcBorders>
          </w:tcPr>
          <w:p w:rsidR="00117A47" w:rsidRPr="00741665" w:rsidRDefault="00117A47" w:rsidP="00E302F6">
            <w:pPr>
              <w:pStyle w:val="Text1"/>
              <w:spacing w:before="120" w:line="240" w:lineRule="auto"/>
              <w:ind w:left="0"/>
              <w:jc w:val="center"/>
            </w:pPr>
            <w:r>
              <w:t>2 260 485</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2.prioritārais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1F7610" w:rsidRDefault="00E5700F" w:rsidP="00E302F6">
            <w:pPr>
              <w:pStyle w:val="Text1"/>
              <w:spacing w:before="120" w:line="240" w:lineRule="auto"/>
              <w:ind w:left="0"/>
              <w:rPr>
                <w:sz w:val="18"/>
                <w:szCs w:val="18"/>
                <w:lang w:val="lv-LV"/>
              </w:rPr>
            </w:pPr>
            <w:r w:rsidRPr="001F7610">
              <w:rPr>
                <w:lang w:val="lv-LV"/>
              </w:rPr>
              <w:t xml:space="preserve">104 </w:t>
            </w:r>
            <w:r w:rsidR="001F7610" w:rsidRPr="001F7610">
              <w:rPr>
                <w:lang w:val="lv-LV"/>
              </w:rPr>
              <w:t xml:space="preserve">Pašnodarbinātība, uzņēmējdarbība un uzņēmumu radīšana, tostarp inovatīvi </w:t>
            </w:r>
            <w:r w:rsidR="001F7610" w:rsidRPr="001F7610">
              <w:rPr>
                <w:lang w:val="lv-LV"/>
              </w:rPr>
              <w:lastRenderedPageBreak/>
              <w:t>mikrouzņēmumi, inovatīvi mazi un vidējie uzņēmumi</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117A47" w:rsidP="00E302F6">
            <w:pPr>
              <w:pStyle w:val="Text1"/>
              <w:spacing w:before="120" w:line="240" w:lineRule="auto"/>
              <w:ind w:left="0"/>
              <w:jc w:val="center"/>
              <w:rPr>
                <w:sz w:val="18"/>
                <w:szCs w:val="18"/>
                <w:lang w:val="lv-LV"/>
              </w:rPr>
            </w:pPr>
            <w:r>
              <w:lastRenderedPageBreak/>
              <w:t>2 260 485</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lastRenderedPageBreak/>
              <w:t>2.prioritārais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1F7610" w:rsidRDefault="00E5700F" w:rsidP="00E302F6">
            <w:pPr>
              <w:pStyle w:val="Text1"/>
              <w:spacing w:before="120" w:line="240" w:lineRule="auto"/>
              <w:ind w:left="0"/>
              <w:rPr>
                <w:sz w:val="18"/>
                <w:szCs w:val="18"/>
                <w:lang w:val="lv-LV"/>
              </w:rPr>
            </w:pPr>
            <w:r w:rsidRPr="001F7610">
              <w:rPr>
                <w:lang w:val="lv-LV"/>
              </w:rPr>
              <w:t xml:space="preserve">102 </w:t>
            </w:r>
            <w:r w:rsidR="001F7610" w:rsidRPr="001F7610">
              <w:rPr>
                <w:lang w:val="lv-LV"/>
              </w:rPr>
              <w:t>Darba meklētāju un nenodarbinātu cilvēku, tostarp ilgstošu bezdarbnieku un no darba tirgus attālinātu personu, piekļuve nodarbinātībai, arī ar vietējām nodarbinātības iniciatīvām, kā arī atbalsts darbaspēka mobilitātei</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13 562 910</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3.prioritārais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1F7610" w:rsidRDefault="00E5700F" w:rsidP="00E302F6">
            <w:pPr>
              <w:pStyle w:val="Text1"/>
              <w:spacing w:before="120" w:line="240" w:lineRule="auto"/>
              <w:ind w:left="0"/>
              <w:rPr>
                <w:sz w:val="18"/>
                <w:szCs w:val="18"/>
                <w:lang w:val="lv-LV"/>
              </w:rPr>
            </w:pPr>
            <w:r w:rsidRPr="001F7610">
              <w:rPr>
                <w:lang w:val="lv-LV"/>
              </w:rPr>
              <w:t xml:space="preserve">112 </w:t>
            </w:r>
            <w:r w:rsidR="001F7610" w:rsidRPr="001F7610">
              <w:rPr>
                <w:lang w:val="lv-LV"/>
              </w:rPr>
              <w:t>Piekļuves uzlabošana cenas ziņā pieejamiem, ilgtspējīgiem un kvalitatīviem pakalpojumiem, tostarp veselības aprūpei un vispārējas nozīmes sociālajiem pakalpojumiem</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6 716 870</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3.prioritārais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1A692C" w:rsidRDefault="00F01BA6" w:rsidP="00E302F6">
            <w:pPr>
              <w:pStyle w:val="Text1"/>
              <w:spacing w:before="120" w:line="240" w:lineRule="auto"/>
              <w:ind w:left="0"/>
              <w:rPr>
                <w:szCs w:val="24"/>
                <w:lang w:val="lv-LV"/>
              </w:rPr>
            </w:pPr>
            <w:bookmarkStart w:id="83" w:name="_Toc384391499"/>
            <w:bookmarkStart w:id="84" w:name="_Toc388006594"/>
            <w:bookmarkStart w:id="85" w:name="_Toc389750264"/>
            <w:bookmarkStart w:id="86" w:name="_Toc389750754"/>
            <w:bookmarkStart w:id="87" w:name="_Toc389751241"/>
            <w:bookmarkStart w:id="88" w:name="_Toc389751734"/>
            <w:bookmarkStart w:id="89" w:name="_Toc389811776"/>
            <w:r w:rsidRPr="00F01BA6">
              <w:rPr>
                <w:rStyle w:val="Heading311"/>
                <w:rFonts w:ascii="Times New Roman" w:hAnsi="Times New Roman" w:cs="Times New Roman"/>
                <w:sz w:val="24"/>
                <w:szCs w:val="24"/>
                <w:lang w:val="lv-LV"/>
              </w:rPr>
              <w:t>109   Aktīva iekļaušana, ietverot vienādu iespēju veicināšanu un aktīvu līdzdalību un uzlabojot nodarbinātību</w:t>
            </w:r>
            <w:bookmarkEnd w:id="83"/>
            <w:bookmarkEnd w:id="84"/>
            <w:bookmarkEnd w:id="85"/>
            <w:bookmarkEnd w:id="86"/>
            <w:bookmarkEnd w:id="87"/>
            <w:bookmarkEnd w:id="88"/>
            <w:bookmarkEnd w:id="89"/>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3 616 776</w:t>
            </w:r>
          </w:p>
        </w:tc>
      </w:tr>
      <w:tr w:rsidR="00E5700F" w:rsidRPr="00BA5839" w:rsidTr="005F5E9D">
        <w:tc>
          <w:tcPr>
            <w:tcW w:w="2802"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left"/>
              <w:rPr>
                <w:sz w:val="18"/>
                <w:szCs w:val="18"/>
                <w:lang w:val="lv-LV"/>
              </w:rPr>
            </w:pPr>
            <w:r>
              <w:t>4.prioritārais virziens</w:t>
            </w:r>
          </w:p>
        </w:tc>
        <w:tc>
          <w:tcPr>
            <w:tcW w:w="8930"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rPr>
                <w:sz w:val="18"/>
                <w:szCs w:val="18"/>
                <w:lang w:val="lv-LV"/>
              </w:rPr>
            </w:pPr>
            <w:r w:rsidRPr="001F7610">
              <w:rPr>
                <w:lang w:val="lv-LV"/>
              </w:rPr>
              <w:t xml:space="preserve">096 </w:t>
            </w:r>
            <w:r w:rsidR="001F7610" w:rsidRPr="001F7610">
              <w:rPr>
                <w:lang w:val="lv-LV"/>
              </w:rPr>
              <w:t>Valsts pārvaldes un tādu sabiedrisko pakalpojumu institucionālās spējas, kas saistīti ar ERAF īstenošanu, vai darbības, kas atbalsta ESF institucionālo spēju iniciatīvas</w:t>
            </w:r>
          </w:p>
        </w:tc>
        <w:tc>
          <w:tcPr>
            <w:tcW w:w="1985" w:type="dxa"/>
            <w:tcBorders>
              <w:top w:val="single" w:sz="4" w:space="0" w:color="auto"/>
              <w:left w:val="single" w:sz="4" w:space="0" w:color="auto"/>
              <w:bottom w:val="single" w:sz="4" w:space="0" w:color="auto"/>
              <w:right w:val="single" w:sz="4" w:space="0" w:color="auto"/>
            </w:tcBorders>
          </w:tcPr>
          <w:p w:rsidR="00E5700F" w:rsidRPr="00BA5839" w:rsidRDefault="00E5700F" w:rsidP="00E302F6">
            <w:pPr>
              <w:pStyle w:val="Text1"/>
              <w:spacing w:before="120" w:line="240" w:lineRule="auto"/>
              <w:ind w:left="0"/>
              <w:jc w:val="center"/>
              <w:rPr>
                <w:sz w:val="18"/>
                <w:szCs w:val="18"/>
                <w:lang w:val="lv-LV"/>
              </w:rPr>
            </w:pPr>
            <w:r w:rsidRPr="00741665">
              <w:t>9 300 281</w:t>
            </w:r>
          </w:p>
        </w:tc>
      </w:tr>
    </w:tbl>
    <w:p w:rsidR="00DB6FDE" w:rsidRDefault="00DB6FDE" w:rsidP="00E302F6">
      <w:pPr>
        <w:suppressAutoHyphens/>
        <w:spacing w:before="120" w:line="240" w:lineRule="auto"/>
        <w:rPr>
          <w:b/>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DB6FDE" w:rsidRPr="00117A47" w:rsidTr="00DB6FDE">
        <w:trPr>
          <w:trHeight w:val="364"/>
        </w:trPr>
        <w:tc>
          <w:tcPr>
            <w:tcW w:w="8472" w:type="dxa"/>
            <w:gridSpan w:val="3"/>
            <w:tcBorders>
              <w:top w:val="single" w:sz="4" w:space="0" w:color="auto"/>
              <w:left w:val="single" w:sz="4" w:space="0" w:color="auto"/>
              <w:bottom w:val="single" w:sz="4" w:space="0" w:color="auto"/>
              <w:right w:val="single" w:sz="4" w:space="0" w:color="auto"/>
            </w:tcBorders>
            <w:hideMark/>
          </w:tcPr>
          <w:p w:rsidR="00DB6FDE" w:rsidRPr="00117A47" w:rsidRDefault="00ED7A41" w:rsidP="00E302F6">
            <w:pPr>
              <w:autoSpaceDE w:val="0"/>
              <w:autoSpaceDN w:val="0"/>
              <w:adjustRightInd w:val="0"/>
              <w:spacing w:before="120" w:line="240" w:lineRule="auto"/>
              <w:jc w:val="left"/>
              <w:rPr>
                <w:rFonts w:ascii="Times New Roman" w:hAnsi="Times New Roman"/>
                <w:b/>
                <w:color w:val="000000"/>
                <w:lang w:val="lv-LV" w:eastAsia="en-GB"/>
              </w:rPr>
            </w:pPr>
            <w:r w:rsidRPr="00117A47">
              <w:rPr>
                <w:rFonts w:ascii="Times New Roman" w:hAnsi="Times New Roman"/>
                <w:b/>
                <w:bCs/>
                <w:color w:val="000000"/>
                <w:lang w:val="lv-LV" w:eastAsia="en-GB"/>
              </w:rPr>
              <w:t>6</w:t>
            </w:r>
            <w:r w:rsidR="00DB6FDE" w:rsidRPr="00117A47">
              <w:rPr>
                <w:rFonts w:ascii="Times New Roman" w:hAnsi="Times New Roman"/>
                <w:b/>
                <w:bCs/>
                <w:color w:val="000000"/>
                <w:lang w:val="lv-LV" w:eastAsia="en-GB"/>
              </w:rPr>
              <w:t xml:space="preserve">. tabula: </w:t>
            </w:r>
            <w:r w:rsidR="00F01BA6" w:rsidRPr="00117A47">
              <w:rPr>
                <w:rStyle w:val="Heading311"/>
                <w:rFonts w:ascii="Times New Roman" w:hAnsi="Times New Roman" w:cs="Times New Roman"/>
                <w:b/>
                <w:sz w:val="24"/>
                <w:szCs w:val="24"/>
                <w:lang w:val="lv-LV"/>
              </w:rPr>
              <w:t>2. Aspekts Finansējuma veids</w:t>
            </w:r>
          </w:p>
        </w:tc>
      </w:tr>
      <w:tr w:rsidR="00DB6FDE" w:rsidRPr="00117A47" w:rsidTr="00DB6FDE">
        <w:trPr>
          <w:trHeight w:val="267"/>
        </w:trPr>
        <w:tc>
          <w:tcPr>
            <w:tcW w:w="2802" w:type="dxa"/>
            <w:tcBorders>
              <w:top w:val="single" w:sz="4" w:space="0" w:color="auto"/>
              <w:left w:val="single" w:sz="4" w:space="0" w:color="auto"/>
              <w:bottom w:val="single" w:sz="4" w:space="0" w:color="auto"/>
              <w:right w:val="single" w:sz="4" w:space="0" w:color="auto"/>
            </w:tcBorders>
            <w:hideMark/>
          </w:tcPr>
          <w:p w:rsidR="00DB6FDE" w:rsidRPr="00117A47" w:rsidRDefault="00F01BA6" w:rsidP="00E302F6">
            <w:pPr>
              <w:spacing w:before="120" w:line="240" w:lineRule="auto"/>
              <w:jc w:val="center"/>
              <w:rPr>
                <w:rFonts w:ascii="Times New Roman" w:hAnsi="Times New Roman"/>
                <w:b/>
                <w:lang w:val="lv-LV"/>
              </w:rPr>
            </w:pPr>
            <w:bookmarkStart w:id="90" w:name="_Toc384391505"/>
            <w:bookmarkStart w:id="91" w:name="_Toc388006600"/>
            <w:bookmarkStart w:id="92" w:name="_Toc389750270"/>
            <w:bookmarkStart w:id="93" w:name="_Toc389750760"/>
            <w:bookmarkStart w:id="94" w:name="_Toc389751247"/>
            <w:bookmarkStart w:id="95" w:name="_Toc389751740"/>
            <w:bookmarkStart w:id="96" w:name="_Toc389811782"/>
            <w:r w:rsidRPr="00117A47">
              <w:rPr>
                <w:rStyle w:val="Heading311"/>
                <w:rFonts w:ascii="Times New Roman" w:hAnsi="Times New Roman" w:cs="Times New Roman"/>
                <w:b/>
                <w:sz w:val="24"/>
                <w:szCs w:val="24"/>
                <w:lang w:val="lv-LV"/>
              </w:rPr>
              <w:t>Prioritārais virziens</w:t>
            </w:r>
            <w:bookmarkEnd w:id="90"/>
            <w:bookmarkEnd w:id="91"/>
            <w:bookmarkEnd w:id="92"/>
            <w:bookmarkEnd w:id="93"/>
            <w:bookmarkEnd w:id="94"/>
            <w:bookmarkEnd w:id="95"/>
            <w:bookmarkEnd w:id="96"/>
          </w:p>
        </w:tc>
        <w:tc>
          <w:tcPr>
            <w:tcW w:w="2693" w:type="dxa"/>
            <w:tcBorders>
              <w:top w:val="single" w:sz="4" w:space="0" w:color="auto"/>
              <w:left w:val="single" w:sz="4" w:space="0" w:color="auto"/>
              <w:bottom w:val="single" w:sz="4" w:space="0" w:color="auto"/>
              <w:right w:val="single" w:sz="4" w:space="0" w:color="auto"/>
            </w:tcBorders>
            <w:hideMark/>
          </w:tcPr>
          <w:p w:rsidR="00DB6FDE" w:rsidRPr="00117A47" w:rsidRDefault="00DB6FDE" w:rsidP="00E302F6">
            <w:pPr>
              <w:spacing w:before="120" w:line="240" w:lineRule="auto"/>
              <w:jc w:val="center"/>
              <w:rPr>
                <w:rFonts w:ascii="Times New Roman" w:hAnsi="Times New Roman"/>
                <w:b/>
                <w:lang w:val="lv-LV"/>
              </w:rPr>
            </w:pPr>
            <w:r w:rsidRPr="00117A47">
              <w:rPr>
                <w:rFonts w:ascii="Times New Roman" w:hAnsi="Times New Roman"/>
                <w:b/>
                <w:lang w:val="lv-LV"/>
              </w:rPr>
              <w:t>Kods</w:t>
            </w:r>
          </w:p>
        </w:tc>
        <w:tc>
          <w:tcPr>
            <w:tcW w:w="2977" w:type="dxa"/>
            <w:tcBorders>
              <w:top w:val="single" w:sz="4" w:space="0" w:color="auto"/>
              <w:left w:val="single" w:sz="4" w:space="0" w:color="auto"/>
              <w:bottom w:val="single" w:sz="4" w:space="0" w:color="auto"/>
              <w:right w:val="single" w:sz="4" w:space="0" w:color="auto"/>
            </w:tcBorders>
            <w:hideMark/>
          </w:tcPr>
          <w:p w:rsidR="00DB6FDE" w:rsidRPr="00117A47" w:rsidRDefault="00F01BA6" w:rsidP="00E302F6">
            <w:pPr>
              <w:spacing w:before="120" w:line="240" w:lineRule="auto"/>
              <w:jc w:val="center"/>
              <w:rPr>
                <w:rFonts w:ascii="Times New Roman" w:hAnsi="Times New Roman"/>
                <w:b/>
                <w:lang w:val="lv-LV"/>
              </w:rPr>
            </w:pPr>
            <w:bookmarkStart w:id="97" w:name="_Toc384391507"/>
            <w:bookmarkStart w:id="98" w:name="_Toc388006602"/>
            <w:bookmarkStart w:id="99" w:name="_Toc389750272"/>
            <w:bookmarkStart w:id="100" w:name="_Toc389750762"/>
            <w:bookmarkStart w:id="101" w:name="_Toc389751249"/>
            <w:bookmarkStart w:id="102" w:name="_Toc389751742"/>
            <w:bookmarkStart w:id="103" w:name="_Toc389811784"/>
            <w:r w:rsidRPr="00117A47">
              <w:rPr>
                <w:rStyle w:val="Heading311"/>
                <w:rFonts w:ascii="Times New Roman" w:hAnsi="Times New Roman" w:cs="Times New Roman"/>
                <w:b/>
                <w:sz w:val="24"/>
                <w:szCs w:val="24"/>
                <w:lang w:val="lv-LV"/>
              </w:rPr>
              <w:t>Summa (euro)</w:t>
            </w:r>
            <w:bookmarkEnd w:id="97"/>
            <w:bookmarkEnd w:id="98"/>
            <w:bookmarkEnd w:id="99"/>
            <w:bookmarkEnd w:id="100"/>
            <w:bookmarkEnd w:id="101"/>
            <w:bookmarkEnd w:id="102"/>
            <w:bookmarkEnd w:id="103"/>
          </w:p>
        </w:tc>
      </w:tr>
      <w:tr w:rsidR="00DB6FDE" w:rsidRPr="00117A47" w:rsidTr="00DB6FDE">
        <w:tc>
          <w:tcPr>
            <w:tcW w:w="2802" w:type="dxa"/>
            <w:tcBorders>
              <w:top w:val="single" w:sz="4" w:space="0" w:color="auto"/>
              <w:left w:val="single" w:sz="4" w:space="0" w:color="auto"/>
              <w:bottom w:val="single" w:sz="4" w:space="0" w:color="auto"/>
              <w:right w:val="single" w:sz="4" w:space="0" w:color="auto"/>
            </w:tcBorders>
          </w:tcPr>
          <w:p w:rsidR="00DB6FDE" w:rsidRPr="00117A47" w:rsidRDefault="00E5700F" w:rsidP="00E302F6">
            <w:pPr>
              <w:pStyle w:val="Text1"/>
              <w:spacing w:before="120" w:line="240" w:lineRule="auto"/>
              <w:ind w:left="0"/>
              <w:jc w:val="left"/>
              <w:rPr>
                <w:szCs w:val="24"/>
                <w:lang w:val="lv-LV"/>
              </w:rPr>
            </w:pPr>
            <w:r w:rsidRPr="00117A47">
              <w:rPr>
                <w:szCs w:val="24"/>
                <w:lang w:val="lv-LV"/>
              </w:rPr>
              <w:t>1.prioritārais virziens</w:t>
            </w:r>
          </w:p>
          <w:p w:rsidR="00E5700F" w:rsidRPr="00117A47" w:rsidRDefault="00E5700F" w:rsidP="00E302F6">
            <w:pPr>
              <w:pStyle w:val="Text1"/>
              <w:spacing w:before="120" w:line="240" w:lineRule="auto"/>
              <w:ind w:left="0"/>
              <w:jc w:val="left"/>
              <w:rPr>
                <w:szCs w:val="24"/>
                <w:lang w:val="lv-LV"/>
              </w:rPr>
            </w:pPr>
            <w:r w:rsidRPr="00117A47">
              <w:rPr>
                <w:szCs w:val="24"/>
                <w:lang w:val="lv-LV"/>
              </w:rPr>
              <w:t>2.prioritārais virziens</w:t>
            </w:r>
          </w:p>
          <w:p w:rsidR="00E5700F" w:rsidRPr="00117A47" w:rsidRDefault="00E5700F" w:rsidP="00E302F6">
            <w:pPr>
              <w:pStyle w:val="Text1"/>
              <w:spacing w:before="120" w:line="240" w:lineRule="auto"/>
              <w:ind w:left="0"/>
              <w:jc w:val="left"/>
              <w:rPr>
                <w:szCs w:val="24"/>
                <w:lang w:val="lv-LV"/>
              </w:rPr>
            </w:pPr>
            <w:r w:rsidRPr="00117A47">
              <w:rPr>
                <w:szCs w:val="24"/>
                <w:lang w:val="lv-LV"/>
              </w:rPr>
              <w:t>3.prioritārais virziens</w:t>
            </w:r>
          </w:p>
          <w:p w:rsidR="00E5700F" w:rsidRPr="00117A47" w:rsidRDefault="00E5700F" w:rsidP="00E302F6">
            <w:pPr>
              <w:pStyle w:val="Text1"/>
              <w:spacing w:before="120" w:line="240" w:lineRule="auto"/>
              <w:ind w:left="0"/>
              <w:jc w:val="left"/>
              <w:rPr>
                <w:szCs w:val="24"/>
                <w:lang w:val="lv-LV"/>
              </w:rPr>
            </w:pPr>
            <w:r w:rsidRPr="00117A47">
              <w:rPr>
                <w:szCs w:val="24"/>
                <w:lang w:val="lv-LV"/>
              </w:rPr>
              <w:t>4.prioritārais virziens</w:t>
            </w:r>
          </w:p>
        </w:tc>
        <w:tc>
          <w:tcPr>
            <w:tcW w:w="2693" w:type="dxa"/>
            <w:tcBorders>
              <w:top w:val="single" w:sz="4" w:space="0" w:color="auto"/>
              <w:left w:val="single" w:sz="4" w:space="0" w:color="auto"/>
              <w:bottom w:val="single" w:sz="4" w:space="0" w:color="auto"/>
              <w:right w:val="single" w:sz="4" w:space="0" w:color="auto"/>
            </w:tcBorders>
          </w:tcPr>
          <w:p w:rsidR="006E6BC2" w:rsidRPr="00117A47" w:rsidRDefault="00F01BA6" w:rsidP="00E302F6">
            <w:pPr>
              <w:pStyle w:val="Text1"/>
              <w:spacing w:before="120" w:line="240" w:lineRule="auto"/>
              <w:ind w:left="0"/>
              <w:jc w:val="left"/>
              <w:rPr>
                <w:szCs w:val="24"/>
                <w:lang w:val="lv-LV"/>
              </w:rPr>
            </w:pPr>
            <w:bookmarkStart w:id="104" w:name="_Toc384391512"/>
            <w:bookmarkStart w:id="105" w:name="_Toc388006607"/>
            <w:bookmarkStart w:id="106" w:name="_Toc389750277"/>
            <w:bookmarkStart w:id="107" w:name="_Toc389750767"/>
            <w:bookmarkStart w:id="108" w:name="_Toc389751254"/>
            <w:bookmarkStart w:id="109" w:name="_Toc389751747"/>
            <w:bookmarkStart w:id="110" w:name="_Toc389811789"/>
            <w:r w:rsidRPr="00117A47">
              <w:rPr>
                <w:rStyle w:val="Heading311"/>
                <w:rFonts w:ascii="Times New Roman" w:hAnsi="Times New Roman" w:cs="Times New Roman"/>
                <w:sz w:val="24"/>
                <w:szCs w:val="24"/>
                <w:lang w:val="lv-LV"/>
              </w:rPr>
              <w:t>01  Neatmaksājamās subsīdijas</w:t>
            </w:r>
            <w:bookmarkEnd w:id="104"/>
            <w:bookmarkEnd w:id="105"/>
            <w:bookmarkEnd w:id="106"/>
            <w:bookmarkEnd w:id="107"/>
            <w:bookmarkEnd w:id="108"/>
            <w:bookmarkEnd w:id="109"/>
            <w:bookmarkEnd w:id="110"/>
          </w:p>
          <w:p w:rsidR="00E148C9" w:rsidRPr="00117A47" w:rsidRDefault="00E148C9" w:rsidP="00E302F6">
            <w:pPr>
              <w:spacing w:before="120" w:line="240" w:lineRule="auto"/>
              <w:jc w:val="center"/>
              <w:rPr>
                <w:rFonts w:ascii="Times New Roman" w:hAnsi="Times New Roman"/>
                <w:lang w:val="lv-LV"/>
              </w:rPr>
            </w:pPr>
          </w:p>
        </w:tc>
        <w:tc>
          <w:tcPr>
            <w:tcW w:w="2977" w:type="dxa"/>
            <w:tcBorders>
              <w:top w:val="single" w:sz="4" w:space="0" w:color="auto"/>
              <w:left w:val="single" w:sz="4" w:space="0" w:color="auto"/>
              <w:bottom w:val="single" w:sz="4" w:space="0" w:color="auto"/>
              <w:right w:val="single" w:sz="4" w:space="0" w:color="auto"/>
            </w:tcBorders>
          </w:tcPr>
          <w:p w:rsidR="00E148C9" w:rsidRPr="00117A47" w:rsidRDefault="00E5700F" w:rsidP="00E302F6">
            <w:pPr>
              <w:pStyle w:val="Text1"/>
              <w:spacing w:before="120" w:line="240" w:lineRule="auto"/>
              <w:ind w:left="0"/>
              <w:jc w:val="center"/>
              <w:rPr>
                <w:szCs w:val="24"/>
                <w:lang w:val="lv-LV"/>
              </w:rPr>
            </w:pPr>
            <w:r w:rsidRPr="00117A47">
              <w:rPr>
                <w:szCs w:val="24"/>
                <w:lang w:val="lv-LV"/>
              </w:rPr>
              <w:t>51 668 229</w:t>
            </w:r>
          </w:p>
        </w:tc>
      </w:tr>
    </w:tbl>
    <w:p w:rsidR="00DB6FDE" w:rsidRDefault="00DB6FDE" w:rsidP="00E302F6">
      <w:pPr>
        <w:suppressAutoHyphens/>
        <w:spacing w:before="120" w:line="240" w:lineRule="auto"/>
        <w:rPr>
          <w:b/>
          <w:sz w:val="16"/>
          <w:szCs w:val="16"/>
          <w:lang w:val="lv-LV"/>
        </w:rPr>
      </w:pPr>
    </w:p>
    <w:p w:rsidR="0095484C" w:rsidRDefault="0095484C" w:rsidP="00E302F6">
      <w:pPr>
        <w:suppressAutoHyphens/>
        <w:spacing w:before="120" w:line="240" w:lineRule="auto"/>
        <w:rPr>
          <w:b/>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DB6FDE" w:rsidRPr="00117A47" w:rsidTr="00DB6FDE">
        <w:trPr>
          <w:trHeight w:val="364"/>
        </w:trPr>
        <w:tc>
          <w:tcPr>
            <w:tcW w:w="8472" w:type="dxa"/>
            <w:gridSpan w:val="3"/>
            <w:tcBorders>
              <w:top w:val="single" w:sz="4" w:space="0" w:color="auto"/>
              <w:left w:val="single" w:sz="4" w:space="0" w:color="auto"/>
              <w:bottom w:val="single" w:sz="4" w:space="0" w:color="auto"/>
              <w:right w:val="single" w:sz="4" w:space="0" w:color="auto"/>
            </w:tcBorders>
            <w:hideMark/>
          </w:tcPr>
          <w:p w:rsidR="00DB6FDE" w:rsidRPr="00117A47" w:rsidRDefault="00ED7A41" w:rsidP="00E302F6">
            <w:pPr>
              <w:autoSpaceDE w:val="0"/>
              <w:autoSpaceDN w:val="0"/>
              <w:adjustRightInd w:val="0"/>
              <w:spacing w:before="120" w:line="240" w:lineRule="auto"/>
              <w:jc w:val="left"/>
              <w:rPr>
                <w:rFonts w:ascii="Times New Roman" w:hAnsi="Times New Roman"/>
                <w:b/>
                <w:color w:val="000000"/>
                <w:lang w:val="lv-LV" w:eastAsia="en-GB"/>
              </w:rPr>
            </w:pPr>
            <w:r w:rsidRPr="00117A47">
              <w:rPr>
                <w:rFonts w:ascii="Times New Roman" w:hAnsi="Times New Roman"/>
                <w:b/>
                <w:bCs/>
                <w:color w:val="000000"/>
                <w:lang w:val="lv-LV" w:eastAsia="en-GB"/>
              </w:rPr>
              <w:lastRenderedPageBreak/>
              <w:t>7</w:t>
            </w:r>
            <w:r w:rsidR="00DB6FDE" w:rsidRPr="00117A47">
              <w:rPr>
                <w:rFonts w:ascii="Times New Roman" w:hAnsi="Times New Roman"/>
                <w:b/>
                <w:bCs/>
                <w:color w:val="000000"/>
                <w:lang w:val="lv-LV" w:eastAsia="en-GB"/>
              </w:rPr>
              <w:t xml:space="preserve">. tabula: </w:t>
            </w:r>
            <w:r w:rsidR="00117A47">
              <w:rPr>
                <w:rStyle w:val="Heading311"/>
                <w:rFonts w:ascii="Times New Roman" w:hAnsi="Times New Roman"/>
                <w:b/>
                <w:sz w:val="24"/>
                <w:szCs w:val="24"/>
                <w:lang w:val="lv-LV"/>
              </w:rPr>
              <w:t>3.a</w:t>
            </w:r>
            <w:r w:rsidR="00F01BA6" w:rsidRPr="00117A47">
              <w:rPr>
                <w:rStyle w:val="Heading311"/>
                <w:rFonts w:ascii="Times New Roman" w:hAnsi="Times New Roman"/>
                <w:b/>
                <w:sz w:val="24"/>
                <w:szCs w:val="24"/>
                <w:lang w:val="lv-LV"/>
              </w:rPr>
              <w:t>spekts Teritorija</w:t>
            </w:r>
          </w:p>
        </w:tc>
      </w:tr>
      <w:tr w:rsidR="00DB6FDE" w:rsidRPr="00117A47" w:rsidTr="00DB6FDE">
        <w:trPr>
          <w:trHeight w:val="267"/>
        </w:trPr>
        <w:tc>
          <w:tcPr>
            <w:tcW w:w="2802" w:type="dxa"/>
            <w:tcBorders>
              <w:top w:val="single" w:sz="4" w:space="0" w:color="auto"/>
              <w:left w:val="single" w:sz="4" w:space="0" w:color="auto"/>
              <w:bottom w:val="single" w:sz="4" w:space="0" w:color="auto"/>
              <w:right w:val="single" w:sz="4" w:space="0" w:color="auto"/>
            </w:tcBorders>
            <w:hideMark/>
          </w:tcPr>
          <w:p w:rsidR="00DB6FDE" w:rsidRPr="00117A47" w:rsidRDefault="00F01BA6" w:rsidP="00E302F6">
            <w:pPr>
              <w:spacing w:before="120" w:line="240" w:lineRule="auto"/>
              <w:jc w:val="center"/>
              <w:rPr>
                <w:rFonts w:ascii="Times New Roman" w:hAnsi="Times New Roman"/>
                <w:b/>
                <w:lang w:val="lv-LV"/>
              </w:rPr>
            </w:pPr>
            <w:bookmarkStart w:id="111" w:name="_Toc384391515"/>
            <w:bookmarkStart w:id="112" w:name="_Toc388006610"/>
            <w:bookmarkStart w:id="113" w:name="_Toc389750280"/>
            <w:bookmarkStart w:id="114" w:name="_Toc389750770"/>
            <w:bookmarkStart w:id="115" w:name="_Toc389751257"/>
            <w:bookmarkStart w:id="116" w:name="_Toc389751750"/>
            <w:bookmarkStart w:id="117" w:name="_Toc389811792"/>
            <w:r w:rsidRPr="00117A47">
              <w:rPr>
                <w:rStyle w:val="Heading311"/>
                <w:rFonts w:ascii="Times New Roman" w:hAnsi="Times New Roman" w:cs="Times New Roman"/>
                <w:b/>
                <w:sz w:val="24"/>
                <w:szCs w:val="24"/>
                <w:lang w:val="lv-LV"/>
              </w:rPr>
              <w:t>Prioritārais virziens</w:t>
            </w:r>
            <w:bookmarkEnd w:id="111"/>
            <w:bookmarkEnd w:id="112"/>
            <w:bookmarkEnd w:id="113"/>
            <w:bookmarkEnd w:id="114"/>
            <w:bookmarkEnd w:id="115"/>
            <w:bookmarkEnd w:id="116"/>
            <w:bookmarkEnd w:id="117"/>
          </w:p>
        </w:tc>
        <w:tc>
          <w:tcPr>
            <w:tcW w:w="2693" w:type="dxa"/>
            <w:tcBorders>
              <w:top w:val="single" w:sz="4" w:space="0" w:color="auto"/>
              <w:left w:val="single" w:sz="4" w:space="0" w:color="auto"/>
              <w:bottom w:val="single" w:sz="4" w:space="0" w:color="auto"/>
              <w:right w:val="single" w:sz="4" w:space="0" w:color="auto"/>
            </w:tcBorders>
            <w:hideMark/>
          </w:tcPr>
          <w:p w:rsidR="00DB6FDE" w:rsidRPr="00117A47" w:rsidRDefault="00DB6FDE" w:rsidP="00E302F6">
            <w:pPr>
              <w:spacing w:before="120" w:line="240" w:lineRule="auto"/>
              <w:jc w:val="center"/>
              <w:rPr>
                <w:rFonts w:ascii="Times New Roman" w:hAnsi="Times New Roman"/>
                <w:b/>
                <w:lang w:val="lv-LV"/>
              </w:rPr>
            </w:pPr>
            <w:r w:rsidRPr="00117A47">
              <w:rPr>
                <w:rFonts w:ascii="Times New Roman" w:hAnsi="Times New Roman"/>
                <w:b/>
                <w:lang w:val="lv-LV"/>
              </w:rPr>
              <w:t>Kods</w:t>
            </w:r>
          </w:p>
        </w:tc>
        <w:tc>
          <w:tcPr>
            <w:tcW w:w="2977" w:type="dxa"/>
            <w:tcBorders>
              <w:top w:val="single" w:sz="4" w:space="0" w:color="auto"/>
              <w:left w:val="single" w:sz="4" w:space="0" w:color="auto"/>
              <w:bottom w:val="single" w:sz="4" w:space="0" w:color="auto"/>
              <w:right w:val="single" w:sz="4" w:space="0" w:color="auto"/>
            </w:tcBorders>
            <w:hideMark/>
          </w:tcPr>
          <w:p w:rsidR="00DB6FDE" w:rsidRPr="00117A47" w:rsidRDefault="00F01BA6" w:rsidP="00E302F6">
            <w:pPr>
              <w:spacing w:before="120" w:line="240" w:lineRule="auto"/>
              <w:jc w:val="center"/>
              <w:rPr>
                <w:rFonts w:ascii="Times New Roman" w:hAnsi="Times New Roman"/>
                <w:b/>
                <w:lang w:val="lv-LV"/>
              </w:rPr>
            </w:pPr>
            <w:bookmarkStart w:id="118" w:name="_Toc384391517"/>
            <w:bookmarkStart w:id="119" w:name="_Toc388006612"/>
            <w:bookmarkStart w:id="120" w:name="_Toc389750282"/>
            <w:bookmarkStart w:id="121" w:name="_Toc389750772"/>
            <w:bookmarkStart w:id="122" w:name="_Toc389751259"/>
            <w:bookmarkStart w:id="123" w:name="_Toc389751752"/>
            <w:bookmarkStart w:id="124" w:name="_Toc389811794"/>
            <w:r w:rsidRPr="00117A47">
              <w:rPr>
                <w:rStyle w:val="Heading311"/>
                <w:rFonts w:ascii="Times New Roman" w:hAnsi="Times New Roman" w:cs="Times New Roman"/>
                <w:b/>
                <w:sz w:val="24"/>
                <w:szCs w:val="24"/>
                <w:lang w:val="lv-LV"/>
              </w:rPr>
              <w:t>Summa (euro)</w:t>
            </w:r>
            <w:bookmarkEnd w:id="118"/>
            <w:bookmarkEnd w:id="119"/>
            <w:bookmarkEnd w:id="120"/>
            <w:bookmarkEnd w:id="121"/>
            <w:bookmarkEnd w:id="122"/>
            <w:bookmarkEnd w:id="123"/>
            <w:bookmarkEnd w:id="124"/>
          </w:p>
        </w:tc>
      </w:tr>
      <w:tr w:rsidR="00DB6FDE" w:rsidRPr="00117A47" w:rsidTr="00DB6FDE">
        <w:tc>
          <w:tcPr>
            <w:tcW w:w="2802" w:type="dxa"/>
            <w:tcBorders>
              <w:top w:val="single" w:sz="4" w:space="0" w:color="auto"/>
              <w:left w:val="single" w:sz="4" w:space="0" w:color="auto"/>
              <w:bottom w:val="single" w:sz="4" w:space="0" w:color="auto"/>
              <w:right w:val="single" w:sz="4" w:space="0" w:color="auto"/>
            </w:tcBorders>
          </w:tcPr>
          <w:p w:rsidR="00DB6FDE" w:rsidRPr="00117A47" w:rsidRDefault="00E5700F" w:rsidP="00E302F6">
            <w:pPr>
              <w:pStyle w:val="Text1"/>
              <w:spacing w:before="120" w:line="240" w:lineRule="auto"/>
              <w:ind w:left="0"/>
              <w:jc w:val="left"/>
              <w:rPr>
                <w:szCs w:val="24"/>
                <w:lang w:val="lv-LV"/>
              </w:rPr>
            </w:pPr>
            <w:r w:rsidRPr="00117A47">
              <w:rPr>
                <w:szCs w:val="24"/>
                <w:lang w:val="lv-LV"/>
              </w:rPr>
              <w:t>-</w:t>
            </w:r>
          </w:p>
        </w:tc>
        <w:tc>
          <w:tcPr>
            <w:tcW w:w="2693" w:type="dxa"/>
            <w:tcBorders>
              <w:top w:val="single" w:sz="4" w:space="0" w:color="auto"/>
              <w:left w:val="single" w:sz="4" w:space="0" w:color="auto"/>
              <w:bottom w:val="single" w:sz="4" w:space="0" w:color="auto"/>
              <w:right w:val="single" w:sz="4" w:space="0" w:color="auto"/>
            </w:tcBorders>
          </w:tcPr>
          <w:p w:rsidR="00DB6FDE" w:rsidRPr="00117A47" w:rsidRDefault="00E5700F" w:rsidP="00E302F6">
            <w:pPr>
              <w:pStyle w:val="Text1"/>
              <w:spacing w:before="120" w:line="240" w:lineRule="auto"/>
              <w:ind w:left="0"/>
              <w:jc w:val="left"/>
              <w:rPr>
                <w:szCs w:val="24"/>
                <w:lang w:val="lv-LV"/>
              </w:rPr>
            </w:pPr>
            <w:r w:rsidRPr="00117A47">
              <w:rPr>
                <w:szCs w:val="24"/>
                <w:lang w:val="lv-LV"/>
              </w:rPr>
              <w:t xml:space="preserve">07 Nav </w:t>
            </w:r>
            <w:r w:rsidR="00F01BA6" w:rsidRPr="00117A47">
              <w:rPr>
                <w:rStyle w:val="Heading311"/>
                <w:rFonts w:ascii="Times New Roman" w:hAnsi="Times New Roman" w:cs="Times New Roman"/>
                <w:sz w:val="24"/>
                <w:szCs w:val="24"/>
                <w:lang w:val="lv-LV"/>
              </w:rPr>
              <w:t>piemērojams</w:t>
            </w:r>
          </w:p>
        </w:tc>
        <w:tc>
          <w:tcPr>
            <w:tcW w:w="2977" w:type="dxa"/>
            <w:tcBorders>
              <w:top w:val="single" w:sz="4" w:space="0" w:color="auto"/>
              <w:left w:val="single" w:sz="4" w:space="0" w:color="auto"/>
              <w:bottom w:val="single" w:sz="4" w:space="0" w:color="auto"/>
              <w:right w:val="single" w:sz="4" w:space="0" w:color="auto"/>
            </w:tcBorders>
          </w:tcPr>
          <w:p w:rsidR="00DB6FDE" w:rsidRPr="00117A47" w:rsidRDefault="00E5700F" w:rsidP="00E302F6">
            <w:pPr>
              <w:pStyle w:val="Text1"/>
              <w:spacing w:before="120" w:line="240" w:lineRule="auto"/>
              <w:ind w:left="0"/>
              <w:jc w:val="right"/>
              <w:rPr>
                <w:szCs w:val="24"/>
                <w:lang w:val="lv-LV"/>
              </w:rPr>
            </w:pPr>
            <w:r w:rsidRPr="00117A47">
              <w:rPr>
                <w:szCs w:val="24"/>
                <w:lang w:val="lv-LV"/>
              </w:rPr>
              <w:t>-</w:t>
            </w:r>
          </w:p>
        </w:tc>
      </w:tr>
    </w:tbl>
    <w:p w:rsidR="00DB6FDE" w:rsidRDefault="00DB6FDE" w:rsidP="00E302F6">
      <w:pPr>
        <w:suppressAutoHyphens/>
        <w:spacing w:before="120" w:line="240" w:lineRule="auto"/>
        <w:rPr>
          <w:b/>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DB6FDE" w:rsidRPr="00117A47" w:rsidTr="00DB6FDE">
        <w:trPr>
          <w:trHeight w:val="364"/>
        </w:trPr>
        <w:tc>
          <w:tcPr>
            <w:tcW w:w="8472" w:type="dxa"/>
            <w:gridSpan w:val="3"/>
            <w:tcBorders>
              <w:top w:val="single" w:sz="4" w:space="0" w:color="auto"/>
              <w:left w:val="single" w:sz="4" w:space="0" w:color="auto"/>
              <w:bottom w:val="single" w:sz="4" w:space="0" w:color="auto"/>
              <w:right w:val="single" w:sz="4" w:space="0" w:color="auto"/>
            </w:tcBorders>
            <w:hideMark/>
          </w:tcPr>
          <w:p w:rsidR="00DB6FDE" w:rsidRPr="00117A47" w:rsidRDefault="00ED7A41" w:rsidP="00E302F6">
            <w:pPr>
              <w:autoSpaceDE w:val="0"/>
              <w:autoSpaceDN w:val="0"/>
              <w:adjustRightInd w:val="0"/>
              <w:spacing w:before="120" w:line="240" w:lineRule="auto"/>
              <w:jc w:val="left"/>
              <w:rPr>
                <w:rFonts w:ascii="Times New Roman" w:hAnsi="Times New Roman"/>
                <w:b/>
                <w:color w:val="000000"/>
                <w:lang w:val="lv-LV" w:eastAsia="en-GB"/>
              </w:rPr>
            </w:pPr>
            <w:r w:rsidRPr="00117A47">
              <w:rPr>
                <w:rFonts w:ascii="Times New Roman" w:hAnsi="Times New Roman"/>
                <w:b/>
                <w:bCs/>
                <w:color w:val="000000"/>
                <w:lang w:val="lv-LV" w:eastAsia="en-GB"/>
              </w:rPr>
              <w:t>8</w:t>
            </w:r>
            <w:r w:rsidR="00DB6FDE" w:rsidRPr="00117A47">
              <w:rPr>
                <w:rFonts w:ascii="Times New Roman" w:hAnsi="Times New Roman"/>
                <w:b/>
                <w:bCs/>
                <w:color w:val="000000"/>
                <w:lang w:val="lv-LV" w:eastAsia="en-GB"/>
              </w:rPr>
              <w:t xml:space="preserve">. tabula: </w:t>
            </w:r>
            <w:r w:rsidR="00F01BA6" w:rsidRPr="00117A47">
              <w:rPr>
                <w:rStyle w:val="Heading311"/>
                <w:rFonts w:ascii="Times New Roman" w:hAnsi="Times New Roman"/>
                <w:b/>
                <w:sz w:val="24"/>
                <w:szCs w:val="24"/>
                <w:lang w:val="lv-LV"/>
              </w:rPr>
              <w:t>6.aspekts Teritoriālie izpildes mehānismi</w:t>
            </w:r>
          </w:p>
        </w:tc>
      </w:tr>
      <w:tr w:rsidR="00DB6FDE" w:rsidRPr="00117A47" w:rsidTr="00DB6FDE">
        <w:trPr>
          <w:trHeight w:val="267"/>
        </w:trPr>
        <w:tc>
          <w:tcPr>
            <w:tcW w:w="2802" w:type="dxa"/>
            <w:tcBorders>
              <w:top w:val="single" w:sz="4" w:space="0" w:color="auto"/>
              <w:left w:val="single" w:sz="4" w:space="0" w:color="auto"/>
              <w:bottom w:val="single" w:sz="4" w:space="0" w:color="auto"/>
              <w:right w:val="single" w:sz="4" w:space="0" w:color="auto"/>
            </w:tcBorders>
            <w:hideMark/>
          </w:tcPr>
          <w:p w:rsidR="00DB6FDE" w:rsidRPr="00117A47" w:rsidRDefault="00F01BA6" w:rsidP="00E302F6">
            <w:pPr>
              <w:spacing w:before="120" w:line="240" w:lineRule="auto"/>
              <w:jc w:val="center"/>
              <w:rPr>
                <w:rFonts w:ascii="Times New Roman" w:hAnsi="Times New Roman"/>
                <w:b/>
                <w:lang w:val="lv-LV"/>
              </w:rPr>
            </w:pPr>
            <w:bookmarkStart w:id="125" w:name="_Toc384391522"/>
            <w:bookmarkStart w:id="126" w:name="_Toc388006617"/>
            <w:bookmarkStart w:id="127" w:name="_Toc389750287"/>
            <w:bookmarkStart w:id="128" w:name="_Toc389750777"/>
            <w:bookmarkStart w:id="129" w:name="_Toc389751264"/>
            <w:bookmarkStart w:id="130" w:name="_Toc389751757"/>
            <w:bookmarkStart w:id="131" w:name="_Toc389811799"/>
            <w:r w:rsidRPr="00117A47">
              <w:rPr>
                <w:rStyle w:val="Heading311"/>
                <w:rFonts w:ascii="Times New Roman" w:hAnsi="Times New Roman"/>
                <w:b/>
                <w:sz w:val="24"/>
                <w:szCs w:val="24"/>
                <w:lang w:val="lv-LV"/>
              </w:rPr>
              <w:t>Prioritārais virziens</w:t>
            </w:r>
            <w:bookmarkEnd w:id="125"/>
            <w:bookmarkEnd w:id="126"/>
            <w:bookmarkEnd w:id="127"/>
            <w:bookmarkEnd w:id="128"/>
            <w:bookmarkEnd w:id="129"/>
            <w:bookmarkEnd w:id="130"/>
            <w:bookmarkEnd w:id="131"/>
          </w:p>
        </w:tc>
        <w:tc>
          <w:tcPr>
            <w:tcW w:w="2693" w:type="dxa"/>
            <w:tcBorders>
              <w:top w:val="single" w:sz="4" w:space="0" w:color="auto"/>
              <w:left w:val="single" w:sz="4" w:space="0" w:color="auto"/>
              <w:bottom w:val="single" w:sz="4" w:space="0" w:color="auto"/>
              <w:right w:val="single" w:sz="4" w:space="0" w:color="auto"/>
            </w:tcBorders>
            <w:hideMark/>
          </w:tcPr>
          <w:p w:rsidR="00DB6FDE" w:rsidRPr="00117A47" w:rsidRDefault="00DB6FDE" w:rsidP="00E302F6">
            <w:pPr>
              <w:spacing w:before="120" w:line="240" w:lineRule="auto"/>
              <w:jc w:val="center"/>
              <w:rPr>
                <w:rFonts w:ascii="Times New Roman" w:hAnsi="Times New Roman"/>
                <w:b/>
                <w:lang w:val="lv-LV"/>
              </w:rPr>
            </w:pPr>
            <w:r w:rsidRPr="00117A47">
              <w:rPr>
                <w:rFonts w:ascii="Times New Roman" w:hAnsi="Times New Roman"/>
                <w:b/>
                <w:lang w:val="lv-LV"/>
              </w:rPr>
              <w:t>Kods</w:t>
            </w:r>
          </w:p>
        </w:tc>
        <w:tc>
          <w:tcPr>
            <w:tcW w:w="2977" w:type="dxa"/>
            <w:tcBorders>
              <w:top w:val="single" w:sz="4" w:space="0" w:color="auto"/>
              <w:left w:val="single" w:sz="4" w:space="0" w:color="auto"/>
              <w:bottom w:val="single" w:sz="4" w:space="0" w:color="auto"/>
              <w:right w:val="single" w:sz="4" w:space="0" w:color="auto"/>
            </w:tcBorders>
            <w:hideMark/>
          </w:tcPr>
          <w:p w:rsidR="00DB6FDE" w:rsidRPr="00117A47" w:rsidRDefault="00F01BA6" w:rsidP="00E302F6">
            <w:pPr>
              <w:spacing w:before="120" w:line="240" w:lineRule="auto"/>
              <w:jc w:val="center"/>
              <w:rPr>
                <w:rFonts w:ascii="Times New Roman" w:hAnsi="Times New Roman"/>
                <w:b/>
                <w:lang w:val="lv-LV"/>
              </w:rPr>
            </w:pPr>
            <w:bookmarkStart w:id="132" w:name="_Toc384391524"/>
            <w:bookmarkStart w:id="133" w:name="_Toc388006619"/>
            <w:bookmarkStart w:id="134" w:name="_Toc389750289"/>
            <w:bookmarkStart w:id="135" w:name="_Toc389750779"/>
            <w:bookmarkStart w:id="136" w:name="_Toc389751266"/>
            <w:bookmarkStart w:id="137" w:name="_Toc389751759"/>
            <w:bookmarkStart w:id="138" w:name="_Toc389811801"/>
            <w:r w:rsidRPr="00117A47">
              <w:rPr>
                <w:rStyle w:val="Heading311"/>
                <w:rFonts w:ascii="Times New Roman" w:hAnsi="Times New Roman"/>
                <w:b/>
                <w:sz w:val="24"/>
                <w:szCs w:val="24"/>
                <w:lang w:val="lv-LV"/>
              </w:rPr>
              <w:t>Summa (euro)</w:t>
            </w:r>
            <w:bookmarkEnd w:id="132"/>
            <w:bookmarkEnd w:id="133"/>
            <w:bookmarkEnd w:id="134"/>
            <w:bookmarkEnd w:id="135"/>
            <w:bookmarkEnd w:id="136"/>
            <w:bookmarkEnd w:id="137"/>
            <w:bookmarkEnd w:id="138"/>
          </w:p>
        </w:tc>
      </w:tr>
      <w:tr w:rsidR="00E5700F" w:rsidRPr="00117A47" w:rsidTr="00E5700F">
        <w:tc>
          <w:tcPr>
            <w:tcW w:w="2802" w:type="dxa"/>
            <w:tcBorders>
              <w:top w:val="single" w:sz="4" w:space="0" w:color="auto"/>
              <w:left w:val="single" w:sz="4" w:space="0" w:color="auto"/>
              <w:bottom w:val="single" w:sz="4" w:space="0" w:color="auto"/>
              <w:right w:val="single" w:sz="4" w:space="0" w:color="auto"/>
            </w:tcBorders>
          </w:tcPr>
          <w:p w:rsidR="00E5700F" w:rsidRPr="00117A47" w:rsidRDefault="00E5700F" w:rsidP="00E302F6">
            <w:pPr>
              <w:pStyle w:val="Text1"/>
              <w:spacing w:before="120" w:line="240" w:lineRule="auto"/>
              <w:ind w:left="0"/>
              <w:jc w:val="left"/>
              <w:rPr>
                <w:szCs w:val="24"/>
                <w:lang w:val="lv-LV"/>
              </w:rPr>
            </w:pPr>
            <w:r w:rsidRPr="00117A47">
              <w:rPr>
                <w:szCs w:val="24"/>
                <w:lang w:val="lv-LV"/>
              </w:rPr>
              <w:t>-</w:t>
            </w:r>
          </w:p>
        </w:tc>
        <w:tc>
          <w:tcPr>
            <w:tcW w:w="2693" w:type="dxa"/>
            <w:tcBorders>
              <w:top w:val="single" w:sz="4" w:space="0" w:color="auto"/>
              <w:left w:val="single" w:sz="4" w:space="0" w:color="auto"/>
              <w:bottom w:val="single" w:sz="4" w:space="0" w:color="auto"/>
              <w:right w:val="single" w:sz="4" w:space="0" w:color="auto"/>
            </w:tcBorders>
          </w:tcPr>
          <w:p w:rsidR="00E5700F" w:rsidRPr="00117A47" w:rsidRDefault="00E5700F" w:rsidP="00E302F6">
            <w:pPr>
              <w:pStyle w:val="Text1"/>
              <w:spacing w:before="120" w:line="240" w:lineRule="auto"/>
              <w:ind w:left="0"/>
              <w:jc w:val="left"/>
              <w:rPr>
                <w:szCs w:val="24"/>
                <w:lang w:val="lv-LV"/>
              </w:rPr>
            </w:pPr>
            <w:r w:rsidRPr="00117A47">
              <w:rPr>
                <w:szCs w:val="24"/>
                <w:lang w:val="lv-LV"/>
              </w:rPr>
              <w:t>07 Nav</w:t>
            </w:r>
            <w:r w:rsidR="00117A47" w:rsidRPr="00117A47">
              <w:rPr>
                <w:szCs w:val="24"/>
                <w:lang w:val="lv-LV"/>
              </w:rPr>
              <w:t xml:space="preserve"> </w:t>
            </w:r>
            <w:r w:rsidR="00F01BA6" w:rsidRPr="00117A47">
              <w:rPr>
                <w:rStyle w:val="Heading311"/>
                <w:rFonts w:ascii="Times New Roman" w:hAnsi="Times New Roman" w:cs="Times New Roman"/>
                <w:sz w:val="24"/>
                <w:szCs w:val="24"/>
                <w:lang w:val="lv-LV"/>
              </w:rPr>
              <w:t>piemērojams</w:t>
            </w:r>
          </w:p>
        </w:tc>
        <w:tc>
          <w:tcPr>
            <w:tcW w:w="2977" w:type="dxa"/>
            <w:tcBorders>
              <w:top w:val="single" w:sz="4" w:space="0" w:color="auto"/>
              <w:left w:val="single" w:sz="4" w:space="0" w:color="auto"/>
              <w:bottom w:val="single" w:sz="4" w:space="0" w:color="auto"/>
              <w:right w:val="single" w:sz="4" w:space="0" w:color="auto"/>
            </w:tcBorders>
          </w:tcPr>
          <w:p w:rsidR="00E5700F" w:rsidRPr="00117A47" w:rsidRDefault="00E5700F" w:rsidP="00E302F6">
            <w:pPr>
              <w:pStyle w:val="Text1"/>
              <w:spacing w:before="120" w:line="240" w:lineRule="auto"/>
              <w:ind w:left="0"/>
              <w:jc w:val="right"/>
              <w:rPr>
                <w:szCs w:val="24"/>
                <w:lang w:val="lv-LV"/>
              </w:rPr>
            </w:pPr>
            <w:r w:rsidRPr="00117A47">
              <w:rPr>
                <w:szCs w:val="24"/>
                <w:lang w:val="lv-LV"/>
              </w:rPr>
              <w:t>-</w:t>
            </w:r>
          </w:p>
        </w:tc>
      </w:tr>
    </w:tbl>
    <w:p w:rsidR="00DB6FDE" w:rsidRDefault="00DB6FDE" w:rsidP="00E302F6">
      <w:pPr>
        <w:suppressAutoHyphens/>
        <w:spacing w:before="120" w:line="240" w:lineRule="auto"/>
        <w:rPr>
          <w:b/>
          <w:sz w:val="16"/>
          <w:szCs w:val="16"/>
          <w:lang w:val="lv-LV"/>
        </w:rPr>
      </w:pPr>
    </w:p>
    <w:p w:rsidR="00812136" w:rsidRDefault="00812136" w:rsidP="00E302F6">
      <w:pPr>
        <w:suppressAutoHyphens/>
        <w:spacing w:before="120" w:line="240" w:lineRule="auto"/>
        <w:rPr>
          <w:rFonts w:ascii="Times New Roman" w:hAnsi="Times New Roman"/>
          <w:b/>
          <w:lang w:val="lv-LV"/>
        </w:rPr>
        <w:sectPr w:rsidR="00812136" w:rsidSect="00812136">
          <w:pgSz w:w="15840" w:h="12240" w:orient="landscape"/>
          <w:pgMar w:top="1800" w:right="1440" w:bottom="1800" w:left="1440" w:header="720" w:footer="720" w:gutter="0"/>
          <w:cols w:space="720"/>
          <w:docGrid w:linePitch="360"/>
        </w:sectPr>
      </w:pPr>
      <w:r>
        <w:rPr>
          <w:rFonts w:ascii="Times New Roman" w:hAnsi="Times New Roman"/>
          <w:b/>
          <w:lang w:val="lv-LV"/>
        </w:rPr>
        <w:br w:type="page"/>
      </w:r>
    </w:p>
    <w:p w:rsidR="00DB6FDE" w:rsidRPr="00BA5839" w:rsidRDefault="00DB6FDE" w:rsidP="00D66FB7">
      <w:pPr>
        <w:pStyle w:val="Heading2"/>
      </w:pPr>
      <w:bookmarkStart w:id="139" w:name="_Toc384383733"/>
      <w:r w:rsidRPr="00BA5839">
        <w:lastRenderedPageBreak/>
        <w:t>2.7. Tehniskās palīdzības budžets</w:t>
      </w:r>
      <w:bookmarkEnd w:id="139"/>
    </w:p>
    <w:p w:rsidR="00DB6FDE" w:rsidRPr="00BA5839" w:rsidRDefault="00DB6FDE" w:rsidP="00E302F6">
      <w:pPr>
        <w:spacing w:before="120" w:line="240" w:lineRule="auto"/>
        <w:ind w:right="-432"/>
        <w:rPr>
          <w:rFonts w:ascii="Times New Roman" w:hAnsi="Times New Roman"/>
          <w:b/>
          <w:lang w:val="lv-LV"/>
        </w:rPr>
      </w:pPr>
      <w:r w:rsidRPr="00BA5839">
        <w:rPr>
          <w:rFonts w:ascii="Times New Roman" w:hAnsi="Times New Roman"/>
          <w:b/>
          <w:lang w:val="lv-LV"/>
        </w:rPr>
        <w:t>TP budžeta ietvaros atbalstāmās darbības</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TP budžeta ietvaros tiks finansētas darbības, kas nepieciešamas Programmas ieviešanai, uzraudzībai un kontrolei, kā arī projekta partneru piesaistei, tā lai tiktu nodrošināta veiksmīga projektu un Programmas īstenošana.</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TP budžeta ietvaros finansējamo darbību piemēri:</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Programmas ieviešana un uzraudzība;</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individuālās konsultācijas;</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informatīvie semināri;</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partneru un tematiskie semināri;</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informatīvie pasākumi, izmantojot Programmas tīmekļa vietni;</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pastāvīgi projektu uzraudzības pasākumi.</w:t>
      </w:r>
    </w:p>
    <w:p w:rsidR="00470200" w:rsidRDefault="0024248A" w:rsidP="00E302F6">
      <w:pPr>
        <w:pStyle w:val="ListParagraph"/>
        <w:spacing w:before="120" w:line="240" w:lineRule="auto"/>
        <w:ind w:left="0" w:right="-432"/>
        <w:rPr>
          <w:rFonts w:ascii="Times New Roman" w:hAnsi="Times New Roman"/>
          <w:lang w:val="lv-LV"/>
        </w:rPr>
      </w:pPr>
      <w:r>
        <w:rPr>
          <w:rFonts w:ascii="Times New Roman" w:hAnsi="Times New Roman"/>
          <w:lang w:val="lv-LV"/>
        </w:rPr>
        <w:t>Nacionālais līdzfinansējums TP budžetam ir 930 197,23 EUR (līdzfinansējuma likme 22%). 53% no Nacionālā lūdzfinansējuma TP budžetam (493 004,53EUR) finansēs Latvija, 47% (437 192,70EUR) – Lietuva.</w:t>
      </w:r>
      <w:r w:rsidR="004F6F18">
        <w:rPr>
          <w:rFonts w:ascii="Times New Roman" w:hAnsi="Times New Roman"/>
          <w:lang w:val="lv-LV"/>
        </w:rPr>
        <w:t xml:space="preserve"> Detalizēts katras dalībvalsts nacionālā līdzfinansējuma sadalījums ir noteikts 4.pielikumā.</w:t>
      </w:r>
    </w:p>
    <w:p w:rsidR="00DB6FDE" w:rsidRPr="00BA5839" w:rsidRDefault="000D340E" w:rsidP="00E302F6">
      <w:pPr>
        <w:spacing w:before="120" w:line="240" w:lineRule="auto"/>
        <w:ind w:right="-432"/>
        <w:rPr>
          <w:rFonts w:ascii="Times New Roman" w:hAnsi="Times New Roman"/>
          <w:b/>
          <w:u w:val="single"/>
          <w:lang w:val="lv-LV"/>
        </w:rPr>
      </w:pPr>
      <w:r>
        <w:rPr>
          <w:rFonts w:ascii="Times New Roman" w:hAnsi="Times New Roman"/>
          <w:b/>
          <w:u w:val="single"/>
          <w:lang w:val="lv-LV"/>
        </w:rPr>
        <w:t>Iznākumu</w:t>
      </w:r>
      <w:r w:rsidRPr="00BA5839">
        <w:rPr>
          <w:rFonts w:ascii="Times New Roman" w:hAnsi="Times New Roman"/>
          <w:b/>
          <w:u w:val="single"/>
          <w:lang w:val="lv-LV"/>
        </w:rPr>
        <w:t xml:space="preserve"> </w:t>
      </w:r>
      <w:r w:rsidR="00DB6FDE" w:rsidRPr="00BA5839">
        <w:rPr>
          <w:rFonts w:ascii="Times New Roman" w:hAnsi="Times New Roman"/>
          <w:b/>
          <w:u w:val="single"/>
          <w:lang w:val="lv-LV"/>
        </w:rPr>
        <w:t>rādītāji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
        <w:gridCol w:w="3126"/>
        <w:gridCol w:w="1800"/>
        <w:gridCol w:w="1732"/>
        <w:gridCol w:w="1706"/>
      </w:tblGrid>
      <w:tr w:rsidR="00DB6FDE" w:rsidRPr="0024248A" w:rsidTr="00DB6FDE">
        <w:trPr>
          <w:trHeight w:val="358"/>
        </w:trPr>
        <w:tc>
          <w:tcPr>
            <w:tcW w:w="492"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left="283" w:right="-432" w:hanging="283"/>
              <w:rPr>
                <w:rFonts w:ascii="Times New Roman" w:hAnsi="Times New Roman"/>
                <w:b/>
                <w:sz w:val="18"/>
                <w:szCs w:val="18"/>
                <w:lang w:val="lv-LV"/>
              </w:rPr>
            </w:pPr>
            <w:r w:rsidRPr="00BA5839">
              <w:rPr>
                <w:rFonts w:ascii="Times New Roman" w:hAnsi="Times New Roman"/>
                <w:b/>
                <w:sz w:val="18"/>
                <w:szCs w:val="18"/>
                <w:lang w:val="lv-LV"/>
              </w:rPr>
              <w:t>ID</w:t>
            </w:r>
          </w:p>
        </w:tc>
        <w:tc>
          <w:tcPr>
            <w:tcW w:w="312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left="283" w:right="-432" w:hanging="283"/>
              <w:jc w:val="left"/>
              <w:rPr>
                <w:rFonts w:ascii="Times New Roman" w:hAnsi="Times New Roman"/>
                <w:b/>
                <w:sz w:val="18"/>
                <w:szCs w:val="18"/>
                <w:lang w:val="lv-LV"/>
              </w:rPr>
            </w:pPr>
            <w:r w:rsidRPr="00BA5839">
              <w:rPr>
                <w:rFonts w:ascii="Times New Roman" w:hAnsi="Times New Roman"/>
                <w:b/>
                <w:sz w:val="18"/>
                <w:szCs w:val="18"/>
                <w:lang w:val="lv-LV"/>
              </w:rPr>
              <w:t>R</w:t>
            </w:r>
            <w:r w:rsidR="006E6BC2">
              <w:rPr>
                <w:rFonts w:ascii="Times New Roman" w:hAnsi="Times New Roman"/>
                <w:b/>
                <w:sz w:val="18"/>
                <w:szCs w:val="18"/>
                <w:lang w:val="lv-LV"/>
              </w:rPr>
              <w:t>ezultatīvais r</w:t>
            </w:r>
            <w:r w:rsidRPr="00BA5839">
              <w:rPr>
                <w:rFonts w:ascii="Times New Roman" w:hAnsi="Times New Roman"/>
                <w:b/>
                <w:sz w:val="18"/>
                <w:szCs w:val="18"/>
                <w:lang w:val="lv-LV"/>
              </w:rPr>
              <w:t>ādītājs</w:t>
            </w:r>
          </w:p>
        </w:tc>
        <w:tc>
          <w:tcPr>
            <w:tcW w:w="1800"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b/>
                <w:sz w:val="18"/>
                <w:szCs w:val="18"/>
                <w:lang w:val="lv-LV"/>
              </w:rPr>
            </w:pPr>
            <w:r w:rsidRPr="00BA5839">
              <w:rPr>
                <w:rFonts w:ascii="Times New Roman" w:hAnsi="Times New Roman"/>
                <w:b/>
                <w:sz w:val="18"/>
                <w:szCs w:val="18"/>
                <w:lang w:val="lv-LV"/>
              </w:rPr>
              <w:t>Mērvienība</w:t>
            </w:r>
          </w:p>
        </w:tc>
        <w:tc>
          <w:tcPr>
            <w:tcW w:w="1732"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b/>
                <w:sz w:val="18"/>
                <w:szCs w:val="18"/>
                <w:lang w:val="lv-LV"/>
              </w:rPr>
            </w:pPr>
            <w:r w:rsidRPr="00BA5839">
              <w:rPr>
                <w:rFonts w:ascii="Times New Roman" w:hAnsi="Times New Roman"/>
                <w:b/>
                <w:sz w:val="18"/>
                <w:szCs w:val="18"/>
                <w:lang w:val="lv-LV"/>
              </w:rPr>
              <w:t>Mērķvērtība (2023)</w:t>
            </w:r>
          </w:p>
        </w:tc>
        <w:tc>
          <w:tcPr>
            <w:tcW w:w="170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b/>
                <w:sz w:val="18"/>
                <w:szCs w:val="18"/>
                <w:lang w:val="lv-LV"/>
              </w:rPr>
            </w:pPr>
            <w:r w:rsidRPr="00BA5839">
              <w:rPr>
                <w:rFonts w:ascii="Times New Roman" w:hAnsi="Times New Roman"/>
                <w:b/>
                <w:sz w:val="18"/>
                <w:szCs w:val="18"/>
                <w:lang w:val="lv-LV"/>
              </w:rPr>
              <w:t>Datu avots</w:t>
            </w:r>
          </w:p>
        </w:tc>
      </w:tr>
      <w:tr w:rsidR="00DB6FDE" w:rsidRPr="00BA5839" w:rsidTr="00DB6FDE">
        <w:trPr>
          <w:trHeight w:val="79"/>
        </w:trPr>
        <w:tc>
          <w:tcPr>
            <w:tcW w:w="492" w:type="dxa"/>
            <w:tcBorders>
              <w:top w:val="single" w:sz="4" w:space="0" w:color="000000"/>
              <w:left w:val="single" w:sz="4" w:space="0" w:color="000000"/>
              <w:bottom w:val="single" w:sz="4" w:space="0" w:color="000000"/>
              <w:right w:val="single" w:sz="4" w:space="0" w:color="000000"/>
            </w:tcBorders>
          </w:tcPr>
          <w:p w:rsidR="00DB6FDE" w:rsidRPr="00BA5839" w:rsidRDefault="00DB6FDE" w:rsidP="00E302F6">
            <w:pPr>
              <w:spacing w:before="120" w:line="240" w:lineRule="auto"/>
              <w:ind w:right="-432"/>
              <w:rPr>
                <w:rFonts w:ascii="Times New Roman" w:hAnsi="Times New Roman"/>
                <w:sz w:val="18"/>
                <w:szCs w:val="18"/>
                <w:lang w:val="lv-LV"/>
              </w:rPr>
            </w:pPr>
          </w:p>
        </w:tc>
        <w:tc>
          <w:tcPr>
            <w:tcW w:w="312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Pasākumi, praktiskie semināri, semināri un apmācības</w:t>
            </w:r>
          </w:p>
        </w:tc>
        <w:tc>
          <w:tcPr>
            <w:tcW w:w="1800"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Pasākumu skaits</w:t>
            </w:r>
          </w:p>
        </w:tc>
        <w:tc>
          <w:tcPr>
            <w:tcW w:w="1732"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50</w:t>
            </w:r>
          </w:p>
        </w:tc>
        <w:tc>
          <w:tcPr>
            <w:tcW w:w="170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Informācija no Programmas</w:t>
            </w:r>
          </w:p>
        </w:tc>
      </w:tr>
      <w:tr w:rsidR="00DB6FDE" w:rsidRPr="00BA5839" w:rsidTr="00DB6FDE">
        <w:trPr>
          <w:trHeight w:val="79"/>
        </w:trPr>
        <w:tc>
          <w:tcPr>
            <w:tcW w:w="492" w:type="dxa"/>
            <w:tcBorders>
              <w:top w:val="single" w:sz="4" w:space="0" w:color="000000"/>
              <w:left w:val="single" w:sz="4" w:space="0" w:color="000000"/>
              <w:bottom w:val="single" w:sz="4" w:space="0" w:color="000000"/>
              <w:right w:val="single" w:sz="4" w:space="0" w:color="000000"/>
            </w:tcBorders>
          </w:tcPr>
          <w:p w:rsidR="00DB6FDE" w:rsidRPr="00BA5839" w:rsidRDefault="00DB6FDE" w:rsidP="00E302F6">
            <w:pPr>
              <w:spacing w:before="120" w:line="240" w:lineRule="auto"/>
              <w:ind w:right="-432"/>
              <w:rPr>
                <w:rFonts w:ascii="Times New Roman" w:hAnsi="Times New Roman"/>
                <w:sz w:val="18"/>
                <w:szCs w:val="18"/>
                <w:lang w:val="lv-LV"/>
              </w:rPr>
            </w:pPr>
          </w:p>
        </w:tc>
        <w:tc>
          <w:tcPr>
            <w:tcW w:w="312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Dalībnieki dažādos Programmas ietvaros rīkotajos pasākumos (konferencēs, praktiskajos semināros, semināros, apmācībās).</w:t>
            </w:r>
          </w:p>
        </w:tc>
        <w:tc>
          <w:tcPr>
            <w:tcW w:w="1800"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Dalībnieku skaits</w:t>
            </w:r>
          </w:p>
        </w:tc>
        <w:tc>
          <w:tcPr>
            <w:tcW w:w="1732"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1800</w:t>
            </w:r>
          </w:p>
        </w:tc>
        <w:tc>
          <w:tcPr>
            <w:tcW w:w="170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Informācija no Programmas</w:t>
            </w:r>
          </w:p>
        </w:tc>
      </w:tr>
      <w:tr w:rsidR="00DB6FDE" w:rsidRPr="00BA5839" w:rsidTr="00DB6FDE">
        <w:trPr>
          <w:trHeight w:val="79"/>
        </w:trPr>
        <w:tc>
          <w:tcPr>
            <w:tcW w:w="492" w:type="dxa"/>
            <w:tcBorders>
              <w:top w:val="single" w:sz="4" w:space="0" w:color="000000"/>
              <w:left w:val="single" w:sz="4" w:space="0" w:color="000000"/>
              <w:bottom w:val="single" w:sz="4" w:space="0" w:color="000000"/>
              <w:right w:val="single" w:sz="4" w:space="0" w:color="000000"/>
            </w:tcBorders>
          </w:tcPr>
          <w:p w:rsidR="00DB6FDE" w:rsidRPr="00BA5839" w:rsidRDefault="00DB6FDE" w:rsidP="00E302F6">
            <w:pPr>
              <w:spacing w:before="120" w:line="240" w:lineRule="auto"/>
              <w:ind w:right="-432"/>
              <w:rPr>
                <w:rFonts w:ascii="Times New Roman" w:hAnsi="Times New Roman"/>
                <w:sz w:val="18"/>
                <w:szCs w:val="18"/>
                <w:lang w:val="lv-LV"/>
              </w:rPr>
            </w:pPr>
          </w:p>
        </w:tc>
        <w:tc>
          <w:tcPr>
            <w:tcW w:w="312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AS sniegtās konsultācijas.</w:t>
            </w:r>
          </w:p>
        </w:tc>
        <w:tc>
          <w:tcPr>
            <w:tcW w:w="1800"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Konsultāciju skaits</w:t>
            </w:r>
          </w:p>
        </w:tc>
        <w:tc>
          <w:tcPr>
            <w:tcW w:w="1732"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375</w:t>
            </w:r>
          </w:p>
        </w:tc>
        <w:tc>
          <w:tcPr>
            <w:tcW w:w="170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Informācija no Programmas</w:t>
            </w:r>
          </w:p>
        </w:tc>
      </w:tr>
      <w:tr w:rsidR="00DB6FDE" w:rsidRPr="00BA5839" w:rsidTr="00DB6FDE">
        <w:trPr>
          <w:trHeight w:val="79"/>
        </w:trPr>
        <w:tc>
          <w:tcPr>
            <w:tcW w:w="492" w:type="dxa"/>
            <w:tcBorders>
              <w:top w:val="single" w:sz="4" w:space="0" w:color="000000"/>
              <w:left w:val="single" w:sz="4" w:space="0" w:color="000000"/>
              <w:bottom w:val="single" w:sz="4" w:space="0" w:color="000000"/>
              <w:right w:val="single" w:sz="4" w:space="0" w:color="000000"/>
            </w:tcBorders>
          </w:tcPr>
          <w:p w:rsidR="00DB6FDE" w:rsidRPr="00BA5839" w:rsidRDefault="00DB6FDE" w:rsidP="00E302F6">
            <w:pPr>
              <w:spacing w:before="120" w:line="240" w:lineRule="auto"/>
              <w:ind w:right="-432"/>
              <w:rPr>
                <w:rFonts w:ascii="Times New Roman" w:hAnsi="Times New Roman"/>
                <w:sz w:val="18"/>
                <w:szCs w:val="18"/>
                <w:lang w:val="lv-LV"/>
              </w:rPr>
            </w:pPr>
          </w:p>
        </w:tc>
        <w:tc>
          <w:tcPr>
            <w:tcW w:w="312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Pārbaudes projektu īstenošanas vietās</w:t>
            </w:r>
          </w:p>
        </w:tc>
        <w:tc>
          <w:tcPr>
            <w:tcW w:w="1800"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Pārbaužu skaits</w:t>
            </w:r>
          </w:p>
        </w:tc>
        <w:tc>
          <w:tcPr>
            <w:tcW w:w="1732"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145</w:t>
            </w:r>
          </w:p>
        </w:tc>
        <w:tc>
          <w:tcPr>
            <w:tcW w:w="1706" w:type="dxa"/>
            <w:tcBorders>
              <w:top w:val="single" w:sz="4" w:space="0" w:color="000000"/>
              <w:left w:val="single" w:sz="4" w:space="0" w:color="000000"/>
              <w:bottom w:val="single" w:sz="4" w:space="0" w:color="000000"/>
              <w:right w:val="single" w:sz="4" w:space="0" w:color="000000"/>
            </w:tcBorders>
            <w:hideMark/>
          </w:tcPr>
          <w:p w:rsidR="00DB6FDE" w:rsidRPr="00BA5839" w:rsidRDefault="00DB6FDE" w:rsidP="00E302F6">
            <w:pPr>
              <w:spacing w:before="120" w:line="240" w:lineRule="auto"/>
              <w:ind w:right="-432"/>
              <w:jc w:val="left"/>
              <w:rPr>
                <w:rFonts w:ascii="Times New Roman" w:hAnsi="Times New Roman"/>
                <w:sz w:val="18"/>
                <w:szCs w:val="18"/>
                <w:lang w:val="lv-LV"/>
              </w:rPr>
            </w:pPr>
            <w:r w:rsidRPr="00BA5839">
              <w:rPr>
                <w:rFonts w:ascii="Times New Roman" w:hAnsi="Times New Roman"/>
                <w:sz w:val="18"/>
                <w:szCs w:val="18"/>
                <w:lang w:val="lv-LV"/>
              </w:rPr>
              <w:t>Informācija no Programmas</w:t>
            </w:r>
          </w:p>
        </w:tc>
      </w:tr>
    </w:tbl>
    <w:p w:rsidR="00DB6FDE" w:rsidRPr="00BA5839" w:rsidRDefault="00DB6FDE" w:rsidP="00E302F6">
      <w:pPr>
        <w:spacing w:before="120" w:line="240" w:lineRule="auto"/>
        <w:jc w:val="left"/>
        <w:rPr>
          <w:rFonts w:ascii="Times New Roman" w:hAnsi="Times New Roman"/>
          <w:b/>
          <w:lang w:val="lv-LV"/>
        </w:rPr>
      </w:pPr>
    </w:p>
    <w:p w:rsidR="00DB6FDE" w:rsidRPr="00BA5839" w:rsidRDefault="00211692" w:rsidP="00E302F6">
      <w:pPr>
        <w:spacing w:before="120" w:line="240" w:lineRule="auto"/>
        <w:jc w:val="left"/>
        <w:rPr>
          <w:rFonts w:ascii="Times New Roman" w:hAnsi="Times New Roman"/>
          <w:lang w:val="lv-LV"/>
        </w:rPr>
      </w:pPr>
      <w:r>
        <w:rPr>
          <w:rFonts w:ascii="Times New Roman" w:hAnsi="Times New Roman"/>
          <w:b/>
          <w:lang w:val="lv-LV"/>
        </w:rPr>
        <w:t>Intervences</w:t>
      </w:r>
      <w:r w:rsidR="00DB6FDE" w:rsidRPr="00BA5839">
        <w:rPr>
          <w:rFonts w:ascii="Times New Roman" w:hAnsi="Times New Roman"/>
          <w:b/>
          <w:lang w:val="lv-LV"/>
        </w:rPr>
        <w:t xml:space="preserve">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321EC6" w:rsidRPr="00B60A76" w:rsidTr="00EA4307">
        <w:trPr>
          <w:trHeight w:val="364"/>
        </w:trPr>
        <w:tc>
          <w:tcPr>
            <w:tcW w:w="8472" w:type="dxa"/>
            <w:gridSpan w:val="3"/>
            <w:tcBorders>
              <w:top w:val="single" w:sz="4" w:space="0" w:color="auto"/>
              <w:left w:val="single" w:sz="4" w:space="0" w:color="auto"/>
              <w:bottom w:val="single" w:sz="4" w:space="0" w:color="auto"/>
              <w:right w:val="single" w:sz="4" w:space="0" w:color="auto"/>
            </w:tcBorders>
            <w:hideMark/>
          </w:tcPr>
          <w:p w:rsidR="00321EC6" w:rsidRPr="00B60A76" w:rsidRDefault="00321EC6" w:rsidP="00E302F6">
            <w:pPr>
              <w:autoSpaceDE w:val="0"/>
              <w:autoSpaceDN w:val="0"/>
              <w:adjustRightInd w:val="0"/>
              <w:spacing w:before="120" w:line="240" w:lineRule="auto"/>
              <w:jc w:val="left"/>
              <w:rPr>
                <w:rFonts w:ascii="Times New Roman" w:hAnsi="Times New Roman"/>
                <w:b/>
                <w:color w:val="000000"/>
                <w:lang w:val="lv-LV" w:eastAsia="en-GB"/>
              </w:rPr>
            </w:pPr>
            <w:bookmarkStart w:id="140" w:name="_Toc384383734"/>
            <w:bookmarkStart w:id="141" w:name="_Toc372107611"/>
            <w:r w:rsidRPr="00B60A76">
              <w:rPr>
                <w:rFonts w:ascii="Times New Roman" w:hAnsi="Times New Roman"/>
                <w:b/>
                <w:color w:val="000000"/>
                <w:lang w:val="lv-LV" w:eastAsia="en-GB"/>
              </w:rPr>
              <w:t xml:space="preserve">9. tabula: 1. </w:t>
            </w:r>
            <w:r w:rsidR="006E6BC2" w:rsidRPr="00B60A76">
              <w:rPr>
                <w:rFonts w:ascii="Times New Roman" w:hAnsi="Times New Roman"/>
                <w:b/>
                <w:color w:val="000000"/>
                <w:lang w:val="lv-LV" w:eastAsia="en-GB"/>
              </w:rPr>
              <w:t xml:space="preserve">aspekts </w:t>
            </w:r>
            <w:r w:rsidRPr="00B60A76">
              <w:rPr>
                <w:rFonts w:ascii="Times New Roman" w:hAnsi="Times New Roman"/>
                <w:b/>
                <w:color w:val="000000"/>
                <w:lang w:val="lv-LV" w:eastAsia="en-GB"/>
              </w:rPr>
              <w:t xml:space="preserve">– </w:t>
            </w:r>
            <w:r w:rsidR="00FB604D" w:rsidRPr="00B60A76">
              <w:rPr>
                <w:rStyle w:val="Heading311"/>
                <w:rFonts w:ascii="Times New Roman" w:hAnsi="Times New Roman"/>
                <w:b/>
                <w:sz w:val="24"/>
                <w:szCs w:val="24"/>
                <w:lang w:val="lv-LV"/>
              </w:rPr>
              <w:t>Iesaistīšanās joma</w:t>
            </w:r>
          </w:p>
        </w:tc>
      </w:tr>
      <w:tr w:rsidR="00321EC6" w:rsidRPr="00B60A76" w:rsidTr="00EA4307">
        <w:trPr>
          <w:trHeight w:val="267"/>
        </w:trPr>
        <w:tc>
          <w:tcPr>
            <w:tcW w:w="2802" w:type="dxa"/>
            <w:tcBorders>
              <w:top w:val="single" w:sz="4" w:space="0" w:color="auto"/>
              <w:left w:val="single" w:sz="4" w:space="0" w:color="auto"/>
              <w:bottom w:val="single" w:sz="4" w:space="0" w:color="auto"/>
              <w:right w:val="single" w:sz="4" w:space="0" w:color="auto"/>
            </w:tcBorders>
            <w:hideMark/>
          </w:tcPr>
          <w:p w:rsidR="00321EC6" w:rsidRPr="00B60A76" w:rsidRDefault="00321EC6" w:rsidP="00E302F6">
            <w:pPr>
              <w:spacing w:before="120" w:line="240" w:lineRule="auto"/>
              <w:jc w:val="center"/>
              <w:rPr>
                <w:rFonts w:ascii="Times New Roman" w:hAnsi="Times New Roman"/>
                <w:b/>
                <w:lang w:val="lv-LV"/>
              </w:rPr>
            </w:pPr>
            <w:r w:rsidRPr="00B60A76">
              <w:rPr>
                <w:rFonts w:ascii="Times New Roman" w:hAnsi="Times New Roman"/>
                <w:b/>
                <w:lang w:val="lv-LV"/>
              </w:rPr>
              <w:t>Prioritā</w:t>
            </w:r>
            <w:r w:rsidR="006E6BC2" w:rsidRPr="00B60A76">
              <w:rPr>
                <w:rFonts w:ascii="Times New Roman" w:hAnsi="Times New Roman"/>
                <w:b/>
                <w:lang w:val="lv-LV"/>
              </w:rPr>
              <w:t>rais virziens</w:t>
            </w:r>
          </w:p>
        </w:tc>
        <w:tc>
          <w:tcPr>
            <w:tcW w:w="2693" w:type="dxa"/>
            <w:tcBorders>
              <w:top w:val="single" w:sz="4" w:space="0" w:color="auto"/>
              <w:left w:val="single" w:sz="4" w:space="0" w:color="auto"/>
              <w:bottom w:val="single" w:sz="4" w:space="0" w:color="auto"/>
              <w:right w:val="single" w:sz="4" w:space="0" w:color="auto"/>
            </w:tcBorders>
            <w:hideMark/>
          </w:tcPr>
          <w:p w:rsidR="00321EC6" w:rsidRPr="00B60A76" w:rsidRDefault="00321EC6" w:rsidP="00E302F6">
            <w:pPr>
              <w:spacing w:before="120" w:line="240" w:lineRule="auto"/>
              <w:jc w:val="center"/>
              <w:rPr>
                <w:rFonts w:ascii="Times New Roman" w:hAnsi="Times New Roman"/>
                <w:lang w:val="lv-LV"/>
              </w:rPr>
            </w:pPr>
            <w:r w:rsidRPr="00B60A76">
              <w:rPr>
                <w:rFonts w:ascii="Times New Roman" w:hAnsi="Times New Roman"/>
                <w:b/>
                <w:lang w:val="lv-LV"/>
              </w:rPr>
              <w:t>Kods</w:t>
            </w:r>
          </w:p>
        </w:tc>
        <w:tc>
          <w:tcPr>
            <w:tcW w:w="2977" w:type="dxa"/>
            <w:tcBorders>
              <w:top w:val="single" w:sz="4" w:space="0" w:color="auto"/>
              <w:left w:val="single" w:sz="4" w:space="0" w:color="auto"/>
              <w:bottom w:val="single" w:sz="4" w:space="0" w:color="auto"/>
              <w:right w:val="single" w:sz="4" w:space="0" w:color="auto"/>
            </w:tcBorders>
            <w:hideMark/>
          </w:tcPr>
          <w:p w:rsidR="00321EC6" w:rsidRPr="00B60A76" w:rsidRDefault="006E6BC2" w:rsidP="00E302F6">
            <w:pPr>
              <w:spacing w:before="120" w:line="240" w:lineRule="auto"/>
              <w:jc w:val="center"/>
              <w:rPr>
                <w:rFonts w:ascii="Times New Roman" w:hAnsi="Times New Roman"/>
                <w:lang w:val="lv-LV"/>
              </w:rPr>
            </w:pPr>
            <w:r w:rsidRPr="00B60A76">
              <w:rPr>
                <w:rFonts w:ascii="Times New Roman" w:hAnsi="Times New Roman"/>
                <w:b/>
                <w:lang w:val="lv-LV"/>
              </w:rPr>
              <w:t>Summa (euro)</w:t>
            </w:r>
          </w:p>
        </w:tc>
      </w:tr>
      <w:tr w:rsidR="00321EC6" w:rsidRPr="00B60A76" w:rsidTr="00EA4307">
        <w:tc>
          <w:tcPr>
            <w:tcW w:w="2802"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left"/>
              <w:rPr>
                <w:szCs w:val="24"/>
                <w:lang w:val="lv-LV"/>
              </w:rPr>
            </w:pPr>
            <w:r w:rsidRPr="00B60A76">
              <w:rPr>
                <w:szCs w:val="24"/>
              </w:rPr>
              <w:t>Tehniskā palīdzība</w:t>
            </w:r>
          </w:p>
        </w:tc>
        <w:tc>
          <w:tcPr>
            <w:tcW w:w="2693" w:type="dxa"/>
            <w:tcBorders>
              <w:top w:val="single" w:sz="4" w:space="0" w:color="auto"/>
              <w:left w:val="single" w:sz="4" w:space="0" w:color="auto"/>
              <w:bottom w:val="single" w:sz="4" w:space="0" w:color="auto"/>
              <w:right w:val="single" w:sz="4" w:space="0" w:color="auto"/>
            </w:tcBorders>
          </w:tcPr>
          <w:p w:rsidR="00321EC6" w:rsidRPr="00B60A76" w:rsidRDefault="00F01BA6" w:rsidP="0095484C">
            <w:pPr>
              <w:pStyle w:val="Text1"/>
              <w:spacing w:before="120" w:line="240" w:lineRule="auto"/>
              <w:ind w:left="0"/>
              <w:rPr>
                <w:szCs w:val="24"/>
                <w:lang w:val="lv-LV"/>
              </w:rPr>
            </w:pPr>
            <w:bookmarkStart w:id="142" w:name="_Toc384391577"/>
            <w:bookmarkStart w:id="143" w:name="_Toc388006672"/>
            <w:bookmarkStart w:id="144" w:name="_Toc389750343"/>
            <w:bookmarkStart w:id="145" w:name="_Toc389750833"/>
            <w:bookmarkStart w:id="146" w:name="_Toc389751320"/>
            <w:bookmarkStart w:id="147" w:name="_Toc389751813"/>
            <w:bookmarkStart w:id="148" w:name="_Toc389811855"/>
            <w:r w:rsidRPr="00B60A76">
              <w:rPr>
                <w:rStyle w:val="Heading311"/>
                <w:rFonts w:ascii="Times New Roman" w:hAnsi="Times New Roman" w:cs="Times New Roman"/>
                <w:sz w:val="24"/>
                <w:szCs w:val="24"/>
                <w:lang w:val="lv-LV"/>
              </w:rPr>
              <w:t>121 Sagatavošana, ieviešana, uzraudzība un pārbaude</w:t>
            </w:r>
            <w:bookmarkEnd w:id="142"/>
            <w:bookmarkEnd w:id="143"/>
            <w:bookmarkEnd w:id="144"/>
            <w:bookmarkEnd w:id="145"/>
            <w:bookmarkEnd w:id="146"/>
            <w:bookmarkEnd w:id="147"/>
            <w:bookmarkEnd w:id="148"/>
          </w:p>
        </w:tc>
        <w:tc>
          <w:tcPr>
            <w:tcW w:w="2977" w:type="dxa"/>
            <w:tcBorders>
              <w:top w:val="single" w:sz="4" w:space="0" w:color="auto"/>
              <w:left w:val="single" w:sz="4" w:space="0" w:color="auto"/>
              <w:bottom w:val="single" w:sz="4" w:space="0" w:color="auto"/>
              <w:right w:val="single" w:sz="4" w:space="0" w:color="auto"/>
            </w:tcBorders>
          </w:tcPr>
          <w:p w:rsidR="00321EC6" w:rsidRPr="00B60A76" w:rsidRDefault="00B60A76" w:rsidP="00E302F6">
            <w:pPr>
              <w:pStyle w:val="Text1"/>
              <w:spacing w:before="120" w:line="240" w:lineRule="auto"/>
              <w:ind w:left="0"/>
              <w:jc w:val="right"/>
              <w:rPr>
                <w:szCs w:val="24"/>
                <w:lang w:val="lv-LV"/>
              </w:rPr>
            </w:pPr>
            <w:r w:rsidRPr="00B60A76">
              <w:rPr>
                <w:szCs w:val="24"/>
              </w:rPr>
              <w:t>2 787 972</w:t>
            </w:r>
          </w:p>
        </w:tc>
      </w:tr>
      <w:tr w:rsidR="00321EC6" w:rsidRPr="00B60A76" w:rsidTr="00EA4307">
        <w:tc>
          <w:tcPr>
            <w:tcW w:w="2802"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left"/>
              <w:rPr>
                <w:szCs w:val="24"/>
                <w:lang w:val="lv-LV"/>
              </w:rPr>
            </w:pPr>
            <w:r w:rsidRPr="00B60A76">
              <w:rPr>
                <w:szCs w:val="24"/>
              </w:rPr>
              <w:lastRenderedPageBreak/>
              <w:t>Tehniskā palīdzība</w:t>
            </w:r>
          </w:p>
        </w:tc>
        <w:tc>
          <w:tcPr>
            <w:tcW w:w="2693" w:type="dxa"/>
            <w:tcBorders>
              <w:top w:val="single" w:sz="4" w:space="0" w:color="auto"/>
              <w:left w:val="single" w:sz="4" w:space="0" w:color="auto"/>
              <w:bottom w:val="single" w:sz="4" w:space="0" w:color="auto"/>
              <w:right w:val="single" w:sz="4" w:space="0" w:color="auto"/>
            </w:tcBorders>
          </w:tcPr>
          <w:p w:rsidR="00321EC6" w:rsidRPr="00B60A76" w:rsidRDefault="00F01BA6" w:rsidP="00E302F6">
            <w:pPr>
              <w:pStyle w:val="Text1"/>
              <w:spacing w:before="120" w:line="240" w:lineRule="auto"/>
              <w:ind w:left="0"/>
              <w:jc w:val="left"/>
              <w:rPr>
                <w:szCs w:val="24"/>
                <w:lang w:val="lv-LV"/>
              </w:rPr>
            </w:pPr>
            <w:bookmarkStart w:id="149" w:name="_Toc384391580"/>
            <w:bookmarkStart w:id="150" w:name="_Toc388006675"/>
            <w:bookmarkStart w:id="151" w:name="_Toc389750346"/>
            <w:bookmarkStart w:id="152" w:name="_Toc389750836"/>
            <w:bookmarkStart w:id="153" w:name="_Toc389751323"/>
            <w:bookmarkStart w:id="154" w:name="_Toc389751816"/>
            <w:bookmarkStart w:id="155" w:name="_Toc389811858"/>
            <w:r w:rsidRPr="00B60A76">
              <w:rPr>
                <w:rStyle w:val="Heading311"/>
                <w:rFonts w:ascii="Times New Roman" w:hAnsi="Times New Roman" w:cs="Times New Roman"/>
                <w:sz w:val="24"/>
                <w:szCs w:val="24"/>
                <w:lang w:val="lv-LV"/>
              </w:rPr>
              <w:t>122  Izvērtējums un izpēte</w:t>
            </w:r>
            <w:bookmarkEnd w:id="149"/>
            <w:bookmarkEnd w:id="150"/>
            <w:bookmarkEnd w:id="151"/>
            <w:bookmarkEnd w:id="152"/>
            <w:bookmarkEnd w:id="153"/>
            <w:bookmarkEnd w:id="154"/>
            <w:bookmarkEnd w:id="155"/>
          </w:p>
        </w:tc>
        <w:tc>
          <w:tcPr>
            <w:tcW w:w="2977" w:type="dxa"/>
            <w:tcBorders>
              <w:top w:val="single" w:sz="4" w:space="0" w:color="auto"/>
              <w:left w:val="single" w:sz="4" w:space="0" w:color="auto"/>
              <w:bottom w:val="single" w:sz="4" w:space="0" w:color="auto"/>
              <w:right w:val="single" w:sz="4" w:space="0" w:color="auto"/>
            </w:tcBorders>
          </w:tcPr>
          <w:p w:rsidR="00321EC6" w:rsidRPr="00B60A76" w:rsidRDefault="00B60A76" w:rsidP="00E302F6">
            <w:pPr>
              <w:pStyle w:val="Text1"/>
              <w:spacing w:before="120" w:line="240" w:lineRule="auto"/>
              <w:ind w:left="0"/>
              <w:jc w:val="right"/>
              <w:rPr>
                <w:szCs w:val="24"/>
                <w:lang w:val="lv-LV"/>
              </w:rPr>
            </w:pPr>
            <w:r w:rsidRPr="00B60A76">
              <w:rPr>
                <w:szCs w:val="24"/>
              </w:rPr>
              <w:t>170 000</w:t>
            </w:r>
          </w:p>
        </w:tc>
      </w:tr>
      <w:tr w:rsidR="00321EC6" w:rsidRPr="00B60A76" w:rsidTr="00EA4307">
        <w:tc>
          <w:tcPr>
            <w:tcW w:w="2802"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left"/>
              <w:rPr>
                <w:szCs w:val="24"/>
                <w:lang w:val="lv-LV"/>
              </w:rPr>
            </w:pPr>
            <w:r w:rsidRPr="00B60A76">
              <w:rPr>
                <w:szCs w:val="24"/>
              </w:rPr>
              <w:t>Tehniskā palīdzība</w:t>
            </w:r>
          </w:p>
        </w:tc>
        <w:tc>
          <w:tcPr>
            <w:tcW w:w="2693" w:type="dxa"/>
            <w:tcBorders>
              <w:top w:val="single" w:sz="4" w:space="0" w:color="auto"/>
              <w:left w:val="single" w:sz="4" w:space="0" w:color="auto"/>
              <w:bottom w:val="single" w:sz="4" w:space="0" w:color="auto"/>
              <w:right w:val="single" w:sz="4" w:space="0" w:color="auto"/>
            </w:tcBorders>
          </w:tcPr>
          <w:p w:rsidR="00321EC6" w:rsidRPr="00B60A76" w:rsidRDefault="00F01BA6" w:rsidP="00E302F6">
            <w:pPr>
              <w:pStyle w:val="Text1"/>
              <w:spacing w:before="120" w:line="240" w:lineRule="auto"/>
              <w:ind w:left="0"/>
              <w:jc w:val="left"/>
              <w:rPr>
                <w:szCs w:val="24"/>
                <w:lang w:val="lv-LV"/>
              </w:rPr>
            </w:pPr>
            <w:bookmarkStart w:id="156" w:name="_Toc384391583"/>
            <w:bookmarkStart w:id="157" w:name="_Toc388006678"/>
            <w:bookmarkStart w:id="158" w:name="_Toc389750349"/>
            <w:bookmarkStart w:id="159" w:name="_Toc389750839"/>
            <w:bookmarkStart w:id="160" w:name="_Toc389751326"/>
            <w:bookmarkStart w:id="161" w:name="_Toc389751819"/>
            <w:bookmarkStart w:id="162" w:name="_Toc389811861"/>
            <w:r w:rsidRPr="00B60A76">
              <w:rPr>
                <w:rStyle w:val="Heading311"/>
                <w:rFonts w:ascii="Times New Roman" w:hAnsi="Times New Roman" w:cs="Times New Roman"/>
                <w:sz w:val="24"/>
                <w:szCs w:val="24"/>
                <w:lang w:val="lv-LV"/>
              </w:rPr>
              <w:t>123 Informācija un komunikācija</w:t>
            </w:r>
            <w:bookmarkEnd w:id="156"/>
            <w:bookmarkEnd w:id="157"/>
            <w:bookmarkEnd w:id="158"/>
            <w:bookmarkEnd w:id="159"/>
            <w:bookmarkEnd w:id="160"/>
            <w:bookmarkEnd w:id="161"/>
            <w:bookmarkEnd w:id="162"/>
            <w:r w:rsidR="00FB604D" w:rsidRPr="00B60A76" w:rsidDel="00FB604D">
              <w:rPr>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321EC6" w:rsidRPr="00B60A76" w:rsidRDefault="00B60A76" w:rsidP="00E302F6">
            <w:pPr>
              <w:pStyle w:val="Text1"/>
              <w:spacing w:before="120" w:line="240" w:lineRule="auto"/>
              <w:ind w:left="0"/>
              <w:jc w:val="right"/>
              <w:rPr>
                <w:szCs w:val="24"/>
                <w:lang w:val="lv-LV"/>
              </w:rPr>
            </w:pPr>
            <w:r w:rsidRPr="00B60A76">
              <w:rPr>
                <w:szCs w:val="24"/>
              </w:rPr>
              <w:t>250 000</w:t>
            </w:r>
          </w:p>
        </w:tc>
      </w:tr>
    </w:tbl>
    <w:p w:rsidR="00321EC6" w:rsidRDefault="00321EC6" w:rsidP="00E302F6">
      <w:pPr>
        <w:suppressAutoHyphens/>
        <w:spacing w:before="120" w:line="240" w:lineRule="auto"/>
        <w:rPr>
          <w:b/>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321EC6" w:rsidRPr="00B60A76" w:rsidTr="00EA4307">
        <w:trPr>
          <w:trHeight w:val="364"/>
        </w:trPr>
        <w:tc>
          <w:tcPr>
            <w:tcW w:w="8472" w:type="dxa"/>
            <w:gridSpan w:val="3"/>
            <w:tcBorders>
              <w:top w:val="single" w:sz="4" w:space="0" w:color="auto"/>
              <w:left w:val="single" w:sz="4" w:space="0" w:color="auto"/>
              <w:bottom w:val="single" w:sz="4" w:space="0" w:color="auto"/>
              <w:right w:val="single" w:sz="4" w:space="0" w:color="auto"/>
            </w:tcBorders>
            <w:hideMark/>
          </w:tcPr>
          <w:p w:rsidR="00321EC6" w:rsidRPr="00B60A76" w:rsidRDefault="00B60A76" w:rsidP="00E302F6">
            <w:pPr>
              <w:autoSpaceDE w:val="0"/>
              <w:autoSpaceDN w:val="0"/>
              <w:adjustRightInd w:val="0"/>
              <w:spacing w:before="120" w:line="240" w:lineRule="auto"/>
              <w:jc w:val="left"/>
              <w:rPr>
                <w:rFonts w:ascii="Times New Roman" w:hAnsi="Times New Roman"/>
                <w:b/>
                <w:color w:val="000000"/>
                <w:lang w:val="lv-LV" w:eastAsia="en-GB"/>
              </w:rPr>
            </w:pPr>
            <w:r>
              <w:rPr>
                <w:rFonts w:ascii="Times New Roman" w:hAnsi="Times New Roman"/>
                <w:b/>
                <w:bCs/>
                <w:color w:val="000000"/>
                <w:lang w:val="lv-LV" w:eastAsia="en-GB"/>
              </w:rPr>
              <w:t xml:space="preserve">10. tabula: </w:t>
            </w:r>
            <w:r>
              <w:rPr>
                <w:rStyle w:val="Heading311"/>
                <w:rFonts w:ascii="Times New Roman" w:hAnsi="Times New Roman" w:cs="Times New Roman"/>
                <w:b/>
                <w:sz w:val="24"/>
                <w:szCs w:val="24"/>
                <w:lang w:val="lv-LV"/>
              </w:rPr>
              <w:t>2. a</w:t>
            </w:r>
            <w:r w:rsidR="00F01BA6" w:rsidRPr="00B60A76">
              <w:rPr>
                <w:rStyle w:val="Heading311"/>
                <w:rFonts w:ascii="Times New Roman" w:hAnsi="Times New Roman" w:cs="Times New Roman"/>
                <w:b/>
                <w:sz w:val="24"/>
                <w:szCs w:val="24"/>
                <w:lang w:val="lv-LV"/>
              </w:rPr>
              <w:t>spekts Finansējuma</w:t>
            </w:r>
            <w:r>
              <w:rPr>
                <w:rStyle w:val="Heading311"/>
                <w:rFonts w:ascii="Times New Roman" w:hAnsi="Times New Roman" w:cs="Times New Roman"/>
                <w:b/>
                <w:sz w:val="24"/>
                <w:szCs w:val="24"/>
                <w:lang w:val="lv-LV"/>
              </w:rPr>
              <w:t xml:space="preserve"> veids</w:t>
            </w:r>
          </w:p>
        </w:tc>
      </w:tr>
      <w:tr w:rsidR="00321EC6" w:rsidRPr="00B60A76" w:rsidTr="00321EC6">
        <w:trPr>
          <w:trHeight w:val="602"/>
        </w:trPr>
        <w:tc>
          <w:tcPr>
            <w:tcW w:w="2802" w:type="dxa"/>
            <w:tcBorders>
              <w:top w:val="single" w:sz="4" w:space="0" w:color="auto"/>
              <w:left w:val="single" w:sz="4" w:space="0" w:color="auto"/>
              <w:bottom w:val="single" w:sz="4" w:space="0" w:color="auto"/>
              <w:right w:val="single" w:sz="4" w:space="0" w:color="auto"/>
            </w:tcBorders>
            <w:hideMark/>
          </w:tcPr>
          <w:p w:rsidR="00321EC6" w:rsidRPr="00B60A76" w:rsidRDefault="00F01BA6" w:rsidP="00E302F6">
            <w:pPr>
              <w:spacing w:before="120" w:line="240" w:lineRule="auto"/>
              <w:jc w:val="center"/>
              <w:rPr>
                <w:rFonts w:ascii="Times New Roman" w:hAnsi="Times New Roman"/>
                <w:b/>
                <w:lang w:val="lv-LV"/>
              </w:rPr>
            </w:pPr>
            <w:r w:rsidRPr="00B60A76">
              <w:rPr>
                <w:rFonts w:ascii="Times New Roman" w:hAnsi="Times New Roman"/>
                <w:b/>
                <w:lang w:val="lv-LV"/>
              </w:rPr>
              <w:t>Prioritāte</w:t>
            </w:r>
          </w:p>
        </w:tc>
        <w:tc>
          <w:tcPr>
            <w:tcW w:w="2693" w:type="dxa"/>
            <w:tcBorders>
              <w:top w:val="single" w:sz="4" w:space="0" w:color="auto"/>
              <w:left w:val="single" w:sz="4" w:space="0" w:color="auto"/>
              <w:bottom w:val="single" w:sz="4" w:space="0" w:color="auto"/>
              <w:right w:val="single" w:sz="4" w:space="0" w:color="auto"/>
            </w:tcBorders>
            <w:hideMark/>
          </w:tcPr>
          <w:p w:rsidR="00321EC6" w:rsidRPr="00B60A76" w:rsidRDefault="00F01BA6" w:rsidP="00E302F6">
            <w:pPr>
              <w:spacing w:before="120" w:line="240" w:lineRule="auto"/>
              <w:jc w:val="center"/>
              <w:rPr>
                <w:rFonts w:ascii="Times New Roman" w:hAnsi="Times New Roman"/>
                <w:lang w:val="lv-LV"/>
              </w:rPr>
            </w:pPr>
            <w:r w:rsidRPr="00B60A76">
              <w:rPr>
                <w:rFonts w:ascii="Times New Roman" w:hAnsi="Times New Roman"/>
                <w:b/>
                <w:lang w:val="lv-LV"/>
              </w:rPr>
              <w:t>Kods</w:t>
            </w:r>
          </w:p>
        </w:tc>
        <w:tc>
          <w:tcPr>
            <w:tcW w:w="2977" w:type="dxa"/>
            <w:tcBorders>
              <w:top w:val="single" w:sz="4" w:space="0" w:color="auto"/>
              <w:left w:val="single" w:sz="4" w:space="0" w:color="auto"/>
              <w:bottom w:val="single" w:sz="4" w:space="0" w:color="auto"/>
              <w:right w:val="single" w:sz="4" w:space="0" w:color="auto"/>
            </w:tcBorders>
            <w:hideMark/>
          </w:tcPr>
          <w:p w:rsidR="00321EC6" w:rsidRPr="00B60A76" w:rsidRDefault="00F01BA6" w:rsidP="00E302F6">
            <w:pPr>
              <w:spacing w:before="120" w:line="240" w:lineRule="auto"/>
              <w:jc w:val="center"/>
              <w:rPr>
                <w:rFonts w:ascii="Times New Roman" w:hAnsi="Times New Roman"/>
                <w:lang w:val="lv-LV"/>
              </w:rPr>
            </w:pPr>
            <w:r w:rsidRPr="00B60A76">
              <w:rPr>
                <w:rFonts w:ascii="Times New Roman" w:hAnsi="Times New Roman"/>
                <w:b/>
                <w:lang w:val="lv-LV"/>
              </w:rPr>
              <w:t>Apjoms (€)</w:t>
            </w:r>
          </w:p>
        </w:tc>
      </w:tr>
      <w:tr w:rsidR="00321EC6" w:rsidRPr="00B60A76" w:rsidTr="00EA4307">
        <w:tc>
          <w:tcPr>
            <w:tcW w:w="2802" w:type="dxa"/>
            <w:tcBorders>
              <w:top w:val="single" w:sz="4" w:space="0" w:color="auto"/>
              <w:left w:val="single" w:sz="4" w:space="0" w:color="auto"/>
              <w:bottom w:val="single" w:sz="4" w:space="0" w:color="auto"/>
              <w:right w:val="single" w:sz="4" w:space="0" w:color="auto"/>
            </w:tcBorders>
          </w:tcPr>
          <w:p w:rsidR="00321EC6" w:rsidRPr="00B60A76" w:rsidDel="00321EC6" w:rsidRDefault="00321EC6" w:rsidP="00E302F6">
            <w:pPr>
              <w:pStyle w:val="Text1"/>
              <w:spacing w:before="120" w:line="240" w:lineRule="auto"/>
              <w:ind w:left="0"/>
              <w:jc w:val="left"/>
              <w:rPr>
                <w:szCs w:val="24"/>
                <w:lang w:val="lv-LV"/>
              </w:rPr>
            </w:pPr>
          </w:p>
          <w:p w:rsidR="00321EC6" w:rsidRPr="00B60A76" w:rsidRDefault="00321EC6" w:rsidP="00E302F6">
            <w:pPr>
              <w:pStyle w:val="Text1"/>
              <w:spacing w:before="120" w:line="240" w:lineRule="auto"/>
              <w:ind w:left="0"/>
              <w:jc w:val="left"/>
              <w:rPr>
                <w:szCs w:val="24"/>
                <w:lang w:val="lv-LV"/>
              </w:rPr>
            </w:pPr>
          </w:p>
        </w:tc>
        <w:tc>
          <w:tcPr>
            <w:tcW w:w="2693" w:type="dxa"/>
            <w:tcBorders>
              <w:top w:val="single" w:sz="4" w:space="0" w:color="auto"/>
              <w:left w:val="single" w:sz="4" w:space="0" w:color="auto"/>
              <w:bottom w:val="single" w:sz="4" w:space="0" w:color="auto"/>
              <w:right w:val="single" w:sz="4" w:space="0" w:color="auto"/>
            </w:tcBorders>
          </w:tcPr>
          <w:p w:rsidR="00321EC6" w:rsidRPr="00B60A76" w:rsidRDefault="00F01BA6" w:rsidP="00E302F6">
            <w:pPr>
              <w:spacing w:before="120" w:line="240" w:lineRule="auto"/>
              <w:rPr>
                <w:rFonts w:ascii="Times New Roman" w:hAnsi="Times New Roman"/>
                <w:lang w:val="lv-LV"/>
              </w:rPr>
            </w:pPr>
            <w:r w:rsidRPr="00B60A76">
              <w:rPr>
                <w:rStyle w:val="Heading311"/>
                <w:rFonts w:ascii="Times New Roman" w:hAnsi="Times New Roman" w:cs="Times New Roman"/>
                <w:b/>
                <w:sz w:val="24"/>
                <w:szCs w:val="24"/>
                <w:lang w:val="lv-LV"/>
              </w:rPr>
              <w:t>01  Neatmaksājamās subsīdijas</w:t>
            </w:r>
            <w:r w:rsidR="00FB604D" w:rsidRPr="00B60A76" w:rsidDel="00FB604D">
              <w:rPr>
                <w:lang w:val="lv-LV"/>
              </w:rPr>
              <w:t xml:space="preserve"> </w:t>
            </w:r>
          </w:p>
        </w:tc>
        <w:tc>
          <w:tcPr>
            <w:tcW w:w="2977"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center"/>
              <w:rPr>
                <w:szCs w:val="24"/>
                <w:lang w:val="lv-LV"/>
              </w:rPr>
            </w:pPr>
            <w:r w:rsidRPr="00B60A76">
              <w:rPr>
                <w:szCs w:val="24"/>
                <w:lang w:val="lv-LV"/>
              </w:rPr>
              <w:t>3 297 972</w:t>
            </w:r>
          </w:p>
        </w:tc>
      </w:tr>
      <w:tr w:rsidR="00321EC6" w:rsidRPr="00B60A76" w:rsidTr="00EA4307">
        <w:tc>
          <w:tcPr>
            <w:tcW w:w="2802"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left"/>
              <w:rPr>
                <w:szCs w:val="24"/>
                <w:lang w:val="lv-LV"/>
              </w:rPr>
            </w:pPr>
          </w:p>
        </w:tc>
        <w:tc>
          <w:tcPr>
            <w:tcW w:w="2693"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left"/>
              <w:rPr>
                <w:szCs w:val="24"/>
                <w:lang w:val="lv-LV"/>
              </w:rPr>
            </w:pPr>
          </w:p>
        </w:tc>
        <w:tc>
          <w:tcPr>
            <w:tcW w:w="2977"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right"/>
              <w:rPr>
                <w:szCs w:val="24"/>
                <w:lang w:val="lv-LV"/>
              </w:rPr>
            </w:pPr>
          </w:p>
        </w:tc>
      </w:tr>
    </w:tbl>
    <w:p w:rsidR="00321EC6" w:rsidRDefault="00321EC6" w:rsidP="00E302F6">
      <w:pPr>
        <w:suppressAutoHyphens/>
        <w:spacing w:before="120" w:line="240" w:lineRule="auto"/>
        <w:rPr>
          <w:b/>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321EC6" w:rsidRPr="00B60A76" w:rsidTr="00EA4307">
        <w:trPr>
          <w:trHeight w:val="364"/>
        </w:trPr>
        <w:tc>
          <w:tcPr>
            <w:tcW w:w="8472" w:type="dxa"/>
            <w:gridSpan w:val="3"/>
            <w:tcBorders>
              <w:top w:val="single" w:sz="4" w:space="0" w:color="auto"/>
              <w:left w:val="single" w:sz="4" w:space="0" w:color="auto"/>
              <w:bottom w:val="single" w:sz="4" w:space="0" w:color="auto"/>
              <w:right w:val="single" w:sz="4" w:space="0" w:color="auto"/>
            </w:tcBorders>
            <w:hideMark/>
          </w:tcPr>
          <w:p w:rsidR="00321EC6" w:rsidRPr="00B60A76" w:rsidRDefault="00321EC6" w:rsidP="00E302F6">
            <w:pPr>
              <w:autoSpaceDE w:val="0"/>
              <w:autoSpaceDN w:val="0"/>
              <w:adjustRightInd w:val="0"/>
              <w:spacing w:before="120" w:line="240" w:lineRule="auto"/>
              <w:jc w:val="left"/>
              <w:rPr>
                <w:rFonts w:ascii="Times New Roman" w:hAnsi="Times New Roman"/>
                <w:b/>
                <w:color w:val="000000"/>
                <w:lang w:val="lv-LV" w:eastAsia="en-GB"/>
              </w:rPr>
            </w:pPr>
            <w:r w:rsidRPr="00B60A76">
              <w:rPr>
                <w:rFonts w:ascii="Times New Roman" w:hAnsi="Times New Roman"/>
                <w:b/>
                <w:bCs/>
                <w:color w:val="000000"/>
                <w:lang w:val="lv-LV" w:eastAsia="en-GB"/>
              </w:rPr>
              <w:t xml:space="preserve">11. tabula: </w:t>
            </w:r>
            <w:r w:rsidR="00B60A76" w:rsidRPr="00B60A76">
              <w:rPr>
                <w:rStyle w:val="Heading311"/>
                <w:rFonts w:ascii="Times New Roman" w:hAnsi="Times New Roman" w:cs="Times New Roman"/>
                <w:b/>
                <w:sz w:val="24"/>
                <w:szCs w:val="24"/>
                <w:lang w:val="lv-LV"/>
              </w:rPr>
              <w:t>3.a</w:t>
            </w:r>
            <w:r w:rsidR="00F01BA6" w:rsidRPr="00B60A76">
              <w:rPr>
                <w:rStyle w:val="Heading311"/>
                <w:rFonts w:ascii="Times New Roman" w:hAnsi="Times New Roman" w:cs="Times New Roman"/>
                <w:b/>
                <w:sz w:val="24"/>
                <w:szCs w:val="24"/>
                <w:lang w:val="lv-LV"/>
              </w:rPr>
              <w:t>spekts Teritorija</w:t>
            </w:r>
          </w:p>
        </w:tc>
      </w:tr>
      <w:tr w:rsidR="00321EC6" w:rsidRPr="00B60A76" w:rsidTr="00EA4307">
        <w:trPr>
          <w:trHeight w:val="267"/>
        </w:trPr>
        <w:tc>
          <w:tcPr>
            <w:tcW w:w="2802" w:type="dxa"/>
            <w:tcBorders>
              <w:top w:val="single" w:sz="4" w:space="0" w:color="auto"/>
              <w:left w:val="single" w:sz="4" w:space="0" w:color="auto"/>
              <w:bottom w:val="single" w:sz="4" w:space="0" w:color="auto"/>
              <w:right w:val="single" w:sz="4" w:space="0" w:color="auto"/>
            </w:tcBorders>
            <w:hideMark/>
          </w:tcPr>
          <w:p w:rsidR="00321EC6" w:rsidRPr="00B60A76" w:rsidRDefault="00F01BA6" w:rsidP="00E302F6">
            <w:pPr>
              <w:spacing w:before="120" w:line="240" w:lineRule="auto"/>
              <w:jc w:val="center"/>
              <w:rPr>
                <w:rFonts w:ascii="Times New Roman" w:hAnsi="Times New Roman"/>
                <w:b/>
                <w:lang w:val="lv-LV"/>
              </w:rPr>
            </w:pPr>
            <w:r w:rsidRPr="00B60A76">
              <w:rPr>
                <w:rFonts w:ascii="Times New Roman" w:hAnsi="Times New Roman"/>
                <w:b/>
                <w:lang w:val="lv-LV"/>
              </w:rPr>
              <w:t>Prioritāte</w:t>
            </w:r>
          </w:p>
        </w:tc>
        <w:tc>
          <w:tcPr>
            <w:tcW w:w="2693" w:type="dxa"/>
            <w:tcBorders>
              <w:top w:val="single" w:sz="4" w:space="0" w:color="auto"/>
              <w:left w:val="single" w:sz="4" w:space="0" w:color="auto"/>
              <w:bottom w:val="single" w:sz="4" w:space="0" w:color="auto"/>
              <w:right w:val="single" w:sz="4" w:space="0" w:color="auto"/>
            </w:tcBorders>
            <w:hideMark/>
          </w:tcPr>
          <w:p w:rsidR="00321EC6" w:rsidRPr="00B60A76" w:rsidRDefault="00F01BA6" w:rsidP="00E302F6">
            <w:pPr>
              <w:spacing w:before="120" w:line="240" w:lineRule="auto"/>
              <w:jc w:val="center"/>
              <w:rPr>
                <w:rFonts w:ascii="Times New Roman" w:hAnsi="Times New Roman"/>
                <w:lang w:val="lv-LV"/>
              </w:rPr>
            </w:pPr>
            <w:r w:rsidRPr="00B60A76">
              <w:rPr>
                <w:rFonts w:ascii="Times New Roman" w:hAnsi="Times New Roman"/>
                <w:b/>
                <w:lang w:val="lv-LV"/>
              </w:rPr>
              <w:t>Kods</w:t>
            </w:r>
          </w:p>
        </w:tc>
        <w:tc>
          <w:tcPr>
            <w:tcW w:w="2977" w:type="dxa"/>
            <w:tcBorders>
              <w:top w:val="single" w:sz="4" w:space="0" w:color="auto"/>
              <w:left w:val="single" w:sz="4" w:space="0" w:color="auto"/>
              <w:bottom w:val="single" w:sz="4" w:space="0" w:color="auto"/>
              <w:right w:val="single" w:sz="4" w:space="0" w:color="auto"/>
            </w:tcBorders>
            <w:hideMark/>
          </w:tcPr>
          <w:p w:rsidR="00321EC6" w:rsidRPr="00B60A76" w:rsidRDefault="00F01BA6" w:rsidP="00E302F6">
            <w:pPr>
              <w:spacing w:before="120" w:line="240" w:lineRule="auto"/>
              <w:jc w:val="center"/>
              <w:rPr>
                <w:rFonts w:ascii="Times New Roman" w:hAnsi="Times New Roman"/>
                <w:lang w:val="lv-LV"/>
              </w:rPr>
            </w:pPr>
            <w:r w:rsidRPr="00B60A76">
              <w:rPr>
                <w:rStyle w:val="Heading311"/>
                <w:rFonts w:ascii="Times New Roman" w:hAnsi="Times New Roman" w:cs="Times New Roman"/>
                <w:sz w:val="24"/>
                <w:szCs w:val="24"/>
                <w:lang w:val="lv-LV"/>
              </w:rPr>
              <w:t>Summa (euro)</w:t>
            </w:r>
          </w:p>
        </w:tc>
      </w:tr>
      <w:tr w:rsidR="00321EC6" w:rsidRPr="00B60A76" w:rsidTr="00EA4307">
        <w:tc>
          <w:tcPr>
            <w:tcW w:w="2802" w:type="dxa"/>
            <w:tcBorders>
              <w:top w:val="single" w:sz="4" w:space="0" w:color="auto"/>
              <w:left w:val="single" w:sz="4" w:space="0" w:color="auto"/>
              <w:bottom w:val="single" w:sz="4" w:space="0" w:color="auto"/>
              <w:right w:val="single" w:sz="4" w:space="0" w:color="auto"/>
            </w:tcBorders>
          </w:tcPr>
          <w:p w:rsidR="00321EC6" w:rsidRPr="00B60A76" w:rsidRDefault="00F01BA6" w:rsidP="00E302F6">
            <w:pPr>
              <w:pStyle w:val="Text1"/>
              <w:spacing w:before="120" w:line="240" w:lineRule="auto"/>
              <w:ind w:left="0"/>
              <w:jc w:val="left"/>
              <w:rPr>
                <w:szCs w:val="24"/>
                <w:lang w:val="lv-LV"/>
              </w:rPr>
            </w:pPr>
            <w:r w:rsidRPr="00B60A76">
              <w:rPr>
                <w:szCs w:val="24"/>
                <w:lang w:val="lv-LV"/>
              </w:rPr>
              <w:t>-</w:t>
            </w:r>
          </w:p>
        </w:tc>
        <w:tc>
          <w:tcPr>
            <w:tcW w:w="2693" w:type="dxa"/>
            <w:tcBorders>
              <w:top w:val="single" w:sz="4" w:space="0" w:color="auto"/>
              <w:left w:val="single" w:sz="4" w:space="0" w:color="auto"/>
              <w:bottom w:val="single" w:sz="4" w:space="0" w:color="auto"/>
              <w:right w:val="single" w:sz="4" w:space="0" w:color="auto"/>
            </w:tcBorders>
          </w:tcPr>
          <w:p w:rsidR="00321EC6" w:rsidRPr="00B60A76" w:rsidRDefault="00F01BA6" w:rsidP="00E302F6">
            <w:pPr>
              <w:pStyle w:val="Text1"/>
              <w:spacing w:before="120" w:line="240" w:lineRule="auto"/>
              <w:ind w:left="0"/>
              <w:jc w:val="left"/>
              <w:rPr>
                <w:szCs w:val="24"/>
                <w:lang w:val="lv-LV"/>
              </w:rPr>
            </w:pPr>
            <w:r w:rsidRPr="00317751">
              <w:rPr>
                <w:b/>
                <w:szCs w:val="24"/>
                <w:lang w:val="lv-LV"/>
              </w:rPr>
              <w:t xml:space="preserve">07 Nav </w:t>
            </w:r>
            <w:r w:rsidRPr="00B60A76">
              <w:rPr>
                <w:rStyle w:val="Heading311"/>
                <w:rFonts w:ascii="Times New Roman" w:hAnsi="Times New Roman" w:cs="Times New Roman"/>
                <w:b/>
                <w:sz w:val="24"/>
                <w:szCs w:val="24"/>
                <w:lang w:val="lv-LV"/>
              </w:rPr>
              <w:t>piemērojams</w:t>
            </w:r>
          </w:p>
        </w:tc>
        <w:tc>
          <w:tcPr>
            <w:tcW w:w="2977" w:type="dxa"/>
            <w:tcBorders>
              <w:top w:val="single" w:sz="4" w:space="0" w:color="auto"/>
              <w:left w:val="single" w:sz="4" w:space="0" w:color="auto"/>
              <w:bottom w:val="single" w:sz="4" w:space="0" w:color="auto"/>
              <w:right w:val="single" w:sz="4" w:space="0" w:color="auto"/>
            </w:tcBorders>
          </w:tcPr>
          <w:p w:rsidR="00321EC6" w:rsidRPr="00B60A76" w:rsidRDefault="00321EC6" w:rsidP="00E302F6">
            <w:pPr>
              <w:pStyle w:val="Text1"/>
              <w:spacing w:before="120" w:line="240" w:lineRule="auto"/>
              <w:ind w:left="0"/>
              <w:jc w:val="right"/>
              <w:rPr>
                <w:szCs w:val="24"/>
                <w:lang w:val="lv-LV"/>
              </w:rPr>
            </w:pPr>
            <w:r w:rsidRPr="00B60A76">
              <w:rPr>
                <w:szCs w:val="24"/>
                <w:lang w:val="lv-LV"/>
              </w:rPr>
              <w:t>-</w:t>
            </w:r>
          </w:p>
        </w:tc>
      </w:tr>
    </w:tbl>
    <w:p w:rsidR="00812136" w:rsidRDefault="00812136" w:rsidP="00E302F6">
      <w:pPr>
        <w:spacing w:before="120" w:line="240" w:lineRule="auto"/>
        <w:jc w:val="left"/>
        <w:sectPr w:rsidR="00812136" w:rsidSect="00812136">
          <w:pgSz w:w="12240" w:h="15840"/>
          <w:pgMar w:top="1440" w:right="1800" w:bottom="1440" w:left="1800" w:header="720" w:footer="720" w:gutter="0"/>
          <w:cols w:space="720"/>
          <w:docGrid w:linePitch="360"/>
        </w:sectPr>
      </w:pPr>
    </w:p>
    <w:p w:rsidR="00DB6FDE" w:rsidRDefault="00DB6FDE" w:rsidP="00736F69">
      <w:pPr>
        <w:pStyle w:val="Heading1"/>
      </w:pPr>
      <w:r>
        <w:lastRenderedPageBreak/>
        <w:t>3. NODAĻA</w:t>
      </w:r>
      <w:r>
        <w:br/>
      </w:r>
      <w:r w:rsidR="00FB604D" w:rsidRPr="003F3300">
        <w:t>FINANSĒJUMA</w:t>
      </w:r>
      <w:r>
        <w:t xml:space="preserve"> PLĀNS</w:t>
      </w:r>
      <w:bookmarkEnd w:id="140"/>
    </w:p>
    <w:p w:rsidR="00DB6FDE" w:rsidRDefault="00DB6FDE" w:rsidP="00E302F6">
      <w:pPr>
        <w:spacing w:before="120" w:line="240" w:lineRule="auto"/>
        <w:rPr>
          <w:sz w:val="20"/>
          <w:szCs w:val="20"/>
          <w:lang w:val="lv-LV"/>
        </w:rPr>
      </w:pPr>
    </w:p>
    <w:p w:rsidR="00812136" w:rsidRPr="00FB604D" w:rsidRDefault="00F01BA6" w:rsidP="00E302F6">
      <w:pPr>
        <w:spacing w:before="120" w:line="240" w:lineRule="auto"/>
        <w:rPr>
          <w:rFonts w:ascii="Times New Roman" w:eastAsia="Arial Unicode MS" w:hAnsi="Times New Roman"/>
          <w:b/>
          <w:bCs/>
        </w:rPr>
      </w:pPr>
      <w:r w:rsidRPr="00F01BA6">
        <w:rPr>
          <w:rFonts w:ascii="Times New Roman" w:eastAsia="Arial Unicode MS" w:hAnsi="Times New Roman"/>
          <w:b/>
          <w:bCs/>
        </w:rPr>
        <w:t>3.1.</w:t>
      </w:r>
      <w:r w:rsidR="004E0D5B" w:rsidRPr="004E0D5B">
        <w:rPr>
          <w:rFonts w:ascii="Times New Roman" w:eastAsia="Arial Narrow" w:hAnsi="Times New Roman"/>
        </w:rPr>
        <w:t xml:space="preserve"> </w:t>
      </w:r>
      <w:r w:rsidR="004E0D5B" w:rsidRPr="004E0D5B">
        <w:rPr>
          <w:rStyle w:val="bold"/>
          <w:rFonts w:ascii="Times New Roman" w:eastAsia="Arial Narrow" w:hAnsi="Times New Roman"/>
          <w:b/>
        </w:rPr>
        <w:t xml:space="preserve">Finanšu apropriācija no </w:t>
      </w:r>
      <w:r w:rsidR="004E0D5B" w:rsidRPr="004E0D5B">
        <w:rPr>
          <w:rStyle w:val="bold"/>
          <w:rFonts w:ascii="Times New Roman" w:eastAsia="Arial Narrow" w:hAnsi="Times New Roman"/>
          <w:b/>
          <w:lang w:val="lv-LV"/>
        </w:rPr>
        <w:t>ERAF</w:t>
      </w:r>
      <w:r w:rsidR="00BA7EFF">
        <w:rPr>
          <w:rStyle w:val="bold"/>
          <w:rFonts w:ascii="Times New Roman" w:eastAsia="Arial Narrow" w:hAnsi="Times New Roman"/>
          <w:b/>
          <w:lang w:val="lv-LV"/>
        </w:rPr>
        <w:t xml:space="preserve"> (e</w:t>
      </w:r>
      <w:r w:rsidR="00D74F62">
        <w:rPr>
          <w:rStyle w:val="bold"/>
          <w:rFonts w:ascii="Times New Roman" w:eastAsia="Arial Narrow" w:hAnsi="Times New Roman"/>
          <w:b/>
          <w:lang w:val="lv-LV"/>
        </w:rPr>
        <w:t>u</w:t>
      </w:r>
      <w:r w:rsidR="00BA7EFF">
        <w:rPr>
          <w:rStyle w:val="bold"/>
          <w:rFonts w:ascii="Times New Roman" w:eastAsia="Arial Narrow" w:hAnsi="Times New Roman"/>
          <w:b/>
          <w:lang w:val="lv-LV"/>
        </w:rPr>
        <w:t>ro)</w:t>
      </w:r>
    </w:p>
    <w:p w:rsidR="00812136" w:rsidRPr="00523F77" w:rsidRDefault="004E0D5B" w:rsidP="00E302F6">
      <w:pPr>
        <w:spacing w:before="120" w:line="240" w:lineRule="auto"/>
        <w:rPr>
          <w:rFonts w:ascii="Times New Roman" w:eastAsia="Arial Unicode MS" w:hAnsi="Times New Roman"/>
          <w:b/>
        </w:rPr>
      </w:pPr>
      <w:r w:rsidRPr="004E0D5B">
        <w:rPr>
          <w:rFonts w:ascii="Times New Roman" w:eastAsia="Arial Unicode MS" w:hAnsi="Times New Roman"/>
          <w:b/>
        </w:rPr>
        <w:t>12.</w:t>
      </w:r>
      <w:r w:rsidR="00C07052">
        <w:rPr>
          <w:rFonts w:ascii="Times New Roman" w:eastAsia="Arial Unicode MS" w:hAnsi="Times New Roman"/>
          <w:b/>
        </w:rPr>
        <w:t xml:space="preserve"> </w:t>
      </w:r>
      <w:r w:rsidRPr="004E0D5B">
        <w:rPr>
          <w:rFonts w:ascii="Times New Roman" w:eastAsia="Arial Unicode MS" w:hAnsi="Times New Roman"/>
          <w:b/>
        </w:rPr>
        <w:t xml:space="preserve">tabula </w:t>
      </w:r>
      <w:r w:rsidRPr="004E0D5B">
        <w:rPr>
          <w:rStyle w:val="Heading311"/>
          <w:rFonts w:ascii="Times New Roman" w:hAnsi="Times New Roman" w:cs="Times New Roman"/>
          <w:b/>
          <w:sz w:val="24"/>
          <w:szCs w:val="24"/>
          <w:lang w:val="lv-LV"/>
        </w:rPr>
        <w:t>Finanšu plāns</w:t>
      </w:r>
    </w:p>
    <w:p w:rsidR="00812136" w:rsidRDefault="00812136" w:rsidP="00E302F6">
      <w:pPr>
        <w:spacing w:before="120" w:line="240" w:lineRule="auto"/>
        <w:rPr>
          <w:rFonts w:eastAsia="Arial Unicode MS"/>
          <w:b/>
          <w:sz w:val="16"/>
          <w:szCs w:val="16"/>
        </w:rPr>
      </w:pPr>
    </w:p>
    <w:tbl>
      <w:tblPr>
        <w:tblW w:w="1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5"/>
        <w:gridCol w:w="1073"/>
        <w:gridCol w:w="1080"/>
        <w:gridCol w:w="1170"/>
        <w:gridCol w:w="1170"/>
        <w:gridCol w:w="1350"/>
        <w:gridCol w:w="1170"/>
        <w:gridCol w:w="1170"/>
        <w:gridCol w:w="1440"/>
      </w:tblGrid>
      <w:tr w:rsidR="00812136" w:rsidRPr="00FB604D" w:rsidTr="00812136">
        <w:trPr>
          <w:trHeight w:val="525"/>
        </w:trPr>
        <w:tc>
          <w:tcPr>
            <w:tcW w:w="2005" w:type="dxa"/>
            <w:shd w:val="clear" w:color="auto" w:fill="D9D9D9"/>
            <w:vAlign w:val="center"/>
          </w:tcPr>
          <w:p w:rsidR="00812136" w:rsidRPr="00FB604D" w:rsidRDefault="004E0D5B" w:rsidP="00E302F6">
            <w:pPr>
              <w:spacing w:before="120" w:line="240" w:lineRule="auto"/>
              <w:jc w:val="center"/>
              <w:rPr>
                <w:rFonts w:ascii="Times New Roman" w:hAnsi="Times New Roman"/>
                <w:sz w:val="18"/>
                <w:szCs w:val="18"/>
              </w:rPr>
            </w:pPr>
            <w:bookmarkStart w:id="163" w:name="_Toc384391603"/>
            <w:bookmarkStart w:id="164" w:name="_Toc388006697"/>
            <w:bookmarkStart w:id="165" w:name="_Toc389750369"/>
            <w:bookmarkStart w:id="166" w:name="_Toc389750858"/>
            <w:bookmarkStart w:id="167" w:name="_Toc389751345"/>
            <w:bookmarkStart w:id="168" w:name="_Toc389751838"/>
            <w:bookmarkStart w:id="169" w:name="_Toc389811880"/>
            <w:r w:rsidRPr="004E0D5B">
              <w:rPr>
                <w:rStyle w:val="Heading311"/>
                <w:rFonts w:ascii="Times New Roman" w:hAnsi="Times New Roman"/>
                <w:sz w:val="18"/>
                <w:szCs w:val="18"/>
                <w:lang w:val="lv-LV"/>
              </w:rPr>
              <w:t>Fonds</w:t>
            </w:r>
            <w:bookmarkEnd w:id="163"/>
            <w:bookmarkEnd w:id="164"/>
            <w:bookmarkEnd w:id="165"/>
            <w:bookmarkEnd w:id="166"/>
            <w:bookmarkEnd w:id="167"/>
            <w:bookmarkEnd w:id="168"/>
            <w:bookmarkEnd w:id="169"/>
          </w:p>
        </w:tc>
        <w:tc>
          <w:tcPr>
            <w:tcW w:w="1073"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2014</w:t>
            </w:r>
          </w:p>
        </w:tc>
        <w:tc>
          <w:tcPr>
            <w:tcW w:w="1080"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2015</w:t>
            </w:r>
          </w:p>
        </w:tc>
        <w:tc>
          <w:tcPr>
            <w:tcW w:w="1170"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2016</w:t>
            </w:r>
          </w:p>
        </w:tc>
        <w:tc>
          <w:tcPr>
            <w:tcW w:w="1170"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2017</w:t>
            </w:r>
          </w:p>
        </w:tc>
        <w:tc>
          <w:tcPr>
            <w:tcW w:w="1350"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2018</w:t>
            </w:r>
          </w:p>
        </w:tc>
        <w:tc>
          <w:tcPr>
            <w:tcW w:w="1170"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2019</w:t>
            </w:r>
          </w:p>
        </w:tc>
        <w:tc>
          <w:tcPr>
            <w:tcW w:w="1170"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2020</w:t>
            </w:r>
          </w:p>
        </w:tc>
        <w:tc>
          <w:tcPr>
            <w:tcW w:w="1440" w:type="dxa"/>
            <w:shd w:val="clear" w:color="auto" w:fill="D9D9D9"/>
            <w:vAlign w:val="center"/>
          </w:tcPr>
          <w:p w:rsidR="00812136" w:rsidRPr="00FB604D" w:rsidRDefault="004E0D5B" w:rsidP="00E302F6">
            <w:pPr>
              <w:spacing w:before="120" w:line="240" w:lineRule="auto"/>
              <w:jc w:val="center"/>
              <w:rPr>
                <w:rFonts w:ascii="Times New Roman" w:hAnsi="Times New Roman"/>
                <w:b/>
                <w:sz w:val="18"/>
                <w:szCs w:val="18"/>
              </w:rPr>
            </w:pPr>
            <w:r w:rsidRPr="004E0D5B">
              <w:rPr>
                <w:rFonts w:ascii="Times New Roman" w:hAnsi="Times New Roman"/>
                <w:b/>
                <w:sz w:val="18"/>
                <w:szCs w:val="18"/>
              </w:rPr>
              <w:t>Total</w:t>
            </w:r>
          </w:p>
        </w:tc>
      </w:tr>
      <w:tr w:rsidR="00812136" w:rsidRPr="00FB604D" w:rsidDel="00F57C97" w:rsidTr="00812136">
        <w:trPr>
          <w:trHeight w:val="525"/>
        </w:trPr>
        <w:tc>
          <w:tcPr>
            <w:tcW w:w="2005" w:type="dxa"/>
            <w:shd w:val="clear" w:color="auto" w:fill="auto"/>
            <w:vAlign w:val="center"/>
          </w:tcPr>
          <w:p w:rsidR="00812136" w:rsidRPr="00FB604D" w:rsidRDefault="004E0D5B" w:rsidP="00E302F6">
            <w:pPr>
              <w:spacing w:before="120" w:line="240" w:lineRule="auto"/>
              <w:jc w:val="left"/>
              <w:rPr>
                <w:rFonts w:ascii="Times New Roman" w:hAnsi="Times New Roman"/>
                <w:sz w:val="18"/>
                <w:szCs w:val="18"/>
              </w:rPr>
            </w:pPr>
            <w:r w:rsidRPr="004E0D5B">
              <w:rPr>
                <w:rFonts w:ascii="Times New Roman" w:hAnsi="Times New Roman"/>
                <w:sz w:val="18"/>
                <w:szCs w:val="18"/>
              </w:rPr>
              <w:t>ERAF</w:t>
            </w:r>
          </w:p>
        </w:tc>
        <w:tc>
          <w:tcPr>
            <w:tcW w:w="1073"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2 198 648</w:t>
            </w:r>
          </w:p>
        </w:tc>
        <w:tc>
          <w:tcPr>
            <w:tcW w:w="108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5 496 620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8 244 930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10 993 240</w:t>
            </w:r>
          </w:p>
        </w:tc>
        <w:tc>
          <w:tcPr>
            <w:tcW w:w="135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10 993 240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10 99 3240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6 046 282</w:t>
            </w:r>
          </w:p>
        </w:tc>
        <w:tc>
          <w:tcPr>
            <w:tcW w:w="1440" w:type="dxa"/>
            <w:shd w:val="clear" w:color="auto" w:fill="auto"/>
            <w:vAlign w:val="center"/>
          </w:tcPr>
          <w:p w:rsidR="00812136" w:rsidRPr="00FB604D" w:rsidRDefault="004E0D5B" w:rsidP="00E302F6">
            <w:pPr>
              <w:spacing w:before="120" w:line="240" w:lineRule="auto"/>
              <w:jc w:val="right"/>
              <w:rPr>
                <w:rFonts w:ascii="Times New Roman" w:hAnsi="Times New Roman"/>
                <w:b/>
                <w:sz w:val="18"/>
                <w:szCs w:val="18"/>
              </w:rPr>
            </w:pPr>
            <w:r w:rsidRPr="004E0D5B">
              <w:rPr>
                <w:rFonts w:ascii="Times New Roman" w:hAnsi="Times New Roman"/>
                <w:b/>
                <w:sz w:val="18"/>
                <w:szCs w:val="18"/>
              </w:rPr>
              <w:t>54 966 201</w:t>
            </w:r>
          </w:p>
        </w:tc>
      </w:tr>
      <w:tr w:rsidR="00812136" w:rsidRPr="00FB604D" w:rsidDel="00F57C97" w:rsidTr="00812136">
        <w:trPr>
          <w:trHeight w:val="525"/>
        </w:trPr>
        <w:tc>
          <w:tcPr>
            <w:tcW w:w="2005" w:type="dxa"/>
            <w:shd w:val="clear" w:color="auto" w:fill="auto"/>
            <w:vAlign w:val="center"/>
          </w:tcPr>
          <w:p w:rsidR="00812136" w:rsidRPr="00FB604D" w:rsidRDefault="004E0D5B" w:rsidP="00E302F6">
            <w:pPr>
              <w:spacing w:before="120" w:line="240" w:lineRule="auto"/>
              <w:jc w:val="left"/>
              <w:rPr>
                <w:rFonts w:ascii="Times New Roman" w:hAnsi="Times New Roman"/>
                <w:sz w:val="18"/>
                <w:szCs w:val="18"/>
              </w:rPr>
            </w:pPr>
            <w:r w:rsidRPr="004E0D5B">
              <w:rPr>
                <w:rFonts w:ascii="Times New Roman" w:hAnsi="Times New Roman"/>
                <w:sz w:val="18"/>
                <w:szCs w:val="18"/>
              </w:rPr>
              <w:t xml:space="preserve">IP (kur </w:t>
            </w:r>
            <w:r w:rsidRPr="004E0D5B">
              <w:rPr>
                <w:rStyle w:val="Heading311"/>
                <w:rFonts w:ascii="Times New Roman" w:hAnsi="Times New Roman"/>
                <w:sz w:val="18"/>
                <w:szCs w:val="18"/>
                <w:lang w:val="lv-LV"/>
              </w:rPr>
              <w:t>piemērojams</w:t>
            </w:r>
            <w:r w:rsidRPr="004E0D5B">
              <w:rPr>
                <w:rFonts w:ascii="Times New Roman" w:hAnsi="Times New Roman"/>
                <w:sz w:val="18"/>
                <w:szCs w:val="18"/>
              </w:rPr>
              <w:t>)</w:t>
            </w:r>
          </w:p>
        </w:tc>
        <w:tc>
          <w:tcPr>
            <w:tcW w:w="1073"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08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35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440" w:type="dxa"/>
            <w:shd w:val="clear" w:color="auto" w:fill="auto"/>
            <w:vAlign w:val="center"/>
          </w:tcPr>
          <w:p w:rsidR="00812136" w:rsidRPr="00B60A76" w:rsidDel="00F57C97" w:rsidRDefault="004E0D5B" w:rsidP="00E302F6">
            <w:pPr>
              <w:spacing w:before="120" w:line="240" w:lineRule="auto"/>
              <w:jc w:val="right"/>
              <w:rPr>
                <w:rFonts w:ascii="Times New Roman" w:hAnsi="Times New Roman"/>
                <w:b/>
                <w:i/>
                <w:sz w:val="18"/>
                <w:szCs w:val="18"/>
              </w:rPr>
            </w:pPr>
            <w:r w:rsidRPr="00B60A76">
              <w:rPr>
                <w:rFonts w:ascii="Times New Roman" w:hAnsi="Times New Roman"/>
                <w:b/>
                <w:sz w:val="18"/>
                <w:szCs w:val="18"/>
              </w:rPr>
              <w:t xml:space="preserve">Nav </w:t>
            </w:r>
            <w:r w:rsidRPr="00B60A76">
              <w:rPr>
                <w:rStyle w:val="Heading311"/>
                <w:rFonts w:ascii="Times New Roman" w:hAnsi="Times New Roman" w:cs="Times New Roman"/>
                <w:b/>
                <w:sz w:val="18"/>
                <w:szCs w:val="18"/>
                <w:lang w:val="lv-LV"/>
              </w:rPr>
              <w:t>piemērojams</w:t>
            </w:r>
          </w:p>
        </w:tc>
      </w:tr>
      <w:tr w:rsidR="00812136" w:rsidRPr="00FB604D" w:rsidDel="00F57C97" w:rsidTr="00812136">
        <w:trPr>
          <w:trHeight w:val="525"/>
        </w:trPr>
        <w:tc>
          <w:tcPr>
            <w:tcW w:w="2005" w:type="dxa"/>
            <w:shd w:val="clear" w:color="auto" w:fill="auto"/>
            <w:vAlign w:val="center"/>
          </w:tcPr>
          <w:p w:rsidR="00812136" w:rsidRPr="00FB604D" w:rsidRDefault="004E0D5B" w:rsidP="00E302F6">
            <w:pPr>
              <w:spacing w:before="120" w:line="240" w:lineRule="auto"/>
              <w:jc w:val="left"/>
              <w:rPr>
                <w:rFonts w:ascii="Times New Roman" w:hAnsi="Times New Roman"/>
                <w:sz w:val="18"/>
                <w:szCs w:val="18"/>
              </w:rPr>
            </w:pPr>
            <w:r w:rsidRPr="004E0D5B">
              <w:rPr>
                <w:rFonts w:ascii="Times New Roman" w:hAnsi="Times New Roman"/>
                <w:sz w:val="18"/>
                <w:szCs w:val="18"/>
              </w:rPr>
              <w:t>E</w:t>
            </w:r>
            <w:r w:rsidR="00BA7EFF">
              <w:rPr>
                <w:rFonts w:ascii="Times New Roman" w:hAnsi="Times New Roman"/>
                <w:sz w:val="18"/>
                <w:szCs w:val="18"/>
              </w:rPr>
              <w:t>K</w:t>
            </w:r>
            <w:r w:rsidRPr="004E0D5B">
              <w:rPr>
                <w:rFonts w:ascii="Times New Roman" w:hAnsi="Times New Roman"/>
                <w:sz w:val="18"/>
                <w:szCs w:val="18"/>
              </w:rPr>
              <w:t xml:space="preserve">I (kur </w:t>
            </w:r>
            <w:r w:rsidRPr="004E0D5B">
              <w:rPr>
                <w:rStyle w:val="Heading311"/>
                <w:rFonts w:ascii="Times New Roman" w:hAnsi="Times New Roman"/>
                <w:sz w:val="18"/>
                <w:szCs w:val="18"/>
                <w:lang w:val="lv-LV"/>
              </w:rPr>
              <w:t>piemērojams</w:t>
            </w:r>
            <w:r w:rsidRPr="004E0D5B">
              <w:rPr>
                <w:rFonts w:ascii="Times New Roman" w:hAnsi="Times New Roman"/>
                <w:sz w:val="18"/>
                <w:szCs w:val="18"/>
              </w:rPr>
              <w:t>)</w:t>
            </w:r>
          </w:p>
        </w:tc>
        <w:tc>
          <w:tcPr>
            <w:tcW w:w="1073"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08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35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170" w:type="dxa"/>
            <w:shd w:val="clear" w:color="auto" w:fill="auto"/>
            <w:vAlign w:val="center"/>
          </w:tcPr>
          <w:p w:rsidR="00812136" w:rsidRPr="00FB604D" w:rsidRDefault="00812136" w:rsidP="00E302F6">
            <w:pPr>
              <w:spacing w:before="120" w:line="240" w:lineRule="auto"/>
              <w:jc w:val="right"/>
              <w:rPr>
                <w:rFonts w:ascii="Times New Roman" w:hAnsi="Times New Roman"/>
                <w:sz w:val="18"/>
                <w:szCs w:val="18"/>
              </w:rPr>
            </w:pPr>
          </w:p>
        </w:tc>
        <w:tc>
          <w:tcPr>
            <w:tcW w:w="1440" w:type="dxa"/>
            <w:shd w:val="clear" w:color="auto" w:fill="auto"/>
            <w:vAlign w:val="center"/>
          </w:tcPr>
          <w:p w:rsidR="00812136" w:rsidRPr="00B60A76" w:rsidDel="00F57C97" w:rsidRDefault="00FB604D" w:rsidP="00E302F6">
            <w:pPr>
              <w:spacing w:before="120" w:line="240" w:lineRule="auto"/>
              <w:jc w:val="right"/>
              <w:rPr>
                <w:rFonts w:ascii="Times New Roman" w:hAnsi="Times New Roman"/>
                <w:b/>
                <w:i/>
                <w:sz w:val="18"/>
                <w:szCs w:val="18"/>
              </w:rPr>
            </w:pPr>
            <w:r w:rsidRPr="00B60A76">
              <w:rPr>
                <w:rFonts w:ascii="Times New Roman" w:hAnsi="Times New Roman"/>
                <w:b/>
                <w:sz w:val="18"/>
                <w:szCs w:val="18"/>
              </w:rPr>
              <w:t xml:space="preserve">Nav </w:t>
            </w:r>
            <w:r w:rsidRPr="00B60A76">
              <w:rPr>
                <w:rStyle w:val="Heading311"/>
                <w:rFonts w:ascii="Times New Roman" w:hAnsi="Times New Roman" w:cs="Times New Roman"/>
                <w:b/>
                <w:sz w:val="18"/>
                <w:szCs w:val="18"/>
                <w:lang w:val="lv-LV"/>
              </w:rPr>
              <w:t>piemērojams</w:t>
            </w:r>
          </w:p>
        </w:tc>
      </w:tr>
      <w:tr w:rsidR="00812136" w:rsidRPr="00FB604D" w:rsidTr="00812136">
        <w:trPr>
          <w:trHeight w:val="525"/>
        </w:trPr>
        <w:tc>
          <w:tcPr>
            <w:tcW w:w="2005" w:type="dxa"/>
            <w:shd w:val="clear" w:color="auto" w:fill="auto"/>
            <w:vAlign w:val="center"/>
          </w:tcPr>
          <w:p w:rsidR="00812136" w:rsidRPr="00FB604D" w:rsidDel="00A35EAD" w:rsidRDefault="004E0D5B" w:rsidP="00E302F6">
            <w:pPr>
              <w:spacing w:before="120" w:line="240" w:lineRule="auto"/>
              <w:jc w:val="left"/>
              <w:rPr>
                <w:rFonts w:ascii="Times New Roman" w:hAnsi="Times New Roman"/>
                <w:sz w:val="18"/>
                <w:szCs w:val="18"/>
              </w:rPr>
            </w:pPr>
            <w:r w:rsidRPr="004E0D5B">
              <w:rPr>
                <w:rFonts w:ascii="Times New Roman" w:hAnsi="Times New Roman"/>
                <w:sz w:val="18"/>
                <w:szCs w:val="18"/>
              </w:rPr>
              <w:t>Kopā</w:t>
            </w:r>
          </w:p>
        </w:tc>
        <w:tc>
          <w:tcPr>
            <w:tcW w:w="1073"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2 198 648</w:t>
            </w:r>
          </w:p>
        </w:tc>
        <w:tc>
          <w:tcPr>
            <w:tcW w:w="108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5 496 620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8 244 930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10 993 240</w:t>
            </w:r>
          </w:p>
        </w:tc>
        <w:tc>
          <w:tcPr>
            <w:tcW w:w="135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10 993 240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10 993 240</w:t>
            </w:r>
          </w:p>
        </w:tc>
        <w:tc>
          <w:tcPr>
            <w:tcW w:w="1170" w:type="dxa"/>
            <w:shd w:val="clear" w:color="auto" w:fill="auto"/>
            <w:vAlign w:val="center"/>
          </w:tcPr>
          <w:p w:rsidR="00812136" w:rsidRPr="00FB604D" w:rsidRDefault="004E0D5B" w:rsidP="00E302F6">
            <w:pPr>
              <w:spacing w:before="120" w:line="240" w:lineRule="auto"/>
              <w:jc w:val="right"/>
              <w:rPr>
                <w:rFonts w:ascii="Times New Roman" w:hAnsi="Times New Roman"/>
                <w:sz w:val="18"/>
                <w:szCs w:val="18"/>
              </w:rPr>
            </w:pPr>
            <w:r w:rsidRPr="004E0D5B">
              <w:rPr>
                <w:rFonts w:ascii="Times New Roman" w:hAnsi="Times New Roman"/>
                <w:sz w:val="18"/>
                <w:szCs w:val="18"/>
              </w:rPr>
              <w:t>6 046 282</w:t>
            </w:r>
          </w:p>
        </w:tc>
        <w:tc>
          <w:tcPr>
            <w:tcW w:w="1440" w:type="dxa"/>
            <w:shd w:val="clear" w:color="auto" w:fill="auto"/>
            <w:vAlign w:val="center"/>
          </w:tcPr>
          <w:p w:rsidR="00812136" w:rsidRPr="00FB604D" w:rsidRDefault="004E0D5B" w:rsidP="00E302F6">
            <w:pPr>
              <w:spacing w:before="120" w:line="240" w:lineRule="auto"/>
              <w:jc w:val="right"/>
              <w:rPr>
                <w:rFonts w:ascii="Times New Roman" w:hAnsi="Times New Roman"/>
                <w:b/>
                <w:sz w:val="18"/>
                <w:szCs w:val="18"/>
              </w:rPr>
            </w:pPr>
            <w:r w:rsidRPr="004E0D5B">
              <w:rPr>
                <w:rFonts w:ascii="Times New Roman" w:hAnsi="Times New Roman"/>
                <w:b/>
                <w:sz w:val="18"/>
                <w:szCs w:val="18"/>
              </w:rPr>
              <w:t>54 966 201</w:t>
            </w:r>
          </w:p>
        </w:tc>
      </w:tr>
    </w:tbl>
    <w:p w:rsidR="00512295" w:rsidRDefault="00512295" w:rsidP="00317751">
      <w:pPr>
        <w:spacing w:before="120" w:line="240" w:lineRule="auto"/>
        <w:jc w:val="left"/>
        <w:rPr>
          <w:rFonts w:ascii="Times New Roman" w:eastAsia="Arial Unicode MS" w:hAnsi="Times New Roman"/>
          <w:b/>
          <w:bCs/>
        </w:rPr>
      </w:pPr>
    </w:p>
    <w:p w:rsidR="00317751" w:rsidRPr="00523F77" w:rsidRDefault="00317751" w:rsidP="00317751">
      <w:pPr>
        <w:spacing w:before="120" w:line="240" w:lineRule="auto"/>
        <w:jc w:val="left"/>
        <w:rPr>
          <w:rFonts w:eastAsia="Arial Unicode MS"/>
          <w:b/>
          <w:bCs/>
        </w:rPr>
      </w:pPr>
      <w:r w:rsidRPr="00523F77">
        <w:rPr>
          <w:rFonts w:ascii="Times New Roman" w:eastAsia="Arial Unicode MS" w:hAnsi="Times New Roman"/>
          <w:b/>
          <w:bCs/>
        </w:rPr>
        <w:t xml:space="preserve">3.2. </w:t>
      </w:r>
      <w:proofErr w:type="spellStart"/>
      <w:r w:rsidRPr="00523F77">
        <w:rPr>
          <w:rStyle w:val="bold"/>
          <w:rFonts w:ascii="Times New Roman" w:hAnsi="Times New Roman"/>
          <w:b/>
        </w:rPr>
        <w:t>Kopējā</w:t>
      </w:r>
      <w:proofErr w:type="spellEnd"/>
      <w:r w:rsidRPr="00523F77">
        <w:rPr>
          <w:rStyle w:val="bold"/>
          <w:rFonts w:ascii="Times New Roman" w:hAnsi="Times New Roman"/>
          <w:b/>
        </w:rPr>
        <w:t xml:space="preserve"> </w:t>
      </w:r>
      <w:r>
        <w:rPr>
          <w:rStyle w:val="bold"/>
          <w:rFonts w:ascii="Times New Roman" w:hAnsi="Times New Roman"/>
          <w:b/>
        </w:rPr>
        <w:t xml:space="preserve">ERAF </w:t>
      </w:r>
      <w:proofErr w:type="gramStart"/>
      <w:r w:rsidRPr="00523F77">
        <w:rPr>
          <w:rStyle w:val="bold"/>
          <w:rFonts w:ascii="Times New Roman" w:hAnsi="Times New Roman"/>
          <w:b/>
        </w:rPr>
        <w:t>un</w:t>
      </w:r>
      <w:proofErr w:type="gramEnd"/>
      <w:r w:rsidRPr="00523F77">
        <w:rPr>
          <w:rStyle w:val="bold"/>
          <w:rFonts w:ascii="Times New Roman" w:hAnsi="Times New Roman"/>
          <w:b/>
        </w:rPr>
        <w:t xml:space="preserve"> </w:t>
      </w:r>
      <w:proofErr w:type="spellStart"/>
      <w:r w:rsidRPr="00523F77">
        <w:rPr>
          <w:rStyle w:val="bold"/>
          <w:rFonts w:ascii="Times New Roman" w:hAnsi="Times New Roman"/>
          <w:b/>
        </w:rPr>
        <w:t>valsts</w:t>
      </w:r>
      <w:proofErr w:type="spellEnd"/>
      <w:r w:rsidRPr="00523F77">
        <w:rPr>
          <w:rStyle w:val="bold"/>
          <w:rFonts w:ascii="Times New Roman" w:hAnsi="Times New Roman"/>
          <w:b/>
        </w:rPr>
        <w:t xml:space="preserve"> </w:t>
      </w:r>
      <w:proofErr w:type="spellStart"/>
      <w:r w:rsidRPr="00523F77">
        <w:rPr>
          <w:rStyle w:val="bold"/>
          <w:rFonts w:ascii="Times New Roman" w:hAnsi="Times New Roman"/>
          <w:b/>
        </w:rPr>
        <w:t>līdzfinansējum</w:t>
      </w:r>
      <w:r>
        <w:rPr>
          <w:rStyle w:val="bold"/>
          <w:rFonts w:ascii="Times New Roman" w:hAnsi="Times New Roman"/>
          <w:b/>
        </w:rPr>
        <w:t>a</w:t>
      </w:r>
      <w:proofErr w:type="spellEnd"/>
      <w:r>
        <w:rPr>
          <w:rStyle w:val="bold"/>
          <w:rFonts w:ascii="Times New Roman" w:hAnsi="Times New Roman"/>
          <w:b/>
        </w:rPr>
        <w:t xml:space="preserve"> </w:t>
      </w:r>
      <w:proofErr w:type="spellStart"/>
      <w:r w:rsidRPr="00523F77">
        <w:rPr>
          <w:rStyle w:val="bold"/>
          <w:rFonts w:ascii="Times New Roman" w:hAnsi="Times New Roman"/>
          <w:b/>
        </w:rPr>
        <w:t>finanšu</w:t>
      </w:r>
      <w:proofErr w:type="spellEnd"/>
      <w:r w:rsidRPr="00523F77">
        <w:rPr>
          <w:rStyle w:val="bold"/>
          <w:rFonts w:ascii="Times New Roman" w:hAnsi="Times New Roman"/>
          <w:b/>
        </w:rPr>
        <w:t xml:space="preserve"> </w:t>
      </w:r>
      <w:proofErr w:type="spellStart"/>
      <w:r w:rsidRPr="00523F77">
        <w:rPr>
          <w:rStyle w:val="bold"/>
          <w:rFonts w:ascii="Times New Roman" w:hAnsi="Times New Roman"/>
          <w:b/>
        </w:rPr>
        <w:t>apropriācija</w:t>
      </w:r>
      <w:proofErr w:type="spellEnd"/>
      <w:r w:rsidRPr="00523F77">
        <w:rPr>
          <w:rStyle w:val="bold"/>
          <w:rFonts w:ascii="Times New Roman" w:hAnsi="Times New Roman"/>
        </w:rPr>
        <w:t xml:space="preserve"> </w:t>
      </w:r>
      <w:r w:rsidRPr="00523F77">
        <w:rPr>
          <w:rFonts w:ascii="Times New Roman" w:eastAsia="Arial Unicode MS" w:hAnsi="Times New Roman"/>
          <w:b/>
          <w:bCs/>
        </w:rPr>
        <w:t xml:space="preserve">(euro)  </w:t>
      </w:r>
    </w:p>
    <w:p w:rsidR="00317751" w:rsidRPr="00523F77" w:rsidRDefault="00317751" w:rsidP="00317751">
      <w:pPr>
        <w:spacing w:before="120" w:line="240" w:lineRule="auto"/>
        <w:rPr>
          <w:rFonts w:ascii="Times New Roman" w:hAnsi="Times New Roman"/>
          <w:b/>
        </w:rPr>
      </w:pPr>
      <w:r w:rsidRPr="00523F77">
        <w:rPr>
          <w:rFonts w:ascii="Times New Roman" w:hAnsi="Times New Roman"/>
          <w:b/>
        </w:rPr>
        <w:t xml:space="preserve">13. </w:t>
      </w:r>
      <w:proofErr w:type="gramStart"/>
      <w:r w:rsidRPr="00523F77">
        <w:rPr>
          <w:rFonts w:ascii="Times New Roman" w:hAnsi="Times New Roman"/>
          <w:b/>
        </w:rPr>
        <w:t xml:space="preserve">tabula  </w:t>
      </w:r>
      <w:proofErr w:type="spellStart"/>
      <w:r w:rsidRPr="00523F77">
        <w:rPr>
          <w:rStyle w:val="Heading311"/>
          <w:rFonts w:ascii="Times New Roman" w:hAnsi="Times New Roman"/>
          <w:b/>
          <w:sz w:val="24"/>
          <w:szCs w:val="24"/>
        </w:rPr>
        <w:t>Finanšu</w:t>
      </w:r>
      <w:proofErr w:type="spellEnd"/>
      <w:proofErr w:type="gramEnd"/>
      <w:r w:rsidRPr="00523F77">
        <w:rPr>
          <w:rStyle w:val="Heading311"/>
          <w:rFonts w:ascii="Times New Roman" w:hAnsi="Times New Roman"/>
          <w:b/>
          <w:sz w:val="24"/>
          <w:szCs w:val="24"/>
        </w:rPr>
        <w:t xml:space="preserve"> </w:t>
      </w:r>
      <w:proofErr w:type="spellStart"/>
      <w:r w:rsidRPr="00523F77">
        <w:rPr>
          <w:rStyle w:val="Heading311"/>
          <w:rFonts w:ascii="Times New Roman" w:hAnsi="Times New Roman"/>
          <w:b/>
          <w:sz w:val="24"/>
          <w:szCs w:val="24"/>
        </w:rPr>
        <w:t>plāns</w:t>
      </w:r>
      <w:proofErr w:type="spellEnd"/>
    </w:p>
    <w:p w:rsidR="00812136" w:rsidRDefault="00812136" w:rsidP="00E302F6">
      <w:pPr>
        <w:spacing w:before="120" w:line="240" w:lineRule="auto"/>
        <w:rPr>
          <w:rFonts w:eastAsia="Arial Unicode MS"/>
          <w:b/>
          <w:sz w:val="16"/>
          <w:szCs w:val="16"/>
        </w:rPr>
      </w:pPr>
    </w:p>
    <w:p w:rsidR="00523F77" w:rsidRPr="00FB604D" w:rsidRDefault="00812136" w:rsidP="00E302F6">
      <w:pPr>
        <w:spacing w:before="120" w:line="240" w:lineRule="auto"/>
        <w:jc w:val="left"/>
        <w:rPr>
          <w:rFonts w:ascii="Times New Roman" w:eastAsia="Arial Unicode MS" w:hAnsi="Times New Roman"/>
          <w:b/>
          <w:bCs/>
        </w:rPr>
      </w:pPr>
      <w:r>
        <w:rPr>
          <w:rFonts w:eastAsia="Arial Unicode MS"/>
          <w:b/>
        </w:rPr>
        <w:br w:type="page"/>
      </w:r>
    </w:p>
    <w:tbl>
      <w:tblPr>
        <w:tblpPr w:leftFromText="180" w:rightFromText="180" w:vertAnchor="page" w:horzAnchor="page" w:tblpX="913" w:tblpY="1531"/>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08"/>
        <w:gridCol w:w="1395"/>
        <w:gridCol w:w="1134"/>
        <w:gridCol w:w="1317"/>
        <w:gridCol w:w="1235"/>
        <w:gridCol w:w="1483"/>
        <w:gridCol w:w="1317"/>
        <w:gridCol w:w="1215"/>
        <w:gridCol w:w="1418"/>
        <w:gridCol w:w="1187"/>
      </w:tblGrid>
      <w:tr w:rsidR="00523F77" w:rsidRPr="00523F77" w:rsidTr="00317751">
        <w:tc>
          <w:tcPr>
            <w:tcW w:w="1394" w:type="dxa"/>
            <w:vMerge w:val="restart"/>
            <w:shd w:val="clear" w:color="auto" w:fill="F2F2F2"/>
            <w:vAlign w:val="center"/>
          </w:tcPr>
          <w:p w:rsidR="00523F77" w:rsidRPr="00523F77" w:rsidRDefault="00523F77" w:rsidP="00317751">
            <w:pPr>
              <w:spacing w:before="120" w:line="240" w:lineRule="auto"/>
              <w:rPr>
                <w:rFonts w:ascii="Times New Roman" w:hAnsi="Times New Roman"/>
                <w:sz w:val="18"/>
                <w:szCs w:val="18"/>
              </w:rPr>
            </w:pPr>
          </w:p>
        </w:tc>
        <w:tc>
          <w:tcPr>
            <w:tcW w:w="1408" w:type="dxa"/>
            <w:vMerge w:val="restart"/>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bookmarkStart w:id="170" w:name="_Toc384391637"/>
            <w:bookmarkStart w:id="171" w:name="_Toc388006731"/>
            <w:bookmarkStart w:id="172" w:name="_Toc389750402"/>
            <w:bookmarkStart w:id="173" w:name="_Toc389750891"/>
            <w:bookmarkStart w:id="174" w:name="_Toc389751378"/>
            <w:bookmarkStart w:id="175" w:name="_Toc389751871"/>
            <w:bookmarkStart w:id="176" w:name="_Toc389811913"/>
            <w:r w:rsidRPr="00523F77">
              <w:rPr>
                <w:rStyle w:val="Heading311"/>
                <w:rFonts w:ascii="Times New Roman" w:hAnsi="Times New Roman" w:cs="Times New Roman"/>
                <w:b/>
                <w:sz w:val="18"/>
                <w:szCs w:val="18"/>
                <w:lang w:val="lv-LV"/>
              </w:rPr>
              <w:t>Fonds</w:t>
            </w:r>
            <w:bookmarkEnd w:id="170"/>
            <w:bookmarkEnd w:id="171"/>
            <w:bookmarkEnd w:id="172"/>
            <w:bookmarkEnd w:id="173"/>
            <w:bookmarkEnd w:id="174"/>
            <w:bookmarkEnd w:id="175"/>
            <w:bookmarkEnd w:id="176"/>
          </w:p>
        </w:tc>
        <w:tc>
          <w:tcPr>
            <w:tcW w:w="1395" w:type="dxa"/>
            <w:vMerge w:val="restart"/>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bookmarkStart w:id="177" w:name="_Toc384391638"/>
            <w:bookmarkStart w:id="178" w:name="_Toc388006732"/>
            <w:bookmarkStart w:id="179" w:name="_Toc389750403"/>
            <w:bookmarkStart w:id="180" w:name="_Toc389750892"/>
            <w:bookmarkStart w:id="181" w:name="_Toc389751379"/>
            <w:bookmarkStart w:id="182" w:name="_Toc389751872"/>
            <w:bookmarkStart w:id="183" w:name="_Toc389811914"/>
            <w:r w:rsidRPr="00523F77">
              <w:rPr>
                <w:rStyle w:val="Heading311"/>
                <w:rFonts w:ascii="Times New Roman" w:hAnsi="Times New Roman" w:cs="Times New Roman"/>
                <w:b/>
                <w:sz w:val="18"/>
                <w:szCs w:val="18"/>
                <w:lang w:val="lv-LV"/>
              </w:rPr>
              <w:t>ES atbalsta aprēķinu bāze</w:t>
            </w:r>
            <w:bookmarkEnd w:id="177"/>
            <w:bookmarkEnd w:id="178"/>
            <w:bookmarkEnd w:id="179"/>
            <w:bookmarkEnd w:id="180"/>
            <w:bookmarkEnd w:id="181"/>
            <w:bookmarkEnd w:id="182"/>
            <w:bookmarkEnd w:id="183"/>
          </w:p>
        </w:tc>
        <w:tc>
          <w:tcPr>
            <w:tcW w:w="1134" w:type="dxa"/>
            <w:vMerge w:val="restart"/>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ES atbalsts (a)</w:t>
            </w:r>
          </w:p>
        </w:tc>
        <w:tc>
          <w:tcPr>
            <w:tcW w:w="1317" w:type="dxa"/>
            <w:vMerge w:val="restart"/>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Nacionālais finansējums</w:t>
            </w:r>
          </w:p>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(b) = (c) + (d))</w:t>
            </w:r>
          </w:p>
        </w:tc>
        <w:tc>
          <w:tcPr>
            <w:tcW w:w="2718" w:type="dxa"/>
            <w:gridSpan w:val="2"/>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 xml:space="preserve">Nacionālā finansējuma </w:t>
            </w:r>
            <w:r w:rsidRPr="00523F77">
              <w:rPr>
                <w:rStyle w:val="Heading311"/>
                <w:rFonts w:ascii="Times New Roman" w:hAnsi="Times New Roman" w:cs="Times New Roman"/>
                <w:b/>
                <w:sz w:val="18"/>
                <w:szCs w:val="18"/>
                <w:lang w:val="lv-LV"/>
              </w:rPr>
              <w:t>indikatīvais</w:t>
            </w:r>
            <w:r w:rsidRPr="00523F77">
              <w:rPr>
                <w:rFonts w:ascii="Times New Roman" w:hAnsi="Times New Roman"/>
                <w:b/>
                <w:sz w:val="18"/>
                <w:szCs w:val="18"/>
              </w:rPr>
              <w:t xml:space="preserve"> sadalījums</w:t>
            </w:r>
          </w:p>
        </w:tc>
        <w:tc>
          <w:tcPr>
            <w:tcW w:w="1317" w:type="dxa"/>
            <w:vMerge w:val="restart"/>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Kopējais finansējums</w:t>
            </w:r>
          </w:p>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(e) = (a) + (b)</w:t>
            </w:r>
          </w:p>
        </w:tc>
        <w:tc>
          <w:tcPr>
            <w:tcW w:w="1215" w:type="dxa"/>
            <w:vMerge w:val="restart"/>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Līdzfinansējuma likme</w:t>
            </w:r>
          </w:p>
          <w:p w:rsidR="00523F77" w:rsidRPr="00523F77" w:rsidRDefault="00523F77" w:rsidP="00317751">
            <w:pPr>
              <w:spacing w:before="120" w:line="240" w:lineRule="auto"/>
              <w:jc w:val="center"/>
              <w:rPr>
                <w:rFonts w:ascii="Times New Roman" w:hAnsi="Times New Roman"/>
                <w:b/>
                <w:sz w:val="18"/>
                <w:szCs w:val="18"/>
              </w:rPr>
            </w:pPr>
            <w:r w:rsidRPr="00523F77">
              <w:rPr>
                <w:rFonts w:ascii="Times New Roman" w:hAnsi="Times New Roman"/>
                <w:b/>
                <w:sz w:val="18"/>
                <w:szCs w:val="18"/>
              </w:rPr>
              <w:t>(f)  = (a)/(e)</w:t>
            </w:r>
          </w:p>
        </w:tc>
        <w:tc>
          <w:tcPr>
            <w:tcW w:w="2605" w:type="dxa"/>
            <w:gridSpan w:val="2"/>
            <w:shd w:val="clear" w:color="auto" w:fill="F2F2F2"/>
            <w:vAlign w:val="center"/>
          </w:tcPr>
          <w:p w:rsidR="00523F77" w:rsidRPr="00523F77" w:rsidRDefault="00523F77" w:rsidP="00317751">
            <w:pPr>
              <w:spacing w:before="120" w:line="240" w:lineRule="auto"/>
              <w:jc w:val="center"/>
              <w:rPr>
                <w:rFonts w:ascii="Times New Roman" w:hAnsi="Times New Roman"/>
                <w:b/>
                <w:sz w:val="18"/>
                <w:szCs w:val="18"/>
              </w:rPr>
            </w:pPr>
            <w:bookmarkStart w:id="184" w:name="_Toc384391647"/>
            <w:bookmarkStart w:id="185" w:name="_Toc388006741"/>
            <w:bookmarkStart w:id="186" w:name="_Toc389750412"/>
            <w:bookmarkStart w:id="187" w:name="_Toc389750901"/>
            <w:bookmarkStart w:id="188" w:name="_Toc389751388"/>
            <w:bookmarkStart w:id="189" w:name="_Toc389751881"/>
            <w:bookmarkStart w:id="190" w:name="_Toc389811923"/>
            <w:r w:rsidRPr="00523F77">
              <w:rPr>
                <w:rStyle w:val="Heading311"/>
                <w:rFonts w:ascii="Times New Roman" w:hAnsi="Times New Roman" w:cs="Times New Roman"/>
                <w:b/>
                <w:sz w:val="18"/>
                <w:szCs w:val="18"/>
                <w:lang w:val="lv-LV"/>
              </w:rPr>
              <w:t>Informācijai</w:t>
            </w:r>
            <w:bookmarkEnd w:id="184"/>
            <w:bookmarkEnd w:id="185"/>
            <w:bookmarkEnd w:id="186"/>
            <w:bookmarkEnd w:id="187"/>
            <w:bookmarkEnd w:id="188"/>
            <w:bookmarkEnd w:id="189"/>
            <w:bookmarkEnd w:id="190"/>
          </w:p>
        </w:tc>
      </w:tr>
      <w:tr w:rsidR="00523F77" w:rsidRPr="00523F77" w:rsidTr="00317751">
        <w:trPr>
          <w:trHeight w:val="634"/>
        </w:trPr>
        <w:tc>
          <w:tcPr>
            <w:tcW w:w="1394" w:type="dxa"/>
            <w:vMerge/>
            <w:shd w:val="clear" w:color="auto" w:fill="DBE5F1"/>
            <w:vAlign w:val="center"/>
          </w:tcPr>
          <w:p w:rsidR="00523F77" w:rsidRPr="00523F77" w:rsidRDefault="00523F77" w:rsidP="00317751">
            <w:pPr>
              <w:spacing w:before="120" w:line="240" w:lineRule="auto"/>
              <w:rPr>
                <w:rFonts w:ascii="Times New Roman" w:hAnsi="Times New Roman"/>
                <w:sz w:val="18"/>
                <w:szCs w:val="18"/>
              </w:rPr>
            </w:pPr>
          </w:p>
        </w:tc>
        <w:tc>
          <w:tcPr>
            <w:tcW w:w="1408" w:type="dxa"/>
            <w:vMerge/>
            <w:shd w:val="clear" w:color="auto" w:fill="DBE5F1"/>
            <w:vAlign w:val="center"/>
          </w:tcPr>
          <w:p w:rsidR="00523F77" w:rsidRPr="00523F77" w:rsidRDefault="00523F77" w:rsidP="00317751">
            <w:pPr>
              <w:spacing w:before="120" w:line="240" w:lineRule="auto"/>
              <w:jc w:val="center"/>
              <w:rPr>
                <w:rFonts w:ascii="Times New Roman" w:hAnsi="Times New Roman"/>
                <w:sz w:val="18"/>
                <w:szCs w:val="18"/>
              </w:rPr>
            </w:pPr>
          </w:p>
        </w:tc>
        <w:tc>
          <w:tcPr>
            <w:tcW w:w="1395" w:type="dxa"/>
            <w:vMerge/>
            <w:shd w:val="clear" w:color="auto" w:fill="DBE5F1"/>
            <w:vAlign w:val="center"/>
          </w:tcPr>
          <w:p w:rsidR="00523F77" w:rsidRPr="00523F77" w:rsidRDefault="00523F77" w:rsidP="00317751">
            <w:pPr>
              <w:spacing w:before="120" w:line="240" w:lineRule="auto"/>
              <w:jc w:val="center"/>
              <w:rPr>
                <w:rFonts w:ascii="Times New Roman" w:hAnsi="Times New Roman"/>
                <w:sz w:val="18"/>
                <w:szCs w:val="18"/>
              </w:rPr>
            </w:pPr>
          </w:p>
        </w:tc>
        <w:tc>
          <w:tcPr>
            <w:tcW w:w="1134" w:type="dxa"/>
            <w:vMerge/>
            <w:shd w:val="clear" w:color="auto" w:fill="DBE5F1"/>
            <w:vAlign w:val="center"/>
          </w:tcPr>
          <w:p w:rsidR="00523F77" w:rsidRPr="00523F77" w:rsidRDefault="00523F77" w:rsidP="00317751">
            <w:pPr>
              <w:spacing w:before="120" w:line="240" w:lineRule="auto"/>
              <w:jc w:val="center"/>
              <w:rPr>
                <w:rFonts w:ascii="Times New Roman" w:hAnsi="Times New Roman"/>
                <w:sz w:val="18"/>
                <w:szCs w:val="18"/>
              </w:rPr>
            </w:pPr>
          </w:p>
        </w:tc>
        <w:tc>
          <w:tcPr>
            <w:tcW w:w="1317" w:type="dxa"/>
            <w:vMerge/>
            <w:shd w:val="clear" w:color="auto" w:fill="DBE5F1"/>
            <w:vAlign w:val="center"/>
          </w:tcPr>
          <w:p w:rsidR="00523F77" w:rsidRPr="00523F77" w:rsidRDefault="00523F77" w:rsidP="00317751">
            <w:pPr>
              <w:spacing w:before="120" w:line="240" w:lineRule="auto"/>
              <w:jc w:val="center"/>
              <w:rPr>
                <w:rFonts w:ascii="Times New Roman" w:hAnsi="Times New Roman"/>
                <w:sz w:val="18"/>
                <w:szCs w:val="18"/>
              </w:rPr>
            </w:pPr>
          </w:p>
        </w:tc>
        <w:tc>
          <w:tcPr>
            <w:tcW w:w="1235" w:type="dxa"/>
            <w:shd w:val="clear" w:color="auto" w:fill="F2F2F2" w:themeFill="background1" w:themeFillShade="F2"/>
          </w:tcPr>
          <w:p w:rsidR="00523F77" w:rsidRPr="00523F77" w:rsidRDefault="00523F77" w:rsidP="00317751">
            <w:pPr>
              <w:spacing w:before="120" w:line="240" w:lineRule="auto"/>
              <w:jc w:val="center"/>
              <w:rPr>
                <w:rFonts w:ascii="Times New Roman" w:hAnsi="Times New Roman"/>
                <w:b/>
                <w:sz w:val="18"/>
                <w:szCs w:val="18"/>
              </w:rPr>
            </w:pPr>
            <w:bookmarkStart w:id="191" w:name="_Toc384391648"/>
            <w:bookmarkStart w:id="192" w:name="_Toc388006742"/>
            <w:bookmarkStart w:id="193" w:name="_Toc389750413"/>
            <w:bookmarkStart w:id="194" w:name="_Toc389750902"/>
            <w:bookmarkStart w:id="195" w:name="_Toc389751389"/>
            <w:bookmarkStart w:id="196" w:name="_Toc389751882"/>
            <w:bookmarkStart w:id="197" w:name="_Toc389811924"/>
            <w:r w:rsidRPr="00523F77">
              <w:rPr>
                <w:rStyle w:val="Heading311"/>
                <w:rFonts w:ascii="Times New Roman" w:hAnsi="Times New Roman" w:cs="Times New Roman"/>
                <w:b/>
                <w:sz w:val="18"/>
                <w:szCs w:val="18"/>
                <w:lang w:val="lv-LV"/>
              </w:rPr>
              <w:t>Valsts finansējums (c)</w:t>
            </w:r>
            <w:bookmarkEnd w:id="191"/>
            <w:bookmarkEnd w:id="192"/>
            <w:bookmarkEnd w:id="193"/>
            <w:bookmarkEnd w:id="194"/>
            <w:bookmarkEnd w:id="195"/>
            <w:bookmarkEnd w:id="196"/>
            <w:bookmarkEnd w:id="197"/>
          </w:p>
        </w:tc>
        <w:tc>
          <w:tcPr>
            <w:tcW w:w="1483" w:type="dxa"/>
            <w:shd w:val="clear" w:color="auto" w:fill="F2F2F2" w:themeFill="background1" w:themeFillShade="F2"/>
          </w:tcPr>
          <w:p w:rsidR="00523F77" w:rsidRPr="00523F77" w:rsidRDefault="00523F77" w:rsidP="00317751">
            <w:pPr>
              <w:spacing w:before="120" w:line="240" w:lineRule="auto"/>
              <w:jc w:val="center"/>
              <w:rPr>
                <w:rFonts w:ascii="Times New Roman" w:hAnsi="Times New Roman"/>
                <w:b/>
                <w:sz w:val="18"/>
                <w:szCs w:val="18"/>
              </w:rPr>
            </w:pPr>
            <w:bookmarkStart w:id="198" w:name="_Toc384391649"/>
            <w:bookmarkStart w:id="199" w:name="_Toc388006743"/>
            <w:bookmarkStart w:id="200" w:name="_Toc389750414"/>
            <w:bookmarkStart w:id="201" w:name="_Toc389750903"/>
            <w:bookmarkStart w:id="202" w:name="_Toc389751390"/>
            <w:bookmarkStart w:id="203" w:name="_Toc389751883"/>
            <w:bookmarkStart w:id="204" w:name="_Toc389811925"/>
            <w:r w:rsidRPr="00523F77">
              <w:rPr>
                <w:rStyle w:val="Heading311"/>
                <w:rFonts w:ascii="Times New Roman" w:hAnsi="Times New Roman" w:cs="Times New Roman"/>
                <w:b/>
                <w:sz w:val="18"/>
                <w:szCs w:val="18"/>
                <w:lang w:val="lv-LV"/>
              </w:rPr>
              <w:t>Privātais finansējums (d)</w:t>
            </w:r>
            <w:bookmarkEnd w:id="198"/>
            <w:bookmarkEnd w:id="199"/>
            <w:bookmarkEnd w:id="200"/>
            <w:bookmarkEnd w:id="201"/>
            <w:bookmarkEnd w:id="202"/>
            <w:bookmarkEnd w:id="203"/>
            <w:bookmarkEnd w:id="204"/>
          </w:p>
        </w:tc>
        <w:tc>
          <w:tcPr>
            <w:tcW w:w="1317" w:type="dxa"/>
            <w:vMerge/>
            <w:shd w:val="clear" w:color="auto" w:fill="DBE5F1"/>
            <w:vAlign w:val="center"/>
          </w:tcPr>
          <w:p w:rsidR="00523F77" w:rsidRPr="00523F77" w:rsidRDefault="00523F77" w:rsidP="00317751">
            <w:pPr>
              <w:spacing w:before="120" w:line="240" w:lineRule="auto"/>
              <w:jc w:val="center"/>
              <w:rPr>
                <w:rFonts w:ascii="Times New Roman" w:hAnsi="Times New Roman"/>
                <w:sz w:val="18"/>
                <w:szCs w:val="18"/>
              </w:rPr>
            </w:pPr>
          </w:p>
        </w:tc>
        <w:tc>
          <w:tcPr>
            <w:tcW w:w="1215" w:type="dxa"/>
            <w:vMerge/>
            <w:shd w:val="clear" w:color="auto" w:fill="DBE5F1"/>
            <w:vAlign w:val="center"/>
          </w:tcPr>
          <w:p w:rsidR="00523F77" w:rsidRPr="00523F77" w:rsidRDefault="00523F77" w:rsidP="00317751">
            <w:pPr>
              <w:spacing w:before="120" w:line="240" w:lineRule="auto"/>
              <w:jc w:val="center"/>
              <w:rPr>
                <w:rFonts w:ascii="Times New Roman" w:hAnsi="Times New Roman"/>
                <w:sz w:val="18"/>
                <w:szCs w:val="18"/>
              </w:rPr>
            </w:pPr>
          </w:p>
        </w:tc>
        <w:tc>
          <w:tcPr>
            <w:tcW w:w="1418" w:type="dxa"/>
            <w:shd w:val="clear" w:color="auto" w:fill="F2F2F2" w:themeFill="background1" w:themeFillShade="F2"/>
            <w:vAlign w:val="center"/>
          </w:tcPr>
          <w:p w:rsidR="00523F77" w:rsidRPr="00523F77" w:rsidRDefault="00523F77" w:rsidP="00317751">
            <w:pPr>
              <w:spacing w:before="120" w:line="240" w:lineRule="auto"/>
              <w:jc w:val="center"/>
              <w:rPr>
                <w:rFonts w:ascii="Times New Roman" w:hAnsi="Times New Roman"/>
                <w:b/>
                <w:sz w:val="18"/>
                <w:szCs w:val="18"/>
              </w:rPr>
            </w:pPr>
            <w:bookmarkStart w:id="205" w:name="_Toc384391650"/>
            <w:bookmarkStart w:id="206" w:name="_Toc388006744"/>
            <w:bookmarkStart w:id="207" w:name="_Toc389750415"/>
            <w:bookmarkStart w:id="208" w:name="_Toc389750904"/>
            <w:bookmarkStart w:id="209" w:name="_Toc389751391"/>
            <w:bookmarkStart w:id="210" w:name="_Toc389751884"/>
            <w:bookmarkStart w:id="211" w:name="_Toc389811926"/>
            <w:r w:rsidRPr="00523F77">
              <w:rPr>
                <w:rStyle w:val="Heading311"/>
                <w:rFonts w:ascii="Times New Roman" w:hAnsi="Times New Roman" w:cs="Times New Roman"/>
                <w:b/>
                <w:sz w:val="18"/>
                <w:szCs w:val="18"/>
                <w:lang w:val="lv-LV"/>
              </w:rPr>
              <w:t>Trešo valstu  ieguldījums</w:t>
            </w:r>
            <w:bookmarkEnd w:id="205"/>
            <w:bookmarkEnd w:id="206"/>
            <w:bookmarkEnd w:id="207"/>
            <w:bookmarkEnd w:id="208"/>
            <w:bookmarkEnd w:id="209"/>
            <w:bookmarkEnd w:id="210"/>
            <w:bookmarkEnd w:id="211"/>
          </w:p>
        </w:tc>
        <w:tc>
          <w:tcPr>
            <w:tcW w:w="1187" w:type="dxa"/>
            <w:shd w:val="clear" w:color="auto" w:fill="F2F2F2" w:themeFill="background1" w:themeFillShade="F2"/>
            <w:vAlign w:val="center"/>
          </w:tcPr>
          <w:p w:rsidR="00523F77" w:rsidRPr="00523F77" w:rsidRDefault="00523F77" w:rsidP="00317751">
            <w:pPr>
              <w:spacing w:before="120" w:line="240" w:lineRule="auto"/>
              <w:jc w:val="center"/>
              <w:rPr>
                <w:rFonts w:ascii="Times New Roman" w:hAnsi="Times New Roman"/>
                <w:b/>
                <w:sz w:val="18"/>
                <w:szCs w:val="18"/>
              </w:rPr>
            </w:pPr>
            <w:bookmarkStart w:id="212" w:name="_Toc384391651"/>
            <w:bookmarkStart w:id="213" w:name="_Toc388006745"/>
            <w:bookmarkStart w:id="214" w:name="_Toc389750416"/>
            <w:bookmarkStart w:id="215" w:name="_Toc389750905"/>
            <w:bookmarkStart w:id="216" w:name="_Toc389751392"/>
            <w:bookmarkStart w:id="217" w:name="_Toc389751885"/>
            <w:bookmarkStart w:id="218" w:name="_Toc389811927"/>
            <w:r w:rsidRPr="00523F77">
              <w:rPr>
                <w:rStyle w:val="Heading311"/>
                <w:rFonts w:ascii="Times New Roman" w:hAnsi="Times New Roman" w:cs="Times New Roman"/>
                <w:b/>
                <w:sz w:val="18"/>
                <w:szCs w:val="18"/>
                <w:lang w:val="lv-LV"/>
              </w:rPr>
              <w:t>EIB ieguldījums</w:t>
            </w:r>
            <w:bookmarkEnd w:id="212"/>
            <w:bookmarkEnd w:id="213"/>
            <w:bookmarkEnd w:id="214"/>
            <w:bookmarkEnd w:id="215"/>
            <w:bookmarkEnd w:id="216"/>
            <w:bookmarkEnd w:id="217"/>
            <w:bookmarkEnd w:id="218"/>
          </w:p>
        </w:tc>
      </w:tr>
      <w:tr w:rsidR="00523F77" w:rsidRPr="00523F77" w:rsidTr="00317751">
        <w:trPr>
          <w:trHeight w:hRule="exact" w:val="667"/>
        </w:trPr>
        <w:tc>
          <w:tcPr>
            <w:tcW w:w="1394" w:type="dxa"/>
            <w:vMerge w:val="restart"/>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iCs/>
                <w:sz w:val="18"/>
                <w:szCs w:val="18"/>
              </w:rPr>
              <w:t xml:space="preserve">1.prioritārais </w:t>
            </w:r>
            <w:proofErr w:type="spellStart"/>
            <w:r w:rsidRPr="00523F77">
              <w:rPr>
                <w:rFonts w:ascii="Times New Roman" w:hAnsi="Times New Roman"/>
                <w:b/>
                <w:iCs/>
                <w:sz w:val="18"/>
                <w:szCs w:val="18"/>
              </w:rPr>
              <w:t>virziens</w:t>
            </w:r>
            <w:proofErr w:type="spellEnd"/>
          </w:p>
        </w:tc>
        <w:tc>
          <w:tcPr>
            <w:tcW w:w="1408"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 xml:space="preserve">ERAF </w:t>
            </w:r>
          </w:p>
        </w:tc>
        <w:tc>
          <w:tcPr>
            <w:tcW w:w="1395" w:type="dxa"/>
            <w:shd w:val="clear" w:color="auto" w:fill="auto"/>
          </w:tcPr>
          <w:p w:rsidR="00523F77" w:rsidRPr="00317751" w:rsidRDefault="00523F77" w:rsidP="00317751">
            <w:pPr>
              <w:spacing w:before="120" w:line="240" w:lineRule="auto"/>
              <w:jc w:val="left"/>
              <w:rPr>
                <w:rFonts w:ascii="Times New Roman" w:hAnsi="Times New Roman"/>
                <w:b/>
                <w:sz w:val="16"/>
                <w:szCs w:val="16"/>
              </w:rPr>
            </w:pPr>
            <w:r w:rsidRPr="00317751">
              <w:rPr>
                <w:rFonts w:ascii="Times New Roman" w:hAnsi="Times New Roman"/>
                <w:b/>
                <w:sz w:val="16"/>
                <w:szCs w:val="16"/>
              </w:rPr>
              <w:t>Kopējās attiecināmās izmaksas</w:t>
            </w:r>
          </w:p>
        </w:tc>
        <w:tc>
          <w:tcPr>
            <w:tcW w:w="1134"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13 950 422</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2 461 839</w:t>
            </w:r>
          </w:p>
        </w:tc>
        <w:tc>
          <w:tcPr>
            <w:tcW w:w="123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2 092 563</w:t>
            </w:r>
          </w:p>
        </w:tc>
        <w:tc>
          <w:tcPr>
            <w:tcW w:w="1483"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369 276</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16 412 261</w:t>
            </w:r>
          </w:p>
        </w:tc>
        <w:tc>
          <w:tcPr>
            <w:tcW w:w="121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85%</w:t>
            </w:r>
          </w:p>
        </w:tc>
        <w:tc>
          <w:tcPr>
            <w:tcW w:w="1418" w:type="dxa"/>
            <w:vMerge w:val="restart"/>
            <w:shd w:val="clear" w:color="auto" w:fill="auto"/>
          </w:tcPr>
          <w:p w:rsidR="00523F77" w:rsidRPr="00523F77" w:rsidRDefault="00523F77" w:rsidP="00317751">
            <w:pPr>
              <w:spacing w:before="120" w:line="240" w:lineRule="auto"/>
              <w:ind w:left="41"/>
              <w:jc w:val="center"/>
              <w:rPr>
                <w:rFonts w:ascii="Times New Roman" w:hAnsi="Times New Roman"/>
                <w:sz w:val="18"/>
                <w:szCs w:val="18"/>
              </w:rPr>
            </w:pPr>
            <w:bookmarkStart w:id="219" w:name="_Toc384391661"/>
            <w:bookmarkStart w:id="220" w:name="_Toc388006755"/>
            <w:bookmarkStart w:id="221" w:name="_Toc389750426"/>
            <w:bookmarkStart w:id="222" w:name="_Toc389750915"/>
            <w:bookmarkStart w:id="223" w:name="_Toc389751402"/>
            <w:bookmarkStart w:id="224" w:name="_Toc389751895"/>
            <w:bookmarkStart w:id="225" w:name="_Toc389811937"/>
            <w:r w:rsidRPr="00523F77">
              <w:rPr>
                <w:rStyle w:val="Heading311"/>
                <w:rFonts w:ascii="Times New Roman" w:hAnsi="Times New Roman" w:cs="Times New Roman"/>
                <w:sz w:val="18"/>
                <w:szCs w:val="18"/>
                <w:lang w:val="lv-LV"/>
              </w:rPr>
              <w:t>Nav piemērojams</w:t>
            </w:r>
            <w:bookmarkEnd w:id="219"/>
            <w:bookmarkEnd w:id="220"/>
            <w:bookmarkEnd w:id="221"/>
            <w:bookmarkEnd w:id="222"/>
            <w:bookmarkEnd w:id="223"/>
            <w:bookmarkEnd w:id="224"/>
            <w:bookmarkEnd w:id="225"/>
          </w:p>
        </w:tc>
        <w:tc>
          <w:tcPr>
            <w:tcW w:w="1187" w:type="dxa"/>
            <w:vMerge w:val="restart"/>
            <w:shd w:val="clear" w:color="auto" w:fill="auto"/>
          </w:tcPr>
          <w:p w:rsidR="00523F77" w:rsidRPr="00523F77" w:rsidRDefault="00523F77" w:rsidP="00317751">
            <w:pPr>
              <w:spacing w:before="120" w:line="240" w:lineRule="auto"/>
              <w:ind w:left="41"/>
              <w:jc w:val="center"/>
              <w:rPr>
                <w:rFonts w:ascii="Times New Roman" w:hAnsi="Times New Roman"/>
                <w:sz w:val="18"/>
                <w:szCs w:val="18"/>
              </w:rPr>
            </w:pPr>
            <w:r w:rsidRPr="00523F77">
              <w:rPr>
                <w:rStyle w:val="Heading311"/>
                <w:rFonts w:ascii="Times New Roman" w:hAnsi="Times New Roman" w:cs="Times New Roman"/>
                <w:sz w:val="18"/>
                <w:szCs w:val="18"/>
                <w:lang w:val="lv-LV"/>
              </w:rPr>
              <w:t>Nav piemērojams</w:t>
            </w:r>
          </w:p>
        </w:tc>
      </w:tr>
      <w:tr w:rsidR="00523F77" w:rsidRPr="00523F77" w:rsidTr="00317751">
        <w:trPr>
          <w:trHeight w:val="70"/>
        </w:trPr>
        <w:tc>
          <w:tcPr>
            <w:tcW w:w="1394" w:type="dxa"/>
            <w:vMerge/>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IP</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val="183"/>
        </w:trPr>
        <w:tc>
          <w:tcPr>
            <w:tcW w:w="1394" w:type="dxa"/>
            <w:vMerge/>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E</w:t>
            </w:r>
            <w:r w:rsidR="00BA7EFF">
              <w:rPr>
                <w:rFonts w:ascii="Times New Roman" w:hAnsi="Times New Roman"/>
                <w:sz w:val="18"/>
                <w:szCs w:val="18"/>
              </w:rPr>
              <w:t>K</w:t>
            </w:r>
            <w:r w:rsidRPr="00523F77">
              <w:rPr>
                <w:rFonts w:ascii="Times New Roman" w:hAnsi="Times New Roman"/>
                <w:sz w:val="18"/>
                <w:szCs w:val="18"/>
              </w:rPr>
              <w:t>I</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hRule="exact" w:val="667"/>
        </w:trPr>
        <w:tc>
          <w:tcPr>
            <w:tcW w:w="1394" w:type="dxa"/>
            <w:vMerge w:val="restart"/>
            <w:shd w:val="clear" w:color="auto" w:fill="auto"/>
            <w:vAlign w:val="center"/>
          </w:tcPr>
          <w:p w:rsidR="00523F77" w:rsidRPr="00523F77" w:rsidRDefault="00523F77" w:rsidP="00317751">
            <w:pPr>
              <w:spacing w:before="120" w:line="240" w:lineRule="auto"/>
              <w:rPr>
                <w:rFonts w:ascii="Times New Roman" w:hAnsi="Times New Roman"/>
                <w:b/>
                <w:iCs/>
                <w:sz w:val="18"/>
                <w:szCs w:val="18"/>
              </w:rPr>
            </w:pPr>
            <w:r w:rsidRPr="00523F77">
              <w:rPr>
                <w:rFonts w:ascii="Times New Roman" w:hAnsi="Times New Roman"/>
                <w:b/>
                <w:iCs/>
                <w:sz w:val="18"/>
                <w:szCs w:val="18"/>
              </w:rPr>
              <w:t xml:space="preserve">2.prioritārais </w:t>
            </w:r>
            <w:proofErr w:type="spellStart"/>
            <w:r w:rsidRPr="00523F77">
              <w:rPr>
                <w:rFonts w:ascii="Times New Roman" w:hAnsi="Times New Roman"/>
                <w:b/>
                <w:iCs/>
                <w:sz w:val="18"/>
                <w:szCs w:val="18"/>
              </w:rPr>
              <w:t>virziens</w:t>
            </w:r>
            <w:proofErr w:type="spellEnd"/>
          </w:p>
        </w:tc>
        <w:tc>
          <w:tcPr>
            <w:tcW w:w="1408"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 xml:space="preserve">ERAF </w:t>
            </w:r>
          </w:p>
        </w:tc>
        <w:tc>
          <w:tcPr>
            <w:tcW w:w="1395" w:type="dxa"/>
            <w:shd w:val="clear" w:color="auto" w:fill="auto"/>
          </w:tcPr>
          <w:p w:rsidR="00523F77" w:rsidRPr="00317751" w:rsidRDefault="00523F77" w:rsidP="00317751">
            <w:pPr>
              <w:spacing w:before="120" w:line="240" w:lineRule="auto"/>
              <w:jc w:val="left"/>
              <w:rPr>
                <w:rFonts w:ascii="Times New Roman" w:hAnsi="Times New Roman"/>
                <w:b/>
                <w:sz w:val="16"/>
                <w:szCs w:val="16"/>
              </w:rPr>
            </w:pPr>
            <w:proofErr w:type="spellStart"/>
            <w:r w:rsidRPr="00317751">
              <w:rPr>
                <w:rFonts w:ascii="Times New Roman" w:hAnsi="Times New Roman"/>
                <w:b/>
                <w:sz w:val="16"/>
                <w:szCs w:val="16"/>
              </w:rPr>
              <w:t>Kopējās</w:t>
            </w:r>
            <w:proofErr w:type="spellEnd"/>
            <w:r w:rsidRPr="00317751">
              <w:rPr>
                <w:rFonts w:ascii="Times New Roman" w:hAnsi="Times New Roman"/>
                <w:b/>
                <w:sz w:val="16"/>
                <w:szCs w:val="16"/>
              </w:rPr>
              <w:t xml:space="preserve"> </w:t>
            </w:r>
            <w:proofErr w:type="spellStart"/>
            <w:r w:rsidRPr="00317751">
              <w:rPr>
                <w:rFonts w:ascii="Times New Roman" w:hAnsi="Times New Roman"/>
                <w:b/>
                <w:sz w:val="16"/>
                <w:szCs w:val="16"/>
              </w:rPr>
              <w:t>attiecināmās</w:t>
            </w:r>
            <w:proofErr w:type="spellEnd"/>
            <w:r w:rsidRPr="00317751">
              <w:rPr>
                <w:rFonts w:ascii="Times New Roman" w:hAnsi="Times New Roman"/>
                <w:b/>
                <w:sz w:val="16"/>
                <w:szCs w:val="16"/>
              </w:rPr>
              <w:t xml:space="preserve"> </w:t>
            </w:r>
            <w:proofErr w:type="spellStart"/>
            <w:r w:rsidRPr="00317751">
              <w:rPr>
                <w:rFonts w:ascii="Times New Roman" w:hAnsi="Times New Roman"/>
                <w:b/>
                <w:sz w:val="16"/>
                <w:szCs w:val="16"/>
              </w:rPr>
              <w:t>izmaksas</w:t>
            </w:r>
            <w:proofErr w:type="spellEnd"/>
          </w:p>
        </w:tc>
        <w:tc>
          <w:tcPr>
            <w:tcW w:w="1134"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18 083 880</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3 191 273</w:t>
            </w:r>
          </w:p>
        </w:tc>
        <w:tc>
          <w:tcPr>
            <w:tcW w:w="123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2 712 582</w:t>
            </w:r>
          </w:p>
        </w:tc>
        <w:tc>
          <w:tcPr>
            <w:tcW w:w="1483"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478 691</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21 275 153</w:t>
            </w:r>
          </w:p>
        </w:tc>
        <w:tc>
          <w:tcPr>
            <w:tcW w:w="121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85%</w:t>
            </w:r>
          </w:p>
        </w:tc>
        <w:tc>
          <w:tcPr>
            <w:tcW w:w="1418" w:type="dxa"/>
            <w:vMerge w:val="restart"/>
            <w:shd w:val="clear" w:color="auto" w:fill="auto"/>
          </w:tcPr>
          <w:p w:rsidR="00523F77" w:rsidRPr="00523F77" w:rsidRDefault="00523F77" w:rsidP="00317751">
            <w:pPr>
              <w:spacing w:before="120" w:line="240" w:lineRule="auto"/>
              <w:jc w:val="center"/>
              <w:rPr>
                <w:rFonts w:ascii="Times New Roman" w:hAnsi="Times New Roman"/>
                <w:sz w:val="18"/>
                <w:szCs w:val="18"/>
              </w:rPr>
            </w:pPr>
            <w:r w:rsidRPr="00523F77">
              <w:rPr>
                <w:rStyle w:val="Heading311"/>
                <w:rFonts w:ascii="Times New Roman" w:hAnsi="Times New Roman" w:cs="Times New Roman"/>
                <w:sz w:val="18"/>
                <w:szCs w:val="18"/>
                <w:lang w:val="lv-LV"/>
              </w:rPr>
              <w:t>Nav piemērojams</w:t>
            </w:r>
          </w:p>
        </w:tc>
        <w:tc>
          <w:tcPr>
            <w:tcW w:w="1187" w:type="dxa"/>
            <w:vMerge w:val="restart"/>
            <w:shd w:val="clear" w:color="auto" w:fill="auto"/>
          </w:tcPr>
          <w:p w:rsidR="00523F77" w:rsidRPr="00523F77" w:rsidRDefault="00523F77" w:rsidP="00317751">
            <w:pPr>
              <w:spacing w:before="120" w:line="240" w:lineRule="auto"/>
              <w:jc w:val="center"/>
              <w:rPr>
                <w:rFonts w:ascii="Times New Roman" w:hAnsi="Times New Roman"/>
                <w:sz w:val="18"/>
                <w:szCs w:val="18"/>
              </w:rPr>
            </w:pPr>
            <w:r w:rsidRPr="00523F77">
              <w:rPr>
                <w:rStyle w:val="Heading311"/>
                <w:rFonts w:ascii="Times New Roman" w:hAnsi="Times New Roman" w:cs="Times New Roman"/>
                <w:sz w:val="18"/>
                <w:szCs w:val="18"/>
                <w:lang w:val="lv-LV"/>
              </w:rPr>
              <w:t>Nav piemērojams</w:t>
            </w:r>
          </w:p>
        </w:tc>
      </w:tr>
      <w:tr w:rsidR="00523F77" w:rsidRPr="00523F77" w:rsidTr="00317751">
        <w:trPr>
          <w:trHeight w:val="165"/>
        </w:trPr>
        <w:tc>
          <w:tcPr>
            <w:tcW w:w="1394" w:type="dxa"/>
            <w:vMerge/>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IP</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val="267"/>
        </w:trPr>
        <w:tc>
          <w:tcPr>
            <w:tcW w:w="1394" w:type="dxa"/>
            <w:vMerge/>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E</w:t>
            </w:r>
            <w:r w:rsidR="00FB7620">
              <w:rPr>
                <w:rFonts w:ascii="Times New Roman" w:hAnsi="Times New Roman"/>
                <w:sz w:val="18"/>
                <w:szCs w:val="18"/>
              </w:rPr>
              <w:t>K</w:t>
            </w:r>
            <w:r w:rsidRPr="00523F77">
              <w:rPr>
                <w:rFonts w:ascii="Times New Roman" w:hAnsi="Times New Roman"/>
                <w:sz w:val="18"/>
                <w:szCs w:val="18"/>
              </w:rPr>
              <w:t>I</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hRule="exact" w:val="685"/>
        </w:trPr>
        <w:tc>
          <w:tcPr>
            <w:tcW w:w="1394" w:type="dxa"/>
            <w:shd w:val="clear" w:color="auto" w:fill="auto"/>
            <w:vAlign w:val="center"/>
          </w:tcPr>
          <w:p w:rsidR="00523F77" w:rsidRPr="00523F77" w:rsidRDefault="00523F77" w:rsidP="00317751">
            <w:pPr>
              <w:spacing w:before="120" w:line="240" w:lineRule="auto"/>
              <w:rPr>
                <w:rFonts w:ascii="Times New Roman" w:hAnsi="Times New Roman"/>
                <w:b/>
                <w:iCs/>
                <w:sz w:val="18"/>
                <w:szCs w:val="18"/>
              </w:rPr>
            </w:pPr>
            <w:r w:rsidRPr="00523F77">
              <w:rPr>
                <w:rFonts w:ascii="Times New Roman" w:hAnsi="Times New Roman"/>
                <w:b/>
                <w:iCs/>
                <w:sz w:val="18"/>
                <w:szCs w:val="18"/>
              </w:rPr>
              <w:t xml:space="preserve">3.prioritārais </w:t>
            </w:r>
            <w:proofErr w:type="spellStart"/>
            <w:r w:rsidRPr="00523F77">
              <w:rPr>
                <w:rFonts w:ascii="Times New Roman" w:hAnsi="Times New Roman"/>
                <w:b/>
                <w:iCs/>
                <w:sz w:val="18"/>
                <w:szCs w:val="18"/>
              </w:rPr>
              <w:t>virziens</w:t>
            </w:r>
            <w:proofErr w:type="spellEnd"/>
          </w:p>
        </w:tc>
        <w:tc>
          <w:tcPr>
            <w:tcW w:w="1408"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 xml:space="preserve">ERAF </w:t>
            </w:r>
          </w:p>
        </w:tc>
        <w:tc>
          <w:tcPr>
            <w:tcW w:w="1395" w:type="dxa"/>
            <w:shd w:val="clear" w:color="auto" w:fill="auto"/>
          </w:tcPr>
          <w:p w:rsidR="00523F77" w:rsidRPr="00317751" w:rsidRDefault="00523F77" w:rsidP="00317751">
            <w:pPr>
              <w:spacing w:before="120" w:line="240" w:lineRule="auto"/>
              <w:jc w:val="left"/>
              <w:rPr>
                <w:rFonts w:ascii="Times New Roman" w:hAnsi="Times New Roman"/>
                <w:b/>
                <w:sz w:val="16"/>
                <w:szCs w:val="16"/>
              </w:rPr>
            </w:pPr>
            <w:r w:rsidRPr="00317751">
              <w:rPr>
                <w:rFonts w:ascii="Times New Roman" w:hAnsi="Times New Roman"/>
                <w:b/>
                <w:sz w:val="16"/>
                <w:szCs w:val="16"/>
              </w:rPr>
              <w:t>Kopējās attiecināmās izmaksas</w:t>
            </w:r>
          </w:p>
        </w:tc>
        <w:tc>
          <w:tcPr>
            <w:tcW w:w="1134"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10 333 646</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1 823 585</w:t>
            </w:r>
          </w:p>
        </w:tc>
        <w:tc>
          <w:tcPr>
            <w:tcW w:w="123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1 550 047</w:t>
            </w:r>
          </w:p>
        </w:tc>
        <w:tc>
          <w:tcPr>
            <w:tcW w:w="1483"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273 538</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12 157 231</w:t>
            </w:r>
          </w:p>
        </w:tc>
        <w:tc>
          <w:tcPr>
            <w:tcW w:w="121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85%</w:t>
            </w:r>
          </w:p>
        </w:tc>
        <w:tc>
          <w:tcPr>
            <w:tcW w:w="1418" w:type="dxa"/>
            <w:vMerge w:val="restart"/>
            <w:shd w:val="clear" w:color="auto" w:fill="auto"/>
          </w:tcPr>
          <w:p w:rsidR="00523F77" w:rsidRPr="00523F77" w:rsidRDefault="00523F77" w:rsidP="00317751">
            <w:pPr>
              <w:spacing w:before="120" w:line="240" w:lineRule="auto"/>
              <w:jc w:val="center"/>
              <w:rPr>
                <w:rFonts w:ascii="Times New Roman" w:hAnsi="Times New Roman"/>
                <w:sz w:val="18"/>
                <w:szCs w:val="18"/>
              </w:rPr>
            </w:pPr>
            <w:r w:rsidRPr="00523F77">
              <w:rPr>
                <w:rStyle w:val="Heading311"/>
                <w:rFonts w:ascii="Times New Roman" w:hAnsi="Times New Roman" w:cs="Times New Roman"/>
                <w:sz w:val="18"/>
                <w:szCs w:val="18"/>
                <w:lang w:val="lv-LV"/>
              </w:rPr>
              <w:t>Nav piemērojams</w:t>
            </w:r>
          </w:p>
        </w:tc>
        <w:tc>
          <w:tcPr>
            <w:tcW w:w="1187" w:type="dxa"/>
            <w:vMerge w:val="restart"/>
            <w:shd w:val="clear" w:color="auto" w:fill="auto"/>
          </w:tcPr>
          <w:p w:rsidR="00523F77" w:rsidRPr="00523F77" w:rsidRDefault="00523F77" w:rsidP="00317751">
            <w:pPr>
              <w:spacing w:before="120" w:line="240" w:lineRule="auto"/>
              <w:jc w:val="center"/>
              <w:rPr>
                <w:rFonts w:ascii="Times New Roman" w:hAnsi="Times New Roman"/>
                <w:sz w:val="18"/>
                <w:szCs w:val="18"/>
              </w:rPr>
            </w:pPr>
            <w:r w:rsidRPr="00523F77">
              <w:rPr>
                <w:rStyle w:val="Heading311"/>
                <w:rFonts w:ascii="Times New Roman" w:hAnsi="Times New Roman" w:cs="Times New Roman"/>
                <w:sz w:val="18"/>
                <w:szCs w:val="18"/>
                <w:lang w:val="lv-LV"/>
              </w:rPr>
              <w:t>Nav piemērojams</w:t>
            </w:r>
          </w:p>
        </w:tc>
      </w:tr>
      <w:tr w:rsidR="00523F77" w:rsidRPr="00523F77" w:rsidTr="00317751">
        <w:trPr>
          <w:trHeight w:val="144"/>
        </w:trPr>
        <w:tc>
          <w:tcPr>
            <w:tcW w:w="1394" w:type="dxa"/>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IP</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val="90"/>
        </w:trPr>
        <w:tc>
          <w:tcPr>
            <w:tcW w:w="1394" w:type="dxa"/>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E</w:t>
            </w:r>
            <w:r w:rsidR="00BA7EFF">
              <w:rPr>
                <w:rFonts w:ascii="Times New Roman" w:hAnsi="Times New Roman"/>
                <w:sz w:val="18"/>
                <w:szCs w:val="18"/>
              </w:rPr>
              <w:t>K</w:t>
            </w:r>
            <w:r w:rsidRPr="00523F77">
              <w:rPr>
                <w:rFonts w:ascii="Times New Roman" w:hAnsi="Times New Roman"/>
                <w:sz w:val="18"/>
                <w:szCs w:val="18"/>
              </w:rPr>
              <w:t>I</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hRule="exact" w:val="816"/>
        </w:trPr>
        <w:tc>
          <w:tcPr>
            <w:tcW w:w="1394" w:type="dxa"/>
            <w:shd w:val="clear" w:color="auto" w:fill="auto"/>
            <w:vAlign w:val="center"/>
          </w:tcPr>
          <w:p w:rsidR="00523F77" w:rsidRPr="00523F77" w:rsidRDefault="00523F77" w:rsidP="00317751">
            <w:pPr>
              <w:spacing w:before="120" w:line="240" w:lineRule="auto"/>
              <w:rPr>
                <w:rFonts w:ascii="Times New Roman" w:hAnsi="Times New Roman"/>
                <w:b/>
                <w:iCs/>
                <w:sz w:val="18"/>
                <w:szCs w:val="18"/>
              </w:rPr>
            </w:pPr>
            <w:r w:rsidRPr="00523F77">
              <w:rPr>
                <w:rFonts w:ascii="Times New Roman" w:hAnsi="Times New Roman"/>
                <w:b/>
                <w:iCs/>
                <w:sz w:val="18"/>
                <w:szCs w:val="18"/>
              </w:rPr>
              <w:t xml:space="preserve">4.prioritārais </w:t>
            </w:r>
            <w:proofErr w:type="spellStart"/>
            <w:r w:rsidRPr="00523F77">
              <w:rPr>
                <w:rFonts w:ascii="Times New Roman" w:hAnsi="Times New Roman"/>
                <w:b/>
                <w:iCs/>
                <w:sz w:val="18"/>
                <w:szCs w:val="18"/>
              </w:rPr>
              <w:t>virziens</w:t>
            </w:r>
            <w:proofErr w:type="spellEnd"/>
          </w:p>
        </w:tc>
        <w:tc>
          <w:tcPr>
            <w:tcW w:w="1408"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 xml:space="preserve">ERAF </w:t>
            </w:r>
          </w:p>
        </w:tc>
        <w:tc>
          <w:tcPr>
            <w:tcW w:w="1395" w:type="dxa"/>
            <w:shd w:val="clear" w:color="auto" w:fill="auto"/>
          </w:tcPr>
          <w:p w:rsidR="00523F77" w:rsidRPr="00317751" w:rsidRDefault="00523F77" w:rsidP="00317751">
            <w:pPr>
              <w:spacing w:before="120" w:line="240" w:lineRule="auto"/>
              <w:jc w:val="left"/>
              <w:rPr>
                <w:rFonts w:ascii="Times New Roman" w:hAnsi="Times New Roman"/>
                <w:b/>
                <w:sz w:val="16"/>
                <w:szCs w:val="16"/>
              </w:rPr>
            </w:pPr>
            <w:proofErr w:type="spellStart"/>
            <w:r w:rsidRPr="00317751">
              <w:rPr>
                <w:rFonts w:ascii="Times New Roman" w:hAnsi="Times New Roman"/>
                <w:b/>
                <w:sz w:val="16"/>
                <w:szCs w:val="16"/>
              </w:rPr>
              <w:t>Kopējās</w:t>
            </w:r>
            <w:proofErr w:type="spellEnd"/>
            <w:r w:rsidRPr="00317751">
              <w:rPr>
                <w:rFonts w:ascii="Times New Roman" w:hAnsi="Times New Roman"/>
                <w:b/>
                <w:sz w:val="16"/>
                <w:szCs w:val="16"/>
              </w:rPr>
              <w:t xml:space="preserve"> </w:t>
            </w:r>
            <w:proofErr w:type="spellStart"/>
            <w:r w:rsidRPr="00317751">
              <w:rPr>
                <w:rFonts w:ascii="Times New Roman" w:hAnsi="Times New Roman"/>
                <w:b/>
                <w:sz w:val="16"/>
                <w:szCs w:val="16"/>
              </w:rPr>
              <w:t>attiecināmās</w:t>
            </w:r>
            <w:proofErr w:type="spellEnd"/>
            <w:r w:rsidRPr="00317751">
              <w:rPr>
                <w:rFonts w:ascii="Times New Roman" w:hAnsi="Times New Roman"/>
                <w:b/>
                <w:sz w:val="16"/>
                <w:szCs w:val="16"/>
              </w:rPr>
              <w:t xml:space="preserve"> </w:t>
            </w:r>
            <w:proofErr w:type="spellStart"/>
            <w:r w:rsidRPr="00317751">
              <w:rPr>
                <w:rFonts w:ascii="Times New Roman" w:hAnsi="Times New Roman"/>
                <w:b/>
                <w:sz w:val="16"/>
                <w:szCs w:val="16"/>
              </w:rPr>
              <w:t>izmaksas</w:t>
            </w:r>
            <w:proofErr w:type="spellEnd"/>
          </w:p>
        </w:tc>
        <w:tc>
          <w:tcPr>
            <w:tcW w:w="1134"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9 300 281</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1 641 226</w:t>
            </w:r>
          </w:p>
        </w:tc>
        <w:tc>
          <w:tcPr>
            <w:tcW w:w="123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1 395 042</w:t>
            </w:r>
          </w:p>
        </w:tc>
        <w:tc>
          <w:tcPr>
            <w:tcW w:w="1483"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246 184</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10 941 507</w:t>
            </w:r>
          </w:p>
        </w:tc>
        <w:tc>
          <w:tcPr>
            <w:tcW w:w="121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85%</w:t>
            </w:r>
          </w:p>
        </w:tc>
        <w:tc>
          <w:tcPr>
            <w:tcW w:w="1418" w:type="dxa"/>
            <w:vMerge w:val="restart"/>
            <w:shd w:val="clear" w:color="auto" w:fill="auto"/>
          </w:tcPr>
          <w:p w:rsidR="00523F77" w:rsidRPr="00523F77" w:rsidRDefault="00523F77" w:rsidP="00317751">
            <w:pPr>
              <w:spacing w:before="120" w:line="240" w:lineRule="auto"/>
              <w:jc w:val="center"/>
              <w:rPr>
                <w:rFonts w:ascii="Times New Roman" w:hAnsi="Times New Roman"/>
                <w:sz w:val="18"/>
                <w:szCs w:val="18"/>
              </w:rPr>
            </w:pPr>
            <w:r w:rsidRPr="00523F77">
              <w:rPr>
                <w:rStyle w:val="Heading311"/>
                <w:rFonts w:ascii="Times New Roman" w:hAnsi="Times New Roman" w:cs="Times New Roman"/>
                <w:sz w:val="18"/>
                <w:szCs w:val="18"/>
                <w:lang w:val="lv-LV"/>
              </w:rPr>
              <w:t>Nav piemērojams</w:t>
            </w:r>
          </w:p>
        </w:tc>
        <w:tc>
          <w:tcPr>
            <w:tcW w:w="1187" w:type="dxa"/>
            <w:vMerge w:val="restart"/>
            <w:shd w:val="clear" w:color="auto" w:fill="auto"/>
          </w:tcPr>
          <w:p w:rsidR="00523F77" w:rsidRPr="00523F77" w:rsidRDefault="00523F77" w:rsidP="00317751">
            <w:pPr>
              <w:spacing w:before="120" w:line="240" w:lineRule="auto"/>
              <w:jc w:val="center"/>
              <w:rPr>
                <w:rFonts w:ascii="Times New Roman" w:hAnsi="Times New Roman"/>
                <w:sz w:val="18"/>
                <w:szCs w:val="18"/>
              </w:rPr>
            </w:pPr>
            <w:r w:rsidRPr="00523F77">
              <w:rPr>
                <w:rStyle w:val="Heading311"/>
                <w:rFonts w:ascii="Times New Roman" w:hAnsi="Times New Roman" w:cs="Times New Roman"/>
                <w:sz w:val="18"/>
                <w:szCs w:val="18"/>
                <w:lang w:val="lv-LV"/>
              </w:rPr>
              <w:t>Nav piemērojams</w:t>
            </w:r>
          </w:p>
        </w:tc>
      </w:tr>
      <w:tr w:rsidR="00523F77" w:rsidRPr="00523F77" w:rsidTr="00317751">
        <w:trPr>
          <w:trHeight w:val="186"/>
        </w:trPr>
        <w:tc>
          <w:tcPr>
            <w:tcW w:w="1394" w:type="dxa"/>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IP</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val="190"/>
        </w:trPr>
        <w:tc>
          <w:tcPr>
            <w:tcW w:w="1394" w:type="dxa"/>
            <w:shd w:val="clear" w:color="auto" w:fill="auto"/>
            <w:vAlign w:val="center"/>
          </w:tcPr>
          <w:p w:rsidR="00523F77" w:rsidRPr="00523F77" w:rsidRDefault="00523F77" w:rsidP="00317751">
            <w:pPr>
              <w:spacing w:before="120" w:line="240" w:lineRule="auto"/>
              <w:rPr>
                <w:rFonts w:ascii="Times New Roman" w:hAnsi="Times New Roman"/>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E</w:t>
            </w:r>
            <w:r w:rsidR="00FB7620">
              <w:rPr>
                <w:rFonts w:ascii="Times New Roman" w:hAnsi="Times New Roman"/>
                <w:sz w:val="18"/>
                <w:szCs w:val="18"/>
              </w:rPr>
              <w:t>K</w:t>
            </w:r>
            <w:r w:rsidRPr="00523F77">
              <w:rPr>
                <w:rFonts w:ascii="Times New Roman" w:hAnsi="Times New Roman"/>
                <w:sz w:val="18"/>
                <w:szCs w:val="18"/>
              </w:rPr>
              <w:t>I</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hRule="exact" w:val="667"/>
        </w:trPr>
        <w:tc>
          <w:tcPr>
            <w:tcW w:w="1394" w:type="dxa"/>
            <w:shd w:val="clear" w:color="auto" w:fill="auto"/>
            <w:vAlign w:val="center"/>
          </w:tcPr>
          <w:p w:rsidR="00523F77" w:rsidRPr="00523F77" w:rsidRDefault="00523F77" w:rsidP="00317751">
            <w:pPr>
              <w:spacing w:before="120" w:line="240" w:lineRule="auto"/>
              <w:rPr>
                <w:rFonts w:ascii="Times New Roman" w:hAnsi="Times New Roman"/>
                <w:b/>
                <w:iCs/>
                <w:sz w:val="18"/>
                <w:szCs w:val="18"/>
              </w:rPr>
            </w:pPr>
            <w:r w:rsidRPr="00523F77">
              <w:rPr>
                <w:rFonts w:ascii="Times New Roman" w:hAnsi="Times New Roman"/>
                <w:b/>
                <w:iCs/>
                <w:sz w:val="18"/>
                <w:szCs w:val="18"/>
              </w:rPr>
              <w:t>Tehniskā palīdzība</w:t>
            </w:r>
          </w:p>
        </w:tc>
        <w:tc>
          <w:tcPr>
            <w:tcW w:w="1408"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ERAF</w:t>
            </w:r>
          </w:p>
        </w:tc>
        <w:tc>
          <w:tcPr>
            <w:tcW w:w="1395" w:type="dxa"/>
            <w:shd w:val="clear" w:color="auto" w:fill="auto"/>
          </w:tcPr>
          <w:p w:rsidR="00523F77" w:rsidRPr="00317751" w:rsidRDefault="00523F77" w:rsidP="00317751">
            <w:pPr>
              <w:spacing w:before="120" w:line="240" w:lineRule="auto"/>
              <w:jc w:val="left"/>
              <w:rPr>
                <w:rFonts w:ascii="Times New Roman" w:hAnsi="Times New Roman"/>
                <w:b/>
                <w:sz w:val="16"/>
                <w:szCs w:val="16"/>
              </w:rPr>
            </w:pPr>
            <w:proofErr w:type="spellStart"/>
            <w:r w:rsidRPr="00317751">
              <w:rPr>
                <w:rFonts w:ascii="Times New Roman" w:hAnsi="Times New Roman"/>
                <w:b/>
                <w:sz w:val="16"/>
                <w:szCs w:val="16"/>
              </w:rPr>
              <w:t>Kopējās</w:t>
            </w:r>
            <w:proofErr w:type="spellEnd"/>
            <w:r w:rsidRPr="00317751">
              <w:rPr>
                <w:rFonts w:ascii="Times New Roman" w:hAnsi="Times New Roman"/>
                <w:b/>
                <w:sz w:val="16"/>
                <w:szCs w:val="16"/>
              </w:rPr>
              <w:t xml:space="preserve"> </w:t>
            </w:r>
            <w:proofErr w:type="spellStart"/>
            <w:r w:rsidRPr="00317751">
              <w:rPr>
                <w:rFonts w:ascii="Times New Roman" w:hAnsi="Times New Roman"/>
                <w:b/>
                <w:sz w:val="16"/>
                <w:szCs w:val="16"/>
              </w:rPr>
              <w:t>attiecināmās</w:t>
            </w:r>
            <w:proofErr w:type="spellEnd"/>
            <w:r w:rsidRPr="00317751">
              <w:rPr>
                <w:rFonts w:ascii="Times New Roman" w:hAnsi="Times New Roman"/>
                <w:b/>
                <w:sz w:val="16"/>
                <w:szCs w:val="16"/>
              </w:rPr>
              <w:t xml:space="preserve"> </w:t>
            </w:r>
            <w:proofErr w:type="spellStart"/>
            <w:r w:rsidRPr="00317751">
              <w:rPr>
                <w:rFonts w:ascii="Times New Roman" w:hAnsi="Times New Roman"/>
                <w:b/>
                <w:sz w:val="16"/>
                <w:szCs w:val="16"/>
              </w:rPr>
              <w:t>izmaksas</w:t>
            </w:r>
            <w:proofErr w:type="spellEnd"/>
          </w:p>
        </w:tc>
        <w:tc>
          <w:tcPr>
            <w:tcW w:w="1134"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3 297 972</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930 197</w:t>
            </w:r>
          </w:p>
        </w:tc>
        <w:tc>
          <w:tcPr>
            <w:tcW w:w="123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930 197</w:t>
            </w:r>
          </w:p>
        </w:tc>
        <w:tc>
          <w:tcPr>
            <w:tcW w:w="1483"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0</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4 228 169</w:t>
            </w:r>
          </w:p>
        </w:tc>
        <w:tc>
          <w:tcPr>
            <w:tcW w:w="1215" w:type="dxa"/>
            <w:shd w:val="clear" w:color="auto" w:fill="auto"/>
            <w:vAlign w:val="center"/>
          </w:tcPr>
          <w:p w:rsidR="00523F77" w:rsidRPr="00523F77" w:rsidRDefault="00523F77" w:rsidP="00317751">
            <w:pPr>
              <w:spacing w:before="120" w:line="240" w:lineRule="auto"/>
              <w:jc w:val="right"/>
              <w:rPr>
                <w:rFonts w:ascii="Times New Roman" w:hAnsi="Times New Roman"/>
                <w:sz w:val="18"/>
                <w:szCs w:val="18"/>
                <w:lang w:val="en-US"/>
              </w:rPr>
            </w:pPr>
            <w:r w:rsidRPr="00523F77">
              <w:rPr>
                <w:rFonts w:ascii="Times New Roman" w:hAnsi="Times New Roman"/>
                <w:sz w:val="18"/>
                <w:szCs w:val="18"/>
                <w:lang w:val="en-US"/>
              </w:rPr>
              <w:t>78%</w:t>
            </w:r>
          </w:p>
        </w:tc>
        <w:tc>
          <w:tcPr>
            <w:tcW w:w="1418" w:type="dxa"/>
            <w:vMerge w:val="restart"/>
            <w:shd w:val="clear" w:color="auto" w:fill="auto"/>
          </w:tcPr>
          <w:p w:rsidR="00523F77" w:rsidRPr="00523F77" w:rsidRDefault="00523F77" w:rsidP="00317751">
            <w:pPr>
              <w:spacing w:before="120" w:line="240" w:lineRule="auto"/>
              <w:jc w:val="center"/>
              <w:rPr>
                <w:rFonts w:ascii="Times New Roman" w:hAnsi="Times New Roman"/>
                <w:b/>
                <w:sz w:val="18"/>
                <w:szCs w:val="18"/>
              </w:rPr>
            </w:pPr>
            <w:r w:rsidRPr="00523F77">
              <w:rPr>
                <w:rStyle w:val="Heading311"/>
                <w:rFonts w:ascii="Times New Roman" w:hAnsi="Times New Roman" w:cs="Times New Roman"/>
                <w:sz w:val="18"/>
                <w:szCs w:val="18"/>
                <w:lang w:val="lv-LV"/>
              </w:rPr>
              <w:t>Nav piemērojams</w:t>
            </w:r>
          </w:p>
        </w:tc>
        <w:tc>
          <w:tcPr>
            <w:tcW w:w="1187" w:type="dxa"/>
            <w:vMerge w:val="restart"/>
            <w:shd w:val="clear" w:color="auto" w:fill="auto"/>
          </w:tcPr>
          <w:p w:rsidR="00523F77" w:rsidRPr="00523F77" w:rsidRDefault="00523F77" w:rsidP="00317751">
            <w:pPr>
              <w:spacing w:before="120" w:line="240" w:lineRule="auto"/>
              <w:jc w:val="center"/>
              <w:rPr>
                <w:rFonts w:ascii="Times New Roman" w:hAnsi="Times New Roman"/>
                <w:b/>
                <w:sz w:val="18"/>
                <w:szCs w:val="18"/>
              </w:rPr>
            </w:pPr>
            <w:r w:rsidRPr="00523F77">
              <w:rPr>
                <w:rStyle w:val="Heading311"/>
                <w:rFonts w:ascii="Times New Roman" w:hAnsi="Times New Roman" w:cs="Times New Roman"/>
                <w:sz w:val="18"/>
                <w:szCs w:val="18"/>
                <w:lang w:val="lv-LV"/>
              </w:rPr>
              <w:t>Nav piemērojams</w:t>
            </w:r>
          </w:p>
        </w:tc>
      </w:tr>
      <w:tr w:rsidR="00523F77" w:rsidRPr="00523F77" w:rsidTr="00317751">
        <w:trPr>
          <w:trHeight w:val="213"/>
        </w:trPr>
        <w:tc>
          <w:tcPr>
            <w:tcW w:w="1394" w:type="dxa"/>
            <w:shd w:val="clear" w:color="auto" w:fill="auto"/>
            <w:vAlign w:val="center"/>
          </w:tcPr>
          <w:p w:rsidR="00523F77" w:rsidRPr="00523F77" w:rsidRDefault="00523F77" w:rsidP="00317751">
            <w:pPr>
              <w:spacing w:before="120" w:line="240" w:lineRule="auto"/>
              <w:rPr>
                <w:rFonts w:ascii="Times New Roman" w:hAnsi="Times New Roman"/>
                <w:i/>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IP</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val="131"/>
        </w:trPr>
        <w:tc>
          <w:tcPr>
            <w:tcW w:w="1394" w:type="dxa"/>
            <w:shd w:val="clear" w:color="auto" w:fill="auto"/>
            <w:vAlign w:val="center"/>
          </w:tcPr>
          <w:p w:rsidR="00523F77" w:rsidRPr="00523F77" w:rsidRDefault="00523F77" w:rsidP="00317751">
            <w:pPr>
              <w:spacing w:before="120" w:line="240" w:lineRule="auto"/>
              <w:rPr>
                <w:rFonts w:ascii="Times New Roman" w:hAnsi="Times New Roman"/>
                <w:i/>
                <w:iCs/>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E</w:t>
            </w:r>
            <w:r w:rsidR="00BA7EFF">
              <w:rPr>
                <w:rFonts w:ascii="Times New Roman" w:hAnsi="Times New Roman"/>
                <w:sz w:val="18"/>
                <w:szCs w:val="18"/>
              </w:rPr>
              <w:t>K</w:t>
            </w:r>
            <w:r w:rsidRPr="00523F77">
              <w:rPr>
                <w:rFonts w:ascii="Times New Roman" w:hAnsi="Times New Roman"/>
                <w:sz w:val="18"/>
                <w:szCs w:val="18"/>
              </w:rPr>
              <w:t>I</w:t>
            </w:r>
          </w:p>
        </w:tc>
        <w:tc>
          <w:tcPr>
            <w:tcW w:w="9096" w:type="dxa"/>
            <w:gridSpan w:val="7"/>
            <w:shd w:val="clear" w:color="auto" w:fill="auto"/>
            <w:vAlign w:val="center"/>
          </w:tcPr>
          <w:p w:rsidR="00523F77" w:rsidRPr="00523F77" w:rsidRDefault="00523F77" w:rsidP="00317751">
            <w:pPr>
              <w:spacing w:before="120" w:line="240" w:lineRule="auto"/>
              <w:jc w:val="left"/>
              <w:rPr>
                <w:rFonts w:ascii="Times New Roman" w:hAnsi="Times New Roman"/>
                <w:sz w:val="18"/>
                <w:szCs w:val="18"/>
                <w:lang w:val="en-US"/>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hRule="exact" w:val="823"/>
        </w:trPr>
        <w:tc>
          <w:tcPr>
            <w:tcW w:w="1394" w:type="dxa"/>
            <w:vMerge w:val="restart"/>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Kopā</w:t>
            </w:r>
          </w:p>
        </w:tc>
        <w:tc>
          <w:tcPr>
            <w:tcW w:w="1408"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ERAF</w:t>
            </w:r>
          </w:p>
        </w:tc>
        <w:tc>
          <w:tcPr>
            <w:tcW w:w="1395"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Kopējās attiecināmās izmaksas</w:t>
            </w:r>
          </w:p>
        </w:tc>
        <w:tc>
          <w:tcPr>
            <w:tcW w:w="1134"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54 966 201</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10 048 120</w:t>
            </w:r>
          </w:p>
        </w:tc>
        <w:tc>
          <w:tcPr>
            <w:tcW w:w="1235"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8 680 432</w:t>
            </w:r>
          </w:p>
        </w:tc>
        <w:tc>
          <w:tcPr>
            <w:tcW w:w="1483"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1 367 688</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65 014 321</w:t>
            </w:r>
          </w:p>
        </w:tc>
        <w:tc>
          <w:tcPr>
            <w:tcW w:w="1215"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84.55%</w:t>
            </w:r>
          </w:p>
        </w:tc>
        <w:tc>
          <w:tcPr>
            <w:tcW w:w="1418" w:type="dxa"/>
            <w:vMerge w:val="restart"/>
            <w:shd w:val="clear" w:color="auto" w:fill="auto"/>
          </w:tcPr>
          <w:p w:rsidR="00523F77" w:rsidRPr="00523F77" w:rsidRDefault="00523F77" w:rsidP="00317751">
            <w:pPr>
              <w:spacing w:before="120" w:line="240" w:lineRule="auto"/>
              <w:jc w:val="center"/>
              <w:rPr>
                <w:rFonts w:ascii="Times New Roman" w:hAnsi="Times New Roman"/>
                <w:b/>
                <w:sz w:val="18"/>
                <w:szCs w:val="18"/>
              </w:rPr>
            </w:pPr>
            <w:r w:rsidRPr="00523F77">
              <w:rPr>
                <w:rStyle w:val="Heading311"/>
                <w:rFonts w:ascii="Times New Roman" w:hAnsi="Times New Roman" w:cs="Times New Roman"/>
                <w:sz w:val="18"/>
                <w:szCs w:val="18"/>
                <w:lang w:val="lv-LV"/>
              </w:rPr>
              <w:t>Nav piemērojams</w:t>
            </w:r>
          </w:p>
        </w:tc>
        <w:tc>
          <w:tcPr>
            <w:tcW w:w="1187" w:type="dxa"/>
            <w:vMerge w:val="restart"/>
            <w:shd w:val="clear" w:color="auto" w:fill="auto"/>
          </w:tcPr>
          <w:p w:rsidR="00523F77" w:rsidRPr="00523F77" w:rsidRDefault="00523F77" w:rsidP="00317751">
            <w:pPr>
              <w:spacing w:before="120" w:line="240" w:lineRule="auto"/>
              <w:jc w:val="center"/>
              <w:rPr>
                <w:rFonts w:ascii="Times New Roman" w:hAnsi="Times New Roman"/>
                <w:b/>
                <w:sz w:val="18"/>
                <w:szCs w:val="18"/>
              </w:rPr>
            </w:pPr>
            <w:r w:rsidRPr="00523F77">
              <w:rPr>
                <w:rStyle w:val="Heading311"/>
                <w:rFonts w:ascii="Times New Roman" w:hAnsi="Times New Roman" w:cs="Times New Roman"/>
                <w:sz w:val="18"/>
                <w:szCs w:val="18"/>
                <w:lang w:val="lv-LV"/>
              </w:rPr>
              <w:t>Nav piemērojams</w:t>
            </w:r>
          </w:p>
        </w:tc>
      </w:tr>
      <w:tr w:rsidR="00523F77" w:rsidRPr="00523F77" w:rsidTr="00317751">
        <w:tc>
          <w:tcPr>
            <w:tcW w:w="1394" w:type="dxa"/>
            <w:vMerge/>
            <w:shd w:val="clear" w:color="auto" w:fill="auto"/>
            <w:vAlign w:val="center"/>
          </w:tcPr>
          <w:p w:rsidR="00523F77" w:rsidRPr="00523F77" w:rsidRDefault="00523F77" w:rsidP="00317751">
            <w:pPr>
              <w:spacing w:before="120" w:line="240" w:lineRule="auto"/>
              <w:rPr>
                <w:rFonts w:ascii="Times New Roman" w:hAnsi="Times New Roman"/>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IP</w:t>
            </w:r>
          </w:p>
        </w:tc>
        <w:tc>
          <w:tcPr>
            <w:tcW w:w="9096" w:type="dxa"/>
            <w:gridSpan w:val="7"/>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c>
          <w:tcPr>
            <w:tcW w:w="1394" w:type="dxa"/>
            <w:vMerge/>
            <w:shd w:val="clear" w:color="auto" w:fill="auto"/>
            <w:vAlign w:val="center"/>
          </w:tcPr>
          <w:p w:rsidR="00523F77" w:rsidRPr="00523F77" w:rsidRDefault="00523F77" w:rsidP="00317751">
            <w:pPr>
              <w:spacing w:before="120" w:line="240" w:lineRule="auto"/>
              <w:rPr>
                <w:rFonts w:ascii="Times New Roman" w:hAnsi="Times New Roman"/>
                <w:sz w:val="18"/>
                <w:szCs w:val="18"/>
              </w:rPr>
            </w:pPr>
          </w:p>
        </w:tc>
        <w:tc>
          <w:tcPr>
            <w:tcW w:w="1408" w:type="dxa"/>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rPr>
              <w:t>E</w:t>
            </w:r>
            <w:r w:rsidR="00BA7EFF">
              <w:rPr>
                <w:rFonts w:ascii="Times New Roman" w:hAnsi="Times New Roman"/>
                <w:sz w:val="18"/>
                <w:szCs w:val="18"/>
              </w:rPr>
              <w:t>K</w:t>
            </w:r>
            <w:r w:rsidRPr="00523F77">
              <w:rPr>
                <w:rFonts w:ascii="Times New Roman" w:hAnsi="Times New Roman"/>
                <w:sz w:val="18"/>
                <w:szCs w:val="18"/>
              </w:rPr>
              <w:t>I</w:t>
            </w:r>
          </w:p>
        </w:tc>
        <w:tc>
          <w:tcPr>
            <w:tcW w:w="9096" w:type="dxa"/>
            <w:gridSpan w:val="7"/>
            <w:shd w:val="clear" w:color="auto" w:fill="auto"/>
            <w:vAlign w:val="center"/>
          </w:tcPr>
          <w:p w:rsidR="00523F77" w:rsidRPr="00523F77" w:rsidRDefault="00523F77" w:rsidP="00317751">
            <w:pPr>
              <w:spacing w:before="120" w:line="240" w:lineRule="auto"/>
              <w:rPr>
                <w:rFonts w:ascii="Times New Roman" w:hAnsi="Times New Roman"/>
                <w:sz w:val="18"/>
                <w:szCs w:val="18"/>
              </w:rPr>
            </w:pPr>
            <w:r w:rsidRPr="00523F77">
              <w:rPr>
                <w:rFonts w:ascii="Times New Roman" w:hAnsi="Times New Roman"/>
                <w:sz w:val="18"/>
                <w:szCs w:val="18"/>
                <w:lang w:val="en-US"/>
              </w:rPr>
              <w:t>Nav attiecināms</w:t>
            </w:r>
          </w:p>
        </w:tc>
        <w:tc>
          <w:tcPr>
            <w:tcW w:w="1418"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c>
          <w:tcPr>
            <w:tcW w:w="1187" w:type="dxa"/>
            <w:vMerge/>
            <w:shd w:val="clear" w:color="auto" w:fill="auto"/>
            <w:vAlign w:val="center"/>
          </w:tcPr>
          <w:p w:rsidR="00523F77" w:rsidRPr="00523F77" w:rsidRDefault="00523F77" w:rsidP="00317751">
            <w:pPr>
              <w:spacing w:before="120" w:line="240" w:lineRule="auto"/>
              <w:jc w:val="center"/>
              <w:rPr>
                <w:rFonts w:ascii="Times New Roman" w:hAnsi="Times New Roman"/>
                <w:sz w:val="18"/>
                <w:szCs w:val="18"/>
              </w:rPr>
            </w:pPr>
          </w:p>
        </w:tc>
      </w:tr>
      <w:tr w:rsidR="00523F77" w:rsidRPr="00523F77" w:rsidTr="00317751">
        <w:trPr>
          <w:trHeight w:hRule="exact" w:val="790"/>
        </w:trPr>
        <w:tc>
          <w:tcPr>
            <w:tcW w:w="1394"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Kopā</w:t>
            </w:r>
          </w:p>
        </w:tc>
        <w:tc>
          <w:tcPr>
            <w:tcW w:w="1408"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Kopā visi fondi</w:t>
            </w:r>
          </w:p>
        </w:tc>
        <w:tc>
          <w:tcPr>
            <w:tcW w:w="1395" w:type="dxa"/>
            <w:shd w:val="clear" w:color="auto" w:fill="auto"/>
            <w:vAlign w:val="center"/>
          </w:tcPr>
          <w:p w:rsidR="00523F77" w:rsidRPr="00523F77" w:rsidRDefault="00523F77" w:rsidP="00317751">
            <w:pPr>
              <w:spacing w:before="120" w:line="240" w:lineRule="auto"/>
              <w:rPr>
                <w:rFonts w:ascii="Times New Roman" w:hAnsi="Times New Roman"/>
                <w:b/>
                <w:sz w:val="18"/>
                <w:szCs w:val="18"/>
              </w:rPr>
            </w:pPr>
            <w:r w:rsidRPr="00523F77">
              <w:rPr>
                <w:rFonts w:ascii="Times New Roman" w:hAnsi="Times New Roman"/>
                <w:b/>
                <w:sz w:val="18"/>
                <w:szCs w:val="18"/>
              </w:rPr>
              <w:t>Kopējās attiecināmās izmaksas</w:t>
            </w:r>
          </w:p>
        </w:tc>
        <w:tc>
          <w:tcPr>
            <w:tcW w:w="1134"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54 966 201</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10 048 120</w:t>
            </w:r>
          </w:p>
        </w:tc>
        <w:tc>
          <w:tcPr>
            <w:tcW w:w="1235"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8 680 432</w:t>
            </w:r>
          </w:p>
        </w:tc>
        <w:tc>
          <w:tcPr>
            <w:tcW w:w="1483"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1 367 688</w:t>
            </w:r>
          </w:p>
        </w:tc>
        <w:tc>
          <w:tcPr>
            <w:tcW w:w="1317"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lang w:val="en-US"/>
              </w:rPr>
            </w:pPr>
            <w:r w:rsidRPr="00523F77">
              <w:rPr>
                <w:rFonts w:ascii="Times New Roman" w:hAnsi="Times New Roman"/>
                <w:b/>
                <w:sz w:val="18"/>
                <w:szCs w:val="18"/>
                <w:lang w:val="en-US"/>
              </w:rPr>
              <w:t>65 014 321</w:t>
            </w:r>
          </w:p>
        </w:tc>
        <w:tc>
          <w:tcPr>
            <w:tcW w:w="1215" w:type="dxa"/>
            <w:shd w:val="clear" w:color="auto" w:fill="auto"/>
            <w:vAlign w:val="center"/>
          </w:tcPr>
          <w:p w:rsidR="00523F77" w:rsidRPr="00523F77" w:rsidRDefault="00523F77" w:rsidP="00317751">
            <w:pPr>
              <w:spacing w:before="120" w:line="240" w:lineRule="auto"/>
              <w:jc w:val="right"/>
              <w:rPr>
                <w:rFonts w:ascii="Times New Roman" w:hAnsi="Times New Roman"/>
                <w:b/>
                <w:sz w:val="18"/>
                <w:szCs w:val="18"/>
              </w:rPr>
            </w:pPr>
            <w:r w:rsidRPr="00523F77">
              <w:rPr>
                <w:rFonts w:ascii="Times New Roman" w:hAnsi="Times New Roman"/>
                <w:b/>
                <w:sz w:val="18"/>
                <w:szCs w:val="18"/>
                <w:lang w:val="en-US"/>
              </w:rPr>
              <w:t>84.55%</w:t>
            </w:r>
          </w:p>
        </w:tc>
        <w:tc>
          <w:tcPr>
            <w:tcW w:w="1418" w:type="dxa"/>
            <w:shd w:val="clear" w:color="auto" w:fill="auto"/>
          </w:tcPr>
          <w:p w:rsidR="00523F77" w:rsidRPr="00523F77" w:rsidRDefault="00523F77" w:rsidP="00317751">
            <w:pPr>
              <w:spacing w:before="120" w:line="240" w:lineRule="auto"/>
              <w:jc w:val="center"/>
              <w:rPr>
                <w:rFonts w:ascii="Times New Roman" w:hAnsi="Times New Roman"/>
                <w:b/>
                <w:sz w:val="18"/>
                <w:szCs w:val="18"/>
              </w:rPr>
            </w:pPr>
            <w:r w:rsidRPr="00523F77">
              <w:rPr>
                <w:rStyle w:val="Heading311"/>
                <w:rFonts w:ascii="Times New Roman" w:hAnsi="Times New Roman" w:cs="Times New Roman"/>
                <w:sz w:val="18"/>
                <w:szCs w:val="18"/>
                <w:lang w:val="lv-LV"/>
              </w:rPr>
              <w:t>Nav piemērojams</w:t>
            </w:r>
          </w:p>
        </w:tc>
        <w:tc>
          <w:tcPr>
            <w:tcW w:w="1187" w:type="dxa"/>
            <w:shd w:val="clear" w:color="auto" w:fill="auto"/>
          </w:tcPr>
          <w:p w:rsidR="00523F77" w:rsidRPr="00523F77" w:rsidRDefault="00523F77" w:rsidP="00317751">
            <w:pPr>
              <w:spacing w:before="120" w:line="240" w:lineRule="auto"/>
              <w:jc w:val="center"/>
              <w:rPr>
                <w:rFonts w:ascii="Times New Roman" w:hAnsi="Times New Roman"/>
                <w:b/>
                <w:sz w:val="18"/>
                <w:szCs w:val="18"/>
              </w:rPr>
            </w:pPr>
            <w:r w:rsidRPr="00523F77">
              <w:rPr>
                <w:rStyle w:val="Heading311"/>
                <w:rFonts w:ascii="Times New Roman" w:hAnsi="Times New Roman" w:cs="Times New Roman"/>
                <w:sz w:val="18"/>
                <w:szCs w:val="18"/>
                <w:lang w:val="lv-LV"/>
              </w:rPr>
              <w:t>Nav piemērojams</w:t>
            </w:r>
          </w:p>
        </w:tc>
      </w:tr>
    </w:tbl>
    <w:p w:rsidR="00BB61B7" w:rsidRDefault="00812136" w:rsidP="00E302F6">
      <w:pPr>
        <w:spacing w:before="120" w:line="240" w:lineRule="auto"/>
        <w:rPr>
          <w:rFonts w:ascii="Times New Roman" w:hAnsi="Times New Roman"/>
          <w:b/>
        </w:rPr>
      </w:pPr>
      <w:r w:rsidRPr="00BB61B7">
        <w:rPr>
          <w:rFonts w:ascii="Times New Roman" w:eastAsia="Arial Unicode MS" w:hAnsi="Times New Roman"/>
          <w:b/>
          <w:bCs/>
        </w:rPr>
        <w:t xml:space="preserve">3.3. </w:t>
      </w:r>
      <w:r w:rsidR="00523F77" w:rsidRPr="00BB61B7">
        <w:rPr>
          <w:rStyle w:val="Heading311"/>
          <w:rFonts w:ascii="Times New Roman" w:hAnsi="Times New Roman" w:cs="Times New Roman"/>
          <w:b/>
          <w:sz w:val="24"/>
          <w:szCs w:val="24"/>
          <w:lang w:val="lv-LV"/>
        </w:rPr>
        <w:t xml:space="preserve">Sadalījums pa prioritārajiem virzieniem </w:t>
      </w:r>
      <w:proofErr w:type="gramStart"/>
      <w:r w:rsidR="00523F77" w:rsidRPr="00BB61B7">
        <w:rPr>
          <w:rStyle w:val="Heading311"/>
          <w:rFonts w:ascii="Times New Roman" w:hAnsi="Times New Roman" w:cs="Times New Roman"/>
          <w:b/>
          <w:sz w:val="24"/>
          <w:szCs w:val="24"/>
          <w:lang w:val="lv-LV"/>
        </w:rPr>
        <w:t>un</w:t>
      </w:r>
      <w:proofErr w:type="gramEnd"/>
      <w:r w:rsidR="00523F77" w:rsidRPr="00BB61B7">
        <w:rPr>
          <w:rStyle w:val="Heading311"/>
          <w:rFonts w:ascii="Times New Roman" w:hAnsi="Times New Roman" w:cs="Times New Roman"/>
          <w:b/>
          <w:sz w:val="24"/>
          <w:szCs w:val="24"/>
          <w:lang w:val="lv-LV"/>
        </w:rPr>
        <w:t xml:space="preserve"> tematiskajiem mērķiem</w:t>
      </w:r>
      <w:r w:rsidR="00523F77" w:rsidRPr="00BB61B7">
        <w:rPr>
          <w:rFonts w:ascii="Times New Roman" w:hAnsi="Times New Roman"/>
          <w:b/>
        </w:rPr>
        <w:t xml:space="preserve"> </w:t>
      </w:r>
    </w:p>
    <w:p w:rsidR="00C07052" w:rsidRPr="00BB61B7" w:rsidRDefault="00C07052" w:rsidP="00E302F6">
      <w:pPr>
        <w:spacing w:before="120" w:line="240" w:lineRule="auto"/>
        <w:rPr>
          <w:rFonts w:ascii="Times New Roman" w:hAnsi="Times New Roman"/>
          <w:b/>
        </w:rPr>
      </w:pPr>
      <w:r w:rsidRPr="00C07052">
        <w:rPr>
          <w:rFonts w:ascii="Times New Roman" w:hAnsi="Times New Roman"/>
          <w:b/>
        </w:rPr>
        <w:t>14. tabula</w:t>
      </w:r>
      <w:r w:rsidRPr="00C07052">
        <w:rPr>
          <w:rStyle w:val="Heading311"/>
          <w:rFonts w:ascii="Times New Roman" w:hAnsi="Times New Roman" w:cs="Times New Roman"/>
          <w:b/>
          <w:sz w:val="24"/>
          <w:szCs w:val="24"/>
          <w:lang w:val="lv-LV"/>
        </w:rPr>
        <w:t xml:space="preserve"> Finanējuma</w:t>
      </w:r>
      <w:r>
        <w:rPr>
          <w:rStyle w:val="Heading311"/>
          <w:rFonts w:ascii="Times New Roman" w:hAnsi="Times New Roman" w:cs="Times New Roman"/>
          <w:b/>
          <w:sz w:val="24"/>
          <w:szCs w:val="24"/>
          <w:lang w:val="lv-LV"/>
        </w:rPr>
        <w:t xml:space="preserve"> s</w:t>
      </w:r>
      <w:r w:rsidRPr="00BB61B7">
        <w:rPr>
          <w:rStyle w:val="Heading311"/>
          <w:rFonts w:ascii="Times New Roman" w:hAnsi="Times New Roman" w:cs="Times New Roman"/>
          <w:b/>
          <w:sz w:val="24"/>
          <w:szCs w:val="24"/>
          <w:lang w:val="lv-LV"/>
        </w:rPr>
        <w:t>adalījums pa prioritārajiem virzieniem un tematiskajiem mērķiem</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382"/>
        <w:gridCol w:w="2032"/>
        <w:gridCol w:w="2161"/>
        <w:gridCol w:w="2250"/>
      </w:tblGrid>
      <w:tr w:rsidR="00812136" w:rsidRPr="00BB61B7" w:rsidTr="00C07052">
        <w:trPr>
          <w:trHeight w:val="842"/>
        </w:trPr>
        <w:tc>
          <w:tcPr>
            <w:tcW w:w="1266" w:type="pct"/>
            <w:shd w:val="clear" w:color="auto" w:fill="DBE5F1"/>
            <w:vAlign w:val="center"/>
          </w:tcPr>
          <w:p w:rsidR="00812136" w:rsidRPr="00BB61B7" w:rsidRDefault="00381CC4" w:rsidP="00E302F6">
            <w:pPr>
              <w:spacing w:before="120" w:line="240" w:lineRule="auto"/>
              <w:rPr>
                <w:rFonts w:ascii="Times New Roman" w:hAnsi="Times New Roman"/>
                <w:b/>
                <w:sz w:val="18"/>
                <w:szCs w:val="18"/>
              </w:rPr>
            </w:pPr>
            <w:r w:rsidRPr="00BB61B7">
              <w:rPr>
                <w:rFonts w:ascii="Times New Roman" w:hAnsi="Times New Roman"/>
                <w:b/>
                <w:sz w:val="18"/>
                <w:szCs w:val="18"/>
              </w:rPr>
              <w:t>Prioritārais virziens</w:t>
            </w:r>
          </w:p>
        </w:tc>
        <w:tc>
          <w:tcPr>
            <w:tcW w:w="1285" w:type="pct"/>
            <w:shd w:val="clear" w:color="auto" w:fill="DBE5F1"/>
            <w:vAlign w:val="center"/>
          </w:tcPr>
          <w:p w:rsidR="00812136" w:rsidRPr="00BB61B7" w:rsidRDefault="00381CC4" w:rsidP="00E302F6">
            <w:pPr>
              <w:spacing w:before="120" w:line="240" w:lineRule="auto"/>
              <w:rPr>
                <w:rFonts w:ascii="Times New Roman" w:hAnsi="Times New Roman"/>
                <w:b/>
                <w:sz w:val="18"/>
                <w:szCs w:val="18"/>
              </w:rPr>
            </w:pPr>
            <w:r w:rsidRPr="00BB61B7">
              <w:rPr>
                <w:rFonts w:ascii="Times New Roman" w:hAnsi="Times New Roman"/>
                <w:b/>
                <w:sz w:val="18"/>
                <w:szCs w:val="18"/>
              </w:rPr>
              <w:t>Tematiskais mērķis</w:t>
            </w:r>
          </w:p>
        </w:tc>
        <w:tc>
          <w:tcPr>
            <w:tcW w:w="772" w:type="pct"/>
            <w:shd w:val="clear" w:color="auto" w:fill="DBE5F1"/>
            <w:vAlign w:val="center"/>
          </w:tcPr>
          <w:p w:rsidR="00812136" w:rsidRPr="00BB61B7" w:rsidRDefault="00381CC4" w:rsidP="00E302F6">
            <w:pPr>
              <w:spacing w:before="120" w:line="240" w:lineRule="auto"/>
              <w:jc w:val="center"/>
              <w:rPr>
                <w:rFonts w:ascii="Times New Roman" w:hAnsi="Times New Roman"/>
                <w:b/>
                <w:smallCaps/>
                <w:sz w:val="18"/>
                <w:szCs w:val="18"/>
              </w:rPr>
            </w:pPr>
            <w:r w:rsidRPr="00BB61B7">
              <w:rPr>
                <w:rFonts w:ascii="Times New Roman" w:hAnsi="Times New Roman"/>
                <w:b/>
                <w:bCs/>
                <w:sz w:val="18"/>
                <w:szCs w:val="18"/>
              </w:rPr>
              <w:t xml:space="preserve">ES </w:t>
            </w:r>
            <w:r w:rsidR="00BB61B7" w:rsidRPr="00BB61B7">
              <w:rPr>
                <w:rStyle w:val="Heading311"/>
                <w:rFonts w:ascii="Times New Roman" w:hAnsi="Times New Roman"/>
                <w:b/>
                <w:sz w:val="18"/>
                <w:szCs w:val="18"/>
                <w:lang w:val="lv-LV"/>
              </w:rPr>
              <w:t>atbalsts</w:t>
            </w:r>
          </w:p>
        </w:tc>
        <w:tc>
          <w:tcPr>
            <w:tcW w:w="821" w:type="pct"/>
            <w:shd w:val="clear" w:color="auto" w:fill="DBE5F1"/>
            <w:vAlign w:val="center"/>
          </w:tcPr>
          <w:p w:rsidR="00812136" w:rsidRPr="00BB61B7" w:rsidRDefault="00BB61B7" w:rsidP="00E302F6">
            <w:pPr>
              <w:spacing w:before="120" w:line="240" w:lineRule="auto"/>
              <w:jc w:val="center"/>
              <w:rPr>
                <w:rFonts w:ascii="Times New Roman" w:hAnsi="Times New Roman"/>
                <w:b/>
                <w:smallCaps/>
                <w:sz w:val="18"/>
                <w:szCs w:val="18"/>
              </w:rPr>
            </w:pPr>
            <w:bookmarkStart w:id="226" w:name="_Toc389750523"/>
            <w:bookmarkStart w:id="227" w:name="_Toc389751012"/>
            <w:bookmarkStart w:id="228" w:name="_Toc389751499"/>
            <w:bookmarkStart w:id="229" w:name="_Toc389751992"/>
            <w:bookmarkStart w:id="230" w:name="_Toc389812034"/>
            <w:r w:rsidRPr="00BB61B7">
              <w:rPr>
                <w:rFonts w:ascii="Times New Roman" w:hAnsi="Times New Roman"/>
                <w:b/>
                <w:sz w:val="18"/>
                <w:szCs w:val="18"/>
              </w:rPr>
              <w:t>Valsts ieguldījums (līdzfinansējums)</w:t>
            </w:r>
            <w:bookmarkEnd w:id="226"/>
            <w:bookmarkEnd w:id="227"/>
            <w:bookmarkEnd w:id="228"/>
            <w:bookmarkEnd w:id="229"/>
            <w:bookmarkEnd w:id="230"/>
          </w:p>
        </w:tc>
        <w:tc>
          <w:tcPr>
            <w:tcW w:w="855" w:type="pct"/>
            <w:shd w:val="clear" w:color="auto" w:fill="DBE5F1"/>
            <w:vAlign w:val="center"/>
          </w:tcPr>
          <w:p w:rsidR="00812136" w:rsidRPr="00BB61B7" w:rsidRDefault="00381CC4" w:rsidP="00E302F6">
            <w:pPr>
              <w:spacing w:before="120" w:line="240" w:lineRule="auto"/>
              <w:jc w:val="center"/>
              <w:rPr>
                <w:rFonts w:ascii="Times New Roman" w:hAnsi="Times New Roman"/>
                <w:b/>
                <w:smallCaps/>
                <w:sz w:val="18"/>
                <w:szCs w:val="18"/>
              </w:rPr>
            </w:pPr>
            <w:r w:rsidRPr="00BB61B7">
              <w:rPr>
                <w:rFonts w:ascii="Times New Roman" w:hAnsi="Times New Roman"/>
                <w:b/>
                <w:bCs/>
                <w:sz w:val="18"/>
                <w:szCs w:val="18"/>
              </w:rPr>
              <w:t>Kopējais finansējums</w:t>
            </w:r>
          </w:p>
        </w:tc>
      </w:tr>
      <w:tr w:rsidR="00812136" w:rsidRPr="00BB61B7" w:rsidTr="00C07052">
        <w:trPr>
          <w:trHeight w:val="632"/>
        </w:trPr>
        <w:tc>
          <w:tcPr>
            <w:tcW w:w="1266" w:type="pct"/>
            <w:shd w:val="clear" w:color="auto" w:fill="auto"/>
            <w:vAlign w:val="center"/>
          </w:tcPr>
          <w:p w:rsidR="00812136" w:rsidRPr="00C77C1E" w:rsidRDefault="00381CC4" w:rsidP="00E302F6">
            <w:pPr>
              <w:spacing w:before="120" w:line="240" w:lineRule="auto"/>
              <w:jc w:val="left"/>
              <w:rPr>
                <w:rFonts w:ascii="Times New Roman" w:hAnsi="Times New Roman"/>
                <w:b/>
                <w:sz w:val="18"/>
                <w:szCs w:val="18"/>
                <w:lang w:val="fr-FR"/>
              </w:rPr>
            </w:pPr>
            <w:r w:rsidRPr="00C77C1E">
              <w:rPr>
                <w:rFonts w:ascii="Times New Roman" w:hAnsi="Times New Roman"/>
                <w:b/>
                <w:sz w:val="18"/>
                <w:szCs w:val="18"/>
                <w:lang w:val="fr-FR"/>
              </w:rPr>
              <w:t>1.prioritārais virziens - Ilgtspējīga un tīra vide sadarbības rezultātā</w:t>
            </w:r>
          </w:p>
        </w:tc>
        <w:tc>
          <w:tcPr>
            <w:tcW w:w="1285" w:type="pct"/>
            <w:shd w:val="clear" w:color="auto" w:fill="auto"/>
            <w:vAlign w:val="center"/>
          </w:tcPr>
          <w:p w:rsidR="00812136" w:rsidRPr="00C77C1E" w:rsidRDefault="00381CC4" w:rsidP="00E302F6">
            <w:pPr>
              <w:spacing w:before="120" w:line="240" w:lineRule="auto"/>
              <w:jc w:val="left"/>
              <w:rPr>
                <w:rFonts w:ascii="Times New Roman" w:hAnsi="Times New Roman"/>
                <w:sz w:val="18"/>
                <w:szCs w:val="18"/>
                <w:lang w:val="fr-FR" w:eastAsia="fr-BE"/>
              </w:rPr>
            </w:pPr>
            <w:r w:rsidRPr="00C77C1E">
              <w:rPr>
                <w:rFonts w:ascii="Times New Roman" w:hAnsi="Times New Roman"/>
                <w:sz w:val="18"/>
                <w:szCs w:val="18"/>
                <w:lang w:val="fr-FR" w:eastAsia="fr-BE"/>
              </w:rPr>
              <w:t>Vides saglabāšana un aizsardzība un resursu efektīvas izmantošanas veicināšana</w:t>
            </w:r>
          </w:p>
        </w:tc>
        <w:tc>
          <w:tcPr>
            <w:tcW w:w="772" w:type="pct"/>
            <w:shd w:val="clear" w:color="auto" w:fill="auto"/>
            <w:vAlign w:val="bottom"/>
          </w:tcPr>
          <w:p w:rsidR="00812136" w:rsidRPr="00BB61B7" w:rsidRDefault="00812136" w:rsidP="00E302F6">
            <w:pPr>
              <w:spacing w:before="120" w:line="240" w:lineRule="auto"/>
              <w:jc w:val="center"/>
              <w:rPr>
                <w:rFonts w:ascii="Times New Roman" w:hAnsi="Times New Roman"/>
                <w:color w:val="000000"/>
                <w:sz w:val="18"/>
                <w:szCs w:val="18"/>
              </w:rPr>
            </w:pPr>
            <w:r w:rsidRPr="00BB61B7">
              <w:rPr>
                <w:rFonts w:ascii="Times New Roman" w:hAnsi="Times New Roman"/>
                <w:color w:val="000000"/>
                <w:sz w:val="18"/>
                <w:szCs w:val="18"/>
              </w:rPr>
              <w:t>13 950 422</w:t>
            </w:r>
          </w:p>
          <w:p w:rsidR="00812136" w:rsidRPr="00BB61B7" w:rsidRDefault="00812136" w:rsidP="00E302F6">
            <w:pPr>
              <w:spacing w:before="120" w:line="240" w:lineRule="auto"/>
              <w:jc w:val="center"/>
              <w:rPr>
                <w:rFonts w:ascii="Times New Roman" w:hAnsi="Times New Roman"/>
                <w:sz w:val="18"/>
                <w:szCs w:val="18"/>
              </w:rPr>
            </w:pPr>
          </w:p>
        </w:tc>
        <w:tc>
          <w:tcPr>
            <w:tcW w:w="821"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2 461 839</w:t>
            </w:r>
          </w:p>
        </w:tc>
        <w:tc>
          <w:tcPr>
            <w:tcW w:w="855"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16 412 261</w:t>
            </w:r>
          </w:p>
        </w:tc>
      </w:tr>
      <w:tr w:rsidR="00812136" w:rsidRPr="00BB61B7" w:rsidTr="00C07052">
        <w:tc>
          <w:tcPr>
            <w:tcW w:w="1266" w:type="pct"/>
            <w:shd w:val="clear" w:color="auto" w:fill="auto"/>
            <w:vAlign w:val="center"/>
          </w:tcPr>
          <w:p w:rsidR="00812136" w:rsidRPr="00C77C1E" w:rsidRDefault="00381CC4" w:rsidP="00E302F6">
            <w:pPr>
              <w:spacing w:before="120" w:line="240" w:lineRule="auto"/>
              <w:jc w:val="left"/>
              <w:rPr>
                <w:rFonts w:ascii="Times New Roman" w:hAnsi="Times New Roman"/>
                <w:b/>
                <w:sz w:val="18"/>
                <w:szCs w:val="18"/>
                <w:lang w:val="fr-FR"/>
              </w:rPr>
            </w:pPr>
            <w:r w:rsidRPr="00C77C1E">
              <w:rPr>
                <w:rFonts w:ascii="Times New Roman" w:hAnsi="Times New Roman"/>
                <w:b/>
                <w:sz w:val="18"/>
                <w:szCs w:val="18"/>
                <w:lang w:val="fr-FR"/>
              </w:rPr>
              <w:t>2.prioritārais virziens - Atbalsts darbaspēka mobilitātei un nodarbinātībai</w:t>
            </w:r>
          </w:p>
        </w:tc>
        <w:tc>
          <w:tcPr>
            <w:tcW w:w="1285" w:type="pct"/>
            <w:shd w:val="clear" w:color="auto" w:fill="auto"/>
            <w:vAlign w:val="center"/>
          </w:tcPr>
          <w:p w:rsidR="00812136" w:rsidRPr="00C77C1E" w:rsidRDefault="00381CC4" w:rsidP="00E302F6">
            <w:pPr>
              <w:spacing w:before="120" w:line="240" w:lineRule="auto"/>
              <w:jc w:val="left"/>
              <w:rPr>
                <w:rFonts w:ascii="Times New Roman" w:hAnsi="Times New Roman"/>
                <w:b/>
                <w:sz w:val="18"/>
                <w:szCs w:val="18"/>
                <w:lang w:val="fr-FR"/>
              </w:rPr>
            </w:pPr>
            <w:r w:rsidRPr="00C77C1E">
              <w:rPr>
                <w:rFonts w:ascii="Times New Roman" w:hAnsi="Times New Roman"/>
                <w:color w:val="000000"/>
                <w:sz w:val="18"/>
                <w:szCs w:val="18"/>
                <w:lang w:val="fr-FR" w:eastAsia="lv-LV"/>
              </w:rPr>
              <w:t>Stabilu un kvalitatīvu darbavietu veicināšana un darbaspēka mobilitātes atbalstīšana</w:t>
            </w:r>
          </w:p>
        </w:tc>
        <w:tc>
          <w:tcPr>
            <w:tcW w:w="772" w:type="pct"/>
            <w:shd w:val="clear" w:color="auto" w:fill="auto"/>
            <w:vAlign w:val="bottom"/>
          </w:tcPr>
          <w:p w:rsidR="00812136" w:rsidRPr="00BB61B7" w:rsidRDefault="00812136" w:rsidP="00E302F6">
            <w:pPr>
              <w:spacing w:before="120" w:line="240" w:lineRule="auto"/>
              <w:jc w:val="center"/>
              <w:rPr>
                <w:rFonts w:ascii="Times New Roman" w:hAnsi="Times New Roman"/>
                <w:color w:val="000000"/>
                <w:sz w:val="18"/>
                <w:szCs w:val="18"/>
              </w:rPr>
            </w:pPr>
            <w:r w:rsidRPr="00BB61B7">
              <w:rPr>
                <w:rFonts w:ascii="Times New Roman" w:hAnsi="Times New Roman"/>
                <w:color w:val="000000"/>
                <w:sz w:val="18"/>
                <w:szCs w:val="18"/>
              </w:rPr>
              <w:t>18 083 880</w:t>
            </w:r>
          </w:p>
          <w:p w:rsidR="00812136" w:rsidRPr="00BB61B7" w:rsidRDefault="00812136" w:rsidP="00E302F6">
            <w:pPr>
              <w:spacing w:before="120" w:line="240" w:lineRule="auto"/>
              <w:jc w:val="center"/>
              <w:rPr>
                <w:rFonts w:ascii="Times New Roman" w:hAnsi="Times New Roman"/>
                <w:sz w:val="18"/>
                <w:szCs w:val="18"/>
              </w:rPr>
            </w:pPr>
          </w:p>
        </w:tc>
        <w:tc>
          <w:tcPr>
            <w:tcW w:w="821"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3 191 273</w:t>
            </w:r>
          </w:p>
        </w:tc>
        <w:tc>
          <w:tcPr>
            <w:tcW w:w="855"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21 275 153</w:t>
            </w:r>
          </w:p>
        </w:tc>
      </w:tr>
      <w:tr w:rsidR="00812136" w:rsidRPr="00BB61B7" w:rsidTr="00C07052">
        <w:tc>
          <w:tcPr>
            <w:tcW w:w="1266" w:type="pct"/>
            <w:shd w:val="clear" w:color="auto" w:fill="auto"/>
            <w:vAlign w:val="center"/>
          </w:tcPr>
          <w:p w:rsidR="00812136" w:rsidRPr="00BB61B7" w:rsidRDefault="00381CC4" w:rsidP="00E302F6">
            <w:pPr>
              <w:spacing w:before="120" w:line="240" w:lineRule="auto"/>
              <w:jc w:val="left"/>
              <w:rPr>
                <w:rFonts w:ascii="Times New Roman" w:hAnsi="Times New Roman"/>
                <w:b/>
                <w:sz w:val="18"/>
                <w:szCs w:val="18"/>
              </w:rPr>
            </w:pPr>
            <w:r w:rsidRPr="00BB61B7">
              <w:rPr>
                <w:rFonts w:ascii="Times New Roman" w:hAnsi="Times New Roman"/>
                <w:b/>
                <w:sz w:val="18"/>
                <w:szCs w:val="18"/>
              </w:rPr>
              <w:t>3.prioritārais virziens - Sociālā integrācija iekļaušana kā teritoriālās attīstības priekšnoteikums</w:t>
            </w:r>
          </w:p>
        </w:tc>
        <w:tc>
          <w:tcPr>
            <w:tcW w:w="1285" w:type="pct"/>
            <w:shd w:val="clear" w:color="auto" w:fill="auto"/>
            <w:vAlign w:val="center"/>
          </w:tcPr>
          <w:p w:rsidR="00812136" w:rsidRPr="00BB61B7" w:rsidRDefault="00381CC4" w:rsidP="00E302F6">
            <w:pPr>
              <w:spacing w:before="120" w:line="240" w:lineRule="auto"/>
              <w:jc w:val="left"/>
              <w:rPr>
                <w:rFonts w:ascii="Times New Roman" w:hAnsi="Times New Roman"/>
                <w:b/>
                <w:sz w:val="18"/>
                <w:szCs w:val="18"/>
              </w:rPr>
            </w:pPr>
            <w:r w:rsidRPr="00BB61B7">
              <w:rPr>
                <w:rFonts w:ascii="Times New Roman" w:hAnsi="Times New Roman"/>
                <w:color w:val="000000"/>
                <w:sz w:val="18"/>
                <w:szCs w:val="18"/>
              </w:rPr>
              <w:t>Sociālās iekļaušanas veicināšana, cīņa pret nabadzību un jebkādu diskrimināciju</w:t>
            </w:r>
          </w:p>
        </w:tc>
        <w:tc>
          <w:tcPr>
            <w:tcW w:w="772" w:type="pct"/>
            <w:shd w:val="clear" w:color="auto" w:fill="auto"/>
            <w:vAlign w:val="bottom"/>
          </w:tcPr>
          <w:p w:rsidR="00812136" w:rsidRPr="00BB61B7" w:rsidRDefault="00812136" w:rsidP="00E302F6">
            <w:pPr>
              <w:spacing w:before="120" w:line="240" w:lineRule="auto"/>
              <w:jc w:val="center"/>
              <w:rPr>
                <w:rFonts w:ascii="Times New Roman" w:hAnsi="Times New Roman"/>
                <w:color w:val="000000"/>
                <w:sz w:val="18"/>
                <w:szCs w:val="18"/>
              </w:rPr>
            </w:pPr>
            <w:r w:rsidRPr="00BB61B7">
              <w:rPr>
                <w:rFonts w:ascii="Times New Roman" w:hAnsi="Times New Roman"/>
                <w:color w:val="000000"/>
                <w:sz w:val="18"/>
                <w:szCs w:val="18"/>
              </w:rPr>
              <w:t>10 333 646</w:t>
            </w:r>
          </w:p>
          <w:p w:rsidR="00812136" w:rsidRPr="00BB61B7" w:rsidRDefault="00812136" w:rsidP="00E302F6">
            <w:pPr>
              <w:spacing w:before="120" w:line="240" w:lineRule="auto"/>
              <w:jc w:val="center"/>
              <w:rPr>
                <w:rFonts w:ascii="Times New Roman" w:hAnsi="Times New Roman"/>
                <w:sz w:val="18"/>
                <w:szCs w:val="18"/>
              </w:rPr>
            </w:pPr>
          </w:p>
        </w:tc>
        <w:tc>
          <w:tcPr>
            <w:tcW w:w="821"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1 823 585</w:t>
            </w:r>
          </w:p>
        </w:tc>
        <w:tc>
          <w:tcPr>
            <w:tcW w:w="855"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12 157 231</w:t>
            </w:r>
          </w:p>
        </w:tc>
      </w:tr>
      <w:tr w:rsidR="00812136" w:rsidRPr="00BB61B7" w:rsidTr="00C07052">
        <w:tc>
          <w:tcPr>
            <w:tcW w:w="1266" w:type="pct"/>
            <w:shd w:val="clear" w:color="auto" w:fill="auto"/>
            <w:vAlign w:val="center"/>
          </w:tcPr>
          <w:p w:rsidR="00812136" w:rsidRPr="00BB61B7" w:rsidRDefault="00381CC4" w:rsidP="00E302F6">
            <w:pPr>
              <w:spacing w:before="120" w:line="240" w:lineRule="auto"/>
              <w:jc w:val="left"/>
              <w:rPr>
                <w:rFonts w:ascii="Times New Roman" w:hAnsi="Times New Roman"/>
                <w:b/>
                <w:sz w:val="18"/>
                <w:szCs w:val="18"/>
              </w:rPr>
            </w:pPr>
            <w:r w:rsidRPr="00BB61B7">
              <w:rPr>
                <w:rFonts w:ascii="Times New Roman" w:hAnsi="Times New Roman"/>
                <w:b/>
                <w:sz w:val="18"/>
                <w:szCs w:val="18"/>
              </w:rPr>
              <w:t>4.prioritārais virziens -</w:t>
            </w:r>
            <w:r w:rsidRPr="00BB61B7">
              <w:rPr>
                <w:rFonts w:ascii="Times New Roman" w:hAnsi="Times New Roman"/>
                <w:sz w:val="18"/>
                <w:szCs w:val="18"/>
              </w:rPr>
              <w:t xml:space="preserve"> </w:t>
            </w:r>
            <w:r w:rsidRPr="00BB61B7">
              <w:rPr>
                <w:rFonts w:ascii="Times New Roman" w:hAnsi="Times New Roman"/>
                <w:b/>
                <w:sz w:val="18"/>
                <w:szCs w:val="18"/>
              </w:rPr>
              <w:t>Uzlabota dzīves kvalitāte efektīvu publisko pakalpojumu un administrācijas rezultātā</w:t>
            </w:r>
          </w:p>
        </w:tc>
        <w:tc>
          <w:tcPr>
            <w:tcW w:w="1285" w:type="pct"/>
            <w:shd w:val="clear" w:color="auto" w:fill="auto"/>
            <w:vAlign w:val="center"/>
          </w:tcPr>
          <w:p w:rsidR="00812136" w:rsidRPr="00BB61B7" w:rsidRDefault="00381CC4" w:rsidP="00E302F6">
            <w:pPr>
              <w:spacing w:before="120" w:line="240" w:lineRule="auto"/>
              <w:jc w:val="left"/>
              <w:rPr>
                <w:rFonts w:ascii="Times New Roman" w:hAnsi="Times New Roman"/>
                <w:b/>
                <w:sz w:val="18"/>
                <w:szCs w:val="18"/>
              </w:rPr>
            </w:pPr>
            <w:r w:rsidRPr="00BB61B7">
              <w:rPr>
                <w:rFonts w:ascii="Times New Roman" w:hAnsi="Times New Roman"/>
                <w:sz w:val="18"/>
                <w:szCs w:val="18"/>
              </w:rPr>
              <w:t>Publisko iestāžu un iesaistīto personu institucionālo spēju un valsts pārvaldes efektivitātes uzlabošana</w:t>
            </w:r>
          </w:p>
        </w:tc>
        <w:tc>
          <w:tcPr>
            <w:tcW w:w="772" w:type="pct"/>
            <w:shd w:val="clear" w:color="auto" w:fill="auto"/>
            <w:vAlign w:val="bottom"/>
          </w:tcPr>
          <w:p w:rsidR="00812136" w:rsidRPr="00BB61B7" w:rsidRDefault="00812136" w:rsidP="00E302F6">
            <w:pPr>
              <w:spacing w:before="120" w:line="240" w:lineRule="auto"/>
              <w:jc w:val="center"/>
              <w:rPr>
                <w:rFonts w:ascii="Times New Roman" w:hAnsi="Times New Roman"/>
                <w:color w:val="000000"/>
                <w:sz w:val="18"/>
                <w:szCs w:val="18"/>
              </w:rPr>
            </w:pPr>
            <w:r w:rsidRPr="00BB61B7">
              <w:rPr>
                <w:rFonts w:ascii="Times New Roman" w:hAnsi="Times New Roman"/>
                <w:color w:val="000000"/>
                <w:sz w:val="18"/>
                <w:szCs w:val="18"/>
              </w:rPr>
              <w:t>9 300 281</w:t>
            </w:r>
          </w:p>
          <w:p w:rsidR="00812136" w:rsidRPr="00BB61B7" w:rsidRDefault="00812136" w:rsidP="00E302F6">
            <w:pPr>
              <w:spacing w:before="120" w:line="240" w:lineRule="auto"/>
              <w:jc w:val="center"/>
              <w:rPr>
                <w:rFonts w:ascii="Times New Roman" w:hAnsi="Times New Roman"/>
                <w:sz w:val="18"/>
                <w:szCs w:val="18"/>
              </w:rPr>
            </w:pPr>
          </w:p>
        </w:tc>
        <w:tc>
          <w:tcPr>
            <w:tcW w:w="821"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1 641 226</w:t>
            </w:r>
          </w:p>
        </w:tc>
        <w:tc>
          <w:tcPr>
            <w:tcW w:w="855"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10 941 507</w:t>
            </w:r>
          </w:p>
        </w:tc>
      </w:tr>
      <w:tr w:rsidR="00812136" w:rsidRPr="00BB61B7" w:rsidTr="00C07052">
        <w:tc>
          <w:tcPr>
            <w:tcW w:w="1266" w:type="pct"/>
            <w:shd w:val="clear" w:color="auto" w:fill="auto"/>
            <w:vAlign w:val="center"/>
          </w:tcPr>
          <w:p w:rsidR="00812136" w:rsidRPr="00BB61B7" w:rsidRDefault="00381CC4" w:rsidP="00E302F6">
            <w:pPr>
              <w:spacing w:before="120" w:line="240" w:lineRule="auto"/>
              <w:jc w:val="left"/>
              <w:rPr>
                <w:rFonts w:ascii="Times New Roman" w:hAnsi="Times New Roman"/>
                <w:b/>
                <w:sz w:val="18"/>
                <w:szCs w:val="18"/>
              </w:rPr>
            </w:pPr>
            <w:r w:rsidRPr="00BB61B7">
              <w:rPr>
                <w:rFonts w:ascii="Times New Roman" w:hAnsi="Times New Roman"/>
                <w:b/>
                <w:sz w:val="18"/>
                <w:szCs w:val="18"/>
              </w:rPr>
              <w:t>Tehniskā palīdzība</w:t>
            </w:r>
          </w:p>
        </w:tc>
        <w:tc>
          <w:tcPr>
            <w:tcW w:w="1285" w:type="pct"/>
            <w:shd w:val="clear" w:color="auto" w:fill="auto"/>
            <w:vAlign w:val="center"/>
          </w:tcPr>
          <w:p w:rsidR="00812136" w:rsidRPr="00BB61B7" w:rsidRDefault="00381CC4" w:rsidP="00E302F6">
            <w:pPr>
              <w:spacing w:before="120" w:line="240" w:lineRule="auto"/>
              <w:jc w:val="left"/>
              <w:rPr>
                <w:rFonts w:ascii="Times New Roman" w:hAnsi="Times New Roman"/>
                <w:i/>
                <w:sz w:val="18"/>
                <w:szCs w:val="18"/>
              </w:rPr>
            </w:pPr>
            <w:r w:rsidRPr="00BB61B7">
              <w:rPr>
                <w:rFonts w:ascii="Times New Roman" w:hAnsi="Times New Roman"/>
                <w:i/>
                <w:sz w:val="18"/>
                <w:szCs w:val="18"/>
              </w:rPr>
              <w:t xml:space="preserve">Nav </w:t>
            </w:r>
            <w:r w:rsidR="00BB61B7">
              <w:rPr>
                <w:rFonts w:ascii="Times New Roman" w:hAnsi="Times New Roman"/>
                <w:i/>
                <w:sz w:val="18"/>
                <w:szCs w:val="18"/>
              </w:rPr>
              <w:t>piemērojams</w:t>
            </w:r>
          </w:p>
        </w:tc>
        <w:tc>
          <w:tcPr>
            <w:tcW w:w="772" w:type="pct"/>
            <w:shd w:val="clear" w:color="auto" w:fill="auto"/>
            <w:vAlign w:val="bottom"/>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color w:val="000000"/>
                <w:sz w:val="18"/>
                <w:szCs w:val="18"/>
              </w:rPr>
              <w:t>3 297 972</w:t>
            </w:r>
          </w:p>
        </w:tc>
        <w:tc>
          <w:tcPr>
            <w:tcW w:w="821"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930 197</w:t>
            </w:r>
          </w:p>
        </w:tc>
        <w:tc>
          <w:tcPr>
            <w:tcW w:w="855" w:type="pct"/>
            <w:shd w:val="clear" w:color="auto" w:fill="auto"/>
            <w:vAlign w:val="center"/>
          </w:tcPr>
          <w:p w:rsidR="00812136" w:rsidRPr="00BB61B7" w:rsidRDefault="00812136" w:rsidP="00E302F6">
            <w:pPr>
              <w:spacing w:before="120" w:line="240" w:lineRule="auto"/>
              <w:jc w:val="center"/>
              <w:rPr>
                <w:rFonts w:ascii="Times New Roman" w:hAnsi="Times New Roman"/>
                <w:sz w:val="18"/>
                <w:szCs w:val="18"/>
              </w:rPr>
            </w:pPr>
            <w:r w:rsidRPr="00BB61B7">
              <w:rPr>
                <w:rFonts w:ascii="Times New Roman" w:hAnsi="Times New Roman"/>
                <w:sz w:val="18"/>
                <w:szCs w:val="18"/>
              </w:rPr>
              <w:t>4 228 169</w:t>
            </w:r>
          </w:p>
        </w:tc>
      </w:tr>
      <w:tr w:rsidR="00812136" w:rsidRPr="00BB61B7" w:rsidTr="00C07052">
        <w:tc>
          <w:tcPr>
            <w:tcW w:w="1266" w:type="pct"/>
            <w:shd w:val="clear" w:color="auto" w:fill="auto"/>
            <w:vAlign w:val="center"/>
          </w:tcPr>
          <w:p w:rsidR="00812136" w:rsidRPr="00BB61B7" w:rsidRDefault="00381CC4" w:rsidP="00E302F6">
            <w:pPr>
              <w:spacing w:before="120" w:line="240" w:lineRule="auto"/>
              <w:jc w:val="left"/>
              <w:rPr>
                <w:rFonts w:ascii="Times New Roman" w:hAnsi="Times New Roman"/>
                <w:b/>
                <w:smallCaps/>
                <w:sz w:val="18"/>
                <w:szCs w:val="18"/>
              </w:rPr>
            </w:pPr>
            <w:r w:rsidRPr="00BB61B7">
              <w:rPr>
                <w:rFonts w:ascii="Times New Roman" w:hAnsi="Times New Roman"/>
                <w:b/>
                <w:smallCaps/>
                <w:sz w:val="18"/>
                <w:szCs w:val="18"/>
              </w:rPr>
              <w:t>Kopā</w:t>
            </w:r>
          </w:p>
        </w:tc>
        <w:tc>
          <w:tcPr>
            <w:tcW w:w="1285" w:type="pct"/>
            <w:shd w:val="clear" w:color="auto" w:fill="auto"/>
            <w:vAlign w:val="center"/>
          </w:tcPr>
          <w:p w:rsidR="00812136" w:rsidRPr="00BB61B7" w:rsidRDefault="00812136" w:rsidP="00E302F6">
            <w:pPr>
              <w:spacing w:before="120" w:line="240" w:lineRule="auto"/>
              <w:jc w:val="left"/>
              <w:rPr>
                <w:rFonts w:ascii="Times New Roman" w:hAnsi="Times New Roman"/>
                <w:b/>
                <w:smallCaps/>
                <w:sz w:val="18"/>
                <w:szCs w:val="18"/>
              </w:rPr>
            </w:pPr>
          </w:p>
        </w:tc>
        <w:tc>
          <w:tcPr>
            <w:tcW w:w="772" w:type="pct"/>
            <w:shd w:val="clear" w:color="auto" w:fill="auto"/>
            <w:vAlign w:val="center"/>
          </w:tcPr>
          <w:p w:rsidR="00812136" w:rsidRPr="00BB61B7" w:rsidRDefault="00812136" w:rsidP="00E302F6">
            <w:pPr>
              <w:spacing w:before="120" w:line="240" w:lineRule="auto"/>
              <w:jc w:val="center"/>
              <w:rPr>
                <w:rFonts w:ascii="Times New Roman" w:hAnsi="Times New Roman"/>
                <w:b/>
                <w:bCs/>
                <w:sz w:val="18"/>
                <w:szCs w:val="18"/>
              </w:rPr>
            </w:pPr>
            <w:r w:rsidRPr="00BB61B7">
              <w:rPr>
                <w:rFonts w:ascii="Times New Roman" w:hAnsi="Times New Roman"/>
                <w:b/>
                <w:bCs/>
                <w:sz w:val="18"/>
                <w:szCs w:val="18"/>
              </w:rPr>
              <w:t>54 966 201</w:t>
            </w:r>
          </w:p>
        </w:tc>
        <w:tc>
          <w:tcPr>
            <w:tcW w:w="821" w:type="pct"/>
            <w:shd w:val="clear" w:color="auto" w:fill="auto"/>
            <w:vAlign w:val="center"/>
          </w:tcPr>
          <w:p w:rsidR="00812136" w:rsidRPr="00BB61B7" w:rsidRDefault="00812136" w:rsidP="00E302F6">
            <w:pPr>
              <w:spacing w:before="120" w:line="240" w:lineRule="auto"/>
              <w:jc w:val="center"/>
              <w:rPr>
                <w:rFonts w:ascii="Times New Roman" w:hAnsi="Times New Roman"/>
                <w:b/>
                <w:bCs/>
                <w:sz w:val="18"/>
                <w:szCs w:val="18"/>
              </w:rPr>
            </w:pPr>
            <w:r w:rsidRPr="00BB61B7">
              <w:rPr>
                <w:rFonts w:ascii="Times New Roman" w:hAnsi="Times New Roman"/>
                <w:b/>
                <w:bCs/>
                <w:sz w:val="18"/>
                <w:szCs w:val="18"/>
              </w:rPr>
              <w:t>10 048 120</w:t>
            </w:r>
          </w:p>
        </w:tc>
        <w:tc>
          <w:tcPr>
            <w:tcW w:w="855" w:type="pct"/>
            <w:shd w:val="clear" w:color="auto" w:fill="auto"/>
            <w:vAlign w:val="center"/>
          </w:tcPr>
          <w:p w:rsidR="00812136" w:rsidRPr="00BB61B7" w:rsidRDefault="00812136" w:rsidP="00E302F6">
            <w:pPr>
              <w:spacing w:before="120" w:line="240" w:lineRule="auto"/>
              <w:jc w:val="center"/>
              <w:rPr>
                <w:rFonts w:ascii="Times New Roman" w:hAnsi="Times New Roman"/>
                <w:b/>
                <w:bCs/>
                <w:sz w:val="18"/>
                <w:szCs w:val="18"/>
              </w:rPr>
            </w:pPr>
            <w:r w:rsidRPr="00BB61B7">
              <w:rPr>
                <w:rFonts w:ascii="Times New Roman" w:hAnsi="Times New Roman"/>
                <w:b/>
                <w:bCs/>
                <w:sz w:val="18"/>
                <w:szCs w:val="18"/>
              </w:rPr>
              <w:t>65 014 321</w:t>
            </w:r>
          </w:p>
        </w:tc>
      </w:tr>
    </w:tbl>
    <w:p w:rsidR="00812136" w:rsidRDefault="00812136" w:rsidP="00E302F6">
      <w:pPr>
        <w:spacing w:before="120" w:line="240" w:lineRule="auto"/>
        <w:jc w:val="left"/>
        <w:rPr>
          <w:b/>
          <w:bCs/>
          <w:smallCaps/>
        </w:rPr>
      </w:pPr>
    </w:p>
    <w:p w:rsidR="00812136" w:rsidRPr="00BB61B7" w:rsidRDefault="00812136" w:rsidP="00E302F6">
      <w:pPr>
        <w:spacing w:before="120" w:line="240" w:lineRule="auto"/>
        <w:jc w:val="left"/>
        <w:rPr>
          <w:b/>
          <w:bCs/>
          <w:smallCaps/>
          <w:sz w:val="18"/>
          <w:szCs w:val="18"/>
        </w:rPr>
      </w:pPr>
    </w:p>
    <w:p w:rsidR="00812136" w:rsidRPr="00BB61B7" w:rsidRDefault="00381CC4" w:rsidP="00E302F6">
      <w:pPr>
        <w:spacing w:before="120" w:line="240" w:lineRule="auto"/>
        <w:rPr>
          <w:rFonts w:ascii="Times New Roman" w:hAnsi="Times New Roman"/>
          <w:b/>
        </w:rPr>
      </w:pPr>
      <w:r w:rsidRPr="00BB61B7">
        <w:rPr>
          <w:rFonts w:ascii="Times New Roman" w:hAnsi="Times New Roman"/>
          <w:b/>
        </w:rPr>
        <w:t>15.</w:t>
      </w:r>
      <w:r w:rsidR="00E559EC" w:rsidRPr="00BB61B7">
        <w:rPr>
          <w:rFonts w:ascii="Times New Roman" w:hAnsi="Times New Roman"/>
          <w:b/>
        </w:rPr>
        <w:t xml:space="preserve"> </w:t>
      </w:r>
      <w:r w:rsidRPr="00BB61B7">
        <w:rPr>
          <w:rFonts w:ascii="Times New Roman" w:hAnsi="Times New Roman"/>
          <w:b/>
        </w:rPr>
        <w:t>tabula</w:t>
      </w:r>
      <w:r w:rsidR="00BB61B7" w:rsidRPr="00BB61B7">
        <w:rPr>
          <w:rFonts w:ascii="Times New Roman" w:hAnsi="Times New Roman"/>
          <w:b/>
        </w:rPr>
        <w:t xml:space="preserve"> </w:t>
      </w:r>
      <w:r w:rsidR="00BB61B7" w:rsidRPr="00BB61B7">
        <w:rPr>
          <w:rStyle w:val="Heading311"/>
          <w:rFonts w:ascii="Times New Roman" w:hAnsi="Times New Roman"/>
          <w:b/>
          <w:sz w:val="24"/>
          <w:szCs w:val="24"/>
          <w:lang w:val="lv-LV"/>
        </w:rPr>
        <w:t>Provizoriskā finansējuma apjoms, kas paredzēts ar klimata pārmaiņām saistītajiem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6"/>
        <w:gridCol w:w="4410"/>
        <w:gridCol w:w="4410"/>
      </w:tblGrid>
      <w:tr w:rsidR="00812136" w:rsidRPr="00BB61B7" w:rsidTr="00812136">
        <w:tc>
          <w:tcPr>
            <w:tcW w:w="4356" w:type="dxa"/>
            <w:shd w:val="clear" w:color="auto" w:fill="auto"/>
          </w:tcPr>
          <w:p w:rsidR="00812136" w:rsidRPr="00BB61B7" w:rsidRDefault="00381CC4" w:rsidP="00E302F6">
            <w:pPr>
              <w:spacing w:before="120" w:line="240" w:lineRule="auto"/>
              <w:jc w:val="center"/>
              <w:rPr>
                <w:rFonts w:ascii="Times New Roman" w:hAnsi="Times New Roman"/>
                <w:b/>
                <w:sz w:val="18"/>
                <w:szCs w:val="18"/>
              </w:rPr>
            </w:pPr>
            <w:r w:rsidRPr="00BB61B7">
              <w:rPr>
                <w:rFonts w:ascii="Times New Roman" w:hAnsi="Times New Roman"/>
                <w:b/>
                <w:sz w:val="18"/>
                <w:szCs w:val="18"/>
              </w:rPr>
              <w:t>Prioritārais virziens</w:t>
            </w:r>
          </w:p>
        </w:tc>
        <w:tc>
          <w:tcPr>
            <w:tcW w:w="4410" w:type="dxa"/>
            <w:shd w:val="clear" w:color="auto" w:fill="auto"/>
          </w:tcPr>
          <w:p w:rsidR="00812136" w:rsidRPr="00BB61B7" w:rsidRDefault="00BB61B7" w:rsidP="00E302F6">
            <w:pPr>
              <w:spacing w:before="120" w:line="240" w:lineRule="auto"/>
              <w:jc w:val="center"/>
              <w:rPr>
                <w:rFonts w:ascii="Times New Roman" w:hAnsi="Times New Roman"/>
                <w:b/>
                <w:sz w:val="18"/>
                <w:szCs w:val="18"/>
              </w:rPr>
            </w:pPr>
            <w:bookmarkStart w:id="231" w:name="_Toc384391791"/>
            <w:bookmarkStart w:id="232" w:name="_Toc388006885"/>
            <w:bookmarkStart w:id="233" w:name="_Toc389750556"/>
            <w:bookmarkStart w:id="234" w:name="_Toc389751045"/>
            <w:bookmarkStart w:id="235" w:name="_Toc389751532"/>
            <w:bookmarkStart w:id="236" w:name="_Toc389752025"/>
            <w:bookmarkStart w:id="237" w:name="_Toc389812067"/>
            <w:r w:rsidRPr="00BB61B7">
              <w:rPr>
                <w:rStyle w:val="Heading311"/>
                <w:rFonts w:ascii="Times New Roman" w:hAnsi="Times New Roman"/>
                <w:b/>
                <w:sz w:val="18"/>
                <w:szCs w:val="18"/>
                <w:lang w:val="lv-LV"/>
              </w:rPr>
              <w:t>Provizoriskais finansējuma apjoms, kas paredzēts ar klimata pārmaiņām saistītajiem mērķiem</w:t>
            </w:r>
            <w:bookmarkEnd w:id="231"/>
            <w:bookmarkEnd w:id="232"/>
            <w:bookmarkEnd w:id="233"/>
            <w:bookmarkEnd w:id="234"/>
            <w:bookmarkEnd w:id="235"/>
            <w:bookmarkEnd w:id="236"/>
            <w:bookmarkEnd w:id="237"/>
            <w:r w:rsidR="00053D62">
              <w:rPr>
                <w:rStyle w:val="Heading311"/>
                <w:rFonts w:ascii="Times New Roman" w:hAnsi="Times New Roman"/>
                <w:b/>
                <w:sz w:val="18"/>
                <w:szCs w:val="18"/>
                <w:lang w:val="lv-LV"/>
              </w:rPr>
              <w:t xml:space="preserve"> (EUR)</w:t>
            </w:r>
          </w:p>
        </w:tc>
        <w:tc>
          <w:tcPr>
            <w:tcW w:w="4410" w:type="dxa"/>
            <w:shd w:val="clear" w:color="auto" w:fill="auto"/>
          </w:tcPr>
          <w:p w:rsidR="00812136" w:rsidRPr="00BB61B7" w:rsidRDefault="00381CC4" w:rsidP="00E302F6">
            <w:pPr>
              <w:spacing w:before="120" w:line="240" w:lineRule="auto"/>
              <w:jc w:val="center"/>
              <w:rPr>
                <w:rFonts w:ascii="Times New Roman" w:hAnsi="Times New Roman"/>
                <w:b/>
                <w:sz w:val="18"/>
                <w:szCs w:val="18"/>
              </w:rPr>
            </w:pPr>
            <w:r w:rsidRPr="00BB61B7">
              <w:rPr>
                <w:rFonts w:ascii="Times New Roman" w:hAnsi="Times New Roman"/>
                <w:b/>
                <w:sz w:val="18"/>
                <w:szCs w:val="18"/>
              </w:rPr>
              <w:t>Proporcija  no kopējā piešķīruma</w:t>
            </w:r>
            <w:r w:rsidR="00BB61B7">
              <w:rPr>
                <w:rFonts w:ascii="Times New Roman" w:hAnsi="Times New Roman"/>
                <w:b/>
                <w:sz w:val="18"/>
                <w:szCs w:val="18"/>
              </w:rPr>
              <w:t xml:space="preserve"> </w:t>
            </w:r>
            <w:r w:rsidR="00BB61B7" w:rsidRPr="00BB61B7">
              <w:rPr>
                <w:rFonts w:ascii="Times New Roman" w:hAnsi="Times New Roman"/>
                <w:b/>
                <w:sz w:val="18"/>
                <w:szCs w:val="18"/>
              </w:rPr>
              <w:t>(%)</w:t>
            </w:r>
          </w:p>
        </w:tc>
      </w:tr>
      <w:tr w:rsidR="00812136" w:rsidRPr="0013577E" w:rsidTr="00812136">
        <w:tc>
          <w:tcPr>
            <w:tcW w:w="4356" w:type="dxa"/>
            <w:shd w:val="clear" w:color="auto" w:fill="auto"/>
          </w:tcPr>
          <w:p w:rsidR="00812136" w:rsidRPr="00BB61B7" w:rsidRDefault="00812136" w:rsidP="00E302F6">
            <w:pPr>
              <w:spacing w:before="120" w:line="240" w:lineRule="auto"/>
              <w:rPr>
                <w:rFonts w:ascii="Times New Roman" w:hAnsi="Times New Roman"/>
                <w:b/>
                <w:sz w:val="18"/>
                <w:szCs w:val="18"/>
              </w:rPr>
            </w:pPr>
          </w:p>
        </w:tc>
        <w:tc>
          <w:tcPr>
            <w:tcW w:w="4410" w:type="dxa"/>
            <w:shd w:val="clear" w:color="auto" w:fill="auto"/>
          </w:tcPr>
          <w:p w:rsidR="00812136" w:rsidRPr="0013577E" w:rsidRDefault="0013577E" w:rsidP="0013577E">
            <w:pPr>
              <w:spacing w:before="120" w:line="240" w:lineRule="auto"/>
              <w:rPr>
                <w:rFonts w:ascii="Times New Roman" w:hAnsi="Times New Roman"/>
                <w:i/>
                <w:sz w:val="18"/>
                <w:szCs w:val="18"/>
                <w:lang w:val="lv-LV"/>
              </w:rPr>
            </w:pPr>
            <w:bookmarkStart w:id="238" w:name="_Toc384391793"/>
            <w:bookmarkStart w:id="239" w:name="_Toc388006887"/>
            <w:bookmarkStart w:id="240" w:name="_Toc389750558"/>
            <w:bookmarkStart w:id="241" w:name="_Toc389751047"/>
            <w:bookmarkStart w:id="242" w:name="_Toc389751534"/>
            <w:bookmarkStart w:id="243" w:name="_Toc389752027"/>
            <w:bookmarkStart w:id="244" w:name="_Toc389812069"/>
            <w:proofErr w:type="spellStart"/>
            <w:r>
              <w:rPr>
                <w:rStyle w:val="Heading311"/>
                <w:rFonts w:ascii="Times New Roman" w:hAnsi="Times New Roman"/>
                <w:i/>
                <w:sz w:val="18"/>
                <w:szCs w:val="18"/>
              </w:rPr>
              <w:t>Šī</w:t>
            </w:r>
            <w:proofErr w:type="spellEnd"/>
            <w:r>
              <w:rPr>
                <w:rStyle w:val="Heading311"/>
                <w:rFonts w:ascii="Times New Roman" w:hAnsi="Times New Roman"/>
                <w:i/>
                <w:sz w:val="18"/>
                <w:szCs w:val="18"/>
              </w:rPr>
              <w:t xml:space="preserve"> tabula </w:t>
            </w:r>
            <w:proofErr w:type="spellStart"/>
            <w:r>
              <w:rPr>
                <w:rStyle w:val="Heading311"/>
                <w:rFonts w:ascii="Times New Roman" w:hAnsi="Times New Roman"/>
                <w:i/>
                <w:sz w:val="18"/>
                <w:szCs w:val="18"/>
              </w:rPr>
              <w:t>tiks</w:t>
            </w:r>
            <w:proofErr w:type="spellEnd"/>
            <w:r>
              <w:rPr>
                <w:rStyle w:val="Heading311"/>
                <w:rFonts w:ascii="Times New Roman" w:hAnsi="Times New Roman"/>
                <w:i/>
                <w:sz w:val="18"/>
                <w:szCs w:val="18"/>
              </w:rPr>
              <w:t xml:space="preserve"> </w:t>
            </w:r>
            <w:proofErr w:type="spellStart"/>
            <w:r>
              <w:rPr>
                <w:rStyle w:val="Heading311"/>
                <w:rFonts w:ascii="Times New Roman" w:hAnsi="Times New Roman"/>
                <w:i/>
                <w:sz w:val="18"/>
                <w:szCs w:val="18"/>
              </w:rPr>
              <w:t>veidota</w:t>
            </w:r>
            <w:proofErr w:type="spellEnd"/>
            <w:r w:rsidR="00BB61B7" w:rsidRPr="00B60A76">
              <w:rPr>
                <w:rStyle w:val="Heading311"/>
                <w:rFonts w:ascii="Times New Roman" w:hAnsi="Times New Roman"/>
                <w:i/>
                <w:sz w:val="18"/>
                <w:szCs w:val="18"/>
                <w:lang w:val="lv-LV"/>
              </w:rPr>
              <w:t xml:space="preserve"> automātiski, balstoties uz izvēlētajām intervences kategorijām </w:t>
            </w:r>
            <w:bookmarkEnd w:id="238"/>
            <w:bookmarkEnd w:id="239"/>
            <w:bookmarkEnd w:id="240"/>
            <w:bookmarkEnd w:id="241"/>
            <w:bookmarkEnd w:id="242"/>
            <w:bookmarkEnd w:id="243"/>
            <w:bookmarkEnd w:id="244"/>
            <w:r>
              <w:rPr>
                <w:rStyle w:val="Heading311"/>
                <w:rFonts w:ascii="Times New Roman" w:hAnsi="Times New Roman"/>
                <w:i/>
                <w:sz w:val="18"/>
                <w:szCs w:val="18"/>
                <w:lang w:val="lv-LV"/>
              </w:rPr>
              <w:t>katra prioritārā virziena ietvaros</w:t>
            </w:r>
            <w:r w:rsidR="00BB61B7" w:rsidRPr="00B60A76">
              <w:rPr>
                <w:rStyle w:val="Heading311"/>
                <w:rFonts w:ascii="Times New Roman" w:hAnsi="Times New Roman"/>
                <w:i/>
                <w:sz w:val="18"/>
                <w:szCs w:val="18"/>
                <w:lang w:val="lv-LV"/>
              </w:rPr>
              <w:t xml:space="preserve">  </w:t>
            </w:r>
          </w:p>
        </w:tc>
        <w:tc>
          <w:tcPr>
            <w:tcW w:w="4410" w:type="dxa"/>
            <w:shd w:val="clear" w:color="auto" w:fill="auto"/>
          </w:tcPr>
          <w:p w:rsidR="00812136" w:rsidRPr="0013577E" w:rsidRDefault="00812136" w:rsidP="00E302F6">
            <w:pPr>
              <w:spacing w:before="120" w:line="240" w:lineRule="auto"/>
              <w:rPr>
                <w:rFonts w:ascii="Times New Roman" w:hAnsi="Times New Roman"/>
                <w:b/>
                <w:sz w:val="18"/>
                <w:szCs w:val="18"/>
                <w:lang w:val="lv-LV"/>
              </w:rPr>
            </w:pPr>
          </w:p>
        </w:tc>
      </w:tr>
      <w:tr w:rsidR="00812136" w:rsidRPr="00BB61B7" w:rsidTr="00812136">
        <w:tc>
          <w:tcPr>
            <w:tcW w:w="4356" w:type="dxa"/>
            <w:shd w:val="clear" w:color="auto" w:fill="auto"/>
          </w:tcPr>
          <w:p w:rsidR="00812136" w:rsidRPr="00BB61B7" w:rsidRDefault="00381CC4" w:rsidP="00E302F6">
            <w:pPr>
              <w:spacing w:before="120" w:line="240" w:lineRule="auto"/>
              <w:ind w:left="142"/>
              <w:rPr>
                <w:rFonts w:ascii="Times New Roman" w:hAnsi="Times New Roman"/>
                <w:b/>
                <w:sz w:val="18"/>
                <w:szCs w:val="18"/>
              </w:rPr>
            </w:pPr>
            <w:proofErr w:type="spellStart"/>
            <w:r w:rsidRPr="00BB61B7">
              <w:rPr>
                <w:rFonts w:ascii="Times New Roman" w:hAnsi="Times New Roman"/>
                <w:b/>
                <w:sz w:val="18"/>
                <w:szCs w:val="18"/>
              </w:rPr>
              <w:t>Kopā</w:t>
            </w:r>
            <w:proofErr w:type="spellEnd"/>
          </w:p>
        </w:tc>
        <w:tc>
          <w:tcPr>
            <w:tcW w:w="4410" w:type="dxa"/>
            <w:shd w:val="clear" w:color="auto" w:fill="auto"/>
          </w:tcPr>
          <w:p w:rsidR="00812136" w:rsidRPr="00BB61B7" w:rsidRDefault="00812136" w:rsidP="00E302F6">
            <w:pPr>
              <w:spacing w:before="120" w:line="240" w:lineRule="auto"/>
              <w:rPr>
                <w:rFonts w:ascii="Times New Roman" w:hAnsi="Times New Roman"/>
                <w:b/>
                <w:sz w:val="18"/>
                <w:szCs w:val="18"/>
              </w:rPr>
            </w:pPr>
          </w:p>
        </w:tc>
        <w:tc>
          <w:tcPr>
            <w:tcW w:w="4410" w:type="dxa"/>
            <w:shd w:val="clear" w:color="auto" w:fill="auto"/>
          </w:tcPr>
          <w:p w:rsidR="00812136" w:rsidRPr="00BB61B7" w:rsidRDefault="00812136" w:rsidP="00E302F6">
            <w:pPr>
              <w:spacing w:before="120" w:line="240" w:lineRule="auto"/>
              <w:rPr>
                <w:rFonts w:ascii="Times New Roman" w:hAnsi="Times New Roman"/>
                <w:b/>
                <w:sz w:val="18"/>
                <w:szCs w:val="18"/>
              </w:rPr>
            </w:pPr>
          </w:p>
        </w:tc>
      </w:tr>
    </w:tbl>
    <w:p w:rsidR="00DB6FDE" w:rsidRDefault="00DB6FDE" w:rsidP="00E302F6">
      <w:pPr>
        <w:spacing w:before="120" w:line="240" w:lineRule="auto"/>
        <w:jc w:val="left"/>
        <w:rPr>
          <w:b/>
          <w:bCs/>
          <w:smallCaps/>
          <w:lang w:val="lv-LV"/>
        </w:rPr>
      </w:pPr>
    </w:p>
    <w:p w:rsidR="00812136" w:rsidRDefault="00812136" w:rsidP="00736F69">
      <w:pPr>
        <w:pStyle w:val="Heading1"/>
        <w:sectPr w:rsidR="00812136" w:rsidSect="00523F77">
          <w:pgSz w:w="15840" w:h="12240" w:orient="landscape"/>
          <w:pgMar w:top="1021" w:right="1440" w:bottom="1800" w:left="1440" w:header="720" w:footer="720" w:gutter="0"/>
          <w:cols w:space="720"/>
          <w:docGrid w:linePitch="360"/>
        </w:sectPr>
      </w:pPr>
      <w:bookmarkStart w:id="245" w:name="_Toc372107612"/>
      <w:bookmarkStart w:id="246" w:name="_Toc384383735"/>
      <w:bookmarkEnd w:id="141"/>
    </w:p>
    <w:p w:rsidR="00DB6FDE" w:rsidRDefault="00DB6FDE" w:rsidP="00736F69">
      <w:pPr>
        <w:pStyle w:val="Heading1"/>
      </w:pPr>
      <w:r>
        <w:lastRenderedPageBreak/>
        <w:t>4. NODAĻA</w:t>
      </w:r>
      <w:r>
        <w:br/>
      </w:r>
      <w:bookmarkEnd w:id="245"/>
      <w:r>
        <w:t>INTEGRĒTĀ PIEEJA TERITORIĀLAJAI ATTĪSTĪBAI</w:t>
      </w:r>
      <w:bookmarkEnd w:id="246"/>
    </w:p>
    <w:p w:rsidR="00DB6FDE" w:rsidRDefault="00DB6FDE" w:rsidP="00E302F6">
      <w:pPr>
        <w:spacing w:before="120" w:line="240" w:lineRule="auto"/>
        <w:ind w:right="-432"/>
        <w:rPr>
          <w:b/>
          <w:sz w:val="20"/>
          <w:szCs w:val="20"/>
          <w:lang w:val="lv-LV"/>
        </w:rPr>
      </w:pPr>
      <w:bookmarkStart w:id="247" w:name="_Toc372107613"/>
    </w:p>
    <w:bookmarkEnd w:id="247"/>
    <w:p w:rsidR="00DB6FDE" w:rsidRPr="00BA5839" w:rsidRDefault="00DB6FDE" w:rsidP="00E302F6">
      <w:pPr>
        <w:spacing w:before="120" w:line="240" w:lineRule="auto"/>
        <w:ind w:right="-432"/>
        <w:rPr>
          <w:rFonts w:ascii="Times New Roman" w:hAnsi="Times New Roman"/>
          <w:b/>
          <w:lang w:val="lv-LV"/>
        </w:rPr>
      </w:pPr>
      <w:r w:rsidRPr="00BA5839">
        <w:rPr>
          <w:rFonts w:ascii="Times New Roman" w:hAnsi="Times New Roman"/>
          <w:b/>
          <w:lang w:val="lv-LV"/>
        </w:rPr>
        <w:t>Programmas ieguldījums plānotajos pasākumos attiecībā uz makro-reģionālajām un jūras baseinu stratēģijām</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Katra Programmas prioritārā virziena ietvaros tiek sekmēti stratēģijas „E</w:t>
      </w:r>
      <w:r w:rsidR="00053D62">
        <w:rPr>
          <w:rFonts w:ascii="Times New Roman" w:hAnsi="Times New Roman"/>
          <w:lang w:val="lv-LV"/>
        </w:rPr>
        <w:t>iropa</w:t>
      </w:r>
      <w:r w:rsidRPr="00BA5839">
        <w:rPr>
          <w:rFonts w:ascii="Times New Roman" w:hAnsi="Times New Roman"/>
          <w:lang w:val="lv-LV"/>
        </w:rPr>
        <w:t xml:space="preserve"> 2020” mērķi. Abas valstis nacionālā līmenī izmanto līdzīgas attīstības plānošanas pieejas. Tām raksturīgi valsts līmeņa ilgtermiņa mērķi, kas noteikti ilgtermiņa attīstības dokumentos un pēc tam integrēti vidēja termiņa attīstības dokumentos 2014.–2020. gadam, lai uzsvērtu galvenās problēmas un to risinājumus.</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Programmas teritorija atrodas Baltijas jūras baseina teritorijā, un vispārīgi Programmas ietvaros veicamās darbības sekmē Eiropas Savienības stratēģijas Baltijas jūras reģionam (ESSBJR) īstenošanu.</w:t>
      </w:r>
    </w:p>
    <w:p w:rsidR="00DB6FDE" w:rsidRPr="00BA5839" w:rsidRDefault="00DB6FDE" w:rsidP="00E302F6">
      <w:pPr>
        <w:spacing w:before="120" w:line="240" w:lineRule="auto"/>
        <w:ind w:right="-432"/>
        <w:rPr>
          <w:rFonts w:ascii="Times New Roman" w:hAnsi="Times New Roman"/>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b/>
          <w:lang w:val="lv-LV"/>
        </w:rPr>
        <w:t xml:space="preserve">1. prioritārā virziena </w:t>
      </w:r>
      <w:r w:rsidRPr="00BA5839">
        <w:rPr>
          <w:rFonts w:ascii="Times New Roman" w:hAnsi="Times New Roman"/>
          <w:lang w:val="lv-LV"/>
        </w:rPr>
        <w:t>ietvaros tiek sekmēta stratēģijas „E</w:t>
      </w:r>
      <w:r w:rsidR="00053D62">
        <w:rPr>
          <w:rFonts w:ascii="Times New Roman" w:hAnsi="Times New Roman"/>
          <w:lang w:val="lv-LV"/>
        </w:rPr>
        <w:t>iropa</w:t>
      </w:r>
      <w:r w:rsidRPr="00BA5839">
        <w:rPr>
          <w:rFonts w:ascii="Times New Roman" w:hAnsi="Times New Roman"/>
          <w:lang w:val="lv-LV"/>
        </w:rPr>
        <w:t xml:space="preserve"> 2020” – „Ilgtspējīga izaugsme” mērķa sasniegšana. Partnerības līgumā starp Eiropas Komisiju un Latviju un Lietuvu vide noteikta kā galvenā ETS programmu sfēra. </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Attiecībā uz ESSBJR, 1. prioritārā virziena ietvaros tiek sekmēta mērķa „Glābt jūru” sasniegšana, un it īpaši attiecībā uz prioritāro jomas „Bio”, atbalstot kopīgus aizsargājamo teritoriju pārvaldības pasākumus. Turklāt citi pasākumi var sekmēt mērķa „Apvienot reģionu”, kā arī prioritāro sfēru „Tūrisms” un „Kultūra” sasniegšanu, ieguldot kultūras un dabas mantojuma resursos Programmas teritorijā. </w:t>
      </w:r>
    </w:p>
    <w:p w:rsidR="00DB6FDE" w:rsidRPr="00BA5839" w:rsidRDefault="00DB6FDE" w:rsidP="00E302F6">
      <w:pPr>
        <w:spacing w:before="120" w:line="240" w:lineRule="auto"/>
        <w:ind w:right="-432"/>
        <w:rPr>
          <w:rFonts w:ascii="Times New Roman" w:hAnsi="Times New Roman"/>
          <w:b/>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b/>
          <w:lang w:val="lv-LV"/>
        </w:rPr>
        <w:t xml:space="preserve">2. prioritārā virziena </w:t>
      </w:r>
      <w:r w:rsidRPr="00BA5839">
        <w:rPr>
          <w:rFonts w:ascii="Times New Roman" w:hAnsi="Times New Roman"/>
          <w:lang w:val="lv-LV"/>
        </w:rPr>
        <w:t>ietvaros tiek sekmēta stratēģijas „E</w:t>
      </w:r>
      <w:r w:rsidR="00053D62">
        <w:rPr>
          <w:rFonts w:ascii="Times New Roman" w:hAnsi="Times New Roman"/>
          <w:lang w:val="lv-LV"/>
        </w:rPr>
        <w:t>iropa</w:t>
      </w:r>
      <w:r w:rsidRPr="00BA5839">
        <w:rPr>
          <w:rFonts w:ascii="Times New Roman" w:hAnsi="Times New Roman"/>
          <w:lang w:val="lv-LV"/>
        </w:rPr>
        <w:t xml:space="preserve"> 2020” – „Integrējoša izaugsme” mērķa sasniegšana. Labums tiek gūts no sinerģijas uzņēmējdarbības un izglītības jomā, kā arī transporta infrastruktūras jomā. Šīs ir norādītas kā galvenās ETS programmu jomas Partnerības līgumā starp Eiropas Komisiju un Latviju saistībā ar savienojamību un pieejamību, kā arī starptautisku apmaiņu nodarbinātības un izglītības/ apmācību jomā Partnerības līgumā starp Eiropas Komisiju un Lietuvu. Pasākumi 2. prioritārajā virzienā ir izstrādāti šo problēmu risināšanai.</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Attiecībā uz ESSBJR, 2. prioritārā virziena ietvaros tiek sekmēta mērķa „Apvienot reģionu” sasniegšana, un it īpaši attiecībā uz prioritāro sfēru „Transports”, atbalstot vietējo iedzīvotāju mobilitāti caur uzlabotu ceļu infrastruktūru Programmas reģionos. Daļa 2. prioritātes virziena var sekmēt arī ESSBJR mērķa „Celt labklājību” un prioritātes „Izglītība” sasniegšanu, risinot ar bezdarbu saistītās problēmas abās Dalībvalstīs.</w:t>
      </w:r>
    </w:p>
    <w:p w:rsidR="00DB6FDE" w:rsidRPr="00BA5839" w:rsidRDefault="00DB6FDE" w:rsidP="00E302F6">
      <w:pPr>
        <w:spacing w:before="120" w:line="240" w:lineRule="auto"/>
        <w:ind w:right="-432"/>
        <w:rPr>
          <w:rFonts w:ascii="Times New Roman" w:hAnsi="Times New Roman"/>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b/>
          <w:lang w:val="lv-LV"/>
        </w:rPr>
        <w:t xml:space="preserve">3. prioritārā virziena </w:t>
      </w:r>
      <w:r w:rsidRPr="00BA5839">
        <w:rPr>
          <w:rFonts w:ascii="Times New Roman" w:hAnsi="Times New Roman"/>
          <w:lang w:val="lv-LV"/>
        </w:rPr>
        <w:t>ietvaros tiek sekmēta stratēģijas „E</w:t>
      </w:r>
      <w:r w:rsidR="00053D62">
        <w:rPr>
          <w:rFonts w:ascii="Times New Roman" w:hAnsi="Times New Roman"/>
          <w:lang w:val="lv-LV"/>
        </w:rPr>
        <w:t>iropa</w:t>
      </w:r>
      <w:r w:rsidRPr="00BA5839">
        <w:rPr>
          <w:rFonts w:ascii="Times New Roman" w:hAnsi="Times New Roman"/>
          <w:lang w:val="lv-LV"/>
        </w:rPr>
        <w:t xml:space="preserve"> 2020” mērķa „Integrējošā izaugsme” sasniegšana. Partnerības līgumos starp Eiropas Komisiju un Latviju un Lietuvu, nabadzība un sociālā atstumtība ir tikušas izceltas kā galvenās problēmas, it īpaši abu valstu reģionos. Tādēļ abu Dalībvalstu mērķis ir izstrādāt kopīgus risinājumus visaktuālāko problēmu risināšanai.</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lastRenderedPageBreak/>
        <w:t>Attiecībā uz ESSBJR, 3. prioritārā virziena ietvaros tiek sekmēta mērķa „Celt labklājību” sasniegšana, galveno uzmanību vēršot uz pasākumiem, kas saistīti ar kopīgu sociālo pakalpojumu un infrastruktūras izveidi un uzlabošanu, kā arī mazāk attīstīto kopienu atjaunošanu.</w:t>
      </w:r>
    </w:p>
    <w:p w:rsidR="00DB6FDE" w:rsidRPr="00BA5839" w:rsidRDefault="00DB6FDE" w:rsidP="00E302F6">
      <w:pPr>
        <w:spacing w:before="120" w:line="240" w:lineRule="auto"/>
        <w:ind w:right="-432"/>
        <w:rPr>
          <w:rFonts w:ascii="Times New Roman" w:hAnsi="Times New Roman"/>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b/>
          <w:lang w:val="lv-LV"/>
        </w:rPr>
        <w:t xml:space="preserve">4. prioritārā virziena </w:t>
      </w:r>
      <w:r w:rsidRPr="00BA5839">
        <w:rPr>
          <w:rFonts w:ascii="Times New Roman" w:hAnsi="Times New Roman"/>
          <w:lang w:val="lv-LV"/>
        </w:rPr>
        <w:t>ietvaros tiek sekmēta stratēģijas „E</w:t>
      </w:r>
      <w:r w:rsidR="00053D62">
        <w:rPr>
          <w:rFonts w:ascii="Times New Roman" w:hAnsi="Times New Roman"/>
          <w:lang w:val="lv-LV"/>
        </w:rPr>
        <w:t>iropa</w:t>
      </w:r>
      <w:r w:rsidRPr="00BA5839">
        <w:rPr>
          <w:rFonts w:ascii="Times New Roman" w:hAnsi="Times New Roman"/>
          <w:lang w:val="lv-LV"/>
        </w:rPr>
        <w:t xml:space="preserve"> 2020” mērķa „Gudra izaugsme” sasniegšana. Partnerības līgumos starp Eiropas Komisiju un Latviju un Lietuvu ir norādītas vairākas jomas, kurās sadarbība un kopīgas pieejas problēmām un iespējām var nodrošināt efektīvus risinājumus. Programmas mērķis ir atbalstīt publisko pakalpojumu attīstīšanu un uzlabošanu šajās sfērās. </w:t>
      </w:r>
    </w:p>
    <w:p w:rsidR="00DB6FDE" w:rsidRPr="00BA5839" w:rsidRDefault="00DB6FDE" w:rsidP="00E302F6">
      <w:pPr>
        <w:spacing w:before="120" w:line="240" w:lineRule="auto"/>
        <w:ind w:right="-432"/>
        <w:rPr>
          <w:rFonts w:ascii="Times New Roman" w:hAnsi="Times New Roman"/>
          <w:lang w:val="lv-LV" w:eastAsia="fr-BE"/>
        </w:rPr>
      </w:pPr>
      <w:r w:rsidRPr="00BA5839">
        <w:rPr>
          <w:rFonts w:ascii="Times New Roman" w:hAnsi="Times New Roman"/>
          <w:lang w:val="lv-LV"/>
        </w:rPr>
        <w:t>Attiecībā uz ESSBJR, 4. prioritārā virziena ietvaros tiek sekmēta mērķa „Apvienot reģionu” sasniegšana, un it īpaši horizontālajā prioritātē „Kaimiņi”, sekmējot sadarbību starp institūcijām un starp institūcijām un iedzīvotājiem.</w:t>
      </w:r>
    </w:p>
    <w:p w:rsidR="00DB6FDE" w:rsidRPr="006B1EA8" w:rsidRDefault="00DB6FDE" w:rsidP="00736F69">
      <w:pPr>
        <w:pStyle w:val="Heading1"/>
      </w:pPr>
      <w:r w:rsidRPr="00E148C9">
        <w:rPr>
          <w:sz w:val="24"/>
          <w:szCs w:val="24"/>
        </w:rPr>
        <w:br w:type="page"/>
      </w:r>
      <w:bookmarkStart w:id="248" w:name="_Toc372107615"/>
      <w:bookmarkStart w:id="249" w:name="_Toc384383736"/>
      <w:r w:rsidRPr="006B1EA8">
        <w:lastRenderedPageBreak/>
        <w:t>5. NODAĻA</w:t>
      </w:r>
      <w:r w:rsidRPr="006B1EA8">
        <w:br/>
        <w:t xml:space="preserve">SADARBĪBAS PROGRAMMAS </w:t>
      </w:r>
      <w:r w:rsidR="00211692" w:rsidRPr="00C07052">
        <w:t>ĪSTENOŠANAS NOTEIKUMI</w:t>
      </w:r>
      <w:bookmarkEnd w:id="248"/>
      <w:bookmarkEnd w:id="249"/>
    </w:p>
    <w:p w:rsidR="00DB6FDE" w:rsidRPr="006B1EA8" w:rsidRDefault="00DB6FDE" w:rsidP="00E302F6">
      <w:pPr>
        <w:pStyle w:val="Text1"/>
        <w:spacing w:before="120" w:line="240" w:lineRule="auto"/>
        <w:ind w:right="-432"/>
        <w:rPr>
          <w:lang w:val="lv-LV"/>
        </w:rPr>
      </w:pPr>
    </w:p>
    <w:p w:rsidR="00DB6FDE" w:rsidRPr="00197F9C" w:rsidRDefault="00432940" w:rsidP="00D66FB7">
      <w:pPr>
        <w:pStyle w:val="Heading2"/>
        <w:rPr>
          <w:lang w:val="lv-LV"/>
        </w:rPr>
      </w:pPr>
      <w:bookmarkStart w:id="250" w:name="_Toc372107616"/>
      <w:bookmarkStart w:id="251" w:name="_Toc384383737"/>
      <w:r w:rsidRPr="00432940">
        <w:rPr>
          <w:lang w:val="lv-LV"/>
        </w:rPr>
        <w:t xml:space="preserve">5.1. </w:t>
      </w:r>
      <w:bookmarkEnd w:id="250"/>
      <w:r w:rsidRPr="00432940">
        <w:rPr>
          <w:lang w:val="lv-LV"/>
        </w:rPr>
        <w:t>Atbilstošo institūciju un iestāžu noteikšana</w:t>
      </w:r>
      <w:bookmarkEnd w:id="251"/>
    </w:p>
    <w:tbl>
      <w:tblPr>
        <w:tblW w:w="4950" w:type="pct"/>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2737"/>
        <w:gridCol w:w="4078"/>
      </w:tblGrid>
      <w:tr w:rsidR="00DB6FDE" w:rsidRPr="00BA5839" w:rsidTr="00DB6FDE">
        <w:trPr>
          <w:jc w:val="center"/>
        </w:trPr>
        <w:tc>
          <w:tcPr>
            <w:tcW w:w="1970" w:type="dxa"/>
            <w:tcBorders>
              <w:top w:val="single" w:sz="4" w:space="0" w:color="auto"/>
              <w:left w:val="single" w:sz="4" w:space="0" w:color="auto"/>
              <w:bottom w:val="single" w:sz="4" w:space="0" w:color="auto"/>
              <w:right w:val="single" w:sz="4" w:space="0" w:color="auto"/>
            </w:tcBorders>
            <w:shd w:val="clear" w:color="auto" w:fill="DBE5F1"/>
            <w:hideMark/>
          </w:tcPr>
          <w:p w:rsidR="00DB6FDE" w:rsidRPr="00BA5839" w:rsidRDefault="00DB6FDE" w:rsidP="002631B7">
            <w:pPr>
              <w:suppressAutoHyphens/>
              <w:spacing w:before="120" w:line="240" w:lineRule="auto"/>
              <w:ind w:right="-63"/>
              <w:jc w:val="left"/>
              <w:rPr>
                <w:rFonts w:ascii="Times New Roman" w:hAnsi="Times New Roman"/>
                <w:b/>
                <w:lang w:val="lv-LV"/>
              </w:rPr>
            </w:pPr>
            <w:r w:rsidRPr="00BA5839">
              <w:rPr>
                <w:rFonts w:ascii="Times New Roman" w:hAnsi="Times New Roman"/>
                <w:b/>
                <w:lang w:val="lv-LV"/>
              </w:rPr>
              <w:t>Institūcija/ iestāde</w:t>
            </w:r>
          </w:p>
        </w:tc>
        <w:tc>
          <w:tcPr>
            <w:tcW w:w="2763" w:type="dxa"/>
            <w:tcBorders>
              <w:top w:val="single" w:sz="4" w:space="0" w:color="auto"/>
              <w:left w:val="single" w:sz="4" w:space="0" w:color="auto"/>
              <w:bottom w:val="single" w:sz="4" w:space="0" w:color="auto"/>
              <w:right w:val="single" w:sz="4" w:space="0" w:color="auto"/>
            </w:tcBorders>
            <w:shd w:val="clear" w:color="auto" w:fill="DBE5F1"/>
            <w:hideMark/>
          </w:tcPr>
          <w:p w:rsidR="00DB6FDE" w:rsidRPr="00BA5839" w:rsidRDefault="00DB6FDE" w:rsidP="002631B7">
            <w:pPr>
              <w:suppressAutoHyphens/>
              <w:spacing w:before="120" w:line="240" w:lineRule="auto"/>
              <w:ind w:right="-432"/>
              <w:rPr>
                <w:rFonts w:ascii="Times New Roman" w:hAnsi="Times New Roman"/>
                <w:b/>
                <w:lang w:val="lv-LV"/>
              </w:rPr>
            </w:pPr>
            <w:r w:rsidRPr="00BA5839">
              <w:rPr>
                <w:rFonts w:ascii="Times New Roman" w:hAnsi="Times New Roman"/>
                <w:b/>
                <w:lang w:val="lv-LV"/>
              </w:rPr>
              <w:t>Institūcijas/ iestādes un nodaļas nosaukums</w:t>
            </w:r>
          </w:p>
        </w:tc>
        <w:tc>
          <w:tcPr>
            <w:tcW w:w="4118" w:type="dxa"/>
            <w:tcBorders>
              <w:top w:val="single" w:sz="4" w:space="0" w:color="auto"/>
              <w:left w:val="single" w:sz="4" w:space="0" w:color="auto"/>
              <w:bottom w:val="single" w:sz="4" w:space="0" w:color="auto"/>
              <w:right w:val="single" w:sz="4" w:space="0" w:color="auto"/>
            </w:tcBorders>
            <w:shd w:val="clear" w:color="auto" w:fill="DBE5F1"/>
            <w:hideMark/>
          </w:tcPr>
          <w:p w:rsidR="00DB6FDE" w:rsidRPr="00C07052" w:rsidRDefault="00FB7620" w:rsidP="002631B7">
            <w:pPr>
              <w:suppressAutoHyphens/>
              <w:spacing w:before="120" w:line="240" w:lineRule="auto"/>
              <w:jc w:val="center"/>
              <w:rPr>
                <w:rFonts w:ascii="Times New Roman" w:hAnsi="Times New Roman"/>
                <w:b/>
                <w:lang w:val="lv-LV"/>
              </w:rPr>
            </w:pPr>
            <w:r w:rsidRPr="00C07052">
              <w:rPr>
                <w:rFonts w:ascii="Times New Roman" w:hAnsi="Times New Roman"/>
                <w:b/>
              </w:rPr>
              <w:t>Iestādes/struktūras vadītājs (amats vai amatvieta)</w:t>
            </w:r>
          </w:p>
        </w:tc>
      </w:tr>
      <w:tr w:rsidR="00DB6FDE" w:rsidRPr="00BA5839" w:rsidTr="00DB6FDE">
        <w:trPr>
          <w:trHeight w:val="719"/>
          <w:jc w:val="center"/>
        </w:trPr>
        <w:tc>
          <w:tcPr>
            <w:tcW w:w="1970"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uppressAutoHyphens/>
              <w:spacing w:before="120" w:line="240" w:lineRule="auto"/>
              <w:ind w:right="-432"/>
              <w:jc w:val="left"/>
              <w:rPr>
                <w:rFonts w:ascii="Times New Roman" w:hAnsi="Times New Roman"/>
                <w:lang w:val="lv-LV"/>
              </w:rPr>
            </w:pPr>
            <w:r w:rsidRPr="00BA5839">
              <w:rPr>
                <w:rFonts w:ascii="Times New Roman" w:hAnsi="Times New Roman"/>
                <w:lang w:val="lv-LV"/>
              </w:rPr>
              <w:t>VI</w:t>
            </w:r>
          </w:p>
        </w:tc>
        <w:tc>
          <w:tcPr>
            <w:tcW w:w="2763"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pStyle w:val="ListDash2"/>
              <w:numPr>
                <w:ilvl w:val="0"/>
                <w:numId w:val="0"/>
              </w:numPr>
              <w:tabs>
                <w:tab w:val="left" w:pos="720"/>
              </w:tabs>
              <w:spacing w:before="120" w:line="240" w:lineRule="auto"/>
              <w:ind w:right="-432"/>
              <w:jc w:val="left"/>
              <w:rPr>
                <w:rFonts w:ascii="Times New Roman" w:hAnsi="Times New Roman"/>
                <w:bCs/>
                <w:lang w:val="lv-LV"/>
              </w:rPr>
            </w:pPr>
            <w:r w:rsidRPr="00BA5839">
              <w:rPr>
                <w:rFonts w:ascii="Times New Roman" w:hAnsi="Times New Roman"/>
                <w:bCs/>
                <w:lang w:val="lv-LV"/>
              </w:rPr>
              <w:t>Latvijas Republikas Vides aizsardzības un reģionālās attīstības ministrija</w:t>
            </w:r>
          </w:p>
        </w:tc>
        <w:tc>
          <w:tcPr>
            <w:tcW w:w="4118" w:type="dxa"/>
            <w:tcBorders>
              <w:top w:val="single" w:sz="4" w:space="0" w:color="auto"/>
              <w:left w:val="single" w:sz="4" w:space="0" w:color="auto"/>
              <w:bottom w:val="single" w:sz="4" w:space="0" w:color="auto"/>
              <w:right w:val="single" w:sz="4" w:space="0" w:color="auto"/>
            </w:tcBorders>
            <w:hideMark/>
          </w:tcPr>
          <w:p w:rsidR="00DB6FDE" w:rsidRPr="00BA5839" w:rsidRDefault="00B60A76" w:rsidP="00E302F6">
            <w:pPr>
              <w:pStyle w:val="ListDash2"/>
              <w:numPr>
                <w:ilvl w:val="0"/>
                <w:numId w:val="0"/>
              </w:numPr>
              <w:tabs>
                <w:tab w:val="left" w:pos="720"/>
              </w:tabs>
              <w:spacing w:before="120" w:line="240" w:lineRule="auto"/>
              <w:ind w:right="-432"/>
              <w:jc w:val="left"/>
              <w:rPr>
                <w:rFonts w:ascii="Times New Roman" w:hAnsi="Times New Roman"/>
                <w:lang w:val="lv-LV"/>
              </w:rPr>
            </w:pPr>
            <w:r>
              <w:rPr>
                <w:rFonts w:ascii="Times New Roman" w:hAnsi="Times New Roman"/>
                <w:lang w:val="lv-LV"/>
              </w:rPr>
              <w:t>Valsts sekretāra vietnieks</w:t>
            </w:r>
          </w:p>
        </w:tc>
      </w:tr>
      <w:tr w:rsidR="00DB6FDE" w:rsidRPr="00BA5839" w:rsidTr="00DB6FDE">
        <w:trPr>
          <w:jc w:val="center"/>
        </w:trPr>
        <w:tc>
          <w:tcPr>
            <w:tcW w:w="1970"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uppressAutoHyphens/>
              <w:spacing w:before="120" w:line="240" w:lineRule="auto"/>
              <w:ind w:right="-432"/>
              <w:jc w:val="left"/>
              <w:rPr>
                <w:rFonts w:ascii="Times New Roman" w:hAnsi="Times New Roman"/>
                <w:lang w:val="lv-LV"/>
              </w:rPr>
            </w:pPr>
            <w:r w:rsidRPr="00BA5839">
              <w:rPr>
                <w:rFonts w:ascii="Times New Roman" w:hAnsi="Times New Roman"/>
                <w:lang w:val="lv-LV"/>
              </w:rPr>
              <w:t>SI</w:t>
            </w:r>
          </w:p>
        </w:tc>
        <w:tc>
          <w:tcPr>
            <w:tcW w:w="2763"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uppressAutoHyphens/>
              <w:spacing w:before="120" w:line="240" w:lineRule="auto"/>
              <w:ind w:right="-432"/>
              <w:jc w:val="left"/>
              <w:rPr>
                <w:rFonts w:ascii="Times New Roman" w:hAnsi="Times New Roman"/>
                <w:lang w:val="lv-LV"/>
              </w:rPr>
            </w:pPr>
            <w:r w:rsidRPr="00BA5839">
              <w:rPr>
                <w:rFonts w:ascii="Times New Roman" w:hAnsi="Times New Roman"/>
                <w:bCs/>
                <w:lang w:val="lv-LV"/>
              </w:rPr>
              <w:t>Nav piemērojams</w:t>
            </w:r>
          </w:p>
        </w:tc>
        <w:tc>
          <w:tcPr>
            <w:tcW w:w="4118"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Nav piemērojams</w:t>
            </w:r>
          </w:p>
        </w:tc>
      </w:tr>
      <w:tr w:rsidR="00DB6FDE" w:rsidRPr="00BA5839" w:rsidTr="00DB6FDE">
        <w:trPr>
          <w:jc w:val="center"/>
        </w:trPr>
        <w:tc>
          <w:tcPr>
            <w:tcW w:w="1970"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uppressAutoHyphens/>
              <w:spacing w:before="120" w:line="240" w:lineRule="auto"/>
              <w:ind w:right="-432"/>
              <w:jc w:val="left"/>
              <w:rPr>
                <w:rFonts w:ascii="Times New Roman" w:hAnsi="Times New Roman"/>
                <w:lang w:val="lv-LV"/>
              </w:rPr>
            </w:pPr>
            <w:r w:rsidRPr="00BA5839">
              <w:rPr>
                <w:rFonts w:ascii="Times New Roman" w:hAnsi="Times New Roman"/>
                <w:lang w:val="lv-LV"/>
              </w:rPr>
              <w:t>RI</w:t>
            </w:r>
          </w:p>
        </w:tc>
        <w:tc>
          <w:tcPr>
            <w:tcW w:w="2763"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uppressAutoHyphens/>
              <w:spacing w:before="120" w:line="240" w:lineRule="auto"/>
              <w:ind w:right="-432"/>
              <w:jc w:val="left"/>
              <w:rPr>
                <w:rFonts w:ascii="Times New Roman" w:hAnsi="Times New Roman"/>
                <w:bCs/>
                <w:lang w:val="lv-LV"/>
              </w:rPr>
            </w:pPr>
            <w:r w:rsidRPr="00BA5839">
              <w:rPr>
                <w:rFonts w:ascii="Times New Roman" w:hAnsi="Times New Roman"/>
                <w:bCs/>
                <w:lang w:val="lv-LV"/>
              </w:rPr>
              <w:t>Latvijas Republikas Vides aizsardzības un reģionālās attīstības ministrija</w:t>
            </w:r>
          </w:p>
        </w:tc>
        <w:tc>
          <w:tcPr>
            <w:tcW w:w="4118" w:type="dxa"/>
            <w:tcBorders>
              <w:top w:val="single" w:sz="4" w:space="0" w:color="auto"/>
              <w:left w:val="single" w:sz="4" w:space="0" w:color="auto"/>
              <w:bottom w:val="single" w:sz="4" w:space="0" w:color="auto"/>
              <w:right w:val="single" w:sz="4" w:space="0" w:color="auto"/>
            </w:tcBorders>
            <w:hideMark/>
          </w:tcPr>
          <w:p w:rsidR="00DB6FDE" w:rsidRPr="00BA5839" w:rsidRDefault="00B60A76" w:rsidP="00E302F6">
            <w:pPr>
              <w:pStyle w:val="ListDash2"/>
              <w:numPr>
                <w:ilvl w:val="0"/>
                <w:numId w:val="0"/>
              </w:numPr>
              <w:tabs>
                <w:tab w:val="left" w:pos="720"/>
              </w:tabs>
              <w:spacing w:before="120" w:line="240" w:lineRule="auto"/>
              <w:ind w:right="-432"/>
              <w:jc w:val="left"/>
              <w:rPr>
                <w:rFonts w:ascii="Times New Roman" w:hAnsi="Times New Roman"/>
                <w:lang w:val="lv-LV"/>
              </w:rPr>
            </w:pPr>
            <w:r>
              <w:rPr>
                <w:rFonts w:ascii="Times New Roman" w:hAnsi="Times New Roman"/>
                <w:lang w:val="lv-LV"/>
              </w:rPr>
              <w:t>Iekšējā audita departamenta direktors</w:t>
            </w:r>
          </w:p>
        </w:tc>
      </w:tr>
      <w:tr w:rsidR="00DB6FDE" w:rsidRPr="00BA5839" w:rsidTr="00DB6FDE">
        <w:trPr>
          <w:jc w:val="center"/>
        </w:trPr>
        <w:tc>
          <w:tcPr>
            <w:tcW w:w="8851" w:type="dxa"/>
            <w:gridSpan w:val="3"/>
            <w:tcBorders>
              <w:top w:val="single" w:sz="4" w:space="0" w:color="auto"/>
              <w:left w:val="nil"/>
              <w:bottom w:val="nil"/>
              <w:right w:val="nil"/>
            </w:tcBorders>
          </w:tcPr>
          <w:p w:rsidR="00DB6FDE" w:rsidRPr="00BA5839" w:rsidRDefault="00DB6FDE" w:rsidP="00E302F6">
            <w:pPr>
              <w:suppressAutoHyphens/>
              <w:spacing w:before="120" w:line="240" w:lineRule="auto"/>
              <w:ind w:right="-432"/>
              <w:rPr>
                <w:rFonts w:ascii="Times New Roman" w:hAnsi="Times New Roman"/>
                <w:lang w:val="lv-LV"/>
              </w:rPr>
            </w:pPr>
          </w:p>
          <w:p w:rsidR="00DB6FDE" w:rsidRPr="00BA5839" w:rsidRDefault="00DB6FDE" w:rsidP="00E302F6">
            <w:pPr>
              <w:suppressAutoHyphens/>
              <w:spacing w:before="120" w:line="240" w:lineRule="auto"/>
              <w:ind w:right="-432"/>
              <w:rPr>
                <w:rFonts w:ascii="Times New Roman" w:hAnsi="Times New Roman"/>
                <w:lang w:val="lv-LV"/>
              </w:rPr>
            </w:pPr>
            <w:r w:rsidRPr="00BA5839">
              <w:rPr>
                <w:rFonts w:ascii="Times New Roman" w:hAnsi="Times New Roman"/>
                <w:lang w:val="lv-LV"/>
              </w:rPr>
              <w:t>Iestāde, kurai Eiropas Komisija veiks maksājumus, ir:</w:t>
            </w:r>
          </w:p>
          <w:p w:rsidR="00DB6FDE" w:rsidRPr="00BA5839" w:rsidRDefault="001C1E6F" w:rsidP="00E302F6">
            <w:pPr>
              <w:suppressAutoHyphens/>
              <w:spacing w:before="120" w:line="240" w:lineRule="auto"/>
              <w:ind w:right="-432"/>
              <w:rPr>
                <w:rFonts w:ascii="Times New Roman" w:hAnsi="Times New Roman"/>
                <w:lang w:val="lv-LV"/>
              </w:rPr>
            </w:pPr>
            <w:r w:rsidRPr="00BA5839">
              <w:rPr>
                <w:rFonts w:ascii="Times New Roman" w:hAnsi="Times New Roman"/>
                <w:lang w:val="lv-LV"/>
              </w:rPr>
              <w:fldChar w:fldCharType="begin">
                <w:ffData>
                  <w:name w:val=""/>
                  <w:enabled/>
                  <w:calcOnExit w:val="0"/>
                  <w:checkBox>
                    <w:sizeAuto/>
                    <w:default w:val="1"/>
                  </w:checkBox>
                </w:ffData>
              </w:fldChar>
            </w:r>
            <w:r w:rsidR="00DB6FDE" w:rsidRPr="00BA5839">
              <w:rPr>
                <w:rFonts w:ascii="Times New Roman" w:hAnsi="Times New Roman"/>
                <w:lang w:val="lv-LV"/>
              </w:rPr>
              <w:instrText xml:space="preserve"> FORMCHECKBOX </w:instrText>
            </w:r>
            <w:r>
              <w:rPr>
                <w:rFonts w:ascii="Times New Roman" w:hAnsi="Times New Roman"/>
                <w:lang w:val="lv-LV"/>
              </w:rPr>
            </w:r>
            <w:r>
              <w:rPr>
                <w:rFonts w:ascii="Times New Roman" w:hAnsi="Times New Roman"/>
                <w:lang w:val="lv-LV"/>
              </w:rPr>
              <w:fldChar w:fldCharType="separate"/>
            </w:r>
            <w:r w:rsidRPr="00BA5839">
              <w:rPr>
                <w:rFonts w:ascii="Times New Roman" w:hAnsi="Times New Roman"/>
                <w:lang w:val="lv-LV"/>
              </w:rPr>
              <w:fldChar w:fldCharType="end"/>
            </w:r>
            <w:r w:rsidR="00DB6FDE" w:rsidRPr="00BA5839">
              <w:rPr>
                <w:rFonts w:ascii="Times New Roman" w:hAnsi="Times New Roman"/>
                <w:lang w:val="lv-LV"/>
              </w:rPr>
              <w:t xml:space="preserve"> VI</w:t>
            </w:r>
          </w:p>
          <w:p w:rsidR="00DB6FDE" w:rsidRPr="00BA5839" w:rsidRDefault="001C1E6F" w:rsidP="00E302F6">
            <w:pPr>
              <w:suppressAutoHyphens/>
              <w:spacing w:before="120" w:line="240" w:lineRule="auto"/>
              <w:ind w:right="-432"/>
              <w:rPr>
                <w:rFonts w:ascii="Times New Roman" w:hAnsi="Times New Roman"/>
                <w:lang w:val="lv-LV"/>
              </w:rPr>
            </w:pPr>
            <w:r w:rsidRPr="00BA5839">
              <w:rPr>
                <w:rFonts w:ascii="Times New Roman" w:hAnsi="Times New Roman"/>
                <w:lang w:val="lv-LV"/>
              </w:rPr>
              <w:fldChar w:fldCharType="begin">
                <w:ffData>
                  <w:name w:val=""/>
                  <w:enabled/>
                  <w:calcOnExit w:val="0"/>
                  <w:checkBox>
                    <w:sizeAuto/>
                    <w:default w:val="0"/>
                  </w:checkBox>
                </w:ffData>
              </w:fldChar>
            </w:r>
            <w:r w:rsidR="00DB6FDE" w:rsidRPr="00BA5839">
              <w:rPr>
                <w:rFonts w:ascii="Times New Roman" w:hAnsi="Times New Roman"/>
                <w:lang w:val="lv-LV"/>
              </w:rPr>
              <w:instrText xml:space="preserve"> FORMCHECKBOX </w:instrText>
            </w:r>
            <w:r>
              <w:rPr>
                <w:rFonts w:ascii="Times New Roman" w:hAnsi="Times New Roman"/>
                <w:lang w:val="lv-LV"/>
              </w:rPr>
            </w:r>
            <w:r>
              <w:rPr>
                <w:rFonts w:ascii="Times New Roman" w:hAnsi="Times New Roman"/>
                <w:lang w:val="lv-LV"/>
              </w:rPr>
              <w:fldChar w:fldCharType="separate"/>
            </w:r>
            <w:r w:rsidRPr="00BA5839">
              <w:rPr>
                <w:rFonts w:ascii="Times New Roman" w:hAnsi="Times New Roman"/>
                <w:lang w:val="lv-LV"/>
              </w:rPr>
              <w:fldChar w:fldCharType="end"/>
            </w:r>
            <w:r w:rsidR="00DB6FDE" w:rsidRPr="00BA5839">
              <w:rPr>
                <w:rFonts w:ascii="Times New Roman" w:hAnsi="Times New Roman"/>
                <w:lang w:val="lv-LV"/>
              </w:rPr>
              <w:t xml:space="preserve"> SI</w:t>
            </w:r>
          </w:p>
        </w:tc>
      </w:tr>
      <w:tr w:rsidR="00DB6FDE" w:rsidRPr="00BA5839" w:rsidTr="00DB6FDE">
        <w:trPr>
          <w:jc w:val="center"/>
        </w:trPr>
        <w:tc>
          <w:tcPr>
            <w:tcW w:w="1970" w:type="dxa"/>
            <w:tcBorders>
              <w:top w:val="single" w:sz="4" w:space="0" w:color="auto"/>
              <w:left w:val="single" w:sz="4" w:space="0" w:color="auto"/>
              <w:bottom w:val="single" w:sz="4" w:space="0" w:color="auto"/>
              <w:right w:val="single" w:sz="4" w:space="0" w:color="auto"/>
            </w:tcBorders>
            <w:shd w:val="clear" w:color="auto" w:fill="DBE5F1"/>
            <w:hideMark/>
          </w:tcPr>
          <w:p w:rsidR="00DB6FDE" w:rsidRPr="00BA5839" w:rsidRDefault="00DB6FDE" w:rsidP="002631B7">
            <w:pPr>
              <w:suppressAutoHyphens/>
              <w:spacing w:before="120" w:line="240" w:lineRule="auto"/>
              <w:jc w:val="center"/>
              <w:rPr>
                <w:rFonts w:ascii="Times New Roman" w:hAnsi="Times New Roman"/>
                <w:b/>
                <w:lang w:val="lv-LV"/>
              </w:rPr>
            </w:pPr>
            <w:r w:rsidRPr="00BA5839">
              <w:rPr>
                <w:rFonts w:ascii="Times New Roman" w:hAnsi="Times New Roman"/>
                <w:b/>
                <w:lang w:val="lv-LV"/>
              </w:rPr>
              <w:t>Institūcija/ iestāde</w:t>
            </w:r>
          </w:p>
        </w:tc>
        <w:tc>
          <w:tcPr>
            <w:tcW w:w="2763" w:type="dxa"/>
            <w:tcBorders>
              <w:top w:val="single" w:sz="4" w:space="0" w:color="auto"/>
              <w:left w:val="single" w:sz="4" w:space="0" w:color="auto"/>
              <w:bottom w:val="single" w:sz="4" w:space="0" w:color="auto"/>
              <w:right w:val="single" w:sz="4" w:space="0" w:color="auto"/>
            </w:tcBorders>
            <w:shd w:val="clear" w:color="auto" w:fill="DBE5F1"/>
            <w:hideMark/>
          </w:tcPr>
          <w:p w:rsidR="00DB6FDE" w:rsidRPr="00211692" w:rsidRDefault="00DB6FDE" w:rsidP="002631B7">
            <w:pPr>
              <w:suppressAutoHyphens/>
              <w:spacing w:before="120" w:line="240" w:lineRule="auto"/>
              <w:jc w:val="center"/>
              <w:rPr>
                <w:rFonts w:ascii="Times New Roman" w:hAnsi="Times New Roman"/>
                <w:b/>
                <w:lang w:val="lv-LV"/>
              </w:rPr>
            </w:pPr>
            <w:r w:rsidRPr="00211692">
              <w:rPr>
                <w:rFonts w:ascii="Times New Roman" w:hAnsi="Times New Roman"/>
                <w:b/>
                <w:lang w:val="lv-LV"/>
              </w:rPr>
              <w:t>Institūcijas/ iestādes un nodaļas nosaukums</w:t>
            </w:r>
          </w:p>
        </w:tc>
        <w:tc>
          <w:tcPr>
            <w:tcW w:w="4118" w:type="dxa"/>
            <w:tcBorders>
              <w:top w:val="single" w:sz="4" w:space="0" w:color="auto"/>
              <w:left w:val="single" w:sz="4" w:space="0" w:color="auto"/>
              <w:bottom w:val="single" w:sz="4" w:space="0" w:color="auto"/>
              <w:right w:val="single" w:sz="4" w:space="0" w:color="auto"/>
            </w:tcBorders>
            <w:shd w:val="clear" w:color="auto" w:fill="DBE5F1"/>
            <w:hideMark/>
          </w:tcPr>
          <w:p w:rsidR="00DB6FDE" w:rsidRPr="00C07052" w:rsidRDefault="00211692" w:rsidP="002631B7">
            <w:pPr>
              <w:suppressAutoHyphens/>
              <w:spacing w:before="120" w:line="240" w:lineRule="auto"/>
              <w:ind w:right="90"/>
              <w:jc w:val="center"/>
              <w:rPr>
                <w:rFonts w:ascii="Times New Roman" w:hAnsi="Times New Roman"/>
                <w:b/>
                <w:lang w:val="lv-LV"/>
              </w:rPr>
            </w:pPr>
            <w:r w:rsidRPr="00C07052">
              <w:rPr>
                <w:rFonts w:ascii="Times New Roman" w:hAnsi="Times New Roman"/>
                <w:b/>
              </w:rPr>
              <w:t>Iestādes/struktūras vadītājs (amats vai amatvieta)</w:t>
            </w:r>
          </w:p>
        </w:tc>
      </w:tr>
      <w:tr w:rsidR="00DB6FDE" w:rsidRPr="00BA5839" w:rsidTr="00DB6FDE">
        <w:trPr>
          <w:jc w:val="center"/>
        </w:trPr>
        <w:tc>
          <w:tcPr>
            <w:tcW w:w="1970" w:type="dxa"/>
            <w:tcBorders>
              <w:top w:val="single" w:sz="4" w:space="0" w:color="auto"/>
              <w:left w:val="single" w:sz="4" w:space="0" w:color="auto"/>
              <w:bottom w:val="single" w:sz="4" w:space="0" w:color="auto"/>
              <w:right w:val="single" w:sz="4" w:space="0" w:color="auto"/>
            </w:tcBorders>
            <w:hideMark/>
          </w:tcPr>
          <w:p w:rsidR="00DB6FDE" w:rsidRPr="00BA5839" w:rsidRDefault="00DB6FDE" w:rsidP="002631B7">
            <w:pPr>
              <w:suppressAutoHyphens/>
              <w:spacing w:before="120" w:line="240" w:lineRule="auto"/>
              <w:jc w:val="left"/>
              <w:rPr>
                <w:rFonts w:ascii="Times New Roman" w:hAnsi="Times New Roman"/>
                <w:b/>
                <w:lang w:val="lv-LV"/>
              </w:rPr>
            </w:pPr>
            <w:r w:rsidRPr="00BA5839">
              <w:rPr>
                <w:rFonts w:ascii="Times New Roman" w:hAnsi="Times New Roman"/>
                <w:lang w:val="lv-LV"/>
              </w:rPr>
              <w:t>Iestāde vai iestādes, kas veic ar kontroli saistītas funkcijas.</w:t>
            </w:r>
          </w:p>
        </w:tc>
        <w:tc>
          <w:tcPr>
            <w:tcW w:w="2763" w:type="dxa"/>
            <w:tcBorders>
              <w:top w:val="single" w:sz="4" w:space="0" w:color="auto"/>
              <w:left w:val="single" w:sz="4" w:space="0" w:color="auto"/>
              <w:bottom w:val="single" w:sz="4" w:space="0" w:color="auto"/>
              <w:right w:val="single" w:sz="4" w:space="0" w:color="auto"/>
            </w:tcBorders>
            <w:hideMark/>
          </w:tcPr>
          <w:p w:rsidR="00DB6FDE" w:rsidRDefault="00B60A76" w:rsidP="002631B7">
            <w:pPr>
              <w:suppressAutoHyphens/>
              <w:spacing w:before="120" w:line="240" w:lineRule="auto"/>
              <w:ind w:right="-303"/>
              <w:jc w:val="left"/>
              <w:rPr>
                <w:rFonts w:ascii="Times New Roman" w:hAnsi="Times New Roman"/>
                <w:lang w:val="lv-LV"/>
              </w:rPr>
            </w:pPr>
            <w:r>
              <w:rPr>
                <w:rFonts w:ascii="Times New Roman" w:hAnsi="Times New Roman"/>
                <w:lang w:val="lv-LV"/>
              </w:rPr>
              <w:t>Latvija: Valsts reģionālās attīstības aģentura</w:t>
            </w:r>
          </w:p>
          <w:p w:rsidR="00B60A76" w:rsidRDefault="00B60A76" w:rsidP="00E302F6">
            <w:pPr>
              <w:suppressAutoHyphens/>
              <w:spacing w:before="120" w:line="240" w:lineRule="auto"/>
              <w:ind w:right="-432"/>
              <w:jc w:val="left"/>
              <w:rPr>
                <w:rFonts w:ascii="Times New Roman" w:hAnsi="Times New Roman"/>
                <w:lang w:val="lv-LV"/>
              </w:rPr>
            </w:pPr>
          </w:p>
          <w:p w:rsidR="00B60A76" w:rsidRPr="00BA5839" w:rsidRDefault="00B60A76" w:rsidP="00E302F6">
            <w:pPr>
              <w:suppressAutoHyphens/>
              <w:spacing w:before="120" w:line="240" w:lineRule="auto"/>
              <w:ind w:right="-432"/>
              <w:jc w:val="left"/>
              <w:rPr>
                <w:rFonts w:ascii="Times New Roman" w:hAnsi="Times New Roman"/>
                <w:lang w:val="lv-LV"/>
              </w:rPr>
            </w:pPr>
            <w:r>
              <w:rPr>
                <w:rFonts w:ascii="Times New Roman" w:hAnsi="Times New Roman"/>
                <w:lang w:val="lv-LV"/>
              </w:rPr>
              <w:t>Lietuva: decentralizēta sistēma</w:t>
            </w:r>
          </w:p>
        </w:tc>
        <w:tc>
          <w:tcPr>
            <w:tcW w:w="4118" w:type="dxa"/>
            <w:tcBorders>
              <w:top w:val="single" w:sz="4" w:space="0" w:color="auto"/>
              <w:left w:val="single" w:sz="4" w:space="0" w:color="auto"/>
              <w:bottom w:val="single" w:sz="4" w:space="0" w:color="auto"/>
              <w:right w:val="single" w:sz="4" w:space="0" w:color="auto"/>
            </w:tcBorders>
            <w:hideMark/>
          </w:tcPr>
          <w:p w:rsidR="00DB6FDE" w:rsidRPr="00BA5839" w:rsidRDefault="00B60A76" w:rsidP="002631B7">
            <w:pPr>
              <w:pStyle w:val="ListDash2"/>
              <w:numPr>
                <w:ilvl w:val="0"/>
                <w:numId w:val="0"/>
              </w:numPr>
              <w:tabs>
                <w:tab w:val="left" w:pos="720"/>
              </w:tabs>
              <w:spacing w:before="120" w:line="240" w:lineRule="auto"/>
              <w:ind w:right="90"/>
              <w:jc w:val="left"/>
              <w:rPr>
                <w:rFonts w:ascii="Times New Roman" w:hAnsi="Times New Roman"/>
                <w:lang w:val="lv-LV"/>
              </w:rPr>
            </w:pPr>
            <w:r>
              <w:rPr>
                <w:rFonts w:ascii="Times New Roman" w:hAnsi="Times New Roman"/>
                <w:lang w:val="lv-LV"/>
              </w:rPr>
              <w:t>Teritoriālās sadarbības projektu kontroles departamenta direktors</w:t>
            </w:r>
          </w:p>
        </w:tc>
      </w:tr>
      <w:tr w:rsidR="00DB6FDE" w:rsidRPr="00BA5839" w:rsidTr="00DB6FDE">
        <w:trPr>
          <w:jc w:val="center"/>
        </w:trPr>
        <w:tc>
          <w:tcPr>
            <w:tcW w:w="1970" w:type="dxa"/>
            <w:tcBorders>
              <w:top w:val="single" w:sz="4" w:space="0" w:color="auto"/>
              <w:left w:val="single" w:sz="4" w:space="0" w:color="auto"/>
              <w:bottom w:val="single" w:sz="4" w:space="0" w:color="auto"/>
              <w:right w:val="single" w:sz="4" w:space="0" w:color="auto"/>
            </w:tcBorders>
            <w:hideMark/>
          </w:tcPr>
          <w:p w:rsidR="00DB6FDE" w:rsidRPr="00BA5839" w:rsidRDefault="00DB6FDE" w:rsidP="00E302F6">
            <w:pPr>
              <w:suppressAutoHyphens/>
              <w:spacing w:before="120" w:line="240" w:lineRule="auto"/>
              <w:ind w:right="-432"/>
              <w:jc w:val="left"/>
              <w:rPr>
                <w:rFonts w:ascii="Times New Roman" w:hAnsi="Times New Roman"/>
                <w:lang w:val="lv-LV"/>
              </w:rPr>
            </w:pPr>
            <w:r w:rsidRPr="00BA5839">
              <w:rPr>
                <w:rFonts w:ascii="Times New Roman" w:hAnsi="Times New Roman"/>
                <w:lang w:val="lv-LV"/>
              </w:rPr>
              <w:t>Iestāde vai iestādes, kas veic ar revīziju saistītas funkcijas.</w:t>
            </w:r>
          </w:p>
        </w:tc>
        <w:tc>
          <w:tcPr>
            <w:tcW w:w="2763" w:type="dxa"/>
            <w:tcBorders>
              <w:top w:val="single" w:sz="4" w:space="0" w:color="auto"/>
              <w:left w:val="single" w:sz="4" w:space="0" w:color="auto"/>
              <w:bottom w:val="single" w:sz="4" w:space="0" w:color="auto"/>
              <w:right w:val="single" w:sz="4" w:space="0" w:color="auto"/>
            </w:tcBorders>
          </w:tcPr>
          <w:p w:rsidR="00DB6FDE" w:rsidRPr="00BA5839" w:rsidRDefault="00DB6FDE" w:rsidP="00E302F6">
            <w:pPr>
              <w:spacing w:before="120" w:line="240" w:lineRule="auto"/>
              <w:ind w:right="-432"/>
              <w:jc w:val="left"/>
              <w:rPr>
                <w:rFonts w:ascii="Times New Roman" w:hAnsi="Times New Roman"/>
                <w:lang w:val="lv-LV" w:eastAsia="en-GB"/>
              </w:rPr>
            </w:pPr>
            <w:r w:rsidRPr="00BA5839">
              <w:rPr>
                <w:rFonts w:ascii="Times New Roman" w:hAnsi="Times New Roman"/>
                <w:lang w:val="lv-LV" w:eastAsia="en-GB"/>
              </w:rPr>
              <w:t xml:space="preserve">Revīzijas iestāde </w:t>
            </w:r>
          </w:p>
          <w:p w:rsidR="00DB6FDE" w:rsidRPr="00BA5839" w:rsidRDefault="00DB6FDE" w:rsidP="00E302F6">
            <w:pPr>
              <w:suppressAutoHyphens/>
              <w:spacing w:before="120" w:line="240" w:lineRule="auto"/>
              <w:ind w:right="-432"/>
              <w:jc w:val="left"/>
              <w:rPr>
                <w:rFonts w:ascii="Times New Roman" w:hAnsi="Times New Roman"/>
                <w:bCs/>
                <w:lang w:val="lv-LV"/>
              </w:rPr>
            </w:pPr>
            <w:r w:rsidRPr="00BA5839">
              <w:rPr>
                <w:rFonts w:ascii="Times New Roman" w:hAnsi="Times New Roman"/>
                <w:bCs/>
                <w:lang w:val="lv-LV"/>
              </w:rPr>
              <w:t>Latvijas Republikas Vides aizsardzības un reģionālās attīstības ministrija</w:t>
            </w:r>
            <w:r w:rsidR="002F0A75">
              <w:rPr>
                <w:rFonts w:ascii="Times New Roman" w:hAnsi="Times New Roman"/>
                <w:bCs/>
                <w:lang w:val="lv-LV"/>
              </w:rPr>
              <w:t xml:space="preserve"> (ar Revidentu grupas atbalstu)</w:t>
            </w:r>
          </w:p>
          <w:p w:rsidR="00DB6FDE" w:rsidRPr="00BA5839" w:rsidRDefault="00DB6FDE" w:rsidP="00E302F6">
            <w:pPr>
              <w:suppressAutoHyphens/>
              <w:spacing w:before="120" w:line="240" w:lineRule="auto"/>
              <w:ind w:right="-432"/>
              <w:jc w:val="left"/>
              <w:rPr>
                <w:rFonts w:ascii="Times New Roman" w:hAnsi="Times New Roman"/>
                <w:lang w:val="lv-LV"/>
              </w:rPr>
            </w:pPr>
          </w:p>
        </w:tc>
        <w:tc>
          <w:tcPr>
            <w:tcW w:w="4118" w:type="dxa"/>
            <w:tcBorders>
              <w:top w:val="single" w:sz="4" w:space="0" w:color="auto"/>
              <w:left w:val="single" w:sz="4" w:space="0" w:color="auto"/>
              <w:bottom w:val="single" w:sz="4" w:space="0" w:color="auto"/>
              <w:right w:val="single" w:sz="4" w:space="0" w:color="auto"/>
            </w:tcBorders>
            <w:hideMark/>
          </w:tcPr>
          <w:p w:rsidR="00DB6FDE" w:rsidRPr="00BA5839" w:rsidRDefault="00B60A76" w:rsidP="002631B7">
            <w:pPr>
              <w:pStyle w:val="ListDash2"/>
              <w:numPr>
                <w:ilvl w:val="0"/>
                <w:numId w:val="0"/>
              </w:numPr>
              <w:tabs>
                <w:tab w:val="left" w:pos="720"/>
              </w:tabs>
              <w:spacing w:before="120" w:line="240" w:lineRule="auto"/>
              <w:ind w:right="-52"/>
              <w:rPr>
                <w:rFonts w:ascii="Times New Roman" w:hAnsi="Times New Roman"/>
                <w:lang w:val="lv-LV"/>
              </w:rPr>
            </w:pPr>
            <w:r>
              <w:rPr>
                <w:rFonts w:ascii="Times New Roman" w:hAnsi="Times New Roman"/>
                <w:lang w:val="lv-LV"/>
              </w:rPr>
              <w:t>Iekšējā audita departamenta direktors</w:t>
            </w:r>
          </w:p>
        </w:tc>
      </w:tr>
    </w:tbl>
    <w:p w:rsidR="00DB6FDE" w:rsidRDefault="00DB6FDE" w:rsidP="00D66FB7">
      <w:pPr>
        <w:pStyle w:val="Heading2"/>
      </w:pPr>
    </w:p>
    <w:p w:rsidR="00470200" w:rsidRDefault="00DB6FDE" w:rsidP="00D66FB7">
      <w:pPr>
        <w:pStyle w:val="Heading2"/>
      </w:pPr>
      <w:r>
        <w:br w:type="page"/>
      </w:r>
      <w:bookmarkStart w:id="252" w:name="_Toc384383738"/>
      <w:r>
        <w:lastRenderedPageBreak/>
        <w:t xml:space="preserve">5.2. </w:t>
      </w:r>
      <w:r w:rsidR="00F0244C">
        <w:t>P</w:t>
      </w:r>
      <w:r w:rsidR="00837286">
        <w:t xml:space="preserve">rocedūra Kopīgā </w:t>
      </w:r>
      <w:r>
        <w:t>sekretariāta izveide</w:t>
      </w:r>
      <w:r w:rsidR="006B1EA8">
        <w:t>i</w:t>
      </w:r>
      <w:r>
        <w:t xml:space="preserve"> </w:t>
      </w:r>
      <w:bookmarkEnd w:id="252"/>
    </w:p>
    <w:p w:rsidR="002F0A75" w:rsidRPr="002F0A75"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VI izveidos </w:t>
      </w:r>
      <w:r w:rsidR="00837286">
        <w:rPr>
          <w:rFonts w:ascii="Times New Roman" w:hAnsi="Times New Roman"/>
          <w:lang w:val="lv-LV"/>
        </w:rPr>
        <w:t>K</w:t>
      </w:r>
      <w:r w:rsidRPr="00BA5839">
        <w:rPr>
          <w:rFonts w:ascii="Times New Roman" w:hAnsi="Times New Roman"/>
          <w:lang w:val="lv-LV"/>
        </w:rPr>
        <w:t xml:space="preserve">S saskaņā ar Regulas (ES) Nr. 1299/2013 23. pantu. </w:t>
      </w:r>
      <w:r w:rsidR="002F0A75">
        <w:rPr>
          <w:rFonts w:ascii="Times New Roman" w:hAnsi="Times New Roman"/>
          <w:lang w:val="lv-LV"/>
        </w:rPr>
        <w:t xml:space="preserve">KS atradīsies Rīgā, </w:t>
      </w:r>
      <w:r w:rsidR="002F0A75" w:rsidRPr="00570C42">
        <w:rPr>
          <w:rFonts w:ascii="Times New Roman" w:hAnsi="Times New Roman"/>
          <w:lang w:val="lv-LV"/>
        </w:rPr>
        <w:t>Latvijas Republikas Vides aizsardzības un reģionālās attīstības ministrij</w:t>
      </w:r>
      <w:r w:rsidR="002F0A75">
        <w:rPr>
          <w:rFonts w:ascii="Times New Roman" w:hAnsi="Times New Roman"/>
          <w:lang w:val="lv-LV"/>
        </w:rPr>
        <w:t xml:space="preserve">ā. </w:t>
      </w:r>
      <w:r w:rsidR="00366220">
        <w:rPr>
          <w:rFonts w:ascii="Times New Roman" w:hAnsi="Times New Roman"/>
          <w:lang w:val="lv-LV"/>
        </w:rPr>
        <w:t>Izmaiņas KS institūcijā</w:t>
      </w:r>
      <w:r w:rsidR="002F0A75" w:rsidRPr="002F0A75">
        <w:rPr>
          <w:rFonts w:ascii="Times New Roman" w:hAnsi="Times New Roman"/>
          <w:lang w:val="lv-LV"/>
        </w:rPr>
        <w:t xml:space="preserve"> </w:t>
      </w:r>
      <w:r w:rsidR="00366220">
        <w:rPr>
          <w:rFonts w:ascii="Times New Roman" w:hAnsi="Times New Roman"/>
          <w:lang w:val="lv-LV"/>
        </w:rPr>
        <w:t>tiek ierosinātas pēc</w:t>
      </w:r>
      <w:r w:rsidR="002F0A75" w:rsidRPr="002F0A75">
        <w:rPr>
          <w:rFonts w:ascii="Times New Roman" w:hAnsi="Times New Roman"/>
          <w:lang w:val="lv-LV"/>
        </w:rPr>
        <w:t xml:space="preserve"> iekšējās </w:t>
      </w:r>
      <w:r w:rsidR="00366220">
        <w:rPr>
          <w:rFonts w:ascii="Times New Roman" w:hAnsi="Times New Roman"/>
          <w:lang w:val="lv-LV"/>
        </w:rPr>
        <w:t>iz</w:t>
      </w:r>
      <w:r w:rsidR="002F0A75" w:rsidRPr="002F0A75">
        <w:rPr>
          <w:rFonts w:ascii="Times New Roman" w:hAnsi="Times New Roman"/>
          <w:lang w:val="lv-LV"/>
        </w:rPr>
        <w:t>vērtēšanas un pārstrukturēšan</w:t>
      </w:r>
      <w:r w:rsidR="000545F3">
        <w:rPr>
          <w:rFonts w:ascii="Times New Roman" w:hAnsi="Times New Roman"/>
          <w:lang w:val="lv-LV"/>
        </w:rPr>
        <w:t>as</w:t>
      </w:r>
      <w:r w:rsidR="002F0A75" w:rsidRPr="002F0A75">
        <w:rPr>
          <w:rFonts w:ascii="Times New Roman" w:hAnsi="Times New Roman"/>
          <w:lang w:val="lv-LV"/>
        </w:rPr>
        <w:t xml:space="preserve">, lai veicinātu savstarpējo koordināciju starp MA un JS, </w:t>
      </w:r>
      <w:r w:rsidR="000545F3">
        <w:rPr>
          <w:rFonts w:ascii="Times New Roman" w:hAnsi="Times New Roman"/>
          <w:lang w:val="lv-LV"/>
        </w:rPr>
        <w:t>koncentrējoties</w:t>
      </w:r>
      <w:r w:rsidR="002F0A75" w:rsidRPr="002F0A75">
        <w:rPr>
          <w:rFonts w:ascii="Times New Roman" w:hAnsi="Times New Roman"/>
          <w:lang w:val="lv-LV"/>
        </w:rPr>
        <w:t xml:space="preserve"> uz procesu </w:t>
      </w:r>
      <w:r w:rsidR="000545F3" w:rsidRPr="002F0A75">
        <w:rPr>
          <w:rFonts w:ascii="Times New Roman" w:hAnsi="Times New Roman"/>
          <w:lang w:val="lv-LV"/>
        </w:rPr>
        <w:t xml:space="preserve">vienkāršošanu </w:t>
      </w:r>
      <w:r w:rsidR="002F0A75" w:rsidRPr="002F0A75">
        <w:rPr>
          <w:rFonts w:ascii="Times New Roman" w:hAnsi="Times New Roman"/>
          <w:lang w:val="lv-LV"/>
        </w:rPr>
        <w:t>un funkciju</w:t>
      </w:r>
      <w:r w:rsidR="000545F3">
        <w:rPr>
          <w:rFonts w:ascii="Times New Roman" w:hAnsi="Times New Roman"/>
          <w:lang w:val="lv-LV"/>
        </w:rPr>
        <w:t xml:space="preserve"> </w:t>
      </w:r>
      <w:r w:rsidR="000545F3" w:rsidRPr="002F0A75">
        <w:rPr>
          <w:rFonts w:ascii="Times New Roman" w:hAnsi="Times New Roman"/>
          <w:lang w:val="lv-LV"/>
        </w:rPr>
        <w:t>korelācijas</w:t>
      </w:r>
      <w:r w:rsidR="002F0A75" w:rsidRPr="002F0A75">
        <w:rPr>
          <w:rFonts w:ascii="Times New Roman" w:hAnsi="Times New Roman"/>
          <w:lang w:val="lv-LV"/>
        </w:rPr>
        <w:t xml:space="preserve">, tādējādi nodrošinot elastīgāku un efektīvāku resursu izmantošanu. </w:t>
      </w:r>
    </w:p>
    <w:p w:rsidR="002F0A75" w:rsidRPr="002F0A75" w:rsidRDefault="000545F3" w:rsidP="00E302F6">
      <w:pPr>
        <w:spacing w:before="120" w:line="240" w:lineRule="auto"/>
        <w:ind w:right="-432"/>
        <w:rPr>
          <w:rFonts w:ascii="Times New Roman" w:hAnsi="Times New Roman"/>
          <w:lang w:val="lv-LV"/>
        </w:rPr>
      </w:pPr>
      <w:r>
        <w:rPr>
          <w:rFonts w:ascii="Times New Roman" w:hAnsi="Times New Roman"/>
          <w:lang w:val="lv-LV"/>
        </w:rPr>
        <w:t>Izmaiņu mērķis ir</w:t>
      </w:r>
      <w:r w:rsidR="002F0A75" w:rsidRPr="002F0A75">
        <w:rPr>
          <w:rFonts w:ascii="Times New Roman" w:hAnsi="Times New Roman"/>
          <w:lang w:val="lv-LV"/>
        </w:rPr>
        <w:t xml:space="preserve"> saglabāt esošo kārtību - </w:t>
      </w:r>
    </w:p>
    <w:p w:rsidR="00DB6FDE" w:rsidRDefault="00F0244C" w:rsidP="00E302F6">
      <w:pPr>
        <w:spacing w:before="120" w:line="240" w:lineRule="auto"/>
        <w:ind w:right="-432"/>
        <w:rPr>
          <w:rFonts w:ascii="Times New Roman" w:hAnsi="Times New Roman"/>
          <w:lang w:val="lv-LV"/>
        </w:rPr>
      </w:pPr>
      <w:r>
        <w:rPr>
          <w:rFonts w:ascii="Times New Roman" w:hAnsi="Times New Roman"/>
          <w:lang w:val="lv-LV"/>
        </w:rPr>
        <w:t xml:space="preserve"> P</w:t>
      </w:r>
      <w:r w:rsidR="00DB6FDE" w:rsidRPr="00BA5839">
        <w:rPr>
          <w:rFonts w:ascii="Times New Roman" w:hAnsi="Times New Roman"/>
          <w:lang w:val="lv-LV"/>
        </w:rPr>
        <w:t xml:space="preserve">lānots saglabāt pašreizējo sistēmu </w:t>
      </w:r>
      <w:r>
        <w:rPr>
          <w:rFonts w:ascii="Times New Roman" w:hAnsi="Times New Roman"/>
          <w:lang w:val="lv-LV"/>
        </w:rPr>
        <w:t>– funkciju sadalījumu starp VI un KS un</w:t>
      </w:r>
      <w:r w:rsidR="004311AF">
        <w:rPr>
          <w:rFonts w:ascii="Times New Roman" w:hAnsi="Times New Roman"/>
          <w:lang w:val="lv-LV"/>
        </w:rPr>
        <w:t xml:space="preserve"> </w:t>
      </w:r>
      <w:r>
        <w:rPr>
          <w:rFonts w:ascii="Times New Roman" w:hAnsi="Times New Roman"/>
          <w:lang w:val="lv-LV"/>
        </w:rPr>
        <w:t>programmas personālu, pielāgojot jaunajām normatīvajām prasībām</w:t>
      </w:r>
      <w:r w:rsidR="00DB6FDE" w:rsidRPr="00BA5839">
        <w:rPr>
          <w:rFonts w:ascii="Times New Roman" w:hAnsi="Times New Roman"/>
          <w:lang w:val="lv-LV"/>
        </w:rPr>
        <w:t xml:space="preserve">. Plānots izmantot 2007. - 2013. gada Programmas pieredzi </w:t>
      </w:r>
      <w:r>
        <w:rPr>
          <w:rFonts w:ascii="Times New Roman" w:hAnsi="Times New Roman"/>
          <w:lang w:val="lv-LV"/>
        </w:rPr>
        <w:t>K</w:t>
      </w:r>
      <w:r w:rsidR="00DB6FDE" w:rsidRPr="00BA5839">
        <w:rPr>
          <w:rFonts w:ascii="Times New Roman" w:hAnsi="Times New Roman"/>
          <w:lang w:val="lv-LV"/>
        </w:rPr>
        <w:t xml:space="preserve">S izveidošanai, it īpaši attiecībā uz </w:t>
      </w:r>
      <w:r>
        <w:rPr>
          <w:rFonts w:ascii="Times New Roman" w:hAnsi="Times New Roman"/>
          <w:lang w:val="lv-LV"/>
        </w:rPr>
        <w:t xml:space="preserve">starptautisko </w:t>
      </w:r>
      <w:r w:rsidR="00DB6FDE" w:rsidRPr="00BA5839">
        <w:rPr>
          <w:rFonts w:ascii="Times New Roman" w:hAnsi="Times New Roman"/>
          <w:lang w:val="lv-LV"/>
        </w:rPr>
        <w:t xml:space="preserve">personālu, </w:t>
      </w:r>
      <w:r w:rsidR="00FA1787">
        <w:rPr>
          <w:rFonts w:ascii="Times New Roman" w:hAnsi="Times New Roman"/>
          <w:lang w:val="lv-LV"/>
        </w:rPr>
        <w:t xml:space="preserve">vēlams ar līdzsvarotu </w:t>
      </w:r>
      <w:r w:rsidR="00DB6FDE" w:rsidRPr="00BA5839">
        <w:rPr>
          <w:rFonts w:ascii="Times New Roman" w:hAnsi="Times New Roman"/>
          <w:lang w:val="lv-LV"/>
        </w:rPr>
        <w:t>pārstāvju skaitu no abām Programmas valstīm</w:t>
      </w:r>
      <w:r w:rsidR="004311AF" w:rsidRPr="002F0A75">
        <w:rPr>
          <w:rFonts w:ascii="Times New Roman" w:hAnsi="Times New Roman"/>
          <w:lang w:val="lv-LV"/>
        </w:rPr>
        <w:t>, kas runā</w:t>
      </w:r>
      <w:r w:rsidR="004311AF">
        <w:rPr>
          <w:rFonts w:ascii="Times New Roman" w:hAnsi="Times New Roman"/>
          <w:lang w:val="lv-LV"/>
        </w:rPr>
        <w:t xml:space="preserve"> vai nu latviešu vai/</w:t>
      </w:r>
      <w:r w:rsidR="004311AF" w:rsidRPr="002F0A75">
        <w:rPr>
          <w:rFonts w:ascii="Times New Roman" w:hAnsi="Times New Roman"/>
          <w:lang w:val="lv-LV"/>
        </w:rPr>
        <w:t xml:space="preserve">un </w:t>
      </w:r>
      <w:r w:rsidR="004311AF">
        <w:rPr>
          <w:rFonts w:ascii="Times New Roman" w:hAnsi="Times New Roman"/>
          <w:lang w:val="lv-LV"/>
        </w:rPr>
        <w:t>l</w:t>
      </w:r>
      <w:r w:rsidR="00923A76">
        <w:rPr>
          <w:rFonts w:ascii="Times New Roman" w:hAnsi="Times New Roman"/>
          <w:lang w:val="lv-LV"/>
        </w:rPr>
        <w:t>ietuviešu valodā</w:t>
      </w:r>
      <w:r w:rsidR="004311AF" w:rsidRPr="002F0A75">
        <w:rPr>
          <w:rFonts w:ascii="Times New Roman" w:hAnsi="Times New Roman"/>
          <w:lang w:val="lv-LV"/>
        </w:rPr>
        <w:t xml:space="preserve">, lai nodrošinātu pietiekamu palīdzības </w:t>
      </w:r>
      <w:r w:rsidR="00923A76">
        <w:rPr>
          <w:rFonts w:ascii="Times New Roman" w:hAnsi="Times New Roman"/>
          <w:lang w:val="lv-LV"/>
        </w:rPr>
        <w:t xml:space="preserve">nodrošināšanu projektu </w:t>
      </w:r>
      <w:r w:rsidR="004311AF" w:rsidRPr="002F0A75">
        <w:rPr>
          <w:rFonts w:ascii="Times New Roman" w:hAnsi="Times New Roman"/>
          <w:lang w:val="lv-LV"/>
        </w:rPr>
        <w:t>sagatavošan</w:t>
      </w:r>
      <w:r w:rsidR="00923A76">
        <w:rPr>
          <w:rFonts w:ascii="Times New Roman" w:hAnsi="Times New Roman"/>
          <w:lang w:val="lv-LV"/>
        </w:rPr>
        <w:t>ai</w:t>
      </w:r>
      <w:r w:rsidR="004311AF" w:rsidRPr="002F0A75">
        <w:rPr>
          <w:rFonts w:ascii="Times New Roman" w:hAnsi="Times New Roman"/>
          <w:lang w:val="lv-LV"/>
        </w:rPr>
        <w:t xml:space="preserve"> un īstenošan</w:t>
      </w:r>
      <w:r w:rsidR="00923A76">
        <w:rPr>
          <w:rFonts w:ascii="Times New Roman" w:hAnsi="Times New Roman"/>
          <w:lang w:val="lv-LV"/>
        </w:rPr>
        <w:t>ai</w:t>
      </w:r>
      <w:r w:rsidR="004311AF" w:rsidRPr="002F0A75">
        <w:rPr>
          <w:rFonts w:ascii="Times New Roman" w:hAnsi="Times New Roman"/>
          <w:lang w:val="lv-LV"/>
        </w:rPr>
        <w:t>.</w:t>
      </w:r>
    </w:p>
    <w:p w:rsidR="00724CC2" w:rsidRDefault="00923A76" w:rsidP="00E302F6">
      <w:pPr>
        <w:spacing w:before="120" w:line="240" w:lineRule="auto"/>
        <w:ind w:right="-432"/>
        <w:rPr>
          <w:rFonts w:ascii="Times New Roman" w:hAnsi="Times New Roman"/>
          <w:lang w:val="lv-LV"/>
        </w:rPr>
      </w:pPr>
      <w:r>
        <w:rPr>
          <w:rFonts w:ascii="Times New Roman" w:hAnsi="Times New Roman"/>
          <w:lang w:val="lv-LV"/>
        </w:rPr>
        <w:t xml:space="preserve">KS darbinieki tiks atlasīti galvenokārt 2015. un daļēji arī 2016.gadā atbilstoši Programmas ieviešanas intensitātei. </w:t>
      </w:r>
      <w:r w:rsidRPr="00923A76">
        <w:rPr>
          <w:rFonts w:ascii="Times New Roman" w:hAnsi="Times New Roman"/>
          <w:lang w:val="lv-LV"/>
        </w:rPr>
        <w:t>Darb</w:t>
      </w:r>
      <w:r>
        <w:rPr>
          <w:rFonts w:ascii="Times New Roman" w:hAnsi="Times New Roman"/>
          <w:lang w:val="lv-LV"/>
        </w:rPr>
        <w:t>inieku</w:t>
      </w:r>
      <w:r w:rsidRPr="00923A76">
        <w:rPr>
          <w:rFonts w:ascii="Times New Roman" w:hAnsi="Times New Roman"/>
          <w:lang w:val="lv-LV"/>
        </w:rPr>
        <w:t xml:space="preserve"> </w:t>
      </w:r>
      <w:r>
        <w:rPr>
          <w:rFonts w:ascii="Times New Roman" w:hAnsi="Times New Roman"/>
          <w:lang w:val="lv-LV"/>
        </w:rPr>
        <w:t>atlases procesā tiks ņemta</w:t>
      </w:r>
      <w:r w:rsidRPr="00923A76">
        <w:rPr>
          <w:rFonts w:ascii="Times New Roman" w:hAnsi="Times New Roman"/>
          <w:lang w:val="lv-LV"/>
        </w:rPr>
        <w:t xml:space="preserve"> vērā </w:t>
      </w:r>
      <w:r>
        <w:rPr>
          <w:rFonts w:ascii="Times New Roman" w:hAnsi="Times New Roman"/>
          <w:lang w:val="lv-LV"/>
        </w:rPr>
        <w:t>veiksmīgas</w:t>
      </w:r>
      <w:r w:rsidRPr="00923A76">
        <w:rPr>
          <w:rFonts w:ascii="Times New Roman" w:hAnsi="Times New Roman"/>
          <w:lang w:val="lv-LV"/>
        </w:rPr>
        <w:t xml:space="preserve"> 2007-2013 programmas </w:t>
      </w:r>
      <w:r>
        <w:rPr>
          <w:rFonts w:ascii="Times New Roman" w:hAnsi="Times New Roman"/>
          <w:lang w:val="lv-LV"/>
        </w:rPr>
        <w:t xml:space="preserve">slēgšanas nodrošināšana </w:t>
      </w:r>
      <w:r w:rsidRPr="00923A76">
        <w:rPr>
          <w:rFonts w:ascii="Times New Roman" w:hAnsi="Times New Roman"/>
          <w:lang w:val="lv-LV"/>
        </w:rPr>
        <w:t xml:space="preserve">un </w:t>
      </w:r>
      <w:r>
        <w:rPr>
          <w:rFonts w:ascii="Times New Roman" w:hAnsi="Times New Roman"/>
          <w:lang w:val="lv-LV"/>
        </w:rPr>
        <w:t>paralēli</w:t>
      </w:r>
      <w:r w:rsidRPr="00923A76">
        <w:rPr>
          <w:rFonts w:ascii="Times New Roman" w:hAnsi="Times New Roman"/>
          <w:lang w:val="lv-LV"/>
        </w:rPr>
        <w:t xml:space="preserve"> zināšanu un resursu </w:t>
      </w:r>
      <w:r>
        <w:rPr>
          <w:rFonts w:ascii="Times New Roman" w:hAnsi="Times New Roman"/>
          <w:lang w:val="lv-LV"/>
        </w:rPr>
        <w:t>pārnese aktīvai programmas īstenošanas uzsākšanai</w:t>
      </w:r>
      <w:r w:rsidRPr="00923A76">
        <w:rPr>
          <w:rFonts w:ascii="Times New Roman" w:hAnsi="Times New Roman"/>
          <w:lang w:val="lv-LV"/>
        </w:rPr>
        <w:t xml:space="preserve">. </w:t>
      </w:r>
      <w:r w:rsidR="0035173C">
        <w:rPr>
          <w:rFonts w:ascii="Times New Roman" w:hAnsi="Times New Roman"/>
          <w:lang w:val="lv-LV"/>
        </w:rPr>
        <w:t>I</w:t>
      </w:r>
      <w:r w:rsidR="00EB0322">
        <w:rPr>
          <w:rFonts w:ascii="Times New Roman" w:hAnsi="Times New Roman"/>
          <w:lang w:val="lv-LV"/>
        </w:rPr>
        <w:t xml:space="preserve">kmēneša </w:t>
      </w:r>
      <w:r w:rsidR="0035173C">
        <w:rPr>
          <w:rFonts w:ascii="Times New Roman" w:hAnsi="Times New Roman"/>
          <w:lang w:val="lv-LV"/>
        </w:rPr>
        <w:t xml:space="preserve">maksājumu pieprasījumi par </w:t>
      </w:r>
      <w:r w:rsidR="00EB0322">
        <w:rPr>
          <w:rFonts w:ascii="Times New Roman" w:hAnsi="Times New Roman"/>
          <w:lang w:val="lv-LV"/>
        </w:rPr>
        <w:t xml:space="preserve">izdevumu </w:t>
      </w:r>
      <w:r w:rsidR="0035173C">
        <w:rPr>
          <w:rFonts w:ascii="Times New Roman" w:hAnsi="Times New Roman"/>
          <w:lang w:val="lv-LV"/>
        </w:rPr>
        <w:t xml:space="preserve">daļu par darbiniekiem, kas ir Latvijas iedzīvotāji </w:t>
      </w:r>
      <w:r w:rsidR="00EB0322">
        <w:rPr>
          <w:rFonts w:ascii="Times New Roman" w:hAnsi="Times New Roman"/>
          <w:lang w:val="lv-LV"/>
        </w:rPr>
        <w:t>tiks iesniegti apmaks</w:t>
      </w:r>
      <w:r w:rsidR="00B653FA">
        <w:rPr>
          <w:rFonts w:ascii="Times New Roman" w:hAnsi="Times New Roman"/>
          <w:lang w:val="lv-LV"/>
        </w:rPr>
        <w:t>ai Rīgas birojā</w:t>
      </w:r>
      <w:r w:rsidRPr="00923A76">
        <w:rPr>
          <w:rFonts w:ascii="Times New Roman" w:hAnsi="Times New Roman"/>
          <w:lang w:val="lv-LV"/>
        </w:rPr>
        <w:t xml:space="preserve">, </w:t>
      </w:r>
      <w:r w:rsidR="0035173C">
        <w:rPr>
          <w:rFonts w:ascii="Times New Roman" w:hAnsi="Times New Roman"/>
          <w:lang w:val="lv-LV"/>
        </w:rPr>
        <w:t xml:space="preserve">darbinieku, kuri  nav </w:t>
      </w:r>
      <w:r w:rsidRPr="00923A76">
        <w:rPr>
          <w:rFonts w:ascii="Times New Roman" w:hAnsi="Times New Roman"/>
          <w:lang w:val="lv-LV"/>
        </w:rPr>
        <w:t>Latvijas iedzīvotāji</w:t>
      </w:r>
      <w:r w:rsidR="0035173C">
        <w:rPr>
          <w:rFonts w:ascii="Times New Roman" w:hAnsi="Times New Roman"/>
          <w:lang w:val="lv-LV"/>
        </w:rPr>
        <w:t>, izdevumi tiks apmaksāti</w:t>
      </w:r>
      <w:r w:rsidRPr="00923A76">
        <w:rPr>
          <w:rFonts w:ascii="Times New Roman" w:hAnsi="Times New Roman"/>
          <w:lang w:val="lv-LV"/>
        </w:rPr>
        <w:t xml:space="preserve"> no </w:t>
      </w:r>
      <w:r w:rsidR="0035173C">
        <w:rPr>
          <w:rFonts w:ascii="Times New Roman" w:hAnsi="Times New Roman"/>
          <w:lang w:val="lv-LV"/>
        </w:rPr>
        <w:t>KS</w:t>
      </w:r>
      <w:r w:rsidRPr="00923A76">
        <w:rPr>
          <w:rFonts w:ascii="Times New Roman" w:hAnsi="Times New Roman"/>
          <w:lang w:val="lv-LV"/>
        </w:rPr>
        <w:t xml:space="preserve"> TP budžet</w:t>
      </w:r>
      <w:r w:rsidR="0035173C">
        <w:rPr>
          <w:rFonts w:ascii="Times New Roman" w:hAnsi="Times New Roman"/>
          <w:lang w:val="lv-LV"/>
        </w:rPr>
        <w:t>a</w:t>
      </w:r>
      <w:r w:rsidRPr="00923A76">
        <w:rPr>
          <w:rFonts w:ascii="Times New Roman" w:hAnsi="Times New Roman"/>
          <w:lang w:val="lv-LV"/>
        </w:rPr>
        <w:t xml:space="preserve"> </w:t>
      </w:r>
      <w:r w:rsidR="00B653FA">
        <w:rPr>
          <w:rFonts w:ascii="Times New Roman" w:hAnsi="Times New Roman"/>
          <w:lang w:val="lv-LV"/>
        </w:rPr>
        <w:t>apjomā par ko vienojās</w:t>
      </w:r>
      <w:r w:rsidR="0035173C">
        <w:rPr>
          <w:rFonts w:ascii="Times New Roman" w:hAnsi="Times New Roman"/>
          <w:lang w:val="lv-LV"/>
        </w:rPr>
        <w:t xml:space="preserve"> UK</w:t>
      </w:r>
      <w:r w:rsidRPr="00923A76">
        <w:rPr>
          <w:rFonts w:ascii="Times New Roman" w:hAnsi="Times New Roman"/>
          <w:lang w:val="lv-LV"/>
        </w:rPr>
        <w:t>.</w:t>
      </w:r>
      <w:r w:rsidR="0035173C">
        <w:rPr>
          <w:rFonts w:ascii="Times New Roman" w:hAnsi="Times New Roman"/>
          <w:lang w:val="lv-LV"/>
        </w:rPr>
        <w:t xml:space="preserve"> </w:t>
      </w:r>
    </w:p>
    <w:p w:rsidR="00B653FA" w:rsidRDefault="000D783D" w:rsidP="00E302F6">
      <w:pPr>
        <w:spacing w:before="120" w:line="240" w:lineRule="auto"/>
        <w:ind w:right="-432"/>
        <w:rPr>
          <w:rFonts w:ascii="Times New Roman" w:hAnsi="Times New Roman"/>
          <w:lang w:val="lv-LV"/>
        </w:rPr>
      </w:pPr>
      <w:r>
        <w:rPr>
          <w:rFonts w:ascii="Times New Roman" w:hAnsi="Times New Roman"/>
          <w:lang w:val="lv-LV"/>
        </w:rPr>
        <w:t>Citas izmaiņas atšķirībā no 2007.-2013.gada programmēšanas perioda, par kurām ir vienojušās dalībvalstis</w:t>
      </w:r>
      <w:r w:rsidR="0035173C">
        <w:rPr>
          <w:rFonts w:ascii="Times New Roman" w:hAnsi="Times New Roman"/>
          <w:lang w:val="lv-LV"/>
        </w:rPr>
        <w:t xml:space="preserve"> </w:t>
      </w:r>
      <w:r>
        <w:rPr>
          <w:rFonts w:ascii="Times New Roman" w:hAnsi="Times New Roman"/>
          <w:lang w:val="lv-LV"/>
        </w:rPr>
        <w:t>- KS būs</w:t>
      </w:r>
      <w:r w:rsidRPr="00BA5839">
        <w:rPr>
          <w:rFonts w:ascii="Times New Roman" w:hAnsi="Times New Roman"/>
          <w:lang w:val="lv-LV"/>
        </w:rPr>
        <w:t xml:space="preserve"> filiāle Viļņā (kur</w:t>
      </w:r>
      <w:r w:rsidR="00B25791">
        <w:rPr>
          <w:rFonts w:ascii="Times New Roman" w:hAnsi="Times New Roman"/>
          <w:lang w:val="lv-LV"/>
        </w:rPr>
        <w:t>as darbību nodrošinās sabiedriskā</w:t>
      </w:r>
      <w:r w:rsidRPr="00BA5839">
        <w:rPr>
          <w:rFonts w:ascii="Times New Roman" w:hAnsi="Times New Roman"/>
          <w:lang w:val="lv-LV"/>
        </w:rPr>
        <w:t xml:space="preserve"> iestāde „Apvienotais tehniskais sekretariāts” [VšĮ „Jungtinis Techninis Sekretoriatas”]). </w:t>
      </w:r>
      <w:r w:rsidR="0035173C">
        <w:rPr>
          <w:rFonts w:ascii="Times New Roman" w:hAnsi="Times New Roman"/>
          <w:lang w:val="lv-LV"/>
        </w:rPr>
        <w:t>S</w:t>
      </w:r>
      <w:r w:rsidR="0035173C" w:rsidRPr="0035173C">
        <w:rPr>
          <w:rFonts w:ascii="Times New Roman" w:hAnsi="Times New Roman"/>
          <w:lang w:val="lv-LV"/>
        </w:rPr>
        <w:t xml:space="preserve">īkāka informācija par </w:t>
      </w:r>
      <w:r w:rsidR="0035173C">
        <w:rPr>
          <w:rFonts w:ascii="Times New Roman" w:hAnsi="Times New Roman"/>
          <w:lang w:val="lv-LV"/>
        </w:rPr>
        <w:t>Viļņas filiāles darbību</w:t>
      </w:r>
      <w:r w:rsidR="00B653FA">
        <w:rPr>
          <w:rFonts w:ascii="Times New Roman" w:hAnsi="Times New Roman"/>
          <w:lang w:val="lv-LV"/>
        </w:rPr>
        <w:t xml:space="preserve"> tiks noteikta</w:t>
      </w:r>
      <w:r w:rsidR="0035173C" w:rsidRPr="0035173C">
        <w:rPr>
          <w:rFonts w:ascii="Times New Roman" w:hAnsi="Times New Roman"/>
          <w:lang w:val="lv-LV"/>
        </w:rPr>
        <w:t xml:space="preserve"> starp </w:t>
      </w:r>
      <w:r w:rsidR="00B653FA" w:rsidRPr="0035173C">
        <w:rPr>
          <w:rFonts w:ascii="Times New Roman" w:hAnsi="Times New Roman"/>
          <w:lang w:val="lv-LV"/>
        </w:rPr>
        <w:t xml:space="preserve">Latvijas Republikas </w:t>
      </w:r>
      <w:r w:rsidR="0035173C" w:rsidRPr="0035173C">
        <w:rPr>
          <w:rFonts w:ascii="Times New Roman" w:hAnsi="Times New Roman"/>
          <w:lang w:val="lv-LV"/>
        </w:rPr>
        <w:t>Vides aizsardzības un reģionālās attīstības ministrij</w:t>
      </w:r>
      <w:r w:rsidR="00B653FA">
        <w:rPr>
          <w:rFonts w:ascii="Times New Roman" w:hAnsi="Times New Roman"/>
          <w:lang w:val="lv-LV"/>
        </w:rPr>
        <w:t>u</w:t>
      </w:r>
      <w:r w:rsidR="0035173C" w:rsidRPr="0035173C">
        <w:rPr>
          <w:rFonts w:ascii="Times New Roman" w:hAnsi="Times New Roman"/>
          <w:lang w:val="lv-LV"/>
        </w:rPr>
        <w:t xml:space="preserve"> un VšĮ "Jungtinis Techninis Sekretoriatas"</w:t>
      </w:r>
      <w:r w:rsidR="00B653FA">
        <w:rPr>
          <w:rFonts w:ascii="Times New Roman" w:hAnsi="Times New Roman"/>
          <w:lang w:val="lv-LV"/>
        </w:rPr>
        <w:t xml:space="preserve"> noslēgtajā administratīvajā līgumā</w:t>
      </w:r>
      <w:r w:rsidR="0035173C" w:rsidRPr="0035173C">
        <w:rPr>
          <w:rFonts w:ascii="Times New Roman" w:hAnsi="Times New Roman"/>
          <w:lang w:val="lv-LV"/>
        </w:rPr>
        <w:t>.</w:t>
      </w:r>
      <w:r w:rsidR="00B653FA">
        <w:rPr>
          <w:rFonts w:ascii="Times New Roman" w:hAnsi="Times New Roman"/>
          <w:lang w:val="lv-LV"/>
        </w:rPr>
        <w:t>KS darbinieki tiks nodarbināti atbilstoši Latvijas Republikas tiesību aktiem. Filiāles darbinieki tiks nodarbināti atbilstoši Lietuvas Republikas tiesību aktiem.</w:t>
      </w:r>
    </w:p>
    <w:p w:rsidR="00DB6FDE" w:rsidRDefault="0015727D" w:rsidP="00E302F6">
      <w:pPr>
        <w:spacing w:before="120" w:line="240" w:lineRule="auto"/>
        <w:ind w:right="-432"/>
        <w:rPr>
          <w:rFonts w:ascii="Times New Roman" w:hAnsi="Times New Roman"/>
          <w:lang w:val="lv-LV"/>
        </w:rPr>
      </w:pPr>
      <w:r>
        <w:rPr>
          <w:rFonts w:ascii="Times New Roman" w:hAnsi="Times New Roman"/>
          <w:lang w:val="lv-LV"/>
        </w:rPr>
        <w:t>K</w:t>
      </w:r>
      <w:r w:rsidR="00DB6FDE" w:rsidRPr="00BA5839">
        <w:rPr>
          <w:rFonts w:ascii="Times New Roman" w:hAnsi="Times New Roman"/>
          <w:lang w:val="lv-LV"/>
        </w:rPr>
        <w:t xml:space="preserve">S </w:t>
      </w:r>
      <w:r w:rsidR="00B653FA">
        <w:rPr>
          <w:rFonts w:ascii="Times New Roman" w:hAnsi="Times New Roman"/>
          <w:lang w:val="lv-LV"/>
        </w:rPr>
        <w:t xml:space="preserve">un tā filiales </w:t>
      </w:r>
      <w:r>
        <w:rPr>
          <w:rFonts w:ascii="Times New Roman" w:hAnsi="Times New Roman"/>
          <w:lang w:val="lv-LV"/>
        </w:rPr>
        <w:t>funkcijas</w:t>
      </w:r>
      <w:r w:rsidRPr="00BA5839">
        <w:rPr>
          <w:rFonts w:ascii="Times New Roman" w:hAnsi="Times New Roman"/>
          <w:lang w:val="lv-LV"/>
        </w:rPr>
        <w:t xml:space="preserve"> </w:t>
      </w:r>
      <w:r w:rsidR="00DB6FDE" w:rsidRPr="00BA5839">
        <w:rPr>
          <w:rFonts w:ascii="Times New Roman" w:hAnsi="Times New Roman"/>
          <w:lang w:val="lv-LV"/>
        </w:rPr>
        <w:t xml:space="preserve">Programmas ieviešanas cikla laikā </w:t>
      </w:r>
      <w:r>
        <w:rPr>
          <w:rFonts w:ascii="Times New Roman" w:hAnsi="Times New Roman"/>
          <w:lang w:val="lv-LV"/>
        </w:rPr>
        <w:t xml:space="preserve">mainīsīsies un kā minimums sevī </w:t>
      </w:r>
      <w:r w:rsidR="00DB6FDE" w:rsidRPr="00BA5839">
        <w:rPr>
          <w:rFonts w:ascii="Times New Roman" w:hAnsi="Times New Roman"/>
          <w:lang w:val="lv-LV"/>
        </w:rPr>
        <w:t>ietvers</w:t>
      </w:r>
      <w:r>
        <w:rPr>
          <w:rFonts w:ascii="Times New Roman" w:hAnsi="Times New Roman"/>
          <w:lang w:val="lv-LV"/>
        </w:rPr>
        <w:t>:</w:t>
      </w:r>
      <w:r w:rsidR="00B653FA">
        <w:rPr>
          <w:rFonts w:ascii="Times New Roman" w:hAnsi="Times New Roman"/>
          <w:lang w:val="lv-LV"/>
        </w:rPr>
        <w:t xml:space="preserve"> informācijas par finsnējuma iespējām sniegšanu potenciālajiem atbalsta sņēmējiem un palīdzības sniegšanu atbalsta saņēmējiem aktivitāšu  plānošanas un īstenošanas gaitā; </w:t>
      </w:r>
      <w:r w:rsidR="00DB6FDE" w:rsidRPr="00BA5839">
        <w:rPr>
          <w:rFonts w:ascii="Times New Roman" w:hAnsi="Times New Roman"/>
          <w:lang w:val="lv-LV"/>
        </w:rPr>
        <w:t>projektu uzraudzību, projektu pieteikumu izvērtēšanu</w:t>
      </w:r>
      <w:r>
        <w:rPr>
          <w:rFonts w:ascii="Times New Roman" w:hAnsi="Times New Roman"/>
          <w:lang w:val="lv-LV"/>
        </w:rPr>
        <w:t xml:space="preserve"> (vismaz administratīv</w:t>
      </w:r>
      <w:r w:rsidR="00AB55FA">
        <w:rPr>
          <w:rFonts w:ascii="Times New Roman" w:hAnsi="Times New Roman"/>
          <w:lang w:val="lv-LV"/>
        </w:rPr>
        <w:t>ās</w:t>
      </w:r>
      <w:r>
        <w:rPr>
          <w:rFonts w:ascii="Times New Roman" w:hAnsi="Times New Roman"/>
          <w:lang w:val="lv-LV"/>
        </w:rPr>
        <w:t xml:space="preserve"> </w:t>
      </w:r>
      <w:r w:rsidR="00AB55FA">
        <w:rPr>
          <w:rFonts w:ascii="Times New Roman" w:hAnsi="Times New Roman"/>
          <w:lang w:val="lv-LV"/>
        </w:rPr>
        <w:t>pārbaudes</w:t>
      </w:r>
      <w:r>
        <w:rPr>
          <w:rFonts w:ascii="Times New Roman" w:hAnsi="Times New Roman"/>
          <w:lang w:val="lv-LV"/>
        </w:rPr>
        <w:t xml:space="preserve"> un atbilstības </w:t>
      </w:r>
      <w:r w:rsidR="00AB55FA">
        <w:rPr>
          <w:rFonts w:ascii="Times New Roman" w:hAnsi="Times New Roman"/>
          <w:lang w:val="lv-LV"/>
        </w:rPr>
        <w:t>pārbaudes</w:t>
      </w:r>
      <w:r>
        <w:rPr>
          <w:rFonts w:ascii="Times New Roman" w:hAnsi="Times New Roman"/>
          <w:lang w:val="lv-LV"/>
        </w:rPr>
        <w:t>)</w:t>
      </w:r>
      <w:r w:rsidR="00DB6FDE" w:rsidRPr="00BA5839">
        <w:rPr>
          <w:rFonts w:ascii="Times New Roman" w:hAnsi="Times New Roman"/>
          <w:lang w:val="lv-LV"/>
        </w:rPr>
        <w:t>, informācijas sniegšanu par Programmu un projektiem, kā arī informēšanu par Programm</w:t>
      </w:r>
      <w:r w:rsidR="00B653FA">
        <w:rPr>
          <w:rFonts w:ascii="Times New Roman" w:hAnsi="Times New Roman"/>
          <w:lang w:val="lv-LV"/>
        </w:rPr>
        <w:t>u un projektiem; komunikāciju par Programm</w:t>
      </w:r>
      <w:r w:rsidR="00DB6FDE" w:rsidRPr="00BA5839">
        <w:rPr>
          <w:rFonts w:ascii="Times New Roman" w:hAnsi="Times New Roman"/>
          <w:lang w:val="lv-LV"/>
        </w:rPr>
        <w:t>as rezultātiem Programmas</w:t>
      </w:r>
      <w:r w:rsidR="00B653FA">
        <w:rPr>
          <w:rFonts w:ascii="Times New Roman" w:hAnsi="Times New Roman"/>
          <w:lang w:val="lv-LV"/>
        </w:rPr>
        <w:t xml:space="preserve"> reģionos</w:t>
      </w:r>
      <w:r>
        <w:rPr>
          <w:rFonts w:ascii="Times New Roman" w:hAnsi="Times New Roman"/>
          <w:lang w:val="lv-LV"/>
        </w:rPr>
        <w:t>.</w:t>
      </w:r>
    </w:p>
    <w:p w:rsidR="00D66FB7" w:rsidRPr="00B653FA" w:rsidRDefault="00D66FB7" w:rsidP="00E302F6">
      <w:pPr>
        <w:spacing w:before="120" w:line="240" w:lineRule="auto"/>
        <w:ind w:right="-432"/>
        <w:rPr>
          <w:rFonts w:ascii="Times New Roman" w:hAnsi="Times New Roman"/>
          <w:b/>
          <w:lang w:val="lv-LV"/>
        </w:rPr>
      </w:pPr>
    </w:p>
    <w:p w:rsidR="00C07052" w:rsidRPr="00D66FB7" w:rsidRDefault="00DB6FDE" w:rsidP="00D66FB7">
      <w:pPr>
        <w:pStyle w:val="Heading2"/>
      </w:pPr>
      <w:bookmarkStart w:id="253" w:name="_Toc384383739"/>
      <w:r w:rsidRPr="00D66FB7">
        <w:t>5.3.</w:t>
      </w:r>
      <w:r w:rsidRPr="00D66FB7">
        <w:tab/>
      </w:r>
      <w:r w:rsidR="004E0D5B" w:rsidRPr="00D66FB7">
        <w:t>Pārvaldības un kontroles procedūru apraksta kopsavilkums</w:t>
      </w:r>
      <w:bookmarkEnd w:id="253"/>
    </w:p>
    <w:p w:rsidR="00470200" w:rsidRPr="00D66FB7" w:rsidRDefault="00DB6FDE" w:rsidP="00D66FB7">
      <w:pPr>
        <w:pStyle w:val="Heading2"/>
      </w:pPr>
      <w:r w:rsidRPr="00D66FB7">
        <w:t>Šajā nodaļā ir norādīti vadības un kontroles sistēmas elementi.</w:t>
      </w:r>
    </w:p>
    <w:p w:rsidR="00DB6FDE" w:rsidRDefault="00DB6FDE" w:rsidP="00E302F6">
      <w:pPr>
        <w:spacing w:before="120" w:line="240" w:lineRule="auto"/>
        <w:ind w:right="-432"/>
        <w:rPr>
          <w:rFonts w:ascii="Times New Roman" w:hAnsi="Times New Roman"/>
          <w:b/>
          <w:lang w:val="lv-LV"/>
        </w:rPr>
      </w:pPr>
      <w:r w:rsidRPr="00BA5839">
        <w:rPr>
          <w:rFonts w:ascii="Times New Roman" w:hAnsi="Times New Roman"/>
          <w:b/>
          <w:lang w:val="lv-LV"/>
        </w:rPr>
        <w:t>Galveno ieviešanas struktūru noteikšana</w:t>
      </w:r>
    </w:p>
    <w:p w:rsidR="001D5B1F" w:rsidRPr="001D5B1F" w:rsidRDefault="001D5B1F" w:rsidP="00E302F6">
      <w:pPr>
        <w:spacing w:before="120" w:line="240" w:lineRule="auto"/>
        <w:ind w:right="-432"/>
        <w:rPr>
          <w:rFonts w:ascii="Times New Roman" w:hAnsi="Times New Roman"/>
          <w:lang w:val="lv-LV"/>
        </w:rPr>
      </w:pPr>
      <w:r w:rsidRPr="001D5B1F">
        <w:rPr>
          <w:rFonts w:ascii="Times New Roman" w:hAnsi="Times New Roman"/>
          <w:lang w:val="lv-LV"/>
        </w:rPr>
        <w:t>VI, RI un KS izveide un funkcijas izpildi regulēs Latvijas normatīvie akti. FK un nacionālās institūcijas regulēs attiecīgās valsts nacionālie normatīvie akti.</w:t>
      </w:r>
    </w:p>
    <w:p w:rsidR="00DB6FDE" w:rsidRPr="00BA5839" w:rsidRDefault="00DB6FDE" w:rsidP="00E302F6">
      <w:pPr>
        <w:spacing w:before="120" w:line="240" w:lineRule="auto"/>
        <w:ind w:right="-432"/>
        <w:rPr>
          <w:rFonts w:ascii="Times New Roman" w:hAnsi="Times New Roman"/>
          <w:u w:val="single"/>
          <w:lang w:val="lv-LV"/>
        </w:rPr>
      </w:pPr>
      <w:r w:rsidRPr="00BA5839">
        <w:rPr>
          <w:rFonts w:ascii="Times New Roman" w:hAnsi="Times New Roman"/>
          <w:u w:val="single"/>
          <w:lang w:val="lv-LV"/>
        </w:rPr>
        <w:lastRenderedPageBreak/>
        <w:t>Vadošā iestāde</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Latvijas Republikas Vides aizsardzības un reģionālās attīstības ministrija </w:t>
      </w:r>
      <w:r w:rsidR="00765E35" w:rsidRPr="00BA5839">
        <w:rPr>
          <w:rFonts w:ascii="Times New Roman" w:hAnsi="Times New Roman"/>
          <w:lang w:val="lv-LV"/>
        </w:rPr>
        <w:t>turpin</w:t>
      </w:r>
      <w:r w:rsidR="00765E35">
        <w:rPr>
          <w:rFonts w:ascii="Times New Roman" w:hAnsi="Times New Roman"/>
          <w:lang w:val="lv-LV"/>
        </w:rPr>
        <w:t>a</w:t>
      </w:r>
      <w:r w:rsidR="00765E35" w:rsidRPr="00BA5839">
        <w:rPr>
          <w:rFonts w:ascii="Times New Roman" w:hAnsi="Times New Roman"/>
          <w:lang w:val="lv-LV"/>
        </w:rPr>
        <w:t xml:space="preserve"> </w:t>
      </w:r>
      <w:r w:rsidRPr="00BA5839">
        <w:rPr>
          <w:rFonts w:ascii="Times New Roman" w:hAnsi="Times New Roman"/>
          <w:lang w:val="lv-LV"/>
        </w:rPr>
        <w:t xml:space="preserve">būt VI tāpat kā 2007.–2013. gada </w:t>
      </w:r>
      <w:r w:rsidR="001F7610">
        <w:rPr>
          <w:rFonts w:ascii="Times New Roman" w:hAnsi="Times New Roman"/>
          <w:lang w:val="lv-LV"/>
        </w:rPr>
        <w:t>programmēšanas</w:t>
      </w:r>
      <w:r w:rsidR="001F7610" w:rsidRPr="00BA5839">
        <w:rPr>
          <w:rFonts w:ascii="Times New Roman" w:hAnsi="Times New Roman"/>
          <w:lang w:val="lv-LV"/>
        </w:rPr>
        <w:t xml:space="preserve"> </w:t>
      </w:r>
      <w:r w:rsidRPr="00BA5839">
        <w:rPr>
          <w:rFonts w:ascii="Times New Roman" w:hAnsi="Times New Roman"/>
          <w:lang w:val="lv-LV"/>
        </w:rPr>
        <w:t>period</w:t>
      </w:r>
      <w:r w:rsidR="001F7610">
        <w:rPr>
          <w:rFonts w:ascii="Times New Roman" w:hAnsi="Times New Roman"/>
          <w:lang w:val="lv-LV"/>
        </w:rPr>
        <w:t>ā</w:t>
      </w:r>
      <w:r w:rsidRPr="00BA5839">
        <w:rPr>
          <w:rFonts w:ascii="Times New Roman" w:hAnsi="Times New Roman"/>
          <w:lang w:val="lv-LV"/>
        </w:rPr>
        <w:t xml:space="preserve">. Tādējādi </w:t>
      </w:r>
      <w:r w:rsidR="00765E35">
        <w:rPr>
          <w:rFonts w:ascii="Times New Roman" w:hAnsi="Times New Roman"/>
          <w:lang w:val="lv-LV"/>
        </w:rPr>
        <w:t xml:space="preserve">ir nodrošināta </w:t>
      </w:r>
      <w:r w:rsidR="001D5B1F" w:rsidRPr="001D5B1F">
        <w:rPr>
          <w:rFonts w:ascii="Times New Roman" w:hAnsi="Times New Roman"/>
          <w:lang w:val="lv-LV"/>
        </w:rPr>
        <w:t>zināšan</w:t>
      </w:r>
      <w:r w:rsidR="00765E35">
        <w:rPr>
          <w:rFonts w:ascii="Times New Roman" w:hAnsi="Times New Roman"/>
          <w:lang w:val="lv-LV"/>
        </w:rPr>
        <w:t>u pārnese un uzkrāšana</w:t>
      </w:r>
      <w:r w:rsidR="001D5B1F" w:rsidRPr="001D5B1F">
        <w:rPr>
          <w:rFonts w:ascii="Times New Roman" w:hAnsi="Times New Roman"/>
          <w:lang w:val="lv-LV"/>
        </w:rPr>
        <w:t xml:space="preserve">, administratīvā kapacitāte, </w:t>
      </w:r>
      <w:r w:rsidR="00765E35">
        <w:rPr>
          <w:rFonts w:ascii="Times New Roman" w:hAnsi="Times New Roman"/>
          <w:lang w:val="lv-LV"/>
        </w:rPr>
        <w:t xml:space="preserve">ieviešanas </w:t>
      </w:r>
      <w:r w:rsidR="001D5B1F" w:rsidRPr="001D5B1F">
        <w:rPr>
          <w:rFonts w:ascii="Times New Roman" w:hAnsi="Times New Roman"/>
          <w:lang w:val="lv-LV"/>
        </w:rPr>
        <w:t>kārtība</w:t>
      </w:r>
      <w:r w:rsidR="00765E35">
        <w:rPr>
          <w:rFonts w:ascii="Times New Roman" w:hAnsi="Times New Roman"/>
          <w:lang w:val="lv-LV"/>
        </w:rPr>
        <w:t>s</w:t>
      </w:r>
      <w:r w:rsidR="001D5B1F" w:rsidRPr="001D5B1F">
        <w:rPr>
          <w:rFonts w:ascii="Times New Roman" w:hAnsi="Times New Roman"/>
          <w:lang w:val="lv-LV"/>
        </w:rPr>
        <w:t xml:space="preserve"> un darbinieki.</w:t>
      </w:r>
    </w:p>
    <w:p w:rsidR="00DB6FDE" w:rsidRPr="00BA5839" w:rsidRDefault="00DB6FDE" w:rsidP="00E302F6">
      <w:pPr>
        <w:autoSpaceDE w:val="0"/>
        <w:autoSpaceDN w:val="0"/>
        <w:adjustRightInd w:val="0"/>
        <w:spacing w:before="120" w:line="240" w:lineRule="auto"/>
        <w:ind w:right="-432"/>
        <w:rPr>
          <w:rFonts w:ascii="Times New Roman" w:hAnsi="Times New Roman"/>
          <w:lang w:val="lv-LV"/>
        </w:rPr>
      </w:pPr>
      <w:r w:rsidRPr="00BA5839">
        <w:rPr>
          <w:rFonts w:ascii="Times New Roman" w:hAnsi="Times New Roman"/>
          <w:lang w:val="lv-LV" w:eastAsia="en-GB"/>
        </w:rPr>
        <w:t>VI būs atbildīga par Programmas uzraudzību atbilstoši drošas finanšu pārvaldības principam. Tā veiks Regulas (ES) Nr. 1303/2013 125. un 126. pantā, kā arī Regulas (ES) Nr. 1299/2013 23. pantā minētos pienākumus.</w:t>
      </w:r>
    </w:p>
    <w:p w:rsidR="00DB6FDE" w:rsidRPr="00BA5839" w:rsidRDefault="00DB6FDE" w:rsidP="00E302F6">
      <w:pPr>
        <w:spacing w:before="120" w:line="240" w:lineRule="auto"/>
        <w:ind w:right="-432"/>
        <w:rPr>
          <w:rFonts w:ascii="Times New Roman" w:hAnsi="Times New Roman"/>
          <w:u w:val="single"/>
          <w:lang w:val="lv-LV"/>
        </w:rPr>
      </w:pPr>
      <w:r w:rsidRPr="00BA5839">
        <w:rPr>
          <w:rFonts w:ascii="Times New Roman" w:hAnsi="Times New Roman"/>
          <w:u w:val="single"/>
          <w:lang w:val="lv-LV"/>
        </w:rPr>
        <w:t xml:space="preserve">Uzraudzības komiteja </w:t>
      </w:r>
    </w:p>
    <w:p w:rsidR="00DB6FDE" w:rsidRPr="00BA5839" w:rsidRDefault="00DB6FDE" w:rsidP="00E302F6">
      <w:pPr>
        <w:autoSpaceDE w:val="0"/>
        <w:autoSpaceDN w:val="0"/>
        <w:adjustRightInd w:val="0"/>
        <w:spacing w:before="120" w:line="240" w:lineRule="auto"/>
        <w:ind w:right="-432"/>
        <w:rPr>
          <w:rFonts w:ascii="Times New Roman" w:hAnsi="Times New Roman"/>
          <w:lang w:val="lv-LV" w:eastAsia="en-GB"/>
        </w:rPr>
      </w:pPr>
      <w:r w:rsidRPr="00BA5839">
        <w:rPr>
          <w:rFonts w:ascii="Times New Roman" w:hAnsi="Times New Roman"/>
          <w:lang w:val="lv-LV" w:eastAsia="en-GB"/>
        </w:rPr>
        <w:t>Latvija un Lietuva izveidos vienotu UK trīs mēnešu laikā, sākot no dienas, kad saņemts paziņojums par Eiropas Komisijas lēmumu, ar kuru tiek apstiprināta Programma.</w:t>
      </w:r>
    </w:p>
    <w:p w:rsidR="00DB6FDE" w:rsidRPr="00BA5839" w:rsidRDefault="00DB6FDE" w:rsidP="00E302F6">
      <w:pPr>
        <w:autoSpaceDE w:val="0"/>
        <w:autoSpaceDN w:val="0"/>
        <w:adjustRightInd w:val="0"/>
        <w:spacing w:before="120" w:line="240" w:lineRule="auto"/>
        <w:ind w:right="-432"/>
        <w:rPr>
          <w:rFonts w:ascii="Times New Roman" w:hAnsi="Times New Roman"/>
          <w:lang w:val="lv-LV" w:eastAsia="en-GB"/>
        </w:rPr>
      </w:pPr>
      <w:r w:rsidRPr="00BA5839">
        <w:rPr>
          <w:rFonts w:ascii="Times New Roman" w:hAnsi="Times New Roman"/>
          <w:lang w:val="lv-LV" w:eastAsia="en-GB"/>
        </w:rPr>
        <w:t>Programmas UK ietvers gan valsts, gan reģionālajā līmeņa pārstāvjus, kā arī attiecīgos partnerus no abām dalībvalstīm. Lai nodrošinātu nepārtrauktību Programmas sagatavošanā, ieviešanā un uzraudzībā, UK paredzēts iesaistīt tos pašus partnerus, kas bijuši iesaistīti Programmas sagatavošanā.</w:t>
      </w:r>
    </w:p>
    <w:p w:rsidR="00DB6FDE" w:rsidRPr="00BA5839" w:rsidRDefault="00DB6FDE" w:rsidP="00E302F6">
      <w:pPr>
        <w:autoSpaceDE w:val="0"/>
        <w:autoSpaceDN w:val="0"/>
        <w:adjustRightInd w:val="0"/>
        <w:spacing w:before="120" w:line="240" w:lineRule="auto"/>
        <w:ind w:right="-432"/>
        <w:rPr>
          <w:rFonts w:ascii="Times New Roman" w:hAnsi="Times New Roman"/>
          <w:lang w:val="lv-LV"/>
        </w:rPr>
      </w:pPr>
      <w:r w:rsidRPr="00BA5839">
        <w:rPr>
          <w:rFonts w:ascii="Times New Roman" w:hAnsi="Times New Roman"/>
          <w:lang w:val="lv-LV" w:eastAsia="en-GB"/>
        </w:rPr>
        <w:t>UK veiks uzdevumus, kas norādīti Regulas (ES) Nr. 1303/2013 47. pantā un Regulas (ES) Nr. 1299/2013 12. pantā, kā arī pieņems lēmumus par projektu atlasi. UK reglamentu pieņems pati UK tās pirmajā sapulcē.</w:t>
      </w:r>
    </w:p>
    <w:p w:rsidR="00570C42" w:rsidRPr="00C07052" w:rsidRDefault="004E0D5B" w:rsidP="00E302F6">
      <w:pPr>
        <w:spacing w:before="120" w:line="240" w:lineRule="auto"/>
        <w:ind w:right="-432"/>
        <w:rPr>
          <w:rFonts w:ascii="Times New Roman" w:hAnsi="Times New Roman"/>
          <w:u w:val="single"/>
          <w:lang w:val="lv-LV"/>
        </w:rPr>
      </w:pPr>
      <w:r w:rsidRPr="00C07052">
        <w:rPr>
          <w:rFonts w:ascii="Times New Roman" w:hAnsi="Times New Roman"/>
          <w:u w:val="single"/>
          <w:lang w:val="lv-LV"/>
        </w:rPr>
        <w:t>Revīzijas iestāde</w:t>
      </w:r>
    </w:p>
    <w:p w:rsidR="00570C42" w:rsidRPr="00570C42" w:rsidRDefault="00765E35" w:rsidP="00E302F6">
      <w:pPr>
        <w:spacing w:before="120" w:line="240" w:lineRule="auto"/>
        <w:ind w:right="-432"/>
        <w:rPr>
          <w:rFonts w:ascii="Times New Roman" w:hAnsi="Times New Roman"/>
          <w:lang w:val="lv-LV"/>
        </w:rPr>
      </w:pPr>
      <w:r w:rsidRPr="00BA5839">
        <w:rPr>
          <w:rFonts w:ascii="Times New Roman" w:hAnsi="Times New Roman"/>
          <w:lang w:val="lv-LV"/>
        </w:rPr>
        <w:t>Latvijas Republikas Vides aizsardzības un reģionālā</w:t>
      </w:r>
      <w:r>
        <w:rPr>
          <w:rFonts w:ascii="Times New Roman" w:hAnsi="Times New Roman"/>
          <w:lang w:val="lv-LV"/>
        </w:rPr>
        <w:t>s attīstības ministrija turpina būt R</w:t>
      </w:r>
      <w:r w:rsidRPr="00BA5839">
        <w:rPr>
          <w:rFonts w:ascii="Times New Roman" w:hAnsi="Times New Roman"/>
          <w:lang w:val="lv-LV"/>
        </w:rPr>
        <w:t xml:space="preserve">I tāpat kā 2007.–2013. gada </w:t>
      </w:r>
      <w:r>
        <w:rPr>
          <w:rFonts w:ascii="Times New Roman" w:hAnsi="Times New Roman"/>
          <w:lang w:val="lv-LV"/>
        </w:rPr>
        <w:t>programmēšanas</w:t>
      </w:r>
      <w:r w:rsidRPr="00BA5839">
        <w:rPr>
          <w:rFonts w:ascii="Times New Roman" w:hAnsi="Times New Roman"/>
          <w:lang w:val="lv-LV"/>
        </w:rPr>
        <w:t xml:space="preserve"> period</w:t>
      </w:r>
      <w:r>
        <w:rPr>
          <w:rFonts w:ascii="Times New Roman" w:hAnsi="Times New Roman"/>
          <w:lang w:val="lv-LV"/>
        </w:rPr>
        <w:t>ā</w:t>
      </w:r>
      <w:r w:rsidRPr="00BA5839">
        <w:rPr>
          <w:rFonts w:ascii="Times New Roman" w:hAnsi="Times New Roman"/>
          <w:lang w:val="lv-LV"/>
        </w:rPr>
        <w:t xml:space="preserve">. </w:t>
      </w:r>
      <w:r w:rsidR="004E0D5B" w:rsidRPr="004E0D5B">
        <w:rPr>
          <w:rFonts w:ascii="Times New Roman" w:hAnsi="Times New Roman"/>
          <w:lang w:val="lv-LV"/>
        </w:rPr>
        <w:t>RI veic pienākumus, kas noteikti Regulas (ES) Nr.1303/2013 127.pantā un Regulas (ES) Nr.1299/2013 25.pantā, ietverot:</w:t>
      </w:r>
    </w:p>
    <w:p w:rsidR="00570C42" w:rsidRPr="00570C42" w:rsidRDefault="004E0D5B" w:rsidP="00E302F6">
      <w:pPr>
        <w:pStyle w:val="ListParagraph"/>
        <w:numPr>
          <w:ilvl w:val="0"/>
          <w:numId w:val="19"/>
        </w:numPr>
        <w:spacing w:before="120" w:line="240" w:lineRule="auto"/>
        <w:ind w:left="567" w:right="-432" w:hanging="567"/>
        <w:contextualSpacing/>
        <w:rPr>
          <w:rFonts w:ascii="Times New Roman" w:hAnsi="Times New Roman"/>
          <w:lang w:val="lv-LV"/>
        </w:rPr>
      </w:pPr>
      <w:r w:rsidRPr="004E0D5B">
        <w:rPr>
          <w:rFonts w:ascii="Times New Roman" w:hAnsi="Times New Roman"/>
          <w:lang w:val="lv-LV"/>
        </w:rPr>
        <w:t>Sistēmas auditus, lai pārbaudītu vai darbības programmas pārvaldības un kon</w:t>
      </w:r>
      <w:r w:rsidR="00C63F2B">
        <w:rPr>
          <w:rFonts w:ascii="Times New Roman" w:hAnsi="Times New Roman"/>
          <w:lang w:val="lv-LV"/>
        </w:rPr>
        <w:t>troles sistēma</w:t>
      </w:r>
      <w:r w:rsidRPr="004E0D5B">
        <w:rPr>
          <w:rFonts w:ascii="Times New Roman" w:hAnsi="Times New Roman"/>
          <w:lang w:val="lv-LV"/>
        </w:rPr>
        <w:t xml:space="preserve"> funkcionē efektīvi un </w:t>
      </w:r>
      <w:r w:rsidR="00C63F2B">
        <w:rPr>
          <w:rFonts w:ascii="Times New Roman" w:hAnsi="Times New Roman"/>
          <w:lang w:val="lv-LV"/>
        </w:rPr>
        <w:t>tās</w:t>
      </w:r>
      <w:r w:rsidRPr="004E0D5B">
        <w:rPr>
          <w:rFonts w:ascii="Times New Roman" w:hAnsi="Times New Roman"/>
          <w:lang w:val="lv-LV"/>
        </w:rPr>
        <w:t xml:space="preserve"> uzticamības līmeni;</w:t>
      </w:r>
    </w:p>
    <w:p w:rsidR="00570C42" w:rsidRPr="00570C42" w:rsidRDefault="004E0D5B" w:rsidP="00E302F6">
      <w:pPr>
        <w:pStyle w:val="ListParagraph"/>
        <w:numPr>
          <w:ilvl w:val="0"/>
          <w:numId w:val="19"/>
        </w:numPr>
        <w:spacing w:before="120" w:line="240" w:lineRule="auto"/>
        <w:ind w:left="567" w:right="-432" w:hanging="567"/>
        <w:contextualSpacing/>
        <w:rPr>
          <w:rFonts w:ascii="Times New Roman" w:hAnsi="Times New Roman"/>
          <w:lang w:val="lv-LV"/>
        </w:rPr>
      </w:pPr>
      <w:r w:rsidRPr="004E0D5B">
        <w:rPr>
          <w:rFonts w:ascii="Times New Roman" w:hAnsi="Times New Roman"/>
          <w:lang w:val="lv-LV"/>
        </w:rPr>
        <w:t>Pārskatu pārbaudi, lai pārbaudītu izdevumus, kas radušies attiecīgajā pārskata periodā un  nodrošinātu, ka visu auditu vai pārbaužu, kuru ietvaros tika konstatēti neattiecināmi izdevumi vai riska summas, rezultāti tika adekvāti atspoguļoti ikgadējā pārskatā pirms tā iesniegšanas Eiropas Komisijai;</w:t>
      </w:r>
    </w:p>
    <w:p w:rsidR="00570C42" w:rsidRPr="00570C42" w:rsidRDefault="004E0D5B" w:rsidP="00E302F6">
      <w:pPr>
        <w:pStyle w:val="ListParagraph"/>
        <w:numPr>
          <w:ilvl w:val="0"/>
          <w:numId w:val="19"/>
        </w:numPr>
        <w:spacing w:before="120" w:line="240" w:lineRule="auto"/>
        <w:ind w:left="567" w:right="-432" w:hanging="567"/>
        <w:contextualSpacing/>
        <w:rPr>
          <w:rFonts w:ascii="Times New Roman" w:hAnsi="Times New Roman"/>
          <w:lang w:val="lv-LV"/>
        </w:rPr>
      </w:pPr>
      <w:r w:rsidRPr="004E0D5B">
        <w:rPr>
          <w:rFonts w:ascii="Times New Roman" w:hAnsi="Times New Roman"/>
          <w:lang w:val="lv-LV"/>
        </w:rPr>
        <w:t>Darbību revīzija, lai pamatojoties uz atbilstošu izlasi pārbaudītu Eiropas Komisijai deklarētos izdevumus.</w:t>
      </w:r>
    </w:p>
    <w:p w:rsidR="00570C42" w:rsidRPr="00570C42" w:rsidRDefault="004E0D5B" w:rsidP="00E302F6">
      <w:pPr>
        <w:spacing w:before="120" w:line="240" w:lineRule="auto"/>
        <w:ind w:right="-432"/>
        <w:rPr>
          <w:rFonts w:ascii="Times New Roman" w:hAnsi="Times New Roman"/>
          <w:lang w:val="lv-LV"/>
        </w:rPr>
      </w:pPr>
      <w:r w:rsidRPr="004E0D5B">
        <w:rPr>
          <w:rFonts w:ascii="Times New Roman" w:hAnsi="Times New Roman"/>
          <w:lang w:val="lv-LV"/>
        </w:rPr>
        <w:t>RI ir jāplāno sistēmas auditus, pārskatu pārbaudi un darbību revīzijas, tādā veidā, lai katru gadu RI spētu iegūt pietiekamu pārliecību, vai pārvaldības un kontroles sistēma funkcionē efektīvi, nodrošinot pietiekamu pārliecības līmeni, ka Eiropas Komisijai sniegtie izdevumu pārskati ir korekti un ir</w:t>
      </w:r>
      <w:r w:rsidR="00C63F2B">
        <w:rPr>
          <w:rFonts w:ascii="Times New Roman" w:hAnsi="Times New Roman"/>
          <w:lang w:val="lv-LV"/>
        </w:rPr>
        <w:t xml:space="preserve"> pietiekams pamats, tam</w:t>
      </w:r>
      <w:r w:rsidRPr="004E0D5B">
        <w:rPr>
          <w:rFonts w:ascii="Times New Roman" w:hAnsi="Times New Roman"/>
          <w:lang w:val="lv-LV"/>
        </w:rPr>
        <w:t>, ka attiecīgie darījumi ir likumīgi un pareizi.</w:t>
      </w:r>
    </w:p>
    <w:p w:rsidR="00570C42" w:rsidRPr="00C77C1E" w:rsidRDefault="00570C42" w:rsidP="00E302F6">
      <w:pPr>
        <w:spacing w:before="120" w:line="240" w:lineRule="auto"/>
        <w:ind w:right="-432"/>
        <w:rPr>
          <w:rFonts w:ascii="Times New Roman" w:hAnsi="Times New Roman"/>
          <w:lang w:val="fr-FR"/>
        </w:rPr>
      </w:pPr>
      <w:r w:rsidRPr="00C77C1E">
        <w:rPr>
          <w:rFonts w:ascii="Times New Roman" w:hAnsi="Times New Roman"/>
          <w:lang w:val="fr-FR"/>
        </w:rPr>
        <w:t>RI jāizvērtē vai Programmas pārvaldības un kontroles sistēma strādā:</w:t>
      </w:r>
    </w:p>
    <w:p w:rsidR="00570C42" w:rsidRPr="00C77C1E" w:rsidRDefault="00570C42" w:rsidP="00E302F6">
      <w:pPr>
        <w:pStyle w:val="ListParagraph"/>
        <w:numPr>
          <w:ilvl w:val="0"/>
          <w:numId w:val="19"/>
        </w:numPr>
        <w:spacing w:before="120" w:line="240" w:lineRule="auto"/>
        <w:ind w:left="567" w:right="-432" w:hanging="567"/>
        <w:contextualSpacing/>
        <w:rPr>
          <w:rFonts w:ascii="Times New Roman" w:hAnsi="Times New Roman"/>
          <w:lang w:val="fr-FR"/>
        </w:rPr>
      </w:pPr>
      <w:r w:rsidRPr="00C77C1E">
        <w:rPr>
          <w:rFonts w:ascii="Times New Roman" w:hAnsi="Times New Roman"/>
          <w:lang w:val="fr-FR"/>
        </w:rPr>
        <w:t>Saskaņā ar Programmas dokumenta noteiktajām prasībām, Eiropas Savienības, Latvijas Republikas un Lietuvas Republikas normatīvajiem aktiem.</w:t>
      </w:r>
    </w:p>
    <w:p w:rsidR="00570C42" w:rsidRPr="00C77C1E" w:rsidRDefault="00C63F2B" w:rsidP="00E302F6">
      <w:pPr>
        <w:pStyle w:val="ListParagraph"/>
        <w:numPr>
          <w:ilvl w:val="0"/>
          <w:numId w:val="19"/>
        </w:numPr>
        <w:spacing w:before="120" w:line="240" w:lineRule="auto"/>
        <w:ind w:left="567" w:right="-432" w:hanging="567"/>
        <w:contextualSpacing/>
        <w:rPr>
          <w:rFonts w:ascii="Times New Roman" w:hAnsi="Times New Roman"/>
          <w:lang w:val="fr-FR"/>
        </w:rPr>
      </w:pPr>
      <w:r w:rsidRPr="00C77C1E">
        <w:rPr>
          <w:rFonts w:ascii="Times New Roman" w:hAnsi="Times New Roman"/>
          <w:lang w:val="fr-FR"/>
        </w:rPr>
        <w:t>E</w:t>
      </w:r>
      <w:r w:rsidR="004E0D5B" w:rsidRPr="00C77C1E">
        <w:rPr>
          <w:rFonts w:ascii="Times New Roman" w:hAnsi="Times New Roman"/>
          <w:lang w:val="fr-FR"/>
        </w:rPr>
        <w:t>fekt</w:t>
      </w:r>
      <w:r w:rsidRPr="00C77C1E">
        <w:rPr>
          <w:rFonts w:ascii="Times New Roman" w:hAnsi="Times New Roman"/>
          <w:lang w:val="fr-FR"/>
        </w:rPr>
        <w:t>īvi, lai minimizētu iespējamā</w:t>
      </w:r>
      <w:r w:rsidR="004E0D5B" w:rsidRPr="00C77C1E">
        <w:rPr>
          <w:rFonts w:ascii="Times New Roman" w:hAnsi="Times New Roman"/>
          <w:lang w:val="fr-FR"/>
        </w:rPr>
        <w:t xml:space="preserve">s neatbilstības, nodrošina pietiekamu pārliecību par Eiropas Komisijai deklarēto izdevumu likumību un pareizību. </w:t>
      </w:r>
    </w:p>
    <w:p w:rsidR="00570C42" w:rsidRPr="00C77C1E" w:rsidRDefault="004E0D5B" w:rsidP="00E302F6">
      <w:pPr>
        <w:spacing w:before="120" w:line="240" w:lineRule="auto"/>
        <w:ind w:right="-432"/>
        <w:rPr>
          <w:rFonts w:ascii="Times New Roman" w:hAnsi="Times New Roman"/>
          <w:lang w:val="fr-FR"/>
        </w:rPr>
      </w:pPr>
      <w:r w:rsidRPr="00C77C1E">
        <w:rPr>
          <w:rFonts w:ascii="Times New Roman" w:hAnsi="Times New Roman"/>
          <w:lang w:val="fr-FR"/>
        </w:rPr>
        <w:t xml:space="preserve">RI ir jānodrošina, ka revīzija tiek veikta ņemot vērā starptautiskus standartus un ka RI viedoklis tiek izteikts saskaņā ar šiem standartiem (tādiem kā INTOSAI , IFAC </w:t>
      </w:r>
      <w:r w:rsidR="00765E35">
        <w:rPr>
          <w:rFonts w:ascii="Times New Roman" w:hAnsi="Times New Roman"/>
          <w:lang w:val="fr-FR"/>
        </w:rPr>
        <w:t xml:space="preserve"> and </w:t>
      </w:r>
      <w:r w:rsidRPr="00C77C1E">
        <w:rPr>
          <w:rFonts w:ascii="Times New Roman" w:hAnsi="Times New Roman"/>
          <w:lang w:val="fr-FR"/>
        </w:rPr>
        <w:t xml:space="preserve">IIA ), </w:t>
      </w:r>
      <w:r w:rsidRPr="00C77C1E">
        <w:rPr>
          <w:rFonts w:ascii="Times New Roman" w:hAnsi="Times New Roman"/>
          <w:lang w:val="fr-FR"/>
        </w:rPr>
        <w:lastRenderedPageBreak/>
        <w:t>pārbaužu rokasgrāmatu un citiem specifiskiem dokumentiem</w:t>
      </w:r>
      <w:r w:rsidR="005F5E9D" w:rsidRPr="00C77C1E">
        <w:rPr>
          <w:rFonts w:ascii="Times New Roman" w:hAnsi="Times New Roman"/>
          <w:lang w:val="fr-FR"/>
        </w:rPr>
        <w:t>,</w:t>
      </w:r>
      <w:r w:rsidRPr="00C77C1E">
        <w:rPr>
          <w:rFonts w:ascii="Times New Roman" w:hAnsi="Times New Roman"/>
          <w:lang w:val="fr-FR"/>
        </w:rPr>
        <w:t xml:space="preserve"> revīzijas procesā iekļaujot audita procesu iekšējās kvalitātes pārbaudes procedūrās.</w:t>
      </w:r>
    </w:p>
    <w:p w:rsidR="00570C42" w:rsidRPr="00C77C1E" w:rsidRDefault="004E0D5B" w:rsidP="00E302F6">
      <w:pPr>
        <w:spacing w:before="120" w:line="240" w:lineRule="auto"/>
        <w:ind w:right="-432"/>
        <w:rPr>
          <w:rStyle w:val="st1"/>
          <w:rFonts w:ascii="Times New Roman" w:hAnsi="Times New Roman"/>
          <w:bCs/>
          <w:lang w:val="fr-FR"/>
        </w:rPr>
      </w:pPr>
      <w:r w:rsidRPr="00C77C1E">
        <w:rPr>
          <w:rStyle w:val="st1"/>
          <w:rFonts w:ascii="Times New Roman" w:hAnsi="Times New Roman"/>
          <w:bCs/>
          <w:lang w:val="fr-FR"/>
        </w:rPr>
        <w:t xml:space="preserve">RI astoņos mēnešos no darbības programmas </w:t>
      </w:r>
      <w:r w:rsidR="00C63F2B" w:rsidRPr="00C77C1E">
        <w:rPr>
          <w:rStyle w:val="st1"/>
          <w:rFonts w:ascii="Times New Roman" w:hAnsi="Times New Roman"/>
          <w:bCs/>
          <w:lang w:val="fr-FR"/>
        </w:rPr>
        <w:t>apstiprināšanas</w:t>
      </w:r>
      <w:r w:rsidRPr="00C77C1E">
        <w:rPr>
          <w:rStyle w:val="st1"/>
          <w:rFonts w:ascii="Times New Roman" w:hAnsi="Times New Roman"/>
          <w:bCs/>
          <w:lang w:val="fr-FR"/>
        </w:rPr>
        <w:t xml:space="preserve"> ir jāsagatavo un jāiesniedz Eiropas Komisijai revīzijas stratēģija, aprakstot iestādes, kas veiks pārbaudes, metodoloģiju šīm pārbaudēm, izlases</w:t>
      </w:r>
      <w:r w:rsidR="00C63F2B" w:rsidRPr="00C77C1E">
        <w:rPr>
          <w:rStyle w:val="st1"/>
          <w:rFonts w:ascii="Times New Roman" w:hAnsi="Times New Roman"/>
          <w:bCs/>
          <w:lang w:val="fr-FR"/>
        </w:rPr>
        <w:t xml:space="preserve"> </w:t>
      </w:r>
      <w:r w:rsidRPr="00C77C1E">
        <w:rPr>
          <w:rStyle w:val="st1"/>
          <w:rFonts w:ascii="Times New Roman" w:hAnsi="Times New Roman"/>
          <w:bCs/>
          <w:lang w:val="fr-FR"/>
        </w:rPr>
        <w:t>metodi darbību revīzijām mērķiem un auditu indikatīvo plānu, lai nodrošinātu, ka galvenās institūcijas tiek pārbaudītas un ka auditi tiek vienmērīgi sadalīti visā plānošanas periodā.</w:t>
      </w:r>
    </w:p>
    <w:p w:rsidR="00570C42" w:rsidRPr="00C63F2B" w:rsidRDefault="004E0D5B" w:rsidP="00E302F6">
      <w:pPr>
        <w:spacing w:before="120" w:line="240" w:lineRule="auto"/>
        <w:ind w:right="-432"/>
        <w:rPr>
          <w:rStyle w:val="st1"/>
          <w:rFonts w:ascii="Times New Roman" w:hAnsi="Times New Roman"/>
          <w:bCs/>
          <w:lang w:val="lv-LV"/>
        </w:rPr>
      </w:pPr>
      <w:r w:rsidRPr="00C63F2B">
        <w:rPr>
          <w:rStyle w:val="st1"/>
          <w:rFonts w:ascii="Times New Roman" w:hAnsi="Times New Roman"/>
          <w:bCs/>
          <w:lang w:val="lv-LV"/>
        </w:rPr>
        <w:t>RI palīdz revidentu grupa (turpmā</w:t>
      </w:r>
      <w:r w:rsidR="00C63F2B" w:rsidRPr="00C63F2B">
        <w:rPr>
          <w:rStyle w:val="st1"/>
          <w:rFonts w:ascii="Times New Roman" w:hAnsi="Times New Roman"/>
          <w:bCs/>
          <w:lang w:val="lv-LV"/>
        </w:rPr>
        <w:t>k – RG), kurā pārstāvētas abas D</w:t>
      </w:r>
      <w:r w:rsidRPr="00C63F2B">
        <w:rPr>
          <w:rStyle w:val="st1"/>
          <w:rFonts w:ascii="Times New Roman" w:hAnsi="Times New Roman"/>
          <w:bCs/>
          <w:lang w:val="lv-LV"/>
        </w:rPr>
        <w:t xml:space="preserve">alībvalstis. </w:t>
      </w:r>
      <w:r w:rsidR="00C63F2B" w:rsidRPr="00C63F2B">
        <w:rPr>
          <w:rStyle w:val="st1"/>
          <w:rFonts w:ascii="Times New Roman" w:hAnsi="Times New Roman"/>
          <w:bCs/>
          <w:lang w:val="lv-LV"/>
        </w:rPr>
        <w:t>Darbību revīziju</w:t>
      </w:r>
      <w:r w:rsidRPr="00C63F2B">
        <w:rPr>
          <w:rStyle w:val="st1"/>
          <w:rFonts w:ascii="Times New Roman" w:hAnsi="Times New Roman"/>
          <w:bCs/>
          <w:lang w:val="lv-LV"/>
        </w:rPr>
        <w:t xml:space="preserve"> veiks auditori, ko nozīmējusi dalībvalsts. RG darbību koordinēs RI.</w:t>
      </w:r>
      <w:r w:rsidR="00C63F2B">
        <w:rPr>
          <w:rStyle w:val="st1"/>
          <w:rFonts w:ascii="Times New Roman" w:hAnsi="Times New Roman"/>
          <w:bCs/>
          <w:lang w:val="lv-LV"/>
        </w:rPr>
        <w:t xml:space="preserve"> Papildus RI sniegs auditoriem </w:t>
      </w:r>
      <w:r w:rsidRPr="00C63F2B">
        <w:rPr>
          <w:rStyle w:val="st1"/>
          <w:rFonts w:ascii="Times New Roman" w:hAnsi="Times New Roman"/>
          <w:bCs/>
          <w:lang w:val="lv-LV"/>
        </w:rPr>
        <w:t>norādījumus un vadlīnijas pārbaužu veikšanai. Katram RG pārstāvim, kas pārstāv iesaistīto dalībvalsti ir jāveic darbību revīzijas balstoties uz izlasi, ko noteikusi RI.</w:t>
      </w:r>
    </w:p>
    <w:p w:rsidR="00570C42" w:rsidRPr="00C63F2B" w:rsidRDefault="004E0D5B" w:rsidP="00E302F6">
      <w:pPr>
        <w:spacing w:before="120" w:line="240" w:lineRule="auto"/>
        <w:ind w:right="-432"/>
        <w:rPr>
          <w:rStyle w:val="st1"/>
          <w:rFonts w:ascii="Times New Roman" w:hAnsi="Times New Roman"/>
          <w:bCs/>
          <w:lang w:val="lv-LV"/>
        </w:rPr>
      </w:pPr>
      <w:r w:rsidRPr="00C63F2B">
        <w:rPr>
          <w:rStyle w:val="st1"/>
          <w:rFonts w:ascii="Times New Roman" w:hAnsi="Times New Roman"/>
          <w:bCs/>
          <w:lang w:val="lv-LV"/>
        </w:rPr>
        <w:t>Darbību revīzijas, ko veiks RG pārstāvis no konkrētās dalībvalstis, ierobežojas ar attiecīgās valsts teritorijā esošajiem projektu partneriem.</w:t>
      </w:r>
    </w:p>
    <w:p w:rsidR="00570C42" w:rsidRPr="00C63F2B" w:rsidRDefault="004E0D5B" w:rsidP="00E302F6">
      <w:pPr>
        <w:spacing w:before="120" w:line="240" w:lineRule="auto"/>
        <w:ind w:right="-432"/>
        <w:rPr>
          <w:rStyle w:val="st1"/>
          <w:rFonts w:ascii="Times New Roman" w:hAnsi="Times New Roman"/>
          <w:bCs/>
          <w:lang w:val="lv-LV"/>
        </w:rPr>
      </w:pPr>
      <w:r w:rsidRPr="00C63F2B">
        <w:rPr>
          <w:rStyle w:val="st1"/>
          <w:rFonts w:ascii="Times New Roman" w:hAnsi="Times New Roman"/>
          <w:bCs/>
          <w:lang w:val="lv-LV"/>
        </w:rPr>
        <w:t>RG nacionālais pārstāvis ziņo par pārbaudes rezultātiem RI. RI koordinēs audita darbu visā programmas teritorijā.</w:t>
      </w:r>
    </w:p>
    <w:p w:rsidR="00570C42" w:rsidRPr="00C77C1E" w:rsidRDefault="004E0D5B" w:rsidP="00E302F6">
      <w:pPr>
        <w:spacing w:before="120" w:line="240" w:lineRule="auto"/>
        <w:ind w:right="-432"/>
        <w:rPr>
          <w:rStyle w:val="st1"/>
          <w:rFonts w:ascii="Times New Roman" w:hAnsi="Times New Roman"/>
          <w:bCs/>
          <w:lang w:val="lv-LV"/>
        </w:rPr>
      </w:pPr>
      <w:r w:rsidRPr="00C77C1E">
        <w:rPr>
          <w:rStyle w:val="st1"/>
          <w:rFonts w:ascii="Times New Roman" w:hAnsi="Times New Roman"/>
          <w:bCs/>
          <w:lang w:val="lv-LV"/>
        </w:rPr>
        <w:t>Katru gadu līdz 31.decembrim RI:</w:t>
      </w:r>
    </w:p>
    <w:p w:rsidR="00570C42" w:rsidRPr="00C77C1E" w:rsidRDefault="004E0D5B" w:rsidP="00E302F6">
      <w:pPr>
        <w:pStyle w:val="ListParagraph"/>
        <w:numPr>
          <w:ilvl w:val="0"/>
          <w:numId w:val="19"/>
        </w:numPr>
        <w:spacing w:before="120" w:line="240" w:lineRule="auto"/>
        <w:ind w:left="567" w:right="-432" w:hanging="567"/>
        <w:contextualSpacing/>
        <w:rPr>
          <w:rStyle w:val="st1"/>
          <w:rFonts w:ascii="Times New Roman" w:hAnsi="Times New Roman"/>
          <w:bCs/>
          <w:lang w:val="lv-LV"/>
        </w:rPr>
      </w:pPr>
      <w:r w:rsidRPr="00C77C1E">
        <w:rPr>
          <w:rStyle w:val="st1"/>
          <w:rFonts w:ascii="Times New Roman" w:hAnsi="Times New Roman"/>
          <w:bCs/>
          <w:lang w:val="lv-LV"/>
        </w:rPr>
        <w:t>Atbilstoši darbības programmas audita stratēģijai iesniedz Eiropas Komisijai ikgadējos kontroles ziņojumus</w:t>
      </w:r>
      <w:r w:rsidR="00A26E87" w:rsidRPr="00C77C1E">
        <w:rPr>
          <w:rStyle w:val="st1"/>
          <w:rFonts w:ascii="Times New Roman" w:hAnsi="Times New Roman"/>
          <w:bCs/>
          <w:lang w:val="lv-LV"/>
        </w:rPr>
        <w:t>,</w:t>
      </w:r>
      <w:r w:rsidRPr="00C77C1E">
        <w:rPr>
          <w:rStyle w:val="st1"/>
          <w:rFonts w:ascii="Times New Roman" w:hAnsi="Times New Roman"/>
          <w:bCs/>
          <w:lang w:val="lv-LV"/>
        </w:rPr>
        <w:t xml:space="preserve"> izklāstot iepriekšējo 12 mēnešu laikā, kas beidzas 30.jūnijā veikto pārbaužu rezultātus un ziņo par jebkādām atklātajām Programmas pārvaldības un kontroles sistēmas nepilnībām;</w:t>
      </w:r>
    </w:p>
    <w:p w:rsidR="00570C42" w:rsidRPr="00C77C1E" w:rsidRDefault="004E0D5B" w:rsidP="00E302F6">
      <w:pPr>
        <w:pStyle w:val="ListParagraph"/>
        <w:numPr>
          <w:ilvl w:val="0"/>
          <w:numId w:val="19"/>
        </w:numPr>
        <w:spacing w:before="120" w:line="240" w:lineRule="auto"/>
        <w:ind w:left="567" w:right="-432" w:hanging="567"/>
        <w:contextualSpacing/>
        <w:rPr>
          <w:rStyle w:val="st1"/>
          <w:rFonts w:ascii="Times New Roman" w:hAnsi="Times New Roman"/>
          <w:bCs/>
          <w:lang w:val="lv-LV"/>
        </w:rPr>
      </w:pPr>
      <w:r w:rsidRPr="00C77C1E">
        <w:rPr>
          <w:rStyle w:val="st1"/>
          <w:rFonts w:ascii="Times New Roman" w:hAnsi="Times New Roman"/>
          <w:bCs/>
          <w:lang w:val="lv-LV"/>
        </w:rPr>
        <w:t>Pamatojoties uz veikto kontroli un pārbaudēm, kas veiktas RI kompetences ietvaros, sniedz atzinumu, vai pārvaldības un kontroles sistēma funkcionē efektīvi, nodrošināt pietiekamu  pārliecības līmeni, ka izdevumu pārskati, kas sniegti Eiropas Komisijai ir korekti un līdz ar to ir pietiekams pamats tam, ka attiecīgie darījumi ir likumīgi un pareizi.</w:t>
      </w:r>
    </w:p>
    <w:p w:rsidR="00570C42" w:rsidRPr="00C77C1E" w:rsidRDefault="004E0D5B" w:rsidP="00E302F6">
      <w:pPr>
        <w:spacing w:before="120" w:line="240" w:lineRule="auto"/>
        <w:ind w:right="-432"/>
        <w:rPr>
          <w:rStyle w:val="st1"/>
          <w:rFonts w:ascii="Times New Roman" w:hAnsi="Times New Roman"/>
          <w:bCs/>
          <w:lang w:val="lv-LV"/>
        </w:rPr>
      </w:pPr>
      <w:r w:rsidRPr="00C77C1E">
        <w:rPr>
          <w:rStyle w:val="st1"/>
          <w:rFonts w:ascii="Times New Roman" w:hAnsi="Times New Roman"/>
          <w:bCs/>
          <w:lang w:val="lv-LV"/>
        </w:rPr>
        <w:t>Līdz  nākamā finanšu gada 15.februārim, RI:</w:t>
      </w:r>
    </w:p>
    <w:p w:rsidR="00570C42" w:rsidRPr="00C77C1E" w:rsidRDefault="004E0D5B" w:rsidP="00E302F6">
      <w:pPr>
        <w:pStyle w:val="ListParagraph"/>
        <w:numPr>
          <w:ilvl w:val="0"/>
          <w:numId w:val="19"/>
        </w:numPr>
        <w:spacing w:before="120" w:line="240" w:lineRule="auto"/>
        <w:ind w:left="709" w:right="-432" w:hanging="709"/>
        <w:contextualSpacing/>
        <w:rPr>
          <w:rStyle w:val="st1"/>
          <w:rFonts w:ascii="Times New Roman" w:hAnsi="Times New Roman"/>
          <w:bCs/>
          <w:lang w:val="lv-LV"/>
        </w:rPr>
      </w:pPr>
      <w:r w:rsidRPr="00C77C1E">
        <w:rPr>
          <w:rStyle w:val="st1"/>
          <w:rFonts w:ascii="Times New Roman" w:hAnsi="Times New Roman"/>
          <w:bCs/>
          <w:lang w:val="lv-LV"/>
        </w:rPr>
        <w:t>Sniedz Eiropas Komisijai atzinumu, nosakot vai pārskatos sniegtā informācija ir patiesa un objektīva, vai Eiropas Komisijai iesniegtais pieprasījums par izdevumu atmaksāšanu ir likumīgs un pareizs un vai iesviestās kontroles sistēmas darbojas atbilstoši.  Atzinumā arī jānorāda vai pārbaude varētu likt apšaubīt vadības deklarācijā iestrādātos  apgalvojumus.</w:t>
      </w:r>
    </w:p>
    <w:p w:rsidR="00DB6FDE" w:rsidRPr="00BA5839" w:rsidRDefault="00053D62" w:rsidP="00E302F6">
      <w:pPr>
        <w:spacing w:before="120" w:line="240" w:lineRule="auto"/>
        <w:ind w:right="-432"/>
        <w:rPr>
          <w:rFonts w:ascii="Times New Roman" w:hAnsi="Times New Roman"/>
          <w:u w:val="single"/>
          <w:lang w:val="lv-LV"/>
        </w:rPr>
      </w:pPr>
      <w:r>
        <w:rPr>
          <w:rFonts w:ascii="Times New Roman" w:hAnsi="Times New Roman"/>
          <w:b/>
          <w:u w:val="single"/>
          <w:lang w:val="lv-LV"/>
        </w:rPr>
        <w:t>Finanšu kontrole</w:t>
      </w:r>
    </w:p>
    <w:p w:rsidR="00570C42" w:rsidRPr="00570C42" w:rsidRDefault="004E0D5B" w:rsidP="00E302F6">
      <w:pPr>
        <w:pStyle w:val="ListDash2"/>
        <w:numPr>
          <w:ilvl w:val="0"/>
          <w:numId w:val="0"/>
        </w:numPr>
        <w:tabs>
          <w:tab w:val="left" w:pos="720"/>
        </w:tabs>
        <w:spacing w:before="120" w:line="240" w:lineRule="auto"/>
        <w:ind w:right="-432"/>
        <w:rPr>
          <w:rFonts w:ascii="Times New Roman" w:hAnsi="Times New Roman"/>
          <w:lang w:val="lv-LV"/>
        </w:rPr>
      </w:pPr>
      <w:r w:rsidRPr="004E0D5B">
        <w:rPr>
          <w:rFonts w:ascii="Times New Roman" w:hAnsi="Times New Roman"/>
          <w:lang w:val="lv-LV"/>
        </w:rPr>
        <w:t xml:space="preserve">Saskaņā ar Regulas (ES) Nr. 1299/2013 23.panta 4.daļu Dalībvalstis ir atbildīgas par institūcijas, kas veic projektu partneru </w:t>
      </w:r>
      <w:r w:rsidR="00053D62">
        <w:rPr>
          <w:rFonts w:ascii="Times New Roman" w:hAnsi="Times New Roman"/>
          <w:lang w:val="lv-LV"/>
        </w:rPr>
        <w:t>finanšu kontroli</w:t>
      </w:r>
      <w:r w:rsidR="00053D62" w:rsidRPr="004E0D5B">
        <w:rPr>
          <w:rFonts w:ascii="Times New Roman" w:hAnsi="Times New Roman"/>
          <w:lang w:val="lv-LV"/>
        </w:rPr>
        <w:t xml:space="preserve"> </w:t>
      </w:r>
      <w:r w:rsidRPr="004E0D5B">
        <w:rPr>
          <w:rFonts w:ascii="Times New Roman" w:hAnsi="Times New Roman"/>
          <w:lang w:val="lv-LV"/>
        </w:rPr>
        <w:t>saskaņā ar Regulas Nr. 1303/2013 125.panta 4.daļas a) apakšpunktu tās teritorijā, noteikšanu (turpmāk – FK).</w:t>
      </w:r>
    </w:p>
    <w:p w:rsidR="00570C42" w:rsidRPr="00570C42" w:rsidRDefault="004E0D5B" w:rsidP="00E302F6">
      <w:pPr>
        <w:pStyle w:val="ListDash2"/>
        <w:numPr>
          <w:ilvl w:val="0"/>
          <w:numId w:val="0"/>
        </w:numPr>
        <w:tabs>
          <w:tab w:val="left" w:pos="720"/>
        </w:tabs>
        <w:spacing w:before="120" w:line="240" w:lineRule="auto"/>
        <w:ind w:right="-432"/>
        <w:rPr>
          <w:rFonts w:ascii="Times New Roman" w:hAnsi="Times New Roman"/>
          <w:lang w:val="lv-LV"/>
        </w:rPr>
      </w:pPr>
      <w:r w:rsidRPr="004E0D5B">
        <w:rPr>
          <w:rFonts w:ascii="Times New Roman" w:hAnsi="Times New Roman"/>
          <w:lang w:val="lv-LV"/>
        </w:rPr>
        <w:t xml:space="preserve"> Latvijas Republikas Vides aizsardzības un reģionālās attīstības ministrija būs atbildīga par FK sistēmas izveidi, koordinēšanu un kontroli Latvijā. Tiks izmantota centralizēta sistēma, par FK atbildīgā iestāde ir Valsts reģionālās attīstības aģentūra.</w:t>
      </w:r>
      <w:r w:rsidR="00074630">
        <w:rPr>
          <w:rFonts w:ascii="Times New Roman" w:hAnsi="Times New Roman"/>
          <w:lang w:val="lv-LV"/>
        </w:rPr>
        <w:t xml:space="preserve"> Tiks turpināta </w:t>
      </w:r>
      <w:r w:rsidR="00074630" w:rsidRPr="00714469">
        <w:rPr>
          <w:rFonts w:ascii="Times New Roman" w:hAnsi="Times New Roman"/>
          <w:u w:val="single"/>
          <w:lang w:val="lv-LV"/>
        </w:rPr>
        <w:t>2007.–2013. gada Programma</w:t>
      </w:r>
      <w:r w:rsidR="00074630">
        <w:rPr>
          <w:rFonts w:ascii="Times New Roman" w:hAnsi="Times New Roman"/>
          <w:u w:val="single"/>
          <w:lang w:val="lv-LV"/>
        </w:rPr>
        <w:t>s pieeja.</w:t>
      </w:r>
    </w:p>
    <w:p w:rsidR="00570C42" w:rsidRPr="00570C42" w:rsidRDefault="00074630" w:rsidP="00E302F6">
      <w:pPr>
        <w:pStyle w:val="ListDash2"/>
        <w:numPr>
          <w:ilvl w:val="0"/>
          <w:numId w:val="0"/>
        </w:numPr>
        <w:tabs>
          <w:tab w:val="left" w:pos="720"/>
        </w:tabs>
        <w:spacing w:before="120" w:line="240" w:lineRule="auto"/>
        <w:ind w:right="-432"/>
        <w:rPr>
          <w:rFonts w:ascii="Times New Roman" w:hAnsi="Times New Roman"/>
          <w:lang w:val="lv-LV"/>
        </w:rPr>
      </w:pPr>
      <w:r>
        <w:rPr>
          <w:rFonts w:ascii="Times New Roman" w:hAnsi="Times New Roman"/>
          <w:u w:val="single"/>
          <w:lang w:val="lv-LV"/>
        </w:rPr>
        <w:t>Lietuvas FK</w:t>
      </w:r>
      <w:r w:rsidRPr="00074630">
        <w:rPr>
          <w:rFonts w:ascii="Times New Roman" w:hAnsi="Times New Roman"/>
          <w:u w:val="single"/>
          <w:lang w:val="lv-LV"/>
        </w:rPr>
        <w:t xml:space="preserve"> sistēm</w:t>
      </w:r>
      <w:r>
        <w:rPr>
          <w:rFonts w:ascii="Times New Roman" w:hAnsi="Times New Roman"/>
          <w:u w:val="single"/>
          <w:lang w:val="lv-LV"/>
        </w:rPr>
        <w:t xml:space="preserve">a tiks izveidota par pamatu ņemot </w:t>
      </w:r>
      <w:r w:rsidRPr="00714469">
        <w:rPr>
          <w:rFonts w:ascii="Times New Roman" w:hAnsi="Times New Roman"/>
          <w:u w:val="single"/>
          <w:lang w:val="lv-LV"/>
        </w:rPr>
        <w:t>2007.–2013. gad</w:t>
      </w:r>
      <w:r>
        <w:rPr>
          <w:rFonts w:ascii="Times New Roman" w:hAnsi="Times New Roman"/>
          <w:u w:val="single"/>
          <w:lang w:val="lv-LV"/>
        </w:rPr>
        <w:t>u programmēšanas peridā pastāvošos n</w:t>
      </w:r>
      <w:r w:rsidRPr="00074630">
        <w:rPr>
          <w:rFonts w:ascii="Times New Roman" w:hAnsi="Times New Roman"/>
          <w:u w:val="single"/>
          <w:lang w:val="lv-LV"/>
        </w:rPr>
        <w:t>oteikum</w:t>
      </w:r>
      <w:r>
        <w:rPr>
          <w:rFonts w:ascii="Times New Roman" w:hAnsi="Times New Roman"/>
          <w:u w:val="single"/>
          <w:lang w:val="lv-LV"/>
        </w:rPr>
        <w:t>us</w:t>
      </w:r>
      <w:r w:rsidRPr="00074630">
        <w:rPr>
          <w:rFonts w:ascii="Times New Roman" w:hAnsi="Times New Roman"/>
          <w:u w:val="single"/>
          <w:lang w:val="lv-LV"/>
        </w:rPr>
        <w:t xml:space="preserve"> un </w:t>
      </w:r>
      <w:r>
        <w:rPr>
          <w:rFonts w:ascii="Times New Roman" w:hAnsi="Times New Roman"/>
          <w:u w:val="single"/>
          <w:lang w:val="lv-LV"/>
        </w:rPr>
        <w:t>kārtības</w:t>
      </w:r>
      <w:r w:rsidRPr="00074630">
        <w:rPr>
          <w:rFonts w:ascii="Times New Roman" w:hAnsi="Times New Roman"/>
          <w:u w:val="single"/>
          <w:lang w:val="lv-LV"/>
        </w:rPr>
        <w:t>.</w:t>
      </w:r>
      <w:r>
        <w:rPr>
          <w:rFonts w:ascii="Times New Roman" w:hAnsi="Times New Roman"/>
          <w:u w:val="single"/>
          <w:lang w:val="lv-LV"/>
        </w:rPr>
        <w:t xml:space="preserve"> </w:t>
      </w:r>
      <w:r w:rsidR="004E0D5B" w:rsidRPr="004E0D5B">
        <w:rPr>
          <w:rFonts w:ascii="Times New Roman" w:hAnsi="Times New Roman"/>
          <w:lang w:val="lv-LV"/>
        </w:rPr>
        <w:t xml:space="preserve">Lietuvas Republikas Iekšlietu ministrija būs </w:t>
      </w:r>
      <w:r w:rsidR="004E0D5B" w:rsidRPr="004E0D5B">
        <w:rPr>
          <w:rFonts w:ascii="Times New Roman" w:hAnsi="Times New Roman"/>
          <w:lang w:val="lv-LV"/>
        </w:rPr>
        <w:lastRenderedPageBreak/>
        <w:t>atbildīga par FK sistēmas izveidi, koordinēšanu un kontroli Lietuvā. Tiks izmantota Lietuvas Republikas Iekšlietu ministrijas ieviestā decentralizētā sistēma.</w:t>
      </w:r>
      <w:r w:rsidRPr="00074630">
        <w:rPr>
          <w:lang w:val="lv-LV"/>
        </w:rPr>
        <w:t xml:space="preserve"> </w:t>
      </w:r>
      <w:r w:rsidR="00506F7D">
        <w:rPr>
          <w:rFonts w:ascii="Times New Roman" w:hAnsi="Times New Roman"/>
          <w:lang w:val="lv-LV"/>
        </w:rPr>
        <w:t>Vadošie partneri un projekta partneri</w:t>
      </w:r>
      <w:r w:rsidRPr="00074630">
        <w:rPr>
          <w:rFonts w:ascii="Times New Roman" w:hAnsi="Times New Roman"/>
          <w:lang w:val="lv-LV"/>
        </w:rPr>
        <w:t xml:space="preserve"> </w:t>
      </w:r>
      <w:r w:rsidR="00506F7D">
        <w:rPr>
          <w:rFonts w:ascii="Times New Roman" w:hAnsi="Times New Roman"/>
          <w:lang w:val="lv-LV"/>
        </w:rPr>
        <w:t xml:space="preserve">piemērojot </w:t>
      </w:r>
      <w:r w:rsidRPr="00074630">
        <w:rPr>
          <w:rFonts w:ascii="Times New Roman" w:hAnsi="Times New Roman"/>
          <w:lang w:val="lv-LV"/>
        </w:rPr>
        <w:t>publiskā iepirkuma procedūru</w:t>
      </w:r>
      <w:r w:rsidR="00506F7D">
        <w:rPr>
          <w:rFonts w:ascii="Times New Roman" w:hAnsi="Times New Roman"/>
          <w:lang w:val="lv-LV"/>
        </w:rPr>
        <w:t xml:space="preserve"> un ievērojot </w:t>
      </w:r>
      <w:r w:rsidR="00506F7D" w:rsidRPr="00074630">
        <w:rPr>
          <w:rFonts w:ascii="Times New Roman" w:hAnsi="Times New Roman"/>
          <w:lang w:val="lv-LV"/>
        </w:rPr>
        <w:t>Lietuvas Republikas</w:t>
      </w:r>
      <w:r w:rsidRPr="00074630">
        <w:rPr>
          <w:rFonts w:ascii="Times New Roman" w:hAnsi="Times New Roman"/>
          <w:lang w:val="lv-LV"/>
        </w:rPr>
        <w:t xml:space="preserve"> </w:t>
      </w:r>
      <w:r w:rsidR="00506F7D" w:rsidRPr="00074630">
        <w:rPr>
          <w:rFonts w:ascii="Times New Roman" w:hAnsi="Times New Roman"/>
          <w:lang w:val="lv-LV"/>
        </w:rPr>
        <w:t xml:space="preserve">Iekšlietu ministrijas </w:t>
      </w:r>
      <w:r w:rsidR="00506F7D">
        <w:rPr>
          <w:rFonts w:ascii="Times New Roman" w:hAnsi="Times New Roman"/>
          <w:lang w:val="lv-LV"/>
        </w:rPr>
        <w:t xml:space="preserve">noteiktās </w:t>
      </w:r>
      <w:r w:rsidR="00506F7D" w:rsidRPr="00074630">
        <w:rPr>
          <w:rFonts w:ascii="Times New Roman" w:hAnsi="Times New Roman"/>
          <w:lang w:val="lv-LV"/>
        </w:rPr>
        <w:t>prasīb</w:t>
      </w:r>
      <w:r w:rsidR="00506F7D">
        <w:rPr>
          <w:rFonts w:ascii="Times New Roman" w:hAnsi="Times New Roman"/>
          <w:lang w:val="lv-LV"/>
        </w:rPr>
        <w:t>as,</w:t>
      </w:r>
      <w:r w:rsidR="00506F7D" w:rsidRPr="00074630">
        <w:rPr>
          <w:rFonts w:ascii="Times New Roman" w:hAnsi="Times New Roman"/>
          <w:lang w:val="lv-LV"/>
        </w:rPr>
        <w:t xml:space="preserve"> izvēlēsies ārēj</w:t>
      </w:r>
      <w:r w:rsidR="00506F7D">
        <w:rPr>
          <w:rFonts w:ascii="Times New Roman" w:hAnsi="Times New Roman"/>
          <w:lang w:val="lv-LV"/>
        </w:rPr>
        <w:t>os</w:t>
      </w:r>
      <w:r w:rsidR="00506F7D" w:rsidRPr="00074630">
        <w:rPr>
          <w:rFonts w:ascii="Times New Roman" w:hAnsi="Times New Roman"/>
          <w:lang w:val="lv-LV"/>
        </w:rPr>
        <w:t xml:space="preserve"> revident</w:t>
      </w:r>
      <w:r w:rsidR="00506F7D">
        <w:rPr>
          <w:rFonts w:ascii="Times New Roman" w:hAnsi="Times New Roman"/>
          <w:lang w:val="lv-LV"/>
        </w:rPr>
        <w:t>us</w:t>
      </w:r>
      <w:r w:rsidRPr="00074630">
        <w:rPr>
          <w:rFonts w:ascii="Times New Roman" w:hAnsi="Times New Roman"/>
          <w:lang w:val="lv-LV"/>
        </w:rPr>
        <w:t>. F</w:t>
      </w:r>
      <w:r w:rsidR="00506F7D">
        <w:rPr>
          <w:rFonts w:ascii="Times New Roman" w:hAnsi="Times New Roman"/>
          <w:lang w:val="lv-LV"/>
        </w:rPr>
        <w:t>K</w:t>
      </w:r>
      <w:r w:rsidRPr="00074630">
        <w:rPr>
          <w:rFonts w:ascii="Times New Roman" w:hAnsi="Times New Roman"/>
          <w:lang w:val="lv-LV"/>
        </w:rPr>
        <w:t xml:space="preserve"> izmaksas tiks iekļautas </w:t>
      </w:r>
      <w:r w:rsidR="00506F7D">
        <w:rPr>
          <w:rFonts w:ascii="Times New Roman" w:hAnsi="Times New Roman"/>
          <w:lang w:val="lv-LV"/>
        </w:rPr>
        <w:t xml:space="preserve">Vadošie partneri un projekta partneu </w:t>
      </w:r>
      <w:r w:rsidRPr="00074630">
        <w:rPr>
          <w:rFonts w:ascii="Times New Roman" w:hAnsi="Times New Roman"/>
          <w:lang w:val="lv-LV"/>
        </w:rPr>
        <w:t xml:space="preserve"> pieteikuma veidlap</w:t>
      </w:r>
      <w:r w:rsidR="00506F7D">
        <w:rPr>
          <w:rFonts w:ascii="Times New Roman" w:hAnsi="Times New Roman"/>
          <w:lang w:val="lv-LV"/>
        </w:rPr>
        <w:t>as budžetos</w:t>
      </w:r>
      <w:r w:rsidRPr="00074630">
        <w:rPr>
          <w:rFonts w:ascii="Times New Roman" w:hAnsi="Times New Roman"/>
          <w:lang w:val="lv-LV"/>
        </w:rPr>
        <w:t xml:space="preserve">, un tiks </w:t>
      </w:r>
      <w:r w:rsidR="00506F7D">
        <w:rPr>
          <w:rFonts w:ascii="Times New Roman" w:hAnsi="Times New Roman"/>
          <w:lang w:val="lv-LV"/>
        </w:rPr>
        <w:t>apmaksātas</w:t>
      </w:r>
      <w:r w:rsidRPr="00074630">
        <w:rPr>
          <w:rFonts w:ascii="Times New Roman" w:hAnsi="Times New Roman"/>
          <w:lang w:val="lv-LV"/>
        </w:rPr>
        <w:t xml:space="preserve"> no projekta izdevumiem.</w:t>
      </w:r>
    </w:p>
    <w:p w:rsidR="00570C42" w:rsidRPr="00BA5839" w:rsidRDefault="004E0D5B" w:rsidP="00E302F6">
      <w:pPr>
        <w:pStyle w:val="ListDash2"/>
        <w:numPr>
          <w:ilvl w:val="0"/>
          <w:numId w:val="0"/>
        </w:numPr>
        <w:tabs>
          <w:tab w:val="left" w:pos="720"/>
        </w:tabs>
        <w:spacing w:before="120" w:line="240" w:lineRule="auto"/>
        <w:ind w:right="-432"/>
        <w:rPr>
          <w:rFonts w:ascii="Times New Roman" w:hAnsi="Times New Roman"/>
          <w:lang w:val="lv-LV"/>
        </w:rPr>
      </w:pPr>
      <w:r w:rsidRPr="004E0D5B">
        <w:rPr>
          <w:rFonts w:ascii="Times New Roman" w:hAnsi="Times New Roman"/>
          <w:lang w:val="lv-LV"/>
        </w:rPr>
        <w:t xml:space="preserve">Tehniskās palīdzības izdevumu </w:t>
      </w:r>
      <w:r w:rsidR="00053D62">
        <w:rPr>
          <w:rFonts w:ascii="Times New Roman" w:hAnsi="Times New Roman"/>
          <w:lang w:val="lv-LV"/>
        </w:rPr>
        <w:t>FK</w:t>
      </w:r>
      <w:r w:rsidRPr="004E0D5B">
        <w:rPr>
          <w:rFonts w:ascii="Times New Roman" w:hAnsi="Times New Roman"/>
          <w:lang w:val="lv-LV"/>
        </w:rPr>
        <w:t xml:space="preserve"> par VI, AI, AS un filiāles izdevumiem, ko veiks vadošā iestāde, tiks organizētas, nodrošinot atbilstošu funkciju nodalīšanu.</w:t>
      </w:r>
    </w:p>
    <w:p w:rsidR="00DB6FDE" w:rsidRPr="00BA5839" w:rsidRDefault="00DB6FDE" w:rsidP="00E302F6">
      <w:pPr>
        <w:pStyle w:val="Style1"/>
        <w:spacing w:before="120" w:line="240" w:lineRule="auto"/>
        <w:ind w:right="-432"/>
        <w:jc w:val="both"/>
        <w:rPr>
          <w:rFonts w:ascii="Times New Roman" w:hAnsi="Times New Roman"/>
          <w:b/>
          <w:lang w:val="lv-LV" w:eastAsia="en-US"/>
        </w:rPr>
      </w:pPr>
      <w:r w:rsidRPr="00BA5839">
        <w:rPr>
          <w:rFonts w:ascii="Times New Roman" w:hAnsi="Times New Roman"/>
          <w:b/>
          <w:lang w:val="lv-LV" w:eastAsia="en-US"/>
        </w:rPr>
        <w:t>Programmas valoda</w:t>
      </w:r>
    </w:p>
    <w:p w:rsidR="00DB6FDE" w:rsidRPr="00BA5839" w:rsidRDefault="00DB6FDE" w:rsidP="00E302F6">
      <w:pPr>
        <w:pStyle w:val="Style1"/>
        <w:spacing w:before="120" w:line="240" w:lineRule="auto"/>
        <w:ind w:right="-432"/>
        <w:jc w:val="both"/>
        <w:rPr>
          <w:rFonts w:ascii="Times New Roman" w:hAnsi="Times New Roman"/>
          <w:lang w:val="lv-LV"/>
        </w:rPr>
      </w:pPr>
      <w:r w:rsidRPr="00BA5839">
        <w:rPr>
          <w:rFonts w:ascii="Times New Roman" w:hAnsi="Times New Roman"/>
          <w:lang w:val="lv-LV"/>
        </w:rPr>
        <w:t>Programmas oficiālā valoda ir angļu valoda.</w:t>
      </w:r>
    </w:p>
    <w:p w:rsidR="00DB6FDE" w:rsidRPr="00BA5839" w:rsidRDefault="00DB6FDE" w:rsidP="00E302F6">
      <w:pPr>
        <w:spacing w:before="120" w:line="240" w:lineRule="auto"/>
        <w:ind w:right="-432"/>
        <w:rPr>
          <w:rFonts w:ascii="Times New Roman" w:hAnsi="Times New Roman"/>
          <w:b/>
          <w:lang w:val="lv-LV"/>
        </w:rPr>
      </w:pPr>
      <w:r w:rsidRPr="00BA5839">
        <w:rPr>
          <w:rFonts w:ascii="Times New Roman" w:hAnsi="Times New Roman"/>
          <w:b/>
          <w:lang w:val="lv-LV"/>
        </w:rPr>
        <w:t>Teritorijas un atbalsta saņēmēji</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Organizācijas no visiem Programmas reģioniem var piedalīties kā projekta partneri visās Programmas Prioritātēs (ja netiek noteikts savādāk attiecīgajā Programmas Prioritātē).</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Lai apzīmētu atbalsta saņēmējus, Programmas ietvaros tiek lietoti termini „Vadošais partneris” vai „Projekta partneris”. Programmas ietvaros atbalstīto projektu īstenos vismaz divi projekta partneri (vismaz viens no katras Dalībvalsts). Projekta īstenošanas laikā projekta partneri ievēros „Vadošā partnera” principu, proti, viens no projekta partneriem tiks izraudzīts par vadošo partneri saskaņā ar Regulas (ES) Nr. 1299/2013 12. pantu. Vadošais partneris būs atbildīgs par Finansēšanas līguma parakstīšanu visu projekta partneru vārdā.</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Kā Programmas vadošie un projekta partneri var pieteikties šādas organizācijas:</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 xml:space="preserve">valsts iestādes (valsts institūcijas, reģionālās un vietējās iestādes); </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valsts iestādēm līdzvērtīgas iestādes, kas ir jebkura juridiska persona, kas pakļauta publiskajām vai privātajām tiesībām:</w:t>
      </w:r>
    </w:p>
    <w:p w:rsidR="00DB6FDE" w:rsidRPr="00BA5839" w:rsidRDefault="00DB6FDE" w:rsidP="00E302F6">
      <w:pPr>
        <w:pStyle w:val="ListParagraph"/>
        <w:numPr>
          <w:ilvl w:val="1"/>
          <w:numId w:val="11"/>
        </w:numPr>
        <w:spacing w:before="120" w:line="240" w:lineRule="auto"/>
        <w:ind w:right="-432"/>
        <w:rPr>
          <w:rFonts w:ascii="Times New Roman" w:hAnsi="Times New Roman"/>
          <w:lang w:val="lv-LV"/>
        </w:rPr>
      </w:pPr>
      <w:r w:rsidRPr="00BA5839">
        <w:rPr>
          <w:rFonts w:ascii="Times New Roman" w:hAnsi="Times New Roman"/>
          <w:lang w:val="lv-LV"/>
        </w:rPr>
        <w:t>kas izveidotas sabiedriskā labuma vajadzībām un nav komerciālas;</w:t>
      </w:r>
    </w:p>
    <w:p w:rsidR="00DB6FDE" w:rsidRPr="00BA5839" w:rsidRDefault="00DB6FDE" w:rsidP="00E302F6">
      <w:pPr>
        <w:pStyle w:val="ListParagraph"/>
        <w:numPr>
          <w:ilvl w:val="1"/>
          <w:numId w:val="11"/>
        </w:numPr>
        <w:spacing w:before="120" w:line="240" w:lineRule="auto"/>
        <w:ind w:right="-432"/>
        <w:rPr>
          <w:rFonts w:ascii="Times New Roman" w:hAnsi="Times New Roman"/>
          <w:lang w:val="lv-LV"/>
        </w:rPr>
      </w:pPr>
      <w:r w:rsidRPr="00BA5839">
        <w:rPr>
          <w:rFonts w:ascii="Times New Roman" w:hAnsi="Times New Roman"/>
          <w:lang w:val="lv-LV"/>
        </w:rPr>
        <w:t>kas ir juridiska persona, un</w:t>
      </w:r>
    </w:p>
    <w:p w:rsidR="00DB6FDE" w:rsidRPr="00BA5839" w:rsidRDefault="00DB6FDE" w:rsidP="00E302F6">
      <w:pPr>
        <w:pStyle w:val="ListParagraph"/>
        <w:numPr>
          <w:ilvl w:val="2"/>
          <w:numId w:val="11"/>
        </w:numPr>
        <w:spacing w:before="120" w:line="240" w:lineRule="auto"/>
        <w:ind w:right="-432"/>
        <w:rPr>
          <w:rFonts w:ascii="Times New Roman" w:hAnsi="Times New Roman"/>
          <w:lang w:val="lv-LV"/>
        </w:rPr>
      </w:pPr>
      <w:r w:rsidRPr="00BA5839">
        <w:rPr>
          <w:rFonts w:ascii="Times New Roman" w:hAnsi="Times New Roman"/>
          <w:lang w:val="lv-LV"/>
        </w:rPr>
        <w:t>kuru lielākoties finansē valsts, reģionālās vai vietējās iestādes;</w:t>
      </w:r>
    </w:p>
    <w:p w:rsidR="00DB6FDE" w:rsidRPr="00BA5839" w:rsidRDefault="00DB6FDE" w:rsidP="00E302F6">
      <w:pPr>
        <w:pStyle w:val="ListParagraph"/>
        <w:numPr>
          <w:ilvl w:val="2"/>
          <w:numId w:val="11"/>
        </w:numPr>
        <w:spacing w:before="120" w:line="240" w:lineRule="auto"/>
        <w:ind w:right="-432"/>
        <w:rPr>
          <w:rFonts w:ascii="Times New Roman" w:hAnsi="Times New Roman"/>
          <w:lang w:val="lv-LV"/>
        </w:rPr>
      </w:pPr>
      <w:r w:rsidRPr="00BA5839">
        <w:rPr>
          <w:rFonts w:ascii="Times New Roman" w:hAnsi="Times New Roman"/>
          <w:lang w:val="lv-LV"/>
        </w:rPr>
        <w:t>vai citas publiskajām tiesībām pakļautas iestādes vai iestādes, kuras ir pakļautas minētajām iestādēm;</w:t>
      </w:r>
    </w:p>
    <w:p w:rsidR="00DB6FDE" w:rsidRPr="00BA5839" w:rsidRDefault="00DB6FDE" w:rsidP="00E302F6">
      <w:pPr>
        <w:pStyle w:val="ListParagraph"/>
        <w:numPr>
          <w:ilvl w:val="2"/>
          <w:numId w:val="11"/>
        </w:numPr>
        <w:spacing w:before="120" w:line="240" w:lineRule="auto"/>
        <w:ind w:right="-432"/>
        <w:rPr>
          <w:rFonts w:ascii="Times New Roman" w:hAnsi="Times New Roman"/>
          <w:lang w:val="lv-LV"/>
        </w:rPr>
      </w:pPr>
      <w:r w:rsidRPr="00BA5839">
        <w:rPr>
          <w:rFonts w:ascii="Times New Roman" w:hAnsi="Times New Roman"/>
          <w:lang w:val="lv-LV"/>
        </w:rPr>
        <w:t>vai kurām ir administrācija, vadība vai padome, kurā vairāk nekā pusi dalībnieku izraugās valsts, reģionālās vai vietējās iestādes, vai arī citas publiskajām tiesībām pakļautas iestādes;</w:t>
      </w:r>
    </w:p>
    <w:p w:rsidR="00DB6FDE" w:rsidRPr="00BA5839" w:rsidRDefault="00DB6FDE" w:rsidP="00E302F6">
      <w:pPr>
        <w:pStyle w:val="ListParagraph"/>
        <w:numPr>
          <w:ilvl w:val="0"/>
          <w:numId w:val="11"/>
        </w:numPr>
        <w:spacing w:before="120" w:line="240" w:lineRule="auto"/>
        <w:ind w:right="-432"/>
        <w:rPr>
          <w:rFonts w:ascii="Times New Roman" w:hAnsi="Times New Roman"/>
          <w:lang w:val="lv-LV"/>
        </w:rPr>
      </w:pPr>
      <w:r w:rsidRPr="00BA5839">
        <w:rPr>
          <w:rFonts w:ascii="Times New Roman" w:hAnsi="Times New Roman"/>
          <w:lang w:val="lv-LV"/>
        </w:rPr>
        <w:t>NVO (iestāde, kas izveidota sabiedriskā labuma vajadzībām, kas nav rūpnieciska vai komerciāla un kas ir juridiska persona).</w:t>
      </w:r>
    </w:p>
    <w:p w:rsidR="00DB6FDE" w:rsidRPr="00BA5839" w:rsidRDefault="00DB6FDE" w:rsidP="00E302F6">
      <w:pPr>
        <w:spacing w:before="120" w:line="240" w:lineRule="auto"/>
        <w:ind w:right="-432"/>
        <w:rPr>
          <w:rFonts w:ascii="Times New Roman" w:hAnsi="Times New Roman"/>
          <w:b/>
          <w:lang w:val="lv-LV"/>
        </w:rPr>
      </w:pPr>
      <w:r w:rsidRPr="00BA5839">
        <w:rPr>
          <w:rFonts w:ascii="Times New Roman" w:hAnsi="Times New Roman"/>
          <w:b/>
          <w:lang w:val="lv-LV"/>
        </w:rPr>
        <w:t>Mērķa grupas</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Programmas galvenās mērķa grupas ir Programmas teritorijas iedzīvotāji un apmeklētāji.</w:t>
      </w:r>
    </w:p>
    <w:p w:rsidR="00317751" w:rsidRDefault="00317751" w:rsidP="00E302F6">
      <w:pPr>
        <w:spacing w:before="120" w:line="240" w:lineRule="auto"/>
        <w:ind w:right="-432"/>
        <w:rPr>
          <w:rFonts w:ascii="Times New Roman" w:hAnsi="Times New Roman"/>
          <w:b/>
          <w:color w:val="000000"/>
          <w:lang w:val="lv-LV"/>
        </w:rPr>
      </w:pPr>
    </w:p>
    <w:p w:rsidR="00317751" w:rsidRDefault="00317751" w:rsidP="00E302F6">
      <w:pPr>
        <w:spacing w:before="120" w:line="240" w:lineRule="auto"/>
        <w:ind w:right="-432"/>
        <w:rPr>
          <w:rFonts w:ascii="Times New Roman" w:hAnsi="Times New Roman"/>
          <w:b/>
          <w:color w:val="000000"/>
          <w:lang w:val="lv-LV"/>
        </w:rPr>
      </w:pPr>
    </w:p>
    <w:p w:rsidR="00317751" w:rsidRDefault="00317751" w:rsidP="00E302F6">
      <w:pPr>
        <w:spacing w:before="120" w:line="240" w:lineRule="auto"/>
        <w:ind w:right="-432"/>
        <w:rPr>
          <w:rFonts w:ascii="Times New Roman" w:hAnsi="Times New Roman"/>
          <w:b/>
          <w:color w:val="000000"/>
          <w:lang w:val="lv-LV"/>
        </w:rPr>
      </w:pPr>
    </w:p>
    <w:p w:rsidR="00DB6FDE" w:rsidRPr="00BA5839" w:rsidRDefault="00DB6FDE" w:rsidP="00E302F6">
      <w:pPr>
        <w:spacing w:before="120" w:line="240" w:lineRule="auto"/>
        <w:ind w:right="-432"/>
        <w:rPr>
          <w:rFonts w:ascii="Times New Roman" w:hAnsi="Times New Roman"/>
          <w:b/>
          <w:color w:val="000000"/>
          <w:lang w:val="lv-LV"/>
        </w:rPr>
      </w:pPr>
      <w:r w:rsidRPr="00BA5839">
        <w:rPr>
          <w:rFonts w:ascii="Times New Roman" w:hAnsi="Times New Roman"/>
          <w:b/>
          <w:color w:val="000000"/>
          <w:lang w:val="lv-LV"/>
        </w:rPr>
        <w:lastRenderedPageBreak/>
        <w:t xml:space="preserve">Projektu novērtēšana un atlase </w:t>
      </w:r>
    </w:p>
    <w:p w:rsidR="00DB6FDE" w:rsidRPr="00BA5839" w:rsidRDefault="00DB6FDE" w:rsidP="00E302F6">
      <w:pPr>
        <w:spacing w:before="120" w:line="240" w:lineRule="auto"/>
        <w:ind w:right="-432"/>
        <w:rPr>
          <w:rFonts w:ascii="Times New Roman" w:hAnsi="Times New Roman"/>
          <w:color w:val="000000"/>
          <w:lang w:val="lv-LV"/>
        </w:rPr>
      </w:pPr>
      <w:r w:rsidRPr="00BA5839">
        <w:rPr>
          <w:rFonts w:ascii="Times New Roman" w:hAnsi="Times New Roman"/>
          <w:color w:val="000000"/>
          <w:lang w:val="lv-LV"/>
        </w:rPr>
        <w:t>Programmas ietvaros tiks nodrošināts, ka izvēlētie projekti efektīvi sekmēs Programmas mērķu sasniegšanu. Programmas finansējums tiks piešķirts, izsludinot atklātus konkursus un piemērojot tiešo piešķīruma procedūru:</w:t>
      </w:r>
    </w:p>
    <w:p w:rsidR="00DB6FDE" w:rsidRPr="00BA5839" w:rsidRDefault="00A26E87" w:rsidP="00E302F6">
      <w:pPr>
        <w:pStyle w:val="ListParagraph"/>
        <w:numPr>
          <w:ilvl w:val="0"/>
          <w:numId w:val="12"/>
        </w:numPr>
        <w:spacing w:before="120" w:line="240" w:lineRule="auto"/>
        <w:ind w:right="-432"/>
        <w:rPr>
          <w:rFonts w:ascii="Times New Roman" w:hAnsi="Times New Roman"/>
          <w:color w:val="000000"/>
          <w:lang w:val="lv-LV"/>
        </w:rPr>
      </w:pPr>
      <w:r>
        <w:rPr>
          <w:rFonts w:ascii="Times New Roman" w:hAnsi="Times New Roman"/>
          <w:color w:val="000000"/>
          <w:lang w:val="lv-LV"/>
        </w:rPr>
        <w:t>a</w:t>
      </w:r>
      <w:r w:rsidR="00DB6FDE" w:rsidRPr="00BA5839">
        <w:rPr>
          <w:rFonts w:ascii="Times New Roman" w:hAnsi="Times New Roman"/>
          <w:color w:val="000000"/>
          <w:lang w:val="lv-LV"/>
        </w:rPr>
        <w:t>tklātie konkursi ir vispārēji pieņemta procedūra. Atklātie konkursi tiks izsludināti saskaņā ar UK lēmumu, līdz visi līdzekļi būs pilnībā piešķirti;</w:t>
      </w:r>
    </w:p>
    <w:p w:rsidR="00ED7A41" w:rsidRDefault="00DB6FDE" w:rsidP="00E302F6">
      <w:pPr>
        <w:pStyle w:val="ListParagraph"/>
        <w:numPr>
          <w:ilvl w:val="0"/>
          <w:numId w:val="12"/>
        </w:numPr>
        <w:spacing w:before="120" w:line="240" w:lineRule="auto"/>
        <w:ind w:right="-432"/>
        <w:rPr>
          <w:rFonts w:ascii="Times New Roman" w:hAnsi="Times New Roman"/>
          <w:color w:val="000000"/>
          <w:lang w:val="lv-LV"/>
        </w:rPr>
      </w:pPr>
      <w:r w:rsidRPr="00BA5839">
        <w:rPr>
          <w:rFonts w:ascii="Times New Roman" w:hAnsi="Times New Roman"/>
          <w:color w:val="000000"/>
          <w:lang w:val="lv-LV"/>
        </w:rPr>
        <w:t>tiešā piešķīruma procedūra tiks piemērota attiecībā uz tādu projektu sarakstu, par ko vienojušās abas Dalībvalstis Programmas sagatavošanas laikā 2. prioritārā virziena (2. investīciju prioritātes) ietvaros saistībā ar ceļu rekonstrukciju (informācija par finansētajām darbībām ir norādīta 2.2. nodaļā attiecībā uz 2.prioritāro virzienu, 2. investīciju prioritāti)</w:t>
      </w:r>
      <w:r w:rsidR="00ED7A41">
        <w:rPr>
          <w:rFonts w:ascii="Times New Roman" w:hAnsi="Times New Roman"/>
          <w:color w:val="000000"/>
          <w:lang w:val="lv-LV"/>
        </w:rPr>
        <w:t>;</w:t>
      </w:r>
    </w:p>
    <w:p w:rsidR="00DB6FDE" w:rsidRPr="00BA5839" w:rsidRDefault="00E95924" w:rsidP="00E302F6">
      <w:pPr>
        <w:pStyle w:val="ListParagraph"/>
        <w:numPr>
          <w:ilvl w:val="0"/>
          <w:numId w:val="12"/>
        </w:numPr>
        <w:spacing w:before="120" w:line="240" w:lineRule="auto"/>
        <w:ind w:right="-432"/>
        <w:rPr>
          <w:rFonts w:ascii="Times New Roman" w:hAnsi="Times New Roman"/>
          <w:color w:val="000000"/>
          <w:lang w:val="lv-LV"/>
        </w:rPr>
      </w:pPr>
      <w:r>
        <w:rPr>
          <w:rFonts w:ascii="Times New Roman" w:hAnsi="Times New Roman"/>
          <w:color w:val="000000"/>
          <w:lang w:val="lv-LV"/>
        </w:rPr>
        <w:t>programmas īstenošanas laikā dalībvalstis drīkst vienoties par papildus tiešā piešķīruma kārtību</w:t>
      </w:r>
      <w:r w:rsidR="00ED7A41">
        <w:rPr>
          <w:rFonts w:ascii="Times New Roman" w:hAnsi="Times New Roman"/>
          <w:color w:val="000000"/>
          <w:lang w:val="lv-LV"/>
        </w:rPr>
        <w:t>.</w:t>
      </w:r>
    </w:p>
    <w:p w:rsidR="00DB6FDE" w:rsidRPr="00BA5839" w:rsidRDefault="00DB6FDE" w:rsidP="00E302F6">
      <w:pPr>
        <w:spacing w:before="120" w:line="240" w:lineRule="auto"/>
        <w:ind w:right="-432"/>
        <w:rPr>
          <w:rFonts w:ascii="Times New Roman" w:hAnsi="Times New Roman"/>
          <w:color w:val="000000"/>
          <w:lang w:val="lv-LV"/>
        </w:rPr>
      </w:pPr>
      <w:r w:rsidRPr="00BA5839">
        <w:rPr>
          <w:rFonts w:ascii="Times New Roman" w:hAnsi="Times New Roman"/>
          <w:color w:val="000000"/>
          <w:lang w:val="lv-LV"/>
        </w:rPr>
        <w:t>Detalizētāka informācija saistībā ar projektu pieteikumu iesniegšanu, novērtēšanu, atlasi, un atbilstības prasības tiks apstiprinātas UK un aprakstītas Programmas Rokasgrāmatā, kurš būs juridiski saistošs dokuments projektu pieteicējiem, projektu ieviesējiem un citām Programmas ieviešanas institūcijām.</w:t>
      </w:r>
    </w:p>
    <w:p w:rsidR="00E95924" w:rsidRDefault="00DB6FDE" w:rsidP="00E302F6">
      <w:pPr>
        <w:spacing w:before="120" w:line="240" w:lineRule="auto"/>
        <w:ind w:right="-432"/>
        <w:rPr>
          <w:rFonts w:ascii="Times New Roman" w:hAnsi="Times New Roman"/>
          <w:color w:val="000000"/>
          <w:lang w:val="lv-LV"/>
        </w:rPr>
      </w:pPr>
      <w:r w:rsidRPr="00BA5839">
        <w:rPr>
          <w:rFonts w:ascii="Times New Roman" w:hAnsi="Times New Roman"/>
          <w:color w:val="000000"/>
          <w:lang w:val="lv-LV"/>
        </w:rPr>
        <w:t>Projektu vērtēšana un atlase</w:t>
      </w:r>
      <w:r w:rsidR="00E95924">
        <w:rPr>
          <w:rFonts w:ascii="Times New Roman" w:hAnsi="Times New Roman"/>
          <w:color w:val="000000"/>
          <w:lang w:val="lv-LV"/>
        </w:rPr>
        <w:t xml:space="preserve"> </w:t>
      </w:r>
      <w:r w:rsidR="00570C42">
        <w:rPr>
          <w:rFonts w:ascii="Times New Roman" w:hAnsi="Times New Roman"/>
          <w:color w:val="000000"/>
          <w:lang w:val="lv-LV"/>
        </w:rPr>
        <w:t>tiks uzsākta</w:t>
      </w:r>
      <w:r w:rsidRPr="00BA5839">
        <w:rPr>
          <w:rFonts w:ascii="Times New Roman" w:hAnsi="Times New Roman"/>
          <w:color w:val="000000"/>
          <w:lang w:val="lv-LV"/>
        </w:rPr>
        <w:t xml:space="preserve"> tiklīdz tiks saņemti projekt</w:t>
      </w:r>
      <w:r w:rsidR="00570C42">
        <w:rPr>
          <w:rFonts w:ascii="Times New Roman" w:hAnsi="Times New Roman"/>
          <w:color w:val="000000"/>
          <w:lang w:val="lv-LV"/>
        </w:rPr>
        <w:t>u</w:t>
      </w:r>
      <w:r w:rsidRPr="00BA5839">
        <w:rPr>
          <w:rFonts w:ascii="Times New Roman" w:hAnsi="Times New Roman"/>
          <w:color w:val="000000"/>
          <w:lang w:val="lv-LV"/>
        </w:rPr>
        <w:t xml:space="preserve"> pieteikumi. Projektu vērtēšana sastāv no administratīvās pārbaudes, atbilstības pārbaudes,</w:t>
      </w:r>
      <w:r w:rsidR="00AB55FA">
        <w:rPr>
          <w:rFonts w:ascii="Times New Roman" w:hAnsi="Times New Roman"/>
          <w:color w:val="000000"/>
          <w:lang w:val="lv-LV"/>
        </w:rPr>
        <w:t xml:space="preserve"> kuras veic KS un</w:t>
      </w:r>
      <w:r w:rsidRPr="00BA5839">
        <w:rPr>
          <w:rFonts w:ascii="Times New Roman" w:hAnsi="Times New Roman"/>
          <w:color w:val="000000"/>
          <w:lang w:val="lv-LV"/>
        </w:rPr>
        <w:t xml:space="preserve"> kvalitātes pārbaudes, </w:t>
      </w:r>
      <w:r w:rsidR="00AB55FA">
        <w:rPr>
          <w:rFonts w:ascii="Times New Roman" w:hAnsi="Times New Roman"/>
          <w:color w:val="000000"/>
          <w:lang w:val="lv-LV"/>
        </w:rPr>
        <w:t>kuras</w:t>
      </w:r>
      <w:r w:rsidRPr="00BA5839">
        <w:rPr>
          <w:rFonts w:ascii="Times New Roman" w:hAnsi="Times New Roman"/>
          <w:color w:val="000000"/>
          <w:lang w:val="lv-LV"/>
        </w:rPr>
        <w:t xml:space="preserve"> nodrošina </w:t>
      </w:r>
      <w:r w:rsidR="00AB55FA">
        <w:rPr>
          <w:rFonts w:ascii="Times New Roman" w:hAnsi="Times New Roman"/>
          <w:color w:val="000000"/>
          <w:lang w:val="lv-LV"/>
        </w:rPr>
        <w:t>VI un K</w:t>
      </w:r>
      <w:r w:rsidRPr="00BA5839">
        <w:rPr>
          <w:rFonts w:ascii="Times New Roman" w:hAnsi="Times New Roman"/>
          <w:color w:val="000000"/>
          <w:lang w:val="lv-LV"/>
        </w:rPr>
        <w:t xml:space="preserve">S. </w:t>
      </w:r>
      <w:r w:rsidR="00E95924" w:rsidRPr="00BA5839">
        <w:rPr>
          <w:rFonts w:ascii="Times New Roman" w:hAnsi="Times New Roman"/>
          <w:color w:val="000000"/>
          <w:lang w:val="lv-LV"/>
        </w:rPr>
        <w:t>Dalībvalst</w:t>
      </w:r>
      <w:r w:rsidR="00E95924">
        <w:rPr>
          <w:rFonts w:ascii="Times New Roman" w:hAnsi="Times New Roman"/>
          <w:color w:val="000000"/>
          <w:lang w:val="lv-LV"/>
        </w:rPr>
        <w:t>is</w:t>
      </w:r>
      <w:r w:rsidR="00E95924" w:rsidRPr="00BA5839">
        <w:rPr>
          <w:rFonts w:ascii="Times New Roman" w:hAnsi="Times New Roman"/>
          <w:color w:val="000000"/>
          <w:lang w:val="lv-LV"/>
        </w:rPr>
        <w:t xml:space="preserve"> </w:t>
      </w:r>
      <w:r w:rsidRPr="00BA5839">
        <w:rPr>
          <w:rFonts w:ascii="Times New Roman" w:hAnsi="Times New Roman"/>
          <w:color w:val="000000"/>
          <w:lang w:val="lv-LV"/>
        </w:rPr>
        <w:t xml:space="preserve">pēc pieprasījuma </w:t>
      </w:r>
      <w:r w:rsidR="00AB55FA" w:rsidRPr="00BA5839">
        <w:rPr>
          <w:rFonts w:ascii="Times New Roman" w:hAnsi="Times New Roman"/>
          <w:color w:val="000000"/>
          <w:lang w:val="lv-LV"/>
        </w:rPr>
        <w:t xml:space="preserve">pirms UK apstiprina projektu </w:t>
      </w:r>
      <w:r w:rsidRPr="00BA5839">
        <w:rPr>
          <w:rFonts w:ascii="Times New Roman" w:hAnsi="Times New Roman"/>
          <w:color w:val="000000"/>
          <w:lang w:val="lv-LV"/>
        </w:rPr>
        <w:t>var tikt lūgt</w:t>
      </w:r>
      <w:r w:rsidR="00E95924">
        <w:rPr>
          <w:rFonts w:ascii="Times New Roman" w:hAnsi="Times New Roman"/>
          <w:color w:val="000000"/>
          <w:lang w:val="lv-LV"/>
        </w:rPr>
        <w:t>a</w:t>
      </w:r>
      <w:r w:rsidRPr="00BA5839">
        <w:rPr>
          <w:rFonts w:ascii="Times New Roman" w:hAnsi="Times New Roman"/>
          <w:color w:val="000000"/>
          <w:lang w:val="lv-LV"/>
        </w:rPr>
        <w:t xml:space="preserve">s izteikt viedokli par to teritoriju pārstāvošo projekta partneru atbilstību. </w:t>
      </w:r>
      <w:r w:rsidR="00865570">
        <w:rPr>
          <w:rFonts w:ascii="Times New Roman" w:hAnsi="Times New Roman"/>
          <w:color w:val="000000"/>
          <w:lang w:val="lv-LV"/>
        </w:rPr>
        <w:t>V</w:t>
      </w:r>
      <w:r w:rsidRPr="00BA5839">
        <w:rPr>
          <w:rFonts w:ascii="Times New Roman" w:hAnsi="Times New Roman"/>
          <w:color w:val="000000"/>
          <w:lang w:val="lv-LV"/>
        </w:rPr>
        <w:t>ērtējuma rezultāti tiks iesniegti UK, kas būs atbildīga par lēmumu pieņemšanu saistībā ar projekta apstiprināšanu</w:t>
      </w:r>
      <w:r w:rsidR="00E95924">
        <w:rPr>
          <w:rFonts w:ascii="Times New Roman" w:hAnsi="Times New Roman"/>
          <w:color w:val="000000"/>
          <w:lang w:val="lv-LV"/>
        </w:rPr>
        <w:t xml:space="preserve"> vai noraidīšanu</w:t>
      </w:r>
      <w:r w:rsidRPr="00BA5839">
        <w:rPr>
          <w:rFonts w:ascii="Times New Roman" w:hAnsi="Times New Roman"/>
          <w:color w:val="000000"/>
          <w:lang w:val="lv-LV"/>
        </w:rPr>
        <w:t>. VI</w:t>
      </w:r>
      <w:r w:rsidR="00264E4E">
        <w:rPr>
          <w:rFonts w:ascii="Times New Roman" w:hAnsi="Times New Roman"/>
          <w:color w:val="000000"/>
          <w:lang w:val="lv-LV"/>
        </w:rPr>
        <w:t xml:space="preserve"> ar K</w:t>
      </w:r>
      <w:r w:rsidRPr="00BA5839">
        <w:rPr>
          <w:rFonts w:ascii="Times New Roman" w:hAnsi="Times New Roman"/>
          <w:color w:val="000000"/>
          <w:lang w:val="lv-LV"/>
        </w:rPr>
        <w:t xml:space="preserve">S </w:t>
      </w:r>
      <w:r w:rsidR="00264E4E">
        <w:rPr>
          <w:rFonts w:ascii="Times New Roman" w:hAnsi="Times New Roman"/>
          <w:color w:val="000000"/>
          <w:lang w:val="lv-LV"/>
        </w:rPr>
        <w:t xml:space="preserve">atbalstu </w:t>
      </w:r>
      <w:r w:rsidRPr="00BA5839">
        <w:rPr>
          <w:rFonts w:ascii="Times New Roman" w:hAnsi="Times New Roman"/>
          <w:color w:val="000000"/>
          <w:lang w:val="lv-LV"/>
        </w:rPr>
        <w:t xml:space="preserve">oficiāli informēs </w:t>
      </w:r>
      <w:r w:rsidR="00865570" w:rsidRPr="00BA5839">
        <w:rPr>
          <w:rFonts w:ascii="Times New Roman" w:hAnsi="Times New Roman"/>
          <w:color w:val="000000"/>
          <w:lang w:val="lv-LV"/>
        </w:rPr>
        <w:t>projekt</w:t>
      </w:r>
      <w:r w:rsidR="00865570">
        <w:rPr>
          <w:rFonts w:ascii="Times New Roman" w:hAnsi="Times New Roman"/>
          <w:color w:val="000000"/>
          <w:lang w:val="lv-LV"/>
        </w:rPr>
        <w:t>u</w:t>
      </w:r>
      <w:r w:rsidR="00865570" w:rsidRPr="00BA5839">
        <w:rPr>
          <w:rFonts w:ascii="Times New Roman" w:hAnsi="Times New Roman"/>
          <w:color w:val="000000"/>
          <w:lang w:val="lv-LV"/>
        </w:rPr>
        <w:t xml:space="preserve"> </w:t>
      </w:r>
      <w:r w:rsidR="00865570">
        <w:rPr>
          <w:rFonts w:ascii="Times New Roman" w:hAnsi="Times New Roman"/>
          <w:color w:val="000000"/>
          <w:lang w:val="lv-LV"/>
        </w:rPr>
        <w:t>iesniedzējus</w:t>
      </w:r>
      <w:r w:rsidR="00865570" w:rsidRPr="00BA5839">
        <w:rPr>
          <w:rFonts w:ascii="Times New Roman" w:hAnsi="Times New Roman"/>
          <w:color w:val="000000"/>
          <w:lang w:val="lv-LV"/>
        </w:rPr>
        <w:t xml:space="preserve"> </w:t>
      </w:r>
      <w:r w:rsidRPr="00BA5839">
        <w:rPr>
          <w:rFonts w:ascii="Times New Roman" w:hAnsi="Times New Roman"/>
          <w:color w:val="000000"/>
          <w:lang w:val="lv-LV"/>
        </w:rPr>
        <w:t xml:space="preserve">par projekta </w:t>
      </w:r>
      <w:r w:rsidR="00264E4E">
        <w:rPr>
          <w:rFonts w:ascii="Times New Roman" w:hAnsi="Times New Roman"/>
          <w:color w:val="000000"/>
          <w:lang w:val="lv-LV"/>
        </w:rPr>
        <w:t>atlases</w:t>
      </w:r>
      <w:r w:rsidR="00264E4E" w:rsidRPr="00BA5839">
        <w:rPr>
          <w:rFonts w:ascii="Times New Roman" w:hAnsi="Times New Roman"/>
          <w:color w:val="000000"/>
          <w:lang w:val="lv-LV"/>
        </w:rPr>
        <w:t xml:space="preserve"> </w:t>
      </w:r>
      <w:r w:rsidRPr="00BA5839">
        <w:rPr>
          <w:rFonts w:ascii="Times New Roman" w:hAnsi="Times New Roman"/>
          <w:color w:val="000000"/>
          <w:lang w:val="lv-LV"/>
        </w:rPr>
        <w:t xml:space="preserve">rezultātiem. VI ar </w:t>
      </w:r>
      <w:r w:rsidR="00865570">
        <w:rPr>
          <w:rFonts w:ascii="Times New Roman" w:hAnsi="Times New Roman"/>
          <w:color w:val="000000"/>
          <w:lang w:val="lv-LV"/>
        </w:rPr>
        <w:t>K</w:t>
      </w:r>
      <w:r w:rsidRPr="00BA5839">
        <w:rPr>
          <w:rFonts w:ascii="Times New Roman" w:hAnsi="Times New Roman"/>
          <w:color w:val="000000"/>
          <w:lang w:val="lv-LV"/>
        </w:rPr>
        <w:t>S palīdzību sagatavos</w:t>
      </w:r>
      <w:r w:rsidR="00264E4E">
        <w:rPr>
          <w:rFonts w:ascii="Times New Roman" w:hAnsi="Times New Roman"/>
          <w:color w:val="000000"/>
          <w:lang w:val="lv-LV"/>
        </w:rPr>
        <w:t xml:space="preserve"> un parakstīs</w:t>
      </w:r>
      <w:r w:rsidRPr="00BA5839">
        <w:rPr>
          <w:rFonts w:ascii="Times New Roman" w:hAnsi="Times New Roman"/>
          <w:color w:val="000000"/>
          <w:lang w:val="lv-LV"/>
        </w:rPr>
        <w:t xml:space="preserve"> </w:t>
      </w:r>
      <w:r w:rsidR="00264E4E">
        <w:rPr>
          <w:rFonts w:ascii="Times New Roman" w:hAnsi="Times New Roman"/>
          <w:color w:val="000000"/>
          <w:lang w:val="lv-LV"/>
        </w:rPr>
        <w:t xml:space="preserve">Finansēšanas līgumu ar </w:t>
      </w:r>
      <w:r w:rsidR="00264E4E" w:rsidRPr="00BA5839">
        <w:rPr>
          <w:rFonts w:ascii="Times New Roman" w:hAnsi="Times New Roman"/>
          <w:color w:val="000000"/>
          <w:lang w:val="lv-LV"/>
        </w:rPr>
        <w:t>apstiprināt</w:t>
      </w:r>
      <w:r w:rsidR="00264E4E">
        <w:rPr>
          <w:rFonts w:ascii="Times New Roman" w:hAnsi="Times New Roman"/>
          <w:color w:val="000000"/>
          <w:lang w:val="lv-LV"/>
        </w:rPr>
        <w:t>ā</w:t>
      </w:r>
      <w:r w:rsidR="00264E4E" w:rsidRPr="00BA5839">
        <w:rPr>
          <w:rFonts w:ascii="Times New Roman" w:hAnsi="Times New Roman"/>
          <w:color w:val="000000"/>
          <w:lang w:val="lv-LV"/>
        </w:rPr>
        <w:t xml:space="preserve"> </w:t>
      </w:r>
      <w:r w:rsidRPr="00BA5839">
        <w:rPr>
          <w:rFonts w:ascii="Times New Roman" w:hAnsi="Times New Roman"/>
          <w:color w:val="000000"/>
          <w:lang w:val="lv-LV"/>
        </w:rPr>
        <w:t>projektu vadoš</w:t>
      </w:r>
      <w:r w:rsidR="00264E4E">
        <w:rPr>
          <w:rFonts w:ascii="Times New Roman" w:hAnsi="Times New Roman"/>
          <w:color w:val="000000"/>
          <w:lang w:val="lv-LV"/>
        </w:rPr>
        <w:t>o</w:t>
      </w:r>
      <w:r w:rsidRPr="00BA5839">
        <w:rPr>
          <w:rFonts w:ascii="Times New Roman" w:hAnsi="Times New Roman"/>
          <w:color w:val="000000"/>
          <w:lang w:val="lv-LV"/>
        </w:rPr>
        <w:t xml:space="preserve"> partneri</w:t>
      </w:r>
      <w:r w:rsidR="00264E4E">
        <w:rPr>
          <w:rFonts w:ascii="Times New Roman" w:hAnsi="Times New Roman"/>
          <w:color w:val="000000"/>
          <w:lang w:val="lv-LV"/>
        </w:rPr>
        <w:t>.</w:t>
      </w:r>
      <w:r w:rsidR="00E95924">
        <w:rPr>
          <w:rFonts w:ascii="Times New Roman" w:hAnsi="Times New Roman"/>
          <w:color w:val="000000"/>
          <w:lang w:val="lv-LV"/>
        </w:rPr>
        <w:t xml:space="preserve"> </w:t>
      </w:r>
    </w:p>
    <w:p w:rsidR="00DB6FDE" w:rsidRPr="00BA5839" w:rsidRDefault="00DB6FDE" w:rsidP="00E302F6">
      <w:pPr>
        <w:spacing w:before="120" w:line="240" w:lineRule="auto"/>
        <w:ind w:right="-432"/>
        <w:rPr>
          <w:rFonts w:ascii="Times New Roman" w:hAnsi="Times New Roman"/>
          <w:color w:val="000000"/>
          <w:lang w:val="lv-LV"/>
        </w:rPr>
      </w:pPr>
      <w:r w:rsidRPr="00BA5839">
        <w:rPr>
          <w:rFonts w:ascii="Times New Roman" w:hAnsi="Times New Roman"/>
          <w:color w:val="000000"/>
          <w:lang w:val="lv-LV"/>
        </w:rPr>
        <w:t>Projekta pieteikumi tiks iesniegti ar Programmas elektroniskās uzraudzības sistēmas starpniecību, kuru izveidos un uzraudzīs VI</w:t>
      </w:r>
      <w:r w:rsidR="00E95924">
        <w:rPr>
          <w:rFonts w:ascii="Times New Roman" w:hAnsi="Times New Roman"/>
          <w:color w:val="000000"/>
          <w:lang w:val="lv-LV"/>
        </w:rPr>
        <w:t>un K</w:t>
      </w:r>
      <w:r w:rsidRPr="00BA5839">
        <w:rPr>
          <w:rFonts w:ascii="Times New Roman" w:hAnsi="Times New Roman"/>
          <w:color w:val="000000"/>
          <w:lang w:val="lv-LV"/>
        </w:rPr>
        <w:t xml:space="preserve">S. Šajā pašā sistēmā tiks veikta projektu novērtēšana un turpmāka </w:t>
      </w:r>
      <w:r w:rsidR="00E95924" w:rsidRPr="00BA5839">
        <w:rPr>
          <w:rFonts w:ascii="Times New Roman" w:hAnsi="Times New Roman"/>
          <w:color w:val="000000"/>
          <w:lang w:val="lv-LV"/>
        </w:rPr>
        <w:t>uzraudzī</w:t>
      </w:r>
      <w:r w:rsidR="00E95924">
        <w:rPr>
          <w:rFonts w:ascii="Times New Roman" w:hAnsi="Times New Roman"/>
          <w:color w:val="000000"/>
          <w:lang w:val="lv-LV"/>
        </w:rPr>
        <w:t>b</w:t>
      </w:r>
      <w:r w:rsidR="00E95924" w:rsidRPr="00BA5839">
        <w:rPr>
          <w:rFonts w:ascii="Times New Roman" w:hAnsi="Times New Roman"/>
          <w:color w:val="000000"/>
          <w:lang w:val="lv-LV"/>
        </w:rPr>
        <w:t>a</w:t>
      </w:r>
      <w:r w:rsidRPr="00BA5839">
        <w:rPr>
          <w:rFonts w:ascii="Times New Roman" w:hAnsi="Times New Roman"/>
          <w:color w:val="000000"/>
          <w:lang w:val="lv-LV"/>
        </w:rPr>
        <w:t>.</w:t>
      </w:r>
    </w:p>
    <w:p w:rsidR="00DB6FDE" w:rsidRPr="00BA5839" w:rsidRDefault="00DB6FDE" w:rsidP="00E302F6">
      <w:pPr>
        <w:pStyle w:val="Text1"/>
        <w:spacing w:before="120" w:line="240" w:lineRule="auto"/>
        <w:ind w:left="0" w:right="-432"/>
        <w:rPr>
          <w:b/>
          <w:color w:val="000000"/>
          <w:szCs w:val="24"/>
          <w:lang w:val="lv-LV"/>
        </w:rPr>
      </w:pPr>
      <w:r w:rsidRPr="00BA5839">
        <w:rPr>
          <w:b/>
          <w:color w:val="000000"/>
          <w:szCs w:val="24"/>
          <w:lang w:val="lv-LV"/>
        </w:rPr>
        <w:t>Sūdzības</w:t>
      </w:r>
    </w:p>
    <w:p w:rsidR="00DB6FDE" w:rsidRPr="00BA5839" w:rsidRDefault="00264E4E" w:rsidP="00E302F6">
      <w:pPr>
        <w:pStyle w:val="Text1"/>
        <w:spacing w:before="120" w:line="240" w:lineRule="auto"/>
        <w:ind w:left="0" w:right="-432"/>
        <w:rPr>
          <w:color w:val="000000"/>
          <w:szCs w:val="24"/>
          <w:lang w:val="lv-LV"/>
        </w:rPr>
      </w:pPr>
      <w:r>
        <w:rPr>
          <w:color w:val="000000"/>
          <w:szCs w:val="24"/>
          <w:lang w:val="lv-LV"/>
        </w:rPr>
        <w:t>Sūdzību iesniedz vadošais partneris. S</w:t>
      </w:r>
      <w:r w:rsidR="00DB6FDE" w:rsidRPr="00BA5839">
        <w:rPr>
          <w:color w:val="000000"/>
          <w:szCs w:val="24"/>
          <w:lang w:val="lv-LV"/>
        </w:rPr>
        <w:t>ūdzības</w:t>
      </w:r>
      <w:r w:rsidR="00ED7A41">
        <w:rPr>
          <w:color w:val="000000"/>
          <w:szCs w:val="24"/>
          <w:lang w:val="lv-LV"/>
        </w:rPr>
        <w:t xml:space="preserve"> par UK, VI un AI lēmumiem</w:t>
      </w:r>
      <w:r w:rsidR="00DB6FDE" w:rsidRPr="00BA5839">
        <w:rPr>
          <w:color w:val="000000"/>
          <w:szCs w:val="24"/>
          <w:lang w:val="lv-LV"/>
        </w:rPr>
        <w:t xml:space="preserve"> </w:t>
      </w:r>
      <w:r w:rsidR="004356DA" w:rsidRPr="00BA5839">
        <w:rPr>
          <w:color w:val="000000"/>
          <w:szCs w:val="24"/>
          <w:lang w:val="lv-LV"/>
        </w:rPr>
        <w:t>iesnie</w:t>
      </w:r>
      <w:r w:rsidR="004356DA">
        <w:rPr>
          <w:color w:val="000000"/>
          <w:szCs w:val="24"/>
          <w:lang w:val="lv-LV"/>
        </w:rPr>
        <w:t>dzamas</w:t>
      </w:r>
      <w:r w:rsidR="004356DA" w:rsidRPr="00BA5839">
        <w:rPr>
          <w:color w:val="000000"/>
          <w:szCs w:val="24"/>
          <w:lang w:val="lv-LV"/>
        </w:rPr>
        <w:t xml:space="preserve"> </w:t>
      </w:r>
      <w:r w:rsidR="00DB6FDE" w:rsidRPr="00BA5839">
        <w:rPr>
          <w:color w:val="000000"/>
          <w:szCs w:val="24"/>
          <w:lang w:val="lv-LV"/>
        </w:rPr>
        <w:t>VI, un tās izskatīs un uz tām atbildēs VI</w:t>
      </w:r>
      <w:r>
        <w:rPr>
          <w:color w:val="000000"/>
          <w:szCs w:val="24"/>
          <w:lang w:val="lv-LV"/>
        </w:rPr>
        <w:t xml:space="preserve"> un K</w:t>
      </w:r>
      <w:r w:rsidR="00DB6FDE" w:rsidRPr="00BA5839">
        <w:rPr>
          <w:color w:val="000000"/>
          <w:szCs w:val="24"/>
          <w:lang w:val="lv-LV"/>
        </w:rPr>
        <w:t xml:space="preserve">S. </w:t>
      </w:r>
      <w:r w:rsidRPr="00BA5839">
        <w:rPr>
          <w:color w:val="000000"/>
          <w:szCs w:val="24"/>
          <w:lang w:val="lv-LV"/>
        </w:rPr>
        <w:t xml:space="preserve">VI izskatīs sūdzību un nepieciešamības gadījumā lūgs UK izteikt tās viedokli. Balstoties uz UK sniegto informāciju, VI atbildēs uz sūdzību. </w:t>
      </w:r>
      <w:r w:rsidR="00162CCF">
        <w:rPr>
          <w:color w:val="000000"/>
          <w:szCs w:val="24"/>
          <w:lang w:val="lv-LV"/>
        </w:rPr>
        <w:t xml:space="preserve">Sūdzības par </w:t>
      </w:r>
      <w:r w:rsidR="00E57B95">
        <w:rPr>
          <w:color w:val="000000"/>
          <w:szCs w:val="24"/>
          <w:lang w:val="lv-LV"/>
        </w:rPr>
        <w:t>RG</w:t>
      </w:r>
      <w:r>
        <w:rPr>
          <w:color w:val="000000"/>
          <w:szCs w:val="24"/>
          <w:lang w:val="lv-LV"/>
        </w:rPr>
        <w:t xml:space="preserve"> </w:t>
      </w:r>
      <w:r w:rsidR="004356DA">
        <w:rPr>
          <w:color w:val="000000"/>
          <w:szCs w:val="24"/>
          <w:lang w:val="lv-LV"/>
        </w:rPr>
        <w:t xml:space="preserve">lēmumiem </w:t>
      </w:r>
      <w:r w:rsidR="00162CCF">
        <w:rPr>
          <w:color w:val="000000"/>
          <w:szCs w:val="24"/>
          <w:lang w:val="lv-LV"/>
        </w:rPr>
        <w:t xml:space="preserve"> iesnie</w:t>
      </w:r>
      <w:r w:rsidR="00865570">
        <w:rPr>
          <w:color w:val="000000"/>
          <w:szCs w:val="24"/>
          <w:lang w:val="lv-LV"/>
        </w:rPr>
        <w:t>dzamas</w:t>
      </w:r>
      <w:r w:rsidR="00162CCF">
        <w:rPr>
          <w:color w:val="000000"/>
          <w:szCs w:val="24"/>
          <w:lang w:val="lv-LV"/>
        </w:rPr>
        <w:t xml:space="preserve"> </w:t>
      </w:r>
      <w:r w:rsidR="004356DA">
        <w:rPr>
          <w:color w:val="000000"/>
          <w:szCs w:val="24"/>
          <w:lang w:val="lv-LV"/>
        </w:rPr>
        <w:t>RI</w:t>
      </w:r>
      <w:r w:rsidR="006B1EA8">
        <w:rPr>
          <w:color w:val="000000"/>
          <w:szCs w:val="24"/>
          <w:lang w:val="lv-LV"/>
        </w:rPr>
        <w:t xml:space="preserve">. </w:t>
      </w:r>
      <w:r w:rsidR="004356DA">
        <w:rPr>
          <w:color w:val="000000"/>
          <w:szCs w:val="24"/>
          <w:lang w:val="lv-LV"/>
        </w:rPr>
        <w:t xml:space="preserve">Sūdzības par Latvijas kompetencē sošajām FK procedūrām iesniedzamas attiecīgajā nacionālajā iestādē. Sūdzības par </w:t>
      </w:r>
      <w:r w:rsidR="00053D62">
        <w:rPr>
          <w:color w:val="000000"/>
          <w:szCs w:val="24"/>
          <w:lang w:val="lv-LV"/>
        </w:rPr>
        <w:t>Lietuvas</w:t>
      </w:r>
      <w:r w:rsidR="004356DA">
        <w:rPr>
          <w:color w:val="000000"/>
          <w:szCs w:val="24"/>
          <w:lang w:val="lv-LV"/>
        </w:rPr>
        <w:t xml:space="preserve"> kompetencē sošajām FK procedūrām iesniedzamas</w:t>
      </w:r>
      <w:r w:rsidR="004356DA" w:rsidRPr="00BA5839">
        <w:rPr>
          <w:color w:val="000000"/>
          <w:szCs w:val="24"/>
          <w:lang w:val="lv-LV"/>
        </w:rPr>
        <w:t xml:space="preserve"> </w:t>
      </w:r>
      <w:r w:rsidR="004356DA">
        <w:rPr>
          <w:color w:val="000000"/>
          <w:szCs w:val="24"/>
          <w:lang w:val="lv-LV"/>
        </w:rPr>
        <w:t xml:space="preserve">saskaņā ar </w:t>
      </w:r>
      <w:r w:rsidR="00053D62">
        <w:rPr>
          <w:color w:val="000000"/>
          <w:szCs w:val="24"/>
          <w:lang w:val="lv-LV"/>
        </w:rPr>
        <w:t>FK</w:t>
      </w:r>
      <w:r w:rsidR="009273A5">
        <w:rPr>
          <w:color w:val="000000"/>
          <w:szCs w:val="24"/>
          <w:lang w:val="lv-LV"/>
        </w:rPr>
        <w:t xml:space="preserve"> pakalpojumu līgumā minētajiem noteikumiem. </w:t>
      </w:r>
      <w:r w:rsidR="00DB6FDE" w:rsidRPr="00BA5839">
        <w:rPr>
          <w:color w:val="000000"/>
          <w:szCs w:val="24"/>
          <w:lang w:val="lv-LV"/>
        </w:rPr>
        <w:t>Sūdzību iesniegšanas procedūras tiks detalizēti aprakstītas Programmas rokasgrāmatā.</w:t>
      </w:r>
    </w:p>
    <w:p w:rsidR="00DB6FDE" w:rsidRPr="00BA5839" w:rsidRDefault="00DB6FDE" w:rsidP="00E302F6">
      <w:pPr>
        <w:spacing w:before="120" w:line="240" w:lineRule="auto"/>
        <w:ind w:right="-432"/>
        <w:rPr>
          <w:rFonts w:ascii="Times New Roman" w:hAnsi="Times New Roman"/>
          <w:b/>
          <w:lang w:val="lv-LV"/>
        </w:rPr>
      </w:pPr>
    </w:p>
    <w:p w:rsidR="00DB6FDE" w:rsidRPr="00197F9C" w:rsidRDefault="00432940" w:rsidP="00D66FB7">
      <w:pPr>
        <w:pStyle w:val="Heading2"/>
        <w:rPr>
          <w:lang w:val="lv-LV"/>
        </w:rPr>
      </w:pPr>
      <w:bookmarkStart w:id="254" w:name="_Toc384383740"/>
      <w:r w:rsidRPr="00432940">
        <w:rPr>
          <w:lang w:val="lv-LV"/>
        </w:rPr>
        <w:lastRenderedPageBreak/>
        <w:t>5.4.</w:t>
      </w:r>
      <w:r w:rsidRPr="00432940">
        <w:rPr>
          <w:lang w:val="lv-LV"/>
        </w:rPr>
        <w:tab/>
        <w:t>Pienākumu sadale starp Dalībvalstīm gadījumā, ja Vadošā iestāde vai Eiropas Komisija uzdod veikt finanšu korekcijas</w:t>
      </w:r>
      <w:bookmarkEnd w:id="254"/>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Dalībvalstis, kas piedalās Programmā, uzņemsies atbildību par Programmas ERAF finansējuma izmantošanu šādi:</w:t>
      </w:r>
    </w:p>
    <w:p w:rsidR="00DB6FDE" w:rsidRPr="00BA5839"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VI nodrošina to, ka jebkurš naudas apjoms, kas ticis samaksāts jebkādu neatbilstību rezultātā, tiek atgūts no vadošā partnera. Projekta partneri atmaksā vadošajam partnerim jebkurus neatbilstoši veiktus maksājumus;</w:t>
      </w:r>
    </w:p>
    <w:p w:rsidR="00DB6FDE" w:rsidRPr="00BA5839"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ja vadošais partneris neatgūst atmaksu no pārējiem partneriem vai ja VI neatgūst atmaksu no vadošā partnera, Dalībvalsts, kuras teritorijā atrodas attiecīgais projekta partneris, atmaksā VI šim partnerim neatbilstoši veikto maksājumu;</w:t>
      </w:r>
    </w:p>
    <w:p w:rsidR="00DB6FDE" w:rsidRPr="00BA5839"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ja korekcijas nepieciešams veikt sistēmisku kļūdu vai UK lēmumu rezultātā, Dalībvalstis kopīgi uzņemas finansiālās sekas, katrai Dalībvalstij esot atbildīgai proporcionāli projekta partneriem izmaksātā ERAF finansējuma daļai attiecībā uz katru Dalībvalsti;</w:t>
      </w:r>
    </w:p>
    <w:p w:rsidR="00162CCF"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 xml:space="preserve">ja neatbilstības rodas VI, RI un/ vai </w:t>
      </w:r>
      <w:r w:rsidR="00162CCF">
        <w:rPr>
          <w:rFonts w:ascii="Times New Roman" w:hAnsi="Times New Roman"/>
          <w:lang w:val="lv-LV"/>
        </w:rPr>
        <w:t>K</w:t>
      </w:r>
      <w:r w:rsidRPr="00BA5839">
        <w:rPr>
          <w:rFonts w:ascii="Times New Roman" w:hAnsi="Times New Roman"/>
          <w:lang w:val="lv-LV"/>
        </w:rPr>
        <w:t>S</w:t>
      </w:r>
      <w:r w:rsidR="00ED7A41">
        <w:rPr>
          <w:rFonts w:ascii="Times New Roman" w:hAnsi="Times New Roman"/>
          <w:lang w:val="lv-LV"/>
        </w:rPr>
        <w:t xml:space="preserve"> (ieskaitot filiāli)</w:t>
      </w:r>
      <w:r w:rsidRPr="00BA5839">
        <w:rPr>
          <w:rFonts w:ascii="Times New Roman" w:hAnsi="Times New Roman"/>
          <w:lang w:val="lv-LV"/>
        </w:rPr>
        <w:t xml:space="preserve"> veikto darbību </w:t>
      </w:r>
      <w:r w:rsidR="00162CCF">
        <w:rPr>
          <w:rFonts w:ascii="Times New Roman" w:hAnsi="Times New Roman"/>
          <w:lang w:val="lv-LV"/>
        </w:rPr>
        <w:t xml:space="preserve">vai bezdarbības </w:t>
      </w:r>
      <w:r w:rsidRPr="00BA5839">
        <w:rPr>
          <w:rFonts w:ascii="Times New Roman" w:hAnsi="Times New Roman"/>
          <w:lang w:val="lv-LV"/>
        </w:rPr>
        <w:t xml:space="preserve">rezultātā, atbildību attiecībā pret EK un UK uzņemas Dalībvalsts, kurā atrodas VI, RI un/vai </w:t>
      </w:r>
      <w:r w:rsidR="00162CCF">
        <w:rPr>
          <w:rFonts w:ascii="Times New Roman" w:hAnsi="Times New Roman"/>
          <w:lang w:val="lv-LV"/>
        </w:rPr>
        <w:t>K</w:t>
      </w:r>
      <w:r w:rsidRPr="00BA5839">
        <w:rPr>
          <w:rFonts w:ascii="Times New Roman" w:hAnsi="Times New Roman"/>
          <w:lang w:val="lv-LV"/>
        </w:rPr>
        <w:t>S</w:t>
      </w:r>
      <w:r w:rsidR="00ED7A41">
        <w:rPr>
          <w:rFonts w:ascii="Times New Roman" w:hAnsi="Times New Roman"/>
          <w:lang w:val="lv-LV"/>
        </w:rPr>
        <w:t>/</w:t>
      </w:r>
      <w:r w:rsidR="00162CCF">
        <w:rPr>
          <w:rFonts w:ascii="Times New Roman" w:hAnsi="Times New Roman"/>
          <w:lang w:val="lv-LV"/>
        </w:rPr>
        <w:t>K</w:t>
      </w:r>
      <w:r w:rsidR="00ED7A41">
        <w:rPr>
          <w:rFonts w:ascii="Times New Roman" w:hAnsi="Times New Roman"/>
          <w:lang w:val="lv-LV"/>
        </w:rPr>
        <w:t>S filiāle</w:t>
      </w:r>
      <w:r w:rsidR="00162CCF">
        <w:rPr>
          <w:rFonts w:ascii="Times New Roman" w:hAnsi="Times New Roman"/>
          <w:lang w:val="lv-LV"/>
        </w:rPr>
        <w:t>;</w:t>
      </w:r>
    </w:p>
    <w:p w:rsidR="00DB6FDE" w:rsidRPr="00BA5839" w:rsidRDefault="00162CCF" w:rsidP="00E302F6">
      <w:pPr>
        <w:pStyle w:val="ListParagraph"/>
        <w:numPr>
          <w:ilvl w:val="0"/>
          <w:numId w:val="13"/>
        </w:numPr>
        <w:spacing w:before="120" w:line="240" w:lineRule="auto"/>
        <w:ind w:right="-432"/>
        <w:rPr>
          <w:rFonts w:ascii="Times New Roman" w:hAnsi="Times New Roman"/>
          <w:lang w:val="lv-LV"/>
        </w:rPr>
      </w:pPr>
      <w:r>
        <w:rPr>
          <w:rFonts w:ascii="Times New Roman" w:hAnsi="Times New Roman"/>
          <w:lang w:val="lv-LV"/>
        </w:rPr>
        <w:t xml:space="preserve">ja VI, RI, KS vai KS filiāle neatbilstoši lietojusi tehnisko palīdzības, atbildību uzņemas </w:t>
      </w:r>
      <w:r w:rsidRPr="00BA5839">
        <w:rPr>
          <w:rFonts w:ascii="Times New Roman" w:hAnsi="Times New Roman"/>
          <w:lang w:val="lv-LV"/>
        </w:rPr>
        <w:t xml:space="preserve">Dalībvalsts, kurā atrodas VI, RI un/ vai </w:t>
      </w:r>
      <w:r>
        <w:rPr>
          <w:rFonts w:ascii="Times New Roman" w:hAnsi="Times New Roman"/>
          <w:lang w:val="lv-LV"/>
        </w:rPr>
        <w:t>K</w:t>
      </w:r>
      <w:r w:rsidRPr="00BA5839">
        <w:rPr>
          <w:rFonts w:ascii="Times New Roman" w:hAnsi="Times New Roman"/>
          <w:lang w:val="lv-LV"/>
        </w:rPr>
        <w:t>S</w:t>
      </w:r>
      <w:r>
        <w:rPr>
          <w:rFonts w:ascii="Times New Roman" w:hAnsi="Times New Roman"/>
          <w:lang w:val="lv-LV"/>
        </w:rPr>
        <w:t>/KS filiāle;</w:t>
      </w:r>
    </w:p>
    <w:p w:rsidR="00DB6FDE" w:rsidRPr="00BA5839" w:rsidRDefault="00DB6FDE" w:rsidP="00E302F6">
      <w:pPr>
        <w:spacing w:before="120" w:line="240" w:lineRule="auto"/>
        <w:ind w:right="-432"/>
        <w:rPr>
          <w:rFonts w:ascii="Times New Roman" w:hAnsi="Times New Roman"/>
          <w:b/>
          <w:lang w:val="lv-LV"/>
        </w:rPr>
      </w:pPr>
    </w:p>
    <w:p w:rsidR="00DB6FDE" w:rsidRPr="00E148C9" w:rsidRDefault="00DB6FDE" w:rsidP="00D66FB7">
      <w:pPr>
        <w:pStyle w:val="Heading2"/>
      </w:pPr>
      <w:bookmarkStart w:id="255" w:name="_Toc384383741"/>
      <w:r w:rsidRPr="00E148C9">
        <w:t>5.5.</w:t>
      </w:r>
      <w:r w:rsidRPr="00E148C9">
        <w:tab/>
        <w:t>E</w:t>
      </w:r>
      <w:r w:rsidR="00D74F62">
        <w:t>u</w:t>
      </w:r>
      <w:r w:rsidRPr="00E148C9">
        <w:t>ro izmantošana</w:t>
      </w:r>
      <w:bookmarkEnd w:id="255"/>
    </w:p>
    <w:p w:rsidR="00474F02" w:rsidRDefault="00474F02" w:rsidP="00E302F6">
      <w:pPr>
        <w:spacing w:before="120" w:line="240" w:lineRule="auto"/>
        <w:ind w:right="-432"/>
        <w:rPr>
          <w:rFonts w:ascii="Times New Roman" w:hAnsi="Times New Roman"/>
          <w:lang w:val="lv-LV"/>
        </w:rPr>
      </w:pPr>
      <w:r>
        <w:rPr>
          <w:rFonts w:ascii="Times New Roman" w:hAnsi="Times New Roman"/>
          <w:lang w:val="lv-LV"/>
        </w:rPr>
        <w:t>Latvijas nacionālā valūta ir e</w:t>
      </w:r>
      <w:r w:rsidR="00D74F62">
        <w:rPr>
          <w:rFonts w:ascii="Times New Roman" w:hAnsi="Times New Roman"/>
          <w:lang w:val="lv-LV"/>
        </w:rPr>
        <w:t>u</w:t>
      </w:r>
      <w:r>
        <w:rPr>
          <w:rFonts w:ascii="Times New Roman" w:hAnsi="Times New Roman"/>
          <w:lang w:val="lv-LV"/>
        </w:rPr>
        <w:t>ro.</w:t>
      </w:r>
    </w:p>
    <w:p w:rsidR="00865570" w:rsidRPr="00C77C1E" w:rsidRDefault="00DB6FDE" w:rsidP="00E302F6">
      <w:pPr>
        <w:spacing w:before="120" w:line="240" w:lineRule="auto"/>
        <w:ind w:right="-432"/>
        <w:rPr>
          <w:rFonts w:ascii="Times New Roman" w:hAnsi="Times New Roman"/>
          <w:lang w:val="fr-FR"/>
        </w:rPr>
      </w:pPr>
      <w:r w:rsidRPr="00BA5839">
        <w:rPr>
          <w:rFonts w:ascii="Times New Roman" w:hAnsi="Times New Roman"/>
          <w:lang w:val="lv-LV"/>
        </w:rPr>
        <w:t>Lietuvā spēkā ir oficiālais noteiktais ilgtermiņa lita valūtas maiņas kurss pret e</w:t>
      </w:r>
      <w:r w:rsidR="00D74F62">
        <w:rPr>
          <w:rFonts w:ascii="Times New Roman" w:hAnsi="Times New Roman"/>
          <w:lang w:val="lv-LV"/>
        </w:rPr>
        <w:t>u</w:t>
      </w:r>
      <w:r w:rsidRPr="00BA5839">
        <w:rPr>
          <w:rFonts w:ascii="Times New Roman" w:hAnsi="Times New Roman"/>
          <w:lang w:val="lv-LV"/>
        </w:rPr>
        <w:t>ro (3,4528 liti par 1 e</w:t>
      </w:r>
      <w:r w:rsidR="00865570">
        <w:rPr>
          <w:rFonts w:ascii="Times New Roman" w:hAnsi="Times New Roman"/>
          <w:lang w:val="lv-LV"/>
        </w:rPr>
        <w:t>u</w:t>
      </w:r>
      <w:r w:rsidRPr="00BA5839">
        <w:rPr>
          <w:rFonts w:ascii="Times New Roman" w:hAnsi="Times New Roman"/>
          <w:lang w:val="lv-LV"/>
        </w:rPr>
        <w:t>ro</w:t>
      </w:r>
      <w:r w:rsidR="00F54675">
        <w:rPr>
          <w:rFonts w:ascii="Times New Roman" w:hAnsi="Times New Roman"/>
          <w:lang w:val="lv-LV"/>
        </w:rPr>
        <w:t xml:space="preserve"> – šis maiņas kurss tiks lietots kamēr Lietuva pievienosies eirozonai un euro kļūs par </w:t>
      </w:r>
      <w:r w:rsidR="00F459CB">
        <w:rPr>
          <w:rFonts w:ascii="Times New Roman" w:hAnsi="Times New Roman"/>
          <w:lang w:val="lv-LV"/>
        </w:rPr>
        <w:t>nacionālo valūtu, provizoriski līdz 2014.gada 31.decembrim</w:t>
      </w:r>
      <w:r w:rsidRPr="00BA5839">
        <w:rPr>
          <w:rFonts w:ascii="Times New Roman" w:hAnsi="Times New Roman"/>
          <w:lang w:val="lv-LV"/>
        </w:rPr>
        <w:t>).</w:t>
      </w:r>
      <w:bookmarkStart w:id="256" w:name="_Toc384364502"/>
      <w:r w:rsidRPr="00BA5839">
        <w:rPr>
          <w:rFonts w:ascii="Times New Roman" w:hAnsi="Times New Roman"/>
          <w:lang w:val="lv-LV"/>
        </w:rPr>
        <w:t xml:space="preserve"> </w:t>
      </w:r>
      <w:bookmarkEnd w:id="256"/>
    </w:p>
    <w:p w:rsidR="00865570" w:rsidRPr="00865570" w:rsidRDefault="004E0D5B" w:rsidP="00E302F6">
      <w:pPr>
        <w:spacing w:before="120" w:line="240" w:lineRule="auto"/>
        <w:ind w:right="-432"/>
        <w:rPr>
          <w:rFonts w:ascii="Times New Roman" w:hAnsi="Times New Roman"/>
          <w:lang w:val="lv-LV"/>
        </w:rPr>
      </w:pPr>
      <w:r w:rsidRPr="004E0D5B">
        <w:rPr>
          <w:rFonts w:ascii="Times New Roman" w:hAnsi="Times New Roman"/>
          <w:lang w:val="lv-LV"/>
        </w:rPr>
        <w:t xml:space="preserve">Izmaksas, kas atbalsta saņēmējiem radušās citā valūtā, konvertējamas uz euro saskaņā ar Regulas Nr. 1299/2013 28.pantu. </w:t>
      </w:r>
    </w:p>
    <w:p w:rsidR="00474F02" w:rsidRPr="00474F02" w:rsidRDefault="00474F02" w:rsidP="00E302F6">
      <w:pPr>
        <w:spacing w:before="120" w:line="240" w:lineRule="auto"/>
        <w:ind w:right="-432"/>
        <w:rPr>
          <w:rFonts w:ascii="Times New Roman" w:hAnsi="Times New Roman"/>
          <w:lang w:val="lv-LV"/>
        </w:rPr>
      </w:pPr>
    </w:p>
    <w:p w:rsidR="00DB6FDE" w:rsidRPr="00F459CB" w:rsidRDefault="00DB6FDE" w:rsidP="00D66FB7">
      <w:pPr>
        <w:pStyle w:val="Heading2"/>
      </w:pPr>
      <w:bookmarkStart w:id="257" w:name="_Toc384383742"/>
      <w:r w:rsidRPr="00F459CB">
        <w:t>5.6. Partneru iesaistīšana</w:t>
      </w:r>
      <w:bookmarkEnd w:id="257"/>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Programmas sagatavošana tika veikta atbilstoši partnerības pieejai, kā norādīts Regulas Nr. 1303/2013 5. pantā. APK, kuru izveidoja Latvijas Republikas Vides aizsardzības un reģionālās attīstības ministrija un Lietuvas Republikas Iekšlietu ministrija, ir koordinējusi Programmas sagatavošanu un iesaistījusi partnerus (valsts un reģionālā līmeņa pārstāvjus, sociālos partnerus un ekspertus noteiktās jomās) Programmas sagatavošanas procesā. APK dalībniekus izvirzīja katras Dalībvalsts nacionālā atbildīgā institūcija.</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Attiecībā uz Programmas īstenošanas procesu tika panākta plaša partnerība, rīkojot tematiskus seminārus abās Dalībvalstīs. Semināros piedalījās vairāk nekā 150 dalībnieki, ieskaitot sabiedrības pārstāvjus. Tika pārstāvēti gan 2007.–2013. gada Programmas projektu partneri, gan tādi, kuriem nav pieredzes šajā Programmā. Partneri apsprieda Programmas teritorijā </w:t>
      </w:r>
      <w:r w:rsidRPr="00BA5839">
        <w:rPr>
          <w:rFonts w:ascii="Times New Roman" w:hAnsi="Times New Roman"/>
          <w:lang w:val="lv-LV"/>
        </w:rPr>
        <w:lastRenderedPageBreak/>
        <w:t>aktuālās vajadzības un problēmas un noteica tēmas, kas ir svarīgas pārrobežu sadarbībai Programmas teritorijā.</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Intervences loģika vienprātīgi tika noteikta starp APK, balstoties uz Dalībvalstu prioritātēm, reģionālo vajadzību analīzi un tematisko semināru rezultātiem. Visi komentāri un ieteikumi, kurus izteica APK iesaistītās personas un kurus atbalstīja pārējie APK dalībnieki, tika ietverti Programmā vai ņemti vērā Programmas izstrādes laikā.</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2014. gada </w:t>
      </w:r>
      <w:r w:rsidR="00F459CB">
        <w:rPr>
          <w:rFonts w:ascii="Times New Roman" w:hAnsi="Times New Roman"/>
          <w:lang w:val="lv-LV"/>
        </w:rPr>
        <w:t>2</w:t>
      </w:r>
      <w:r w:rsidRPr="00BA5839">
        <w:rPr>
          <w:rFonts w:ascii="Times New Roman" w:hAnsi="Times New Roman"/>
          <w:lang w:val="lv-LV"/>
        </w:rPr>
        <w:t>. </w:t>
      </w:r>
      <w:r w:rsidR="00F459CB">
        <w:rPr>
          <w:rFonts w:ascii="Times New Roman" w:hAnsi="Times New Roman"/>
          <w:lang w:val="lv-LV"/>
        </w:rPr>
        <w:t>ceturksnī</w:t>
      </w:r>
      <w:r w:rsidR="00F459CB" w:rsidRPr="00BA5839">
        <w:rPr>
          <w:rFonts w:ascii="Times New Roman" w:hAnsi="Times New Roman"/>
          <w:lang w:val="lv-LV"/>
        </w:rPr>
        <w:t xml:space="preserve"> </w:t>
      </w:r>
      <w:r w:rsidRPr="00BA5839">
        <w:rPr>
          <w:rFonts w:ascii="Times New Roman" w:hAnsi="Times New Roman"/>
          <w:lang w:val="lv-LV"/>
        </w:rPr>
        <w:t xml:space="preserve">abās Dalībvalstīs </w:t>
      </w:r>
      <w:r w:rsidR="00F459CB" w:rsidRPr="00BA5839">
        <w:rPr>
          <w:rFonts w:ascii="Times New Roman" w:hAnsi="Times New Roman"/>
          <w:lang w:val="lv-LV"/>
        </w:rPr>
        <w:t>notik</w:t>
      </w:r>
      <w:r w:rsidR="00F459CB">
        <w:rPr>
          <w:rFonts w:ascii="Times New Roman" w:hAnsi="Times New Roman"/>
          <w:lang w:val="lv-LV"/>
        </w:rPr>
        <w:t>a</w:t>
      </w:r>
      <w:r w:rsidRPr="00BA5839">
        <w:rPr>
          <w:rFonts w:ascii="Times New Roman" w:hAnsi="Times New Roman"/>
          <w:lang w:val="lv-LV"/>
        </w:rPr>
        <w:t xml:space="preserve">publiskā apspriede, lai darītu zināmas un izskaidrotu vajadzības, kas tiek apspriestas Programmas ietvaros. Turklāt šīs publiskās apspriedes mērķis </w:t>
      </w:r>
      <w:r w:rsidR="00F459CB">
        <w:rPr>
          <w:rFonts w:ascii="Times New Roman" w:hAnsi="Times New Roman"/>
          <w:lang w:val="lv-LV"/>
        </w:rPr>
        <w:t>bija</w:t>
      </w:r>
      <w:r w:rsidR="00F459CB" w:rsidRPr="00BA5839">
        <w:rPr>
          <w:rFonts w:ascii="Times New Roman" w:hAnsi="Times New Roman"/>
          <w:lang w:val="lv-LV"/>
        </w:rPr>
        <w:t xml:space="preserve"> </w:t>
      </w:r>
      <w:r w:rsidRPr="00BA5839">
        <w:rPr>
          <w:rFonts w:ascii="Times New Roman" w:hAnsi="Times New Roman"/>
          <w:lang w:val="lv-LV"/>
        </w:rPr>
        <w:t>turpināt uzturēt dialogu un iegūt atsauksmes no dažādiem partneriem un mērķa grupām un palielināt izpratni par Programmu.</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Daudzus partnerus, kas pašlaik ir iesaistīti Programmas sagatavošanā, turpmāk plānots iesaistīt UK. Nepārtrauktība starp Programmas sagatavošanu un īstenošanu sekmē labu Programmas īstenošanu un tās mērķu sasniegšanu.</w:t>
      </w:r>
    </w:p>
    <w:p w:rsidR="00DB6FDE" w:rsidRPr="00BA5839" w:rsidRDefault="00DB6FDE" w:rsidP="00E302F6">
      <w:pPr>
        <w:spacing w:before="120" w:line="240" w:lineRule="auto"/>
        <w:ind w:right="-432"/>
        <w:rPr>
          <w:rFonts w:ascii="Times New Roman" w:hAnsi="Times New Roman"/>
          <w:lang w:val="lv-LV"/>
        </w:rPr>
      </w:pPr>
    </w:p>
    <w:p w:rsidR="00DB6FDE" w:rsidRPr="00C77C1E" w:rsidRDefault="00DB6FDE" w:rsidP="00736F69">
      <w:pPr>
        <w:pStyle w:val="Heading1"/>
      </w:pPr>
      <w:r w:rsidRPr="00E148C9">
        <w:rPr>
          <w:sz w:val="24"/>
          <w:szCs w:val="24"/>
        </w:rPr>
        <w:br w:type="page"/>
      </w:r>
      <w:bookmarkStart w:id="258" w:name="_Toc384383743"/>
      <w:r w:rsidRPr="00C77C1E">
        <w:lastRenderedPageBreak/>
        <w:t>6. NODAĻA:</w:t>
      </w:r>
      <w:r w:rsidRPr="00C77C1E">
        <w:br/>
        <w:t>KOORDINĒŠANA</w:t>
      </w:r>
      <w:bookmarkEnd w:id="258"/>
    </w:p>
    <w:p w:rsidR="00DB6FDE" w:rsidRDefault="00DB6FDE" w:rsidP="00E302F6">
      <w:pPr>
        <w:pStyle w:val="Text1"/>
        <w:spacing w:before="120" w:line="240" w:lineRule="auto"/>
        <w:ind w:right="-432"/>
        <w:rPr>
          <w:sz w:val="20"/>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Šajā Programmas dokumenta nodaļā ir ietverts pārskats pār koordināciju starp Programmu un pārējiem finanšu instrumentiem Programmas teritorijā. Ir svarīgi panākt sinerģiju starp sasniegumiem attiecībā uz dažādiem finanšu instrumentiem un dažādos līmeņos, lai Programmas ietvaros būtu iespējams finansēt papildu darbības. </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Ir svarīgi, lai Programmas izvairītos no dublēšanās ar pārējiem ESI fondiem un ES finansētajām iniciatīvām un programmām. </w:t>
      </w:r>
    </w:p>
    <w:p w:rsidR="00DB6FDE" w:rsidRPr="00BA5839" w:rsidRDefault="00DB6FDE" w:rsidP="00E302F6">
      <w:pPr>
        <w:spacing w:before="120" w:line="240" w:lineRule="auto"/>
        <w:ind w:right="-432"/>
        <w:jc w:val="left"/>
        <w:rPr>
          <w:rFonts w:ascii="Times New Roman" w:hAnsi="Times New Roman"/>
          <w:lang w:val="lv-LV"/>
        </w:rPr>
      </w:pPr>
      <w:r w:rsidRPr="00BA5839">
        <w:rPr>
          <w:rFonts w:ascii="Times New Roman" w:hAnsi="Times New Roman"/>
          <w:lang w:val="lv-LV"/>
        </w:rPr>
        <w:t>Turpmāk norādītie mehānismi sekmēs sinerģiju un novērsīs pārklāšanos:</w:t>
      </w:r>
    </w:p>
    <w:p w:rsidR="00DB6FDE" w:rsidRPr="00BA5839"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iesniedzot projektu priekšlikumus, vadošie partneri un projekta partneri nodrošinās, ka attiecīgais projekts netiek finansēts citu ES finansēto programmu ietvaros, un sniegs izklāstu par to, kā projekts ir saistīts ar valsts un reģionālā līmeņa programmām un politiku;</w:t>
      </w:r>
    </w:p>
    <w:p w:rsidR="00DB6FDE" w:rsidRPr="00BA5839"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koordināciju ar attiecīgajām institūcijām, kas ir atbildīgas par ES finansēto programmu īstenošanu, nodrošinās TS, VI un Latvijas un Lietuvas nacionālās iestādes, pirms UK ir pieņēmusi lēmumus saistībā ar projektu finansēšanu. Padziļinātas analīzes rezultātā tiks noskaidrots, vai projekti, kas pieteikti Programmas finansējuma saņemšanai, jau nav saņēmuši finansējumu no reģionālā, valsts vai ES līmeņa programmām;</w:t>
      </w:r>
    </w:p>
    <w:p w:rsidR="00DB6FDE" w:rsidRPr="00BA5839"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 xml:space="preserve">dalībvalstis </w:t>
      </w:r>
      <w:r w:rsidR="002E417D" w:rsidRPr="00BA5839">
        <w:rPr>
          <w:rFonts w:ascii="Times New Roman" w:hAnsi="Times New Roman"/>
          <w:lang w:val="lv-LV"/>
        </w:rPr>
        <w:t>koordinē</w:t>
      </w:r>
      <w:r w:rsidR="002E417D">
        <w:rPr>
          <w:rFonts w:ascii="Times New Roman" w:hAnsi="Times New Roman"/>
          <w:lang w:val="lv-LV"/>
        </w:rPr>
        <w:t>s</w:t>
      </w:r>
      <w:r w:rsidR="002E417D" w:rsidRPr="00BA5839">
        <w:rPr>
          <w:rFonts w:ascii="Times New Roman" w:hAnsi="Times New Roman"/>
          <w:lang w:val="lv-LV"/>
        </w:rPr>
        <w:t xml:space="preserve"> </w:t>
      </w:r>
      <w:r w:rsidRPr="00BA5839">
        <w:rPr>
          <w:rFonts w:ascii="Times New Roman" w:hAnsi="Times New Roman"/>
          <w:lang w:val="lv-LV"/>
        </w:rPr>
        <w:t>darbības ar pārējām to teritorijās īstenotajām programmām, kā arī attiecīgo valsts un reģionālā līmeņa politiku un programmām, veicot valsts līmeņa koordinācijas pasākumus;</w:t>
      </w:r>
    </w:p>
    <w:p w:rsidR="00DB6FDE" w:rsidRPr="00BA5839" w:rsidRDefault="00DB6FDE" w:rsidP="00E302F6">
      <w:pPr>
        <w:pStyle w:val="ListParagraph"/>
        <w:numPr>
          <w:ilvl w:val="0"/>
          <w:numId w:val="13"/>
        </w:numPr>
        <w:spacing w:before="120" w:line="240" w:lineRule="auto"/>
        <w:ind w:right="-432"/>
        <w:rPr>
          <w:rFonts w:ascii="Times New Roman" w:hAnsi="Times New Roman"/>
          <w:lang w:val="lv-LV"/>
        </w:rPr>
      </w:pPr>
      <w:r w:rsidRPr="00BA5839">
        <w:rPr>
          <w:rFonts w:ascii="Times New Roman" w:hAnsi="Times New Roman"/>
          <w:lang w:val="lv-LV"/>
        </w:rPr>
        <w:t>Latvijā ir tikusi izveidota konsultatīva darba grupa, lai uzraudzītu ETS 2014.-2020. gada Programmu izstrādes kvalitāti. Konsultatīvās grupas dalībnieki ir pārstāvji no nozaru ministrijām, citu ES fondu vadošajām iestādēm, reģioniem un sociālie partneri.</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Pēc Programmas apstiprināšanas konsultatīvās darba grupas tiks izveidotas abās dalībvalstīs.</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Konsultatīvā darba grupa Latvijā nodrošinās padomdevēja funkcijas Nacionālajai atbildīgajai iestādei ETS programmas īstenošanas laikā. </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Konsultatīvā darba grupa sniegs konsultācijas attiecībā uz sinerģiju ar citiem ES fondiem koordinēšanu un izvairīšanos no situācijas, kad pārklājas investīcijas no citiem finanšu instrumentiem/ programmām. Konsultatīvajā darba grupā tiks pārstāvētas nozaru ministrijas, citu ES fondu vadošās iestādes, reģioni un sociālie partneri.</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Konsultatīvā darba grupa Lietuvā nodrošinās padomdevēja funkcijas un ietvers sevī pārstāvjus no ministrijām un citas ieinteresētās puses. Konsultatīvās darba grupas galvenās funkcijas būs konsultēt Lietuvas ETS programmu UK dalībniekus par tādiem aspektiem kā Lietuvas partneru atbilstība un to darbību mērķtiecība saskaņā ar saņemtajiem projektu pieteikumiem. Konsultatīvā darba grupa būs arī iesaistīta informācijas izplatīšanā saistībā ar ETS programmām.</w:t>
      </w:r>
    </w:p>
    <w:p w:rsidR="00DB6FDE" w:rsidRDefault="00DB6FDE" w:rsidP="00E302F6">
      <w:pPr>
        <w:spacing w:before="120" w:line="240" w:lineRule="auto"/>
        <w:rPr>
          <w:sz w:val="20"/>
          <w:szCs w:val="20"/>
          <w:lang w:val="lv-LV"/>
        </w:rPr>
      </w:pPr>
    </w:p>
    <w:p w:rsidR="00DB6FDE" w:rsidRPr="00C77C1E" w:rsidRDefault="00DB6FDE" w:rsidP="00E302F6">
      <w:pPr>
        <w:spacing w:before="120" w:line="240" w:lineRule="auto"/>
        <w:ind w:right="-432"/>
        <w:jc w:val="center"/>
        <w:rPr>
          <w:rFonts w:ascii="Times New Roman" w:hAnsi="Times New Roman"/>
          <w:b/>
          <w:sz w:val="28"/>
          <w:szCs w:val="28"/>
          <w:lang w:val="lv-LV"/>
        </w:rPr>
      </w:pPr>
      <w:r>
        <w:rPr>
          <w:sz w:val="20"/>
          <w:szCs w:val="20"/>
          <w:lang w:val="lv-LV"/>
        </w:rPr>
        <w:br w:type="page"/>
      </w:r>
      <w:bookmarkStart w:id="259" w:name="_Toc384383744"/>
      <w:r w:rsidRPr="00C77C1E">
        <w:rPr>
          <w:rFonts w:ascii="Times New Roman" w:hAnsi="Times New Roman"/>
          <w:b/>
          <w:sz w:val="28"/>
          <w:szCs w:val="28"/>
          <w:lang w:val="lv-LV"/>
        </w:rPr>
        <w:lastRenderedPageBreak/>
        <w:t>7. NODAĻA:</w:t>
      </w:r>
      <w:r w:rsidRPr="00C77C1E">
        <w:rPr>
          <w:rFonts w:ascii="Times New Roman" w:hAnsi="Times New Roman"/>
          <w:b/>
          <w:sz w:val="28"/>
          <w:szCs w:val="28"/>
          <w:lang w:val="lv-LV"/>
        </w:rPr>
        <w:br/>
        <w:t>ADMINISTRATĪVĀ SLOGA SAMAZINĀŠANA PROJEKTA PARTNERIEM</w:t>
      </w:r>
      <w:bookmarkEnd w:id="259"/>
    </w:p>
    <w:p w:rsidR="00DB6FDE" w:rsidRDefault="00DB6FDE" w:rsidP="00E302F6">
      <w:pPr>
        <w:spacing w:before="120" w:line="240" w:lineRule="auto"/>
        <w:ind w:right="-432"/>
        <w:rPr>
          <w:sz w:val="20"/>
          <w:szCs w:val="20"/>
          <w:lang w:val="lv-LV"/>
        </w:rPr>
      </w:pP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Laika posmā no 2007. līdz 2013. gadam attiecībā uz projektu partneriem tika novērotas vairākas būtiskas administratīva rakstura problēmas – gan prasības saistībā ar projekta pamatojošo dokumentu vairākkārtēju iesniegšanu, gan salīdzinoši garas atmaksas procedūras, kā arī līdzfinansējuma trūkums projektos.</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Laika periodā no 2007. līdz 2013. gadam tika izstrādāti noteikumi par procesu vienkāršošanu (piemēram, vienkāršota maksājumu sistēma, kas ietver projekta progresa ziņojumu divu soļu pārbaudi. Rezultāti palīdz paātrināt maksājumu veikšanu projekta partneriem).</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Lai samazinātu administratīvo slogu projekta partneriem Programmas 2014.–2020. gadam darbības laikā, tiek ierosinātas turpmāk minētās darbības.</w:t>
      </w:r>
    </w:p>
    <w:p w:rsidR="00DB6FDE" w:rsidRPr="00BA5839" w:rsidRDefault="00865570" w:rsidP="00E302F6">
      <w:pPr>
        <w:spacing w:before="120" w:line="240" w:lineRule="auto"/>
        <w:ind w:right="-432"/>
        <w:rPr>
          <w:rFonts w:ascii="Times New Roman" w:hAnsi="Times New Roman"/>
          <w:b/>
          <w:u w:val="single"/>
          <w:lang w:val="lv-LV"/>
        </w:rPr>
      </w:pPr>
      <w:r>
        <w:rPr>
          <w:rFonts w:ascii="Times New Roman" w:hAnsi="Times New Roman"/>
          <w:b/>
          <w:u w:val="single"/>
          <w:lang w:val="lv-LV"/>
        </w:rPr>
        <w:t>Datu ievadīšanas</w:t>
      </w:r>
      <w:r w:rsidR="00474F02" w:rsidRPr="00BA5839">
        <w:rPr>
          <w:rFonts w:ascii="Times New Roman" w:hAnsi="Times New Roman"/>
          <w:b/>
          <w:u w:val="single"/>
          <w:lang w:val="lv-LV"/>
        </w:rPr>
        <w:t xml:space="preserve"> </w:t>
      </w:r>
      <w:r w:rsidR="00DB6FDE" w:rsidRPr="00BA5839">
        <w:rPr>
          <w:rFonts w:ascii="Times New Roman" w:hAnsi="Times New Roman"/>
          <w:b/>
          <w:u w:val="single"/>
          <w:lang w:val="lv-LV"/>
        </w:rPr>
        <w:t>princips</w:t>
      </w:r>
      <w:r w:rsidR="00EE4C29" w:rsidRPr="00BA5839">
        <w:rPr>
          <w:rFonts w:ascii="Times New Roman" w:hAnsi="Times New Roman"/>
          <w:b/>
          <w:u w:val="single"/>
          <w:lang w:val="lv-LV"/>
        </w:rPr>
        <w:t>„Tikai vienreiz”</w:t>
      </w:r>
    </w:p>
    <w:p w:rsidR="00DB6FDE" w:rsidRPr="00BA5839" w:rsidRDefault="00865570" w:rsidP="00E302F6">
      <w:pPr>
        <w:spacing w:before="120" w:line="240" w:lineRule="auto"/>
        <w:ind w:right="-432"/>
        <w:rPr>
          <w:rFonts w:ascii="Times New Roman" w:hAnsi="Times New Roman"/>
          <w:lang w:val="lv-LV"/>
        </w:rPr>
      </w:pPr>
      <w:r>
        <w:rPr>
          <w:rFonts w:ascii="Times New Roman" w:hAnsi="Times New Roman"/>
          <w:lang w:val="lv-LV"/>
        </w:rPr>
        <w:t>Datu uievadīšanas</w:t>
      </w:r>
      <w:r w:rsidR="00DB6FDE" w:rsidRPr="00BA5839">
        <w:rPr>
          <w:rFonts w:ascii="Times New Roman" w:hAnsi="Times New Roman"/>
          <w:lang w:val="lv-LV"/>
        </w:rPr>
        <w:t xml:space="preserve"> principa</w:t>
      </w:r>
      <w:r w:rsidR="00EE4C29" w:rsidRPr="00BA5839">
        <w:rPr>
          <w:rFonts w:ascii="Times New Roman" w:hAnsi="Times New Roman"/>
          <w:lang w:val="lv-LV"/>
        </w:rPr>
        <w:t>„Tikai vienreiz”</w:t>
      </w:r>
      <w:r w:rsidR="00DB6FDE" w:rsidRPr="00BA5839">
        <w:rPr>
          <w:rFonts w:ascii="Times New Roman" w:hAnsi="Times New Roman"/>
          <w:lang w:val="lv-LV"/>
        </w:rPr>
        <w:t xml:space="preserve"> ietvaros tiek izmantota jauna IT sistēma attiecībā uz Programmas pasākumiem un it īpaši datu apmaiņu. To izmantojot, iespējams uzglabāt un koplietot datus tā, ka projekta partneriem tiek lūgts nodrošināt datus un informāciju tikai vienreiz. Tādējādi tiek samazināts tiem uzliktais administratīvais slogs.</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Projekta partneri var iesniegt visus pieprasītos datus (projekta pieteikumus, progresa ziņojumus, pieprasījumus par projekta izmaiņām u.c.) elektroniski. Datubāzes sistēmā tiek uzglabāta un koplietota informācija starp visām Programmas iestādēm un institūcijām un būs pieejamas skaidri izstrādātas vadlīnijas par pieprasāmo informāciju un detalizācijas līmeni. </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Tā rezultātā projekta partneriem tiek nodrošināta vieglāka piekļuve informācijai un lielāka izmaksu efektivitāte. Plānots, ka sūdzības tiks izskatītas ātrāk, un ievērojami tiks ietaupīts laiks, kas nepieciešams pieteikumu apstrādei un procesu aktualizēšanai. Tiks uzlabota pārskatāmība, jo projekta partneri var pārbaudīt to pieteikuma statusu reālajā laikā. </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Piemērojot šo principu, tiktu palielināta Programmas darbības efektivitāte (pašreizējā sistēmā ievērojams laiks tiek zaudēts, gaidot oficiālos</w:t>
      </w:r>
      <w:r w:rsidR="00D74F62">
        <w:rPr>
          <w:rFonts w:ascii="Times New Roman" w:hAnsi="Times New Roman"/>
          <w:lang w:val="lv-LV"/>
        </w:rPr>
        <w:t xml:space="preserve"> un</w:t>
      </w:r>
      <w:r w:rsidR="00D74F62" w:rsidRPr="00BA5839">
        <w:rPr>
          <w:rFonts w:ascii="Times New Roman" w:hAnsi="Times New Roman"/>
          <w:lang w:val="lv-LV"/>
        </w:rPr>
        <w:t xml:space="preserve"> </w:t>
      </w:r>
      <w:r w:rsidRPr="00BA5839">
        <w:rPr>
          <w:rFonts w:ascii="Times New Roman" w:hAnsi="Times New Roman"/>
          <w:lang w:val="lv-LV"/>
        </w:rPr>
        <w:t>parakstītos dokumentus, lai iesniegtu progresa ziņojumus, paskaidrojumus, vēstules u.c.).</w:t>
      </w:r>
    </w:p>
    <w:p w:rsidR="00DB6FDE" w:rsidRDefault="00DB6FDE" w:rsidP="00E302F6">
      <w:pPr>
        <w:spacing w:before="120" w:line="240" w:lineRule="auto"/>
        <w:ind w:right="-432"/>
        <w:rPr>
          <w:sz w:val="20"/>
          <w:szCs w:val="20"/>
          <w:u w:val="single"/>
          <w:lang w:val="lv-LV"/>
        </w:rPr>
      </w:pPr>
      <w:r w:rsidRPr="00BA5839">
        <w:rPr>
          <w:rFonts w:ascii="Times New Roman" w:hAnsi="Times New Roman"/>
          <w:lang w:val="lv-LV"/>
        </w:rPr>
        <w:t>Galvenās Programmas ietvaros plānotās darbības ir izstrādāt informācijas sistēmu un vadlīnijas, kā arī organizēt potenciālo projektu pieteicēju</w:t>
      </w:r>
      <w:r w:rsidR="00D74F62">
        <w:rPr>
          <w:rFonts w:ascii="Times New Roman" w:hAnsi="Times New Roman"/>
          <w:lang w:val="lv-LV"/>
        </w:rPr>
        <w:t xml:space="preserve"> un </w:t>
      </w:r>
      <w:r w:rsidRPr="00BA5839">
        <w:rPr>
          <w:rFonts w:ascii="Times New Roman" w:hAnsi="Times New Roman"/>
          <w:lang w:val="lv-LV"/>
        </w:rPr>
        <w:t xml:space="preserve">projektu partneru apmācības. Paredzams, ka „Tikai vienreiz” </w:t>
      </w:r>
      <w:r w:rsidR="00D74F62">
        <w:rPr>
          <w:rFonts w:ascii="Times New Roman" w:hAnsi="Times New Roman"/>
          <w:lang w:val="lv-LV"/>
        </w:rPr>
        <w:t xml:space="preserve">datu ievadīšanas </w:t>
      </w:r>
      <w:r w:rsidRPr="00BA5839">
        <w:rPr>
          <w:rFonts w:ascii="Times New Roman" w:hAnsi="Times New Roman"/>
          <w:lang w:val="lv-LV"/>
        </w:rPr>
        <w:t>principa darbība tiks uzsākta pirms pirmā konkursa izsludināšanas.</w:t>
      </w:r>
    </w:p>
    <w:p w:rsidR="00DB6FDE" w:rsidRPr="00BA5839" w:rsidRDefault="00DB6FDE" w:rsidP="00E302F6">
      <w:pPr>
        <w:spacing w:before="120" w:line="240" w:lineRule="auto"/>
        <w:ind w:right="-432"/>
        <w:rPr>
          <w:rFonts w:ascii="Times New Roman" w:hAnsi="Times New Roman"/>
          <w:b/>
          <w:u w:val="single"/>
          <w:lang w:val="lv-LV"/>
        </w:rPr>
      </w:pPr>
      <w:r w:rsidRPr="00BA5839">
        <w:rPr>
          <w:rFonts w:ascii="Times New Roman" w:hAnsi="Times New Roman"/>
          <w:b/>
          <w:u w:val="single"/>
          <w:lang w:val="lv-LV"/>
        </w:rPr>
        <w:t>Vienotas likmes koncepcija</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Projekta partneri Programmas ietvaros var piemērot vienotu likmi attiecībā uz personāla un administrācijas izmaksām.</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Piemērojot šo principu, administratīvais slogs tiks samazināts, un maksājumu veikšana tiks paātrināta. Vairs nebūs nepieciešamības izsekot ikvienu līdzfinansēto e</w:t>
      </w:r>
      <w:r w:rsidR="00D74F62">
        <w:rPr>
          <w:rFonts w:ascii="Times New Roman" w:hAnsi="Times New Roman"/>
          <w:lang w:val="lv-LV"/>
        </w:rPr>
        <w:t>u</w:t>
      </w:r>
      <w:r w:rsidRPr="00BA5839">
        <w:rPr>
          <w:rFonts w:ascii="Times New Roman" w:hAnsi="Times New Roman"/>
          <w:lang w:val="lv-LV"/>
        </w:rPr>
        <w:t xml:space="preserve">ro līdz atsevišķiem pamatojuma dokumentiem, un iesniedzamo pamatojuma dokumentu apjoms samazināsies. Komunikācija ar potenciālajiem projektu partneriem par Programmas finansēšanas </w:t>
      </w:r>
      <w:r w:rsidRPr="00BA5839">
        <w:rPr>
          <w:rFonts w:ascii="Times New Roman" w:hAnsi="Times New Roman"/>
          <w:lang w:val="lv-LV"/>
        </w:rPr>
        <w:lastRenderedPageBreak/>
        <w:t xml:space="preserve">noteikumiem būs vienkāršāka, un tiks ietaupīts laiks, kas patērēts stundas likmes aprēķināšanai, laika grafiku izveidei un darba līgumu skaidrošanai. Izmaiņu pieprasījumu apjoms projektu ietvaros būs mazāks, un ziņošana centralizētajai </w:t>
      </w:r>
      <w:r w:rsidR="00000ED3">
        <w:rPr>
          <w:rFonts w:ascii="Times New Roman" w:hAnsi="Times New Roman"/>
          <w:lang w:val="lv-LV"/>
        </w:rPr>
        <w:t>FK</w:t>
      </w:r>
      <w:r w:rsidR="00000ED3" w:rsidRPr="00BA5839">
        <w:rPr>
          <w:rFonts w:ascii="Times New Roman" w:hAnsi="Times New Roman"/>
          <w:lang w:val="lv-LV"/>
        </w:rPr>
        <w:t xml:space="preserve"> </w:t>
      </w:r>
      <w:r w:rsidRPr="00BA5839">
        <w:rPr>
          <w:rFonts w:ascii="Times New Roman" w:hAnsi="Times New Roman"/>
          <w:lang w:val="lv-LV"/>
        </w:rPr>
        <w:t>būs ātrāka.</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Galvenās Programmas ietvaros plānotās darbības ir izstrādāt noteikumus un metodes projektu partneriem, pielāgot informācijas sistēmu un organizēt apmācības potenciālajiem projektu pieteicējiem/ projektu partneriem.</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Precīzas vienotās likmes būs balstītas uz Programmas ietvaros veiktajiem aprēķiniem. Plānots, ka šī uzdevuma darbības laika posms sāksies pirms pirmā projektu konkursa izsludināšanas. </w:t>
      </w:r>
    </w:p>
    <w:p w:rsidR="00DB6FDE" w:rsidRPr="00BA5839" w:rsidRDefault="00DB6FDE" w:rsidP="00E302F6">
      <w:pPr>
        <w:spacing w:before="120" w:line="240" w:lineRule="auto"/>
        <w:ind w:right="-432"/>
        <w:rPr>
          <w:rFonts w:ascii="Times New Roman" w:hAnsi="Times New Roman"/>
          <w:b/>
          <w:u w:val="single"/>
          <w:lang w:val="lv-LV"/>
        </w:rPr>
      </w:pPr>
      <w:r w:rsidRPr="00BA5839">
        <w:rPr>
          <w:rFonts w:ascii="Times New Roman" w:hAnsi="Times New Roman"/>
          <w:b/>
          <w:u w:val="single"/>
          <w:lang w:val="lv-LV"/>
        </w:rPr>
        <w:t>Citi instrumenti</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Papildus Programmas ietvaros tiks ņemtas vērā un veiktas darbības, lai samazinātu administratīvo slogu projektu līmenī. Iespējām, kas tiks izskatītas katra projektu konkursa ietvaros, būs nepieciešams atbilstošs UK lēmums (iekļauts Programmas rokasgrāmatā) un var ietvert (bet ne tikai):</w:t>
      </w:r>
    </w:p>
    <w:p w:rsidR="00DB6FDE" w:rsidRPr="00BA5839" w:rsidRDefault="00DB6FDE" w:rsidP="00E302F6">
      <w:pPr>
        <w:pStyle w:val="ListParagraph"/>
        <w:numPr>
          <w:ilvl w:val="0"/>
          <w:numId w:val="14"/>
        </w:numPr>
        <w:spacing w:before="120" w:line="240" w:lineRule="auto"/>
        <w:ind w:right="-432"/>
        <w:rPr>
          <w:rFonts w:ascii="Times New Roman" w:hAnsi="Times New Roman"/>
          <w:lang w:val="lv-LV"/>
        </w:rPr>
      </w:pPr>
      <w:r w:rsidRPr="00BA5839">
        <w:rPr>
          <w:rFonts w:ascii="Times New Roman" w:hAnsi="Times New Roman"/>
          <w:lang w:val="lv-LV"/>
        </w:rPr>
        <w:t>priekšmaksājumus;</w:t>
      </w:r>
    </w:p>
    <w:p w:rsidR="00DB6FDE" w:rsidRPr="00BA5839" w:rsidRDefault="00DB6FDE" w:rsidP="00E302F6">
      <w:pPr>
        <w:pStyle w:val="ListParagraph"/>
        <w:numPr>
          <w:ilvl w:val="0"/>
          <w:numId w:val="14"/>
        </w:numPr>
        <w:spacing w:before="120" w:line="240" w:lineRule="auto"/>
        <w:ind w:right="-432"/>
        <w:rPr>
          <w:rFonts w:ascii="Times New Roman" w:hAnsi="Times New Roman"/>
          <w:lang w:val="lv-LV"/>
        </w:rPr>
      </w:pPr>
      <w:r w:rsidRPr="00BA5839">
        <w:rPr>
          <w:rFonts w:ascii="Times New Roman" w:hAnsi="Times New Roman"/>
          <w:lang w:val="lv-LV"/>
        </w:rPr>
        <w:t xml:space="preserve">projekta budžeta elastīgumu (noteiktu procentuālo apmēru, par kuru atskaitīties dažādās darba pakās/ budžeta līnijās bez iepriekšēja akcepta utt.); </w:t>
      </w:r>
    </w:p>
    <w:p w:rsidR="00DB6FDE" w:rsidRPr="00BA5839" w:rsidRDefault="00DB6FDE" w:rsidP="00E302F6">
      <w:pPr>
        <w:pStyle w:val="ListParagraph"/>
        <w:numPr>
          <w:ilvl w:val="0"/>
          <w:numId w:val="14"/>
        </w:numPr>
        <w:spacing w:before="120" w:line="240" w:lineRule="auto"/>
        <w:ind w:right="-432"/>
        <w:rPr>
          <w:rFonts w:ascii="Times New Roman" w:hAnsi="Times New Roman"/>
          <w:lang w:val="lv-LV"/>
        </w:rPr>
      </w:pPr>
      <w:r w:rsidRPr="00BA5839">
        <w:rPr>
          <w:rFonts w:ascii="Times New Roman" w:hAnsi="Times New Roman"/>
          <w:lang w:val="lv-LV"/>
        </w:rPr>
        <w:t>vienkāršotu izmaiņu veikšanas procedūru apstiprināto projektu ietvaros.</w:t>
      </w:r>
    </w:p>
    <w:p w:rsidR="00DB6FDE" w:rsidRDefault="00DB6FDE" w:rsidP="00E302F6">
      <w:pPr>
        <w:spacing w:before="120" w:line="240" w:lineRule="auto"/>
        <w:ind w:right="-432"/>
        <w:jc w:val="left"/>
        <w:rPr>
          <w:rFonts w:ascii="Times New Roman" w:hAnsi="Times New Roman"/>
          <w:lang w:val="lv-LV"/>
        </w:rPr>
      </w:pPr>
    </w:p>
    <w:p w:rsidR="00BA5839" w:rsidRDefault="00BA5839" w:rsidP="00E302F6">
      <w:pPr>
        <w:spacing w:before="120" w:line="240" w:lineRule="auto"/>
        <w:ind w:right="-432"/>
        <w:jc w:val="left"/>
        <w:rPr>
          <w:rFonts w:ascii="Times New Roman" w:hAnsi="Times New Roman"/>
          <w:lang w:val="lv-LV"/>
        </w:rPr>
      </w:pPr>
    </w:p>
    <w:p w:rsidR="00BA5839" w:rsidRDefault="00BA5839" w:rsidP="00E302F6">
      <w:pPr>
        <w:spacing w:before="120" w:line="240" w:lineRule="auto"/>
        <w:ind w:right="-432"/>
        <w:jc w:val="left"/>
        <w:rPr>
          <w:rFonts w:ascii="Times New Roman" w:hAnsi="Times New Roman"/>
          <w:lang w:val="lv-LV"/>
        </w:rPr>
      </w:pPr>
    </w:p>
    <w:p w:rsidR="00BA5839" w:rsidRDefault="00BA5839"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E302F6" w:rsidRDefault="00E302F6" w:rsidP="00E302F6">
      <w:pPr>
        <w:spacing w:before="120" w:line="240" w:lineRule="auto"/>
        <w:ind w:right="-432"/>
        <w:jc w:val="left"/>
        <w:rPr>
          <w:rFonts w:ascii="Times New Roman" w:hAnsi="Times New Roman"/>
          <w:lang w:val="lv-LV"/>
        </w:rPr>
      </w:pPr>
    </w:p>
    <w:p w:rsidR="00BA5839" w:rsidRDefault="00BA5839" w:rsidP="00E302F6">
      <w:pPr>
        <w:spacing w:before="120" w:line="240" w:lineRule="auto"/>
        <w:ind w:right="-432"/>
        <w:jc w:val="left"/>
        <w:rPr>
          <w:rFonts w:ascii="Times New Roman" w:hAnsi="Times New Roman"/>
          <w:lang w:val="lv-LV"/>
        </w:rPr>
      </w:pPr>
    </w:p>
    <w:p w:rsidR="00BA5839" w:rsidRDefault="00BA5839" w:rsidP="00E302F6">
      <w:pPr>
        <w:spacing w:before="120" w:line="240" w:lineRule="auto"/>
        <w:ind w:right="-432"/>
        <w:jc w:val="left"/>
        <w:rPr>
          <w:sz w:val="20"/>
          <w:szCs w:val="20"/>
          <w:lang w:val="lv-LV"/>
        </w:rPr>
      </w:pPr>
    </w:p>
    <w:p w:rsidR="00DB6FDE" w:rsidRPr="00E148C9" w:rsidRDefault="00DB6FDE" w:rsidP="00736F69">
      <w:pPr>
        <w:pStyle w:val="Heading1"/>
      </w:pPr>
      <w:bookmarkStart w:id="260" w:name="_Toc384383745"/>
      <w:r w:rsidRPr="00E148C9">
        <w:lastRenderedPageBreak/>
        <w:t>8. NODAĻA:</w:t>
      </w:r>
      <w:r w:rsidRPr="00E148C9">
        <w:br/>
        <w:t>HORIZONTĀLIE PRINCIPI</w:t>
      </w:r>
      <w:bookmarkEnd w:id="260"/>
    </w:p>
    <w:p w:rsidR="00DB6FDE" w:rsidRPr="00197F9C" w:rsidRDefault="00432940" w:rsidP="00D66FB7">
      <w:pPr>
        <w:pStyle w:val="Heading2"/>
        <w:rPr>
          <w:lang w:val="lv-LV"/>
        </w:rPr>
      </w:pPr>
      <w:bookmarkStart w:id="261" w:name="_Toc384383746"/>
      <w:r w:rsidRPr="00432940">
        <w:rPr>
          <w:lang w:val="lv-LV"/>
        </w:rPr>
        <w:t>8.1. Ilgtspējīga attīstība</w:t>
      </w:r>
      <w:bookmarkEnd w:id="261"/>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Programma sekmē ilgtspējīgu un saistītu sociālekonomisko attīstību pierobežas reģionā, padarot to konkurētspējīgāku ekonomiskajai un uzņēmējdarbības attīstībai, kā pievilcīgāku vietu dzīvošanai, strādāšanai un apmeklēšanai. Ilgtspējīga attīstība Programmas teritorijā ietver šādas ekonomiskās, sociālās un vides sfēras:</w:t>
      </w:r>
    </w:p>
    <w:p w:rsidR="00DB6FDE" w:rsidRPr="00BA5839" w:rsidRDefault="00DB6FDE" w:rsidP="00E302F6">
      <w:pPr>
        <w:numPr>
          <w:ilvl w:val="0"/>
          <w:numId w:val="15"/>
        </w:numPr>
        <w:tabs>
          <w:tab w:val="left" w:pos="720"/>
        </w:tabs>
        <w:spacing w:before="120" w:line="240" w:lineRule="auto"/>
        <w:ind w:right="-432"/>
        <w:rPr>
          <w:rFonts w:ascii="Times New Roman" w:hAnsi="Times New Roman"/>
          <w:lang w:val="lv-LV"/>
        </w:rPr>
      </w:pPr>
      <w:r w:rsidRPr="00BA5839">
        <w:rPr>
          <w:rFonts w:ascii="Times New Roman" w:hAnsi="Times New Roman"/>
          <w:lang w:val="lv-LV"/>
        </w:rPr>
        <w:t>droša un veselīga dzīve pašreizējām un turpmākām paaudzēm;</w:t>
      </w:r>
    </w:p>
    <w:p w:rsidR="00DB6FDE" w:rsidRPr="00BA5839" w:rsidRDefault="00DB6FDE" w:rsidP="00E302F6">
      <w:pPr>
        <w:numPr>
          <w:ilvl w:val="0"/>
          <w:numId w:val="15"/>
        </w:numPr>
        <w:tabs>
          <w:tab w:val="left" w:pos="720"/>
        </w:tabs>
        <w:spacing w:before="120" w:line="240" w:lineRule="auto"/>
        <w:ind w:right="-432"/>
        <w:rPr>
          <w:rFonts w:ascii="Times New Roman" w:hAnsi="Times New Roman"/>
          <w:lang w:val="lv-LV"/>
        </w:rPr>
      </w:pPr>
      <w:r w:rsidRPr="00BA5839">
        <w:rPr>
          <w:rFonts w:ascii="Times New Roman" w:hAnsi="Times New Roman"/>
          <w:lang w:val="lv-LV"/>
        </w:rPr>
        <w:t>kooperatīva un veiksmīga ekonomika un sabiedrība visiem;</w:t>
      </w:r>
    </w:p>
    <w:p w:rsidR="00DB6FDE" w:rsidRPr="00BA5839" w:rsidRDefault="00DB6FDE" w:rsidP="00E302F6">
      <w:pPr>
        <w:numPr>
          <w:ilvl w:val="0"/>
          <w:numId w:val="15"/>
        </w:numPr>
        <w:tabs>
          <w:tab w:val="left" w:pos="720"/>
        </w:tabs>
        <w:spacing w:before="120" w:line="240" w:lineRule="auto"/>
        <w:ind w:right="-432"/>
        <w:rPr>
          <w:rFonts w:ascii="Times New Roman" w:hAnsi="Times New Roman"/>
          <w:lang w:val="lv-LV"/>
        </w:rPr>
      </w:pPr>
      <w:r w:rsidRPr="00BA5839">
        <w:rPr>
          <w:rFonts w:ascii="Times New Roman" w:hAnsi="Times New Roman"/>
          <w:lang w:val="lv-LV"/>
        </w:rPr>
        <w:t>apdomīga un efektīva dabas un atjaunojamo dabas resursu izmantošana un apsaimniekošana;</w:t>
      </w:r>
    </w:p>
    <w:p w:rsidR="00DB6FDE" w:rsidRPr="00BA5839" w:rsidRDefault="00DB6FDE" w:rsidP="00E302F6">
      <w:pPr>
        <w:numPr>
          <w:ilvl w:val="0"/>
          <w:numId w:val="15"/>
        </w:numPr>
        <w:tabs>
          <w:tab w:val="left" w:pos="720"/>
        </w:tabs>
        <w:spacing w:before="120" w:line="240" w:lineRule="auto"/>
        <w:ind w:right="-432"/>
        <w:rPr>
          <w:rFonts w:ascii="Times New Roman" w:hAnsi="Times New Roman"/>
          <w:lang w:val="lv-LV"/>
        </w:rPr>
      </w:pPr>
      <w:r w:rsidRPr="00BA5839">
        <w:rPr>
          <w:rFonts w:ascii="Times New Roman" w:hAnsi="Times New Roman"/>
          <w:lang w:val="lv-LV"/>
        </w:rPr>
        <w:t>izpratnes veicināšana augstā līmenī visos sabiedrības līmeņos par elementiem un procesiem, ar ko tiek sekmēts ilgtspējīgums;</w:t>
      </w:r>
    </w:p>
    <w:p w:rsidR="00DB6FDE" w:rsidRPr="00BA5839" w:rsidRDefault="00DB6FDE" w:rsidP="00E302F6">
      <w:pPr>
        <w:numPr>
          <w:ilvl w:val="0"/>
          <w:numId w:val="15"/>
        </w:numPr>
        <w:tabs>
          <w:tab w:val="left" w:pos="720"/>
        </w:tabs>
        <w:spacing w:before="120" w:line="240" w:lineRule="auto"/>
        <w:ind w:right="-432"/>
        <w:rPr>
          <w:rFonts w:ascii="Times New Roman" w:hAnsi="Times New Roman"/>
          <w:lang w:val="lv-LV"/>
        </w:rPr>
      </w:pPr>
      <w:r w:rsidRPr="00BA5839">
        <w:rPr>
          <w:rFonts w:ascii="Times New Roman" w:hAnsi="Times New Roman"/>
          <w:lang w:val="lv-LV"/>
        </w:rPr>
        <w:t xml:space="preserve">ilgtspējīgs transports. </w:t>
      </w:r>
    </w:p>
    <w:p w:rsidR="00DB6FDE" w:rsidRPr="00BA5839" w:rsidRDefault="00DB6FDE" w:rsidP="00E302F6">
      <w:pPr>
        <w:spacing w:before="120" w:line="240" w:lineRule="auto"/>
        <w:ind w:right="-432"/>
        <w:rPr>
          <w:rFonts w:ascii="Times New Roman" w:hAnsi="Times New Roman"/>
          <w:lang w:val="lv-LV" w:eastAsia="en-GB"/>
        </w:rPr>
      </w:pPr>
      <w:r w:rsidRPr="00BA5839">
        <w:rPr>
          <w:rFonts w:ascii="Times New Roman" w:hAnsi="Times New Roman"/>
          <w:lang w:val="lv-LV" w:eastAsia="en-GB"/>
        </w:rPr>
        <w:t>Programma palīdzēs nodrošināt dzīves kvalitātes ilgtermiņa uzlabojumus, radot ilgtspējīgas kopienas, kas var efektīvi un apdomīgi apsaimniekot un izmantot resursus, pilnībā izmantot ekonomikas ekoloģisko un sociālo inovāciju potenciālu un, visbeidzot, nodrošināt uzlabotu labklājību, vides aizsardzību un sociālo kohēziju ilgtermiņā.</w:t>
      </w:r>
    </w:p>
    <w:p w:rsidR="00DB6FDE" w:rsidRPr="00BA5839" w:rsidRDefault="00DB6FDE" w:rsidP="00E302F6">
      <w:pPr>
        <w:spacing w:before="120" w:line="240" w:lineRule="auto"/>
        <w:ind w:right="-432"/>
        <w:rPr>
          <w:rFonts w:ascii="Times New Roman" w:hAnsi="Times New Roman"/>
          <w:i/>
          <w:lang w:val="lv-LV"/>
        </w:rPr>
      </w:pPr>
      <w:r w:rsidRPr="00BA5839">
        <w:rPr>
          <w:rFonts w:ascii="Times New Roman" w:hAnsi="Times New Roman"/>
          <w:lang w:val="lv-LV"/>
        </w:rPr>
        <w:t>Ilgtspējīga attīstība Programmas īstenošanas laikā tiks ņemta vērā kā horizontālais princips. Programmas ietvaros finansētajiem projektiem būs nepieciešams ņemt vērā un demonstrēt to ieguldījumu ilgtspējīguma principa (ekonomiskajā, sociālajā, ekoloģiskajā un kultūras sfērā) veicināšanā. Kur vien iespējams, projektu pieteicēji tiks lūgti nodrošināt vides un telpiskās ietekmes novērtējumus. Tie tiks uzraudzīti Programmas ietvaros. Programmas izvēles kritēriji attiecībā uz ilgtspējīgu attīstību tiks aprakstīti Programmas rokasgrāmatā.</w:t>
      </w:r>
    </w:p>
    <w:p w:rsidR="00DB6FDE" w:rsidRPr="00BA5839" w:rsidRDefault="00DB6FDE" w:rsidP="00E302F6">
      <w:pPr>
        <w:spacing w:before="120" w:line="240" w:lineRule="auto"/>
        <w:ind w:right="-432"/>
        <w:rPr>
          <w:rFonts w:ascii="Times New Roman" w:hAnsi="Times New Roman"/>
          <w:b/>
          <w:lang w:val="lv-LV"/>
        </w:rPr>
      </w:pPr>
    </w:p>
    <w:p w:rsidR="00DB6FDE" w:rsidRPr="00197F9C" w:rsidRDefault="00432940" w:rsidP="00D66FB7">
      <w:pPr>
        <w:pStyle w:val="Heading2"/>
        <w:rPr>
          <w:lang w:val="lv-LV"/>
        </w:rPr>
      </w:pPr>
      <w:bookmarkStart w:id="262" w:name="_Toc384383747"/>
      <w:r w:rsidRPr="00432940">
        <w:rPr>
          <w:lang w:val="lv-LV"/>
        </w:rPr>
        <w:t xml:space="preserve">8.2. Vienlīdzīgas iespējas un </w:t>
      </w:r>
      <w:bookmarkEnd w:id="262"/>
      <w:r w:rsidRPr="00432940">
        <w:rPr>
          <w:lang w:val="lv-LV"/>
        </w:rPr>
        <w:t>nediskriminācija</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 xml:space="preserve">Šīs horizontālās prioritātes mērķis ir ne tikai nodrošināt </w:t>
      </w:r>
      <w:r w:rsidR="002E417D">
        <w:rPr>
          <w:rFonts w:ascii="Times New Roman" w:hAnsi="Times New Roman"/>
          <w:lang w:val="lv-LV"/>
        </w:rPr>
        <w:t>vienlīdzīgas</w:t>
      </w:r>
      <w:r w:rsidR="002E417D" w:rsidRPr="00BA5839">
        <w:rPr>
          <w:rFonts w:ascii="Times New Roman" w:hAnsi="Times New Roman"/>
          <w:lang w:val="lv-LV"/>
        </w:rPr>
        <w:t xml:space="preserve"> </w:t>
      </w:r>
      <w:r w:rsidRPr="00BA5839">
        <w:rPr>
          <w:rFonts w:ascii="Times New Roman" w:hAnsi="Times New Roman"/>
          <w:lang w:val="lv-LV"/>
        </w:rPr>
        <w:t xml:space="preserve">iespējas vīriešiem un sievietēm, bet arī </w:t>
      </w:r>
      <w:r w:rsidR="00A670E7">
        <w:rPr>
          <w:rFonts w:ascii="Times New Roman" w:hAnsi="Times New Roman"/>
          <w:lang w:val="lv-LV"/>
        </w:rPr>
        <w:t>vienlīdzīgu</w:t>
      </w:r>
      <w:r w:rsidR="00A670E7" w:rsidRPr="00BA5839">
        <w:rPr>
          <w:rFonts w:ascii="Times New Roman" w:hAnsi="Times New Roman"/>
          <w:lang w:val="lv-LV"/>
        </w:rPr>
        <w:t xml:space="preserve"> </w:t>
      </w:r>
      <w:r w:rsidRPr="00BA5839">
        <w:rPr>
          <w:rFonts w:ascii="Times New Roman" w:hAnsi="Times New Roman"/>
          <w:lang w:val="lv-LV"/>
        </w:rPr>
        <w:t xml:space="preserve">piekļuvi jaunām iespējām visiem cilvēkiem, it īpaši </w:t>
      </w:r>
      <w:r w:rsidR="00A670E7">
        <w:rPr>
          <w:rFonts w:ascii="Times New Roman" w:hAnsi="Times New Roman"/>
          <w:lang w:val="lv-LV"/>
        </w:rPr>
        <w:t xml:space="preserve">sociālās atstumtības riskam </w:t>
      </w:r>
      <w:r w:rsidR="000E5CA8">
        <w:rPr>
          <w:rFonts w:ascii="Times New Roman" w:hAnsi="Times New Roman"/>
          <w:lang w:val="lv-LV"/>
        </w:rPr>
        <w:t>pakļautajām</w:t>
      </w:r>
      <w:r w:rsidR="000E5CA8" w:rsidRPr="00BA5839">
        <w:rPr>
          <w:rFonts w:ascii="Times New Roman" w:hAnsi="Times New Roman"/>
          <w:lang w:val="lv-LV"/>
        </w:rPr>
        <w:t xml:space="preserve"> </w:t>
      </w:r>
      <w:r w:rsidRPr="00BA5839">
        <w:rPr>
          <w:rFonts w:ascii="Times New Roman" w:hAnsi="Times New Roman"/>
          <w:lang w:val="lv-LV"/>
        </w:rPr>
        <w:t>grup</w:t>
      </w:r>
      <w:r w:rsidR="000E5CA8">
        <w:rPr>
          <w:rFonts w:ascii="Times New Roman" w:hAnsi="Times New Roman"/>
          <w:lang w:val="lv-LV"/>
        </w:rPr>
        <w:t>ām</w:t>
      </w:r>
      <w:r w:rsidRPr="00BA5839">
        <w:rPr>
          <w:rFonts w:ascii="Times New Roman" w:hAnsi="Times New Roman"/>
          <w:lang w:val="lv-LV"/>
        </w:rPr>
        <w:t xml:space="preserve">. </w:t>
      </w:r>
      <w:r w:rsidR="00A670E7">
        <w:rPr>
          <w:rFonts w:ascii="Times New Roman" w:hAnsi="Times New Roman"/>
          <w:lang w:val="lv-LV"/>
        </w:rPr>
        <w:t xml:space="preserve">Vienlīdzīgu </w:t>
      </w:r>
      <w:r w:rsidRPr="00BA5839">
        <w:rPr>
          <w:rFonts w:ascii="Times New Roman" w:hAnsi="Times New Roman"/>
          <w:lang w:val="lv-LV"/>
        </w:rPr>
        <w:t xml:space="preserve">iespēju </w:t>
      </w:r>
      <w:r w:rsidR="00953AA5">
        <w:rPr>
          <w:rFonts w:ascii="Times New Roman" w:hAnsi="Times New Roman"/>
          <w:lang w:val="lv-LV"/>
        </w:rPr>
        <w:t xml:space="preserve">princips tiks ievērots gan izveidojot </w:t>
      </w:r>
      <w:r w:rsidRPr="00BA5839">
        <w:rPr>
          <w:rFonts w:ascii="Times New Roman" w:hAnsi="Times New Roman"/>
          <w:lang w:val="lv-LV"/>
        </w:rPr>
        <w:t xml:space="preserve">infrastruktūru, </w:t>
      </w:r>
      <w:r w:rsidR="00953AA5">
        <w:rPr>
          <w:rFonts w:ascii="Times New Roman" w:hAnsi="Times New Roman"/>
          <w:lang w:val="lv-LV"/>
        </w:rPr>
        <w:t xml:space="preserve">gan nodrošinot iespēju cilvēkiem Programmas reģionos </w:t>
      </w:r>
      <w:r w:rsidRPr="00BA5839">
        <w:rPr>
          <w:rFonts w:ascii="Times New Roman" w:hAnsi="Times New Roman"/>
          <w:lang w:val="lv-LV"/>
        </w:rPr>
        <w:t>piedalīties izglītīb</w:t>
      </w:r>
      <w:r w:rsidR="00953AA5">
        <w:rPr>
          <w:rFonts w:ascii="Times New Roman" w:hAnsi="Times New Roman"/>
          <w:lang w:val="lv-LV"/>
        </w:rPr>
        <w:t>as</w:t>
      </w:r>
      <w:r w:rsidRPr="00BA5839">
        <w:rPr>
          <w:rFonts w:ascii="Times New Roman" w:hAnsi="Times New Roman"/>
          <w:lang w:val="lv-LV"/>
        </w:rPr>
        <w:t xml:space="preserve"> un apmācīb</w:t>
      </w:r>
      <w:r w:rsidR="00953AA5">
        <w:rPr>
          <w:rFonts w:ascii="Times New Roman" w:hAnsi="Times New Roman"/>
          <w:lang w:val="lv-LV"/>
        </w:rPr>
        <w:t>u</w:t>
      </w:r>
      <w:r w:rsidRPr="00BA5839">
        <w:rPr>
          <w:rFonts w:ascii="Times New Roman" w:hAnsi="Times New Roman"/>
          <w:lang w:val="lv-LV"/>
        </w:rPr>
        <w:t xml:space="preserve"> pasākumos</w:t>
      </w:r>
      <w:r w:rsidR="0091473F">
        <w:rPr>
          <w:rFonts w:ascii="Times New Roman" w:hAnsi="Times New Roman"/>
          <w:lang w:val="lv-LV"/>
        </w:rPr>
        <w:t xml:space="preserve">, </w:t>
      </w:r>
      <w:r w:rsidRPr="00BA5839">
        <w:rPr>
          <w:rFonts w:ascii="Times New Roman" w:hAnsi="Times New Roman"/>
          <w:lang w:val="lv-LV"/>
        </w:rPr>
        <w:t>uzlabo</w:t>
      </w:r>
      <w:r w:rsidR="00953AA5">
        <w:rPr>
          <w:rFonts w:ascii="Times New Roman" w:hAnsi="Times New Roman"/>
          <w:lang w:val="lv-LV"/>
        </w:rPr>
        <w:t>t</w:t>
      </w:r>
      <w:r w:rsidRPr="00BA5839">
        <w:rPr>
          <w:rFonts w:ascii="Times New Roman" w:hAnsi="Times New Roman"/>
          <w:lang w:val="lv-LV"/>
        </w:rPr>
        <w:t xml:space="preserve"> esošās un apgū</w:t>
      </w:r>
      <w:r w:rsidR="00953AA5">
        <w:rPr>
          <w:rFonts w:ascii="Times New Roman" w:hAnsi="Times New Roman"/>
          <w:lang w:val="lv-LV"/>
        </w:rPr>
        <w:t>t</w:t>
      </w:r>
      <w:r w:rsidRPr="00BA5839">
        <w:rPr>
          <w:rFonts w:ascii="Times New Roman" w:hAnsi="Times New Roman"/>
          <w:lang w:val="lv-LV"/>
        </w:rPr>
        <w:t xml:space="preserve"> jaunas prasmes, kā arī saņemt jebkuru citu tiešu vai netiešu palīdzību, lai turpinātu vai sāktu aktīvi piedalīties ekonomiskajā un sociālajā dzīvē.</w:t>
      </w:r>
    </w:p>
    <w:p w:rsidR="00DB6FDE" w:rsidRPr="000E5CA8" w:rsidRDefault="00DB6FDE" w:rsidP="00E302F6">
      <w:pPr>
        <w:pStyle w:val="CommentText"/>
        <w:spacing w:before="120" w:line="240" w:lineRule="auto"/>
        <w:ind w:right="-432"/>
        <w:rPr>
          <w:sz w:val="24"/>
          <w:szCs w:val="24"/>
          <w:lang w:val="lv-LV"/>
        </w:rPr>
      </w:pPr>
      <w:r w:rsidRPr="000E5CA8">
        <w:rPr>
          <w:sz w:val="24"/>
          <w:szCs w:val="24"/>
          <w:lang w:val="lv-LV"/>
        </w:rPr>
        <w:t>Tādējādi Programma nodrošinā</w:t>
      </w:r>
      <w:r w:rsidR="001D5C98" w:rsidRPr="000E5CA8">
        <w:rPr>
          <w:sz w:val="24"/>
          <w:szCs w:val="24"/>
          <w:lang w:val="lv-LV"/>
        </w:rPr>
        <w:t>s</w:t>
      </w:r>
      <w:r w:rsidRPr="000E5CA8">
        <w:rPr>
          <w:sz w:val="24"/>
          <w:szCs w:val="24"/>
          <w:lang w:val="lv-LV"/>
        </w:rPr>
        <w:t xml:space="preserve"> </w:t>
      </w:r>
      <w:r w:rsidR="002E417D" w:rsidRPr="000E5CA8">
        <w:rPr>
          <w:sz w:val="24"/>
          <w:szCs w:val="24"/>
          <w:lang w:val="lv-LV"/>
        </w:rPr>
        <w:t xml:space="preserve">vienlīdzīgas </w:t>
      </w:r>
      <w:r w:rsidRPr="000E5CA8">
        <w:rPr>
          <w:sz w:val="24"/>
          <w:szCs w:val="24"/>
          <w:lang w:val="lv-LV"/>
        </w:rPr>
        <w:t xml:space="preserve">iespējas </w:t>
      </w:r>
      <w:r w:rsidR="00A670E7" w:rsidRPr="000E5CA8">
        <w:rPr>
          <w:sz w:val="24"/>
          <w:szCs w:val="24"/>
          <w:lang w:val="lv-LV"/>
        </w:rPr>
        <w:t xml:space="preserve">sociālās atstumtības riskam pakļautajām </w:t>
      </w:r>
      <w:r w:rsidRPr="000E5CA8">
        <w:rPr>
          <w:sz w:val="24"/>
          <w:szCs w:val="24"/>
          <w:lang w:val="lv-LV"/>
        </w:rPr>
        <w:t xml:space="preserve">grupām piedalīties dažādos </w:t>
      </w:r>
      <w:r w:rsidR="005C5ECB" w:rsidRPr="000E5CA8">
        <w:rPr>
          <w:sz w:val="24"/>
          <w:szCs w:val="24"/>
          <w:lang w:val="lv-LV"/>
        </w:rPr>
        <w:t xml:space="preserve">izglītības un citos </w:t>
      </w:r>
      <w:r w:rsidRPr="000E5CA8">
        <w:rPr>
          <w:sz w:val="24"/>
          <w:szCs w:val="24"/>
          <w:lang w:val="lv-LV"/>
        </w:rPr>
        <w:t>pasākumos</w:t>
      </w:r>
      <w:r w:rsidR="005C5ECB" w:rsidRPr="000E5CA8">
        <w:rPr>
          <w:sz w:val="24"/>
          <w:szCs w:val="24"/>
          <w:lang w:val="lv-LV"/>
        </w:rPr>
        <w:t>, iegūt informāciju un zināšanas un tādā veidā veicinātu sociāli iekļaujošāku sabiedrību.</w:t>
      </w:r>
      <w:r w:rsidRPr="000E5CA8">
        <w:rPr>
          <w:sz w:val="24"/>
          <w:szCs w:val="24"/>
          <w:lang w:val="lv-LV"/>
        </w:rPr>
        <w:t xml:space="preserve"> Programmas </w:t>
      </w:r>
      <w:r w:rsidR="005C5ECB" w:rsidRPr="000E5CA8">
        <w:rPr>
          <w:sz w:val="24"/>
          <w:szCs w:val="24"/>
          <w:lang w:val="lv-LV"/>
        </w:rPr>
        <w:t xml:space="preserve">projekta ietvaros tiks atbalstītas arī </w:t>
      </w:r>
      <w:r w:rsidR="000E5CA8" w:rsidRPr="000E5CA8">
        <w:rPr>
          <w:sz w:val="24"/>
          <w:szCs w:val="24"/>
          <w:lang w:val="lv-LV"/>
        </w:rPr>
        <w:t xml:space="preserve">personas, kas ir pakļautas sociālās atstumtības riskam </w:t>
      </w:r>
      <w:r w:rsidR="005C5ECB" w:rsidRPr="000E5CA8">
        <w:rPr>
          <w:sz w:val="24"/>
          <w:szCs w:val="24"/>
          <w:lang w:val="lv-LV"/>
        </w:rPr>
        <w:t>,</w:t>
      </w:r>
      <w:r w:rsidRPr="000E5CA8">
        <w:rPr>
          <w:sz w:val="24"/>
          <w:szCs w:val="24"/>
          <w:lang w:val="lv-LV"/>
        </w:rPr>
        <w:t xml:space="preserve"> </w:t>
      </w:r>
      <w:r w:rsidR="0091473F" w:rsidRPr="000E5CA8">
        <w:rPr>
          <w:sz w:val="24"/>
          <w:szCs w:val="24"/>
          <w:lang w:val="lv-LV"/>
        </w:rPr>
        <w:t>neatkarīgi no</w:t>
      </w:r>
      <w:r w:rsidRPr="000E5CA8">
        <w:rPr>
          <w:sz w:val="24"/>
          <w:szCs w:val="24"/>
          <w:lang w:val="lv-LV"/>
        </w:rPr>
        <w:t xml:space="preserve"> dzimum</w:t>
      </w:r>
      <w:r w:rsidR="0091473F" w:rsidRPr="000E5CA8">
        <w:rPr>
          <w:sz w:val="24"/>
          <w:szCs w:val="24"/>
          <w:lang w:val="lv-LV"/>
        </w:rPr>
        <w:t>a</w:t>
      </w:r>
      <w:r w:rsidRPr="000E5CA8">
        <w:rPr>
          <w:sz w:val="24"/>
          <w:szCs w:val="24"/>
          <w:lang w:val="lv-LV"/>
        </w:rPr>
        <w:t>, ras</w:t>
      </w:r>
      <w:r w:rsidR="0091473F" w:rsidRPr="000E5CA8">
        <w:rPr>
          <w:sz w:val="24"/>
          <w:szCs w:val="24"/>
          <w:lang w:val="lv-LV"/>
        </w:rPr>
        <w:t>es</w:t>
      </w:r>
      <w:r w:rsidRPr="000E5CA8">
        <w:rPr>
          <w:sz w:val="24"/>
          <w:szCs w:val="24"/>
          <w:lang w:val="lv-LV"/>
        </w:rPr>
        <w:t xml:space="preserve"> vai etnisk</w:t>
      </w:r>
      <w:r w:rsidR="0091473F" w:rsidRPr="000E5CA8">
        <w:rPr>
          <w:sz w:val="24"/>
          <w:szCs w:val="24"/>
          <w:lang w:val="lv-LV"/>
        </w:rPr>
        <w:t>ās</w:t>
      </w:r>
      <w:r w:rsidRPr="000E5CA8">
        <w:rPr>
          <w:sz w:val="24"/>
          <w:szCs w:val="24"/>
          <w:lang w:val="lv-LV"/>
        </w:rPr>
        <w:t xml:space="preserve"> izcelsm</w:t>
      </w:r>
      <w:r w:rsidR="0091473F" w:rsidRPr="000E5CA8">
        <w:rPr>
          <w:sz w:val="24"/>
          <w:szCs w:val="24"/>
          <w:lang w:val="lv-LV"/>
        </w:rPr>
        <w:t>es</w:t>
      </w:r>
      <w:r w:rsidRPr="000E5CA8">
        <w:rPr>
          <w:sz w:val="24"/>
          <w:szCs w:val="24"/>
          <w:lang w:val="lv-LV"/>
        </w:rPr>
        <w:t>, reliģisk</w:t>
      </w:r>
      <w:r w:rsidR="0091473F" w:rsidRPr="000E5CA8">
        <w:rPr>
          <w:sz w:val="24"/>
          <w:szCs w:val="24"/>
          <w:lang w:val="lv-LV"/>
        </w:rPr>
        <w:t>ās</w:t>
      </w:r>
      <w:r w:rsidRPr="000E5CA8">
        <w:rPr>
          <w:sz w:val="24"/>
          <w:szCs w:val="24"/>
          <w:lang w:val="lv-LV"/>
        </w:rPr>
        <w:t xml:space="preserve"> </w:t>
      </w:r>
      <w:r w:rsidR="0091473F" w:rsidRPr="000E5CA8">
        <w:rPr>
          <w:sz w:val="24"/>
          <w:szCs w:val="24"/>
          <w:lang w:val="lv-LV"/>
        </w:rPr>
        <w:t xml:space="preserve">piederības </w:t>
      </w:r>
      <w:r w:rsidRPr="000E5CA8">
        <w:rPr>
          <w:sz w:val="24"/>
          <w:szCs w:val="24"/>
          <w:lang w:val="lv-LV"/>
        </w:rPr>
        <w:t xml:space="preserve">vai </w:t>
      </w:r>
      <w:r w:rsidR="0091473F" w:rsidRPr="000E5CA8">
        <w:rPr>
          <w:sz w:val="24"/>
          <w:szCs w:val="24"/>
          <w:lang w:val="lv-LV"/>
        </w:rPr>
        <w:t>uzskatiem</w:t>
      </w:r>
      <w:r w:rsidRPr="000E5CA8">
        <w:rPr>
          <w:sz w:val="24"/>
          <w:szCs w:val="24"/>
          <w:lang w:val="lv-LV"/>
        </w:rPr>
        <w:t xml:space="preserve">, </w:t>
      </w:r>
      <w:r w:rsidR="005C5ECB" w:rsidRPr="000E5CA8">
        <w:rPr>
          <w:sz w:val="24"/>
          <w:szCs w:val="24"/>
          <w:lang w:val="lv-LV"/>
        </w:rPr>
        <w:t>invaliditāt</w:t>
      </w:r>
      <w:r w:rsidR="0091473F" w:rsidRPr="000E5CA8">
        <w:rPr>
          <w:sz w:val="24"/>
          <w:szCs w:val="24"/>
          <w:lang w:val="lv-LV"/>
        </w:rPr>
        <w:t>es</w:t>
      </w:r>
      <w:r w:rsidRPr="000E5CA8">
        <w:rPr>
          <w:sz w:val="24"/>
          <w:szCs w:val="24"/>
          <w:lang w:val="lv-LV"/>
        </w:rPr>
        <w:t>, vecum</w:t>
      </w:r>
      <w:r w:rsidR="0091473F" w:rsidRPr="000E5CA8">
        <w:rPr>
          <w:sz w:val="24"/>
          <w:szCs w:val="24"/>
          <w:lang w:val="lv-LV"/>
        </w:rPr>
        <w:t>a</w:t>
      </w:r>
      <w:r w:rsidRPr="000E5CA8">
        <w:rPr>
          <w:sz w:val="24"/>
          <w:szCs w:val="24"/>
          <w:lang w:val="lv-LV"/>
        </w:rPr>
        <w:t xml:space="preserve"> vai seksuāl</w:t>
      </w:r>
      <w:r w:rsidR="0091473F" w:rsidRPr="000E5CA8">
        <w:rPr>
          <w:sz w:val="24"/>
          <w:szCs w:val="24"/>
          <w:lang w:val="lv-LV"/>
        </w:rPr>
        <w:t>ās</w:t>
      </w:r>
      <w:r w:rsidRPr="000E5CA8">
        <w:rPr>
          <w:sz w:val="24"/>
          <w:szCs w:val="24"/>
          <w:lang w:val="lv-LV"/>
        </w:rPr>
        <w:t xml:space="preserve"> orientācij</w:t>
      </w:r>
      <w:r w:rsidR="0091473F" w:rsidRPr="000E5CA8">
        <w:rPr>
          <w:sz w:val="24"/>
          <w:szCs w:val="24"/>
          <w:lang w:val="lv-LV"/>
        </w:rPr>
        <w:t>as</w:t>
      </w:r>
      <w:r w:rsidRPr="000E5CA8">
        <w:rPr>
          <w:sz w:val="24"/>
          <w:szCs w:val="24"/>
          <w:lang w:val="lv-LV"/>
        </w:rPr>
        <w:t>.</w:t>
      </w:r>
    </w:p>
    <w:p w:rsidR="00DB6FDE" w:rsidRPr="00BA5839" w:rsidRDefault="00DB6FDE" w:rsidP="00E302F6">
      <w:pPr>
        <w:spacing w:before="120" w:line="240" w:lineRule="auto"/>
        <w:ind w:right="-432"/>
        <w:rPr>
          <w:rFonts w:ascii="Times New Roman" w:hAnsi="Times New Roman"/>
          <w:lang w:val="lv-LV"/>
        </w:rPr>
      </w:pPr>
      <w:r w:rsidRPr="00BA5839">
        <w:rPr>
          <w:rFonts w:ascii="Times New Roman" w:hAnsi="Times New Roman"/>
          <w:lang w:val="lv-LV"/>
        </w:rPr>
        <w:t>Programmas ietvaros finansētās darbības jo īpaši sekmēs šīs sfēras:</w:t>
      </w:r>
    </w:p>
    <w:p w:rsidR="00DB6FDE" w:rsidRPr="00BA5839" w:rsidRDefault="00DB6FDE" w:rsidP="00E302F6">
      <w:pPr>
        <w:pStyle w:val="ListParagraph"/>
        <w:numPr>
          <w:ilvl w:val="0"/>
          <w:numId w:val="15"/>
        </w:numPr>
        <w:spacing w:before="120" w:line="240" w:lineRule="auto"/>
        <w:ind w:right="-432"/>
        <w:rPr>
          <w:rFonts w:ascii="Times New Roman" w:hAnsi="Times New Roman"/>
          <w:lang w:val="lv-LV"/>
        </w:rPr>
      </w:pPr>
      <w:r w:rsidRPr="00BA5839">
        <w:rPr>
          <w:rFonts w:ascii="Times New Roman" w:hAnsi="Times New Roman"/>
          <w:lang w:val="lv-LV"/>
        </w:rPr>
        <w:lastRenderedPageBreak/>
        <w:t xml:space="preserve">vienas vai vairāku tādu grupu interešu </w:t>
      </w:r>
      <w:r w:rsidR="005C5ECB">
        <w:rPr>
          <w:rFonts w:ascii="Times New Roman" w:hAnsi="Times New Roman"/>
          <w:lang w:val="lv-LV"/>
        </w:rPr>
        <w:t>aizstāvību</w:t>
      </w:r>
      <w:r w:rsidRPr="00BA5839">
        <w:rPr>
          <w:rFonts w:ascii="Times New Roman" w:hAnsi="Times New Roman"/>
          <w:lang w:val="lv-LV"/>
        </w:rPr>
        <w:t xml:space="preserve">, kas pakļautas diskriminācijas riskam, balstoties uz to dzimumu, etnisko izcelsmi vai rasi, reliģisko piederību vai uzskatiem, </w:t>
      </w:r>
      <w:r w:rsidR="005C5ECB">
        <w:rPr>
          <w:rFonts w:ascii="Times New Roman" w:hAnsi="Times New Roman"/>
          <w:lang w:val="lv-LV"/>
        </w:rPr>
        <w:t>invaliditāti</w:t>
      </w:r>
      <w:r w:rsidRPr="00BA5839">
        <w:rPr>
          <w:rFonts w:ascii="Times New Roman" w:hAnsi="Times New Roman"/>
          <w:lang w:val="lv-LV"/>
        </w:rPr>
        <w:t>, vecumu un seksuālo orientāciju;</w:t>
      </w:r>
    </w:p>
    <w:p w:rsidR="00DB6FDE" w:rsidRPr="00BA5839" w:rsidRDefault="000E5CA8" w:rsidP="00E302F6">
      <w:pPr>
        <w:pStyle w:val="ListParagraph"/>
        <w:numPr>
          <w:ilvl w:val="0"/>
          <w:numId w:val="15"/>
        </w:numPr>
        <w:spacing w:before="120" w:line="240" w:lineRule="auto"/>
        <w:ind w:right="-432"/>
        <w:rPr>
          <w:rFonts w:ascii="Times New Roman" w:hAnsi="Times New Roman"/>
          <w:lang w:val="lv-LV"/>
        </w:rPr>
      </w:pPr>
      <w:r>
        <w:rPr>
          <w:rFonts w:ascii="Times New Roman" w:hAnsi="Times New Roman"/>
          <w:lang w:val="lv-LV"/>
        </w:rPr>
        <w:t xml:space="preserve">sociālās </w:t>
      </w:r>
      <w:r w:rsidR="002E417D">
        <w:rPr>
          <w:rFonts w:ascii="Times New Roman" w:hAnsi="Times New Roman"/>
          <w:lang w:val="lv-LV"/>
        </w:rPr>
        <w:t>iekļaušanas</w:t>
      </w:r>
      <w:r w:rsidR="00DB6FDE" w:rsidRPr="00BA5839">
        <w:rPr>
          <w:rFonts w:ascii="Times New Roman" w:hAnsi="Times New Roman"/>
          <w:lang w:val="lv-LV"/>
        </w:rPr>
        <w:t xml:space="preserve"> un </w:t>
      </w:r>
      <w:r w:rsidR="00A670E7">
        <w:rPr>
          <w:rFonts w:ascii="Times New Roman" w:hAnsi="Times New Roman"/>
          <w:lang w:val="lv-LV"/>
        </w:rPr>
        <w:t>vienlīdzīgu</w:t>
      </w:r>
      <w:r w:rsidR="00A670E7" w:rsidRPr="00BA5839">
        <w:rPr>
          <w:rFonts w:ascii="Times New Roman" w:hAnsi="Times New Roman"/>
          <w:lang w:val="lv-LV"/>
        </w:rPr>
        <w:t xml:space="preserve"> </w:t>
      </w:r>
      <w:r w:rsidR="00DB6FDE" w:rsidRPr="00BA5839">
        <w:rPr>
          <w:rFonts w:ascii="Times New Roman" w:hAnsi="Times New Roman"/>
          <w:lang w:val="lv-LV"/>
        </w:rPr>
        <w:t>iespēju sekmēšana attiecībā uz nodarbinātību, izglītību u.c.</w:t>
      </w:r>
    </w:p>
    <w:p w:rsidR="000E5CA8" w:rsidRPr="000E5CA8" w:rsidRDefault="00DB6FDE" w:rsidP="00E302F6">
      <w:pPr>
        <w:pStyle w:val="PlainText"/>
        <w:spacing w:before="120" w:after="120"/>
        <w:ind w:right="-432"/>
        <w:jc w:val="both"/>
        <w:rPr>
          <w:rFonts w:ascii="Times New Roman" w:hAnsi="Times New Roman"/>
          <w:sz w:val="24"/>
          <w:szCs w:val="24"/>
        </w:rPr>
      </w:pPr>
      <w:r w:rsidRPr="000E5CA8">
        <w:rPr>
          <w:rFonts w:ascii="Times New Roman" w:hAnsi="Times New Roman"/>
          <w:sz w:val="24"/>
          <w:szCs w:val="24"/>
        </w:rPr>
        <w:t xml:space="preserve">Programmas finansēto projektu ietvaros tiks </w:t>
      </w:r>
      <w:r w:rsidR="000E5CA8" w:rsidRPr="000E5CA8">
        <w:rPr>
          <w:rFonts w:ascii="Times New Roman" w:hAnsi="Times New Roman"/>
          <w:sz w:val="24"/>
          <w:szCs w:val="24"/>
        </w:rPr>
        <w:t xml:space="preserve">veicināti </w:t>
      </w:r>
      <w:r w:rsidRPr="000E5CA8">
        <w:rPr>
          <w:rFonts w:ascii="Times New Roman" w:hAnsi="Times New Roman"/>
          <w:sz w:val="24"/>
          <w:szCs w:val="24"/>
        </w:rPr>
        <w:t xml:space="preserve">universālā dizaina </w:t>
      </w:r>
      <w:r w:rsidR="000E5CA8" w:rsidRPr="000E5CA8">
        <w:rPr>
          <w:rFonts w:ascii="Times New Roman" w:hAnsi="Times New Roman"/>
          <w:sz w:val="24"/>
          <w:szCs w:val="24"/>
        </w:rPr>
        <w:t>principi</w:t>
      </w:r>
      <w:r w:rsidRPr="000E5CA8">
        <w:rPr>
          <w:rFonts w:ascii="Times New Roman" w:hAnsi="Times New Roman"/>
          <w:sz w:val="24"/>
          <w:szCs w:val="24"/>
        </w:rPr>
        <w:t xml:space="preserve">, kas attiecināmi uz plašu ar vienlīdzību saistīto problēmu spektru, ieskaitot šo principu ievērošanu būvdarbu laikā, kā arī produktu un pakalpojumu attīstību. Specifiskas prasības saistībā ar universālo dizainu tiks aprakstītas Programmas rokasgrāmatā. </w:t>
      </w:r>
      <w:r w:rsidR="00F01BA6" w:rsidRPr="000E5CA8">
        <w:rPr>
          <w:rFonts w:ascii="Times New Roman" w:hAnsi="Times New Roman"/>
          <w:sz w:val="24"/>
          <w:szCs w:val="24"/>
        </w:rPr>
        <w:t>Atbilstoši projekta specifikai</w:t>
      </w:r>
      <w:r w:rsidRPr="000E5CA8">
        <w:rPr>
          <w:rFonts w:ascii="Times New Roman" w:hAnsi="Times New Roman"/>
          <w:sz w:val="24"/>
          <w:szCs w:val="24"/>
        </w:rPr>
        <w:t xml:space="preserve">, projektu </w:t>
      </w:r>
      <w:r w:rsidR="005C5ECB" w:rsidRPr="000E5CA8">
        <w:rPr>
          <w:rFonts w:ascii="Times New Roman" w:hAnsi="Times New Roman"/>
          <w:sz w:val="24"/>
          <w:szCs w:val="24"/>
        </w:rPr>
        <w:t>īstenotājiem būs</w:t>
      </w:r>
      <w:r w:rsidRPr="000E5CA8">
        <w:rPr>
          <w:rFonts w:ascii="Times New Roman" w:hAnsi="Times New Roman"/>
          <w:sz w:val="24"/>
          <w:szCs w:val="24"/>
        </w:rPr>
        <w:t xml:space="preserve"> </w:t>
      </w:r>
      <w:r w:rsidR="005C5ECB" w:rsidRPr="000E5CA8">
        <w:rPr>
          <w:rFonts w:ascii="Times New Roman" w:hAnsi="Times New Roman"/>
          <w:sz w:val="24"/>
          <w:szCs w:val="24"/>
        </w:rPr>
        <w:t xml:space="preserve">jāievēro </w:t>
      </w:r>
      <w:r w:rsidR="00A670E7" w:rsidRPr="000E5CA8">
        <w:rPr>
          <w:rFonts w:ascii="Times New Roman" w:hAnsi="Times New Roman"/>
          <w:sz w:val="24"/>
          <w:szCs w:val="24"/>
        </w:rPr>
        <w:t xml:space="preserve">vienlīdzīgu </w:t>
      </w:r>
      <w:r w:rsidRPr="000E5CA8">
        <w:rPr>
          <w:rFonts w:ascii="Times New Roman" w:hAnsi="Times New Roman"/>
          <w:sz w:val="24"/>
          <w:szCs w:val="24"/>
        </w:rPr>
        <w:t xml:space="preserve">iespēju un nediskriminācijas principu, kā arī </w:t>
      </w:r>
      <w:r w:rsidR="00F01BA6" w:rsidRPr="000E5CA8">
        <w:rPr>
          <w:rFonts w:ascii="Times New Roman" w:hAnsi="Times New Roman"/>
          <w:sz w:val="24"/>
          <w:szCs w:val="24"/>
        </w:rPr>
        <w:t>telpiskās ietekmes novērtējumus</w:t>
      </w:r>
      <w:r w:rsidRPr="000E5CA8">
        <w:rPr>
          <w:rFonts w:ascii="Times New Roman" w:hAnsi="Times New Roman"/>
          <w:sz w:val="24"/>
          <w:szCs w:val="24"/>
        </w:rPr>
        <w:t xml:space="preserve">. </w:t>
      </w:r>
    </w:p>
    <w:p w:rsidR="000E5CA8" w:rsidRPr="000E5CA8" w:rsidRDefault="000E5CA8" w:rsidP="00E302F6">
      <w:pPr>
        <w:pStyle w:val="PlainText"/>
        <w:spacing w:before="120" w:after="120"/>
        <w:ind w:right="-432"/>
        <w:jc w:val="both"/>
        <w:rPr>
          <w:rFonts w:ascii="Times New Roman" w:hAnsi="Times New Roman"/>
          <w:sz w:val="24"/>
          <w:szCs w:val="24"/>
        </w:rPr>
      </w:pPr>
      <w:r>
        <w:rPr>
          <w:rFonts w:ascii="Times New Roman" w:hAnsi="Times New Roman"/>
          <w:sz w:val="24"/>
          <w:szCs w:val="24"/>
        </w:rPr>
        <w:t xml:space="preserve">Programmu </w:t>
      </w:r>
      <w:r w:rsidRPr="000E5CA8">
        <w:rPr>
          <w:rFonts w:ascii="Times New Roman" w:hAnsi="Times New Roman"/>
          <w:sz w:val="24"/>
          <w:szCs w:val="24"/>
        </w:rPr>
        <w:t>īstenojošās</w:t>
      </w:r>
      <w:r>
        <w:rPr>
          <w:rFonts w:ascii="Times New Roman" w:hAnsi="Times New Roman"/>
          <w:sz w:val="24"/>
          <w:szCs w:val="24"/>
        </w:rPr>
        <w:t xml:space="preserve"> iestādes </w:t>
      </w:r>
      <w:r w:rsidRPr="000E5CA8">
        <w:rPr>
          <w:rFonts w:ascii="Times New Roman" w:hAnsi="Times New Roman"/>
          <w:sz w:val="24"/>
          <w:szCs w:val="24"/>
        </w:rPr>
        <w:t>noteiks attiecīgos vienlīdzī</w:t>
      </w:r>
      <w:r>
        <w:rPr>
          <w:rFonts w:ascii="Times New Roman" w:hAnsi="Times New Roman"/>
          <w:sz w:val="24"/>
          <w:szCs w:val="24"/>
        </w:rPr>
        <w:t>gu iespēju un nediskriminācijas</w:t>
      </w:r>
      <w:r w:rsidRPr="000E5CA8">
        <w:rPr>
          <w:rFonts w:ascii="Times New Roman" w:hAnsi="Times New Roman"/>
          <w:sz w:val="24"/>
          <w:szCs w:val="24"/>
        </w:rPr>
        <w:t xml:space="preserve"> horizontalā principa projektu vērtēšanas kritērijus, kā arī ieviešanas un pārraudzības procesus.</w:t>
      </w:r>
    </w:p>
    <w:p w:rsidR="00C63F2B" w:rsidRDefault="00C63F2B" w:rsidP="00E302F6">
      <w:pPr>
        <w:spacing w:before="120" w:line="240" w:lineRule="auto"/>
        <w:ind w:right="-432"/>
        <w:rPr>
          <w:rFonts w:ascii="Times New Roman" w:hAnsi="Times New Roman"/>
          <w:lang w:val="lv-LV"/>
        </w:rPr>
      </w:pPr>
    </w:p>
    <w:p w:rsidR="00BA5839" w:rsidRPr="00BA5839" w:rsidRDefault="00F01BA6" w:rsidP="00E302F6">
      <w:pPr>
        <w:spacing w:before="120" w:line="240" w:lineRule="auto"/>
        <w:ind w:right="-432"/>
        <w:rPr>
          <w:rFonts w:ascii="Times New Roman" w:hAnsi="Times New Roman"/>
          <w:lang w:val="lv-LV"/>
        </w:rPr>
      </w:pPr>
      <w:r w:rsidRPr="00C63F2B">
        <w:rPr>
          <w:rFonts w:ascii="Times New Roman" w:hAnsi="Times New Roman"/>
          <w:lang w:val="lv-LV"/>
        </w:rPr>
        <w:t xml:space="preserve">  </w:t>
      </w:r>
    </w:p>
    <w:p w:rsidR="00DB6FDE" w:rsidRPr="00197F9C" w:rsidRDefault="00432940" w:rsidP="00D66FB7">
      <w:pPr>
        <w:pStyle w:val="Heading2"/>
        <w:rPr>
          <w:lang w:val="lv-LV"/>
        </w:rPr>
      </w:pPr>
      <w:bookmarkStart w:id="263" w:name="_Toc384383748"/>
      <w:r w:rsidRPr="00432940">
        <w:rPr>
          <w:lang w:val="lv-LV"/>
        </w:rPr>
        <w:t>8.3. Vīriešu un sieviešu līdztiesība</w:t>
      </w:r>
      <w:bookmarkEnd w:id="263"/>
    </w:p>
    <w:p w:rsidR="00DB6FDE" w:rsidRPr="00C63F2B" w:rsidRDefault="002E417D" w:rsidP="00E302F6">
      <w:pPr>
        <w:spacing w:before="120" w:line="240" w:lineRule="auto"/>
        <w:ind w:right="-432"/>
        <w:rPr>
          <w:rFonts w:ascii="Times New Roman" w:hAnsi="Times New Roman"/>
          <w:lang w:val="lv-LV"/>
        </w:rPr>
      </w:pPr>
      <w:r w:rsidRPr="00C63F2B">
        <w:rPr>
          <w:rFonts w:ascii="Times New Roman" w:hAnsi="Times New Roman"/>
          <w:lang w:val="lv-LV"/>
        </w:rPr>
        <w:t xml:space="preserve">Vienlīdzīgas </w:t>
      </w:r>
      <w:r w:rsidR="00DB6FDE" w:rsidRPr="00C63F2B">
        <w:rPr>
          <w:rFonts w:ascii="Times New Roman" w:hAnsi="Times New Roman"/>
          <w:lang w:val="lv-LV"/>
        </w:rPr>
        <w:t xml:space="preserve">iespējas ir svarīgs Programmas stratēģiskā līmeņa mērķu elements. Īpaši tiek atzīti uzdevumi un pasākumi Programmas ietvaros, kas saistīti ar </w:t>
      </w:r>
      <w:r w:rsidR="00B81180" w:rsidRPr="00C63F2B">
        <w:rPr>
          <w:rFonts w:ascii="Times New Roman" w:hAnsi="Times New Roman"/>
          <w:lang w:val="lv-LV"/>
        </w:rPr>
        <w:t>vien</w:t>
      </w:r>
      <w:r w:rsidR="00B81180">
        <w:rPr>
          <w:rFonts w:ascii="Times New Roman" w:hAnsi="Times New Roman"/>
          <w:lang w:val="lv-LV"/>
        </w:rPr>
        <w:t>līdzīgām</w:t>
      </w:r>
      <w:r w:rsidR="00B81180" w:rsidRPr="00C63F2B">
        <w:rPr>
          <w:rFonts w:ascii="Times New Roman" w:hAnsi="Times New Roman"/>
          <w:lang w:val="lv-LV"/>
        </w:rPr>
        <w:t xml:space="preserve"> </w:t>
      </w:r>
      <w:r w:rsidR="00DB6FDE" w:rsidRPr="00C63F2B">
        <w:rPr>
          <w:rFonts w:ascii="Times New Roman" w:hAnsi="Times New Roman"/>
          <w:lang w:val="lv-LV"/>
        </w:rPr>
        <w:t>iespējām vīriešiem un sievietēm.</w:t>
      </w:r>
    </w:p>
    <w:p w:rsidR="00A26E87" w:rsidRDefault="00DB6FDE" w:rsidP="00E302F6">
      <w:pPr>
        <w:spacing w:before="120" w:line="240" w:lineRule="auto"/>
        <w:ind w:right="-432"/>
        <w:rPr>
          <w:rFonts w:ascii="Times New Roman" w:hAnsi="Times New Roman"/>
          <w:lang w:val="lv-LV"/>
        </w:rPr>
      </w:pPr>
      <w:r w:rsidRPr="00C63F2B">
        <w:rPr>
          <w:rFonts w:ascii="Times New Roman" w:hAnsi="Times New Roman"/>
          <w:lang w:val="lv-LV"/>
        </w:rPr>
        <w:t xml:space="preserve">Programmas atbalsts aptvers vairākas jomas, tādējādi nostiprinot dzimumu </w:t>
      </w:r>
      <w:r w:rsidR="002E417D" w:rsidRPr="00C63F2B">
        <w:rPr>
          <w:rFonts w:ascii="Times New Roman" w:hAnsi="Times New Roman"/>
          <w:lang w:val="lv-LV"/>
        </w:rPr>
        <w:t xml:space="preserve">līdztiesību </w:t>
      </w:r>
      <w:r w:rsidRPr="00C63F2B">
        <w:rPr>
          <w:rFonts w:ascii="Times New Roman" w:hAnsi="Times New Roman"/>
          <w:lang w:val="lv-LV"/>
        </w:rPr>
        <w:t xml:space="preserve">un nodrošinot </w:t>
      </w:r>
      <w:r w:rsidR="002E417D" w:rsidRPr="00C63F2B">
        <w:rPr>
          <w:rFonts w:ascii="Times New Roman" w:hAnsi="Times New Roman"/>
          <w:lang w:val="lv-LV"/>
        </w:rPr>
        <w:t xml:space="preserve">vienlīdzīgas </w:t>
      </w:r>
      <w:r w:rsidRPr="00C63F2B">
        <w:rPr>
          <w:rFonts w:ascii="Times New Roman" w:hAnsi="Times New Roman"/>
          <w:lang w:val="lv-LV"/>
        </w:rPr>
        <w:t xml:space="preserve">iespējas vīriešiem un sievietēm, kas ir ieinteresēti izglītības iegūšanā, kā arī prasmju un nodarbinātības uzlabošanā. </w:t>
      </w:r>
    </w:p>
    <w:p w:rsidR="00F40F83" w:rsidRPr="00C63F2B" w:rsidRDefault="005E242A" w:rsidP="00E302F6">
      <w:pPr>
        <w:spacing w:before="120" w:line="240" w:lineRule="auto"/>
        <w:ind w:right="-432"/>
        <w:rPr>
          <w:rFonts w:ascii="Times New Roman" w:hAnsi="Times New Roman"/>
          <w:lang w:val="lv-LV"/>
        </w:rPr>
      </w:pPr>
      <w:r w:rsidRPr="005E242A">
        <w:rPr>
          <w:rFonts w:ascii="Times New Roman" w:hAnsi="Times New Roman"/>
          <w:lang w:val="lv-LV"/>
        </w:rPr>
        <w:t>2007.–2013. gada Programmas</w:t>
      </w:r>
      <w:r>
        <w:rPr>
          <w:rFonts w:ascii="Times New Roman" w:hAnsi="Times New Roman"/>
          <w:u w:val="single"/>
          <w:lang w:val="lv-LV"/>
        </w:rPr>
        <w:t xml:space="preserve"> </w:t>
      </w:r>
      <w:r w:rsidR="00432940" w:rsidRPr="005E242A">
        <w:rPr>
          <w:rFonts w:ascii="Times New Roman" w:hAnsi="Times New Roman"/>
          <w:lang w:val="lv-LV"/>
        </w:rPr>
        <w:t xml:space="preserve"> projektu pieredze liecina, ka projektos īstenotās darbības aptver gan vīriešus, gan sievietes, atsevišķi neizdalot (un nediskriminējot) vienu dzimumu, līdz ar to apliecinot, ka izvirzīt specifiskas prasības nav nepieciešams.</w:t>
      </w:r>
      <w:r w:rsidR="00AB3000" w:rsidRPr="00C63F2B">
        <w:rPr>
          <w:rFonts w:ascii="Times New Roman" w:hAnsi="Times New Roman"/>
          <w:lang w:val="lv-LV"/>
        </w:rPr>
        <w:t xml:space="preserve"> Tā piemēram, projekti, kas veicināja cilvēku ar invaliditāti iekļaušanu darba tirgū, atbalstīja gan vīriešus, gan sievietes</w:t>
      </w:r>
      <w:r>
        <w:rPr>
          <w:rFonts w:ascii="Times New Roman" w:hAnsi="Times New Roman"/>
          <w:lang w:val="lv-LV"/>
        </w:rPr>
        <w:t xml:space="preserve"> -t</w:t>
      </w:r>
      <w:r w:rsidR="00AB3000" w:rsidRPr="00C63F2B">
        <w:rPr>
          <w:rFonts w:ascii="Times New Roman" w:hAnsi="Times New Roman"/>
          <w:lang w:val="lv-LV"/>
        </w:rPr>
        <w:t xml:space="preserve">āda pati pieeja tika īstenota arī citos projektos. </w:t>
      </w:r>
    </w:p>
    <w:p w:rsidR="00DB6FDE" w:rsidRDefault="00DB6FDE" w:rsidP="00E302F6">
      <w:pPr>
        <w:spacing w:before="120" w:line="240" w:lineRule="auto"/>
        <w:ind w:right="-432"/>
        <w:rPr>
          <w:rFonts w:ascii="Times New Roman" w:hAnsi="Times New Roman"/>
          <w:lang w:val="lv-LV"/>
        </w:rPr>
      </w:pPr>
      <w:r w:rsidRPr="00C63F2B">
        <w:rPr>
          <w:rFonts w:ascii="Times New Roman" w:hAnsi="Times New Roman"/>
          <w:lang w:val="lv-LV"/>
        </w:rPr>
        <w:t>Ņemot vērā gūto pieredzi iepriekšējā programmēšanas periodā</w:t>
      </w:r>
      <w:r w:rsidR="00F40F83" w:rsidRPr="00C63F2B">
        <w:rPr>
          <w:rFonts w:ascii="Times New Roman" w:hAnsi="Times New Roman"/>
          <w:lang w:val="lv-LV"/>
        </w:rPr>
        <w:t xml:space="preserve"> </w:t>
      </w:r>
      <w:r w:rsidRPr="00C63F2B">
        <w:rPr>
          <w:rFonts w:ascii="Times New Roman" w:hAnsi="Times New Roman"/>
          <w:lang w:val="lv-LV"/>
        </w:rPr>
        <w:t xml:space="preserve">dalībvalstis vienojās, ka specifiski noteiktas </w:t>
      </w:r>
      <w:r w:rsidR="00BB30FB" w:rsidRPr="00C63F2B">
        <w:rPr>
          <w:rFonts w:ascii="Times New Roman" w:hAnsi="Times New Roman"/>
          <w:lang w:val="lv-LV"/>
        </w:rPr>
        <w:t xml:space="preserve">prasības </w:t>
      </w:r>
      <w:r w:rsidRPr="00C63F2B">
        <w:rPr>
          <w:rFonts w:ascii="Times New Roman" w:hAnsi="Times New Roman"/>
          <w:lang w:val="lv-LV"/>
        </w:rPr>
        <w:t xml:space="preserve">vai pasākumi Programmas līmenī, lai veicinātu dzimumu </w:t>
      </w:r>
      <w:r w:rsidR="002E417D" w:rsidRPr="00C63F2B">
        <w:rPr>
          <w:rFonts w:ascii="Times New Roman" w:hAnsi="Times New Roman"/>
          <w:lang w:val="lv-LV"/>
        </w:rPr>
        <w:t xml:space="preserve">līdztiesības </w:t>
      </w:r>
      <w:r w:rsidRPr="00C63F2B">
        <w:rPr>
          <w:rFonts w:ascii="Times New Roman" w:hAnsi="Times New Roman"/>
          <w:lang w:val="lv-LV"/>
        </w:rPr>
        <w:t>principus</w:t>
      </w:r>
      <w:r w:rsidR="0091473F">
        <w:rPr>
          <w:rFonts w:ascii="Times New Roman" w:hAnsi="Times New Roman"/>
          <w:lang w:val="lv-LV"/>
        </w:rPr>
        <w:t>,</w:t>
      </w:r>
      <w:r w:rsidRPr="00C63F2B">
        <w:rPr>
          <w:rFonts w:ascii="Times New Roman" w:hAnsi="Times New Roman"/>
          <w:lang w:val="lv-LV"/>
        </w:rPr>
        <w:t xml:space="preserve"> nav paredzēti</w:t>
      </w:r>
      <w:r w:rsidR="00F01BA6" w:rsidRPr="00C63F2B">
        <w:rPr>
          <w:rFonts w:ascii="Times New Roman" w:hAnsi="Times New Roman"/>
          <w:lang w:val="lv-LV"/>
        </w:rPr>
        <w:t>.</w:t>
      </w:r>
    </w:p>
    <w:p w:rsidR="006D39E8" w:rsidRDefault="006D39E8" w:rsidP="00E302F6">
      <w:pPr>
        <w:spacing w:before="120" w:line="240" w:lineRule="auto"/>
        <w:ind w:right="-432"/>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6D39E8" w:rsidRDefault="006D39E8" w:rsidP="00E302F6">
      <w:pPr>
        <w:spacing w:before="120" w:line="240" w:lineRule="auto"/>
        <w:rPr>
          <w:rFonts w:ascii="Times New Roman" w:hAnsi="Times New Roman"/>
          <w:lang w:val="lv-LV"/>
        </w:rPr>
      </w:pPr>
    </w:p>
    <w:p w:rsidR="00470200" w:rsidRDefault="00432940" w:rsidP="00E302F6">
      <w:pPr>
        <w:pStyle w:val="ListParagraph"/>
        <w:spacing w:before="120" w:line="240" w:lineRule="auto"/>
        <w:jc w:val="center"/>
        <w:rPr>
          <w:rFonts w:ascii="Times New Roman" w:hAnsi="Times New Roman"/>
          <w:b/>
          <w:sz w:val="28"/>
          <w:szCs w:val="28"/>
          <w:lang w:val="lv-LV"/>
        </w:rPr>
      </w:pPr>
      <w:r w:rsidRPr="00432940">
        <w:rPr>
          <w:rFonts w:ascii="Times New Roman" w:hAnsi="Times New Roman"/>
          <w:b/>
          <w:sz w:val="28"/>
          <w:szCs w:val="28"/>
          <w:lang w:val="lv-LV"/>
        </w:rPr>
        <w:t>1. PIELIKUMS</w:t>
      </w:r>
    </w:p>
    <w:p w:rsidR="00404C79" w:rsidRDefault="00432940" w:rsidP="00E302F6">
      <w:pPr>
        <w:pStyle w:val="ListParagraph"/>
        <w:spacing w:before="120" w:line="240" w:lineRule="auto"/>
        <w:ind w:left="0"/>
        <w:rPr>
          <w:rFonts w:ascii="Times New Roman" w:hAnsi="Times New Roman"/>
          <w:b/>
          <w:lang w:val="lv-LV"/>
        </w:rPr>
      </w:pPr>
      <w:r w:rsidRPr="00432940">
        <w:rPr>
          <w:rFonts w:ascii="Times New Roman" w:hAnsi="Times New Roman"/>
          <w:b/>
          <w:lang w:val="lv-LV"/>
        </w:rPr>
        <w:t>1.attēls Programmas teritorija</w:t>
      </w:r>
    </w:p>
    <w:p w:rsidR="006D39E8" w:rsidRDefault="006D39E8" w:rsidP="00E302F6">
      <w:pPr>
        <w:spacing w:before="120" w:line="240" w:lineRule="auto"/>
        <w:jc w:val="center"/>
        <w:rPr>
          <w:rFonts w:ascii="Times New Roman" w:hAnsi="Times New Roman"/>
          <w:lang w:val="lv-LV"/>
        </w:rPr>
      </w:pPr>
      <w:r w:rsidRPr="006D39E8">
        <w:rPr>
          <w:rFonts w:ascii="Times New Roman" w:hAnsi="Times New Roman"/>
          <w:noProof/>
          <w:lang w:val="lv-LV" w:eastAsia="lv-LV"/>
        </w:rPr>
        <w:drawing>
          <wp:inline distT="0" distB="0" distL="0" distR="0">
            <wp:extent cx="2819400" cy="264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819400" cy="2641600"/>
                    </a:xfrm>
                    <a:prstGeom prst="rect">
                      <a:avLst/>
                    </a:prstGeom>
                    <a:noFill/>
                    <a:ln w="9525">
                      <a:noFill/>
                      <a:miter lim="800000"/>
                      <a:headEnd/>
                      <a:tailEnd/>
                    </a:ln>
                  </pic:spPr>
                </pic:pic>
              </a:graphicData>
            </a:graphic>
          </wp:inline>
        </w:drawing>
      </w:r>
      <w:r w:rsidRPr="006D39E8">
        <w:rPr>
          <w:rFonts w:ascii="Times New Roman" w:hAnsi="Times New Roman"/>
          <w:lang w:val="lv-LV"/>
        </w:rPr>
        <w:t xml:space="preserve"> </w:t>
      </w:r>
    </w:p>
    <w:p w:rsidR="00DB6FDE" w:rsidRPr="00C77C1E" w:rsidRDefault="007E0AEC" w:rsidP="00E302F6">
      <w:pPr>
        <w:spacing w:before="120" w:line="240" w:lineRule="auto"/>
        <w:rPr>
          <w:rFonts w:ascii="Times New Roman" w:hAnsi="Times New Roman"/>
          <w:b/>
          <w:sz w:val="28"/>
          <w:szCs w:val="28"/>
          <w:lang w:val="lv-LV"/>
        </w:rPr>
      </w:pPr>
      <w:r>
        <w:rPr>
          <w:rFonts w:ascii="Times New Roman" w:hAnsi="Times New Roman"/>
          <w:b/>
          <w:noProof/>
          <w:lang w:val="lv-LV" w:eastAsia="lv-LV"/>
        </w:rPr>
        <w:drawing>
          <wp:anchor distT="0" distB="0" distL="114300" distR="114300" simplePos="0" relativeHeight="251659776" behindDoc="1" locked="0" layoutInCell="0" allowOverlap="1">
            <wp:simplePos x="0" y="0"/>
            <wp:positionH relativeFrom="column">
              <wp:posOffset>28575</wp:posOffset>
            </wp:positionH>
            <wp:positionV relativeFrom="paragraph">
              <wp:posOffset>428625</wp:posOffset>
            </wp:positionV>
            <wp:extent cx="5330825" cy="2657475"/>
            <wp:effectExtent l="19050" t="0" r="3175" b="0"/>
            <wp:wrapTight wrapText="bothSides">
              <wp:wrapPolygon edited="0">
                <wp:start x="-77" y="0"/>
                <wp:lineTo x="-77" y="21523"/>
                <wp:lineTo x="21613" y="21523"/>
                <wp:lineTo x="21613" y="0"/>
                <wp:lineTo x="-77"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330825" cy="2657475"/>
                    </a:xfrm>
                    <a:prstGeom prst="rect">
                      <a:avLst/>
                    </a:prstGeom>
                    <a:noFill/>
                    <a:ln w="9525">
                      <a:noFill/>
                      <a:miter lim="800000"/>
                      <a:headEnd/>
                      <a:tailEnd/>
                    </a:ln>
                  </pic:spPr>
                </pic:pic>
              </a:graphicData>
            </a:graphic>
          </wp:anchor>
        </w:drawing>
      </w:r>
      <w:r w:rsidR="00E3036C" w:rsidRPr="00714469">
        <w:rPr>
          <w:rFonts w:ascii="Times New Roman" w:hAnsi="Times New Roman"/>
          <w:b/>
          <w:lang w:val="lv-LV"/>
        </w:rPr>
        <w:t xml:space="preserve">2. attēls: </w:t>
      </w:r>
      <w:r w:rsidR="00E3036C" w:rsidRPr="00E3036C">
        <w:rPr>
          <w:rFonts w:ascii="Times New Roman" w:hAnsi="Times New Roman"/>
          <w:b/>
          <w:lang w:val="lv-LV"/>
        </w:rPr>
        <w:t xml:space="preserve">Programmas ietvaros atjaunojamo pārrobežu ceļu posmu atrašanās vietas kartē </w:t>
      </w:r>
      <w:r w:rsidR="00DB6FDE" w:rsidRPr="00BA5839">
        <w:rPr>
          <w:rFonts w:ascii="Times New Roman" w:hAnsi="Times New Roman"/>
          <w:lang w:val="lv-LV"/>
        </w:rPr>
        <w:br w:type="page"/>
      </w:r>
      <w:r w:rsidR="005E242A">
        <w:rPr>
          <w:rFonts w:ascii="Times New Roman" w:hAnsi="Times New Roman"/>
          <w:b/>
          <w:lang w:val="lv-LV"/>
        </w:rPr>
        <w:lastRenderedPageBreak/>
        <w:t>3</w:t>
      </w:r>
      <w:r w:rsidR="005E242A" w:rsidRPr="00714469">
        <w:rPr>
          <w:rFonts w:ascii="Times New Roman" w:hAnsi="Times New Roman"/>
          <w:b/>
          <w:lang w:val="lv-LV"/>
        </w:rPr>
        <w:t>. attēls:</w:t>
      </w:r>
      <w:r w:rsidR="005E242A" w:rsidRPr="005E242A">
        <w:rPr>
          <w:rFonts w:ascii="Times New Roman" w:hAnsi="Times New Roman"/>
          <w:bCs/>
          <w:lang w:val="lv-LV"/>
        </w:rPr>
        <w:t xml:space="preserve"> </w:t>
      </w:r>
      <w:r w:rsidR="005E242A" w:rsidRPr="005E242A">
        <w:rPr>
          <w:rFonts w:ascii="Times New Roman" w:hAnsi="Times New Roman"/>
          <w:b/>
          <w:bCs/>
          <w:lang w:val="lv-LV"/>
        </w:rPr>
        <w:t>Galveno TM ieguldījumu pārskats</w:t>
      </w:r>
    </w:p>
    <w:p w:rsidR="00DB6FDE" w:rsidRDefault="0053020B" w:rsidP="00E302F6">
      <w:pPr>
        <w:pStyle w:val="Text1"/>
        <w:spacing w:before="120" w:line="240" w:lineRule="auto"/>
        <w:ind w:left="0"/>
        <w:rPr>
          <w:rFonts w:ascii="Verdana" w:hAnsi="Verdana"/>
          <w:sz w:val="20"/>
          <w:lang w:val="lv-LV"/>
        </w:rPr>
      </w:pPr>
      <w:r w:rsidRPr="0053020B">
        <w:rPr>
          <w:rFonts w:ascii="Verdana" w:hAnsi="Verdana"/>
          <w:noProof/>
          <w:sz w:val="20"/>
          <w:lang w:val="lv-LV" w:eastAsia="lv-LV"/>
        </w:rPr>
        <w:drawing>
          <wp:inline distT="0" distB="0" distL="0" distR="0">
            <wp:extent cx="4648200" cy="32004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4648200" cy="3200400"/>
                    </a:xfrm>
                    <a:prstGeom prst="rect">
                      <a:avLst/>
                    </a:prstGeom>
                    <a:noFill/>
                    <a:ln w="9525">
                      <a:noFill/>
                      <a:miter lim="800000"/>
                      <a:headEnd/>
                      <a:tailEnd/>
                    </a:ln>
                  </pic:spPr>
                </pic:pic>
              </a:graphicData>
            </a:graphic>
          </wp:inline>
        </w:drawing>
      </w:r>
    </w:p>
    <w:p w:rsidR="005E242A" w:rsidRPr="00714469" w:rsidRDefault="005E242A" w:rsidP="00E302F6">
      <w:pPr>
        <w:spacing w:before="120" w:line="240" w:lineRule="auto"/>
        <w:rPr>
          <w:rFonts w:ascii="Times New Roman" w:hAnsi="Times New Roman"/>
          <w:b/>
          <w:lang w:val="lv-LV"/>
        </w:rPr>
      </w:pPr>
      <w:r w:rsidRPr="00714469">
        <w:rPr>
          <w:rFonts w:ascii="Times New Roman" w:hAnsi="Times New Roman"/>
          <w:b/>
          <w:lang w:val="lv-LV"/>
        </w:rPr>
        <w:t>1. tabula: Bezdarba līmenis Programmas reģionos, kas izteikts %</w:t>
      </w:r>
    </w:p>
    <w:tbl>
      <w:tblPr>
        <w:tblW w:w="8655" w:type="dxa"/>
        <w:tblInd w:w="93" w:type="dxa"/>
        <w:tblLook w:val="04A0"/>
      </w:tblPr>
      <w:tblGrid>
        <w:gridCol w:w="4126"/>
        <w:gridCol w:w="1199"/>
        <w:gridCol w:w="1080"/>
        <w:gridCol w:w="1080"/>
        <w:gridCol w:w="1170"/>
      </w:tblGrid>
      <w:tr w:rsidR="005E242A" w:rsidRPr="00714469" w:rsidTr="007E0AEC">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center"/>
              <w:rPr>
                <w:rFonts w:ascii="Times New Roman" w:hAnsi="Times New Roman"/>
                <w:b/>
                <w:bCs/>
                <w:color w:val="000000"/>
                <w:lang w:val="lv-LV" w:eastAsia="lv-LV"/>
              </w:rPr>
            </w:pPr>
            <w:r w:rsidRPr="00714469">
              <w:rPr>
                <w:rFonts w:ascii="Times New Roman" w:hAnsi="Times New Roman"/>
                <w:b/>
                <w:bCs/>
                <w:color w:val="000000"/>
                <w:lang w:val="lv-LV" w:eastAsia="lv-LV"/>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center"/>
              <w:rPr>
                <w:rFonts w:ascii="Times New Roman" w:hAnsi="Times New Roman"/>
                <w:b/>
                <w:bCs/>
                <w:color w:val="000000"/>
                <w:lang w:val="lv-LV" w:eastAsia="lv-LV"/>
              </w:rPr>
            </w:pPr>
            <w:r w:rsidRPr="00714469">
              <w:rPr>
                <w:rFonts w:ascii="Times New Roman" w:hAnsi="Times New Roman"/>
                <w:b/>
                <w:bCs/>
                <w:color w:val="000000"/>
                <w:lang w:val="lv-LV" w:eastAsia="lv-LV"/>
              </w:rPr>
              <w:t>2009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center"/>
              <w:rPr>
                <w:rFonts w:ascii="Times New Roman" w:hAnsi="Times New Roman"/>
                <w:b/>
                <w:bCs/>
                <w:color w:val="000000"/>
                <w:lang w:val="lv-LV" w:eastAsia="lv-LV"/>
              </w:rPr>
            </w:pPr>
            <w:r w:rsidRPr="00714469">
              <w:rPr>
                <w:rFonts w:ascii="Times New Roman" w:hAnsi="Times New Roman"/>
                <w:b/>
                <w:bCs/>
                <w:color w:val="000000"/>
                <w:lang w:val="lv-LV" w:eastAsia="lv-LV"/>
              </w:rPr>
              <w:t>2010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center"/>
              <w:rPr>
                <w:rFonts w:ascii="Times New Roman" w:hAnsi="Times New Roman"/>
                <w:b/>
                <w:bCs/>
                <w:color w:val="000000"/>
                <w:lang w:val="lv-LV" w:eastAsia="lv-LV"/>
              </w:rPr>
            </w:pPr>
            <w:r w:rsidRPr="00714469">
              <w:rPr>
                <w:rFonts w:ascii="Times New Roman" w:hAnsi="Times New Roman"/>
                <w:b/>
                <w:bCs/>
                <w:color w:val="000000"/>
                <w:lang w:val="lv-LV" w:eastAsia="lv-LV"/>
              </w:rPr>
              <w:t>2011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center"/>
              <w:rPr>
                <w:rFonts w:ascii="Times New Roman" w:hAnsi="Times New Roman"/>
                <w:b/>
                <w:bCs/>
                <w:color w:val="000000"/>
                <w:lang w:val="lv-LV" w:eastAsia="lv-LV"/>
              </w:rPr>
            </w:pPr>
            <w:r w:rsidRPr="00714469">
              <w:rPr>
                <w:rFonts w:ascii="Times New Roman" w:hAnsi="Times New Roman"/>
                <w:b/>
                <w:bCs/>
                <w:color w:val="000000"/>
                <w:lang w:val="lv-LV" w:eastAsia="lv-LV"/>
              </w:rPr>
              <w:t>2012</w:t>
            </w:r>
          </w:p>
        </w:tc>
      </w:tr>
      <w:tr w:rsidR="005E242A" w:rsidRPr="00714469" w:rsidTr="007E0AEC">
        <w:trPr>
          <w:trHeight w:val="152"/>
        </w:trPr>
        <w:tc>
          <w:tcPr>
            <w:tcW w:w="4126" w:type="dxa"/>
            <w:tcBorders>
              <w:top w:val="single" w:sz="4" w:space="0" w:color="auto"/>
              <w:left w:val="single" w:sz="4" w:space="0" w:color="auto"/>
              <w:bottom w:val="single" w:sz="4" w:space="0" w:color="auto"/>
              <w:right w:val="single" w:sz="4" w:space="0" w:color="auto"/>
            </w:tcBorders>
            <w:shd w:val="clear" w:color="000000" w:fill="F2DBDB"/>
            <w:noWrap/>
            <w:vAlign w:val="bottom"/>
            <w:hideMark/>
          </w:tcPr>
          <w:p w:rsidR="005E242A" w:rsidRPr="00714469" w:rsidRDefault="005E242A" w:rsidP="00E302F6">
            <w:pPr>
              <w:spacing w:before="120" w:line="240" w:lineRule="auto"/>
              <w:contextualSpacing/>
              <w:jc w:val="center"/>
              <w:rPr>
                <w:rFonts w:ascii="Times New Roman" w:hAnsi="Times New Roman"/>
                <w:b/>
                <w:bCs/>
                <w:color w:val="000000"/>
                <w:lang w:val="lv-LV" w:eastAsia="lv-LV"/>
              </w:rPr>
            </w:pPr>
            <w:r w:rsidRPr="00714469">
              <w:rPr>
                <w:rFonts w:ascii="Times New Roman" w:hAnsi="Times New Roman"/>
                <w:b/>
                <w:bCs/>
                <w:color w:val="000000"/>
                <w:lang w:val="lv-LV" w:eastAsia="lv-LV"/>
              </w:rPr>
              <w:t>Latvija (valsts vidējais rādītājs)</w:t>
            </w:r>
          </w:p>
        </w:tc>
        <w:tc>
          <w:tcPr>
            <w:tcW w:w="1199" w:type="dxa"/>
            <w:tcBorders>
              <w:top w:val="single" w:sz="4" w:space="0" w:color="auto"/>
              <w:left w:val="nil"/>
              <w:bottom w:val="single" w:sz="4" w:space="0" w:color="auto"/>
              <w:right w:val="single" w:sz="4" w:space="0" w:color="auto"/>
            </w:tcBorders>
            <w:shd w:val="clear" w:color="000000" w:fill="F2DBDB"/>
            <w:noWrap/>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17,1</w:t>
            </w:r>
          </w:p>
        </w:tc>
        <w:tc>
          <w:tcPr>
            <w:tcW w:w="1080" w:type="dxa"/>
            <w:tcBorders>
              <w:top w:val="single" w:sz="4" w:space="0" w:color="auto"/>
              <w:left w:val="nil"/>
              <w:bottom w:val="single" w:sz="4" w:space="0" w:color="auto"/>
              <w:right w:val="single" w:sz="4" w:space="0" w:color="auto"/>
            </w:tcBorders>
            <w:shd w:val="clear" w:color="000000" w:fill="F2DBDB"/>
            <w:noWrap/>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18,7</w:t>
            </w:r>
          </w:p>
        </w:tc>
        <w:tc>
          <w:tcPr>
            <w:tcW w:w="1080" w:type="dxa"/>
            <w:tcBorders>
              <w:top w:val="single" w:sz="4" w:space="0" w:color="auto"/>
              <w:left w:val="nil"/>
              <w:bottom w:val="single" w:sz="4" w:space="0" w:color="auto"/>
              <w:right w:val="single" w:sz="4" w:space="0" w:color="auto"/>
            </w:tcBorders>
            <w:shd w:val="clear" w:color="000000" w:fill="F2DBDB"/>
            <w:noWrap/>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16,2</w:t>
            </w:r>
          </w:p>
        </w:tc>
        <w:tc>
          <w:tcPr>
            <w:tcW w:w="1170" w:type="dxa"/>
            <w:tcBorders>
              <w:top w:val="single" w:sz="4" w:space="0" w:color="auto"/>
              <w:left w:val="nil"/>
              <w:bottom w:val="single" w:sz="4" w:space="0" w:color="auto"/>
              <w:right w:val="single" w:sz="4" w:space="0" w:color="auto"/>
            </w:tcBorders>
            <w:shd w:val="clear" w:color="000000" w:fill="F2DBDB"/>
            <w:noWrap/>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14,9</w:t>
            </w:r>
          </w:p>
        </w:tc>
      </w:tr>
      <w:tr w:rsidR="005E242A" w:rsidRPr="00714469" w:rsidTr="007E0AEC">
        <w:trPr>
          <w:trHeight w:val="2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Kurzeme</w:t>
            </w:r>
          </w:p>
        </w:tc>
        <w:tc>
          <w:tcPr>
            <w:tcW w:w="1199"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15,0</w:t>
            </w:r>
          </w:p>
        </w:tc>
        <w:tc>
          <w:tcPr>
            <w:tcW w:w="108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15,9</w:t>
            </w:r>
          </w:p>
        </w:tc>
        <w:tc>
          <w:tcPr>
            <w:tcW w:w="108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15,1</w:t>
            </w:r>
          </w:p>
        </w:tc>
        <w:tc>
          <w:tcPr>
            <w:tcW w:w="117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13,0</w:t>
            </w:r>
          </w:p>
        </w:tc>
      </w:tr>
      <w:tr w:rsidR="005E242A" w:rsidRPr="00714469" w:rsidTr="007E0AEC">
        <w:trPr>
          <w:trHeight w:val="8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Zemgale</w:t>
            </w:r>
          </w:p>
        </w:tc>
        <w:tc>
          <w:tcPr>
            <w:tcW w:w="1199"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19,7</w:t>
            </w:r>
          </w:p>
        </w:tc>
        <w:tc>
          <w:tcPr>
            <w:tcW w:w="108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22,5</w:t>
            </w:r>
          </w:p>
        </w:tc>
        <w:tc>
          <w:tcPr>
            <w:tcW w:w="108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18,5</w:t>
            </w:r>
          </w:p>
        </w:tc>
        <w:tc>
          <w:tcPr>
            <w:tcW w:w="117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17,3</w:t>
            </w:r>
          </w:p>
        </w:tc>
      </w:tr>
      <w:tr w:rsidR="005E242A" w:rsidRPr="00714469" w:rsidTr="007E0AEC">
        <w:trPr>
          <w:trHeight w:val="143"/>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Latgale</w:t>
            </w:r>
          </w:p>
        </w:tc>
        <w:tc>
          <w:tcPr>
            <w:tcW w:w="1199"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17,7</w:t>
            </w:r>
          </w:p>
        </w:tc>
        <w:tc>
          <w:tcPr>
            <w:tcW w:w="108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19,2</w:t>
            </w:r>
          </w:p>
        </w:tc>
        <w:tc>
          <w:tcPr>
            <w:tcW w:w="108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18,7</w:t>
            </w:r>
          </w:p>
        </w:tc>
        <w:tc>
          <w:tcPr>
            <w:tcW w:w="1170" w:type="dxa"/>
            <w:tcBorders>
              <w:top w:val="nil"/>
              <w:left w:val="nil"/>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20,7</w:t>
            </w:r>
          </w:p>
        </w:tc>
      </w:tr>
      <w:tr w:rsidR="005E242A" w:rsidRPr="00714469" w:rsidTr="007E0AEC">
        <w:trPr>
          <w:trHeight w:val="70"/>
        </w:trPr>
        <w:tc>
          <w:tcPr>
            <w:tcW w:w="4126"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5E242A" w:rsidRPr="00714469" w:rsidRDefault="005E242A" w:rsidP="00E302F6">
            <w:pPr>
              <w:spacing w:before="120" w:line="240" w:lineRule="auto"/>
              <w:contextualSpacing/>
              <w:jc w:val="center"/>
              <w:rPr>
                <w:rFonts w:ascii="Times New Roman" w:hAnsi="Times New Roman"/>
                <w:b/>
                <w:bCs/>
                <w:color w:val="000000"/>
                <w:lang w:val="lv-LV" w:eastAsia="lv-LV"/>
              </w:rPr>
            </w:pPr>
            <w:r w:rsidRPr="00714469">
              <w:rPr>
                <w:rFonts w:ascii="Times New Roman" w:hAnsi="Times New Roman"/>
                <w:b/>
                <w:bCs/>
                <w:color w:val="000000"/>
                <w:lang w:val="lv-LV" w:eastAsia="lv-LV"/>
              </w:rPr>
              <w:t>Lietuva (valsts vidējais rādītājs)</w:t>
            </w:r>
          </w:p>
        </w:tc>
        <w:tc>
          <w:tcPr>
            <w:tcW w:w="1199" w:type="dxa"/>
            <w:tcBorders>
              <w:top w:val="single" w:sz="4" w:space="0" w:color="auto"/>
              <w:left w:val="nil"/>
              <w:bottom w:val="single" w:sz="4" w:space="0" w:color="auto"/>
              <w:right w:val="single" w:sz="4" w:space="0" w:color="auto"/>
            </w:tcBorders>
            <w:shd w:val="clear" w:color="auto" w:fill="EAF1DD"/>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13,7</w:t>
            </w:r>
          </w:p>
        </w:tc>
        <w:tc>
          <w:tcPr>
            <w:tcW w:w="1080" w:type="dxa"/>
            <w:tcBorders>
              <w:top w:val="single" w:sz="4" w:space="0" w:color="auto"/>
              <w:left w:val="nil"/>
              <w:bottom w:val="single" w:sz="4" w:space="0" w:color="auto"/>
              <w:right w:val="single" w:sz="4" w:space="0" w:color="auto"/>
            </w:tcBorders>
            <w:shd w:val="clear" w:color="auto" w:fill="EAF1DD"/>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17,8</w:t>
            </w:r>
          </w:p>
        </w:tc>
        <w:tc>
          <w:tcPr>
            <w:tcW w:w="1080" w:type="dxa"/>
            <w:tcBorders>
              <w:top w:val="single" w:sz="4" w:space="0" w:color="auto"/>
              <w:left w:val="nil"/>
              <w:bottom w:val="single" w:sz="4" w:space="0" w:color="auto"/>
              <w:right w:val="single" w:sz="4" w:space="0" w:color="auto"/>
            </w:tcBorders>
            <w:shd w:val="clear" w:color="auto" w:fill="EAF1DD"/>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15,4</w:t>
            </w:r>
          </w:p>
        </w:tc>
        <w:tc>
          <w:tcPr>
            <w:tcW w:w="1170" w:type="dxa"/>
            <w:tcBorders>
              <w:top w:val="single" w:sz="4" w:space="0" w:color="auto"/>
              <w:left w:val="nil"/>
              <w:bottom w:val="single" w:sz="4" w:space="0" w:color="auto"/>
              <w:right w:val="single" w:sz="4" w:space="0" w:color="auto"/>
            </w:tcBorders>
            <w:shd w:val="clear" w:color="auto" w:fill="EAF1DD"/>
            <w:vAlign w:val="center"/>
            <w:hideMark/>
          </w:tcPr>
          <w:p w:rsidR="005E242A" w:rsidRPr="00714469" w:rsidRDefault="005E242A" w:rsidP="00E302F6">
            <w:pPr>
              <w:spacing w:before="120" w:line="240" w:lineRule="auto"/>
              <w:contextualSpacing/>
              <w:jc w:val="right"/>
              <w:rPr>
                <w:rFonts w:ascii="Times New Roman" w:hAnsi="Times New Roman"/>
                <w:b/>
                <w:bCs/>
                <w:color w:val="000000"/>
                <w:lang w:val="lv-LV" w:eastAsia="lv-LV"/>
              </w:rPr>
            </w:pPr>
            <w:r w:rsidRPr="00714469">
              <w:rPr>
                <w:rFonts w:ascii="Times New Roman" w:hAnsi="Times New Roman"/>
                <w:b/>
                <w:bCs/>
                <w:color w:val="000000"/>
                <w:lang w:val="lv-LV" w:eastAsia="lv-LV"/>
              </w:rPr>
              <w:t>13,2</w:t>
            </w:r>
          </w:p>
        </w:tc>
      </w:tr>
      <w:tr w:rsidR="005E242A" w:rsidRPr="00714469" w:rsidTr="007E0AEC">
        <w:trPr>
          <w:trHeight w:val="8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Klaipēdas apriņķis</w:t>
            </w:r>
          </w:p>
        </w:tc>
        <w:tc>
          <w:tcPr>
            <w:tcW w:w="1199"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14,2</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18,1</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13,0</w:t>
            </w:r>
          </w:p>
        </w:tc>
        <w:tc>
          <w:tcPr>
            <w:tcW w:w="117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9,1</w:t>
            </w:r>
          </w:p>
        </w:tc>
      </w:tr>
      <w:tr w:rsidR="005E242A" w:rsidRPr="00714469" w:rsidTr="007E0AEC">
        <w:trPr>
          <w:trHeight w:val="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Panevēžas apriņķis</w:t>
            </w:r>
          </w:p>
        </w:tc>
        <w:tc>
          <w:tcPr>
            <w:tcW w:w="1199"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14,5</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23,2</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20,6</w:t>
            </w:r>
          </w:p>
        </w:tc>
        <w:tc>
          <w:tcPr>
            <w:tcW w:w="117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16,3</w:t>
            </w:r>
          </w:p>
        </w:tc>
      </w:tr>
      <w:tr w:rsidR="005E242A" w:rsidRPr="00714469" w:rsidTr="007E0AEC">
        <w:trPr>
          <w:trHeight w:val="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Šauļu apriņķis</w:t>
            </w:r>
          </w:p>
        </w:tc>
        <w:tc>
          <w:tcPr>
            <w:tcW w:w="1199"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14,5</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19,1</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17,3</w:t>
            </w:r>
          </w:p>
        </w:tc>
        <w:tc>
          <w:tcPr>
            <w:tcW w:w="117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16,5</w:t>
            </w:r>
          </w:p>
        </w:tc>
      </w:tr>
      <w:tr w:rsidR="005E242A" w:rsidRPr="00714469" w:rsidTr="007E0AEC">
        <w:trPr>
          <w:trHeight w:val="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Telšu apriņķis</w:t>
            </w:r>
          </w:p>
        </w:tc>
        <w:tc>
          <w:tcPr>
            <w:tcW w:w="1199"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16,8</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22,5</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19,3</w:t>
            </w:r>
          </w:p>
        </w:tc>
        <w:tc>
          <w:tcPr>
            <w:tcW w:w="117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14,8</w:t>
            </w:r>
          </w:p>
        </w:tc>
      </w:tr>
      <w:tr w:rsidR="005E242A" w:rsidRPr="00714469" w:rsidTr="007E0AEC">
        <w:trPr>
          <w:trHeight w:val="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Utenas apriņķis</w:t>
            </w:r>
          </w:p>
        </w:tc>
        <w:tc>
          <w:tcPr>
            <w:tcW w:w="1199"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10,1</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21,3</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23,8</w:t>
            </w:r>
          </w:p>
        </w:tc>
        <w:tc>
          <w:tcPr>
            <w:tcW w:w="117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23,0</w:t>
            </w:r>
          </w:p>
        </w:tc>
      </w:tr>
      <w:tr w:rsidR="005E242A" w:rsidRPr="00714469" w:rsidTr="007E0AEC">
        <w:trPr>
          <w:trHeight w:val="8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5E242A" w:rsidRPr="00714469" w:rsidRDefault="005E242A" w:rsidP="00E302F6">
            <w:pPr>
              <w:spacing w:before="120" w:line="240" w:lineRule="auto"/>
              <w:contextualSpacing/>
              <w:jc w:val="left"/>
              <w:rPr>
                <w:rFonts w:ascii="Times New Roman" w:hAnsi="Times New Roman"/>
                <w:color w:val="000000"/>
                <w:lang w:val="lv-LV" w:eastAsia="lv-LV"/>
              </w:rPr>
            </w:pPr>
            <w:r w:rsidRPr="00714469">
              <w:rPr>
                <w:rFonts w:ascii="Times New Roman" w:hAnsi="Times New Roman"/>
                <w:color w:val="000000"/>
                <w:lang w:val="lv-LV" w:eastAsia="lv-LV"/>
              </w:rPr>
              <w:t>Kauņas apriņķis</w:t>
            </w:r>
          </w:p>
        </w:tc>
        <w:tc>
          <w:tcPr>
            <w:tcW w:w="1199"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13,2</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16,9</w:t>
            </w:r>
          </w:p>
        </w:tc>
        <w:tc>
          <w:tcPr>
            <w:tcW w:w="108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13,3</w:t>
            </w:r>
          </w:p>
        </w:tc>
        <w:tc>
          <w:tcPr>
            <w:tcW w:w="1170" w:type="dxa"/>
            <w:tcBorders>
              <w:top w:val="nil"/>
              <w:left w:val="nil"/>
              <w:bottom w:val="single" w:sz="4" w:space="0" w:color="auto"/>
              <w:right w:val="single" w:sz="4" w:space="0" w:color="auto"/>
            </w:tcBorders>
            <w:shd w:val="clear" w:color="auto" w:fill="auto"/>
            <w:vAlign w:val="center"/>
            <w:hideMark/>
          </w:tcPr>
          <w:p w:rsidR="005E242A" w:rsidRPr="00714469" w:rsidRDefault="005E242A" w:rsidP="00E302F6">
            <w:pPr>
              <w:spacing w:before="120" w:line="240" w:lineRule="auto"/>
              <w:contextualSpacing/>
              <w:jc w:val="right"/>
              <w:rPr>
                <w:rFonts w:ascii="Times New Roman" w:hAnsi="Times New Roman"/>
                <w:color w:val="000000"/>
                <w:lang w:val="lv-LV" w:eastAsia="lv-LV"/>
              </w:rPr>
            </w:pPr>
            <w:r w:rsidRPr="00714469">
              <w:rPr>
                <w:rFonts w:ascii="Times New Roman" w:hAnsi="Times New Roman"/>
                <w:color w:val="000000"/>
                <w:lang w:val="lv-LV" w:eastAsia="lv-LV"/>
              </w:rPr>
              <w:t>10,7</w:t>
            </w:r>
          </w:p>
        </w:tc>
      </w:tr>
    </w:tbl>
    <w:p w:rsidR="005E242A" w:rsidRDefault="005E242A" w:rsidP="00E302F6">
      <w:pPr>
        <w:pStyle w:val="Text1"/>
        <w:spacing w:before="120" w:line="240" w:lineRule="auto"/>
        <w:ind w:left="0"/>
        <w:rPr>
          <w:rFonts w:ascii="Verdana" w:hAnsi="Verdana"/>
          <w:sz w:val="20"/>
          <w:lang w:val="lv-LV"/>
        </w:rPr>
      </w:pPr>
    </w:p>
    <w:p w:rsidR="005E242A" w:rsidRDefault="005E242A" w:rsidP="00E302F6">
      <w:pPr>
        <w:pStyle w:val="Text1"/>
        <w:spacing w:before="120" w:line="240" w:lineRule="auto"/>
        <w:ind w:left="0"/>
        <w:rPr>
          <w:szCs w:val="24"/>
          <w:lang w:val="lv-LV"/>
        </w:rPr>
      </w:pPr>
    </w:p>
    <w:p w:rsidR="005E242A" w:rsidRDefault="005E242A" w:rsidP="00E302F6">
      <w:pPr>
        <w:pStyle w:val="Text1"/>
        <w:spacing w:before="120" w:line="240" w:lineRule="auto"/>
        <w:ind w:left="0"/>
        <w:rPr>
          <w:szCs w:val="24"/>
          <w:lang w:val="lv-LV"/>
        </w:rPr>
      </w:pPr>
    </w:p>
    <w:p w:rsidR="005E242A" w:rsidRDefault="005E242A" w:rsidP="00E302F6">
      <w:pPr>
        <w:pStyle w:val="Text1"/>
        <w:spacing w:before="120" w:line="240" w:lineRule="auto"/>
        <w:ind w:left="0"/>
        <w:rPr>
          <w:szCs w:val="24"/>
          <w:lang w:val="lv-LV"/>
        </w:rPr>
      </w:pPr>
    </w:p>
    <w:p w:rsidR="005E242A" w:rsidRDefault="005E242A" w:rsidP="00E302F6">
      <w:pPr>
        <w:pStyle w:val="Text1"/>
        <w:spacing w:before="120" w:line="240" w:lineRule="auto"/>
        <w:ind w:left="0"/>
        <w:rPr>
          <w:szCs w:val="24"/>
          <w:lang w:val="lv-LV"/>
        </w:rPr>
      </w:pPr>
    </w:p>
    <w:p w:rsidR="005E242A" w:rsidRDefault="005E242A" w:rsidP="00E302F6">
      <w:pPr>
        <w:pStyle w:val="Text1"/>
        <w:spacing w:before="120" w:line="240" w:lineRule="auto"/>
        <w:ind w:left="0"/>
        <w:rPr>
          <w:szCs w:val="24"/>
          <w:lang w:val="lv-LV"/>
        </w:rPr>
      </w:pPr>
    </w:p>
    <w:p w:rsidR="005E242A" w:rsidRDefault="005E242A" w:rsidP="00E302F6">
      <w:pPr>
        <w:pStyle w:val="Text1"/>
        <w:spacing w:before="120" w:line="240" w:lineRule="auto"/>
        <w:ind w:left="0"/>
        <w:rPr>
          <w:szCs w:val="24"/>
          <w:lang w:val="lv-LV"/>
        </w:rPr>
      </w:pPr>
    </w:p>
    <w:p w:rsidR="005E242A" w:rsidRDefault="005E242A" w:rsidP="00E302F6">
      <w:pPr>
        <w:pStyle w:val="Text1"/>
        <w:spacing w:before="120" w:line="240" w:lineRule="auto"/>
        <w:ind w:left="0"/>
        <w:rPr>
          <w:szCs w:val="24"/>
          <w:lang w:val="lv-LV"/>
        </w:rPr>
      </w:pPr>
    </w:p>
    <w:p w:rsidR="005E242A" w:rsidRPr="00C15A93" w:rsidRDefault="00C15A93" w:rsidP="00E302F6">
      <w:pPr>
        <w:pStyle w:val="ListParagraph"/>
        <w:tabs>
          <w:tab w:val="left" w:pos="3261"/>
        </w:tabs>
        <w:spacing w:before="120" w:line="240" w:lineRule="auto"/>
        <w:ind w:left="630"/>
        <w:jc w:val="center"/>
        <w:rPr>
          <w:rFonts w:ascii="Times New Roman" w:hAnsi="Times New Roman"/>
          <w:b/>
          <w:sz w:val="28"/>
          <w:szCs w:val="28"/>
          <w:lang w:val="lv-LV"/>
        </w:rPr>
      </w:pPr>
      <w:r>
        <w:rPr>
          <w:rFonts w:ascii="Times New Roman" w:hAnsi="Times New Roman"/>
          <w:b/>
          <w:sz w:val="28"/>
          <w:szCs w:val="28"/>
          <w:lang w:val="lv-LV"/>
        </w:rPr>
        <w:lastRenderedPageBreak/>
        <w:t>2.</w:t>
      </w:r>
      <w:r w:rsidR="005E242A" w:rsidRPr="00432940">
        <w:rPr>
          <w:rFonts w:ascii="Times New Roman" w:hAnsi="Times New Roman"/>
          <w:b/>
          <w:sz w:val="28"/>
          <w:szCs w:val="28"/>
          <w:lang w:val="lv-LV"/>
        </w:rPr>
        <w:t>PIELIKUMS</w:t>
      </w:r>
    </w:p>
    <w:p w:rsidR="00DB6FDE" w:rsidRPr="00BA5839" w:rsidRDefault="00C15A93" w:rsidP="00E302F6">
      <w:pPr>
        <w:pStyle w:val="Text1"/>
        <w:spacing w:before="120" w:line="240" w:lineRule="auto"/>
        <w:ind w:left="0"/>
        <w:rPr>
          <w:szCs w:val="24"/>
          <w:lang w:val="lv-LV"/>
        </w:rPr>
      </w:pPr>
      <w:r>
        <w:rPr>
          <w:szCs w:val="24"/>
          <w:lang w:val="lv-LV"/>
        </w:rPr>
        <w:t>2</w:t>
      </w:r>
      <w:r w:rsidR="00DB6FDE" w:rsidRPr="00BA5839">
        <w:rPr>
          <w:szCs w:val="24"/>
          <w:lang w:val="lv-LV"/>
        </w:rPr>
        <w:t>. pielikumā iekļauts dokumentu un statistikas datu saraksts, kas tika izmantots, lai veiktu sociālekonomisko analīzi par Programmas teritoriju.</w:t>
      </w:r>
    </w:p>
    <w:p w:rsidR="00DB6FDE" w:rsidRPr="00C15A93" w:rsidRDefault="001C1E6F" w:rsidP="00E302F6">
      <w:pPr>
        <w:pStyle w:val="Text1"/>
        <w:numPr>
          <w:ilvl w:val="0"/>
          <w:numId w:val="16"/>
        </w:numPr>
        <w:spacing w:before="120" w:line="240" w:lineRule="auto"/>
        <w:rPr>
          <w:sz w:val="20"/>
          <w:lang w:val="lv-LV"/>
        </w:rPr>
      </w:pPr>
      <w:hyperlink r:id="rId25" w:history="1">
        <w:r w:rsidR="00DB6FDE" w:rsidRPr="00C15A93">
          <w:rPr>
            <w:rStyle w:val="Hyperlink"/>
            <w:sz w:val="20"/>
            <w:lang w:val="lv-LV"/>
          </w:rPr>
          <w:t>http://appsso.eurostat.ec.europa.eu/nui/show.do?dataset=nama_r_e3gdp&amp;lang=en</w:t>
        </w:r>
      </w:hyperlink>
    </w:p>
    <w:p w:rsidR="00DB6FDE" w:rsidRPr="00C15A93" w:rsidRDefault="00DB6FDE" w:rsidP="00E302F6">
      <w:pPr>
        <w:pStyle w:val="Text1"/>
        <w:numPr>
          <w:ilvl w:val="0"/>
          <w:numId w:val="16"/>
        </w:numPr>
        <w:spacing w:before="120" w:line="240" w:lineRule="auto"/>
        <w:jc w:val="left"/>
        <w:rPr>
          <w:sz w:val="20"/>
          <w:lang w:val="lv-LV"/>
        </w:rPr>
      </w:pPr>
      <w:r w:rsidRPr="00C15A93">
        <w:rPr>
          <w:sz w:val="20"/>
          <w:lang w:val="lv-LV"/>
        </w:rPr>
        <w:t>Statistics from national statistical bureaus (</w:t>
      </w:r>
      <w:hyperlink r:id="rId26" w:history="1">
        <w:r w:rsidRPr="00C15A93">
          <w:rPr>
            <w:rStyle w:val="Hyperlink"/>
            <w:sz w:val="20"/>
            <w:lang w:val="lv-LV"/>
          </w:rPr>
          <w:t>www.csb.gov.lv;http://www.stat.gov.lt/</w:t>
        </w:r>
      </w:hyperlink>
      <w:r w:rsidRPr="00C15A93">
        <w:rPr>
          <w:sz w:val="20"/>
          <w:lang w:val="lv-LV"/>
        </w:rPr>
        <w:t>) and http://appsso.eurostat.ec.europa.eu/nui/show.do?dataset=lfst_r_lfu3rt&amp;lang=en</w:t>
      </w:r>
    </w:p>
    <w:p w:rsidR="00DB6FDE" w:rsidRPr="00C15A93" w:rsidRDefault="001C1E6F" w:rsidP="00E302F6">
      <w:pPr>
        <w:pStyle w:val="Text1"/>
        <w:numPr>
          <w:ilvl w:val="0"/>
          <w:numId w:val="16"/>
        </w:numPr>
        <w:spacing w:before="120" w:line="240" w:lineRule="auto"/>
        <w:rPr>
          <w:sz w:val="20"/>
          <w:lang w:val="lv-LV"/>
        </w:rPr>
      </w:pPr>
      <w:hyperlink r:id="rId27" w:history="1">
        <w:r w:rsidR="00DB6FDE" w:rsidRPr="00C15A93">
          <w:rPr>
            <w:rStyle w:val="Hyperlink"/>
            <w:sz w:val="20"/>
            <w:lang w:val="lv-LV"/>
          </w:rPr>
          <w:t>http://epp.eurostat.ec.europa.eu/tgm/table.do?tab=table&amp;init=1&amp;language=en&amp;pcode=tsdsc330&amp;plugin=0</w:t>
        </w:r>
      </w:hyperlink>
      <w:r w:rsidR="00DB6FDE" w:rsidRPr="00C15A93">
        <w:rPr>
          <w:sz w:val="20"/>
          <w:lang w:val="lv-LV"/>
        </w:rPr>
        <w:t xml:space="preserve"> </w:t>
      </w:r>
    </w:p>
    <w:p w:rsidR="00DB6FDE" w:rsidRPr="00C15A93" w:rsidRDefault="001C1E6F" w:rsidP="00E302F6">
      <w:pPr>
        <w:pStyle w:val="Text1"/>
        <w:numPr>
          <w:ilvl w:val="0"/>
          <w:numId w:val="16"/>
        </w:numPr>
        <w:spacing w:before="120" w:line="240" w:lineRule="auto"/>
        <w:rPr>
          <w:sz w:val="20"/>
          <w:lang w:val="lv-LV"/>
        </w:rPr>
      </w:pPr>
      <w:hyperlink r:id="rId28" w:history="1">
        <w:r w:rsidR="00DB6FDE" w:rsidRPr="00C15A93">
          <w:rPr>
            <w:rStyle w:val="Hyperlink"/>
            <w:sz w:val="20"/>
            <w:lang w:val="lv-LV"/>
          </w:rPr>
          <w:t>http://epp.eurostat.ec.europa.eu/statistics_explained/index.php/Youth_unemployment</w:t>
        </w:r>
      </w:hyperlink>
    </w:p>
    <w:p w:rsidR="00DB6FDE" w:rsidRPr="00C15A93" w:rsidRDefault="001C1E6F" w:rsidP="00E302F6">
      <w:pPr>
        <w:pStyle w:val="Text1"/>
        <w:numPr>
          <w:ilvl w:val="0"/>
          <w:numId w:val="16"/>
        </w:numPr>
        <w:spacing w:before="120" w:line="240" w:lineRule="auto"/>
        <w:rPr>
          <w:sz w:val="20"/>
          <w:lang w:val="lv-LV"/>
        </w:rPr>
      </w:pPr>
      <w:hyperlink r:id="rId29" w:history="1">
        <w:r w:rsidR="00DB6FDE" w:rsidRPr="00C15A93">
          <w:rPr>
            <w:rStyle w:val="Hyperlink"/>
            <w:sz w:val="20"/>
            <w:lang w:val="lv-LV"/>
          </w:rPr>
          <w:t>http://ec.europa.eu/enterprise/policies/sme/facts-figures-analysis/performance-review/files/countriessheets/2013/lithuania_en.pdf</w:t>
        </w:r>
      </w:hyperlink>
    </w:p>
    <w:p w:rsidR="00DB6FDE" w:rsidRPr="00C15A93" w:rsidRDefault="001C1E6F" w:rsidP="00E302F6">
      <w:pPr>
        <w:pStyle w:val="Text1"/>
        <w:numPr>
          <w:ilvl w:val="0"/>
          <w:numId w:val="16"/>
        </w:numPr>
        <w:spacing w:before="120" w:line="240" w:lineRule="auto"/>
        <w:rPr>
          <w:sz w:val="20"/>
          <w:lang w:val="lv-LV"/>
        </w:rPr>
      </w:pPr>
      <w:hyperlink r:id="rId30" w:history="1">
        <w:r w:rsidR="00DB6FDE" w:rsidRPr="00C15A93">
          <w:rPr>
            <w:rStyle w:val="Hyperlink"/>
            <w:sz w:val="20"/>
            <w:lang w:val="lv-LV"/>
          </w:rPr>
          <w:t>http://ec.europa.eu/enterprise/policies/sme/facts-figures-analysis/performance-review/files/countriessheets/2013/latvia_en.pdf</w:t>
        </w:r>
      </w:hyperlink>
    </w:p>
    <w:p w:rsidR="00DB6FDE" w:rsidRPr="00C15A93" w:rsidRDefault="001C1E6F" w:rsidP="00E302F6">
      <w:pPr>
        <w:pStyle w:val="Text1"/>
        <w:numPr>
          <w:ilvl w:val="0"/>
          <w:numId w:val="16"/>
        </w:numPr>
        <w:spacing w:before="120" w:line="240" w:lineRule="auto"/>
        <w:rPr>
          <w:sz w:val="20"/>
          <w:lang w:val="lv-LV"/>
        </w:rPr>
      </w:pPr>
      <w:hyperlink r:id="rId31" w:history="1">
        <w:r w:rsidR="00DB6FDE" w:rsidRPr="00C15A93">
          <w:rPr>
            <w:rStyle w:val="Hyperlink"/>
            <w:sz w:val="20"/>
            <w:lang w:val="lv-LV"/>
          </w:rPr>
          <w:t>https://www.lursoft.lv/lursoft-statistika/Statistikas-dati-Latvijas-regionu-griezuma&amp;id=511</w:t>
        </w:r>
      </w:hyperlink>
      <w:r w:rsidR="00DB6FDE" w:rsidRPr="00C15A93">
        <w:rPr>
          <w:sz w:val="20"/>
          <w:lang w:val="lv-LV"/>
        </w:rPr>
        <w:t>; http://osp.stat.gov.lt/en/temines-lenteles51</w:t>
      </w:r>
    </w:p>
    <w:p w:rsidR="00DB6FDE" w:rsidRPr="00C15A93" w:rsidRDefault="001C1E6F" w:rsidP="00E302F6">
      <w:pPr>
        <w:pStyle w:val="Text1"/>
        <w:numPr>
          <w:ilvl w:val="0"/>
          <w:numId w:val="16"/>
        </w:numPr>
        <w:spacing w:before="120" w:line="240" w:lineRule="auto"/>
        <w:rPr>
          <w:sz w:val="20"/>
          <w:lang w:val="lv-LV"/>
        </w:rPr>
      </w:pPr>
      <w:hyperlink r:id="rId32" w:anchor="file" w:history="1">
        <w:r w:rsidR="00DB6FDE" w:rsidRPr="00C15A93">
          <w:rPr>
            <w:rStyle w:val="Hyperlink"/>
            <w:sz w:val="20"/>
            <w:lang w:val="lv-LV"/>
          </w:rPr>
          <w:t>http://epp.eurostat.ec.europa.eu/statistics_explained/index.php?title=File:One-to-fiveyear_survival_rates_of_enterprises,_2010,_business_economy,_%28%25%29.png&amp;filetimestamp=20130604082504#file</w:t>
        </w:r>
      </w:hyperlink>
      <w:r w:rsidR="00DB6FDE" w:rsidRPr="00C15A93">
        <w:rPr>
          <w:sz w:val="20"/>
          <w:lang w:val="lv-LV"/>
        </w:rPr>
        <w:t xml:space="preserve"> </w:t>
      </w:r>
    </w:p>
    <w:p w:rsidR="00DB6FDE" w:rsidRPr="00C15A93" w:rsidRDefault="001C1E6F" w:rsidP="00E302F6">
      <w:pPr>
        <w:pStyle w:val="Text1"/>
        <w:numPr>
          <w:ilvl w:val="0"/>
          <w:numId w:val="16"/>
        </w:numPr>
        <w:spacing w:before="120" w:line="240" w:lineRule="auto"/>
        <w:rPr>
          <w:sz w:val="20"/>
          <w:lang w:val="lv-LV"/>
        </w:rPr>
      </w:pPr>
      <w:hyperlink r:id="rId33" w:history="1">
        <w:r w:rsidR="00DB6FDE" w:rsidRPr="00C15A93">
          <w:rPr>
            <w:rStyle w:val="Hyperlink"/>
            <w:sz w:val="20"/>
            <w:lang w:val="lv-LV"/>
          </w:rPr>
          <w:t>http://data.csb.gov.lv/Selection.aspx?px_path=transp__Ikgad%C4%93jie%20statistikas%20dati__T%C5%ABrisms&amp;px_tableid=TU0091.px&amp;px_language=lv&amp;px_db=transp&amp;rxid=09cbdccf-2334-4466-bdf7-0051bad1decd</w:t>
        </w:r>
      </w:hyperlink>
      <w:r w:rsidR="00DB6FDE" w:rsidRPr="00C15A93">
        <w:rPr>
          <w:sz w:val="20"/>
          <w:lang w:val="lv-LV"/>
        </w:rPr>
        <w:t xml:space="preserve">; </w:t>
      </w:r>
      <w:hyperlink r:id="rId34" w:history="1">
        <w:r w:rsidR="00DB6FDE" w:rsidRPr="00C15A93">
          <w:rPr>
            <w:rStyle w:val="Hyperlink"/>
            <w:sz w:val="20"/>
            <w:lang w:val="lv-LV"/>
          </w:rPr>
          <w:t>http://osp.stat.gov.lt/en/rodikliai48</w:t>
        </w:r>
      </w:hyperlink>
      <w:r w:rsidR="00DB6FDE" w:rsidRPr="00C15A93">
        <w:rPr>
          <w:sz w:val="20"/>
          <w:lang w:val="lv-LV"/>
        </w:rPr>
        <w:t xml:space="preserve"> </w:t>
      </w:r>
    </w:p>
    <w:p w:rsidR="00DB6FDE" w:rsidRPr="00C15A93" w:rsidRDefault="001C1E6F" w:rsidP="00E302F6">
      <w:pPr>
        <w:pStyle w:val="Text1"/>
        <w:numPr>
          <w:ilvl w:val="0"/>
          <w:numId w:val="16"/>
        </w:numPr>
        <w:spacing w:before="120" w:line="240" w:lineRule="auto"/>
        <w:rPr>
          <w:sz w:val="20"/>
          <w:lang w:val="lv-LV"/>
        </w:rPr>
      </w:pPr>
      <w:hyperlink r:id="rId35" w:history="1">
        <w:r w:rsidR="00DB6FDE" w:rsidRPr="00C15A93">
          <w:rPr>
            <w:rStyle w:val="Hyperlink"/>
            <w:sz w:val="20"/>
            <w:lang w:val="lv-LV"/>
          </w:rPr>
          <w:t>http://www.csb.gov.lv/statistikas-temas/iekszemes-kopprodukts-datubaze-30011.html</w:t>
        </w:r>
      </w:hyperlink>
      <w:r w:rsidR="00DB6FDE" w:rsidRPr="00C15A93">
        <w:rPr>
          <w:sz w:val="20"/>
          <w:lang w:val="lv-LV"/>
        </w:rPr>
        <w:t xml:space="preserve"> </w:t>
      </w:r>
    </w:p>
    <w:p w:rsidR="00DB6FDE" w:rsidRPr="00C15A93" w:rsidRDefault="001C1E6F" w:rsidP="00E302F6">
      <w:pPr>
        <w:pStyle w:val="Text1"/>
        <w:numPr>
          <w:ilvl w:val="0"/>
          <w:numId w:val="16"/>
        </w:numPr>
        <w:spacing w:before="120" w:line="240" w:lineRule="auto"/>
        <w:rPr>
          <w:sz w:val="20"/>
          <w:lang w:val="lv-LV"/>
        </w:rPr>
      </w:pPr>
      <w:hyperlink r:id="rId36" w:history="1">
        <w:r w:rsidR="00DB6FDE" w:rsidRPr="00C15A93">
          <w:rPr>
            <w:rStyle w:val="Hyperlink"/>
            <w:sz w:val="20"/>
            <w:lang w:val="lv-LV"/>
          </w:rPr>
          <w:t>http://osp.stat.gov.lt/en/rodikliai42</w:t>
        </w:r>
      </w:hyperlink>
    </w:p>
    <w:p w:rsidR="00DB6FDE" w:rsidRPr="00C15A93" w:rsidRDefault="00DB6FDE" w:rsidP="00E302F6">
      <w:pPr>
        <w:pStyle w:val="Text1"/>
        <w:numPr>
          <w:ilvl w:val="0"/>
          <w:numId w:val="16"/>
        </w:numPr>
        <w:spacing w:before="120" w:line="240" w:lineRule="auto"/>
        <w:rPr>
          <w:sz w:val="20"/>
          <w:lang w:val="lv-LV"/>
        </w:rPr>
      </w:pPr>
      <w:r w:rsidRPr="00C15A93">
        <w:rPr>
          <w:sz w:val="20"/>
          <w:lang w:val="lv-LV"/>
        </w:rPr>
        <w:t xml:space="preserve">Euro-barometer survey ‘Attitudes of Europeans towards the issue of biodiversity </w:t>
      </w:r>
      <w:hyperlink r:id="rId37" w:history="1">
        <w:r w:rsidRPr="00C15A93">
          <w:rPr>
            <w:rStyle w:val="Hyperlink"/>
            <w:sz w:val="20"/>
            <w:lang w:val="lv-LV"/>
          </w:rPr>
          <w:t>http://ec.europa.eu/public_opinion/flash/fl_290_en.pdf</w:t>
        </w:r>
      </w:hyperlink>
    </w:p>
    <w:p w:rsidR="00DB6FDE" w:rsidRPr="00C15A93" w:rsidRDefault="001C1E6F" w:rsidP="00E302F6">
      <w:pPr>
        <w:pStyle w:val="Text1"/>
        <w:numPr>
          <w:ilvl w:val="0"/>
          <w:numId w:val="16"/>
        </w:numPr>
        <w:spacing w:before="120" w:line="240" w:lineRule="auto"/>
        <w:rPr>
          <w:sz w:val="20"/>
          <w:lang w:val="lv-LV"/>
        </w:rPr>
      </w:pPr>
      <w:hyperlink r:id="rId38" w:history="1">
        <w:r w:rsidR="00DB6FDE" w:rsidRPr="00C15A93">
          <w:rPr>
            <w:rStyle w:val="Hyperlink"/>
            <w:sz w:val="20"/>
            <w:lang w:val="lv-LV"/>
          </w:rPr>
          <w:t>http://helcom.fi/Documents/Ministerial2013/Associated%20documents/Supporting/PLC-5.5%20Extended%20Summary%20for%20MM2013.pdf</w:t>
        </w:r>
      </w:hyperlink>
    </w:p>
    <w:p w:rsidR="00DB6FDE" w:rsidRPr="00C15A93" w:rsidRDefault="00DB6FDE" w:rsidP="00E302F6">
      <w:pPr>
        <w:pStyle w:val="Text1"/>
        <w:numPr>
          <w:ilvl w:val="0"/>
          <w:numId w:val="16"/>
        </w:numPr>
        <w:spacing w:before="120" w:line="240" w:lineRule="auto"/>
        <w:rPr>
          <w:sz w:val="20"/>
          <w:lang w:val="lv-LV"/>
        </w:rPr>
      </w:pPr>
      <w:r w:rsidRPr="00C15A93">
        <w:rPr>
          <w:sz w:val="20"/>
          <w:lang w:val="lv-LV"/>
        </w:rPr>
        <w:t xml:space="preserve">www.csb.gov.lv; </w:t>
      </w:r>
      <w:hyperlink r:id="rId39" w:history="1">
        <w:r w:rsidRPr="00C15A93">
          <w:rPr>
            <w:rStyle w:val="Hyperlink"/>
            <w:sz w:val="20"/>
            <w:lang w:val="lv-LV"/>
          </w:rPr>
          <w:t>http://www.stat.gov.lt/en/</w:t>
        </w:r>
      </w:hyperlink>
    </w:p>
    <w:p w:rsidR="00DB6FDE" w:rsidRPr="00C15A93" w:rsidRDefault="001C1E6F" w:rsidP="00E302F6">
      <w:pPr>
        <w:pStyle w:val="Text1"/>
        <w:numPr>
          <w:ilvl w:val="0"/>
          <w:numId w:val="16"/>
        </w:numPr>
        <w:spacing w:before="120" w:line="240" w:lineRule="auto"/>
        <w:rPr>
          <w:sz w:val="20"/>
          <w:lang w:val="lv-LV"/>
        </w:rPr>
      </w:pPr>
      <w:hyperlink r:id="rId40" w:history="1">
        <w:r w:rsidR="00DB6FDE" w:rsidRPr="00C15A93">
          <w:rPr>
            <w:rStyle w:val="Hyperlink"/>
            <w:sz w:val="20"/>
            <w:lang w:val="lv-LV"/>
          </w:rPr>
          <w:t>http://www.csb.gov.lv/statistikas-temas/monetara-nabadziba-un-ienakumu-nevienlidziba-datubaze-30062.html</w:t>
        </w:r>
      </w:hyperlink>
      <w:r w:rsidR="00DB6FDE" w:rsidRPr="00C15A93">
        <w:rPr>
          <w:sz w:val="20"/>
          <w:lang w:val="lv-LV"/>
        </w:rPr>
        <w:t xml:space="preserve"> </w:t>
      </w:r>
    </w:p>
    <w:p w:rsidR="00DB6FDE" w:rsidRPr="00C15A93" w:rsidRDefault="001C1E6F" w:rsidP="00E302F6">
      <w:pPr>
        <w:pStyle w:val="Text1"/>
        <w:numPr>
          <w:ilvl w:val="0"/>
          <w:numId w:val="16"/>
        </w:numPr>
        <w:spacing w:before="120" w:line="240" w:lineRule="auto"/>
        <w:rPr>
          <w:sz w:val="20"/>
          <w:lang w:val="lv-LV"/>
        </w:rPr>
      </w:pPr>
      <w:hyperlink r:id="rId41" w:history="1">
        <w:r w:rsidR="00DB6FDE" w:rsidRPr="00C15A93">
          <w:rPr>
            <w:rStyle w:val="Hyperlink"/>
            <w:sz w:val="20"/>
            <w:lang w:val="lv-LV"/>
          </w:rPr>
          <w:t>http://osp.stat.gov.lt/en/rodikliai18</w:t>
        </w:r>
      </w:hyperlink>
      <w:r w:rsidR="00DB6FDE" w:rsidRPr="00C15A93">
        <w:rPr>
          <w:sz w:val="20"/>
          <w:lang w:val="lv-LV"/>
        </w:rPr>
        <w:t xml:space="preserve"> </w:t>
      </w:r>
    </w:p>
    <w:p w:rsidR="00DB6FDE" w:rsidRPr="00C15A93" w:rsidRDefault="00DB6FDE" w:rsidP="00E302F6">
      <w:pPr>
        <w:pStyle w:val="Text1"/>
        <w:numPr>
          <w:ilvl w:val="0"/>
          <w:numId w:val="16"/>
        </w:numPr>
        <w:spacing w:before="120" w:line="240" w:lineRule="auto"/>
        <w:rPr>
          <w:sz w:val="20"/>
          <w:lang w:val="lv-LV"/>
        </w:rPr>
      </w:pPr>
      <w:r w:rsidRPr="00C15A93">
        <w:rPr>
          <w:sz w:val="20"/>
          <w:lang w:val="lv-LV"/>
        </w:rPr>
        <w:t>Katherine Duffy. Social Exclusion and Human Dignity in Europe: Background Report for the Proposed Initiative. Council of Europe. 1995.</w:t>
      </w:r>
    </w:p>
    <w:p w:rsidR="00DB6FDE" w:rsidRPr="00C15A93" w:rsidRDefault="001C1E6F" w:rsidP="00E302F6">
      <w:pPr>
        <w:pStyle w:val="Text1"/>
        <w:numPr>
          <w:ilvl w:val="0"/>
          <w:numId w:val="16"/>
        </w:numPr>
        <w:spacing w:before="120" w:line="240" w:lineRule="auto"/>
        <w:rPr>
          <w:sz w:val="20"/>
          <w:lang w:val="lv-LV"/>
        </w:rPr>
      </w:pPr>
      <w:hyperlink r:id="rId42" w:history="1">
        <w:r w:rsidR="00DB6FDE" w:rsidRPr="00C15A93">
          <w:rPr>
            <w:rStyle w:val="Hyperlink"/>
            <w:sz w:val="20"/>
            <w:lang w:val="lv-LV"/>
          </w:rPr>
          <w:t>http://epp.eurostat.ec.europa.eu/portal/page/portal/income_social_inclusion_living_conditions/data/database</w:t>
        </w:r>
      </w:hyperlink>
      <w:r w:rsidR="00DB6FDE" w:rsidRPr="00C15A93">
        <w:rPr>
          <w:sz w:val="20"/>
          <w:lang w:val="lv-LV"/>
        </w:rPr>
        <w:t xml:space="preserve"> </w:t>
      </w:r>
    </w:p>
    <w:p w:rsidR="00DB6FDE" w:rsidRPr="00C15A93" w:rsidRDefault="001C1E6F" w:rsidP="00E302F6">
      <w:pPr>
        <w:pStyle w:val="Text1"/>
        <w:numPr>
          <w:ilvl w:val="0"/>
          <w:numId w:val="16"/>
        </w:numPr>
        <w:spacing w:before="120" w:line="240" w:lineRule="auto"/>
        <w:rPr>
          <w:sz w:val="20"/>
          <w:lang w:val="lv-LV"/>
        </w:rPr>
      </w:pPr>
      <w:hyperlink r:id="rId43" w:history="1">
        <w:r w:rsidR="00DB6FDE" w:rsidRPr="00C15A93">
          <w:rPr>
            <w:rStyle w:val="Hyperlink"/>
            <w:sz w:val="20"/>
            <w:lang w:val="lv-LV"/>
          </w:rPr>
          <w:t>http://epp.eurostat.ec.europa.eu/statistics_explained/index.php/Glossary:Severe_material_deprivation_rate</w:t>
        </w:r>
      </w:hyperlink>
    </w:p>
    <w:p w:rsidR="0016193F" w:rsidRPr="00736F69" w:rsidRDefault="001C1E6F" w:rsidP="00E302F6">
      <w:pPr>
        <w:pStyle w:val="Text1"/>
        <w:numPr>
          <w:ilvl w:val="0"/>
          <w:numId w:val="16"/>
        </w:numPr>
        <w:spacing w:before="120" w:line="240" w:lineRule="auto"/>
        <w:rPr>
          <w:rFonts w:ascii="Verdana" w:hAnsi="Verdana"/>
          <w:sz w:val="20"/>
          <w:lang w:val="lv-LV"/>
        </w:rPr>
      </w:pPr>
      <w:hyperlink r:id="rId44" w:history="1">
        <w:r w:rsidR="00DB6FDE" w:rsidRPr="00C15A93">
          <w:rPr>
            <w:rStyle w:val="Hyperlink"/>
            <w:sz w:val="20"/>
            <w:lang w:val="lv-LV"/>
          </w:rPr>
          <w:t>http://appsso.eurostat.ec.europa.eu/nui/show.do?dataset=ilc_mdes04&amp;</w:t>
        </w:r>
      </w:hyperlink>
    </w:p>
    <w:p w:rsidR="00736F69" w:rsidRDefault="00736F69" w:rsidP="00736F69">
      <w:pPr>
        <w:pStyle w:val="Text1"/>
        <w:spacing w:before="120" w:line="240" w:lineRule="auto"/>
        <w:ind w:left="720"/>
        <w:rPr>
          <w:lang w:val="lv-LV"/>
        </w:rPr>
      </w:pPr>
    </w:p>
    <w:p w:rsidR="00736F69" w:rsidRDefault="00736F69" w:rsidP="00736F69">
      <w:pPr>
        <w:pStyle w:val="Text1"/>
        <w:spacing w:before="120" w:line="240" w:lineRule="auto"/>
        <w:ind w:left="720"/>
        <w:rPr>
          <w:lang w:val="lv-LV"/>
        </w:rPr>
      </w:pPr>
    </w:p>
    <w:p w:rsidR="00736F69" w:rsidRPr="00736F69" w:rsidRDefault="00736F69" w:rsidP="00736F69">
      <w:pPr>
        <w:pStyle w:val="Heading1"/>
      </w:pPr>
      <w:r w:rsidRPr="00736F69">
        <w:lastRenderedPageBreak/>
        <w:t>3.pielikums</w:t>
      </w:r>
      <w:r w:rsidRPr="00736F69">
        <w:br/>
        <w:t>Darbības plāns Rezultatīvo rādītāju atsauces vērtību un mērķvērtību aprēķinam</w:t>
      </w:r>
    </w:p>
    <w:p w:rsidR="00736F69" w:rsidRPr="00736F69" w:rsidRDefault="00736F69" w:rsidP="00736F69">
      <w:pPr>
        <w:pStyle w:val="Text1"/>
        <w:rPr>
          <w:szCs w:val="24"/>
          <w:lang w:val="lv-LV"/>
        </w:rPr>
      </w:pPr>
    </w:p>
    <w:p w:rsidR="00736F69" w:rsidRPr="00736F69" w:rsidRDefault="00736F69" w:rsidP="00736F69">
      <w:pPr>
        <w:pStyle w:val="ListParagraph"/>
        <w:numPr>
          <w:ilvl w:val="0"/>
          <w:numId w:val="27"/>
        </w:numPr>
        <w:spacing w:after="0" w:line="240" w:lineRule="auto"/>
        <w:jc w:val="left"/>
        <w:rPr>
          <w:rFonts w:ascii="Times New Roman" w:hAnsi="Times New Roman"/>
          <w:b/>
          <w:u w:val="single"/>
          <w:lang w:val="lv-LV"/>
        </w:rPr>
      </w:pPr>
      <w:r w:rsidRPr="00736F69">
        <w:rPr>
          <w:rFonts w:ascii="Times New Roman" w:hAnsi="Times New Roman"/>
          <w:b/>
          <w:u w:val="single"/>
          <w:lang w:val="lv-LV"/>
        </w:rPr>
        <w:t>Rezultatīvais rādītājs - 2.2.R2 ‘Satiksmes intensitāte uz renovētajiem ceļiem’</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Atsauces vērtību ieguves avots:</w:t>
      </w:r>
    </w:p>
    <w:p w:rsidR="00736F69" w:rsidRPr="00736F69" w:rsidRDefault="00736F69" w:rsidP="00736F69">
      <w:pPr>
        <w:pStyle w:val="ListParagraph"/>
        <w:numPr>
          <w:ilvl w:val="0"/>
          <w:numId w:val="22"/>
        </w:numPr>
        <w:spacing w:after="0" w:line="240" w:lineRule="auto"/>
        <w:jc w:val="left"/>
        <w:rPr>
          <w:rFonts w:ascii="Times New Roman" w:hAnsi="Times New Roman"/>
          <w:u w:val="single"/>
          <w:lang w:val="lv-LV"/>
        </w:rPr>
      </w:pPr>
      <w:r w:rsidRPr="00736F69">
        <w:rPr>
          <w:rFonts w:ascii="Times New Roman" w:hAnsi="Times New Roman"/>
          <w:lang w:val="lv-LV"/>
        </w:rPr>
        <w:t>Informācijas pieprasījums no nacionālajām autoceļu administrācijām par faktisko un plānoto satiksmes intensitāti atjaunojamajos ceļu posmos.</w:t>
      </w:r>
    </w:p>
    <w:p w:rsidR="00736F69" w:rsidRPr="00736F69" w:rsidRDefault="00736F69" w:rsidP="00736F69">
      <w:pPr>
        <w:pStyle w:val="ListParagraph"/>
        <w:spacing w:after="0" w:line="240" w:lineRule="auto"/>
        <w:jc w:val="left"/>
        <w:rPr>
          <w:rFonts w:ascii="Times New Roman" w:hAnsi="Times New Roman"/>
          <w:u w:val="single"/>
          <w:lang w:val="lv-LV"/>
        </w:rPr>
      </w:pPr>
      <w:r w:rsidRPr="00736F69">
        <w:rPr>
          <w:rFonts w:ascii="Times New Roman" w:hAnsi="Times New Roman"/>
          <w:u w:val="single"/>
          <w:lang w:val="lv-LV"/>
        </w:rPr>
        <w:t xml:space="preserve"> </w:t>
      </w: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Mērķvērtību ieguves avots (2023.gads):</w:t>
      </w:r>
    </w:p>
    <w:p w:rsidR="00736F69" w:rsidRPr="00736F69" w:rsidRDefault="00736F69" w:rsidP="00736F69">
      <w:pPr>
        <w:pStyle w:val="ListParagraph"/>
        <w:numPr>
          <w:ilvl w:val="0"/>
          <w:numId w:val="22"/>
        </w:numPr>
        <w:spacing w:after="0" w:line="240" w:lineRule="auto"/>
        <w:jc w:val="left"/>
        <w:rPr>
          <w:rFonts w:ascii="Times New Roman" w:hAnsi="Times New Roman"/>
          <w:u w:val="single"/>
          <w:lang w:val="lv-LV"/>
        </w:rPr>
      </w:pPr>
      <w:r w:rsidRPr="00736F69">
        <w:rPr>
          <w:rFonts w:ascii="Times New Roman" w:hAnsi="Times New Roman"/>
          <w:lang w:val="lv-LV"/>
        </w:rPr>
        <w:t>Informācijas pieprasījums no nacionālajām autoceļu administrācijām par faktisko satiksmes intensitāti atjaunojamajos ceļu posmos 2023.gadā.</w:t>
      </w:r>
    </w:p>
    <w:p w:rsidR="00736F69" w:rsidRPr="00736F69" w:rsidRDefault="00736F69" w:rsidP="00736F69">
      <w:pPr>
        <w:pStyle w:val="ListParagraph"/>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Pamatmetodika atsauces vērtību aprēķinam:</w:t>
      </w:r>
    </w:p>
    <w:p w:rsidR="00736F69" w:rsidRPr="00736F69" w:rsidRDefault="00736F69" w:rsidP="00736F69">
      <w:pPr>
        <w:pStyle w:val="ListParagraph"/>
        <w:numPr>
          <w:ilvl w:val="0"/>
          <w:numId w:val="22"/>
        </w:numPr>
        <w:spacing w:after="0" w:line="240" w:lineRule="auto"/>
        <w:jc w:val="left"/>
        <w:rPr>
          <w:rFonts w:ascii="Times New Roman" w:hAnsi="Times New Roman"/>
          <w:lang w:val="lv-LV"/>
        </w:rPr>
      </w:pPr>
      <w:r w:rsidRPr="00736F69">
        <w:rPr>
          <w:rFonts w:ascii="Times New Roman" w:hAnsi="Times New Roman"/>
          <w:lang w:val="lv-LV"/>
        </w:rPr>
        <w:t>Eiropas Komisijas Reģionālās politikas Ģenerāldirektorāta vadlīnijas ‘</w:t>
      </w:r>
      <w:r w:rsidRPr="00736F69">
        <w:rPr>
          <w:rFonts w:ascii="Times New Roman" w:hAnsi="Times New Roman"/>
          <w:i/>
          <w:lang w:val="lv-LV"/>
        </w:rPr>
        <w:t>The Programming Period 2014-2020 Guidance Document on Monitoring and Evaluation – European Regional Development Fund and Cohesion Fund – Concepts and Recommendations</w:t>
      </w:r>
      <w:r w:rsidRPr="00736F69">
        <w:rPr>
          <w:rFonts w:ascii="Times New Roman" w:hAnsi="Times New Roman"/>
          <w:lang w:val="lv-LV"/>
        </w:rPr>
        <w:t>’.</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rPr>
          <w:rFonts w:ascii="Times New Roman" w:hAnsi="Times New Roman"/>
          <w:lang w:val="lv-LV"/>
        </w:rPr>
      </w:pPr>
      <w:r w:rsidRPr="00736F69">
        <w:rPr>
          <w:rFonts w:ascii="Times New Roman" w:hAnsi="Times New Roman"/>
          <w:lang w:val="lv-LV"/>
        </w:rPr>
        <w:t>Saskaņā ar ES regulu prasībām, katram rezultatīvajam rādītājam ir jāaprēķina atsauces un mērķa vērtība. Atsauces vērtība ir rezultatīvā rādītāja vērtība programmēšanas perioda sākumā (</w:t>
      </w:r>
      <w:proofErr w:type="gramStart"/>
      <w:r w:rsidRPr="00736F69">
        <w:rPr>
          <w:rFonts w:ascii="Times New Roman" w:hAnsi="Times New Roman"/>
          <w:lang w:val="lv-LV"/>
        </w:rPr>
        <w:t>kā piemēram</w:t>
      </w:r>
      <w:proofErr w:type="gramEnd"/>
      <w:r w:rsidRPr="00736F69">
        <w:rPr>
          <w:rFonts w:ascii="Times New Roman" w:hAnsi="Times New Roman"/>
          <w:lang w:val="lv-LV"/>
        </w:rPr>
        <w:t>, jaunradītu uzņēmumu skaits reģionā), kurai, īstenojot konkrētās ES finansētās programmas prioritāti, tiek prognozētas izmaiņas (piemēram, skaita pieaugums). Vērtības var tikt aprēķinātas gan izmantojot statistikas datus, gan pieejamo publisko informāciju. Mazāka mēroga dati var nebūt pieejami, tāpēc rezultatīvo rādītāju vērtības var tikt noteiktas, piemēram, izmantojot aptaujas.</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Darbības plāns vērtību noteikšanai:</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informācijas pieprasījums nacionālajām autoceļu administrācijām – līdz 2014.gada 15.jūlijam;</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termiņš datu iesniegšanai – 2014.gada 15.augusts;</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atsauces vērtību un mērķvērtību aprēķins – 2014.gada 1.septembris.</w:t>
      </w:r>
    </w:p>
    <w:p w:rsidR="00736F69" w:rsidRPr="00736F69" w:rsidRDefault="00736F69" w:rsidP="00736F69">
      <w:pPr>
        <w:spacing w:after="0" w:line="240" w:lineRule="auto"/>
        <w:ind w:left="720"/>
        <w:jc w:val="left"/>
        <w:rPr>
          <w:rFonts w:ascii="Times New Roman" w:hAnsi="Times New Roman"/>
          <w:u w:val="single"/>
          <w:lang w:val="lv-LV"/>
        </w:rPr>
      </w:pPr>
    </w:p>
    <w:p w:rsidR="00736F69" w:rsidRPr="00736F69" w:rsidRDefault="00736F69" w:rsidP="00736F69">
      <w:pPr>
        <w:pStyle w:val="ListParagraph"/>
        <w:spacing w:after="0" w:line="240" w:lineRule="auto"/>
        <w:ind w:left="0"/>
        <w:jc w:val="left"/>
        <w:rPr>
          <w:rFonts w:ascii="Times New Roman" w:hAnsi="Times New Roman"/>
          <w:u w:val="single"/>
          <w:lang w:val="lv-LV"/>
        </w:rPr>
      </w:pPr>
      <w:r w:rsidRPr="00736F69">
        <w:rPr>
          <w:rFonts w:ascii="Times New Roman" w:hAnsi="Times New Roman"/>
          <w:u w:val="single"/>
          <w:lang w:val="lv-LV"/>
        </w:rPr>
        <w:t>Alternatīvas, ja dati nebūs pieejami:</w:t>
      </w:r>
    </w:p>
    <w:p w:rsidR="00736F69" w:rsidRPr="00736F69" w:rsidRDefault="00736F69" w:rsidP="00736F69">
      <w:pPr>
        <w:pStyle w:val="ListParagraph"/>
        <w:numPr>
          <w:ilvl w:val="0"/>
          <w:numId w:val="22"/>
        </w:numPr>
        <w:spacing w:after="0" w:line="240" w:lineRule="auto"/>
        <w:rPr>
          <w:rFonts w:ascii="Times New Roman" w:hAnsi="Times New Roman"/>
          <w:b/>
          <w:u w:val="single"/>
          <w:lang w:val="lv-LV"/>
        </w:rPr>
      </w:pPr>
      <w:r w:rsidRPr="00736F69">
        <w:rPr>
          <w:rFonts w:ascii="Times New Roman" w:hAnsi="Times New Roman"/>
          <w:lang w:val="lv-LV"/>
        </w:rPr>
        <w:t>Gadījumā, ja satiksmes intensitātes mērījumi un prognozes nebūs pieejami, tad ceļu administrācijas tiks lūgtas norādīt citus datus, kas raksturo atjaunotos ceļu posmos, kā piemēram laika, kas jāpavada ceļā, samazinājums. Izmantojot citus raksturojošos rādītājus, tiks sagatavotas alternatīvas rezultātu rādītājam.</w:t>
      </w:r>
      <w:r w:rsidRPr="00736F69">
        <w:rPr>
          <w:rFonts w:ascii="Times New Roman" w:hAnsi="Times New Roman"/>
          <w:b/>
          <w:u w:val="single"/>
          <w:lang w:val="lv-LV"/>
        </w:rPr>
        <w:t xml:space="preserve"> </w:t>
      </w:r>
    </w:p>
    <w:p w:rsidR="00736F69" w:rsidRPr="00736F69" w:rsidRDefault="00736F69" w:rsidP="00736F69">
      <w:pPr>
        <w:pStyle w:val="ListParagraph"/>
        <w:spacing w:after="0" w:line="240" w:lineRule="auto"/>
        <w:jc w:val="left"/>
        <w:rPr>
          <w:rFonts w:ascii="Times New Roman" w:hAnsi="Times New Roman"/>
          <w:b/>
          <w:u w:val="single"/>
          <w:lang w:val="lv-LV"/>
        </w:rPr>
      </w:pPr>
    </w:p>
    <w:p w:rsidR="00736F69" w:rsidRPr="00736F69" w:rsidRDefault="00736F69" w:rsidP="00736F69">
      <w:pPr>
        <w:pStyle w:val="ListParagraph"/>
        <w:spacing w:after="0" w:line="240" w:lineRule="auto"/>
        <w:jc w:val="left"/>
        <w:rPr>
          <w:rFonts w:ascii="Times New Roman" w:hAnsi="Times New Roman"/>
          <w:b/>
          <w:u w:val="single"/>
          <w:lang w:val="lv-LV"/>
        </w:rPr>
      </w:pPr>
    </w:p>
    <w:p w:rsidR="00736F69" w:rsidRPr="00736F69" w:rsidRDefault="00736F69" w:rsidP="00736F69">
      <w:pPr>
        <w:pStyle w:val="ListParagraph"/>
        <w:spacing w:after="0" w:line="240" w:lineRule="auto"/>
        <w:jc w:val="left"/>
        <w:rPr>
          <w:rFonts w:ascii="Times New Roman" w:hAnsi="Times New Roman"/>
          <w:b/>
          <w:u w:val="single"/>
          <w:lang w:val="lv-LV"/>
        </w:rPr>
      </w:pPr>
    </w:p>
    <w:p w:rsidR="00736F69" w:rsidRPr="00736F69" w:rsidRDefault="00736F69" w:rsidP="00736F69">
      <w:pPr>
        <w:pStyle w:val="ListParagraph"/>
        <w:spacing w:after="0" w:line="240" w:lineRule="auto"/>
        <w:jc w:val="left"/>
        <w:rPr>
          <w:rFonts w:ascii="Times New Roman" w:hAnsi="Times New Roman"/>
          <w:b/>
          <w:u w:val="single"/>
          <w:lang w:val="lv-LV"/>
        </w:rPr>
      </w:pPr>
    </w:p>
    <w:p w:rsidR="00736F69" w:rsidRPr="00736F69" w:rsidRDefault="00736F69" w:rsidP="00736F69">
      <w:pPr>
        <w:pStyle w:val="ListParagraph"/>
        <w:spacing w:after="0" w:line="240" w:lineRule="auto"/>
        <w:jc w:val="left"/>
        <w:rPr>
          <w:rFonts w:ascii="Times New Roman" w:hAnsi="Times New Roman"/>
          <w:b/>
          <w:u w:val="single"/>
          <w:lang w:val="lv-LV"/>
        </w:rPr>
      </w:pPr>
    </w:p>
    <w:p w:rsidR="00736F69" w:rsidRPr="00736F69" w:rsidRDefault="00736F69" w:rsidP="00736F69">
      <w:pPr>
        <w:pStyle w:val="ListParagraph"/>
        <w:spacing w:after="0" w:line="240" w:lineRule="auto"/>
        <w:jc w:val="left"/>
        <w:rPr>
          <w:rFonts w:ascii="Times New Roman" w:hAnsi="Times New Roman"/>
          <w:b/>
          <w:u w:val="single"/>
          <w:lang w:val="lv-LV"/>
        </w:rPr>
      </w:pPr>
    </w:p>
    <w:p w:rsidR="00736F69" w:rsidRPr="00736F69" w:rsidRDefault="00736F69" w:rsidP="00736F69">
      <w:pPr>
        <w:pStyle w:val="ListParagraph"/>
        <w:spacing w:after="0" w:line="240" w:lineRule="auto"/>
        <w:jc w:val="left"/>
        <w:rPr>
          <w:rFonts w:ascii="Times New Roman" w:hAnsi="Times New Roman"/>
          <w:b/>
          <w:u w:val="single"/>
          <w:lang w:val="lv-LV"/>
        </w:rPr>
      </w:pPr>
    </w:p>
    <w:p w:rsidR="00736F69" w:rsidRPr="00736F69" w:rsidRDefault="00736F69" w:rsidP="00736F69">
      <w:pPr>
        <w:pStyle w:val="ListParagraph"/>
        <w:numPr>
          <w:ilvl w:val="0"/>
          <w:numId w:val="27"/>
        </w:numPr>
        <w:spacing w:after="0" w:line="240" w:lineRule="auto"/>
        <w:jc w:val="left"/>
        <w:rPr>
          <w:rFonts w:ascii="Times New Roman" w:hAnsi="Times New Roman"/>
          <w:b/>
          <w:u w:val="single"/>
          <w:lang w:val="lv-LV"/>
        </w:rPr>
      </w:pPr>
      <w:r w:rsidRPr="00736F69">
        <w:rPr>
          <w:rFonts w:ascii="Times New Roman" w:hAnsi="Times New Roman"/>
          <w:b/>
          <w:u w:val="single"/>
          <w:lang w:val="lv-LV"/>
        </w:rPr>
        <w:t>Rezultatīvais rādītājs - 3.1.R1 ‘To cilvēku īpatsvars, kas gūst labumu no sociālās iekļaušanas pasākumiem un sociālajiem pakalpojumiem’</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Atsauces vērtību ieguves avots:</w:t>
      </w:r>
    </w:p>
    <w:p w:rsidR="00736F69" w:rsidRPr="00736F69" w:rsidRDefault="00736F69" w:rsidP="00736F69">
      <w:pPr>
        <w:pStyle w:val="ListParagraph"/>
        <w:numPr>
          <w:ilvl w:val="0"/>
          <w:numId w:val="22"/>
        </w:numPr>
        <w:spacing w:after="0" w:line="240" w:lineRule="auto"/>
        <w:rPr>
          <w:rFonts w:ascii="Times New Roman" w:hAnsi="Times New Roman"/>
          <w:lang w:val="lv-LV"/>
        </w:rPr>
      </w:pPr>
      <w:r w:rsidRPr="00736F69">
        <w:rPr>
          <w:rFonts w:ascii="Times New Roman" w:hAnsi="Times New Roman"/>
          <w:lang w:val="lv-LV"/>
        </w:rPr>
        <w:t>Pašvaldību, iestāžu un nevalstiskā sektora organizāciju (tās, kas nodrošina sociālos pakalpojumus un veicina iekļaušanu) aptauja, lai noteiktu cilvēku skaitu, kas izmantojuši sadarbības rezultātā uzlabotus/izstrādātus sociālos pakalpojumus un novērtētu sociālās iekļaušanas pasākumu kvalitāti. Pamatojoties uz kvalitatīvajiem un kvantitatīvajiem datiem, tiks izveidota atsauces vērtība un prognoze mērķvērtībai 2023.gadā.</w:t>
      </w:r>
    </w:p>
    <w:p w:rsidR="00736F69" w:rsidRPr="00736F69" w:rsidRDefault="00736F69" w:rsidP="00736F69">
      <w:pPr>
        <w:pStyle w:val="ListParagraph"/>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Mērķvērtību ieguves avots (2023.gads):</w:t>
      </w:r>
    </w:p>
    <w:p w:rsidR="00736F69" w:rsidRPr="00736F69" w:rsidRDefault="00736F69" w:rsidP="00736F69">
      <w:pPr>
        <w:pStyle w:val="ListParagraph"/>
        <w:numPr>
          <w:ilvl w:val="0"/>
          <w:numId w:val="22"/>
        </w:numPr>
        <w:spacing w:after="0" w:line="240" w:lineRule="auto"/>
        <w:rPr>
          <w:rFonts w:ascii="Times New Roman" w:hAnsi="Times New Roman"/>
          <w:lang w:val="lv-LV"/>
        </w:rPr>
      </w:pPr>
      <w:r w:rsidRPr="00736F69">
        <w:rPr>
          <w:rFonts w:ascii="Times New Roman" w:hAnsi="Times New Roman"/>
          <w:lang w:val="lv-LV"/>
        </w:rPr>
        <w:t>Pašvaldību, iestāžu un nevalstiskā sektora organizāciju (tās, kas nodrošina sociālos pakalpojumus un veicina iekļaušanu) aptauja, lai noteiktu faktisko cilvēku skaitu, kas izmantojuši sadarbības rezultātā uzlabotus/izstrādātus sociālos pakalpojumus un novērtētu sociālās iekļaušanas pasākumu kvalitāti.</w:t>
      </w:r>
    </w:p>
    <w:p w:rsidR="00736F69" w:rsidRPr="00736F69" w:rsidRDefault="00736F69" w:rsidP="00736F69">
      <w:pPr>
        <w:spacing w:after="0" w:line="240" w:lineRule="auto"/>
        <w:rPr>
          <w:rFonts w:ascii="Times New Roman" w:hAnsi="Times New Roman"/>
          <w:u w:val="single"/>
          <w:lang w:val="lv-LV"/>
        </w:rPr>
      </w:pPr>
    </w:p>
    <w:p w:rsidR="00736F69" w:rsidRPr="00736F69" w:rsidRDefault="00736F69" w:rsidP="00736F69">
      <w:pPr>
        <w:spacing w:after="0" w:line="240" w:lineRule="auto"/>
        <w:rPr>
          <w:rFonts w:ascii="Times New Roman" w:hAnsi="Times New Roman"/>
          <w:lang w:val="lv-LV"/>
        </w:rPr>
      </w:pPr>
      <w:r w:rsidRPr="00736F69">
        <w:rPr>
          <w:rFonts w:ascii="Times New Roman" w:hAnsi="Times New Roman"/>
          <w:lang w:val="lv-LV"/>
        </w:rPr>
        <w:t>Apkopotie dati atļaus noteikti tendenci, kādā veidā kopīgi izstrādātie sociālie pakalpojumi un iekļaušanas pasākumi ietekmē Programmas teritorijā dzīvojošo cilvēku dzīves kvalitāti un atļaus izprast pārrobežu sadarbības ietekmi sociālajā sfērā. Programma sagaida, ka lielāks cilvēku skaits varēs saņemt uzlabotos pakalpojumus, tādējādi apstiprinot sadarbības pievienoto vērtību.</w:t>
      </w:r>
    </w:p>
    <w:p w:rsidR="00736F69" w:rsidRPr="00736F69" w:rsidRDefault="00736F69" w:rsidP="00736F69">
      <w:pPr>
        <w:spacing w:after="0" w:line="240" w:lineRule="auto"/>
        <w:rPr>
          <w:rFonts w:ascii="Times New Roman" w:hAnsi="Times New Roman"/>
          <w:u w:val="single"/>
          <w:lang w:val="lv-LV"/>
        </w:rPr>
      </w:pPr>
      <w:r w:rsidRPr="00736F69">
        <w:rPr>
          <w:rFonts w:ascii="Times New Roman" w:hAnsi="Times New Roman"/>
          <w:u w:val="single"/>
          <w:lang w:val="lv-LV"/>
        </w:rPr>
        <w:t xml:space="preserve"> </w:t>
      </w: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Pamatmetodika atsauces vērtību aprēķinam:</w:t>
      </w:r>
    </w:p>
    <w:p w:rsidR="00736F69" w:rsidRPr="00736F69" w:rsidRDefault="00736F69" w:rsidP="00736F69">
      <w:pPr>
        <w:pStyle w:val="ListParagraph"/>
        <w:numPr>
          <w:ilvl w:val="0"/>
          <w:numId w:val="22"/>
        </w:numPr>
        <w:spacing w:after="0" w:line="240" w:lineRule="auto"/>
        <w:jc w:val="left"/>
        <w:rPr>
          <w:rFonts w:ascii="Times New Roman" w:hAnsi="Times New Roman"/>
          <w:lang w:val="lv-LV"/>
        </w:rPr>
      </w:pPr>
      <w:r w:rsidRPr="00736F69">
        <w:rPr>
          <w:rFonts w:ascii="Times New Roman" w:hAnsi="Times New Roman"/>
          <w:lang w:val="lv-LV"/>
        </w:rPr>
        <w:t>Eiropas Komisijas Reģionālās politikas Ģenerāldirektorāta vadlīnijas ‘</w:t>
      </w:r>
      <w:r w:rsidRPr="00736F69">
        <w:rPr>
          <w:rFonts w:ascii="Times New Roman" w:hAnsi="Times New Roman"/>
          <w:i/>
          <w:lang w:val="lv-LV"/>
        </w:rPr>
        <w:t>The Programming Period 2014-2020 Guidance Document on Monitoring and Evaluation – European Regional Development Fund and Cohesion Fund – Concepts and Recommendations</w:t>
      </w:r>
      <w:r w:rsidRPr="00736F69">
        <w:rPr>
          <w:rFonts w:ascii="Times New Roman" w:hAnsi="Times New Roman"/>
          <w:lang w:val="lv-LV"/>
        </w:rPr>
        <w:t>’.</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rPr>
          <w:rFonts w:ascii="Times New Roman" w:hAnsi="Times New Roman"/>
          <w:lang w:val="lv-LV"/>
        </w:rPr>
      </w:pPr>
      <w:r w:rsidRPr="00736F69">
        <w:rPr>
          <w:rFonts w:ascii="Times New Roman" w:hAnsi="Times New Roman"/>
          <w:lang w:val="lv-LV"/>
        </w:rPr>
        <w:t>Saskaņā ar ES regulu prasībām, katram rezultatīvajam rādītājam ir jāaprēķina atsauces un mērķa vērtība. Atsauces vērtība ir rezultatīvā rādītāja vērtība programmēšanas perioda sākumā (kā piemēram, jaunradītu uzņēmumu skaits reģionā), kurai, īstenojot konkrētās ES finansētās programmas prioritāti, tiek prognozētas izmaiņas (piemēram, skaita pieaugums). Vērtības var tikt aprēķinātas gan izmantojot statistikas datus, gan pieejamo publisko informāciju. Mazāka mēroga dati var nebūt pieejami, tāpēc rezultatīvo rādītāju vērtības var tikt noteiktas, piemēram, izmantojot aptaujas.</w:t>
      </w:r>
    </w:p>
    <w:p w:rsidR="00736F69" w:rsidRPr="00736F69" w:rsidRDefault="00736F69" w:rsidP="00736F69">
      <w:pPr>
        <w:spacing w:after="0" w:line="240" w:lineRule="auto"/>
        <w:rPr>
          <w:rFonts w:ascii="Times New Roman" w:hAnsi="Times New Roman"/>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Darbības plāns vērtību noteikšanai:</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informācijas pieprasījums nacionālajām autoceļu administrācijām – līdz 2014.gada 15.jūlijam;</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termiņš datu iesniegšanai – 2014.gada 15.augusts;</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atsauces vērtību un mērķvērtību aprēķins – 2014.gada 1.septembris.</w:t>
      </w:r>
    </w:p>
    <w:p w:rsidR="00736F69" w:rsidRPr="00736F69" w:rsidRDefault="00736F69" w:rsidP="00736F69">
      <w:pPr>
        <w:pStyle w:val="ListParagraph"/>
        <w:spacing w:after="0" w:line="240" w:lineRule="auto"/>
        <w:jc w:val="left"/>
        <w:rPr>
          <w:rFonts w:ascii="Times New Roman" w:hAnsi="Times New Roman"/>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Alternatīvas, ja dati nebūs pieejami:</w:t>
      </w:r>
    </w:p>
    <w:p w:rsidR="00736F69" w:rsidRDefault="00736F69" w:rsidP="00736F69">
      <w:pPr>
        <w:pStyle w:val="ListParagraph"/>
        <w:numPr>
          <w:ilvl w:val="0"/>
          <w:numId w:val="22"/>
        </w:numPr>
        <w:spacing w:after="0" w:line="240" w:lineRule="auto"/>
        <w:jc w:val="left"/>
        <w:rPr>
          <w:rFonts w:ascii="Times New Roman" w:hAnsi="Times New Roman"/>
          <w:lang w:val="lv-LV"/>
        </w:rPr>
      </w:pPr>
      <w:r w:rsidRPr="00736F69">
        <w:rPr>
          <w:rFonts w:ascii="Times New Roman" w:hAnsi="Times New Roman"/>
          <w:lang w:val="lv-LV"/>
        </w:rPr>
        <w:t>Statisik no nacionālajām statistikas pārvaldēm/informācija un reģionālajām un pašvaldības iestādēm par kopējo cilvēku skaitu, kas izmanto sociālos pakalpojumus. Šie dati neparāda sadarbības ietekmi, tāpēc, pat ja tie tiktu izmantoti, būtu jāveic detalizēts izvērtējums, lai tos varētu izmantot atsauces un mērķvērtību aprēķinam.</w:t>
      </w:r>
    </w:p>
    <w:p w:rsidR="00736F69" w:rsidRDefault="00736F69" w:rsidP="00736F69">
      <w:pPr>
        <w:pStyle w:val="ListParagraph"/>
        <w:spacing w:after="0" w:line="240" w:lineRule="auto"/>
        <w:jc w:val="left"/>
        <w:rPr>
          <w:rFonts w:ascii="Times New Roman" w:hAnsi="Times New Roman"/>
          <w:lang w:val="lv-LV"/>
        </w:rPr>
      </w:pPr>
    </w:p>
    <w:p w:rsidR="00736F69" w:rsidRPr="00736F69" w:rsidRDefault="00736F69" w:rsidP="00736F69">
      <w:pPr>
        <w:pStyle w:val="ListParagraph"/>
        <w:spacing w:after="0" w:line="240" w:lineRule="auto"/>
        <w:jc w:val="left"/>
        <w:rPr>
          <w:rFonts w:ascii="Times New Roman" w:hAnsi="Times New Roman"/>
          <w:lang w:val="lv-LV"/>
        </w:rPr>
      </w:pPr>
      <w:r w:rsidRPr="00736F69">
        <w:rPr>
          <w:rFonts w:ascii="Times New Roman" w:hAnsi="Times New Roman"/>
          <w:lang w:val="lv-LV"/>
        </w:rPr>
        <w:t xml:space="preserve"> </w:t>
      </w:r>
    </w:p>
    <w:p w:rsidR="00736F69" w:rsidRPr="00736F69" w:rsidRDefault="00736F69" w:rsidP="00736F69">
      <w:pPr>
        <w:pStyle w:val="ListParagraph"/>
        <w:numPr>
          <w:ilvl w:val="0"/>
          <w:numId w:val="27"/>
        </w:numPr>
        <w:spacing w:after="0" w:line="240" w:lineRule="auto"/>
        <w:jc w:val="left"/>
        <w:rPr>
          <w:rFonts w:ascii="Times New Roman" w:hAnsi="Times New Roman"/>
          <w:b/>
          <w:u w:val="single"/>
          <w:lang w:val="lv-LV"/>
        </w:rPr>
      </w:pPr>
      <w:r w:rsidRPr="00736F69">
        <w:rPr>
          <w:rFonts w:ascii="Times New Roman" w:hAnsi="Times New Roman"/>
          <w:b/>
          <w:u w:val="single"/>
          <w:lang w:val="lv-LV"/>
        </w:rPr>
        <w:t>Rezultatīvais rādītājs - 4.1.R1 ‘Kopīgo risinājumu skaits sabiedrisko pakalpojumu uzlabošanai’</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Atsauces vērtību ieguves avots:</w:t>
      </w:r>
    </w:p>
    <w:p w:rsidR="00736F69" w:rsidRPr="00736F69" w:rsidRDefault="00736F69" w:rsidP="00736F69">
      <w:pPr>
        <w:pStyle w:val="ListParagraph"/>
        <w:numPr>
          <w:ilvl w:val="0"/>
          <w:numId w:val="22"/>
        </w:numPr>
        <w:spacing w:after="0" w:line="240" w:lineRule="auto"/>
        <w:rPr>
          <w:rFonts w:ascii="Times New Roman" w:hAnsi="Times New Roman"/>
          <w:u w:val="single"/>
          <w:lang w:val="lv-LV"/>
        </w:rPr>
      </w:pPr>
      <w:r w:rsidRPr="00736F69">
        <w:rPr>
          <w:rFonts w:ascii="Times New Roman" w:hAnsi="Times New Roman"/>
          <w:lang w:val="lv-LV"/>
        </w:rPr>
        <w:t xml:space="preserve">Programmas teritorijā darbojošos pārrobežu sadarbības programmu administrējošo iestāžu aptauja (datu trūkuma gadījumā, un, ja nepieciešams – arī pašvaldību aptauja), lai noteiktu gan 2007.-2013.gadu periodā izveidoto/uzlaboto publisko pakalpojumu skaitu. </w:t>
      </w:r>
    </w:p>
    <w:p w:rsidR="00736F69" w:rsidRPr="00736F69" w:rsidRDefault="00736F69" w:rsidP="00736F69">
      <w:pPr>
        <w:pStyle w:val="ListParagraph"/>
        <w:spacing w:after="0" w:line="240" w:lineRule="auto"/>
        <w:jc w:val="left"/>
        <w:rPr>
          <w:rFonts w:ascii="Times New Roman" w:hAnsi="Times New Roman"/>
          <w:u w:val="single"/>
          <w:lang w:val="lv-LV"/>
        </w:rPr>
      </w:pPr>
      <w:r w:rsidRPr="00736F69">
        <w:rPr>
          <w:rFonts w:ascii="Times New Roman" w:hAnsi="Times New Roman"/>
          <w:u w:val="single"/>
          <w:lang w:val="lv-LV"/>
        </w:rPr>
        <w:t xml:space="preserve"> </w:t>
      </w: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Mērķvērtību ieguves avots (2023.gads):</w:t>
      </w:r>
    </w:p>
    <w:p w:rsidR="00736F69" w:rsidRPr="00736F69" w:rsidRDefault="00736F69" w:rsidP="00736F69">
      <w:pPr>
        <w:pStyle w:val="ListParagraph"/>
        <w:numPr>
          <w:ilvl w:val="0"/>
          <w:numId w:val="22"/>
        </w:numPr>
        <w:spacing w:after="0" w:line="240" w:lineRule="auto"/>
        <w:rPr>
          <w:rFonts w:ascii="Times New Roman" w:hAnsi="Times New Roman"/>
          <w:u w:val="single"/>
          <w:lang w:val="lv-LV"/>
        </w:rPr>
      </w:pPr>
      <w:r w:rsidRPr="00736F69">
        <w:rPr>
          <w:rFonts w:ascii="Times New Roman" w:hAnsi="Times New Roman"/>
          <w:lang w:val="lv-LV"/>
        </w:rPr>
        <w:t>Programmas teritorijā darbojošos pārrobežu sadarbības programmu administrējošo iestāžu aptauja (ja nepieciešams – arī pašvaldību aptauja) par faktiski uzlabotajiem publiskajiem pakalpojumiem pārrobežu sadarības rezultātā.</w:t>
      </w:r>
    </w:p>
    <w:p w:rsidR="00736F69" w:rsidRPr="00736F69" w:rsidRDefault="00736F69" w:rsidP="00736F69">
      <w:pPr>
        <w:pStyle w:val="ListParagraph"/>
        <w:spacing w:after="0" w:line="240" w:lineRule="auto"/>
        <w:rPr>
          <w:rFonts w:ascii="Times New Roman" w:hAnsi="Times New Roman"/>
          <w:u w:val="single"/>
          <w:lang w:val="lv-LV"/>
        </w:rPr>
      </w:pPr>
      <w:r w:rsidRPr="00736F69">
        <w:rPr>
          <w:rFonts w:ascii="Times New Roman" w:hAnsi="Times New Roman"/>
          <w:u w:val="single"/>
          <w:lang w:val="lv-LV"/>
        </w:rPr>
        <w:t xml:space="preserve"> </w:t>
      </w:r>
    </w:p>
    <w:p w:rsidR="00736F69" w:rsidRPr="00736F69" w:rsidRDefault="00736F69" w:rsidP="00736F69">
      <w:pPr>
        <w:spacing w:after="0" w:line="240" w:lineRule="auto"/>
        <w:rPr>
          <w:rFonts w:ascii="Times New Roman" w:hAnsi="Times New Roman"/>
          <w:lang w:val="lv-LV"/>
        </w:rPr>
      </w:pPr>
      <w:r w:rsidRPr="00736F69">
        <w:rPr>
          <w:rFonts w:ascii="Times New Roman" w:hAnsi="Times New Roman"/>
          <w:lang w:val="lv-LV"/>
        </w:rPr>
        <w:t>Programma sagaida, ka projekti veicinās publisko pakalpojumu efektivitāti, izmantojot pārrobežu sadarbību. Apkopotā informācija atļaus noteikt tendences publisko pakalpojumu efektivitātes pieaugumam, kā arī atsauces vērtības tiks noteiktas, pamatojoties uz to kā</w:t>
      </w:r>
      <w:proofErr w:type="gramStart"/>
      <w:r w:rsidRPr="00736F69">
        <w:rPr>
          <w:rFonts w:ascii="Times New Roman" w:hAnsi="Times New Roman"/>
          <w:lang w:val="lv-LV"/>
        </w:rPr>
        <w:t xml:space="preserve">  </w:t>
      </w:r>
      <w:proofErr w:type="gramEnd"/>
      <w:r w:rsidRPr="00736F69">
        <w:rPr>
          <w:rFonts w:ascii="Times New Roman" w:hAnsi="Times New Roman"/>
          <w:lang w:val="lv-LV"/>
        </w:rPr>
        <w:t xml:space="preserve">sadarbība ietekmē publiskos pakalpojumus. </w:t>
      </w:r>
    </w:p>
    <w:p w:rsidR="00736F69" w:rsidRPr="00736F69" w:rsidRDefault="00736F69" w:rsidP="00736F69">
      <w:pPr>
        <w:spacing w:after="0" w:line="240" w:lineRule="auto"/>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Pamatmetodika atsauces vērtību aprēķinam:</w:t>
      </w:r>
    </w:p>
    <w:p w:rsidR="00736F69" w:rsidRPr="00736F69" w:rsidRDefault="00736F69" w:rsidP="00736F69">
      <w:pPr>
        <w:pStyle w:val="ListParagraph"/>
        <w:numPr>
          <w:ilvl w:val="0"/>
          <w:numId w:val="22"/>
        </w:numPr>
        <w:spacing w:after="0" w:line="240" w:lineRule="auto"/>
        <w:jc w:val="left"/>
        <w:rPr>
          <w:rFonts w:ascii="Times New Roman" w:hAnsi="Times New Roman"/>
          <w:lang w:val="lv-LV"/>
        </w:rPr>
      </w:pPr>
      <w:r w:rsidRPr="00736F69">
        <w:rPr>
          <w:rFonts w:ascii="Times New Roman" w:hAnsi="Times New Roman"/>
          <w:lang w:val="lv-LV"/>
        </w:rPr>
        <w:t>Eiropas Komisijas Reģionālās politikas Ģenerāldirektorāta vadlīnijas ‘</w:t>
      </w:r>
      <w:r w:rsidRPr="00736F69">
        <w:rPr>
          <w:rFonts w:ascii="Times New Roman" w:hAnsi="Times New Roman"/>
          <w:i/>
          <w:lang w:val="lv-LV"/>
        </w:rPr>
        <w:t>The Programming Period 2014-2020 Guidance Document on Monitoring and Evaluation – European Regional Development Fund and Cohesion Fund – Concepts and Recommendations</w:t>
      </w:r>
      <w:r w:rsidRPr="00736F69">
        <w:rPr>
          <w:rFonts w:ascii="Times New Roman" w:hAnsi="Times New Roman"/>
          <w:lang w:val="lv-LV"/>
        </w:rPr>
        <w:t>’.</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rPr>
          <w:rFonts w:ascii="Times New Roman" w:hAnsi="Times New Roman"/>
          <w:lang w:val="lv-LV"/>
        </w:rPr>
      </w:pPr>
      <w:r w:rsidRPr="00736F69">
        <w:rPr>
          <w:rFonts w:ascii="Times New Roman" w:hAnsi="Times New Roman"/>
          <w:lang w:val="lv-LV"/>
        </w:rPr>
        <w:t>Saskaņā ar ES regulu prasībām, katram rezultatīvajam rādītājam ir jāaprēķina atsauces un mērķa vērtība. Atsauces vērtība ir rezultatīvā rādītāja vērtība programmēšanas perioda sākumā (kā piemēram, jaunradītu uzņēmumu skaits reģionā), kurai, īstenojot konkrētās ES finansētās programmas prioritāti, tiek prognozētas izmaiņas (piemēram, skaita pieaugums). Vērtības var tikt aprēķinātas gan izmantojot statistikas datus, gan pieejamo publisko informāciju. Mazāka mēroga dati var nebūt pieejami, tāpēc rezultatīvo rādītāju vērtības var tikt noteiktas, piemēram, izmantojot aptaujas.</w:t>
      </w:r>
    </w:p>
    <w:p w:rsidR="00736F69" w:rsidRPr="00736F69" w:rsidRDefault="00736F69" w:rsidP="00736F69">
      <w:pPr>
        <w:spacing w:after="0" w:line="240" w:lineRule="auto"/>
        <w:jc w:val="left"/>
        <w:rPr>
          <w:rFonts w:ascii="Times New Roman" w:hAnsi="Times New Roman"/>
          <w:u w:val="single"/>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Darbības plāns vērtību noteikšanai:</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informācijas pieprasījums nacionālajām autoceļu administrācijām – līdz 2014.gada 15.jūlijam;</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lastRenderedPageBreak/>
        <w:t>termiņš datu iesniegšanai – 2014.gada 15.augusts;</w:t>
      </w:r>
    </w:p>
    <w:p w:rsidR="00736F69" w:rsidRPr="00736F69" w:rsidRDefault="00736F69" w:rsidP="00736F69">
      <w:pPr>
        <w:pStyle w:val="ListParagraph"/>
        <w:numPr>
          <w:ilvl w:val="0"/>
          <w:numId w:val="28"/>
        </w:numPr>
        <w:spacing w:after="0" w:line="240" w:lineRule="auto"/>
        <w:jc w:val="left"/>
        <w:rPr>
          <w:rFonts w:ascii="Times New Roman" w:hAnsi="Times New Roman"/>
          <w:lang w:val="lv-LV"/>
        </w:rPr>
      </w:pPr>
      <w:r w:rsidRPr="00736F69">
        <w:rPr>
          <w:rFonts w:ascii="Times New Roman" w:hAnsi="Times New Roman"/>
          <w:lang w:val="lv-LV"/>
        </w:rPr>
        <w:t>atsauces vērtību un mērķvērtību aprēķins – 2014.gada 1.septembris.</w:t>
      </w:r>
    </w:p>
    <w:p w:rsidR="00736F69" w:rsidRPr="00736F69" w:rsidRDefault="00736F69" w:rsidP="00736F69">
      <w:pPr>
        <w:spacing w:after="0" w:line="240" w:lineRule="auto"/>
        <w:ind w:left="720"/>
        <w:jc w:val="left"/>
        <w:rPr>
          <w:rFonts w:ascii="Times New Roman" w:hAnsi="Times New Roman"/>
          <w:lang w:val="lv-LV"/>
        </w:rPr>
      </w:pPr>
    </w:p>
    <w:p w:rsidR="00736F69" w:rsidRPr="00736F69" w:rsidRDefault="00736F69" w:rsidP="00736F69">
      <w:pPr>
        <w:spacing w:after="0" w:line="240" w:lineRule="auto"/>
        <w:jc w:val="left"/>
        <w:rPr>
          <w:rFonts w:ascii="Times New Roman" w:hAnsi="Times New Roman"/>
          <w:u w:val="single"/>
          <w:lang w:val="lv-LV"/>
        </w:rPr>
      </w:pPr>
      <w:r w:rsidRPr="00736F69">
        <w:rPr>
          <w:rFonts w:ascii="Times New Roman" w:hAnsi="Times New Roman"/>
          <w:u w:val="single"/>
          <w:lang w:val="lv-LV"/>
        </w:rPr>
        <w:t>Alternatīvas, ja dati nebūs pieejami:</w:t>
      </w:r>
    </w:p>
    <w:p w:rsidR="00736F69" w:rsidRPr="00736F69" w:rsidRDefault="00736F69" w:rsidP="00736F69">
      <w:pPr>
        <w:pStyle w:val="ListParagraph"/>
        <w:numPr>
          <w:ilvl w:val="0"/>
          <w:numId w:val="22"/>
        </w:numPr>
        <w:spacing w:after="0" w:line="240" w:lineRule="auto"/>
        <w:rPr>
          <w:rFonts w:ascii="Times New Roman" w:hAnsi="Times New Roman"/>
          <w:u w:val="single"/>
          <w:lang w:val="lv-LV"/>
        </w:rPr>
      </w:pPr>
      <w:r w:rsidRPr="00736F69">
        <w:rPr>
          <w:rFonts w:ascii="Times New Roman" w:hAnsi="Times New Roman"/>
          <w:lang w:val="lv-LV"/>
        </w:rPr>
        <w:t>Ja nepieciešams, varētu tikt izmantoti dati no pašvaldībām par publiskajiem pakalpojumiem, kas uzlaboti sadarbības rezultātā, tomēr ir skaidri jānosaka sadarbības ietekme, uzlabojot konkrētos pakalpojumus, lai datus varētu izmantot.</w:t>
      </w:r>
    </w:p>
    <w:p w:rsidR="00736F69" w:rsidRPr="00736F69" w:rsidRDefault="00736F69" w:rsidP="00736F69">
      <w:pPr>
        <w:rPr>
          <w:rFonts w:ascii="Times New Roman" w:hAnsi="Times New Roman"/>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Default="00736F69" w:rsidP="00736F69">
      <w:pPr>
        <w:spacing w:after="0" w:line="240" w:lineRule="auto"/>
        <w:jc w:val="left"/>
        <w:rPr>
          <w:rFonts w:ascii="Times New Roman" w:hAnsi="Times New Roman"/>
          <w:b/>
          <w:smallCaps/>
          <w:lang w:val="lv-LV"/>
        </w:rPr>
      </w:pPr>
    </w:p>
    <w:p w:rsidR="00736F69" w:rsidRPr="00736F69" w:rsidRDefault="00736F69" w:rsidP="00736F69">
      <w:pPr>
        <w:spacing w:after="0" w:line="240" w:lineRule="auto"/>
        <w:jc w:val="left"/>
        <w:rPr>
          <w:rFonts w:ascii="Times New Roman" w:hAnsi="Times New Roman"/>
          <w:b/>
          <w:smallCaps/>
          <w:lang w:val="lv-LV"/>
        </w:rPr>
      </w:pPr>
    </w:p>
    <w:p w:rsidR="00736F69" w:rsidRPr="00736F69" w:rsidRDefault="00736F69" w:rsidP="00736F69">
      <w:pPr>
        <w:spacing w:after="0" w:line="240" w:lineRule="auto"/>
        <w:jc w:val="left"/>
        <w:rPr>
          <w:rFonts w:ascii="Times New Roman" w:hAnsi="Times New Roman"/>
          <w:b/>
          <w:bCs/>
          <w:smallCaps/>
          <w:lang w:val="lv-LV"/>
        </w:rPr>
      </w:pPr>
    </w:p>
    <w:p w:rsidR="00736F69" w:rsidRPr="00736F69" w:rsidRDefault="00736F69" w:rsidP="00736F69">
      <w:pPr>
        <w:pStyle w:val="Heading1"/>
      </w:pPr>
      <w:bookmarkStart w:id="264" w:name="_Toc393361937"/>
      <w:bookmarkStart w:id="265" w:name="_Toc266602757"/>
      <w:r w:rsidRPr="00736F69">
        <w:lastRenderedPageBreak/>
        <w:t>4.pielikums</w:t>
      </w:r>
      <w:r w:rsidRPr="00736F69">
        <w:br/>
        <w:t>Ikgadējās dalībvalstu iemaksas tehniskās palīdzības līdzfinansējumā</w:t>
      </w:r>
      <w:bookmarkEnd w:id="264"/>
      <w:r w:rsidRPr="00736F69">
        <w:t xml:space="preserve"> </w:t>
      </w:r>
      <w:bookmarkEnd w:id="265"/>
    </w:p>
    <w:p w:rsidR="00736F69" w:rsidRPr="00736F69" w:rsidRDefault="00736F69" w:rsidP="00736F69">
      <w:pPr>
        <w:pStyle w:val="Text1"/>
        <w:ind w:left="0"/>
        <w:rPr>
          <w:szCs w:val="24"/>
          <w:lang w:val="lv-LV"/>
        </w:rPr>
      </w:pPr>
    </w:p>
    <w:p w:rsidR="00736F69" w:rsidRPr="00736F69" w:rsidRDefault="00736F69" w:rsidP="00736F69">
      <w:pPr>
        <w:spacing w:after="0" w:line="240" w:lineRule="auto"/>
        <w:rPr>
          <w:rFonts w:ascii="Times New Roman" w:hAnsi="Times New Roman"/>
          <w:b/>
          <w:bCs/>
          <w:color w:val="4F81BD"/>
          <w:lang w:val="lv-LV"/>
        </w:rPr>
      </w:pPr>
      <w:r w:rsidRPr="00736F69">
        <w:rPr>
          <w:rFonts w:ascii="Times New Roman" w:hAnsi="Times New Roman"/>
          <w:b/>
          <w:lang w:val="lv-LV"/>
        </w:rPr>
        <w:t xml:space="preserve">1.tabula </w:t>
      </w:r>
      <w:r>
        <w:rPr>
          <w:rFonts w:ascii="Times New Roman" w:hAnsi="Times New Roman"/>
          <w:b/>
          <w:lang w:val="lv-LV"/>
        </w:rPr>
        <w:t>„</w:t>
      </w:r>
      <w:r w:rsidRPr="00736F69">
        <w:rPr>
          <w:rFonts w:ascii="Times New Roman" w:hAnsi="Times New Roman"/>
          <w:b/>
          <w:lang w:val="lv-LV"/>
        </w:rPr>
        <w:t>Dalībvalstu iemaksa tehniskās palīdzības budžetā 2015. – 2022.gadam</w:t>
      </w:r>
      <w:r>
        <w:rPr>
          <w:rFonts w:ascii="Times New Roman" w:hAnsi="Times New Roman"/>
          <w:b/>
          <w:lang w:val="lv-LV"/>
        </w:rPr>
        <w:t>”</w:t>
      </w:r>
    </w:p>
    <w:p w:rsidR="00736F69" w:rsidRPr="00567725" w:rsidRDefault="00736F69" w:rsidP="00736F69">
      <w:pPr>
        <w:pStyle w:val="ListParagraph"/>
        <w:spacing w:after="0" w:line="240" w:lineRule="auto"/>
        <w:ind w:left="0" w:right="-234"/>
        <w:rPr>
          <w:bCs/>
          <w:color w:val="000000" w:themeColor="text1"/>
          <w:sz w:val="16"/>
          <w:szCs w:val="16"/>
          <w:lang w:val="lv-LV"/>
        </w:rPr>
      </w:pPr>
    </w:p>
    <w:tbl>
      <w:tblPr>
        <w:tblStyle w:val="TableGrid"/>
        <w:tblW w:w="8046" w:type="dxa"/>
        <w:tblLook w:val="04A0"/>
      </w:tblPr>
      <w:tblGrid>
        <w:gridCol w:w="3510"/>
        <w:gridCol w:w="4536"/>
      </w:tblGrid>
      <w:tr w:rsidR="00736F69" w:rsidRPr="00736F69" w:rsidTr="002631B7">
        <w:trPr>
          <w:trHeight w:val="687"/>
        </w:trPr>
        <w:tc>
          <w:tcPr>
            <w:tcW w:w="3510" w:type="dxa"/>
          </w:tcPr>
          <w:p w:rsidR="00736F69" w:rsidRPr="00736F69" w:rsidRDefault="00736F69" w:rsidP="002631B7">
            <w:pPr>
              <w:ind w:right="-234"/>
              <w:jc w:val="left"/>
              <w:rPr>
                <w:rFonts w:ascii="Times New Roman" w:hAnsi="Times New Roman"/>
                <w:b/>
                <w:bCs/>
                <w:color w:val="000000" w:themeColor="text1"/>
                <w:lang w:val="lv-LV"/>
              </w:rPr>
            </w:pPr>
            <w:r w:rsidRPr="00736F69">
              <w:rPr>
                <w:rFonts w:ascii="Times New Roman" w:hAnsi="Times New Roman"/>
                <w:b/>
                <w:bCs/>
                <w:color w:val="000000" w:themeColor="text1"/>
                <w:lang w:val="lv-LV"/>
              </w:rPr>
              <w:t>Dalībvalsts</w:t>
            </w:r>
          </w:p>
        </w:tc>
        <w:tc>
          <w:tcPr>
            <w:tcW w:w="4536" w:type="dxa"/>
          </w:tcPr>
          <w:p w:rsidR="00736F69" w:rsidRPr="00736F69" w:rsidRDefault="00736F69" w:rsidP="002631B7">
            <w:pPr>
              <w:ind w:right="-234"/>
              <w:jc w:val="left"/>
              <w:rPr>
                <w:rFonts w:ascii="Times New Roman" w:hAnsi="Times New Roman"/>
                <w:b/>
                <w:bCs/>
                <w:color w:val="000000" w:themeColor="text1"/>
                <w:lang w:val="lv-LV"/>
              </w:rPr>
            </w:pPr>
            <w:r w:rsidRPr="00736F69">
              <w:rPr>
                <w:rFonts w:ascii="Times New Roman" w:hAnsi="Times New Roman"/>
                <w:b/>
                <w:bCs/>
                <w:lang w:val="lv-LV"/>
              </w:rPr>
              <w:t>Nacionālais TP budžeta līdzfinansējums, EUR</w:t>
            </w:r>
          </w:p>
        </w:tc>
      </w:tr>
      <w:tr w:rsidR="00736F69" w:rsidRPr="00736F69" w:rsidTr="002631B7">
        <w:tc>
          <w:tcPr>
            <w:tcW w:w="3510" w:type="dxa"/>
          </w:tcPr>
          <w:p w:rsidR="00736F69" w:rsidRPr="00736F69" w:rsidRDefault="00736F69" w:rsidP="002631B7">
            <w:pPr>
              <w:ind w:right="-234"/>
              <w:rPr>
                <w:rFonts w:ascii="Times New Roman" w:hAnsi="Times New Roman"/>
                <w:bCs/>
                <w:color w:val="000000" w:themeColor="text1"/>
                <w:lang w:val="lv-LV"/>
              </w:rPr>
            </w:pPr>
            <w:r w:rsidRPr="00736F69">
              <w:rPr>
                <w:rFonts w:ascii="Times New Roman" w:hAnsi="Times New Roman"/>
                <w:bCs/>
                <w:color w:val="000000" w:themeColor="text1"/>
                <w:lang w:val="lv-LV"/>
              </w:rPr>
              <w:t>Latvija</w:t>
            </w:r>
          </w:p>
        </w:tc>
        <w:tc>
          <w:tcPr>
            <w:tcW w:w="4536" w:type="dxa"/>
          </w:tcPr>
          <w:p w:rsidR="00736F69" w:rsidRPr="00736F69" w:rsidRDefault="00736F69" w:rsidP="002631B7">
            <w:pPr>
              <w:ind w:right="-234"/>
              <w:rPr>
                <w:rFonts w:ascii="Times New Roman" w:hAnsi="Times New Roman"/>
                <w:bCs/>
                <w:color w:val="000000" w:themeColor="text1"/>
                <w:lang w:val="lv-LV"/>
              </w:rPr>
            </w:pPr>
            <w:r w:rsidRPr="00736F69">
              <w:rPr>
                <w:rFonts w:ascii="Times New Roman" w:hAnsi="Times New Roman"/>
                <w:lang w:val="lv-LV"/>
              </w:rPr>
              <w:t>493 004</w:t>
            </w:r>
          </w:p>
        </w:tc>
      </w:tr>
      <w:tr w:rsidR="00736F69" w:rsidRPr="00736F69" w:rsidTr="002631B7">
        <w:tc>
          <w:tcPr>
            <w:tcW w:w="3510" w:type="dxa"/>
          </w:tcPr>
          <w:p w:rsidR="00736F69" w:rsidRPr="00736F69" w:rsidRDefault="00736F69" w:rsidP="002631B7">
            <w:pPr>
              <w:ind w:right="-234"/>
              <w:rPr>
                <w:rFonts w:ascii="Times New Roman" w:hAnsi="Times New Roman"/>
                <w:bCs/>
                <w:color w:val="000000" w:themeColor="text1"/>
                <w:lang w:val="lv-LV"/>
              </w:rPr>
            </w:pPr>
            <w:r w:rsidRPr="00736F69">
              <w:rPr>
                <w:rFonts w:ascii="Times New Roman" w:hAnsi="Times New Roman"/>
                <w:bCs/>
                <w:color w:val="000000" w:themeColor="text1"/>
                <w:lang w:val="lv-LV"/>
              </w:rPr>
              <w:t>Lietuva</w:t>
            </w:r>
          </w:p>
        </w:tc>
        <w:tc>
          <w:tcPr>
            <w:tcW w:w="4536" w:type="dxa"/>
          </w:tcPr>
          <w:p w:rsidR="00736F69" w:rsidRPr="00736F69" w:rsidRDefault="00736F69" w:rsidP="002631B7">
            <w:pPr>
              <w:ind w:right="-234"/>
              <w:rPr>
                <w:rFonts w:ascii="Times New Roman" w:hAnsi="Times New Roman"/>
                <w:bCs/>
                <w:color w:val="000000" w:themeColor="text1"/>
                <w:lang w:val="lv-LV"/>
              </w:rPr>
            </w:pPr>
            <w:r w:rsidRPr="00736F69">
              <w:rPr>
                <w:rFonts w:ascii="Times New Roman" w:hAnsi="Times New Roman"/>
                <w:bCs/>
                <w:color w:val="000000" w:themeColor="text1"/>
                <w:lang w:val="lv-LV"/>
              </w:rPr>
              <w:t>437 193</w:t>
            </w:r>
          </w:p>
        </w:tc>
      </w:tr>
      <w:tr w:rsidR="00736F69" w:rsidRPr="00736F69" w:rsidTr="002631B7">
        <w:tc>
          <w:tcPr>
            <w:tcW w:w="3510" w:type="dxa"/>
          </w:tcPr>
          <w:p w:rsidR="00736F69" w:rsidRPr="00736F69" w:rsidRDefault="00736F69" w:rsidP="002631B7">
            <w:pPr>
              <w:ind w:right="-234"/>
              <w:rPr>
                <w:rFonts w:ascii="Times New Roman" w:hAnsi="Times New Roman"/>
                <w:b/>
                <w:bCs/>
                <w:color w:val="000000" w:themeColor="text1"/>
                <w:lang w:val="lv-LV"/>
              </w:rPr>
            </w:pPr>
            <w:r w:rsidRPr="00736F69">
              <w:rPr>
                <w:rFonts w:ascii="Times New Roman" w:hAnsi="Times New Roman"/>
                <w:b/>
                <w:bCs/>
                <w:color w:val="000000" w:themeColor="text1"/>
                <w:lang w:val="lv-LV"/>
              </w:rPr>
              <w:t>Kopā</w:t>
            </w:r>
          </w:p>
        </w:tc>
        <w:tc>
          <w:tcPr>
            <w:tcW w:w="4536" w:type="dxa"/>
          </w:tcPr>
          <w:p w:rsidR="00736F69" w:rsidRPr="00736F69" w:rsidRDefault="00736F69" w:rsidP="002631B7">
            <w:pPr>
              <w:ind w:right="-234"/>
              <w:rPr>
                <w:rFonts w:ascii="Times New Roman" w:hAnsi="Times New Roman"/>
                <w:b/>
                <w:bCs/>
                <w:color w:val="000000" w:themeColor="text1"/>
                <w:lang w:val="lv-LV"/>
              </w:rPr>
            </w:pPr>
            <w:r w:rsidRPr="00736F69">
              <w:rPr>
                <w:rFonts w:ascii="Times New Roman" w:hAnsi="Times New Roman"/>
                <w:b/>
                <w:bCs/>
                <w:color w:val="000000" w:themeColor="text1"/>
                <w:lang w:val="lv-LV"/>
              </w:rPr>
              <w:t>930 197</w:t>
            </w:r>
          </w:p>
        </w:tc>
      </w:tr>
    </w:tbl>
    <w:p w:rsidR="00736F69" w:rsidRPr="00567725" w:rsidRDefault="00736F69" w:rsidP="00736F69">
      <w:pPr>
        <w:spacing w:after="0" w:line="240" w:lineRule="auto"/>
        <w:ind w:left="-567" w:right="-234"/>
        <w:rPr>
          <w:bCs/>
          <w:sz w:val="16"/>
          <w:szCs w:val="16"/>
          <w:lang w:val="lv-LV"/>
        </w:rPr>
      </w:pPr>
    </w:p>
    <w:p w:rsidR="00736F69" w:rsidRPr="00567725" w:rsidRDefault="00736F69" w:rsidP="00736F69">
      <w:pPr>
        <w:pStyle w:val="Caption"/>
        <w:keepNext/>
        <w:rPr>
          <w:rFonts w:ascii="Verdana" w:hAnsi="Verdana"/>
          <w:color w:val="auto"/>
          <w:sz w:val="20"/>
          <w:szCs w:val="20"/>
          <w:lang w:val="lv-LV"/>
        </w:rPr>
      </w:pPr>
    </w:p>
    <w:p w:rsidR="00736F69" w:rsidRPr="00736F69" w:rsidRDefault="00736F69" w:rsidP="00736F69">
      <w:pPr>
        <w:pStyle w:val="Caption"/>
        <w:keepNext/>
        <w:rPr>
          <w:color w:val="auto"/>
          <w:sz w:val="24"/>
          <w:szCs w:val="24"/>
          <w:lang w:val="lv-LV"/>
        </w:rPr>
      </w:pPr>
      <w:r>
        <w:rPr>
          <w:color w:val="auto"/>
          <w:sz w:val="24"/>
          <w:szCs w:val="24"/>
          <w:lang w:val="lv-LV"/>
        </w:rPr>
        <w:t>2.tabula „</w:t>
      </w:r>
      <w:r w:rsidRPr="00736F69">
        <w:rPr>
          <w:color w:val="auto"/>
          <w:sz w:val="24"/>
          <w:szCs w:val="24"/>
          <w:lang w:val="lv-LV"/>
        </w:rPr>
        <w:t>Ikgadējās dalībvalstu iemaksas TP budžetā 2015. -2022</w:t>
      </w:r>
      <w:r>
        <w:rPr>
          <w:color w:val="auto"/>
          <w:sz w:val="24"/>
          <w:szCs w:val="24"/>
          <w:lang w:val="lv-LV"/>
        </w:rPr>
        <w:t>.gadam”</w:t>
      </w:r>
      <w:r w:rsidRPr="00736F69">
        <w:rPr>
          <w:color w:val="auto"/>
          <w:sz w:val="24"/>
          <w:szCs w:val="24"/>
          <w:lang w:val="lv-LV"/>
        </w:rPr>
        <w:t xml:space="preserve"> </w:t>
      </w:r>
    </w:p>
    <w:tbl>
      <w:tblPr>
        <w:tblW w:w="9741" w:type="dxa"/>
        <w:jc w:val="center"/>
        <w:tblInd w:w="-885" w:type="dxa"/>
        <w:tblLook w:val="04A0"/>
      </w:tblPr>
      <w:tblGrid>
        <w:gridCol w:w="971"/>
        <w:gridCol w:w="946"/>
        <w:gridCol w:w="946"/>
        <w:gridCol w:w="946"/>
        <w:gridCol w:w="946"/>
        <w:gridCol w:w="947"/>
        <w:gridCol w:w="947"/>
        <w:gridCol w:w="947"/>
        <w:gridCol w:w="947"/>
        <w:gridCol w:w="1198"/>
      </w:tblGrid>
      <w:tr w:rsidR="00736F69" w:rsidRPr="00736F69" w:rsidTr="002631B7">
        <w:trPr>
          <w:trHeight w:val="270"/>
          <w:jc w:val="center"/>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F69" w:rsidRPr="00736F69" w:rsidRDefault="00736F69" w:rsidP="002631B7">
            <w:pPr>
              <w:spacing w:after="0" w:line="240" w:lineRule="auto"/>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2015</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2016</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2017</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2018</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2019</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2020</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2021</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jc w:val="center"/>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2022</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736F69" w:rsidRPr="00736F69" w:rsidRDefault="00736F69" w:rsidP="002631B7">
            <w:pPr>
              <w:spacing w:after="0" w:line="240" w:lineRule="auto"/>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2015-2022</w:t>
            </w:r>
          </w:p>
        </w:tc>
      </w:tr>
      <w:tr w:rsidR="00736F69" w:rsidRPr="00736F69" w:rsidTr="002631B7">
        <w:trPr>
          <w:trHeight w:val="270"/>
          <w:jc w:val="center"/>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736F69" w:rsidRPr="00736F69" w:rsidRDefault="00736F69" w:rsidP="002631B7">
            <w:pPr>
              <w:spacing w:after="0" w:line="240" w:lineRule="auto"/>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Latvija</w:t>
            </w:r>
          </w:p>
        </w:tc>
        <w:tc>
          <w:tcPr>
            <w:tcW w:w="0" w:type="auto"/>
            <w:tcBorders>
              <w:top w:val="nil"/>
              <w:left w:val="nil"/>
              <w:bottom w:val="sing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61 625</w:t>
            </w:r>
          </w:p>
        </w:tc>
        <w:tc>
          <w:tcPr>
            <w:tcW w:w="0" w:type="auto"/>
            <w:tcBorders>
              <w:top w:val="nil"/>
              <w:left w:val="nil"/>
              <w:bottom w:val="single" w:sz="4" w:space="0" w:color="auto"/>
              <w:right w:val="single" w:sz="4" w:space="0" w:color="auto"/>
            </w:tcBorders>
            <w:shd w:val="clear" w:color="auto" w:fill="auto"/>
            <w:noWrap/>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61 625</w:t>
            </w:r>
          </w:p>
        </w:tc>
        <w:tc>
          <w:tcPr>
            <w:tcW w:w="0" w:type="auto"/>
            <w:tcBorders>
              <w:top w:val="nil"/>
              <w:left w:val="nil"/>
              <w:bottom w:val="single" w:sz="4" w:space="0" w:color="auto"/>
              <w:right w:val="single" w:sz="4" w:space="0" w:color="auto"/>
            </w:tcBorders>
            <w:shd w:val="clear" w:color="auto" w:fill="auto"/>
            <w:noWrap/>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61 625</w:t>
            </w:r>
          </w:p>
        </w:tc>
        <w:tc>
          <w:tcPr>
            <w:tcW w:w="0" w:type="auto"/>
            <w:tcBorders>
              <w:top w:val="nil"/>
              <w:left w:val="nil"/>
              <w:bottom w:val="single" w:sz="4" w:space="0" w:color="auto"/>
              <w:right w:val="single" w:sz="4" w:space="0" w:color="auto"/>
            </w:tcBorders>
            <w:shd w:val="clear" w:color="auto" w:fill="auto"/>
            <w:noWrap/>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61 625</w:t>
            </w:r>
          </w:p>
        </w:tc>
        <w:tc>
          <w:tcPr>
            <w:tcW w:w="0" w:type="auto"/>
            <w:tcBorders>
              <w:top w:val="nil"/>
              <w:left w:val="nil"/>
              <w:bottom w:val="single" w:sz="4" w:space="0" w:color="auto"/>
              <w:right w:val="single" w:sz="4" w:space="0" w:color="auto"/>
            </w:tcBorders>
            <w:shd w:val="clear" w:color="auto" w:fill="auto"/>
            <w:noWrap/>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61 626</w:t>
            </w:r>
          </w:p>
        </w:tc>
        <w:tc>
          <w:tcPr>
            <w:tcW w:w="0" w:type="auto"/>
            <w:tcBorders>
              <w:top w:val="nil"/>
              <w:left w:val="nil"/>
              <w:bottom w:val="single" w:sz="4" w:space="0" w:color="auto"/>
              <w:right w:val="single" w:sz="4" w:space="0" w:color="auto"/>
            </w:tcBorders>
            <w:shd w:val="clear" w:color="auto" w:fill="auto"/>
            <w:noWrap/>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61 626</w:t>
            </w:r>
          </w:p>
        </w:tc>
        <w:tc>
          <w:tcPr>
            <w:tcW w:w="0" w:type="auto"/>
            <w:tcBorders>
              <w:top w:val="nil"/>
              <w:left w:val="nil"/>
              <w:bottom w:val="single" w:sz="4" w:space="0" w:color="auto"/>
              <w:right w:val="single" w:sz="4" w:space="0" w:color="auto"/>
            </w:tcBorders>
            <w:shd w:val="clear" w:color="auto" w:fill="auto"/>
            <w:noWrap/>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61 626</w:t>
            </w:r>
          </w:p>
        </w:tc>
        <w:tc>
          <w:tcPr>
            <w:tcW w:w="0" w:type="auto"/>
            <w:tcBorders>
              <w:top w:val="nil"/>
              <w:left w:val="nil"/>
              <w:bottom w:val="single" w:sz="4" w:space="0" w:color="auto"/>
              <w:right w:val="single" w:sz="4" w:space="0" w:color="auto"/>
            </w:tcBorders>
            <w:shd w:val="clear" w:color="auto" w:fill="auto"/>
            <w:noWrap/>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61 626</w:t>
            </w:r>
          </w:p>
        </w:tc>
        <w:tc>
          <w:tcPr>
            <w:tcW w:w="1198" w:type="dxa"/>
            <w:tcBorders>
              <w:top w:val="nil"/>
              <w:left w:val="nil"/>
              <w:bottom w:val="sing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bCs/>
                <w:color w:val="000000" w:themeColor="text1"/>
                <w:sz w:val="22"/>
                <w:szCs w:val="22"/>
                <w:lang w:val="lv-LV"/>
              </w:rPr>
            </w:pPr>
            <w:r w:rsidRPr="00736F69">
              <w:rPr>
                <w:rFonts w:ascii="Times New Roman" w:hAnsi="Times New Roman"/>
                <w:bCs/>
                <w:color w:val="000000" w:themeColor="text1"/>
                <w:sz w:val="22"/>
                <w:szCs w:val="22"/>
                <w:lang w:val="lv-LV"/>
              </w:rPr>
              <w:t>493 004</w:t>
            </w:r>
          </w:p>
        </w:tc>
      </w:tr>
      <w:tr w:rsidR="00736F69" w:rsidRPr="00736F69" w:rsidTr="002631B7">
        <w:trPr>
          <w:trHeight w:val="270"/>
          <w:jc w:val="center"/>
        </w:trPr>
        <w:tc>
          <w:tcPr>
            <w:tcW w:w="971" w:type="dxa"/>
            <w:tcBorders>
              <w:top w:val="nil"/>
              <w:left w:val="single" w:sz="4" w:space="0" w:color="auto"/>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Lietuva</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color w:val="000000" w:themeColor="text1"/>
                <w:sz w:val="22"/>
                <w:szCs w:val="22"/>
                <w:lang w:val="lv-LV"/>
              </w:rPr>
            </w:pPr>
            <w:r w:rsidRPr="00736F69">
              <w:rPr>
                <w:rFonts w:ascii="Times New Roman" w:hAnsi="Times New Roman"/>
                <w:color w:val="000000" w:themeColor="text1"/>
                <w:sz w:val="22"/>
                <w:szCs w:val="22"/>
                <w:lang w:val="lv-LV"/>
              </w:rPr>
              <w:t>54 650</w:t>
            </w:r>
          </w:p>
        </w:tc>
        <w:tc>
          <w:tcPr>
            <w:tcW w:w="1198" w:type="dxa"/>
            <w:tcBorders>
              <w:top w:val="nil"/>
              <w:left w:val="nil"/>
              <w:bottom w:val="double" w:sz="4" w:space="0" w:color="auto"/>
              <w:right w:val="single" w:sz="4" w:space="0" w:color="auto"/>
            </w:tcBorders>
            <w:shd w:val="clear" w:color="auto" w:fill="auto"/>
            <w:noWrap/>
            <w:vAlign w:val="center"/>
            <w:hideMark/>
          </w:tcPr>
          <w:p w:rsidR="00736F69" w:rsidRPr="00736F69" w:rsidRDefault="00736F69" w:rsidP="002631B7">
            <w:pPr>
              <w:spacing w:after="0" w:line="240" w:lineRule="auto"/>
              <w:jc w:val="right"/>
              <w:rPr>
                <w:rFonts w:ascii="Times New Roman" w:hAnsi="Times New Roman"/>
                <w:bCs/>
                <w:color w:val="000000" w:themeColor="text1"/>
                <w:sz w:val="22"/>
                <w:szCs w:val="22"/>
                <w:lang w:val="lv-LV"/>
              </w:rPr>
            </w:pPr>
            <w:r w:rsidRPr="00736F69">
              <w:rPr>
                <w:rFonts w:ascii="Times New Roman" w:hAnsi="Times New Roman"/>
                <w:bCs/>
                <w:color w:val="000000" w:themeColor="text1"/>
                <w:sz w:val="22"/>
                <w:szCs w:val="22"/>
                <w:lang w:val="lv-LV"/>
              </w:rPr>
              <w:t>437 193</w:t>
            </w:r>
          </w:p>
        </w:tc>
      </w:tr>
      <w:tr w:rsidR="00736F69" w:rsidRPr="00736F69" w:rsidTr="002631B7">
        <w:trPr>
          <w:trHeight w:val="270"/>
          <w:jc w:val="center"/>
        </w:trPr>
        <w:tc>
          <w:tcPr>
            <w:tcW w:w="971" w:type="dxa"/>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Kopā</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116 275</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116 275</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116 275</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116 276</w:t>
            </w:r>
          </w:p>
        </w:tc>
        <w:tc>
          <w:tcPr>
            <w:tcW w:w="1198" w:type="dxa"/>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736F69" w:rsidRPr="00736F69" w:rsidRDefault="00736F69" w:rsidP="002631B7">
            <w:pPr>
              <w:spacing w:after="0" w:line="240" w:lineRule="auto"/>
              <w:jc w:val="right"/>
              <w:rPr>
                <w:rFonts w:ascii="Times New Roman" w:hAnsi="Times New Roman"/>
                <w:b/>
                <w:bCs/>
                <w:color w:val="000000" w:themeColor="text1"/>
                <w:sz w:val="22"/>
                <w:szCs w:val="22"/>
                <w:lang w:val="lv-LV"/>
              </w:rPr>
            </w:pPr>
            <w:r w:rsidRPr="00736F69">
              <w:rPr>
                <w:rFonts w:ascii="Times New Roman" w:hAnsi="Times New Roman"/>
                <w:b/>
                <w:bCs/>
                <w:color w:val="000000" w:themeColor="text1"/>
                <w:sz w:val="22"/>
                <w:szCs w:val="22"/>
                <w:lang w:val="lv-LV"/>
              </w:rPr>
              <w:t>930 197</w:t>
            </w:r>
          </w:p>
        </w:tc>
      </w:tr>
    </w:tbl>
    <w:p w:rsidR="00736F69" w:rsidRPr="00567725" w:rsidRDefault="00736F69" w:rsidP="00736F69">
      <w:pPr>
        <w:rPr>
          <w:color w:val="000000" w:themeColor="text1"/>
          <w:sz w:val="16"/>
          <w:szCs w:val="16"/>
          <w:lang w:val="lv-LV"/>
        </w:rPr>
      </w:pPr>
    </w:p>
    <w:p w:rsidR="00736F69" w:rsidRPr="00567725" w:rsidRDefault="00736F69" w:rsidP="00736F69">
      <w:pPr>
        <w:pStyle w:val="Text1"/>
        <w:rPr>
          <w:rFonts w:ascii="Verdana" w:hAnsi="Verdana"/>
          <w:sz w:val="16"/>
          <w:szCs w:val="16"/>
          <w:lang w:val="lv-LV"/>
        </w:rPr>
      </w:pPr>
    </w:p>
    <w:p w:rsidR="00736F69" w:rsidRPr="00567725" w:rsidRDefault="00736F69" w:rsidP="00736F69">
      <w:pPr>
        <w:rPr>
          <w:lang w:val="lv-LV"/>
        </w:rPr>
      </w:pPr>
    </w:p>
    <w:p w:rsidR="00736F69" w:rsidRPr="00C15A93" w:rsidRDefault="00736F69" w:rsidP="00736F69">
      <w:pPr>
        <w:pStyle w:val="Text1"/>
        <w:spacing w:before="120" w:line="240" w:lineRule="auto"/>
        <w:ind w:left="720"/>
        <w:rPr>
          <w:rFonts w:ascii="Verdana" w:hAnsi="Verdana"/>
          <w:sz w:val="20"/>
          <w:lang w:val="lv-LV"/>
        </w:rPr>
      </w:pPr>
    </w:p>
    <w:sectPr w:rsidR="00736F69" w:rsidRPr="00C15A93" w:rsidSect="0081213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4D" w:rsidRDefault="0004654D" w:rsidP="00EB4D36">
      <w:pPr>
        <w:spacing w:after="0"/>
      </w:pPr>
      <w:r>
        <w:separator/>
      </w:r>
    </w:p>
  </w:endnote>
  <w:endnote w:type="continuationSeparator" w:id="0">
    <w:p w:rsidR="0004654D" w:rsidRDefault="0004654D" w:rsidP="00EB4D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Default="00A812A8" w:rsidP="00EA3E88">
    <w:pPr>
      <w:pStyle w:val="Footer"/>
      <w:rPr>
        <w:rFonts w:ascii="Times New Roman" w:hAnsi="Times New Roman"/>
        <w:sz w:val="20"/>
      </w:rPr>
    </w:pPr>
  </w:p>
  <w:p w:rsidR="00A812A8" w:rsidRPr="002631B7" w:rsidRDefault="00E84B02" w:rsidP="002631B7">
    <w:pPr>
      <w:pStyle w:val="Footer"/>
      <w:rPr>
        <w:rFonts w:ascii="Times New Roman" w:hAnsi="Times New Roman"/>
        <w:sz w:val="20"/>
        <w:lang w:val="lv-LV"/>
      </w:rPr>
    </w:pPr>
    <w:r>
      <w:rPr>
        <w:rFonts w:ascii="Times New Roman" w:hAnsi="Times New Roman"/>
        <w:sz w:val="20"/>
        <w:lang w:val="lv-LV"/>
      </w:rPr>
      <w:t>VARAMProg_31</w:t>
    </w:r>
    <w:r w:rsidR="00A812A8" w:rsidRPr="002631B7">
      <w:rPr>
        <w:rFonts w:ascii="Times New Roman" w:hAnsi="Times New Roman"/>
        <w:sz w:val="20"/>
        <w:lang w:val="lv-LV"/>
      </w:rPr>
      <w:t>0714_LVLT; Latvijas-Lietuvas pārrobežu sadarbības programmas 2014.-2020.gadam projekts</w:t>
    </w:r>
  </w:p>
  <w:p w:rsidR="00A812A8" w:rsidRPr="006C179B" w:rsidRDefault="001C1E6F" w:rsidP="006C179B">
    <w:pPr>
      <w:pStyle w:val="Footer"/>
      <w:jc w:val="center"/>
      <w:rPr>
        <w:rFonts w:ascii="Times New Roman" w:hAnsi="Times New Roman"/>
        <w:sz w:val="22"/>
        <w:szCs w:val="22"/>
      </w:rPr>
    </w:pPr>
    <w:r w:rsidRPr="00EA3E88">
      <w:rPr>
        <w:rFonts w:ascii="Times New Roman" w:hAnsi="Times New Roman"/>
        <w:sz w:val="22"/>
        <w:szCs w:val="22"/>
      </w:rPr>
      <w:fldChar w:fldCharType="begin"/>
    </w:r>
    <w:r w:rsidR="00A812A8" w:rsidRPr="00EA3E88">
      <w:rPr>
        <w:rFonts w:ascii="Times New Roman" w:hAnsi="Times New Roman"/>
        <w:sz w:val="22"/>
        <w:szCs w:val="22"/>
      </w:rPr>
      <w:instrText xml:space="preserve"> PAGE   \* MERGEFORMAT </w:instrText>
    </w:r>
    <w:r w:rsidRPr="00EA3E88">
      <w:rPr>
        <w:rFonts w:ascii="Times New Roman" w:hAnsi="Times New Roman"/>
        <w:sz w:val="22"/>
        <w:szCs w:val="22"/>
      </w:rPr>
      <w:fldChar w:fldCharType="separate"/>
    </w:r>
    <w:r w:rsidR="00E84B02">
      <w:rPr>
        <w:rFonts w:ascii="Times New Roman" w:hAnsi="Times New Roman"/>
        <w:noProof/>
        <w:sz w:val="22"/>
        <w:szCs w:val="22"/>
      </w:rPr>
      <w:t>16</w:t>
    </w:r>
    <w:r w:rsidRPr="00EA3E88">
      <w:rPr>
        <w:rFonts w:ascii="Times New Roman" w:hAnsi="Times New Roman"/>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Pr="002631B7" w:rsidRDefault="00E84B02">
    <w:pPr>
      <w:pStyle w:val="Footer"/>
      <w:rPr>
        <w:rFonts w:ascii="Times New Roman" w:hAnsi="Times New Roman"/>
        <w:sz w:val="20"/>
        <w:lang w:val="lv-LV"/>
      </w:rPr>
    </w:pPr>
    <w:r>
      <w:rPr>
        <w:rFonts w:ascii="Times New Roman" w:hAnsi="Times New Roman"/>
        <w:sz w:val="20"/>
        <w:lang w:val="lv-LV"/>
      </w:rPr>
      <w:t>VARAMProg_31</w:t>
    </w:r>
    <w:r w:rsidR="00A812A8" w:rsidRPr="002631B7">
      <w:rPr>
        <w:rFonts w:ascii="Times New Roman" w:hAnsi="Times New Roman"/>
        <w:sz w:val="20"/>
        <w:lang w:val="lv-LV"/>
      </w:rPr>
      <w:t>0714_LVLT; Latvijas-Lietuvas pārrobežu sadarbības programmas 2014.-2020.gadam projekts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Default="001C1E6F" w:rsidP="00E30FD1">
    <w:pPr>
      <w:pStyle w:val="Footer"/>
      <w:framePr w:wrap="around" w:vAnchor="text" w:hAnchor="margin" w:xAlign="right" w:y="1"/>
      <w:rPr>
        <w:rStyle w:val="PageNumber"/>
      </w:rPr>
    </w:pPr>
    <w:r>
      <w:rPr>
        <w:rStyle w:val="PageNumber"/>
      </w:rPr>
      <w:fldChar w:fldCharType="begin"/>
    </w:r>
    <w:r w:rsidR="00A812A8">
      <w:rPr>
        <w:rStyle w:val="PageNumber"/>
      </w:rPr>
      <w:instrText xml:space="preserve">PAGE  </w:instrText>
    </w:r>
    <w:r>
      <w:rPr>
        <w:rStyle w:val="PageNumber"/>
      </w:rPr>
      <w:fldChar w:fldCharType="separate"/>
    </w:r>
    <w:r w:rsidR="00A812A8">
      <w:rPr>
        <w:rStyle w:val="PageNumber"/>
        <w:noProof/>
      </w:rPr>
      <w:t>2</w:t>
    </w:r>
    <w:r>
      <w:rPr>
        <w:rStyle w:val="PageNumber"/>
      </w:rPr>
      <w:fldChar w:fldCharType="end"/>
    </w:r>
  </w:p>
  <w:p w:rsidR="00A812A8" w:rsidRDefault="00A812A8" w:rsidP="00E30FD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Pr="002631B7" w:rsidRDefault="00A812A8" w:rsidP="0095484C">
    <w:pPr>
      <w:pStyle w:val="Footer"/>
      <w:rPr>
        <w:rFonts w:ascii="Times New Roman" w:hAnsi="Times New Roman"/>
        <w:sz w:val="20"/>
        <w:lang w:val="lv-LV"/>
      </w:rPr>
    </w:pPr>
    <w:r w:rsidRPr="002631B7">
      <w:rPr>
        <w:rFonts w:ascii="Times New Roman" w:hAnsi="Times New Roman"/>
        <w:sz w:val="20"/>
        <w:lang w:val="lv-LV"/>
      </w:rPr>
      <w:t>VARAMProg_290714_LVLT; Latvijas-Lietuvas pārrobežu sadarbības programmas 2014.-2020.gadam projekts</w:t>
    </w:r>
  </w:p>
  <w:p w:rsidR="00A812A8" w:rsidRPr="0095484C" w:rsidRDefault="001C1E6F" w:rsidP="00E30FD1">
    <w:pPr>
      <w:pStyle w:val="Footer"/>
      <w:jc w:val="center"/>
      <w:rPr>
        <w:rFonts w:ascii="Times New Roman" w:hAnsi="Times New Roman"/>
        <w:sz w:val="22"/>
        <w:szCs w:val="22"/>
      </w:rPr>
    </w:pPr>
    <w:r w:rsidRPr="0095484C">
      <w:rPr>
        <w:rFonts w:ascii="Times New Roman" w:hAnsi="Times New Roman"/>
        <w:bCs/>
        <w:sz w:val="22"/>
        <w:szCs w:val="22"/>
      </w:rPr>
      <w:fldChar w:fldCharType="begin"/>
    </w:r>
    <w:r w:rsidR="00A812A8" w:rsidRPr="0095484C">
      <w:rPr>
        <w:rFonts w:ascii="Times New Roman" w:hAnsi="Times New Roman"/>
        <w:bCs/>
        <w:sz w:val="22"/>
        <w:szCs w:val="22"/>
      </w:rPr>
      <w:instrText xml:space="preserve"> PAGE </w:instrText>
    </w:r>
    <w:r w:rsidRPr="0095484C">
      <w:rPr>
        <w:rFonts w:ascii="Times New Roman" w:hAnsi="Times New Roman"/>
        <w:bCs/>
        <w:sz w:val="22"/>
        <w:szCs w:val="22"/>
      </w:rPr>
      <w:fldChar w:fldCharType="separate"/>
    </w:r>
    <w:r w:rsidR="00E84B02">
      <w:rPr>
        <w:rFonts w:ascii="Times New Roman" w:hAnsi="Times New Roman"/>
        <w:bCs/>
        <w:noProof/>
        <w:sz w:val="22"/>
        <w:szCs w:val="22"/>
      </w:rPr>
      <w:t>20</w:t>
    </w:r>
    <w:r w:rsidRPr="0095484C">
      <w:rPr>
        <w:rFonts w:ascii="Times New Roman" w:hAnsi="Times New Roman"/>
        <w:bCs/>
        <w:sz w:val="22"/>
        <w:szCs w:val="22"/>
      </w:rPr>
      <w:fldChar w:fldCharType="end"/>
    </w:r>
    <w:r w:rsidR="00A812A8" w:rsidRPr="0095484C">
      <w:rPr>
        <w:rFonts w:ascii="Times New Roman" w:hAnsi="Times New Roman"/>
        <w:sz w:val="22"/>
        <w:szCs w:val="22"/>
      </w:rPr>
      <w:t>/</w:t>
    </w:r>
    <w:r w:rsidRPr="0095484C">
      <w:rPr>
        <w:rFonts w:ascii="Times New Roman" w:hAnsi="Times New Roman"/>
        <w:bCs/>
        <w:sz w:val="22"/>
        <w:szCs w:val="22"/>
      </w:rPr>
      <w:fldChar w:fldCharType="begin"/>
    </w:r>
    <w:r w:rsidR="00A812A8" w:rsidRPr="0095484C">
      <w:rPr>
        <w:rFonts w:ascii="Times New Roman" w:hAnsi="Times New Roman"/>
        <w:bCs/>
        <w:sz w:val="22"/>
        <w:szCs w:val="22"/>
      </w:rPr>
      <w:instrText xml:space="preserve"> NUMPAGES  </w:instrText>
    </w:r>
    <w:r w:rsidRPr="0095484C">
      <w:rPr>
        <w:rFonts w:ascii="Times New Roman" w:hAnsi="Times New Roman"/>
        <w:bCs/>
        <w:sz w:val="22"/>
        <w:szCs w:val="22"/>
      </w:rPr>
      <w:fldChar w:fldCharType="separate"/>
    </w:r>
    <w:r w:rsidR="00E84B02">
      <w:rPr>
        <w:rFonts w:ascii="Times New Roman" w:hAnsi="Times New Roman"/>
        <w:bCs/>
        <w:noProof/>
        <w:sz w:val="22"/>
        <w:szCs w:val="22"/>
      </w:rPr>
      <w:t>72</w:t>
    </w:r>
    <w:r w:rsidRPr="0095484C">
      <w:rPr>
        <w:rFonts w:ascii="Times New Roman" w:hAnsi="Times New Roman"/>
        <w:bCs/>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Default="001C1E6F" w:rsidP="00E30FD1">
    <w:pPr>
      <w:pStyle w:val="Footer"/>
      <w:jc w:val="center"/>
    </w:pPr>
    <w:r w:rsidRPr="001634D1">
      <w:rPr>
        <w:bCs/>
        <w:sz w:val="24"/>
      </w:rPr>
      <w:fldChar w:fldCharType="begin"/>
    </w:r>
    <w:r w:rsidR="00A812A8" w:rsidRPr="001634D1">
      <w:rPr>
        <w:bCs/>
      </w:rPr>
      <w:instrText xml:space="preserve"> PAGE </w:instrText>
    </w:r>
    <w:r w:rsidRPr="001634D1">
      <w:rPr>
        <w:bCs/>
        <w:sz w:val="24"/>
      </w:rPr>
      <w:fldChar w:fldCharType="separate"/>
    </w:r>
    <w:r w:rsidR="00A812A8">
      <w:rPr>
        <w:bCs/>
        <w:noProof/>
      </w:rPr>
      <w:t>1</w:t>
    </w:r>
    <w:r w:rsidRPr="001634D1">
      <w:rPr>
        <w:bCs/>
        <w:sz w:val="24"/>
      </w:rPr>
      <w:fldChar w:fldCharType="end"/>
    </w:r>
    <w:r w:rsidR="00A812A8" w:rsidRPr="001634D1">
      <w:t>/</w:t>
    </w:r>
    <w:r w:rsidRPr="001634D1">
      <w:rPr>
        <w:bCs/>
        <w:sz w:val="24"/>
      </w:rPr>
      <w:fldChar w:fldCharType="begin"/>
    </w:r>
    <w:r w:rsidR="00A812A8" w:rsidRPr="001634D1">
      <w:rPr>
        <w:bCs/>
      </w:rPr>
      <w:instrText xml:space="preserve"> NUMPAGES  </w:instrText>
    </w:r>
    <w:r w:rsidRPr="001634D1">
      <w:rPr>
        <w:bCs/>
        <w:sz w:val="24"/>
      </w:rPr>
      <w:fldChar w:fldCharType="separate"/>
    </w:r>
    <w:r w:rsidR="00A812A8">
      <w:rPr>
        <w:bCs/>
        <w:noProof/>
      </w:rPr>
      <w:t>70</w:t>
    </w:r>
    <w:r w:rsidRPr="001634D1">
      <w:rPr>
        <w:bCs/>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Default="001C1E6F" w:rsidP="00E30FD1">
    <w:pPr>
      <w:pStyle w:val="Footer"/>
      <w:framePr w:wrap="around" w:vAnchor="text" w:hAnchor="margin" w:xAlign="right" w:y="1"/>
      <w:rPr>
        <w:rStyle w:val="PageNumber"/>
      </w:rPr>
    </w:pPr>
    <w:r>
      <w:rPr>
        <w:rStyle w:val="PageNumber"/>
      </w:rPr>
      <w:fldChar w:fldCharType="begin"/>
    </w:r>
    <w:r w:rsidR="00A812A8">
      <w:rPr>
        <w:rStyle w:val="PageNumber"/>
      </w:rPr>
      <w:instrText xml:space="preserve">PAGE  </w:instrText>
    </w:r>
    <w:r>
      <w:rPr>
        <w:rStyle w:val="PageNumber"/>
      </w:rPr>
      <w:fldChar w:fldCharType="separate"/>
    </w:r>
    <w:r w:rsidR="00A812A8">
      <w:rPr>
        <w:rStyle w:val="PageNumber"/>
        <w:noProof/>
      </w:rPr>
      <w:t>2</w:t>
    </w:r>
    <w:r>
      <w:rPr>
        <w:rStyle w:val="PageNumber"/>
      </w:rPr>
      <w:fldChar w:fldCharType="end"/>
    </w:r>
  </w:p>
  <w:p w:rsidR="00A812A8" w:rsidRDefault="00A812A8" w:rsidP="00E30FD1">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Pr="002631B7" w:rsidRDefault="00E84B02" w:rsidP="0095484C">
    <w:pPr>
      <w:pStyle w:val="Footer"/>
      <w:rPr>
        <w:rFonts w:ascii="Times New Roman" w:hAnsi="Times New Roman"/>
        <w:sz w:val="20"/>
        <w:lang w:val="lv-LV"/>
      </w:rPr>
    </w:pPr>
    <w:r>
      <w:rPr>
        <w:rFonts w:ascii="Times New Roman" w:hAnsi="Times New Roman"/>
        <w:sz w:val="20"/>
        <w:lang w:val="lv-LV"/>
      </w:rPr>
      <w:t>VARAMProg_31</w:t>
    </w:r>
    <w:r w:rsidR="00A812A8" w:rsidRPr="002631B7">
      <w:rPr>
        <w:rFonts w:ascii="Times New Roman" w:hAnsi="Times New Roman"/>
        <w:sz w:val="20"/>
        <w:lang w:val="lv-LV"/>
      </w:rPr>
      <w:t>0714_LVLT; Latvijas-Lietuvas pārrobežu sadarbības programmas 2014.-2020.gadam projekts</w:t>
    </w:r>
  </w:p>
  <w:p w:rsidR="00A812A8" w:rsidRPr="0095484C" w:rsidRDefault="001C1E6F" w:rsidP="00E30FD1">
    <w:pPr>
      <w:pStyle w:val="Footer"/>
      <w:jc w:val="center"/>
      <w:rPr>
        <w:rFonts w:ascii="Times New Roman" w:hAnsi="Times New Roman"/>
        <w:sz w:val="22"/>
        <w:szCs w:val="22"/>
      </w:rPr>
    </w:pPr>
    <w:r w:rsidRPr="0095484C">
      <w:rPr>
        <w:rFonts w:ascii="Times New Roman" w:hAnsi="Times New Roman"/>
        <w:bCs/>
        <w:sz w:val="22"/>
        <w:szCs w:val="22"/>
      </w:rPr>
      <w:fldChar w:fldCharType="begin"/>
    </w:r>
    <w:r w:rsidR="00A812A8" w:rsidRPr="0095484C">
      <w:rPr>
        <w:rFonts w:ascii="Times New Roman" w:hAnsi="Times New Roman"/>
        <w:bCs/>
        <w:sz w:val="22"/>
        <w:szCs w:val="22"/>
      </w:rPr>
      <w:instrText xml:space="preserve"> PAGE </w:instrText>
    </w:r>
    <w:r w:rsidRPr="0095484C">
      <w:rPr>
        <w:rFonts w:ascii="Times New Roman" w:hAnsi="Times New Roman"/>
        <w:bCs/>
        <w:sz w:val="22"/>
        <w:szCs w:val="22"/>
      </w:rPr>
      <w:fldChar w:fldCharType="separate"/>
    </w:r>
    <w:r w:rsidR="00E84B02">
      <w:rPr>
        <w:rFonts w:ascii="Times New Roman" w:hAnsi="Times New Roman"/>
        <w:bCs/>
        <w:noProof/>
        <w:sz w:val="22"/>
        <w:szCs w:val="22"/>
      </w:rPr>
      <w:t>47</w:t>
    </w:r>
    <w:r w:rsidRPr="0095484C">
      <w:rPr>
        <w:rFonts w:ascii="Times New Roman" w:hAnsi="Times New Roman"/>
        <w:bCs/>
        <w:sz w:val="22"/>
        <w:szCs w:val="22"/>
      </w:rPr>
      <w:fldChar w:fldCharType="end"/>
    </w:r>
    <w:r w:rsidR="00A812A8" w:rsidRPr="0095484C">
      <w:rPr>
        <w:rFonts w:ascii="Times New Roman" w:hAnsi="Times New Roman"/>
        <w:sz w:val="22"/>
        <w:szCs w:val="22"/>
      </w:rPr>
      <w:t>/</w:t>
    </w:r>
    <w:r w:rsidRPr="0095484C">
      <w:rPr>
        <w:rFonts w:ascii="Times New Roman" w:hAnsi="Times New Roman"/>
        <w:bCs/>
        <w:sz w:val="22"/>
        <w:szCs w:val="22"/>
      </w:rPr>
      <w:fldChar w:fldCharType="begin"/>
    </w:r>
    <w:r w:rsidR="00A812A8" w:rsidRPr="0095484C">
      <w:rPr>
        <w:rFonts w:ascii="Times New Roman" w:hAnsi="Times New Roman"/>
        <w:bCs/>
        <w:sz w:val="22"/>
        <w:szCs w:val="22"/>
      </w:rPr>
      <w:instrText xml:space="preserve"> NUMPAGES  </w:instrText>
    </w:r>
    <w:r w:rsidRPr="0095484C">
      <w:rPr>
        <w:rFonts w:ascii="Times New Roman" w:hAnsi="Times New Roman"/>
        <w:bCs/>
        <w:sz w:val="22"/>
        <w:szCs w:val="22"/>
      </w:rPr>
      <w:fldChar w:fldCharType="separate"/>
    </w:r>
    <w:r w:rsidR="00E84B02">
      <w:rPr>
        <w:rFonts w:ascii="Times New Roman" w:hAnsi="Times New Roman"/>
        <w:bCs/>
        <w:noProof/>
        <w:sz w:val="22"/>
        <w:szCs w:val="22"/>
      </w:rPr>
      <w:t>72</w:t>
    </w:r>
    <w:r w:rsidRPr="0095484C">
      <w:rPr>
        <w:rFonts w:ascii="Times New Roman" w:hAnsi="Times New Roman"/>
        <w:bCs/>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Default="001C1E6F" w:rsidP="00E30FD1">
    <w:pPr>
      <w:pStyle w:val="Footer"/>
      <w:jc w:val="center"/>
    </w:pPr>
    <w:r w:rsidRPr="001634D1">
      <w:rPr>
        <w:bCs/>
        <w:sz w:val="24"/>
      </w:rPr>
      <w:fldChar w:fldCharType="begin"/>
    </w:r>
    <w:r w:rsidR="00A812A8" w:rsidRPr="001634D1">
      <w:rPr>
        <w:bCs/>
      </w:rPr>
      <w:instrText xml:space="preserve"> PAGE </w:instrText>
    </w:r>
    <w:r w:rsidRPr="001634D1">
      <w:rPr>
        <w:bCs/>
        <w:sz w:val="24"/>
      </w:rPr>
      <w:fldChar w:fldCharType="separate"/>
    </w:r>
    <w:r w:rsidR="00A812A8">
      <w:rPr>
        <w:bCs/>
        <w:noProof/>
      </w:rPr>
      <w:t>1</w:t>
    </w:r>
    <w:r w:rsidRPr="001634D1">
      <w:rPr>
        <w:bCs/>
        <w:sz w:val="24"/>
      </w:rPr>
      <w:fldChar w:fldCharType="end"/>
    </w:r>
    <w:r w:rsidR="00A812A8" w:rsidRPr="001634D1">
      <w:t>/</w:t>
    </w:r>
    <w:r w:rsidRPr="001634D1">
      <w:rPr>
        <w:bCs/>
        <w:sz w:val="24"/>
      </w:rPr>
      <w:fldChar w:fldCharType="begin"/>
    </w:r>
    <w:r w:rsidR="00A812A8" w:rsidRPr="001634D1">
      <w:rPr>
        <w:bCs/>
      </w:rPr>
      <w:instrText xml:space="preserve"> NUMPAGES  </w:instrText>
    </w:r>
    <w:r w:rsidRPr="001634D1">
      <w:rPr>
        <w:bCs/>
        <w:sz w:val="24"/>
      </w:rPr>
      <w:fldChar w:fldCharType="separate"/>
    </w:r>
    <w:r w:rsidR="00A812A8">
      <w:rPr>
        <w:bCs/>
        <w:noProof/>
      </w:rPr>
      <w:t>70</w:t>
    </w:r>
    <w:r w:rsidRPr="001634D1">
      <w:rPr>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4D" w:rsidRDefault="0004654D" w:rsidP="00EB4D36">
      <w:pPr>
        <w:spacing w:after="0"/>
      </w:pPr>
      <w:r>
        <w:separator/>
      </w:r>
    </w:p>
  </w:footnote>
  <w:footnote w:type="continuationSeparator" w:id="0">
    <w:p w:rsidR="0004654D" w:rsidRDefault="0004654D" w:rsidP="00EB4D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Pr="00714469" w:rsidRDefault="00A812A8" w:rsidP="007D6B08">
    <w:pPr>
      <w:widowControl w:val="0"/>
      <w:autoSpaceDE w:val="0"/>
      <w:autoSpaceDN w:val="0"/>
      <w:adjustRightInd w:val="0"/>
      <w:spacing w:after="0" w:line="240" w:lineRule="auto"/>
      <w:ind w:left="20"/>
      <w:rPr>
        <w:rFonts w:ascii="Times New Roman" w:hAnsi="Times New Roman"/>
        <w:sz w:val="18"/>
        <w:szCs w:val="18"/>
        <w:lang w:val="lv-LV"/>
      </w:rPr>
    </w:pPr>
    <w:r w:rsidRPr="00714469">
      <w:rPr>
        <w:rFonts w:ascii="Times New Roman" w:hAnsi="Times New Roman"/>
        <w:b/>
        <w:bCs/>
        <w:color w:val="7F7F7F"/>
        <w:sz w:val="18"/>
        <w:szCs w:val="18"/>
        <w:lang w:val="lv-LV"/>
      </w:rPr>
      <w:t>Latvijas – Lietuvas programmas 2014.–2020. gadam dokumenta projekta versija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Pr="001F4DA7" w:rsidRDefault="00A812A8" w:rsidP="004115A6">
    <w:pPr>
      <w:widowControl w:val="0"/>
      <w:autoSpaceDE w:val="0"/>
      <w:autoSpaceDN w:val="0"/>
      <w:adjustRightInd w:val="0"/>
      <w:spacing w:after="0" w:line="240" w:lineRule="auto"/>
      <w:ind w:left="20"/>
      <w:rPr>
        <w:rFonts w:ascii="Times New Roman" w:hAnsi="Times New Roman"/>
        <w:lang w:val="lv-LV"/>
      </w:rPr>
    </w:pPr>
    <w:r w:rsidRPr="001F4DA7">
      <w:rPr>
        <w:rFonts w:cs="Verdana"/>
        <w:b/>
        <w:bCs/>
        <w:color w:val="7F7F7F"/>
        <w:sz w:val="16"/>
        <w:szCs w:val="16"/>
        <w:lang w:val="lv-LV"/>
      </w:rPr>
      <w:t>Latvijas – Lietuvas Programmas 2014. – 2020. gadam dokumenta projekta versija</w:t>
    </w:r>
  </w:p>
  <w:p w:rsidR="00A812A8" w:rsidRPr="004115A6" w:rsidRDefault="00A812A8" w:rsidP="00824499">
    <w:pPr>
      <w:pStyle w:val="Header"/>
      <w:jc w:val="left"/>
      <w:rPr>
        <w:rFonts w:ascii="Verdana" w:hAnsi="Verdana"/>
        <w:sz w:val="16"/>
        <w:szCs w:val="16"/>
        <w:lang w:val="lv-LV"/>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Pr="0040758B" w:rsidRDefault="00A812A8" w:rsidP="001A1F47">
    <w:pPr>
      <w:pStyle w:val="Header"/>
      <w:jc w:val="left"/>
      <w:rPr>
        <w:sz w:val="16"/>
        <w:szCs w:val="16"/>
      </w:rPr>
    </w:pPr>
    <w:r>
      <w:rPr>
        <w:noProof/>
        <w:lang w:val="lv-LV" w:eastAsia="lv-LV"/>
      </w:rPr>
      <w:drawing>
        <wp:anchor distT="0" distB="0" distL="114300" distR="114300" simplePos="0" relativeHeight="251657216" behindDoc="1" locked="0" layoutInCell="1" allowOverlap="1">
          <wp:simplePos x="0" y="0"/>
          <wp:positionH relativeFrom="column">
            <wp:posOffset>4792345</wp:posOffset>
          </wp:positionH>
          <wp:positionV relativeFrom="paragraph">
            <wp:posOffset>-238760</wp:posOffset>
          </wp:positionV>
          <wp:extent cx="542925" cy="381000"/>
          <wp:effectExtent l="19050" t="0" r="9525" b="0"/>
          <wp:wrapTight wrapText="bothSides">
            <wp:wrapPolygon edited="0">
              <wp:start x="-758" y="0"/>
              <wp:lineTo x="-758" y="20520"/>
              <wp:lineTo x="21979" y="20520"/>
              <wp:lineTo x="21979" y="0"/>
              <wp:lineTo x="-758" y="0"/>
            </wp:wrapPolygon>
          </wp:wrapTight>
          <wp:docPr id="7" name="Picture 12" descr="Description: logo_set_201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logo_set_201_142"/>
                  <pic:cNvPicPr>
                    <a:picLocks noChangeAspect="1" noChangeArrowheads="1"/>
                  </pic:cNvPicPr>
                </pic:nvPicPr>
                <pic:blipFill>
                  <a:blip r:embed="rId1"/>
                  <a:srcRect/>
                  <a:stretch>
                    <a:fillRect/>
                  </a:stretch>
                </pic:blipFill>
                <pic:spPr bwMode="auto">
                  <a:xfrm>
                    <a:off x="0" y="0"/>
                    <a:ext cx="542925" cy="381000"/>
                  </a:xfrm>
                  <a:prstGeom prst="rect">
                    <a:avLst/>
                  </a:prstGeom>
                  <a:noFill/>
                  <a:ln w="9525">
                    <a:noFill/>
                    <a:miter lim="800000"/>
                    <a:headEnd/>
                    <a:tailEnd/>
                  </a:ln>
                </pic:spPr>
              </pic:pic>
            </a:graphicData>
          </a:graphic>
        </wp:anchor>
      </w:drawing>
    </w:r>
    <w:r w:rsidRPr="006B6E87">
      <w:rPr>
        <w:b/>
        <w:color w:val="7F7F7F"/>
        <w:sz w:val="16"/>
        <w:szCs w:val="16"/>
      </w:rPr>
      <w:t xml:space="preserve">Draft of the OP document </w:t>
    </w:r>
    <w:r w:rsidRPr="006B6E87">
      <w:rPr>
        <w:b/>
        <w:color w:val="7F7F7F"/>
        <w:sz w:val="16"/>
        <w:szCs w:val="16"/>
      </w:rPr>
      <w:br/>
      <w:t>Latvia – Lithuania Programme 2014-2020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Default="00A812A8" w:rsidP="00CD15D4">
    <w:pPr>
      <w:pStyle w:val="Header"/>
      <w:spacing w:after="0"/>
      <w:jc w:val="left"/>
      <w:rPr>
        <w:rFonts w:cs="Verdana"/>
        <w:b/>
        <w:bCs/>
        <w:color w:val="7F7F7F"/>
        <w:sz w:val="16"/>
        <w:szCs w:val="16"/>
        <w:lang w:val="lv-LV"/>
      </w:rPr>
    </w:pPr>
    <w:r w:rsidRPr="001F4DA7">
      <w:rPr>
        <w:rFonts w:cs="Verdana"/>
        <w:b/>
        <w:bCs/>
        <w:color w:val="7F7F7F"/>
        <w:sz w:val="16"/>
        <w:szCs w:val="16"/>
        <w:lang w:val="lv-LV"/>
      </w:rPr>
      <w:t xml:space="preserve">Latvijas – Lietuvas Programmas 2014. – 2020. gadam </w:t>
    </w:r>
  </w:p>
  <w:p w:rsidR="00A812A8" w:rsidRPr="00523F77" w:rsidRDefault="00A812A8" w:rsidP="00824499">
    <w:pPr>
      <w:pStyle w:val="Header"/>
      <w:jc w:val="left"/>
      <w:rPr>
        <w:rFonts w:cs="Verdana"/>
        <w:b/>
        <w:bCs/>
        <w:color w:val="7F7F7F"/>
        <w:sz w:val="16"/>
        <w:szCs w:val="16"/>
        <w:lang w:val="lv-LV"/>
      </w:rPr>
    </w:pPr>
    <w:r w:rsidRPr="001F4DA7">
      <w:rPr>
        <w:rFonts w:cs="Verdana"/>
        <w:b/>
        <w:bCs/>
        <w:color w:val="7F7F7F"/>
        <w:sz w:val="16"/>
        <w:szCs w:val="16"/>
        <w:lang w:val="lv-LV"/>
      </w:rPr>
      <w:t>dokumenta projekta versija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A8" w:rsidRPr="0040758B" w:rsidRDefault="00A812A8" w:rsidP="001A1F47">
    <w:pPr>
      <w:pStyle w:val="Header"/>
      <w:jc w:val="left"/>
      <w:rPr>
        <w:sz w:val="16"/>
        <w:szCs w:val="16"/>
      </w:rPr>
    </w:pPr>
    <w:r>
      <w:rPr>
        <w:noProof/>
        <w:lang w:val="lv-LV" w:eastAsia="lv-LV"/>
      </w:rPr>
      <w:drawing>
        <wp:anchor distT="0" distB="0" distL="114300" distR="114300" simplePos="0" relativeHeight="251658240" behindDoc="1" locked="0" layoutInCell="1" allowOverlap="1">
          <wp:simplePos x="0" y="0"/>
          <wp:positionH relativeFrom="column">
            <wp:posOffset>4792345</wp:posOffset>
          </wp:positionH>
          <wp:positionV relativeFrom="paragraph">
            <wp:posOffset>-238760</wp:posOffset>
          </wp:positionV>
          <wp:extent cx="542925" cy="381000"/>
          <wp:effectExtent l="19050" t="0" r="9525" b="0"/>
          <wp:wrapTight wrapText="bothSides">
            <wp:wrapPolygon edited="0">
              <wp:start x="-758" y="0"/>
              <wp:lineTo x="-758" y="20520"/>
              <wp:lineTo x="21979" y="20520"/>
              <wp:lineTo x="21979" y="0"/>
              <wp:lineTo x="-758" y="0"/>
            </wp:wrapPolygon>
          </wp:wrapTight>
          <wp:docPr id="6" name="Picture 2" descr="Description: logo_set_201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set_201_142"/>
                  <pic:cNvPicPr>
                    <a:picLocks noChangeAspect="1" noChangeArrowheads="1"/>
                  </pic:cNvPicPr>
                </pic:nvPicPr>
                <pic:blipFill>
                  <a:blip r:embed="rId1"/>
                  <a:srcRect/>
                  <a:stretch>
                    <a:fillRect/>
                  </a:stretch>
                </pic:blipFill>
                <pic:spPr bwMode="auto">
                  <a:xfrm>
                    <a:off x="0" y="0"/>
                    <a:ext cx="542925" cy="381000"/>
                  </a:xfrm>
                  <a:prstGeom prst="rect">
                    <a:avLst/>
                  </a:prstGeom>
                  <a:noFill/>
                  <a:ln w="9525">
                    <a:noFill/>
                    <a:miter lim="800000"/>
                    <a:headEnd/>
                    <a:tailEnd/>
                  </a:ln>
                </pic:spPr>
              </pic:pic>
            </a:graphicData>
          </a:graphic>
        </wp:anchor>
      </w:drawing>
    </w:r>
    <w:r w:rsidRPr="006B6E87">
      <w:rPr>
        <w:b/>
        <w:color w:val="7F7F7F"/>
        <w:sz w:val="16"/>
        <w:szCs w:val="16"/>
      </w:rPr>
      <w:t xml:space="preserve">Draft of the OP document </w:t>
    </w:r>
    <w:r w:rsidRPr="006B6E87">
      <w:rPr>
        <w:b/>
        <w:color w:val="7F7F7F"/>
        <w:sz w:val="16"/>
        <w:szCs w:val="16"/>
      </w:rPr>
      <w:br/>
      <w:t>Latvia – Lithuania Programme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832D0"/>
    <w:lvl w:ilvl="0">
      <w:start w:val="1"/>
      <w:numFmt w:val="bullet"/>
      <w:lvlText w:val=""/>
      <w:lvlJc w:val="left"/>
      <w:pPr>
        <w:tabs>
          <w:tab w:val="num" w:pos="360"/>
        </w:tabs>
        <w:ind w:left="360" w:hanging="360"/>
      </w:pPr>
      <w:rPr>
        <w:rFonts w:ascii="Symbol" w:hAnsi="Symbol" w:hint="default"/>
      </w:rPr>
    </w:lvl>
  </w:abstractNum>
  <w:abstractNum w:abstractNumId="1">
    <w:nsid w:val="06A92EF3"/>
    <w:multiLevelType w:val="hybridMultilevel"/>
    <w:tmpl w:val="06146812"/>
    <w:lvl w:ilvl="0" w:tplc="E89EB5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3494"/>
    <w:multiLevelType w:val="hybridMultilevel"/>
    <w:tmpl w:val="A610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7C9"/>
    <w:multiLevelType w:val="hybridMultilevel"/>
    <w:tmpl w:val="42529802"/>
    <w:lvl w:ilvl="0" w:tplc="A3D4ABD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77DD1"/>
    <w:multiLevelType w:val="hybridMultilevel"/>
    <w:tmpl w:val="FA7CF388"/>
    <w:lvl w:ilvl="0" w:tplc="A3D4ABDC">
      <w:numFmt w:val="bullet"/>
      <w:lvlText w:val="-"/>
      <w:lvlJc w:val="left"/>
      <w:pPr>
        <w:ind w:left="820" w:hanging="360"/>
      </w:pPr>
      <w:rPr>
        <w:rFonts w:ascii="Calibri" w:eastAsiaTheme="minorHAnsi" w:hAnsi="Calibri" w:cstheme="minorBidi" w:hint="default"/>
      </w:rPr>
    </w:lvl>
    <w:lvl w:ilvl="1" w:tplc="04260003" w:tentative="1">
      <w:start w:val="1"/>
      <w:numFmt w:val="bullet"/>
      <w:lvlText w:val="o"/>
      <w:lvlJc w:val="left"/>
      <w:pPr>
        <w:ind w:left="1540" w:hanging="360"/>
      </w:pPr>
      <w:rPr>
        <w:rFonts w:ascii="Courier New" w:hAnsi="Courier New" w:cs="Courier New" w:hint="default"/>
      </w:rPr>
    </w:lvl>
    <w:lvl w:ilvl="2" w:tplc="04260005" w:tentative="1">
      <w:start w:val="1"/>
      <w:numFmt w:val="bullet"/>
      <w:lvlText w:val=""/>
      <w:lvlJc w:val="left"/>
      <w:pPr>
        <w:ind w:left="2260" w:hanging="360"/>
      </w:pPr>
      <w:rPr>
        <w:rFonts w:ascii="Wingdings" w:hAnsi="Wingdings" w:hint="default"/>
      </w:rPr>
    </w:lvl>
    <w:lvl w:ilvl="3" w:tplc="04260001" w:tentative="1">
      <w:start w:val="1"/>
      <w:numFmt w:val="bullet"/>
      <w:lvlText w:val=""/>
      <w:lvlJc w:val="left"/>
      <w:pPr>
        <w:ind w:left="2980" w:hanging="360"/>
      </w:pPr>
      <w:rPr>
        <w:rFonts w:ascii="Symbol" w:hAnsi="Symbol" w:hint="default"/>
      </w:rPr>
    </w:lvl>
    <w:lvl w:ilvl="4" w:tplc="04260003" w:tentative="1">
      <w:start w:val="1"/>
      <w:numFmt w:val="bullet"/>
      <w:lvlText w:val="o"/>
      <w:lvlJc w:val="left"/>
      <w:pPr>
        <w:ind w:left="3700" w:hanging="360"/>
      </w:pPr>
      <w:rPr>
        <w:rFonts w:ascii="Courier New" w:hAnsi="Courier New" w:cs="Courier New" w:hint="default"/>
      </w:rPr>
    </w:lvl>
    <w:lvl w:ilvl="5" w:tplc="04260005" w:tentative="1">
      <w:start w:val="1"/>
      <w:numFmt w:val="bullet"/>
      <w:lvlText w:val=""/>
      <w:lvlJc w:val="left"/>
      <w:pPr>
        <w:ind w:left="4420" w:hanging="360"/>
      </w:pPr>
      <w:rPr>
        <w:rFonts w:ascii="Wingdings" w:hAnsi="Wingdings" w:hint="default"/>
      </w:rPr>
    </w:lvl>
    <w:lvl w:ilvl="6" w:tplc="04260001" w:tentative="1">
      <w:start w:val="1"/>
      <w:numFmt w:val="bullet"/>
      <w:lvlText w:val=""/>
      <w:lvlJc w:val="left"/>
      <w:pPr>
        <w:ind w:left="5140" w:hanging="360"/>
      </w:pPr>
      <w:rPr>
        <w:rFonts w:ascii="Symbol" w:hAnsi="Symbol" w:hint="default"/>
      </w:rPr>
    </w:lvl>
    <w:lvl w:ilvl="7" w:tplc="04260003" w:tentative="1">
      <w:start w:val="1"/>
      <w:numFmt w:val="bullet"/>
      <w:lvlText w:val="o"/>
      <w:lvlJc w:val="left"/>
      <w:pPr>
        <w:ind w:left="5860" w:hanging="360"/>
      </w:pPr>
      <w:rPr>
        <w:rFonts w:ascii="Courier New" w:hAnsi="Courier New" w:cs="Courier New" w:hint="default"/>
      </w:rPr>
    </w:lvl>
    <w:lvl w:ilvl="8" w:tplc="04260005" w:tentative="1">
      <w:start w:val="1"/>
      <w:numFmt w:val="bullet"/>
      <w:lvlText w:val=""/>
      <w:lvlJc w:val="left"/>
      <w:pPr>
        <w:ind w:left="6580" w:hanging="360"/>
      </w:pPr>
      <w:rPr>
        <w:rFonts w:ascii="Wingdings" w:hAnsi="Wingdings" w:hint="default"/>
      </w:rPr>
    </w:lvl>
  </w:abstractNum>
  <w:abstractNum w:abstractNumId="5">
    <w:nsid w:val="2FE77519"/>
    <w:multiLevelType w:val="hybridMultilevel"/>
    <w:tmpl w:val="11B829CC"/>
    <w:lvl w:ilvl="0" w:tplc="A3D4ABDC">
      <w:numFmt w:val="bullet"/>
      <w:lvlText w:val="-"/>
      <w:lvlJc w:val="left"/>
      <w:pPr>
        <w:ind w:left="820" w:hanging="360"/>
      </w:pPr>
      <w:rPr>
        <w:rFonts w:ascii="Calibri" w:eastAsiaTheme="minorHAnsi" w:hAnsi="Calibri" w:cstheme="minorBidi" w:hint="default"/>
      </w:rPr>
    </w:lvl>
    <w:lvl w:ilvl="1" w:tplc="04260003" w:tentative="1">
      <w:start w:val="1"/>
      <w:numFmt w:val="bullet"/>
      <w:lvlText w:val="o"/>
      <w:lvlJc w:val="left"/>
      <w:pPr>
        <w:ind w:left="1540" w:hanging="360"/>
      </w:pPr>
      <w:rPr>
        <w:rFonts w:ascii="Courier New" w:hAnsi="Courier New" w:cs="Courier New" w:hint="default"/>
      </w:rPr>
    </w:lvl>
    <w:lvl w:ilvl="2" w:tplc="04260005" w:tentative="1">
      <w:start w:val="1"/>
      <w:numFmt w:val="bullet"/>
      <w:lvlText w:val=""/>
      <w:lvlJc w:val="left"/>
      <w:pPr>
        <w:ind w:left="2260" w:hanging="360"/>
      </w:pPr>
      <w:rPr>
        <w:rFonts w:ascii="Wingdings" w:hAnsi="Wingdings" w:hint="default"/>
      </w:rPr>
    </w:lvl>
    <w:lvl w:ilvl="3" w:tplc="04260001" w:tentative="1">
      <w:start w:val="1"/>
      <w:numFmt w:val="bullet"/>
      <w:lvlText w:val=""/>
      <w:lvlJc w:val="left"/>
      <w:pPr>
        <w:ind w:left="2980" w:hanging="360"/>
      </w:pPr>
      <w:rPr>
        <w:rFonts w:ascii="Symbol" w:hAnsi="Symbol" w:hint="default"/>
      </w:rPr>
    </w:lvl>
    <w:lvl w:ilvl="4" w:tplc="04260003" w:tentative="1">
      <w:start w:val="1"/>
      <w:numFmt w:val="bullet"/>
      <w:lvlText w:val="o"/>
      <w:lvlJc w:val="left"/>
      <w:pPr>
        <w:ind w:left="3700" w:hanging="360"/>
      </w:pPr>
      <w:rPr>
        <w:rFonts w:ascii="Courier New" w:hAnsi="Courier New" w:cs="Courier New" w:hint="default"/>
      </w:rPr>
    </w:lvl>
    <w:lvl w:ilvl="5" w:tplc="04260005" w:tentative="1">
      <w:start w:val="1"/>
      <w:numFmt w:val="bullet"/>
      <w:lvlText w:val=""/>
      <w:lvlJc w:val="left"/>
      <w:pPr>
        <w:ind w:left="4420" w:hanging="360"/>
      </w:pPr>
      <w:rPr>
        <w:rFonts w:ascii="Wingdings" w:hAnsi="Wingdings" w:hint="default"/>
      </w:rPr>
    </w:lvl>
    <w:lvl w:ilvl="6" w:tplc="04260001" w:tentative="1">
      <w:start w:val="1"/>
      <w:numFmt w:val="bullet"/>
      <w:lvlText w:val=""/>
      <w:lvlJc w:val="left"/>
      <w:pPr>
        <w:ind w:left="5140" w:hanging="360"/>
      </w:pPr>
      <w:rPr>
        <w:rFonts w:ascii="Symbol" w:hAnsi="Symbol" w:hint="default"/>
      </w:rPr>
    </w:lvl>
    <w:lvl w:ilvl="7" w:tplc="04260003" w:tentative="1">
      <w:start w:val="1"/>
      <w:numFmt w:val="bullet"/>
      <w:lvlText w:val="o"/>
      <w:lvlJc w:val="left"/>
      <w:pPr>
        <w:ind w:left="5860" w:hanging="360"/>
      </w:pPr>
      <w:rPr>
        <w:rFonts w:ascii="Courier New" w:hAnsi="Courier New" w:cs="Courier New" w:hint="default"/>
      </w:rPr>
    </w:lvl>
    <w:lvl w:ilvl="8" w:tplc="04260005" w:tentative="1">
      <w:start w:val="1"/>
      <w:numFmt w:val="bullet"/>
      <w:lvlText w:val=""/>
      <w:lvlJc w:val="left"/>
      <w:pPr>
        <w:ind w:left="6580" w:hanging="360"/>
      </w:pPr>
      <w:rPr>
        <w:rFonts w:ascii="Wingdings" w:hAnsi="Wingdings" w:hint="default"/>
      </w:rPr>
    </w:lvl>
  </w:abstractNum>
  <w:abstractNum w:abstractNumId="6">
    <w:nsid w:val="35552FF0"/>
    <w:multiLevelType w:val="hybridMultilevel"/>
    <w:tmpl w:val="9F58A072"/>
    <w:lvl w:ilvl="0" w:tplc="BFEEAD28">
      <w:start w:val="1"/>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F72F04"/>
    <w:multiLevelType w:val="hybridMultilevel"/>
    <w:tmpl w:val="C0F067C2"/>
    <w:lvl w:ilvl="0" w:tplc="BFEEAD28">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816A9"/>
    <w:multiLevelType w:val="hybridMultilevel"/>
    <w:tmpl w:val="913AC19E"/>
    <w:lvl w:ilvl="0" w:tplc="88A47A12">
      <w:start w:val="1"/>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5DA6F28"/>
    <w:multiLevelType w:val="hybridMultilevel"/>
    <w:tmpl w:val="682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C95665"/>
    <w:multiLevelType w:val="hybridMultilevel"/>
    <w:tmpl w:val="2EAE4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C3140D7"/>
    <w:multiLevelType w:val="hybridMultilevel"/>
    <w:tmpl w:val="94400A62"/>
    <w:lvl w:ilvl="0" w:tplc="88A47A1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02EC1"/>
    <w:multiLevelType w:val="hybridMultilevel"/>
    <w:tmpl w:val="BD981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38B5502"/>
    <w:multiLevelType w:val="hybridMultilevel"/>
    <w:tmpl w:val="10920ADA"/>
    <w:lvl w:ilvl="0" w:tplc="D2F6C8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D0BEC"/>
    <w:multiLevelType w:val="singleLevel"/>
    <w:tmpl w:val="72D6F376"/>
    <w:lvl w:ilvl="0">
      <w:start w:val="1"/>
      <w:numFmt w:val="bullet"/>
      <w:pStyle w:val="ListBullet"/>
      <w:lvlText w:val=""/>
      <w:lvlJc w:val="left"/>
      <w:pPr>
        <w:tabs>
          <w:tab w:val="num" w:pos="567"/>
        </w:tabs>
        <w:ind w:left="567" w:hanging="283"/>
      </w:pPr>
      <w:rPr>
        <w:rFonts w:ascii="Symbol" w:hAnsi="Symbol"/>
      </w:rPr>
    </w:lvl>
  </w:abstractNum>
  <w:abstractNum w:abstractNumId="15">
    <w:nsid w:val="55A02FB0"/>
    <w:multiLevelType w:val="hybridMultilevel"/>
    <w:tmpl w:val="46965A5A"/>
    <w:lvl w:ilvl="0" w:tplc="BFEEAD28">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14788"/>
    <w:multiLevelType w:val="hybridMultilevel"/>
    <w:tmpl w:val="56B0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E5F70"/>
    <w:multiLevelType w:val="hybridMultilevel"/>
    <w:tmpl w:val="E4284E4E"/>
    <w:lvl w:ilvl="0" w:tplc="B6321892">
      <w:start w:val="109"/>
      <w:numFmt w:val="bullet"/>
      <w:lvlText w:val="-"/>
      <w:lvlJc w:val="left"/>
      <w:pPr>
        <w:ind w:left="-244" w:hanging="360"/>
      </w:pPr>
      <w:rPr>
        <w:rFonts w:ascii="Times New Roman" w:eastAsia="Times New Roman" w:hAnsi="Times New Roman" w:cs="Times New Roman" w:hint="default"/>
      </w:rPr>
    </w:lvl>
    <w:lvl w:ilvl="1" w:tplc="04260003" w:tentative="1">
      <w:start w:val="1"/>
      <w:numFmt w:val="bullet"/>
      <w:lvlText w:val="o"/>
      <w:lvlJc w:val="left"/>
      <w:pPr>
        <w:ind w:left="476" w:hanging="360"/>
      </w:pPr>
      <w:rPr>
        <w:rFonts w:ascii="Courier New" w:hAnsi="Courier New" w:cs="Courier New" w:hint="default"/>
      </w:rPr>
    </w:lvl>
    <w:lvl w:ilvl="2" w:tplc="04260005" w:tentative="1">
      <w:start w:val="1"/>
      <w:numFmt w:val="bullet"/>
      <w:lvlText w:val=""/>
      <w:lvlJc w:val="left"/>
      <w:pPr>
        <w:ind w:left="1196" w:hanging="360"/>
      </w:pPr>
      <w:rPr>
        <w:rFonts w:ascii="Wingdings" w:hAnsi="Wingdings" w:hint="default"/>
      </w:rPr>
    </w:lvl>
    <w:lvl w:ilvl="3" w:tplc="04260001" w:tentative="1">
      <w:start w:val="1"/>
      <w:numFmt w:val="bullet"/>
      <w:lvlText w:val=""/>
      <w:lvlJc w:val="left"/>
      <w:pPr>
        <w:ind w:left="1916" w:hanging="360"/>
      </w:pPr>
      <w:rPr>
        <w:rFonts w:ascii="Symbol" w:hAnsi="Symbol" w:hint="default"/>
      </w:rPr>
    </w:lvl>
    <w:lvl w:ilvl="4" w:tplc="04260003" w:tentative="1">
      <w:start w:val="1"/>
      <w:numFmt w:val="bullet"/>
      <w:lvlText w:val="o"/>
      <w:lvlJc w:val="left"/>
      <w:pPr>
        <w:ind w:left="2636" w:hanging="360"/>
      </w:pPr>
      <w:rPr>
        <w:rFonts w:ascii="Courier New" w:hAnsi="Courier New" w:cs="Courier New" w:hint="default"/>
      </w:rPr>
    </w:lvl>
    <w:lvl w:ilvl="5" w:tplc="04260005" w:tentative="1">
      <w:start w:val="1"/>
      <w:numFmt w:val="bullet"/>
      <w:lvlText w:val=""/>
      <w:lvlJc w:val="left"/>
      <w:pPr>
        <w:ind w:left="3356" w:hanging="360"/>
      </w:pPr>
      <w:rPr>
        <w:rFonts w:ascii="Wingdings" w:hAnsi="Wingdings" w:hint="default"/>
      </w:rPr>
    </w:lvl>
    <w:lvl w:ilvl="6" w:tplc="04260001" w:tentative="1">
      <w:start w:val="1"/>
      <w:numFmt w:val="bullet"/>
      <w:lvlText w:val=""/>
      <w:lvlJc w:val="left"/>
      <w:pPr>
        <w:ind w:left="4076" w:hanging="360"/>
      </w:pPr>
      <w:rPr>
        <w:rFonts w:ascii="Symbol" w:hAnsi="Symbol" w:hint="default"/>
      </w:rPr>
    </w:lvl>
    <w:lvl w:ilvl="7" w:tplc="04260003" w:tentative="1">
      <w:start w:val="1"/>
      <w:numFmt w:val="bullet"/>
      <w:lvlText w:val="o"/>
      <w:lvlJc w:val="left"/>
      <w:pPr>
        <w:ind w:left="4796" w:hanging="360"/>
      </w:pPr>
      <w:rPr>
        <w:rFonts w:ascii="Courier New" w:hAnsi="Courier New" w:cs="Courier New" w:hint="default"/>
      </w:rPr>
    </w:lvl>
    <w:lvl w:ilvl="8" w:tplc="04260005" w:tentative="1">
      <w:start w:val="1"/>
      <w:numFmt w:val="bullet"/>
      <w:lvlText w:val=""/>
      <w:lvlJc w:val="left"/>
      <w:pPr>
        <w:ind w:left="5516" w:hanging="360"/>
      </w:pPr>
      <w:rPr>
        <w:rFonts w:ascii="Wingdings" w:hAnsi="Wingdings" w:hint="default"/>
      </w:rPr>
    </w:lvl>
  </w:abstractNum>
  <w:abstractNum w:abstractNumId="18">
    <w:nsid w:val="60184D56"/>
    <w:multiLevelType w:val="hybridMultilevel"/>
    <w:tmpl w:val="42D2065C"/>
    <w:lvl w:ilvl="0" w:tplc="A3D4ABD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737B73"/>
    <w:multiLevelType w:val="multilevel"/>
    <w:tmpl w:val="1D383AD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Times New Roman" w:hAnsi="Times New Roman" w:cs="Times New Roman"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F577B3"/>
    <w:multiLevelType w:val="hybridMultilevel"/>
    <w:tmpl w:val="88C21680"/>
    <w:lvl w:ilvl="0" w:tplc="490A89F8">
      <w:start w:val="1"/>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3F55773"/>
    <w:multiLevelType w:val="hybridMultilevel"/>
    <w:tmpl w:val="39B09FC6"/>
    <w:lvl w:ilvl="0" w:tplc="D2F6C8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F290B"/>
    <w:multiLevelType w:val="hybridMultilevel"/>
    <w:tmpl w:val="99889EC2"/>
    <w:lvl w:ilvl="0" w:tplc="88A47A1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7"/>
  </w:num>
  <w:num w:numId="4">
    <w:abstractNumId w:val="19"/>
  </w:num>
  <w:num w:numId="5">
    <w:abstractNumId w:val="14"/>
  </w:num>
  <w:num w:numId="6">
    <w:abstractNumId w:val="20"/>
  </w:num>
  <w:num w:numId="7">
    <w:abstractNumId w:val="22"/>
  </w:num>
  <w:num w:numId="8">
    <w:abstractNumId w:val="8"/>
  </w:num>
  <w:num w:numId="9">
    <w:abstractNumId w:val="2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7"/>
  </w:num>
  <w:num w:numId="20">
    <w:abstractNumId w:val="0"/>
  </w:num>
  <w:num w:numId="21">
    <w:abstractNumId w:val="9"/>
  </w:num>
  <w:num w:numId="22">
    <w:abstractNumId w:val="3"/>
  </w:num>
  <w:num w:numId="23">
    <w:abstractNumId w:val="6"/>
  </w:num>
  <w:num w:numId="24">
    <w:abstractNumId w:val="5"/>
  </w:num>
  <w:num w:numId="25">
    <w:abstractNumId w:val="4"/>
  </w:num>
  <w:num w:numId="26">
    <w:abstractNumId w:val="12"/>
  </w:num>
  <w:num w:numId="27">
    <w:abstractNumId w:val="2"/>
  </w:num>
  <w:num w:numId="28">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EB4D36"/>
    <w:rsid w:val="00000A21"/>
    <w:rsid w:val="00000ED3"/>
    <w:rsid w:val="00000F56"/>
    <w:rsid w:val="000015B6"/>
    <w:rsid w:val="000028F0"/>
    <w:rsid w:val="00004C3C"/>
    <w:rsid w:val="00005F3F"/>
    <w:rsid w:val="00006771"/>
    <w:rsid w:val="0001061D"/>
    <w:rsid w:val="00010C63"/>
    <w:rsid w:val="00013566"/>
    <w:rsid w:val="000148D1"/>
    <w:rsid w:val="00015FA4"/>
    <w:rsid w:val="000162D8"/>
    <w:rsid w:val="0001651B"/>
    <w:rsid w:val="000169E6"/>
    <w:rsid w:val="00017074"/>
    <w:rsid w:val="00017E83"/>
    <w:rsid w:val="00020EAA"/>
    <w:rsid w:val="000224B5"/>
    <w:rsid w:val="00022692"/>
    <w:rsid w:val="00022A17"/>
    <w:rsid w:val="0002306D"/>
    <w:rsid w:val="00023313"/>
    <w:rsid w:val="000237EF"/>
    <w:rsid w:val="00023A66"/>
    <w:rsid w:val="00023BAB"/>
    <w:rsid w:val="000252D6"/>
    <w:rsid w:val="00025CC6"/>
    <w:rsid w:val="00030274"/>
    <w:rsid w:val="00033196"/>
    <w:rsid w:val="000335A2"/>
    <w:rsid w:val="0003412B"/>
    <w:rsid w:val="000344AB"/>
    <w:rsid w:val="000374FB"/>
    <w:rsid w:val="00037521"/>
    <w:rsid w:val="00037E9C"/>
    <w:rsid w:val="00040E0E"/>
    <w:rsid w:val="00042F79"/>
    <w:rsid w:val="00043194"/>
    <w:rsid w:val="00044BFF"/>
    <w:rsid w:val="00046370"/>
    <w:rsid w:val="0004654D"/>
    <w:rsid w:val="00046A33"/>
    <w:rsid w:val="0004730F"/>
    <w:rsid w:val="00047333"/>
    <w:rsid w:val="000502F2"/>
    <w:rsid w:val="00050B2F"/>
    <w:rsid w:val="0005248C"/>
    <w:rsid w:val="000527C3"/>
    <w:rsid w:val="000532EB"/>
    <w:rsid w:val="00053B16"/>
    <w:rsid w:val="00053D62"/>
    <w:rsid w:val="000545F3"/>
    <w:rsid w:val="00054709"/>
    <w:rsid w:val="0005502D"/>
    <w:rsid w:val="00056451"/>
    <w:rsid w:val="00056654"/>
    <w:rsid w:val="00060C1A"/>
    <w:rsid w:val="00060C4B"/>
    <w:rsid w:val="00061FB1"/>
    <w:rsid w:val="00065481"/>
    <w:rsid w:val="000654F3"/>
    <w:rsid w:val="00065604"/>
    <w:rsid w:val="000659E6"/>
    <w:rsid w:val="00065A0C"/>
    <w:rsid w:val="0006757F"/>
    <w:rsid w:val="00070C53"/>
    <w:rsid w:val="00071326"/>
    <w:rsid w:val="00071CF7"/>
    <w:rsid w:val="000729BA"/>
    <w:rsid w:val="000737FA"/>
    <w:rsid w:val="00074630"/>
    <w:rsid w:val="0007535E"/>
    <w:rsid w:val="00076080"/>
    <w:rsid w:val="000760A6"/>
    <w:rsid w:val="00076651"/>
    <w:rsid w:val="0007699C"/>
    <w:rsid w:val="00080105"/>
    <w:rsid w:val="00080430"/>
    <w:rsid w:val="00080683"/>
    <w:rsid w:val="000809C9"/>
    <w:rsid w:val="00081092"/>
    <w:rsid w:val="000821A6"/>
    <w:rsid w:val="00083D31"/>
    <w:rsid w:val="000852C1"/>
    <w:rsid w:val="00085CA9"/>
    <w:rsid w:val="00086372"/>
    <w:rsid w:val="00086F34"/>
    <w:rsid w:val="00087AB3"/>
    <w:rsid w:val="00090C91"/>
    <w:rsid w:val="00092250"/>
    <w:rsid w:val="00092ACA"/>
    <w:rsid w:val="00093429"/>
    <w:rsid w:val="0009403C"/>
    <w:rsid w:val="000949A4"/>
    <w:rsid w:val="0009546C"/>
    <w:rsid w:val="00096335"/>
    <w:rsid w:val="0009666B"/>
    <w:rsid w:val="00097FDB"/>
    <w:rsid w:val="000A0BAD"/>
    <w:rsid w:val="000A187F"/>
    <w:rsid w:val="000A1CEC"/>
    <w:rsid w:val="000A33B8"/>
    <w:rsid w:val="000A483F"/>
    <w:rsid w:val="000A65F4"/>
    <w:rsid w:val="000A7B93"/>
    <w:rsid w:val="000B0AD0"/>
    <w:rsid w:val="000B0B1D"/>
    <w:rsid w:val="000B1196"/>
    <w:rsid w:val="000B1948"/>
    <w:rsid w:val="000B19A6"/>
    <w:rsid w:val="000B1FCA"/>
    <w:rsid w:val="000B256F"/>
    <w:rsid w:val="000B2A9E"/>
    <w:rsid w:val="000B2E90"/>
    <w:rsid w:val="000B3CC4"/>
    <w:rsid w:val="000B41B2"/>
    <w:rsid w:val="000B49A9"/>
    <w:rsid w:val="000B5E96"/>
    <w:rsid w:val="000B67C3"/>
    <w:rsid w:val="000C21B1"/>
    <w:rsid w:val="000C2492"/>
    <w:rsid w:val="000C2665"/>
    <w:rsid w:val="000C289F"/>
    <w:rsid w:val="000C30BA"/>
    <w:rsid w:val="000C3309"/>
    <w:rsid w:val="000C50C2"/>
    <w:rsid w:val="000C5176"/>
    <w:rsid w:val="000C53AE"/>
    <w:rsid w:val="000C58A8"/>
    <w:rsid w:val="000C669A"/>
    <w:rsid w:val="000C735E"/>
    <w:rsid w:val="000C73C9"/>
    <w:rsid w:val="000C74F3"/>
    <w:rsid w:val="000C7EE4"/>
    <w:rsid w:val="000D0EFB"/>
    <w:rsid w:val="000D11E7"/>
    <w:rsid w:val="000D1C9F"/>
    <w:rsid w:val="000D1D22"/>
    <w:rsid w:val="000D253B"/>
    <w:rsid w:val="000D3371"/>
    <w:rsid w:val="000D340E"/>
    <w:rsid w:val="000D354F"/>
    <w:rsid w:val="000D40EC"/>
    <w:rsid w:val="000D45B3"/>
    <w:rsid w:val="000D5FBF"/>
    <w:rsid w:val="000D68A3"/>
    <w:rsid w:val="000D783D"/>
    <w:rsid w:val="000E13C7"/>
    <w:rsid w:val="000E22CF"/>
    <w:rsid w:val="000E2475"/>
    <w:rsid w:val="000E252E"/>
    <w:rsid w:val="000E3C57"/>
    <w:rsid w:val="000E3DD0"/>
    <w:rsid w:val="000E3E46"/>
    <w:rsid w:val="000E3FF5"/>
    <w:rsid w:val="000E46E9"/>
    <w:rsid w:val="000E53E4"/>
    <w:rsid w:val="000E57BC"/>
    <w:rsid w:val="000E5CA8"/>
    <w:rsid w:val="000E629E"/>
    <w:rsid w:val="000E67EA"/>
    <w:rsid w:val="000F009E"/>
    <w:rsid w:val="000F023D"/>
    <w:rsid w:val="000F129C"/>
    <w:rsid w:val="000F1F6F"/>
    <w:rsid w:val="000F23F2"/>
    <w:rsid w:val="000F32BC"/>
    <w:rsid w:val="000F3C38"/>
    <w:rsid w:val="000F6E2B"/>
    <w:rsid w:val="000F7514"/>
    <w:rsid w:val="00100CD9"/>
    <w:rsid w:val="001017B5"/>
    <w:rsid w:val="00104A9C"/>
    <w:rsid w:val="00104CD1"/>
    <w:rsid w:val="00106BFC"/>
    <w:rsid w:val="00107696"/>
    <w:rsid w:val="0011009A"/>
    <w:rsid w:val="00111E06"/>
    <w:rsid w:val="001127D0"/>
    <w:rsid w:val="00112B80"/>
    <w:rsid w:val="0011312F"/>
    <w:rsid w:val="001146CD"/>
    <w:rsid w:val="00114EA1"/>
    <w:rsid w:val="00114F9C"/>
    <w:rsid w:val="001156BF"/>
    <w:rsid w:val="00117A47"/>
    <w:rsid w:val="00121B01"/>
    <w:rsid w:val="00124529"/>
    <w:rsid w:val="00124B71"/>
    <w:rsid w:val="00124C6A"/>
    <w:rsid w:val="0012697A"/>
    <w:rsid w:val="00126984"/>
    <w:rsid w:val="0012718A"/>
    <w:rsid w:val="00127452"/>
    <w:rsid w:val="001303F5"/>
    <w:rsid w:val="001304A5"/>
    <w:rsid w:val="00130BA2"/>
    <w:rsid w:val="0013180A"/>
    <w:rsid w:val="00131A8C"/>
    <w:rsid w:val="00132349"/>
    <w:rsid w:val="0013285F"/>
    <w:rsid w:val="00132EEB"/>
    <w:rsid w:val="001339D4"/>
    <w:rsid w:val="00133B31"/>
    <w:rsid w:val="00134371"/>
    <w:rsid w:val="00134AC3"/>
    <w:rsid w:val="00134BD7"/>
    <w:rsid w:val="0013577E"/>
    <w:rsid w:val="00135B57"/>
    <w:rsid w:val="00135F4A"/>
    <w:rsid w:val="00136769"/>
    <w:rsid w:val="00140CB5"/>
    <w:rsid w:val="0014205E"/>
    <w:rsid w:val="00143822"/>
    <w:rsid w:val="00143839"/>
    <w:rsid w:val="00144166"/>
    <w:rsid w:val="00145355"/>
    <w:rsid w:val="00145928"/>
    <w:rsid w:val="0014708F"/>
    <w:rsid w:val="00147398"/>
    <w:rsid w:val="0015028C"/>
    <w:rsid w:val="001502A8"/>
    <w:rsid w:val="001509BA"/>
    <w:rsid w:val="001517BE"/>
    <w:rsid w:val="001518C3"/>
    <w:rsid w:val="00151BB1"/>
    <w:rsid w:val="00152BCF"/>
    <w:rsid w:val="00153AF2"/>
    <w:rsid w:val="00154975"/>
    <w:rsid w:val="00154F2A"/>
    <w:rsid w:val="0015558E"/>
    <w:rsid w:val="00155F9A"/>
    <w:rsid w:val="001566D8"/>
    <w:rsid w:val="00156DE0"/>
    <w:rsid w:val="00156E4E"/>
    <w:rsid w:val="0015727D"/>
    <w:rsid w:val="00157EE6"/>
    <w:rsid w:val="00161572"/>
    <w:rsid w:val="0016193F"/>
    <w:rsid w:val="001620A3"/>
    <w:rsid w:val="00162CBE"/>
    <w:rsid w:val="00162CCF"/>
    <w:rsid w:val="001647D3"/>
    <w:rsid w:val="00164EA7"/>
    <w:rsid w:val="00165146"/>
    <w:rsid w:val="00165512"/>
    <w:rsid w:val="001657E0"/>
    <w:rsid w:val="00165BD8"/>
    <w:rsid w:val="0016698F"/>
    <w:rsid w:val="001675B6"/>
    <w:rsid w:val="00167672"/>
    <w:rsid w:val="00167C04"/>
    <w:rsid w:val="0017101B"/>
    <w:rsid w:val="00172A20"/>
    <w:rsid w:val="00172D96"/>
    <w:rsid w:val="001743B6"/>
    <w:rsid w:val="001748B7"/>
    <w:rsid w:val="00174913"/>
    <w:rsid w:val="00174F54"/>
    <w:rsid w:val="001757DB"/>
    <w:rsid w:val="001758DD"/>
    <w:rsid w:val="00176A63"/>
    <w:rsid w:val="00176D2F"/>
    <w:rsid w:val="00176FA6"/>
    <w:rsid w:val="0017799A"/>
    <w:rsid w:val="0018018E"/>
    <w:rsid w:val="00180513"/>
    <w:rsid w:val="0018124A"/>
    <w:rsid w:val="00181C76"/>
    <w:rsid w:val="0018256A"/>
    <w:rsid w:val="0018267A"/>
    <w:rsid w:val="00183AE8"/>
    <w:rsid w:val="00187658"/>
    <w:rsid w:val="0018799D"/>
    <w:rsid w:val="0019050A"/>
    <w:rsid w:val="00190F27"/>
    <w:rsid w:val="00192526"/>
    <w:rsid w:val="001931CB"/>
    <w:rsid w:val="001932A5"/>
    <w:rsid w:val="001941D5"/>
    <w:rsid w:val="00195220"/>
    <w:rsid w:val="001956D9"/>
    <w:rsid w:val="00195D32"/>
    <w:rsid w:val="0019779C"/>
    <w:rsid w:val="00197F9C"/>
    <w:rsid w:val="001A0253"/>
    <w:rsid w:val="001A1582"/>
    <w:rsid w:val="001A1F47"/>
    <w:rsid w:val="001A2084"/>
    <w:rsid w:val="001A23E4"/>
    <w:rsid w:val="001A2FF3"/>
    <w:rsid w:val="001A3220"/>
    <w:rsid w:val="001A4F48"/>
    <w:rsid w:val="001A510A"/>
    <w:rsid w:val="001A5264"/>
    <w:rsid w:val="001A676B"/>
    <w:rsid w:val="001A692C"/>
    <w:rsid w:val="001A69B6"/>
    <w:rsid w:val="001A6CB8"/>
    <w:rsid w:val="001B036E"/>
    <w:rsid w:val="001B0A60"/>
    <w:rsid w:val="001B1041"/>
    <w:rsid w:val="001B4431"/>
    <w:rsid w:val="001B49E0"/>
    <w:rsid w:val="001B77DD"/>
    <w:rsid w:val="001C00AF"/>
    <w:rsid w:val="001C02BD"/>
    <w:rsid w:val="001C07A3"/>
    <w:rsid w:val="001C197B"/>
    <w:rsid w:val="001C1E6F"/>
    <w:rsid w:val="001C2F05"/>
    <w:rsid w:val="001C3CF5"/>
    <w:rsid w:val="001C4C6F"/>
    <w:rsid w:val="001C5CB2"/>
    <w:rsid w:val="001C63CE"/>
    <w:rsid w:val="001C73E8"/>
    <w:rsid w:val="001C7483"/>
    <w:rsid w:val="001C7D91"/>
    <w:rsid w:val="001C7ED6"/>
    <w:rsid w:val="001D021E"/>
    <w:rsid w:val="001D1D9D"/>
    <w:rsid w:val="001D20BA"/>
    <w:rsid w:val="001D39EC"/>
    <w:rsid w:val="001D4158"/>
    <w:rsid w:val="001D4852"/>
    <w:rsid w:val="001D5B1F"/>
    <w:rsid w:val="001D5C98"/>
    <w:rsid w:val="001D6903"/>
    <w:rsid w:val="001D711F"/>
    <w:rsid w:val="001D747A"/>
    <w:rsid w:val="001E5D28"/>
    <w:rsid w:val="001E6016"/>
    <w:rsid w:val="001E6CBE"/>
    <w:rsid w:val="001E778F"/>
    <w:rsid w:val="001F1643"/>
    <w:rsid w:val="001F3FED"/>
    <w:rsid w:val="001F4DA7"/>
    <w:rsid w:val="001F5592"/>
    <w:rsid w:val="001F5A6D"/>
    <w:rsid w:val="001F5DD2"/>
    <w:rsid w:val="001F662B"/>
    <w:rsid w:val="001F74A7"/>
    <w:rsid w:val="001F7610"/>
    <w:rsid w:val="0020144B"/>
    <w:rsid w:val="00202A9C"/>
    <w:rsid w:val="00202EF4"/>
    <w:rsid w:val="0020465D"/>
    <w:rsid w:val="00204F16"/>
    <w:rsid w:val="00205091"/>
    <w:rsid w:val="00205D65"/>
    <w:rsid w:val="00205DCC"/>
    <w:rsid w:val="002060E6"/>
    <w:rsid w:val="002069FA"/>
    <w:rsid w:val="00206EAC"/>
    <w:rsid w:val="00207A71"/>
    <w:rsid w:val="0021010E"/>
    <w:rsid w:val="00210875"/>
    <w:rsid w:val="002108B3"/>
    <w:rsid w:val="002114DB"/>
    <w:rsid w:val="00211692"/>
    <w:rsid w:val="00211D46"/>
    <w:rsid w:val="00212F1B"/>
    <w:rsid w:val="00212FC0"/>
    <w:rsid w:val="00213F62"/>
    <w:rsid w:val="0021633B"/>
    <w:rsid w:val="00216AFC"/>
    <w:rsid w:val="0021784E"/>
    <w:rsid w:val="002215EC"/>
    <w:rsid w:val="002223A3"/>
    <w:rsid w:val="002251E9"/>
    <w:rsid w:val="00225202"/>
    <w:rsid w:val="002270FF"/>
    <w:rsid w:val="002277CC"/>
    <w:rsid w:val="00227AA9"/>
    <w:rsid w:val="002308C3"/>
    <w:rsid w:val="00231A8B"/>
    <w:rsid w:val="002337C9"/>
    <w:rsid w:val="00233AD5"/>
    <w:rsid w:val="0023440B"/>
    <w:rsid w:val="002345E6"/>
    <w:rsid w:val="002349CF"/>
    <w:rsid w:val="00234D88"/>
    <w:rsid w:val="002365DF"/>
    <w:rsid w:val="002368C6"/>
    <w:rsid w:val="00237FE1"/>
    <w:rsid w:val="00240106"/>
    <w:rsid w:val="00240AAC"/>
    <w:rsid w:val="00240D67"/>
    <w:rsid w:val="0024185D"/>
    <w:rsid w:val="00241A34"/>
    <w:rsid w:val="0024248A"/>
    <w:rsid w:val="002438DD"/>
    <w:rsid w:val="00243CE9"/>
    <w:rsid w:val="00244B8C"/>
    <w:rsid w:val="00244C19"/>
    <w:rsid w:val="002456DA"/>
    <w:rsid w:val="0024574D"/>
    <w:rsid w:val="0024791B"/>
    <w:rsid w:val="00247F57"/>
    <w:rsid w:val="00247FC0"/>
    <w:rsid w:val="0025153D"/>
    <w:rsid w:val="00251971"/>
    <w:rsid w:val="002531FE"/>
    <w:rsid w:val="002536C7"/>
    <w:rsid w:val="00254219"/>
    <w:rsid w:val="002542D0"/>
    <w:rsid w:val="00254CDC"/>
    <w:rsid w:val="00255816"/>
    <w:rsid w:val="00256569"/>
    <w:rsid w:val="00256A87"/>
    <w:rsid w:val="00256BCF"/>
    <w:rsid w:val="00260CAA"/>
    <w:rsid w:val="002627FA"/>
    <w:rsid w:val="002631B7"/>
    <w:rsid w:val="00263AC4"/>
    <w:rsid w:val="00263B66"/>
    <w:rsid w:val="002642C8"/>
    <w:rsid w:val="002646F0"/>
    <w:rsid w:val="00264ADF"/>
    <w:rsid w:val="00264E4E"/>
    <w:rsid w:val="0026571A"/>
    <w:rsid w:val="00265A69"/>
    <w:rsid w:val="00267728"/>
    <w:rsid w:val="0026779D"/>
    <w:rsid w:val="00270401"/>
    <w:rsid w:val="00270BAC"/>
    <w:rsid w:val="00271057"/>
    <w:rsid w:val="0027111B"/>
    <w:rsid w:val="00271C34"/>
    <w:rsid w:val="002727B1"/>
    <w:rsid w:val="002729C3"/>
    <w:rsid w:val="00272EE3"/>
    <w:rsid w:val="00273FF6"/>
    <w:rsid w:val="00274369"/>
    <w:rsid w:val="0027447D"/>
    <w:rsid w:val="00274D48"/>
    <w:rsid w:val="002758D8"/>
    <w:rsid w:val="00275CC4"/>
    <w:rsid w:val="002766E5"/>
    <w:rsid w:val="002767A8"/>
    <w:rsid w:val="00276932"/>
    <w:rsid w:val="00276A14"/>
    <w:rsid w:val="00276B37"/>
    <w:rsid w:val="00277E46"/>
    <w:rsid w:val="0028002D"/>
    <w:rsid w:val="0028063A"/>
    <w:rsid w:val="00280FB7"/>
    <w:rsid w:val="002825B8"/>
    <w:rsid w:val="0028280A"/>
    <w:rsid w:val="002831E3"/>
    <w:rsid w:val="0028369B"/>
    <w:rsid w:val="00283AC0"/>
    <w:rsid w:val="00283E05"/>
    <w:rsid w:val="0028437E"/>
    <w:rsid w:val="00284602"/>
    <w:rsid w:val="002864BA"/>
    <w:rsid w:val="00287316"/>
    <w:rsid w:val="00290055"/>
    <w:rsid w:val="0029033D"/>
    <w:rsid w:val="00292F2D"/>
    <w:rsid w:val="0029426B"/>
    <w:rsid w:val="00294BDC"/>
    <w:rsid w:val="00294F87"/>
    <w:rsid w:val="002962A5"/>
    <w:rsid w:val="002968C2"/>
    <w:rsid w:val="00296C39"/>
    <w:rsid w:val="00297954"/>
    <w:rsid w:val="00297A0D"/>
    <w:rsid w:val="00297D9A"/>
    <w:rsid w:val="002A1313"/>
    <w:rsid w:val="002A2523"/>
    <w:rsid w:val="002A33A9"/>
    <w:rsid w:val="002A3A06"/>
    <w:rsid w:val="002A4521"/>
    <w:rsid w:val="002A54C7"/>
    <w:rsid w:val="002A673C"/>
    <w:rsid w:val="002B131F"/>
    <w:rsid w:val="002B1DF6"/>
    <w:rsid w:val="002B238B"/>
    <w:rsid w:val="002B3254"/>
    <w:rsid w:val="002B5A7B"/>
    <w:rsid w:val="002B5B29"/>
    <w:rsid w:val="002B5C2B"/>
    <w:rsid w:val="002B621D"/>
    <w:rsid w:val="002B6D80"/>
    <w:rsid w:val="002B6E6E"/>
    <w:rsid w:val="002B7287"/>
    <w:rsid w:val="002B7835"/>
    <w:rsid w:val="002B7E6C"/>
    <w:rsid w:val="002C02A4"/>
    <w:rsid w:val="002C048E"/>
    <w:rsid w:val="002C1D64"/>
    <w:rsid w:val="002C2D75"/>
    <w:rsid w:val="002C49E6"/>
    <w:rsid w:val="002C53FD"/>
    <w:rsid w:val="002C54CC"/>
    <w:rsid w:val="002C567A"/>
    <w:rsid w:val="002C6261"/>
    <w:rsid w:val="002C67A9"/>
    <w:rsid w:val="002D040C"/>
    <w:rsid w:val="002D0684"/>
    <w:rsid w:val="002D0AAF"/>
    <w:rsid w:val="002D0F3E"/>
    <w:rsid w:val="002D1579"/>
    <w:rsid w:val="002D190D"/>
    <w:rsid w:val="002D4758"/>
    <w:rsid w:val="002D48A9"/>
    <w:rsid w:val="002D5951"/>
    <w:rsid w:val="002D5FE0"/>
    <w:rsid w:val="002D63A6"/>
    <w:rsid w:val="002D646C"/>
    <w:rsid w:val="002D6C15"/>
    <w:rsid w:val="002D72AD"/>
    <w:rsid w:val="002D77BA"/>
    <w:rsid w:val="002E026F"/>
    <w:rsid w:val="002E095B"/>
    <w:rsid w:val="002E0EE5"/>
    <w:rsid w:val="002E1720"/>
    <w:rsid w:val="002E3500"/>
    <w:rsid w:val="002E417D"/>
    <w:rsid w:val="002E5126"/>
    <w:rsid w:val="002E5198"/>
    <w:rsid w:val="002E5384"/>
    <w:rsid w:val="002E5A1F"/>
    <w:rsid w:val="002E60FC"/>
    <w:rsid w:val="002E6435"/>
    <w:rsid w:val="002E6F81"/>
    <w:rsid w:val="002E7FCB"/>
    <w:rsid w:val="002F088A"/>
    <w:rsid w:val="002F0A75"/>
    <w:rsid w:val="002F0ABA"/>
    <w:rsid w:val="002F2521"/>
    <w:rsid w:val="002F33AE"/>
    <w:rsid w:val="002F3738"/>
    <w:rsid w:val="002F42AB"/>
    <w:rsid w:val="002F4604"/>
    <w:rsid w:val="002F496D"/>
    <w:rsid w:val="002F4C23"/>
    <w:rsid w:val="002F4E3D"/>
    <w:rsid w:val="002F50E3"/>
    <w:rsid w:val="002F53D4"/>
    <w:rsid w:val="002F5E6C"/>
    <w:rsid w:val="002F6A46"/>
    <w:rsid w:val="002F6EBF"/>
    <w:rsid w:val="002F6F5F"/>
    <w:rsid w:val="0030029A"/>
    <w:rsid w:val="0030046C"/>
    <w:rsid w:val="00301154"/>
    <w:rsid w:val="0030164D"/>
    <w:rsid w:val="00302C12"/>
    <w:rsid w:val="0030462F"/>
    <w:rsid w:val="0030470D"/>
    <w:rsid w:val="00304816"/>
    <w:rsid w:val="00305290"/>
    <w:rsid w:val="003064C2"/>
    <w:rsid w:val="00307050"/>
    <w:rsid w:val="00307B29"/>
    <w:rsid w:val="003103F9"/>
    <w:rsid w:val="0031083F"/>
    <w:rsid w:val="00312CC1"/>
    <w:rsid w:val="00312FE1"/>
    <w:rsid w:val="003132CC"/>
    <w:rsid w:val="00313425"/>
    <w:rsid w:val="003145DE"/>
    <w:rsid w:val="00315945"/>
    <w:rsid w:val="00315B7C"/>
    <w:rsid w:val="00316411"/>
    <w:rsid w:val="003167DB"/>
    <w:rsid w:val="00317751"/>
    <w:rsid w:val="00320D34"/>
    <w:rsid w:val="00320EA2"/>
    <w:rsid w:val="00321A39"/>
    <w:rsid w:val="00321B34"/>
    <w:rsid w:val="00321E4F"/>
    <w:rsid w:val="00321EC6"/>
    <w:rsid w:val="0032286F"/>
    <w:rsid w:val="00323040"/>
    <w:rsid w:val="00325FFF"/>
    <w:rsid w:val="003260BE"/>
    <w:rsid w:val="00326B44"/>
    <w:rsid w:val="0033000B"/>
    <w:rsid w:val="003300AB"/>
    <w:rsid w:val="00330DAA"/>
    <w:rsid w:val="0033176A"/>
    <w:rsid w:val="003324BD"/>
    <w:rsid w:val="00332988"/>
    <w:rsid w:val="00332E7A"/>
    <w:rsid w:val="0033352E"/>
    <w:rsid w:val="003351CE"/>
    <w:rsid w:val="00335282"/>
    <w:rsid w:val="0033575C"/>
    <w:rsid w:val="00335C20"/>
    <w:rsid w:val="00335EE7"/>
    <w:rsid w:val="003360DD"/>
    <w:rsid w:val="00336336"/>
    <w:rsid w:val="00336927"/>
    <w:rsid w:val="00337100"/>
    <w:rsid w:val="003374DA"/>
    <w:rsid w:val="00340483"/>
    <w:rsid w:val="00340EA8"/>
    <w:rsid w:val="00341421"/>
    <w:rsid w:val="0034364B"/>
    <w:rsid w:val="00343791"/>
    <w:rsid w:val="0034430A"/>
    <w:rsid w:val="003505A1"/>
    <w:rsid w:val="0035173C"/>
    <w:rsid w:val="0035190F"/>
    <w:rsid w:val="00352CF4"/>
    <w:rsid w:val="0035483C"/>
    <w:rsid w:val="003564F2"/>
    <w:rsid w:val="00356D41"/>
    <w:rsid w:val="00357D7A"/>
    <w:rsid w:val="00360444"/>
    <w:rsid w:val="0036195C"/>
    <w:rsid w:val="00361E1C"/>
    <w:rsid w:val="00362329"/>
    <w:rsid w:val="003642B1"/>
    <w:rsid w:val="00366220"/>
    <w:rsid w:val="00366886"/>
    <w:rsid w:val="00366936"/>
    <w:rsid w:val="00367972"/>
    <w:rsid w:val="003679CD"/>
    <w:rsid w:val="00367FD0"/>
    <w:rsid w:val="0037158F"/>
    <w:rsid w:val="0037206F"/>
    <w:rsid w:val="0037385C"/>
    <w:rsid w:val="00374109"/>
    <w:rsid w:val="0037527A"/>
    <w:rsid w:val="003752EB"/>
    <w:rsid w:val="00375D3D"/>
    <w:rsid w:val="00375F12"/>
    <w:rsid w:val="0037632A"/>
    <w:rsid w:val="00376A98"/>
    <w:rsid w:val="00377AF4"/>
    <w:rsid w:val="00380B6E"/>
    <w:rsid w:val="00380EE0"/>
    <w:rsid w:val="00381CC4"/>
    <w:rsid w:val="003837DD"/>
    <w:rsid w:val="003838FA"/>
    <w:rsid w:val="00384220"/>
    <w:rsid w:val="00384E52"/>
    <w:rsid w:val="00384EC7"/>
    <w:rsid w:val="00385A9F"/>
    <w:rsid w:val="00386B5E"/>
    <w:rsid w:val="003871E8"/>
    <w:rsid w:val="003907BD"/>
    <w:rsid w:val="003913C8"/>
    <w:rsid w:val="00391BBE"/>
    <w:rsid w:val="003936FC"/>
    <w:rsid w:val="003944A9"/>
    <w:rsid w:val="0039573C"/>
    <w:rsid w:val="00395856"/>
    <w:rsid w:val="003965F8"/>
    <w:rsid w:val="00396B80"/>
    <w:rsid w:val="0039709A"/>
    <w:rsid w:val="00397DE6"/>
    <w:rsid w:val="003A0452"/>
    <w:rsid w:val="003A0743"/>
    <w:rsid w:val="003A0F3A"/>
    <w:rsid w:val="003A1B4E"/>
    <w:rsid w:val="003A24EF"/>
    <w:rsid w:val="003A2BF4"/>
    <w:rsid w:val="003A3698"/>
    <w:rsid w:val="003A68FB"/>
    <w:rsid w:val="003A7082"/>
    <w:rsid w:val="003A7AD0"/>
    <w:rsid w:val="003B03DB"/>
    <w:rsid w:val="003B060A"/>
    <w:rsid w:val="003B0C34"/>
    <w:rsid w:val="003B0DB3"/>
    <w:rsid w:val="003B2E35"/>
    <w:rsid w:val="003B5344"/>
    <w:rsid w:val="003B5423"/>
    <w:rsid w:val="003B69DC"/>
    <w:rsid w:val="003B7C1A"/>
    <w:rsid w:val="003C0FF2"/>
    <w:rsid w:val="003C17C3"/>
    <w:rsid w:val="003C18F0"/>
    <w:rsid w:val="003C3600"/>
    <w:rsid w:val="003C3D4E"/>
    <w:rsid w:val="003C648C"/>
    <w:rsid w:val="003C70A6"/>
    <w:rsid w:val="003D0032"/>
    <w:rsid w:val="003D0CB2"/>
    <w:rsid w:val="003D152C"/>
    <w:rsid w:val="003D21A6"/>
    <w:rsid w:val="003D24FE"/>
    <w:rsid w:val="003D268D"/>
    <w:rsid w:val="003D2923"/>
    <w:rsid w:val="003D3349"/>
    <w:rsid w:val="003D3B28"/>
    <w:rsid w:val="003D3C1E"/>
    <w:rsid w:val="003D3C8E"/>
    <w:rsid w:val="003D5F40"/>
    <w:rsid w:val="003D5F74"/>
    <w:rsid w:val="003D6708"/>
    <w:rsid w:val="003D72AE"/>
    <w:rsid w:val="003D7584"/>
    <w:rsid w:val="003E0213"/>
    <w:rsid w:val="003E04B7"/>
    <w:rsid w:val="003E17D2"/>
    <w:rsid w:val="003E24DC"/>
    <w:rsid w:val="003E2582"/>
    <w:rsid w:val="003E26D7"/>
    <w:rsid w:val="003E3214"/>
    <w:rsid w:val="003E34DB"/>
    <w:rsid w:val="003E4536"/>
    <w:rsid w:val="003E4B11"/>
    <w:rsid w:val="003E4B36"/>
    <w:rsid w:val="003E5164"/>
    <w:rsid w:val="003E718C"/>
    <w:rsid w:val="003E7DF8"/>
    <w:rsid w:val="003F0A38"/>
    <w:rsid w:val="003F192D"/>
    <w:rsid w:val="003F19E9"/>
    <w:rsid w:val="003F1D06"/>
    <w:rsid w:val="003F1E09"/>
    <w:rsid w:val="003F2D99"/>
    <w:rsid w:val="003F35E3"/>
    <w:rsid w:val="003F4541"/>
    <w:rsid w:val="003F49DE"/>
    <w:rsid w:val="003F4AFB"/>
    <w:rsid w:val="003F53FA"/>
    <w:rsid w:val="003F70D4"/>
    <w:rsid w:val="003F7786"/>
    <w:rsid w:val="0040271B"/>
    <w:rsid w:val="00402C60"/>
    <w:rsid w:val="00404C79"/>
    <w:rsid w:val="004055BD"/>
    <w:rsid w:val="004114CD"/>
    <w:rsid w:val="004115A6"/>
    <w:rsid w:val="004115F9"/>
    <w:rsid w:val="00411F90"/>
    <w:rsid w:val="00413083"/>
    <w:rsid w:val="00413410"/>
    <w:rsid w:val="0041484F"/>
    <w:rsid w:val="004161A4"/>
    <w:rsid w:val="0041680D"/>
    <w:rsid w:val="0041722D"/>
    <w:rsid w:val="004173CF"/>
    <w:rsid w:val="00417C1F"/>
    <w:rsid w:val="00420F8D"/>
    <w:rsid w:val="00421DCC"/>
    <w:rsid w:val="00422DC7"/>
    <w:rsid w:val="00423ACA"/>
    <w:rsid w:val="004245A9"/>
    <w:rsid w:val="00425869"/>
    <w:rsid w:val="004259A1"/>
    <w:rsid w:val="00426BF4"/>
    <w:rsid w:val="00427374"/>
    <w:rsid w:val="004311AF"/>
    <w:rsid w:val="004321B7"/>
    <w:rsid w:val="00432230"/>
    <w:rsid w:val="004324C8"/>
    <w:rsid w:val="00432940"/>
    <w:rsid w:val="00433048"/>
    <w:rsid w:val="004332BF"/>
    <w:rsid w:val="00433426"/>
    <w:rsid w:val="0043367E"/>
    <w:rsid w:val="00433E94"/>
    <w:rsid w:val="0043450A"/>
    <w:rsid w:val="00434BF5"/>
    <w:rsid w:val="004356DA"/>
    <w:rsid w:val="004368F1"/>
    <w:rsid w:val="004370C2"/>
    <w:rsid w:val="00441586"/>
    <w:rsid w:val="004422D0"/>
    <w:rsid w:val="00442EB9"/>
    <w:rsid w:val="0044319D"/>
    <w:rsid w:val="004431A6"/>
    <w:rsid w:val="004434DF"/>
    <w:rsid w:val="0044793F"/>
    <w:rsid w:val="004505F4"/>
    <w:rsid w:val="00451283"/>
    <w:rsid w:val="00451AD5"/>
    <w:rsid w:val="0045358D"/>
    <w:rsid w:val="0045399F"/>
    <w:rsid w:val="00454021"/>
    <w:rsid w:val="004544E0"/>
    <w:rsid w:val="004545F4"/>
    <w:rsid w:val="004601EF"/>
    <w:rsid w:val="0046092C"/>
    <w:rsid w:val="004627CA"/>
    <w:rsid w:val="0046284B"/>
    <w:rsid w:val="00463152"/>
    <w:rsid w:val="00463158"/>
    <w:rsid w:val="00463355"/>
    <w:rsid w:val="0046391F"/>
    <w:rsid w:val="00465BF7"/>
    <w:rsid w:val="00465F9A"/>
    <w:rsid w:val="00466877"/>
    <w:rsid w:val="00466C92"/>
    <w:rsid w:val="00467D0C"/>
    <w:rsid w:val="00470200"/>
    <w:rsid w:val="00471EB5"/>
    <w:rsid w:val="00472063"/>
    <w:rsid w:val="00472460"/>
    <w:rsid w:val="004736AD"/>
    <w:rsid w:val="00474827"/>
    <w:rsid w:val="00474DBB"/>
    <w:rsid w:val="00474F02"/>
    <w:rsid w:val="004758F2"/>
    <w:rsid w:val="00477628"/>
    <w:rsid w:val="00477A70"/>
    <w:rsid w:val="00477AF3"/>
    <w:rsid w:val="004812E0"/>
    <w:rsid w:val="0048168C"/>
    <w:rsid w:val="00482790"/>
    <w:rsid w:val="0048505A"/>
    <w:rsid w:val="00485E0F"/>
    <w:rsid w:val="004868F1"/>
    <w:rsid w:val="004871B5"/>
    <w:rsid w:val="00487EFA"/>
    <w:rsid w:val="004906B8"/>
    <w:rsid w:val="004913CF"/>
    <w:rsid w:val="00491745"/>
    <w:rsid w:val="00492C09"/>
    <w:rsid w:val="00494075"/>
    <w:rsid w:val="00494927"/>
    <w:rsid w:val="0049497B"/>
    <w:rsid w:val="00495374"/>
    <w:rsid w:val="00495808"/>
    <w:rsid w:val="00495E27"/>
    <w:rsid w:val="00495F13"/>
    <w:rsid w:val="004962A3"/>
    <w:rsid w:val="00497472"/>
    <w:rsid w:val="00497BBA"/>
    <w:rsid w:val="004A0123"/>
    <w:rsid w:val="004A0C16"/>
    <w:rsid w:val="004A2096"/>
    <w:rsid w:val="004A2726"/>
    <w:rsid w:val="004A2F50"/>
    <w:rsid w:val="004A468D"/>
    <w:rsid w:val="004A58D7"/>
    <w:rsid w:val="004A6371"/>
    <w:rsid w:val="004A6DAC"/>
    <w:rsid w:val="004A7306"/>
    <w:rsid w:val="004B2526"/>
    <w:rsid w:val="004B308A"/>
    <w:rsid w:val="004B4CF9"/>
    <w:rsid w:val="004B533C"/>
    <w:rsid w:val="004B5FEB"/>
    <w:rsid w:val="004B66DA"/>
    <w:rsid w:val="004B67A3"/>
    <w:rsid w:val="004B7E26"/>
    <w:rsid w:val="004C5544"/>
    <w:rsid w:val="004C6B16"/>
    <w:rsid w:val="004C6B49"/>
    <w:rsid w:val="004C6D0A"/>
    <w:rsid w:val="004D11F6"/>
    <w:rsid w:val="004D2416"/>
    <w:rsid w:val="004D2E9E"/>
    <w:rsid w:val="004D33E6"/>
    <w:rsid w:val="004D54ED"/>
    <w:rsid w:val="004D5FEB"/>
    <w:rsid w:val="004D6847"/>
    <w:rsid w:val="004D6A4C"/>
    <w:rsid w:val="004D6C79"/>
    <w:rsid w:val="004D7365"/>
    <w:rsid w:val="004D7CCE"/>
    <w:rsid w:val="004E0D5B"/>
    <w:rsid w:val="004E106F"/>
    <w:rsid w:val="004E1D91"/>
    <w:rsid w:val="004E273A"/>
    <w:rsid w:val="004E3F90"/>
    <w:rsid w:val="004E47B1"/>
    <w:rsid w:val="004E5B02"/>
    <w:rsid w:val="004E64CE"/>
    <w:rsid w:val="004E7EC0"/>
    <w:rsid w:val="004F001E"/>
    <w:rsid w:val="004F0253"/>
    <w:rsid w:val="004F04EE"/>
    <w:rsid w:val="004F0509"/>
    <w:rsid w:val="004F149C"/>
    <w:rsid w:val="004F1940"/>
    <w:rsid w:val="004F1BE5"/>
    <w:rsid w:val="004F1EF0"/>
    <w:rsid w:val="004F2EA8"/>
    <w:rsid w:val="004F348B"/>
    <w:rsid w:val="004F35F5"/>
    <w:rsid w:val="004F49FA"/>
    <w:rsid w:val="004F584A"/>
    <w:rsid w:val="004F5986"/>
    <w:rsid w:val="004F5B7F"/>
    <w:rsid w:val="004F6370"/>
    <w:rsid w:val="004F6F18"/>
    <w:rsid w:val="004F7C83"/>
    <w:rsid w:val="004F7CC4"/>
    <w:rsid w:val="0050161F"/>
    <w:rsid w:val="005016F3"/>
    <w:rsid w:val="00501789"/>
    <w:rsid w:val="00501E26"/>
    <w:rsid w:val="005022C7"/>
    <w:rsid w:val="00503770"/>
    <w:rsid w:val="00503BD4"/>
    <w:rsid w:val="0050418F"/>
    <w:rsid w:val="00505E9C"/>
    <w:rsid w:val="005065B7"/>
    <w:rsid w:val="0050695B"/>
    <w:rsid w:val="00506F7D"/>
    <w:rsid w:val="0050745E"/>
    <w:rsid w:val="0050785F"/>
    <w:rsid w:val="005104AC"/>
    <w:rsid w:val="00511504"/>
    <w:rsid w:val="00512295"/>
    <w:rsid w:val="00513611"/>
    <w:rsid w:val="00513C7E"/>
    <w:rsid w:val="0051483D"/>
    <w:rsid w:val="005151E7"/>
    <w:rsid w:val="0051544E"/>
    <w:rsid w:val="00515F91"/>
    <w:rsid w:val="0051619B"/>
    <w:rsid w:val="00516E47"/>
    <w:rsid w:val="005177D2"/>
    <w:rsid w:val="00520799"/>
    <w:rsid w:val="005208D7"/>
    <w:rsid w:val="00520DFC"/>
    <w:rsid w:val="00523485"/>
    <w:rsid w:val="00523F77"/>
    <w:rsid w:val="00524A8C"/>
    <w:rsid w:val="00526ACE"/>
    <w:rsid w:val="00526FA4"/>
    <w:rsid w:val="00527CF8"/>
    <w:rsid w:val="0053020B"/>
    <w:rsid w:val="00530B6C"/>
    <w:rsid w:val="00530E4E"/>
    <w:rsid w:val="005314FD"/>
    <w:rsid w:val="00533A8C"/>
    <w:rsid w:val="00535AED"/>
    <w:rsid w:val="005363AC"/>
    <w:rsid w:val="00536E60"/>
    <w:rsid w:val="00536E95"/>
    <w:rsid w:val="00542648"/>
    <w:rsid w:val="0054325D"/>
    <w:rsid w:val="00543A74"/>
    <w:rsid w:val="00543E47"/>
    <w:rsid w:val="00544174"/>
    <w:rsid w:val="005449D3"/>
    <w:rsid w:val="00545022"/>
    <w:rsid w:val="005456FC"/>
    <w:rsid w:val="00546607"/>
    <w:rsid w:val="005474F3"/>
    <w:rsid w:val="005475A4"/>
    <w:rsid w:val="00550E82"/>
    <w:rsid w:val="00551A78"/>
    <w:rsid w:val="00551C81"/>
    <w:rsid w:val="00552155"/>
    <w:rsid w:val="005537CB"/>
    <w:rsid w:val="00554E29"/>
    <w:rsid w:val="00554F0D"/>
    <w:rsid w:val="00554F7F"/>
    <w:rsid w:val="00555166"/>
    <w:rsid w:val="00555774"/>
    <w:rsid w:val="0055631D"/>
    <w:rsid w:val="00556D2F"/>
    <w:rsid w:val="00557165"/>
    <w:rsid w:val="00560C0B"/>
    <w:rsid w:val="005610B7"/>
    <w:rsid w:val="005617BB"/>
    <w:rsid w:val="00561AD6"/>
    <w:rsid w:val="00562810"/>
    <w:rsid w:val="00563283"/>
    <w:rsid w:val="00563E0F"/>
    <w:rsid w:val="0056501E"/>
    <w:rsid w:val="00565772"/>
    <w:rsid w:val="005659DA"/>
    <w:rsid w:val="005675F0"/>
    <w:rsid w:val="0057022E"/>
    <w:rsid w:val="00570C42"/>
    <w:rsid w:val="00570DF6"/>
    <w:rsid w:val="00571F25"/>
    <w:rsid w:val="00572831"/>
    <w:rsid w:val="00573DB4"/>
    <w:rsid w:val="00574BC1"/>
    <w:rsid w:val="00574FD2"/>
    <w:rsid w:val="00575D23"/>
    <w:rsid w:val="005764C0"/>
    <w:rsid w:val="00576D09"/>
    <w:rsid w:val="00576FBF"/>
    <w:rsid w:val="00577121"/>
    <w:rsid w:val="0058026A"/>
    <w:rsid w:val="00580870"/>
    <w:rsid w:val="005832F8"/>
    <w:rsid w:val="005835C9"/>
    <w:rsid w:val="00584088"/>
    <w:rsid w:val="00584762"/>
    <w:rsid w:val="00584D68"/>
    <w:rsid w:val="00585157"/>
    <w:rsid w:val="00587CFF"/>
    <w:rsid w:val="00590093"/>
    <w:rsid w:val="0059010D"/>
    <w:rsid w:val="00590328"/>
    <w:rsid w:val="0059050A"/>
    <w:rsid w:val="0059095F"/>
    <w:rsid w:val="0059226C"/>
    <w:rsid w:val="00592C4B"/>
    <w:rsid w:val="005936F1"/>
    <w:rsid w:val="0059444B"/>
    <w:rsid w:val="00596C56"/>
    <w:rsid w:val="005977FF"/>
    <w:rsid w:val="005A09C5"/>
    <w:rsid w:val="005A09DE"/>
    <w:rsid w:val="005A0BC4"/>
    <w:rsid w:val="005A1460"/>
    <w:rsid w:val="005A2036"/>
    <w:rsid w:val="005A2373"/>
    <w:rsid w:val="005A2B8B"/>
    <w:rsid w:val="005A480E"/>
    <w:rsid w:val="005A5011"/>
    <w:rsid w:val="005A6588"/>
    <w:rsid w:val="005A7BF7"/>
    <w:rsid w:val="005B0254"/>
    <w:rsid w:val="005B0281"/>
    <w:rsid w:val="005B08D4"/>
    <w:rsid w:val="005B094B"/>
    <w:rsid w:val="005B187F"/>
    <w:rsid w:val="005B18FC"/>
    <w:rsid w:val="005B2B5D"/>
    <w:rsid w:val="005B4588"/>
    <w:rsid w:val="005B46E3"/>
    <w:rsid w:val="005B57DE"/>
    <w:rsid w:val="005C2A1F"/>
    <w:rsid w:val="005C2F9D"/>
    <w:rsid w:val="005C31FF"/>
    <w:rsid w:val="005C351B"/>
    <w:rsid w:val="005C3628"/>
    <w:rsid w:val="005C48FF"/>
    <w:rsid w:val="005C4B15"/>
    <w:rsid w:val="005C5ECB"/>
    <w:rsid w:val="005C67C9"/>
    <w:rsid w:val="005C6992"/>
    <w:rsid w:val="005C6E62"/>
    <w:rsid w:val="005C6FEA"/>
    <w:rsid w:val="005D1924"/>
    <w:rsid w:val="005D21CB"/>
    <w:rsid w:val="005D2A10"/>
    <w:rsid w:val="005D2FB5"/>
    <w:rsid w:val="005D35A1"/>
    <w:rsid w:val="005D412D"/>
    <w:rsid w:val="005D416E"/>
    <w:rsid w:val="005D42E3"/>
    <w:rsid w:val="005D44D7"/>
    <w:rsid w:val="005D5851"/>
    <w:rsid w:val="005D6083"/>
    <w:rsid w:val="005D6EF2"/>
    <w:rsid w:val="005D735D"/>
    <w:rsid w:val="005D7C81"/>
    <w:rsid w:val="005E0BDB"/>
    <w:rsid w:val="005E18EB"/>
    <w:rsid w:val="005E1F1F"/>
    <w:rsid w:val="005E242A"/>
    <w:rsid w:val="005E3B5B"/>
    <w:rsid w:val="005E5600"/>
    <w:rsid w:val="005E7238"/>
    <w:rsid w:val="005E731F"/>
    <w:rsid w:val="005F3A01"/>
    <w:rsid w:val="005F3D95"/>
    <w:rsid w:val="005F43B8"/>
    <w:rsid w:val="005F503F"/>
    <w:rsid w:val="005F5374"/>
    <w:rsid w:val="005F5E9D"/>
    <w:rsid w:val="005F6669"/>
    <w:rsid w:val="005F6B98"/>
    <w:rsid w:val="005F73A6"/>
    <w:rsid w:val="005F7F12"/>
    <w:rsid w:val="00600CAC"/>
    <w:rsid w:val="006034D6"/>
    <w:rsid w:val="006036E9"/>
    <w:rsid w:val="00603D71"/>
    <w:rsid w:val="00603E99"/>
    <w:rsid w:val="00603F93"/>
    <w:rsid w:val="00604210"/>
    <w:rsid w:val="00604605"/>
    <w:rsid w:val="00604734"/>
    <w:rsid w:val="006058B2"/>
    <w:rsid w:val="00606185"/>
    <w:rsid w:val="0060668D"/>
    <w:rsid w:val="006071EC"/>
    <w:rsid w:val="00610763"/>
    <w:rsid w:val="00611A59"/>
    <w:rsid w:val="00613A09"/>
    <w:rsid w:val="00614136"/>
    <w:rsid w:val="006141D4"/>
    <w:rsid w:val="006142C3"/>
    <w:rsid w:val="006149C4"/>
    <w:rsid w:val="006157AA"/>
    <w:rsid w:val="0061622C"/>
    <w:rsid w:val="00616C08"/>
    <w:rsid w:val="00616FE1"/>
    <w:rsid w:val="00617F6D"/>
    <w:rsid w:val="00620082"/>
    <w:rsid w:val="0062185E"/>
    <w:rsid w:val="00621E15"/>
    <w:rsid w:val="00622887"/>
    <w:rsid w:val="00623558"/>
    <w:rsid w:val="00623FF7"/>
    <w:rsid w:val="0062464A"/>
    <w:rsid w:val="00627F83"/>
    <w:rsid w:val="006315DC"/>
    <w:rsid w:val="00631767"/>
    <w:rsid w:val="00632324"/>
    <w:rsid w:val="00632D3A"/>
    <w:rsid w:val="006331F0"/>
    <w:rsid w:val="00634E0E"/>
    <w:rsid w:val="0063536D"/>
    <w:rsid w:val="00635F86"/>
    <w:rsid w:val="00637EF1"/>
    <w:rsid w:val="00640F1F"/>
    <w:rsid w:val="0064156B"/>
    <w:rsid w:val="00641634"/>
    <w:rsid w:val="00641983"/>
    <w:rsid w:val="00641D41"/>
    <w:rsid w:val="0064204C"/>
    <w:rsid w:val="00642BBE"/>
    <w:rsid w:val="00642CA6"/>
    <w:rsid w:val="0064363F"/>
    <w:rsid w:val="0064670E"/>
    <w:rsid w:val="00647020"/>
    <w:rsid w:val="006474E9"/>
    <w:rsid w:val="006508C1"/>
    <w:rsid w:val="00650B8B"/>
    <w:rsid w:val="00652279"/>
    <w:rsid w:val="006546A2"/>
    <w:rsid w:val="00656B46"/>
    <w:rsid w:val="00656FE1"/>
    <w:rsid w:val="0066053F"/>
    <w:rsid w:val="00660A0A"/>
    <w:rsid w:val="006615A6"/>
    <w:rsid w:val="00661B3B"/>
    <w:rsid w:val="0066267C"/>
    <w:rsid w:val="006627D3"/>
    <w:rsid w:val="00662D96"/>
    <w:rsid w:val="0066306E"/>
    <w:rsid w:val="00663603"/>
    <w:rsid w:val="0066401C"/>
    <w:rsid w:val="00664682"/>
    <w:rsid w:val="006649A9"/>
    <w:rsid w:val="00665BF1"/>
    <w:rsid w:val="0066633B"/>
    <w:rsid w:val="00666468"/>
    <w:rsid w:val="00666575"/>
    <w:rsid w:val="00670599"/>
    <w:rsid w:val="00670B89"/>
    <w:rsid w:val="00671517"/>
    <w:rsid w:val="006718A5"/>
    <w:rsid w:val="00671F81"/>
    <w:rsid w:val="00672160"/>
    <w:rsid w:val="0067216D"/>
    <w:rsid w:val="006721E0"/>
    <w:rsid w:val="00672C47"/>
    <w:rsid w:val="0067673D"/>
    <w:rsid w:val="0067787D"/>
    <w:rsid w:val="006801FF"/>
    <w:rsid w:val="006806B9"/>
    <w:rsid w:val="00681A29"/>
    <w:rsid w:val="00682DC4"/>
    <w:rsid w:val="006834A4"/>
    <w:rsid w:val="006845B9"/>
    <w:rsid w:val="006849E2"/>
    <w:rsid w:val="00686088"/>
    <w:rsid w:val="00686653"/>
    <w:rsid w:val="00686AD5"/>
    <w:rsid w:val="00686EC7"/>
    <w:rsid w:val="006874F3"/>
    <w:rsid w:val="0069070C"/>
    <w:rsid w:val="00690B24"/>
    <w:rsid w:val="00690B5C"/>
    <w:rsid w:val="00691150"/>
    <w:rsid w:val="006911A7"/>
    <w:rsid w:val="006918F1"/>
    <w:rsid w:val="00692A7E"/>
    <w:rsid w:val="0069324E"/>
    <w:rsid w:val="006943D1"/>
    <w:rsid w:val="00694913"/>
    <w:rsid w:val="00694EC4"/>
    <w:rsid w:val="00695234"/>
    <w:rsid w:val="0069663A"/>
    <w:rsid w:val="00696AEA"/>
    <w:rsid w:val="00696CD2"/>
    <w:rsid w:val="006A30F8"/>
    <w:rsid w:val="006A3E48"/>
    <w:rsid w:val="006A4285"/>
    <w:rsid w:val="006A50D9"/>
    <w:rsid w:val="006B0EA4"/>
    <w:rsid w:val="006B1EA8"/>
    <w:rsid w:val="006B1F3A"/>
    <w:rsid w:val="006B3B37"/>
    <w:rsid w:val="006B3D1F"/>
    <w:rsid w:val="006B4770"/>
    <w:rsid w:val="006B53DE"/>
    <w:rsid w:val="006B5735"/>
    <w:rsid w:val="006B5FB4"/>
    <w:rsid w:val="006B654D"/>
    <w:rsid w:val="006B6E87"/>
    <w:rsid w:val="006B77E4"/>
    <w:rsid w:val="006B7BF6"/>
    <w:rsid w:val="006C116E"/>
    <w:rsid w:val="006C1264"/>
    <w:rsid w:val="006C179B"/>
    <w:rsid w:val="006C26B2"/>
    <w:rsid w:val="006C2B5E"/>
    <w:rsid w:val="006C3DC2"/>
    <w:rsid w:val="006C45E8"/>
    <w:rsid w:val="006C465D"/>
    <w:rsid w:val="006C5416"/>
    <w:rsid w:val="006C54F4"/>
    <w:rsid w:val="006C7491"/>
    <w:rsid w:val="006D11C6"/>
    <w:rsid w:val="006D167C"/>
    <w:rsid w:val="006D1984"/>
    <w:rsid w:val="006D202C"/>
    <w:rsid w:val="006D2347"/>
    <w:rsid w:val="006D3325"/>
    <w:rsid w:val="006D3438"/>
    <w:rsid w:val="006D39E8"/>
    <w:rsid w:val="006D4E61"/>
    <w:rsid w:val="006D7C39"/>
    <w:rsid w:val="006E0402"/>
    <w:rsid w:val="006E0537"/>
    <w:rsid w:val="006E08EF"/>
    <w:rsid w:val="006E09CC"/>
    <w:rsid w:val="006E10DB"/>
    <w:rsid w:val="006E181B"/>
    <w:rsid w:val="006E20F9"/>
    <w:rsid w:val="006E2C6D"/>
    <w:rsid w:val="006E3068"/>
    <w:rsid w:val="006E6B0F"/>
    <w:rsid w:val="006E6BC2"/>
    <w:rsid w:val="006E7BAC"/>
    <w:rsid w:val="006F001B"/>
    <w:rsid w:val="006F1167"/>
    <w:rsid w:val="006F2B17"/>
    <w:rsid w:val="006F37D4"/>
    <w:rsid w:val="006F3C3F"/>
    <w:rsid w:val="006F3EB5"/>
    <w:rsid w:val="006F47AC"/>
    <w:rsid w:val="006F4BC0"/>
    <w:rsid w:val="006F554E"/>
    <w:rsid w:val="006F5D54"/>
    <w:rsid w:val="006F6FF8"/>
    <w:rsid w:val="00700D81"/>
    <w:rsid w:val="00701DF9"/>
    <w:rsid w:val="00701E70"/>
    <w:rsid w:val="00704147"/>
    <w:rsid w:val="00704C79"/>
    <w:rsid w:val="00704E13"/>
    <w:rsid w:val="00705BC6"/>
    <w:rsid w:val="0070702B"/>
    <w:rsid w:val="00707167"/>
    <w:rsid w:val="00707730"/>
    <w:rsid w:val="00710983"/>
    <w:rsid w:val="00710FA3"/>
    <w:rsid w:val="0071141D"/>
    <w:rsid w:val="0071142F"/>
    <w:rsid w:val="007122D3"/>
    <w:rsid w:val="007129F9"/>
    <w:rsid w:val="007131A3"/>
    <w:rsid w:val="00714469"/>
    <w:rsid w:val="00714888"/>
    <w:rsid w:val="00714EFA"/>
    <w:rsid w:val="00715099"/>
    <w:rsid w:val="00716BC0"/>
    <w:rsid w:val="00716C0C"/>
    <w:rsid w:val="0071754E"/>
    <w:rsid w:val="00723E71"/>
    <w:rsid w:val="00724CC2"/>
    <w:rsid w:val="00724D98"/>
    <w:rsid w:val="0072512F"/>
    <w:rsid w:val="0072549F"/>
    <w:rsid w:val="00726364"/>
    <w:rsid w:val="00726ADA"/>
    <w:rsid w:val="0072741A"/>
    <w:rsid w:val="00727FC6"/>
    <w:rsid w:val="007307B8"/>
    <w:rsid w:val="00731182"/>
    <w:rsid w:val="007311EB"/>
    <w:rsid w:val="00731C79"/>
    <w:rsid w:val="00733ED7"/>
    <w:rsid w:val="00734079"/>
    <w:rsid w:val="00734AF0"/>
    <w:rsid w:val="007358B6"/>
    <w:rsid w:val="00735BB3"/>
    <w:rsid w:val="0073609C"/>
    <w:rsid w:val="00736139"/>
    <w:rsid w:val="0073668A"/>
    <w:rsid w:val="00736CF1"/>
    <w:rsid w:val="00736DEC"/>
    <w:rsid w:val="00736F69"/>
    <w:rsid w:val="007404A8"/>
    <w:rsid w:val="007419A3"/>
    <w:rsid w:val="00742696"/>
    <w:rsid w:val="007428CC"/>
    <w:rsid w:val="00742FD3"/>
    <w:rsid w:val="007430EE"/>
    <w:rsid w:val="007439C3"/>
    <w:rsid w:val="00743EA5"/>
    <w:rsid w:val="00744AE8"/>
    <w:rsid w:val="00744E82"/>
    <w:rsid w:val="0074548D"/>
    <w:rsid w:val="00747A4E"/>
    <w:rsid w:val="00747F93"/>
    <w:rsid w:val="0075066D"/>
    <w:rsid w:val="007537AA"/>
    <w:rsid w:val="00753D62"/>
    <w:rsid w:val="00755612"/>
    <w:rsid w:val="00757FC8"/>
    <w:rsid w:val="00760357"/>
    <w:rsid w:val="0076042A"/>
    <w:rsid w:val="007605FA"/>
    <w:rsid w:val="00761D3C"/>
    <w:rsid w:val="007622A8"/>
    <w:rsid w:val="00762363"/>
    <w:rsid w:val="00764704"/>
    <w:rsid w:val="007647F5"/>
    <w:rsid w:val="00764E0B"/>
    <w:rsid w:val="0076542F"/>
    <w:rsid w:val="007656AD"/>
    <w:rsid w:val="00765E35"/>
    <w:rsid w:val="007676C7"/>
    <w:rsid w:val="00767D90"/>
    <w:rsid w:val="0077057B"/>
    <w:rsid w:val="00771345"/>
    <w:rsid w:val="0077224C"/>
    <w:rsid w:val="00772FF0"/>
    <w:rsid w:val="00774FA3"/>
    <w:rsid w:val="00775A50"/>
    <w:rsid w:val="00775C7A"/>
    <w:rsid w:val="007776A1"/>
    <w:rsid w:val="0078127E"/>
    <w:rsid w:val="007815CE"/>
    <w:rsid w:val="00783248"/>
    <w:rsid w:val="007851A4"/>
    <w:rsid w:val="00785E5E"/>
    <w:rsid w:val="007866D4"/>
    <w:rsid w:val="0078700E"/>
    <w:rsid w:val="00787217"/>
    <w:rsid w:val="007913CA"/>
    <w:rsid w:val="00791BC7"/>
    <w:rsid w:val="0079264C"/>
    <w:rsid w:val="00792D3F"/>
    <w:rsid w:val="007930D7"/>
    <w:rsid w:val="00794299"/>
    <w:rsid w:val="007942B9"/>
    <w:rsid w:val="00795DC3"/>
    <w:rsid w:val="00797F52"/>
    <w:rsid w:val="007A00CC"/>
    <w:rsid w:val="007A0877"/>
    <w:rsid w:val="007A0FA3"/>
    <w:rsid w:val="007A1C36"/>
    <w:rsid w:val="007A1F38"/>
    <w:rsid w:val="007A2889"/>
    <w:rsid w:val="007A36A6"/>
    <w:rsid w:val="007A413F"/>
    <w:rsid w:val="007A5201"/>
    <w:rsid w:val="007A5272"/>
    <w:rsid w:val="007A54A1"/>
    <w:rsid w:val="007A5AF4"/>
    <w:rsid w:val="007B2605"/>
    <w:rsid w:val="007B26B1"/>
    <w:rsid w:val="007B28BE"/>
    <w:rsid w:val="007B3A57"/>
    <w:rsid w:val="007B5D1A"/>
    <w:rsid w:val="007B73B5"/>
    <w:rsid w:val="007B7433"/>
    <w:rsid w:val="007C0DED"/>
    <w:rsid w:val="007C2B20"/>
    <w:rsid w:val="007C3139"/>
    <w:rsid w:val="007C3D5C"/>
    <w:rsid w:val="007C4891"/>
    <w:rsid w:val="007C4A97"/>
    <w:rsid w:val="007C5158"/>
    <w:rsid w:val="007C6659"/>
    <w:rsid w:val="007C7484"/>
    <w:rsid w:val="007D019C"/>
    <w:rsid w:val="007D0AF6"/>
    <w:rsid w:val="007D0B97"/>
    <w:rsid w:val="007D156D"/>
    <w:rsid w:val="007D1E51"/>
    <w:rsid w:val="007D396F"/>
    <w:rsid w:val="007D695E"/>
    <w:rsid w:val="007D6B08"/>
    <w:rsid w:val="007D7440"/>
    <w:rsid w:val="007E0AEC"/>
    <w:rsid w:val="007E0FF3"/>
    <w:rsid w:val="007E1060"/>
    <w:rsid w:val="007E1C77"/>
    <w:rsid w:val="007E34DA"/>
    <w:rsid w:val="007E34E4"/>
    <w:rsid w:val="007E35F5"/>
    <w:rsid w:val="007E507C"/>
    <w:rsid w:val="007E647B"/>
    <w:rsid w:val="007E7F52"/>
    <w:rsid w:val="007F0045"/>
    <w:rsid w:val="007F1100"/>
    <w:rsid w:val="007F2957"/>
    <w:rsid w:val="007F3EDD"/>
    <w:rsid w:val="007F5DE7"/>
    <w:rsid w:val="007F7121"/>
    <w:rsid w:val="007F74CB"/>
    <w:rsid w:val="00800D58"/>
    <w:rsid w:val="00800D6F"/>
    <w:rsid w:val="00801538"/>
    <w:rsid w:val="00801B7A"/>
    <w:rsid w:val="00802546"/>
    <w:rsid w:val="00802EFC"/>
    <w:rsid w:val="0080393A"/>
    <w:rsid w:val="0080452C"/>
    <w:rsid w:val="00805144"/>
    <w:rsid w:val="0080543E"/>
    <w:rsid w:val="0080797D"/>
    <w:rsid w:val="00810188"/>
    <w:rsid w:val="008108B2"/>
    <w:rsid w:val="00812031"/>
    <w:rsid w:val="00812136"/>
    <w:rsid w:val="008125A9"/>
    <w:rsid w:val="00812B64"/>
    <w:rsid w:val="00813EBA"/>
    <w:rsid w:val="008151EE"/>
    <w:rsid w:val="00815988"/>
    <w:rsid w:val="00815C20"/>
    <w:rsid w:val="00816367"/>
    <w:rsid w:val="00816E13"/>
    <w:rsid w:val="00816E32"/>
    <w:rsid w:val="00817656"/>
    <w:rsid w:val="00817DD1"/>
    <w:rsid w:val="00817E3C"/>
    <w:rsid w:val="00820A61"/>
    <w:rsid w:val="00820CC5"/>
    <w:rsid w:val="008210A0"/>
    <w:rsid w:val="00821635"/>
    <w:rsid w:val="00822DEE"/>
    <w:rsid w:val="00823508"/>
    <w:rsid w:val="00824499"/>
    <w:rsid w:val="008252D7"/>
    <w:rsid w:val="00825363"/>
    <w:rsid w:val="00825CC2"/>
    <w:rsid w:val="00826843"/>
    <w:rsid w:val="00827C9C"/>
    <w:rsid w:val="00827F1E"/>
    <w:rsid w:val="00827F3B"/>
    <w:rsid w:val="00832F6E"/>
    <w:rsid w:val="00833269"/>
    <w:rsid w:val="008355F0"/>
    <w:rsid w:val="00836D89"/>
    <w:rsid w:val="0083710E"/>
    <w:rsid w:val="00837286"/>
    <w:rsid w:val="008374FE"/>
    <w:rsid w:val="00837756"/>
    <w:rsid w:val="00840FCD"/>
    <w:rsid w:val="00841669"/>
    <w:rsid w:val="00841C82"/>
    <w:rsid w:val="00841D08"/>
    <w:rsid w:val="008422EE"/>
    <w:rsid w:val="00842B6B"/>
    <w:rsid w:val="008438BA"/>
    <w:rsid w:val="00844FD9"/>
    <w:rsid w:val="00847159"/>
    <w:rsid w:val="00847ECC"/>
    <w:rsid w:val="00847EF7"/>
    <w:rsid w:val="008512BE"/>
    <w:rsid w:val="0085272A"/>
    <w:rsid w:val="00853776"/>
    <w:rsid w:val="008542E5"/>
    <w:rsid w:val="00855192"/>
    <w:rsid w:val="0085616D"/>
    <w:rsid w:val="008571DD"/>
    <w:rsid w:val="00857669"/>
    <w:rsid w:val="0085771F"/>
    <w:rsid w:val="00860842"/>
    <w:rsid w:val="00861A2B"/>
    <w:rsid w:val="00862252"/>
    <w:rsid w:val="00863137"/>
    <w:rsid w:val="008634E2"/>
    <w:rsid w:val="00863605"/>
    <w:rsid w:val="00863892"/>
    <w:rsid w:val="008638FB"/>
    <w:rsid w:val="0086540E"/>
    <w:rsid w:val="00865570"/>
    <w:rsid w:val="008659B9"/>
    <w:rsid w:val="00867214"/>
    <w:rsid w:val="00870A7D"/>
    <w:rsid w:val="00870C82"/>
    <w:rsid w:val="00871186"/>
    <w:rsid w:val="00871FD7"/>
    <w:rsid w:val="00873159"/>
    <w:rsid w:val="00873964"/>
    <w:rsid w:val="008758AB"/>
    <w:rsid w:val="00875920"/>
    <w:rsid w:val="00875DBA"/>
    <w:rsid w:val="00876BA7"/>
    <w:rsid w:val="00876BC2"/>
    <w:rsid w:val="008778F9"/>
    <w:rsid w:val="00880407"/>
    <w:rsid w:val="00881FA3"/>
    <w:rsid w:val="0088201A"/>
    <w:rsid w:val="008821CB"/>
    <w:rsid w:val="00882378"/>
    <w:rsid w:val="00882390"/>
    <w:rsid w:val="008832A0"/>
    <w:rsid w:val="008848DB"/>
    <w:rsid w:val="00885074"/>
    <w:rsid w:val="008860A4"/>
    <w:rsid w:val="00886360"/>
    <w:rsid w:val="00886429"/>
    <w:rsid w:val="00887B9D"/>
    <w:rsid w:val="008903A0"/>
    <w:rsid w:val="00891E7B"/>
    <w:rsid w:val="00892315"/>
    <w:rsid w:val="008928AB"/>
    <w:rsid w:val="0089385C"/>
    <w:rsid w:val="00893ECE"/>
    <w:rsid w:val="00893F5D"/>
    <w:rsid w:val="008951B0"/>
    <w:rsid w:val="008A0189"/>
    <w:rsid w:val="008A090A"/>
    <w:rsid w:val="008A129C"/>
    <w:rsid w:val="008A1FD4"/>
    <w:rsid w:val="008A2C0E"/>
    <w:rsid w:val="008A33FF"/>
    <w:rsid w:val="008A442E"/>
    <w:rsid w:val="008A675C"/>
    <w:rsid w:val="008A7EC9"/>
    <w:rsid w:val="008B0020"/>
    <w:rsid w:val="008B0CC8"/>
    <w:rsid w:val="008B12B8"/>
    <w:rsid w:val="008B1406"/>
    <w:rsid w:val="008B35BA"/>
    <w:rsid w:val="008B38E7"/>
    <w:rsid w:val="008B4646"/>
    <w:rsid w:val="008B4B1A"/>
    <w:rsid w:val="008B613C"/>
    <w:rsid w:val="008C04B7"/>
    <w:rsid w:val="008C0A7C"/>
    <w:rsid w:val="008C104F"/>
    <w:rsid w:val="008C13B7"/>
    <w:rsid w:val="008C2658"/>
    <w:rsid w:val="008C2DCE"/>
    <w:rsid w:val="008C55C3"/>
    <w:rsid w:val="008C584D"/>
    <w:rsid w:val="008C6121"/>
    <w:rsid w:val="008D0E1A"/>
    <w:rsid w:val="008D0FA8"/>
    <w:rsid w:val="008D1136"/>
    <w:rsid w:val="008D121C"/>
    <w:rsid w:val="008D162D"/>
    <w:rsid w:val="008D2AE1"/>
    <w:rsid w:val="008D31A0"/>
    <w:rsid w:val="008D3A17"/>
    <w:rsid w:val="008D4264"/>
    <w:rsid w:val="008D4783"/>
    <w:rsid w:val="008D4956"/>
    <w:rsid w:val="008D49B1"/>
    <w:rsid w:val="008D51F5"/>
    <w:rsid w:val="008D7A0A"/>
    <w:rsid w:val="008D7EEA"/>
    <w:rsid w:val="008E03EA"/>
    <w:rsid w:val="008E0F97"/>
    <w:rsid w:val="008E0FF9"/>
    <w:rsid w:val="008E1EEB"/>
    <w:rsid w:val="008E42E9"/>
    <w:rsid w:val="008E46C1"/>
    <w:rsid w:val="008E5E97"/>
    <w:rsid w:val="008F1C4C"/>
    <w:rsid w:val="008F24C2"/>
    <w:rsid w:val="008F2AB6"/>
    <w:rsid w:val="008F3043"/>
    <w:rsid w:val="008F3472"/>
    <w:rsid w:val="008F4237"/>
    <w:rsid w:val="008F5E2C"/>
    <w:rsid w:val="008F62F5"/>
    <w:rsid w:val="008F68E5"/>
    <w:rsid w:val="008F7353"/>
    <w:rsid w:val="008F753C"/>
    <w:rsid w:val="008F7CBA"/>
    <w:rsid w:val="00901949"/>
    <w:rsid w:val="00901BF3"/>
    <w:rsid w:val="00901C19"/>
    <w:rsid w:val="00901D83"/>
    <w:rsid w:val="009026EC"/>
    <w:rsid w:val="009030E0"/>
    <w:rsid w:val="009037F9"/>
    <w:rsid w:val="0090498F"/>
    <w:rsid w:val="00904EB8"/>
    <w:rsid w:val="00904EFF"/>
    <w:rsid w:val="00904FC9"/>
    <w:rsid w:val="00905D96"/>
    <w:rsid w:val="009079E2"/>
    <w:rsid w:val="009102C5"/>
    <w:rsid w:val="00910549"/>
    <w:rsid w:val="00910962"/>
    <w:rsid w:val="00911BC9"/>
    <w:rsid w:val="00911CE2"/>
    <w:rsid w:val="00912A0D"/>
    <w:rsid w:val="00912A6C"/>
    <w:rsid w:val="0091314A"/>
    <w:rsid w:val="0091329D"/>
    <w:rsid w:val="0091473F"/>
    <w:rsid w:val="00914FC3"/>
    <w:rsid w:val="00915237"/>
    <w:rsid w:val="0091645F"/>
    <w:rsid w:val="0091654F"/>
    <w:rsid w:val="00916AA6"/>
    <w:rsid w:val="00916BE5"/>
    <w:rsid w:val="00920122"/>
    <w:rsid w:val="0092047D"/>
    <w:rsid w:val="0092178E"/>
    <w:rsid w:val="00922732"/>
    <w:rsid w:val="0092319A"/>
    <w:rsid w:val="00923226"/>
    <w:rsid w:val="00923A76"/>
    <w:rsid w:val="00923B6C"/>
    <w:rsid w:val="0092418F"/>
    <w:rsid w:val="009243F9"/>
    <w:rsid w:val="00924D8C"/>
    <w:rsid w:val="00925046"/>
    <w:rsid w:val="00925758"/>
    <w:rsid w:val="0092638A"/>
    <w:rsid w:val="0092670A"/>
    <w:rsid w:val="00926B54"/>
    <w:rsid w:val="009273A5"/>
    <w:rsid w:val="00927596"/>
    <w:rsid w:val="00927A3B"/>
    <w:rsid w:val="00932162"/>
    <w:rsid w:val="00932697"/>
    <w:rsid w:val="009349D8"/>
    <w:rsid w:val="00934C69"/>
    <w:rsid w:val="00934D70"/>
    <w:rsid w:val="009352F0"/>
    <w:rsid w:val="00935B47"/>
    <w:rsid w:val="00937742"/>
    <w:rsid w:val="009403D6"/>
    <w:rsid w:val="00940744"/>
    <w:rsid w:val="00940921"/>
    <w:rsid w:val="00943312"/>
    <w:rsid w:val="009448B6"/>
    <w:rsid w:val="00945A0D"/>
    <w:rsid w:val="009461BC"/>
    <w:rsid w:val="009462EE"/>
    <w:rsid w:val="009476D9"/>
    <w:rsid w:val="009510BF"/>
    <w:rsid w:val="009516B4"/>
    <w:rsid w:val="00952098"/>
    <w:rsid w:val="009524A8"/>
    <w:rsid w:val="00952932"/>
    <w:rsid w:val="00953AA5"/>
    <w:rsid w:val="0095484C"/>
    <w:rsid w:val="009549F1"/>
    <w:rsid w:val="0095520A"/>
    <w:rsid w:val="00955EE9"/>
    <w:rsid w:val="00956803"/>
    <w:rsid w:val="00960473"/>
    <w:rsid w:val="009604ED"/>
    <w:rsid w:val="00960842"/>
    <w:rsid w:val="0096256F"/>
    <w:rsid w:val="00963F85"/>
    <w:rsid w:val="00964964"/>
    <w:rsid w:val="00965426"/>
    <w:rsid w:val="0096584E"/>
    <w:rsid w:val="00965E69"/>
    <w:rsid w:val="00966D18"/>
    <w:rsid w:val="00967DC8"/>
    <w:rsid w:val="00970FBC"/>
    <w:rsid w:val="00971000"/>
    <w:rsid w:val="00971347"/>
    <w:rsid w:val="00971C0B"/>
    <w:rsid w:val="00972C56"/>
    <w:rsid w:val="00972DA2"/>
    <w:rsid w:val="00973421"/>
    <w:rsid w:val="00974BF8"/>
    <w:rsid w:val="00975677"/>
    <w:rsid w:val="009800F7"/>
    <w:rsid w:val="0098103D"/>
    <w:rsid w:val="00981302"/>
    <w:rsid w:val="00981B75"/>
    <w:rsid w:val="00981C9F"/>
    <w:rsid w:val="009834C2"/>
    <w:rsid w:val="00983C73"/>
    <w:rsid w:val="009852AD"/>
    <w:rsid w:val="009860B7"/>
    <w:rsid w:val="00986D2F"/>
    <w:rsid w:val="00986E2B"/>
    <w:rsid w:val="00990249"/>
    <w:rsid w:val="0099093F"/>
    <w:rsid w:val="00991225"/>
    <w:rsid w:val="0099241B"/>
    <w:rsid w:val="00992440"/>
    <w:rsid w:val="009932F3"/>
    <w:rsid w:val="0099342A"/>
    <w:rsid w:val="00994DB3"/>
    <w:rsid w:val="00995154"/>
    <w:rsid w:val="009955EF"/>
    <w:rsid w:val="009957B4"/>
    <w:rsid w:val="00995F17"/>
    <w:rsid w:val="0099631C"/>
    <w:rsid w:val="00997D6A"/>
    <w:rsid w:val="009A0391"/>
    <w:rsid w:val="009A384D"/>
    <w:rsid w:val="009A3BC8"/>
    <w:rsid w:val="009A465D"/>
    <w:rsid w:val="009A5591"/>
    <w:rsid w:val="009A6860"/>
    <w:rsid w:val="009A7C49"/>
    <w:rsid w:val="009B04C2"/>
    <w:rsid w:val="009B0606"/>
    <w:rsid w:val="009B06FA"/>
    <w:rsid w:val="009B0BD0"/>
    <w:rsid w:val="009B0E6A"/>
    <w:rsid w:val="009B141E"/>
    <w:rsid w:val="009B5793"/>
    <w:rsid w:val="009B5A04"/>
    <w:rsid w:val="009B6749"/>
    <w:rsid w:val="009B6895"/>
    <w:rsid w:val="009B7CB0"/>
    <w:rsid w:val="009C0B1A"/>
    <w:rsid w:val="009C1263"/>
    <w:rsid w:val="009C16B2"/>
    <w:rsid w:val="009C456F"/>
    <w:rsid w:val="009C51EE"/>
    <w:rsid w:val="009C585D"/>
    <w:rsid w:val="009C594A"/>
    <w:rsid w:val="009C5DB9"/>
    <w:rsid w:val="009C68B4"/>
    <w:rsid w:val="009C7A55"/>
    <w:rsid w:val="009C7AA4"/>
    <w:rsid w:val="009D0314"/>
    <w:rsid w:val="009D1764"/>
    <w:rsid w:val="009D1C3A"/>
    <w:rsid w:val="009D309E"/>
    <w:rsid w:val="009D37E2"/>
    <w:rsid w:val="009D51C7"/>
    <w:rsid w:val="009D5A9A"/>
    <w:rsid w:val="009D6666"/>
    <w:rsid w:val="009D6C70"/>
    <w:rsid w:val="009E022A"/>
    <w:rsid w:val="009E0D01"/>
    <w:rsid w:val="009E0D59"/>
    <w:rsid w:val="009E115E"/>
    <w:rsid w:val="009E12E8"/>
    <w:rsid w:val="009E1D31"/>
    <w:rsid w:val="009E2AAD"/>
    <w:rsid w:val="009E3BE8"/>
    <w:rsid w:val="009E4E4B"/>
    <w:rsid w:val="009E5886"/>
    <w:rsid w:val="009E628A"/>
    <w:rsid w:val="009E62A0"/>
    <w:rsid w:val="009E6571"/>
    <w:rsid w:val="009E708D"/>
    <w:rsid w:val="009F0CFA"/>
    <w:rsid w:val="009F0E14"/>
    <w:rsid w:val="009F2603"/>
    <w:rsid w:val="009F339D"/>
    <w:rsid w:val="009F3AB1"/>
    <w:rsid w:val="009F44BB"/>
    <w:rsid w:val="009F4CE4"/>
    <w:rsid w:val="009F5211"/>
    <w:rsid w:val="009F5411"/>
    <w:rsid w:val="009F683E"/>
    <w:rsid w:val="009F68D7"/>
    <w:rsid w:val="009F6CF8"/>
    <w:rsid w:val="00A005B1"/>
    <w:rsid w:val="00A02314"/>
    <w:rsid w:val="00A03580"/>
    <w:rsid w:val="00A037BC"/>
    <w:rsid w:val="00A03B2B"/>
    <w:rsid w:val="00A03BFA"/>
    <w:rsid w:val="00A0562A"/>
    <w:rsid w:val="00A065F3"/>
    <w:rsid w:val="00A071C2"/>
    <w:rsid w:val="00A11965"/>
    <w:rsid w:val="00A12D50"/>
    <w:rsid w:val="00A133BD"/>
    <w:rsid w:val="00A13457"/>
    <w:rsid w:val="00A13F14"/>
    <w:rsid w:val="00A14357"/>
    <w:rsid w:val="00A15572"/>
    <w:rsid w:val="00A160EC"/>
    <w:rsid w:val="00A166DF"/>
    <w:rsid w:val="00A17283"/>
    <w:rsid w:val="00A17316"/>
    <w:rsid w:val="00A17D37"/>
    <w:rsid w:val="00A20590"/>
    <w:rsid w:val="00A20FA3"/>
    <w:rsid w:val="00A2289B"/>
    <w:rsid w:val="00A23242"/>
    <w:rsid w:val="00A23EE8"/>
    <w:rsid w:val="00A2413B"/>
    <w:rsid w:val="00A2490B"/>
    <w:rsid w:val="00A249A8"/>
    <w:rsid w:val="00A261E1"/>
    <w:rsid w:val="00A26C30"/>
    <w:rsid w:val="00A26D9F"/>
    <w:rsid w:val="00A26E87"/>
    <w:rsid w:val="00A27E67"/>
    <w:rsid w:val="00A305CB"/>
    <w:rsid w:val="00A30663"/>
    <w:rsid w:val="00A3121B"/>
    <w:rsid w:val="00A32D99"/>
    <w:rsid w:val="00A33460"/>
    <w:rsid w:val="00A351E1"/>
    <w:rsid w:val="00A357F8"/>
    <w:rsid w:val="00A3596A"/>
    <w:rsid w:val="00A36EE0"/>
    <w:rsid w:val="00A37BAD"/>
    <w:rsid w:val="00A40C82"/>
    <w:rsid w:val="00A4182E"/>
    <w:rsid w:val="00A41CB2"/>
    <w:rsid w:val="00A4208A"/>
    <w:rsid w:val="00A433E5"/>
    <w:rsid w:val="00A4427D"/>
    <w:rsid w:val="00A44F1D"/>
    <w:rsid w:val="00A46B18"/>
    <w:rsid w:val="00A471E2"/>
    <w:rsid w:val="00A47390"/>
    <w:rsid w:val="00A47664"/>
    <w:rsid w:val="00A50134"/>
    <w:rsid w:val="00A52504"/>
    <w:rsid w:val="00A52828"/>
    <w:rsid w:val="00A531ED"/>
    <w:rsid w:val="00A5391B"/>
    <w:rsid w:val="00A54708"/>
    <w:rsid w:val="00A54C54"/>
    <w:rsid w:val="00A54D46"/>
    <w:rsid w:val="00A550CF"/>
    <w:rsid w:val="00A552CA"/>
    <w:rsid w:val="00A5575E"/>
    <w:rsid w:val="00A55A24"/>
    <w:rsid w:val="00A5615F"/>
    <w:rsid w:val="00A56667"/>
    <w:rsid w:val="00A578C3"/>
    <w:rsid w:val="00A57A2E"/>
    <w:rsid w:val="00A57BCD"/>
    <w:rsid w:val="00A57EF9"/>
    <w:rsid w:val="00A60389"/>
    <w:rsid w:val="00A60F30"/>
    <w:rsid w:val="00A62527"/>
    <w:rsid w:val="00A633D7"/>
    <w:rsid w:val="00A652D9"/>
    <w:rsid w:val="00A65D8D"/>
    <w:rsid w:val="00A65EDE"/>
    <w:rsid w:val="00A661C0"/>
    <w:rsid w:val="00A670E7"/>
    <w:rsid w:val="00A675AB"/>
    <w:rsid w:val="00A707C2"/>
    <w:rsid w:val="00A7099C"/>
    <w:rsid w:val="00A7207B"/>
    <w:rsid w:val="00A7385D"/>
    <w:rsid w:val="00A73AD8"/>
    <w:rsid w:val="00A73B22"/>
    <w:rsid w:val="00A74982"/>
    <w:rsid w:val="00A74FCD"/>
    <w:rsid w:val="00A7503E"/>
    <w:rsid w:val="00A7640C"/>
    <w:rsid w:val="00A7677C"/>
    <w:rsid w:val="00A768DA"/>
    <w:rsid w:val="00A76963"/>
    <w:rsid w:val="00A76B4B"/>
    <w:rsid w:val="00A76C12"/>
    <w:rsid w:val="00A779D6"/>
    <w:rsid w:val="00A80D81"/>
    <w:rsid w:val="00A812A8"/>
    <w:rsid w:val="00A81563"/>
    <w:rsid w:val="00A815F4"/>
    <w:rsid w:val="00A81AB8"/>
    <w:rsid w:val="00A82BC0"/>
    <w:rsid w:val="00A83187"/>
    <w:rsid w:val="00A83646"/>
    <w:rsid w:val="00A839A0"/>
    <w:rsid w:val="00A83AD7"/>
    <w:rsid w:val="00A858B5"/>
    <w:rsid w:val="00A85C0C"/>
    <w:rsid w:val="00A85D41"/>
    <w:rsid w:val="00A8646F"/>
    <w:rsid w:val="00A86491"/>
    <w:rsid w:val="00A86D97"/>
    <w:rsid w:val="00A90BAD"/>
    <w:rsid w:val="00A90BCD"/>
    <w:rsid w:val="00A91F96"/>
    <w:rsid w:val="00A926D5"/>
    <w:rsid w:val="00A93AC9"/>
    <w:rsid w:val="00A93CFF"/>
    <w:rsid w:val="00A96473"/>
    <w:rsid w:val="00A97313"/>
    <w:rsid w:val="00A97734"/>
    <w:rsid w:val="00AA2268"/>
    <w:rsid w:val="00AA4858"/>
    <w:rsid w:val="00AA5AA4"/>
    <w:rsid w:val="00AB03A7"/>
    <w:rsid w:val="00AB0960"/>
    <w:rsid w:val="00AB0A08"/>
    <w:rsid w:val="00AB262A"/>
    <w:rsid w:val="00AB3000"/>
    <w:rsid w:val="00AB3924"/>
    <w:rsid w:val="00AB4FAE"/>
    <w:rsid w:val="00AB535C"/>
    <w:rsid w:val="00AB55FA"/>
    <w:rsid w:val="00AB59FB"/>
    <w:rsid w:val="00AB73A9"/>
    <w:rsid w:val="00AB749B"/>
    <w:rsid w:val="00AB7AC7"/>
    <w:rsid w:val="00AC3E8A"/>
    <w:rsid w:val="00AC60C4"/>
    <w:rsid w:val="00AC6317"/>
    <w:rsid w:val="00AC6A5B"/>
    <w:rsid w:val="00AC6E8B"/>
    <w:rsid w:val="00AC728A"/>
    <w:rsid w:val="00AD0BCE"/>
    <w:rsid w:val="00AD1BC0"/>
    <w:rsid w:val="00AD267E"/>
    <w:rsid w:val="00AD2951"/>
    <w:rsid w:val="00AD39BB"/>
    <w:rsid w:val="00AD3BF1"/>
    <w:rsid w:val="00AD3E5D"/>
    <w:rsid w:val="00AD40FA"/>
    <w:rsid w:val="00AD4E5E"/>
    <w:rsid w:val="00AD6917"/>
    <w:rsid w:val="00AD6A77"/>
    <w:rsid w:val="00AD704A"/>
    <w:rsid w:val="00AD71B3"/>
    <w:rsid w:val="00AD72D9"/>
    <w:rsid w:val="00AD7317"/>
    <w:rsid w:val="00AD7AA0"/>
    <w:rsid w:val="00AE0AE7"/>
    <w:rsid w:val="00AE0DCC"/>
    <w:rsid w:val="00AE123F"/>
    <w:rsid w:val="00AE1BA1"/>
    <w:rsid w:val="00AE2E46"/>
    <w:rsid w:val="00AE3749"/>
    <w:rsid w:val="00AE380F"/>
    <w:rsid w:val="00AE3813"/>
    <w:rsid w:val="00AE45B9"/>
    <w:rsid w:val="00AE4A38"/>
    <w:rsid w:val="00AE569B"/>
    <w:rsid w:val="00AE615E"/>
    <w:rsid w:val="00AE6C3A"/>
    <w:rsid w:val="00AE7D1A"/>
    <w:rsid w:val="00AF0C6B"/>
    <w:rsid w:val="00AF13D9"/>
    <w:rsid w:val="00AF348C"/>
    <w:rsid w:val="00AF3C23"/>
    <w:rsid w:val="00AF6141"/>
    <w:rsid w:val="00AF6FBE"/>
    <w:rsid w:val="00B00A8F"/>
    <w:rsid w:val="00B01C85"/>
    <w:rsid w:val="00B022F5"/>
    <w:rsid w:val="00B0273F"/>
    <w:rsid w:val="00B02BEA"/>
    <w:rsid w:val="00B0403B"/>
    <w:rsid w:val="00B04129"/>
    <w:rsid w:val="00B04376"/>
    <w:rsid w:val="00B067D0"/>
    <w:rsid w:val="00B06868"/>
    <w:rsid w:val="00B0691B"/>
    <w:rsid w:val="00B06A20"/>
    <w:rsid w:val="00B06CE7"/>
    <w:rsid w:val="00B07363"/>
    <w:rsid w:val="00B077A2"/>
    <w:rsid w:val="00B078B9"/>
    <w:rsid w:val="00B10237"/>
    <w:rsid w:val="00B11D7C"/>
    <w:rsid w:val="00B139A0"/>
    <w:rsid w:val="00B13B99"/>
    <w:rsid w:val="00B13F1A"/>
    <w:rsid w:val="00B141C3"/>
    <w:rsid w:val="00B146EC"/>
    <w:rsid w:val="00B14834"/>
    <w:rsid w:val="00B15579"/>
    <w:rsid w:val="00B1561B"/>
    <w:rsid w:val="00B1565E"/>
    <w:rsid w:val="00B156CE"/>
    <w:rsid w:val="00B1659A"/>
    <w:rsid w:val="00B17C15"/>
    <w:rsid w:val="00B20071"/>
    <w:rsid w:val="00B208D3"/>
    <w:rsid w:val="00B21A7A"/>
    <w:rsid w:val="00B21DA2"/>
    <w:rsid w:val="00B24035"/>
    <w:rsid w:val="00B2423F"/>
    <w:rsid w:val="00B2530E"/>
    <w:rsid w:val="00B25791"/>
    <w:rsid w:val="00B314E3"/>
    <w:rsid w:val="00B3385A"/>
    <w:rsid w:val="00B33BC0"/>
    <w:rsid w:val="00B33E3D"/>
    <w:rsid w:val="00B3474A"/>
    <w:rsid w:val="00B3576C"/>
    <w:rsid w:val="00B358A8"/>
    <w:rsid w:val="00B362F8"/>
    <w:rsid w:val="00B37734"/>
    <w:rsid w:val="00B377B6"/>
    <w:rsid w:val="00B40A91"/>
    <w:rsid w:val="00B40CCE"/>
    <w:rsid w:val="00B41697"/>
    <w:rsid w:val="00B416B8"/>
    <w:rsid w:val="00B416CF"/>
    <w:rsid w:val="00B41C9C"/>
    <w:rsid w:val="00B41D2A"/>
    <w:rsid w:val="00B42A37"/>
    <w:rsid w:val="00B4460E"/>
    <w:rsid w:val="00B4466A"/>
    <w:rsid w:val="00B4488A"/>
    <w:rsid w:val="00B44A61"/>
    <w:rsid w:val="00B466A8"/>
    <w:rsid w:val="00B46755"/>
    <w:rsid w:val="00B46A3C"/>
    <w:rsid w:val="00B4723F"/>
    <w:rsid w:val="00B47B3B"/>
    <w:rsid w:val="00B47CFB"/>
    <w:rsid w:val="00B47DD1"/>
    <w:rsid w:val="00B5020F"/>
    <w:rsid w:val="00B57628"/>
    <w:rsid w:val="00B57762"/>
    <w:rsid w:val="00B60A76"/>
    <w:rsid w:val="00B60DAD"/>
    <w:rsid w:val="00B617AF"/>
    <w:rsid w:val="00B61F3A"/>
    <w:rsid w:val="00B62553"/>
    <w:rsid w:val="00B62CC4"/>
    <w:rsid w:val="00B63A47"/>
    <w:rsid w:val="00B63EEB"/>
    <w:rsid w:val="00B64727"/>
    <w:rsid w:val="00B653FA"/>
    <w:rsid w:val="00B6550E"/>
    <w:rsid w:val="00B6604D"/>
    <w:rsid w:val="00B66B1A"/>
    <w:rsid w:val="00B674B9"/>
    <w:rsid w:val="00B67552"/>
    <w:rsid w:val="00B709A6"/>
    <w:rsid w:val="00B710ED"/>
    <w:rsid w:val="00B716A5"/>
    <w:rsid w:val="00B72131"/>
    <w:rsid w:val="00B7263A"/>
    <w:rsid w:val="00B72747"/>
    <w:rsid w:val="00B7469E"/>
    <w:rsid w:val="00B7498C"/>
    <w:rsid w:val="00B7571A"/>
    <w:rsid w:val="00B76354"/>
    <w:rsid w:val="00B774AA"/>
    <w:rsid w:val="00B81015"/>
    <w:rsid w:val="00B81180"/>
    <w:rsid w:val="00B82046"/>
    <w:rsid w:val="00B8239C"/>
    <w:rsid w:val="00B84121"/>
    <w:rsid w:val="00B84EA9"/>
    <w:rsid w:val="00B84ECB"/>
    <w:rsid w:val="00B85646"/>
    <w:rsid w:val="00B863B9"/>
    <w:rsid w:val="00B86CDF"/>
    <w:rsid w:val="00B8783A"/>
    <w:rsid w:val="00B90E5F"/>
    <w:rsid w:val="00B9154E"/>
    <w:rsid w:val="00B915BF"/>
    <w:rsid w:val="00B91D95"/>
    <w:rsid w:val="00B9269D"/>
    <w:rsid w:val="00B92BDB"/>
    <w:rsid w:val="00B938E4"/>
    <w:rsid w:val="00B93FDB"/>
    <w:rsid w:val="00B942D4"/>
    <w:rsid w:val="00B94D1D"/>
    <w:rsid w:val="00B95321"/>
    <w:rsid w:val="00B9567F"/>
    <w:rsid w:val="00B9741E"/>
    <w:rsid w:val="00B9772F"/>
    <w:rsid w:val="00B977B5"/>
    <w:rsid w:val="00BA03A0"/>
    <w:rsid w:val="00BA2324"/>
    <w:rsid w:val="00BA23D8"/>
    <w:rsid w:val="00BA2FB1"/>
    <w:rsid w:val="00BA306F"/>
    <w:rsid w:val="00BA331E"/>
    <w:rsid w:val="00BA3D08"/>
    <w:rsid w:val="00BA471A"/>
    <w:rsid w:val="00BA5302"/>
    <w:rsid w:val="00BA5839"/>
    <w:rsid w:val="00BA5946"/>
    <w:rsid w:val="00BA6290"/>
    <w:rsid w:val="00BA6721"/>
    <w:rsid w:val="00BA6D0F"/>
    <w:rsid w:val="00BA7EFF"/>
    <w:rsid w:val="00BB1482"/>
    <w:rsid w:val="00BB16A0"/>
    <w:rsid w:val="00BB1CC9"/>
    <w:rsid w:val="00BB30FB"/>
    <w:rsid w:val="00BB43DD"/>
    <w:rsid w:val="00BB5753"/>
    <w:rsid w:val="00BB5EA6"/>
    <w:rsid w:val="00BB61B7"/>
    <w:rsid w:val="00BB61E1"/>
    <w:rsid w:val="00BB793F"/>
    <w:rsid w:val="00BB7F39"/>
    <w:rsid w:val="00BC14CA"/>
    <w:rsid w:val="00BC19D7"/>
    <w:rsid w:val="00BC1F07"/>
    <w:rsid w:val="00BC2102"/>
    <w:rsid w:val="00BC2809"/>
    <w:rsid w:val="00BC3926"/>
    <w:rsid w:val="00BC3ABB"/>
    <w:rsid w:val="00BC479A"/>
    <w:rsid w:val="00BC5147"/>
    <w:rsid w:val="00BC52AA"/>
    <w:rsid w:val="00BC550E"/>
    <w:rsid w:val="00BC6091"/>
    <w:rsid w:val="00BC7A19"/>
    <w:rsid w:val="00BD17E8"/>
    <w:rsid w:val="00BD22AC"/>
    <w:rsid w:val="00BD2E98"/>
    <w:rsid w:val="00BD3191"/>
    <w:rsid w:val="00BD533D"/>
    <w:rsid w:val="00BD656F"/>
    <w:rsid w:val="00BD6A9C"/>
    <w:rsid w:val="00BD6B11"/>
    <w:rsid w:val="00BD7EB9"/>
    <w:rsid w:val="00BE1287"/>
    <w:rsid w:val="00BE1698"/>
    <w:rsid w:val="00BE21FA"/>
    <w:rsid w:val="00BE2D3D"/>
    <w:rsid w:val="00BE3A17"/>
    <w:rsid w:val="00BE427A"/>
    <w:rsid w:val="00BE42A7"/>
    <w:rsid w:val="00BE479A"/>
    <w:rsid w:val="00BE499A"/>
    <w:rsid w:val="00BE5EA5"/>
    <w:rsid w:val="00BE7C1D"/>
    <w:rsid w:val="00BE7ED9"/>
    <w:rsid w:val="00BF02F9"/>
    <w:rsid w:val="00BF25EC"/>
    <w:rsid w:val="00BF3644"/>
    <w:rsid w:val="00BF4128"/>
    <w:rsid w:val="00BF47AE"/>
    <w:rsid w:val="00BF4B40"/>
    <w:rsid w:val="00BF4E88"/>
    <w:rsid w:val="00BF553E"/>
    <w:rsid w:val="00BF58B9"/>
    <w:rsid w:val="00BF64E4"/>
    <w:rsid w:val="00BF6A15"/>
    <w:rsid w:val="00BF7DB5"/>
    <w:rsid w:val="00C00BA3"/>
    <w:rsid w:val="00C0196E"/>
    <w:rsid w:val="00C02B25"/>
    <w:rsid w:val="00C0411E"/>
    <w:rsid w:val="00C041CB"/>
    <w:rsid w:val="00C067FC"/>
    <w:rsid w:val="00C0682D"/>
    <w:rsid w:val="00C06D6A"/>
    <w:rsid w:val="00C07052"/>
    <w:rsid w:val="00C07A34"/>
    <w:rsid w:val="00C1081F"/>
    <w:rsid w:val="00C122D8"/>
    <w:rsid w:val="00C128AB"/>
    <w:rsid w:val="00C135CD"/>
    <w:rsid w:val="00C13BD0"/>
    <w:rsid w:val="00C13E27"/>
    <w:rsid w:val="00C147A6"/>
    <w:rsid w:val="00C15A93"/>
    <w:rsid w:val="00C2016D"/>
    <w:rsid w:val="00C20C3D"/>
    <w:rsid w:val="00C2164D"/>
    <w:rsid w:val="00C22215"/>
    <w:rsid w:val="00C22404"/>
    <w:rsid w:val="00C22B99"/>
    <w:rsid w:val="00C22E29"/>
    <w:rsid w:val="00C22E98"/>
    <w:rsid w:val="00C242CD"/>
    <w:rsid w:val="00C25128"/>
    <w:rsid w:val="00C27234"/>
    <w:rsid w:val="00C305DA"/>
    <w:rsid w:val="00C30BEA"/>
    <w:rsid w:val="00C34208"/>
    <w:rsid w:val="00C35A44"/>
    <w:rsid w:val="00C35B70"/>
    <w:rsid w:val="00C372FD"/>
    <w:rsid w:val="00C37553"/>
    <w:rsid w:val="00C37F21"/>
    <w:rsid w:val="00C40C63"/>
    <w:rsid w:val="00C41387"/>
    <w:rsid w:val="00C419BF"/>
    <w:rsid w:val="00C41A5B"/>
    <w:rsid w:val="00C447A5"/>
    <w:rsid w:val="00C45046"/>
    <w:rsid w:val="00C46B7D"/>
    <w:rsid w:val="00C47E0C"/>
    <w:rsid w:val="00C47EE4"/>
    <w:rsid w:val="00C5035B"/>
    <w:rsid w:val="00C52DF7"/>
    <w:rsid w:val="00C54A73"/>
    <w:rsid w:val="00C556BF"/>
    <w:rsid w:val="00C558CD"/>
    <w:rsid w:val="00C559E4"/>
    <w:rsid w:val="00C55C47"/>
    <w:rsid w:val="00C56B67"/>
    <w:rsid w:val="00C57582"/>
    <w:rsid w:val="00C5764C"/>
    <w:rsid w:val="00C57BE3"/>
    <w:rsid w:val="00C57D59"/>
    <w:rsid w:val="00C6096A"/>
    <w:rsid w:val="00C61A46"/>
    <w:rsid w:val="00C62082"/>
    <w:rsid w:val="00C62F59"/>
    <w:rsid w:val="00C63342"/>
    <w:rsid w:val="00C638D1"/>
    <w:rsid w:val="00C63F2B"/>
    <w:rsid w:val="00C63FAE"/>
    <w:rsid w:val="00C64A6A"/>
    <w:rsid w:val="00C65C99"/>
    <w:rsid w:val="00C6703D"/>
    <w:rsid w:val="00C714F0"/>
    <w:rsid w:val="00C71D81"/>
    <w:rsid w:val="00C72132"/>
    <w:rsid w:val="00C725E1"/>
    <w:rsid w:val="00C75FC5"/>
    <w:rsid w:val="00C76B4B"/>
    <w:rsid w:val="00C77032"/>
    <w:rsid w:val="00C779C7"/>
    <w:rsid w:val="00C77C1E"/>
    <w:rsid w:val="00C807A2"/>
    <w:rsid w:val="00C81A8D"/>
    <w:rsid w:val="00C8333A"/>
    <w:rsid w:val="00C83BF0"/>
    <w:rsid w:val="00C83D1A"/>
    <w:rsid w:val="00C83D3B"/>
    <w:rsid w:val="00C83F07"/>
    <w:rsid w:val="00C84914"/>
    <w:rsid w:val="00C84971"/>
    <w:rsid w:val="00C85044"/>
    <w:rsid w:val="00C85CD8"/>
    <w:rsid w:val="00C8678A"/>
    <w:rsid w:val="00C86FA4"/>
    <w:rsid w:val="00C87E85"/>
    <w:rsid w:val="00C91259"/>
    <w:rsid w:val="00C913B8"/>
    <w:rsid w:val="00C92534"/>
    <w:rsid w:val="00C92A95"/>
    <w:rsid w:val="00C93E20"/>
    <w:rsid w:val="00C945F5"/>
    <w:rsid w:val="00C94889"/>
    <w:rsid w:val="00C95BCD"/>
    <w:rsid w:val="00C95E3E"/>
    <w:rsid w:val="00C97AD9"/>
    <w:rsid w:val="00C97C17"/>
    <w:rsid w:val="00C97D80"/>
    <w:rsid w:val="00CA0D43"/>
    <w:rsid w:val="00CA118B"/>
    <w:rsid w:val="00CA1309"/>
    <w:rsid w:val="00CA1743"/>
    <w:rsid w:val="00CA2284"/>
    <w:rsid w:val="00CA26D5"/>
    <w:rsid w:val="00CA3434"/>
    <w:rsid w:val="00CA3517"/>
    <w:rsid w:val="00CA4D3A"/>
    <w:rsid w:val="00CA5920"/>
    <w:rsid w:val="00CA5D3A"/>
    <w:rsid w:val="00CA5E29"/>
    <w:rsid w:val="00CA5F78"/>
    <w:rsid w:val="00CA74DF"/>
    <w:rsid w:val="00CB0801"/>
    <w:rsid w:val="00CB09C5"/>
    <w:rsid w:val="00CB0CA3"/>
    <w:rsid w:val="00CB162C"/>
    <w:rsid w:val="00CB2450"/>
    <w:rsid w:val="00CB32FF"/>
    <w:rsid w:val="00CB3E41"/>
    <w:rsid w:val="00CB4163"/>
    <w:rsid w:val="00CB4790"/>
    <w:rsid w:val="00CB48E5"/>
    <w:rsid w:val="00CB69BC"/>
    <w:rsid w:val="00CB716C"/>
    <w:rsid w:val="00CB784E"/>
    <w:rsid w:val="00CB792D"/>
    <w:rsid w:val="00CB7F0E"/>
    <w:rsid w:val="00CC0EC5"/>
    <w:rsid w:val="00CC1141"/>
    <w:rsid w:val="00CC1D91"/>
    <w:rsid w:val="00CC3D7B"/>
    <w:rsid w:val="00CC5C7E"/>
    <w:rsid w:val="00CC6E28"/>
    <w:rsid w:val="00CC73FA"/>
    <w:rsid w:val="00CD00DA"/>
    <w:rsid w:val="00CD0207"/>
    <w:rsid w:val="00CD1233"/>
    <w:rsid w:val="00CD15D4"/>
    <w:rsid w:val="00CD172F"/>
    <w:rsid w:val="00CD209D"/>
    <w:rsid w:val="00CD226F"/>
    <w:rsid w:val="00CD4042"/>
    <w:rsid w:val="00CD4258"/>
    <w:rsid w:val="00CD5421"/>
    <w:rsid w:val="00CD56FB"/>
    <w:rsid w:val="00CD5A7D"/>
    <w:rsid w:val="00CD5D73"/>
    <w:rsid w:val="00CD60BE"/>
    <w:rsid w:val="00CD62C4"/>
    <w:rsid w:val="00CD6D0C"/>
    <w:rsid w:val="00CD70CB"/>
    <w:rsid w:val="00CD758A"/>
    <w:rsid w:val="00CE0115"/>
    <w:rsid w:val="00CE056B"/>
    <w:rsid w:val="00CE0D21"/>
    <w:rsid w:val="00CE1800"/>
    <w:rsid w:val="00CE2E20"/>
    <w:rsid w:val="00CE3374"/>
    <w:rsid w:val="00CE3C38"/>
    <w:rsid w:val="00CE47FA"/>
    <w:rsid w:val="00CE4C1F"/>
    <w:rsid w:val="00CE5E08"/>
    <w:rsid w:val="00CE5FBE"/>
    <w:rsid w:val="00CE6061"/>
    <w:rsid w:val="00CE6968"/>
    <w:rsid w:val="00CE6C46"/>
    <w:rsid w:val="00CE7556"/>
    <w:rsid w:val="00CF165D"/>
    <w:rsid w:val="00CF1E7D"/>
    <w:rsid w:val="00CF286F"/>
    <w:rsid w:val="00CF2A70"/>
    <w:rsid w:val="00CF36E6"/>
    <w:rsid w:val="00CF3BF5"/>
    <w:rsid w:val="00CF44EA"/>
    <w:rsid w:val="00CF5039"/>
    <w:rsid w:val="00CF5681"/>
    <w:rsid w:val="00CF576B"/>
    <w:rsid w:val="00CF6D16"/>
    <w:rsid w:val="00CF7888"/>
    <w:rsid w:val="00D003FA"/>
    <w:rsid w:val="00D00492"/>
    <w:rsid w:val="00D0136D"/>
    <w:rsid w:val="00D020B6"/>
    <w:rsid w:val="00D020F3"/>
    <w:rsid w:val="00D027FD"/>
    <w:rsid w:val="00D02AB0"/>
    <w:rsid w:val="00D03DE0"/>
    <w:rsid w:val="00D04A8B"/>
    <w:rsid w:val="00D05205"/>
    <w:rsid w:val="00D066F2"/>
    <w:rsid w:val="00D06A6A"/>
    <w:rsid w:val="00D10326"/>
    <w:rsid w:val="00D10D21"/>
    <w:rsid w:val="00D10E6F"/>
    <w:rsid w:val="00D115F2"/>
    <w:rsid w:val="00D11DBF"/>
    <w:rsid w:val="00D123BA"/>
    <w:rsid w:val="00D155B5"/>
    <w:rsid w:val="00D15E0E"/>
    <w:rsid w:val="00D16D7F"/>
    <w:rsid w:val="00D16F3E"/>
    <w:rsid w:val="00D17647"/>
    <w:rsid w:val="00D178A7"/>
    <w:rsid w:val="00D20A5E"/>
    <w:rsid w:val="00D20D4B"/>
    <w:rsid w:val="00D2161C"/>
    <w:rsid w:val="00D216F4"/>
    <w:rsid w:val="00D21DDB"/>
    <w:rsid w:val="00D221F8"/>
    <w:rsid w:val="00D2234C"/>
    <w:rsid w:val="00D2263F"/>
    <w:rsid w:val="00D231B8"/>
    <w:rsid w:val="00D232ED"/>
    <w:rsid w:val="00D23944"/>
    <w:rsid w:val="00D240FB"/>
    <w:rsid w:val="00D240FE"/>
    <w:rsid w:val="00D24698"/>
    <w:rsid w:val="00D26674"/>
    <w:rsid w:val="00D27235"/>
    <w:rsid w:val="00D312CD"/>
    <w:rsid w:val="00D33E20"/>
    <w:rsid w:val="00D349B8"/>
    <w:rsid w:val="00D364E5"/>
    <w:rsid w:val="00D37B77"/>
    <w:rsid w:val="00D37CC8"/>
    <w:rsid w:val="00D37F22"/>
    <w:rsid w:val="00D41096"/>
    <w:rsid w:val="00D44DFA"/>
    <w:rsid w:val="00D45C21"/>
    <w:rsid w:val="00D465C8"/>
    <w:rsid w:val="00D46E8C"/>
    <w:rsid w:val="00D4775A"/>
    <w:rsid w:val="00D50814"/>
    <w:rsid w:val="00D511FD"/>
    <w:rsid w:val="00D51F1D"/>
    <w:rsid w:val="00D530DB"/>
    <w:rsid w:val="00D53AA9"/>
    <w:rsid w:val="00D544D6"/>
    <w:rsid w:val="00D5469F"/>
    <w:rsid w:val="00D54E2A"/>
    <w:rsid w:val="00D54ED1"/>
    <w:rsid w:val="00D55DB2"/>
    <w:rsid w:val="00D56C01"/>
    <w:rsid w:val="00D57EE0"/>
    <w:rsid w:val="00D60894"/>
    <w:rsid w:val="00D60DDA"/>
    <w:rsid w:val="00D60DE7"/>
    <w:rsid w:val="00D61143"/>
    <w:rsid w:val="00D61DA9"/>
    <w:rsid w:val="00D625F5"/>
    <w:rsid w:val="00D62A7D"/>
    <w:rsid w:val="00D630F3"/>
    <w:rsid w:val="00D63BA5"/>
    <w:rsid w:val="00D63BA8"/>
    <w:rsid w:val="00D63F0E"/>
    <w:rsid w:val="00D6431F"/>
    <w:rsid w:val="00D650F1"/>
    <w:rsid w:val="00D6517E"/>
    <w:rsid w:val="00D654A6"/>
    <w:rsid w:val="00D65E08"/>
    <w:rsid w:val="00D6602D"/>
    <w:rsid w:val="00D661FB"/>
    <w:rsid w:val="00D66E05"/>
    <w:rsid w:val="00D66FB7"/>
    <w:rsid w:val="00D67ABF"/>
    <w:rsid w:val="00D67F43"/>
    <w:rsid w:val="00D70F75"/>
    <w:rsid w:val="00D71261"/>
    <w:rsid w:val="00D71CC0"/>
    <w:rsid w:val="00D7255D"/>
    <w:rsid w:val="00D7300E"/>
    <w:rsid w:val="00D73A27"/>
    <w:rsid w:val="00D74F62"/>
    <w:rsid w:val="00D75637"/>
    <w:rsid w:val="00D75CD7"/>
    <w:rsid w:val="00D7669C"/>
    <w:rsid w:val="00D770F4"/>
    <w:rsid w:val="00D80B5E"/>
    <w:rsid w:val="00D81987"/>
    <w:rsid w:val="00D81A38"/>
    <w:rsid w:val="00D83CF2"/>
    <w:rsid w:val="00D844D9"/>
    <w:rsid w:val="00D847F9"/>
    <w:rsid w:val="00D864E9"/>
    <w:rsid w:val="00D86E4A"/>
    <w:rsid w:val="00D87301"/>
    <w:rsid w:val="00D873CE"/>
    <w:rsid w:val="00D878A1"/>
    <w:rsid w:val="00D87EE3"/>
    <w:rsid w:val="00D919C4"/>
    <w:rsid w:val="00D91E29"/>
    <w:rsid w:val="00D9332B"/>
    <w:rsid w:val="00D93ABF"/>
    <w:rsid w:val="00D95D8F"/>
    <w:rsid w:val="00D95F46"/>
    <w:rsid w:val="00D96D39"/>
    <w:rsid w:val="00D96E0C"/>
    <w:rsid w:val="00D973FD"/>
    <w:rsid w:val="00D9749F"/>
    <w:rsid w:val="00D97C02"/>
    <w:rsid w:val="00DA0A43"/>
    <w:rsid w:val="00DA131C"/>
    <w:rsid w:val="00DA2473"/>
    <w:rsid w:val="00DA35C0"/>
    <w:rsid w:val="00DA3646"/>
    <w:rsid w:val="00DA4C1B"/>
    <w:rsid w:val="00DA5D6E"/>
    <w:rsid w:val="00DA5E17"/>
    <w:rsid w:val="00DA628A"/>
    <w:rsid w:val="00DA647D"/>
    <w:rsid w:val="00DA6BAB"/>
    <w:rsid w:val="00DA79A0"/>
    <w:rsid w:val="00DB0B63"/>
    <w:rsid w:val="00DB0E70"/>
    <w:rsid w:val="00DB2175"/>
    <w:rsid w:val="00DB3199"/>
    <w:rsid w:val="00DB3C3D"/>
    <w:rsid w:val="00DB4C2F"/>
    <w:rsid w:val="00DB5459"/>
    <w:rsid w:val="00DB5BDA"/>
    <w:rsid w:val="00DB62C1"/>
    <w:rsid w:val="00DB65D4"/>
    <w:rsid w:val="00DB6BBB"/>
    <w:rsid w:val="00DB6FDE"/>
    <w:rsid w:val="00DB71BF"/>
    <w:rsid w:val="00DC02EB"/>
    <w:rsid w:val="00DC15D3"/>
    <w:rsid w:val="00DC1676"/>
    <w:rsid w:val="00DC1DFF"/>
    <w:rsid w:val="00DC21D5"/>
    <w:rsid w:val="00DC28A3"/>
    <w:rsid w:val="00DC5D78"/>
    <w:rsid w:val="00DC676A"/>
    <w:rsid w:val="00DC733A"/>
    <w:rsid w:val="00DD000C"/>
    <w:rsid w:val="00DD00ED"/>
    <w:rsid w:val="00DD0472"/>
    <w:rsid w:val="00DD29AE"/>
    <w:rsid w:val="00DD43C7"/>
    <w:rsid w:val="00DD550A"/>
    <w:rsid w:val="00DD6811"/>
    <w:rsid w:val="00DD6BDC"/>
    <w:rsid w:val="00DD6C53"/>
    <w:rsid w:val="00DD7040"/>
    <w:rsid w:val="00DD79D7"/>
    <w:rsid w:val="00DE02FA"/>
    <w:rsid w:val="00DE206D"/>
    <w:rsid w:val="00DE2358"/>
    <w:rsid w:val="00DE2B90"/>
    <w:rsid w:val="00DE3216"/>
    <w:rsid w:val="00DE385A"/>
    <w:rsid w:val="00DE4AD9"/>
    <w:rsid w:val="00DE4EA2"/>
    <w:rsid w:val="00DE582D"/>
    <w:rsid w:val="00DE7394"/>
    <w:rsid w:val="00DE7593"/>
    <w:rsid w:val="00DE7E17"/>
    <w:rsid w:val="00DF2068"/>
    <w:rsid w:val="00DF293E"/>
    <w:rsid w:val="00DF2C98"/>
    <w:rsid w:val="00DF31D9"/>
    <w:rsid w:val="00DF4069"/>
    <w:rsid w:val="00DF41C9"/>
    <w:rsid w:val="00DF5019"/>
    <w:rsid w:val="00DF56E4"/>
    <w:rsid w:val="00DF5999"/>
    <w:rsid w:val="00DF70CE"/>
    <w:rsid w:val="00DF75C9"/>
    <w:rsid w:val="00DF769D"/>
    <w:rsid w:val="00E000DF"/>
    <w:rsid w:val="00E00C24"/>
    <w:rsid w:val="00E00C3E"/>
    <w:rsid w:val="00E00E1C"/>
    <w:rsid w:val="00E01703"/>
    <w:rsid w:val="00E01E57"/>
    <w:rsid w:val="00E03E63"/>
    <w:rsid w:val="00E04402"/>
    <w:rsid w:val="00E04A1A"/>
    <w:rsid w:val="00E0501A"/>
    <w:rsid w:val="00E05BE0"/>
    <w:rsid w:val="00E05C50"/>
    <w:rsid w:val="00E06009"/>
    <w:rsid w:val="00E07471"/>
    <w:rsid w:val="00E07AA3"/>
    <w:rsid w:val="00E1225A"/>
    <w:rsid w:val="00E1252A"/>
    <w:rsid w:val="00E12BF0"/>
    <w:rsid w:val="00E1366B"/>
    <w:rsid w:val="00E1483F"/>
    <w:rsid w:val="00E148C9"/>
    <w:rsid w:val="00E14BD5"/>
    <w:rsid w:val="00E15975"/>
    <w:rsid w:val="00E16070"/>
    <w:rsid w:val="00E16BE1"/>
    <w:rsid w:val="00E17107"/>
    <w:rsid w:val="00E17515"/>
    <w:rsid w:val="00E17BF1"/>
    <w:rsid w:val="00E2074B"/>
    <w:rsid w:val="00E207B0"/>
    <w:rsid w:val="00E217BA"/>
    <w:rsid w:val="00E21E6A"/>
    <w:rsid w:val="00E224EE"/>
    <w:rsid w:val="00E235B5"/>
    <w:rsid w:val="00E23B10"/>
    <w:rsid w:val="00E24663"/>
    <w:rsid w:val="00E2633F"/>
    <w:rsid w:val="00E27E58"/>
    <w:rsid w:val="00E300A9"/>
    <w:rsid w:val="00E302F6"/>
    <w:rsid w:val="00E3036C"/>
    <w:rsid w:val="00E30FD1"/>
    <w:rsid w:val="00E31A5A"/>
    <w:rsid w:val="00E325D3"/>
    <w:rsid w:val="00E32EE1"/>
    <w:rsid w:val="00E33157"/>
    <w:rsid w:val="00E333FD"/>
    <w:rsid w:val="00E35A36"/>
    <w:rsid w:val="00E37AA1"/>
    <w:rsid w:val="00E413D8"/>
    <w:rsid w:val="00E422B8"/>
    <w:rsid w:val="00E4262F"/>
    <w:rsid w:val="00E42858"/>
    <w:rsid w:val="00E43BC1"/>
    <w:rsid w:val="00E4438B"/>
    <w:rsid w:val="00E44F61"/>
    <w:rsid w:val="00E45187"/>
    <w:rsid w:val="00E47F94"/>
    <w:rsid w:val="00E52271"/>
    <w:rsid w:val="00E529C6"/>
    <w:rsid w:val="00E52C77"/>
    <w:rsid w:val="00E530DB"/>
    <w:rsid w:val="00E54A96"/>
    <w:rsid w:val="00E54C2D"/>
    <w:rsid w:val="00E54C9C"/>
    <w:rsid w:val="00E559EC"/>
    <w:rsid w:val="00E56304"/>
    <w:rsid w:val="00E5668D"/>
    <w:rsid w:val="00E5682E"/>
    <w:rsid w:val="00E5700F"/>
    <w:rsid w:val="00E57279"/>
    <w:rsid w:val="00E57371"/>
    <w:rsid w:val="00E57A65"/>
    <w:rsid w:val="00E57B95"/>
    <w:rsid w:val="00E57E4F"/>
    <w:rsid w:val="00E6053A"/>
    <w:rsid w:val="00E607DC"/>
    <w:rsid w:val="00E64391"/>
    <w:rsid w:val="00E66607"/>
    <w:rsid w:val="00E67C5D"/>
    <w:rsid w:val="00E67F01"/>
    <w:rsid w:val="00E70208"/>
    <w:rsid w:val="00E707E6"/>
    <w:rsid w:val="00E70F1F"/>
    <w:rsid w:val="00E72441"/>
    <w:rsid w:val="00E73A84"/>
    <w:rsid w:val="00E73D5D"/>
    <w:rsid w:val="00E7434B"/>
    <w:rsid w:val="00E744CE"/>
    <w:rsid w:val="00E74515"/>
    <w:rsid w:val="00E75A8D"/>
    <w:rsid w:val="00E76293"/>
    <w:rsid w:val="00E768A5"/>
    <w:rsid w:val="00E76D7E"/>
    <w:rsid w:val="00E771BF"/>
    <w:rsid w:val="00E7795C"/>
    <w:rsid w:val="00E813F1"/>
    <w:rsid w:val="00E814D8"/>
    <w:rsid w:val="00E81A4B"/>
    <w:rsid w:val="00E84802"/>
    <w:rsid w:val="00E84B02"/>
    <w:rsid w:val="00E85BDB"/>
    <w:rsid w:val="00E863F7"/>
    <w:rsid w:val="00E86BF4"/>
    <w:rsid w:val="00E87985"/>
    <w:rsid w:val="00E87F13"/>
    <w:rsid w:val="00E90006"/>
    <w:rsid w:val="00E90385"/>
    <w:rsid w:val="00E90C89"/>
    <w:rsid w:val="00E91FF7"/>
    <w:rsid w:val="00E92551"/>
    <w:rsid w:val="00E92D13"/>
    <w:rsid w:val="00E93CFC"/>
    <w:rsid w:val="00E94429"/>
    <w:rsid w:val="00E9493D"/>
    <w:rsid w:val="00E94A45"/>
    <w:rsid w:val="00E94DEE"/>
    <w:rsid w:val="00E9504C"/>
    <w:rsid w:val="00E95924"/>
    <w:rsid w:val="00E95EAE"/>
    <w:rsid w:val="00EA0A72"/>
    <w:rsid w:val="00EA0A80"/>
    <w:rsid w:val="00EA0D24"/>
    <w:rsid w:val="00EA22F8"/>
    <w:rsid w:val="00EA3E88"/>
    <w:rsid w:val="00EA3FE1"/>
    <w:rsid w:val="00EA4307"/>
    <w:rsid w:val="00EA785A"/>
    <w:rsid w:val="00EA795D"/>
    <w:rsid w:val="00EA79A6"/>
    <w:rsid w:val="00EA7B08"/>
    <w:rsid w:val="00EA7CED"/>
    <w:rsid w:val="00EA7D1E"/>
    <w:rsid w:val="00EB0322"/>
    <w:rsid w:val="00EB100F"/>
    <w:rsid w:val="00EB10B7"/>
    <w:rsid w:val="00EB142F"/>
    <w:rsid w:val="00EB28C9"/>
    <w:rsid w:val="00EB47F9"/>
    <w:rsid w:val="00EB4D36"/>
    <w:rsid w:val="00EB6FE0"/>
    <w:rsid w:val="00EB78A9"/>
    <w:rsid w:val="00EC0D9C"/>
    <w:rsid w:val="00EC1ACF"/>
    <w:rsid w:val="00EC1BF0"/>
    <w:rsid w:val="00EC3FEB"/>
    <w:rsid w:val="00EC5685"/>
    <w:rsid w:val="00ED0CD6"/>
    <w:rsid w:val="00ED0D27"/>
    <w:rsid w:val="00ED11D2"/>
    <w:rsid w:val="00ED1358"/>
    <w:rsid w:val="00ED29AA"/>
    <w:rsid w:val="00ED2B23"/>
    <w:rsid w:val="00ED328F"/>
    <w:rsid w:val="00ED34C3"/>
    <w:rsid w:val="00ED3548"/>
    <w:rsid w:val="00ED3CF1"/>
    <w:rsid w:val="00ED5566"/>
    <w:rsid w:val="00ED5A07"/>
    <w:rsid w:val="00ED5FF4"/>
    <w:rsid w:val="00ED7A41"/>
    <w:rsid w:val="00EE09D7"/>
    <w:rsid w:val="00EE125A"/>
    <w:rsid w:val="00EE1A98"/>
    <w:rsid w:val="00EE248D"/>
    <w:rsid w:val="00EE2803"/>
    <w:rsid w:val="00EE2F78"/>
    <w:rsid w:val="00EE349E"/>
    <w:rsid w:val="00EE468F"/>
    <w:rsid w:val="00EE4C29"/>
    <w:rsid w:val="00EE5DF4"/>
    <w:rsid w:val="00EE6931"/>
    <w:rsid w:val="00EF0587"/>
    <w:rsid w:val="00EF0917"/>
    <w:rsid w:val="00EF0A43"/>
    <w:rsid w:val="00EF1017"/>
    <w:rsid w:val="00EF180A"/>
    <w:rsid w:val="00EF1C5C"/>
    <w:rsid w:val="00EF1E49"/>
    <w:rsid w:val="00EF20B0"/>
    <w:rsid w:val="00EF2837"/>
    <w:rsid w:val="00EF328B"/>
    <w:rsid w:val="00EF4C61"/>
    <w:rsid w:val="00EF51B7"/>
    <w:rsid w:val="00EF5267"/>
    <w:rsid w:val="00EF5547"/>
    <w:rsid w:val="00EF5D0E"/>
    <w:rsid w:val="00EF5D7F"/>
    <w:rsid w:val="00EF6C08"/>
    <w:rsid w:val="00EF71AD"/>
    <w:rsid w:val="00F010B8"/>
    <w:rsid w:val="00F017E9"/>
    <w:rsid w:val="00F01BA6"/>
    <w:rsid w:val="00F0244C"/>
    <w:rsid w:val="00F0310A"/>
    <w:rsid w:val="00F04908"/>
    <w:rsid w:val="00F04D0D"/>
    <w:rsid w:val="00F06AB3"/>
    <w:rsid w:val="00F06EE5"/>
    <w:rsid w:val="00F071B5"/>
    <w:rsid w:val="00F07957"/>
    <w:rsid w:val="00F10023"/>
    <w:rsid w:val="00F10560"/>
    <w:rsid w:val="00F10D5E"/>
    <w:rsid w:val="00F112F2"/>
    <w:rsid w:val="00F115BD"/>
    <w:rsid w:val="00F11C15"/>
    <w:rsid w:val="00F11EE5"/>
    <w:rsid w:val="00F122A3"/>
    <w:rsid w:val="00F14F07"/>
    <w:rsid w:val="00F15EF5"/>
    <w:rsid w:val="00F17576"/>
    <w:rsid w:val="00F206F9"/>
    <w:rsid w:val="00F20EE2"/>
    <w:rsid w:val="00F20FD1"/>
    <w:rsid w:val="00F2107F"/>
    <w:rsid w:val="00F21397"/>
    <w:rsid w:val="00F21953"/>
    <w:rsid w:val="00F2236C"/>
    <w:rsid w:val="00F22485"/>
    <w:rsid w:val="00F23364"/>
    <w:rsid w:val="00F23511"/>
    <w:rsid w:val="00F246EC"/>
    <w:rsid w:val="00F25675"/>
    <w:rsid w:val="00F26997"/>
    <w:rsid w:val="00F309D9"/>
    <w:rsid w:val="00F33EA5"/>
    <w:rsid w:val="00F34773"/>
    <w:rsid w:val="00F350A7"/>
    <w:rsid w:val="00F356F9"/>
    <w:rsid w:val="00F358B5"/>
    <w:rsid w:val="00F36AAE"/>
    <w:rsid w:val="00F3781A"/>
    <w:rsid w:val="00F40F83"/>
    <w:rsid w:val="00F4203C"/>
    <w:rsid w:val="00F42790"/>
    <w:rsid w:val="00F43045"/>
    <w:rsid w:val="00F43472"/>
    <w:rsid w:val="00F4478A"/>
    <w:rsid w:val="00F44EFE"/>
    <w:rsid w:val="00F45766"/>
    <w:rsid w:val="00F459CB"/>
    <w:rsid w:val="00F45E5E"/>
    <w:rsid w:val="00F47069"/>
    <w:rsid w:val="00F4730A"/>
    <w:rsid w:val="00F47460"/>
    <w:rsid w:val="00F475B5"/>
    <w:rsid w:val="00F47D20"/>
    <w:rsid w:val="00F504F8"/>
    <w:rsid w:val="00F510B5"/>
    <w:rsid w:val="00F5201F"/>
    <w:rsid w:val="00F5287A"/>
    <w:rsid w:val="00F52C25"/>
    <w:rsid w:val="00F54218"/>
    <w:rsid w:val="00F54675"/>
    <w:rsid w:val="00F547C4"/>
    <w:rsid w:val="00F5553D"/>
    <w:rsid w:val="00F559BC"/>
    <w:rsid w:val="00F56DA9"/>
    <w:rsid w:val="00F570A6"/>
    <w:rsid w:val="00F57130"/>
    <w:rsid w:val="00F573EB"/>
    <w:rsid w:val="00F577DD"/>
    <w:rsid w:val="00F60E9D"/>
    <w:rsid w:val="00F60F01"/>
    <w:rsid w:val="00F6180D"/>
    <w:rsid w:val="00F6303F"/>
    <w:rsid w:val="00F635CE"/>
    <w:rsid w:val="00F63B55"/>
    <w:rsid w:val="00F649D1"/>
    <w:rsid w:val="00F64DA9"/>
    <w:rsid w:val="00F65089"/>
    <w:rsid w:val="00F65DCF"/>
    <w:rsid w:val="00F6643F"/>
    <w:rsid w:val="00F675EC"/>
    <w:rsid w:val="00F679F9"/>
    <w:rsid w:val="00F67E53"/>
    <w:rsid w:val="00F73204"/>
    <w:rsid w:val="00F73A48"/>
    <w:rsid w:val="00F73F96"/>
    <w:rsid w:val="00F74C89"/>
    <w:rsid w:val="00F74D0B"/>
    <w:rsid w:val="00F76171"/>
    <w:rsid w:val="00F80766"/>
    <w:rsid w:val="00F84B38"/>
    <w:rsid w:val="00F85C43"/>
    <w:rsid w:val="00F861CB"/>
    <w:rsid w:val="00F86D2F"/>
    <w:rsid w:val="00F876A8"/>
    <w:rsid w:val="00F90085"/>
    <w:rsid w:val="00F90CA7"/>
    <w:rsid w:val="00F9131B"/>
    <w:rsid w:val="00F919A2"/>
    <w:rsid w:val="00F92FB7"/>
    <w:rsid w:val="00F97168"/>
    <w:rsid w:val="00F97406"/>
    <w:rsid w:val="00FA0237"/>
    <w:rsid w:val="00FA1509"/>
    <w:rsid w:val="00FA1787"/>
    <w:rsid w:val="00FA289D"/>
    <w:rsid w:val="00FA2DFC"/>
    <w:rsid w:val="00FA3024"/>
    <w:rsid w:val="00FA34F7"/>
    <w:rsid w:val="00FA36E0"/>
    <w:rsid w:val="00FA4661"/>
    <w:rsid w:val="00FA651F"/>
    <w:rsid w:val="00FA69C6"/>
    <w:rsid w:val="00FA6A2C"/>
    <w:rsid w:val="00FA6C77"/>
    <w:rsid w:val="00FA6D3C"/>
    <w:rsid w:val="00FA7C19"/>
    <w:rsid w:val="00FA7FB9"/>
    <w:rsid w:val="00FB1A02"/>
    <w:rsid w:val="00FB1D11"/>
    <w:rsid w:val="00FB562D"/>
    <w:rsid w:val="00FB604D"/>
    <w:rsid w:val="00FB67B1"/>
    <w:rsid w:val="00FB7620"/>
    <w:rsid w:val="00FB7975"/>
    <w:rsid w:val="00FC07F3"/>
    <w:rsid w:val="00FC0A5D"/>
    <w:rsid w:val="00FC1734"/>
    <w:rsid w:val="00FC2D02"/>
    <w:rsid w:val="00FC672C"/>
    <w:rsid w:val="00FD04AC"/>
    <w:rsid w:val="00FD1D96"/>
    <w:rsid w:val="00FD2F58"/>
    <w:rsid w:val="00FD3FA6"/>
    <w:rsid w:val="00FD529A"/>
    <w:rsid w:val="00FD586F"/>
    <w:rsid w:val="00FD5A50"/>
    <w:rsid w:val="00FD60CD"/>
    <w:rsid w:val="00FD6229"/>
    <w:rsid w:val="00FD6E38"/>
    <w:rsid w:val="00FD6FE2"/>
    <w:rsid w:val="00FE0D14"/>
    <w:rsid w:val="00FE1A59"/>
    <w:rsid w:val="00FE244E"/>
    <w:rsid w:val="00FE2520"/>
    <w:rsid w:val="00FE436D"/>
    <w:rsid w:val="00FE4476"/>
    <w:rsid w:val="00FE51FD"/>
    <w:rsid w:val="00FE56EB"/>
    <w:rsid w:val="00FE5AD8"/>
    <w:rsid w:val="00FE5B11"/>
    <w:rsid w:val="00FE6DEE"/>
    <w:rsid w:val="00FE726E"/>
    <w:rsid w:val="00FE7CD4"/>
    <w:rsid w:val="00FF0194"/>
    <w:rsid w:val="00FF0205"/>
    <w:rsid w:val="00FF13ED"/>
    <w:rsid w:val="00FF3101"/>
    <w:rsid w:val="00FF4FB2"/>
    <w:rsid w:val="00FF5887"/>
    <w:rsid w:val="00FF5C6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99"/>
    <w:pPr>
      <w:spacing w:after="120" w:line="276" w:lineRule="auto"/>
      <w:jc w:val="both"/>
    </w:pPr>
    <w:rPr>
      <w:rFonts w:ascii="Verdana" w:eastAsia="Times New Roman" w:hAnsi="Verdana"/>
      <w:sz w:val="24"/>
      <w:szCs w:val="24"/>
      <w:lang w:val="en-GB" w:eastAsia="en-US"/>
    </w:rPr>
  </w:style>
  <w:style w:type="paragraph" w:styleId="Heading1">
    <w:name w:val="heading 1"/>
    <w:basedOn w:val="Normal"/>
    <w:next w:val="Text1"/>
    <w:link w:val="Heading1Char"/>
    <w:autoRedefine/>
    <w:qFormat/>
    <w:rsid w:val="00736F69"/>
    <w:pPr>
      <w:keepNext/>
      <w:jc w:val="center"/>
      <w:outlineLvl w:val="0"/>
    </w:pPr>
    <w:rPr>
      <w:rFonts w:ascii="Times New Roman" w:hAnsi="Times New Roman"/>
      <w:b/>
      <w:bCs/>
      <w:smallCaps/>
      <w:sz w:val="28"/>
      <w:szCs w:val="28"/>
      <w:lang w:val="lv-LV"/>
    </w:rPr>
  </w:style>
  <w:style w:type="paragraph" w:styleId="Heading2">
    <w:name w:val="heading 2"/>
    <w:basedOn w:val="Normal"/>
    <w:next w:val="Normal"/>
    <w:link w:val="Heading2Char"/>
    <w:autoRedefine/>
    <w:qFormat/>
    <w:rsid w:val="00D66FB7"/>
    <w:pPr>
      <w:keepNext/>
      <w:spacing w:before="120" w:line="240" w:lineRule="auto"/>
      <w:ind w:right="-432"/>
      <w:outlineLvl w:val="1"/>
    </w:pPr>
    <w:rPr>
      <w:rFonts w:ascii="Times New Roman" w:hAnsi="Times New Roman"/>
      <w:b/>
      <w:lang w:eastAsia="fr-BE"/>
    </w:rPr>
  </w:style>
  <w:style w:type="paragraph" w:styleId="Heading4">
    <w:name w:val="heading 4"/>
    <w:basedOn w:val="Normal"/>
    <w:next w:val="Normal"/>
    <w:link w:val="Heading4Char"/>
    <w:uiPriority w:val="9"/>
    <w:semiHidden/>
    <w:unhideWhenUsed/>
    <w:qFormat/>
    <w:rsid w:val="000E22CF"/>
    <w:pPr>
      <w:keepNext/>
      <w:keepLines/>
      <w:spacing w:before="200" w:after="0"/>
      <w:outlineLvl w:val="3"/>
    </w:pPr>
    <w:rPr>
      <w:rFonts w:ascii="Cambria"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6F69"/>
    <w:rPr>
      <w:rFonts w:ascii="Times New Roman" w:eastAsia="Times New Roman" w:hAnsi="Times New Roman"/>
      <w:b/>
      <w:bCs/>
      <w:smallCaps/>
      <w:sz w:val="28"/>
      <w:szCs w:val="28"/>
      <w:lang w:eastAsia="en-US"/>
    </w:rPr>
  </w:style>
  <w:style w:type="character" w:customStyle="1" w:styleId="Heading2Char">
    <w:name w:val="Heading 2 Char"/>
    <w:link w:val="Heading2"/>
    <w:rsid w:val="00D66FB7"/>
    <w:rPr>
      <w:rFonts w:ascii="Times New Roman" w:eastAsia="Times New Roman" w:hAnsi="Times New Roman"/>
      <w:b/>
      <w:sz w:val="24"/>
      <w:szCs w:val="24"/>
      <w:lang w:val="en-GB" w:eastAsia="fr-BE"/>
    </w:rPr>
  </w:style>
  <w:style w:type="paragraph" w:customStyle="1" w:styleId="Text1">
    <w:name w:val="Text 1"/>
    <w:basedOn w:val="Normal"/>
    <w:link w:val="Text1Char"/>
    <w:rsid w:val="00EB4D36"/>
    <w:pPr>
      <w:ind w:left="482"/>
    </w:pPr>
    <w:rPr>
      <w:rFonts w:ascii="Times New Roman" w:hAnsi="Times New Roman"/>
      <w:szCs w:val="20"/>
    </w:rPr>
  </w:style>
  <w:style w:type="paragraph" w:customStyle="1" w:styleId="Text3">
    <w:name w:val="Text 3"/>
    <w:basedOn w:val="Normal"/>
    <w:rsid w:val="00EB4D36"/>
    <w:pPr>
      <w:tabs>
        <w:tab w:val="left" w:pos="2302"/>
      </w:tabs>
      <w:ind w:left="1916"/>
    </w:pPr>
  </w:style>
  <w:style w:type="paragraph" w:styleId="Footer">
    <w:name w:val="footer"/>
    <w:basedOn w:val="Normal"/>
    <w:link w:val="FooterChar"/>
    <w:uiPriority w:val="99"/>
    <w:rsid w:val="00EB4D36"/>
    <w:pPr>
      <w:spacing w:after="0"/>
      <w:ind w:right="-567"/>
      <w:jc w:val="left"/>
    </w:pPr>
    <w:rPr>
      <w:rFonts w:ascii="Arial" w:hAnsi="Arial"/>
      <w:sz w:val="16"/>
      <w:szCs w:val="20"/>
    </w:rPr>
  </w:style>
  <w:style w:type="character" w:customStyle="1" w:styleId="FooterChar">
    <w:name w:val="Footer Char"/>
    <w:link w:val="Footer"/>
    <w:uiPriority w:val="99"/>
    <w:rsid w:val="00EB4D36"/>
    <w:rPr>
      <w:rFonts w:ascii="Arial" w:eastAsia="Times New Roman" w:hAnsi="Arial" w:cs="Times New Roman"/>
      <w:sz w:val="16"/>
      <w:szCs w:val="20"/>
      <w:lang w:val="en-GB"/>
    </w:rPr>
  </w:style>
  <w:style w:type="paragraph" w:styleId="FootnoteText">
    <w:name w:val="footnote text"/>
    <w:basedOn w:val="Normal"/>
    <w:link w:val="FootnoteTextChar"/>
    <w:semiHidden/>
    <w:rsid w:val="00EB4D36"/>
    <w:pPr>
      <w:ind w:left="357" w:hanging="357"/>
    </w:pPr>
    <w:rPr>
      <w:rFonts w:ascii="Times New Roman" w:hAnsi="Times New Roman"/>
      <w:sz w:val="20"/>
      <w:szCs w:val="20"/>
    </w:rPr>
  </w:style>
  <w:style w:type="character" w:customStyle="1" w:styleId="FootnoteTextChar">
    <w:name w:val="Footnote Text Char"/>
    <w:link w:val="FootnoteText"/>
    <w:semiHidden/>
    <w:rsid w:val="00EB4D36"/>
    <w:rPr>
      <w:rFonts w:ascii="Times New Roman" w:eastAsia="Times New Roman" w:hAnsi="Times New Roman" w:cs="Times New Roman"/>
      <w:sz w:val="20"/>
      <w:szCs w:val="20"/>
    </w:rPr>
  </w:style>
  <w:style w:type="paragraph" w:styleId="Header">
    <w:name w:val="header"/>
    <w:basedOn w:val="Normal"/>
    <w:link w:val="HeaderChar"/>
    <w:uiPriority w:val="99"/>
    <w:rsid w:val="00EB4D36"/>
    <w:pPr>
      <w:tabs>
        <w:tab w:val="center" w:pos="4153"/>
        <w:tab w:val="right" w:pos="8306"/>
      </w:tabs>
    </w:pPr>
    <w:rPr>
      <w:rFonts w:ascii="Times New Roman" w:hAnsi="Times New Roman"/>
      <w:szCs w:val="20"/>
    </w:rPr>
  </w:style>
  <w:style w:type="character" w:customStyle="1" w:styleId="HeaderChar">
    <w:name w:val="Header Char"/>
    <w:link w:val="Header"/>
    <w:uiPriority w:val="99"/>
    <w:rsid w:val="00EB4D36"/>
    <w:rPr>
      <w:rFonts w:ascii="Times New Roman" w:eastAsia="Times New Roman" w:hAnsi="Times New Roman" w:cs="Times New Roman"/>
      <w:sz w:val="24"/>
      <w:szCs w:val="20"/>
      <w:lang w:val="en-GB"/>
    </w:rPr>
  </w:style>
  <w:style w:type="paragraph" w:customStyle="1" w:styleId="ListBullet1">
    <w:name w:val="List Bullet 1"/>
    <w:basedOn w:val="Text1"/>
    <w:rsid w:val="00EB4D36"/>
    <w:pPr>
      <w:tabs>
        <w:tab w:val="num" w:pos="765"/>
      </w:tabs>
      <w:ind w:left="765" w:hanging="283"/>
    </w:pPr>
  </w:style>
  <w:style w:type="character" w:customStyle="1" w:styleId="Text1Char">
    <w:name w:val="Text 1 Char"/>
    <w:link w:val="Text1"/>
    <w:locked/>
    <w:rsid w:val="00EB4D36"/>
    <w:rPr>
      <w:rFonts w:ascii="Times New Roman" w:eastAsia="Times New Roman" w:hAnsi="Times New Roman" w:cs="Times New Roman"/>
      <w:sz w:val="24"/>
      <w:szCs w:val="20"/>
      <w:lang w:val="en-GB"/>
    </w:rPr>
  </w:style>
  <w:style w:type="character" w:styleId="PageNumber">
    <w:name w:val="page number"/>
    <w:basedOn w:val="DefaultParagraphFont"/>
    <w:rsid w:val="00EB4D36"/>
  </w:style>
  <w:style w:type="character" w:styleId="FootnoteReference">
    <w:name w:val="footnote reference"/>
    <w:semiHidden/>
    <w:rsid w:val="00EB4D36"/>
    <w:rPr>
      <w:vertAlign w:val="superscript"/>
    </w:rPr>
  </w:style>
  <w:style w:type="paragraph" w:styleId="ListParagraph">
    <w:name w:val="List Paragraph"/>
    <w:basedOn w:val="Normal"/>
    <w:uiPriority w:val="34"/>
    <w:qFormat/>
    <w:rsid w:val="00EB4D36"/>
    <w:pPr>
      <w:ind w:left="720"/>
    </w:pPr>
  </w:style>
  <w:style w:type="paragraph" w:customStyle="1" w:styleId="Default">
    <w:name w:val="Default"/>
    <w:rsid w:val="00EB4D36"/>
    <w:pPr>
      <w:autoSpaceDE w:val="0"/>
      <w:autoSpaceDN w:val="0"/>
      <w:adjustRightInd w:val="0"/>
    </w:pPr>
    <w:rPr>
      <w:rFonts w:ascii="Verdana" w:eastAsia="Times New Roman" w:hAnsi="Verdana" w:cs="Verdana"/>
      <w:color w:val="000000"/>
      <w:sz w:val="24"/>
      <w:szCs w:val="24"/>
      <w:lang w:val="en-GB" w:eastAsia="en-GB"/>
    </w:rPr>
  </w:style>
  <w:style w:type="character" w:customStyle="1" w:styleId="googqs-tidbit1">
    <w:name w:val="goog_qs-tidbit1"/>
    <w:rsid w:val="00EB4D36"/>
    <w:rPr>
      <w:vanish w:val="0"/>
      <w:webHidden w:val="0"/>
      <w:specVanish/>
    </w:rPr>
  </w:style>
  <w:style w:type="paragraph" w:styleId="BalloonText">
    <w:name w:val="Balloon Text"/>
    <w:basedOn w:val="Normal"/>
    <w:link w:val="BalloonTextChar"/>
    <w:uiPriority w:val="99"/>
    <w:semiHidden/>
    <w:unhideWhenUsed/>
    <w:rsid w:val="0070702B"/>
    <w:pPr>
      <w:spacing w:after="0"/>
    </w:pPr>
    <w:rPr>
      <w:rFonts w:ascii="Tahoma" w:hAnsi="Tahoma"/>
      <w:sz w:val="16"/>
      <w:szCs w:val="16"/>
    </w:rPr>
  </w:style>
  <w:style w:type="character" w:customStyle="1" w:styleId="BalloonTextChar">
    <w:name w:val="Balloon Text Char"/>
    <w:link w:val="BalloonText"/>
    <w:uiPriority w:val="99"/>
    <w:semiHidden/>
    <w:rsid w:val="0070702B"/>
    <w:rPr>
      <w:rFonts w:ascii="Tahoma" w:eastAsia="Times New Roman" w:hAnsi="Tahoma" w:cs="Tahoma"/>
      <w:sz w:val="16"/>
      <w:szCs w:val="16"/>
      <w:lang w:val="en-GB"/>
    </w:rPr>
  </w:style>
  <w:style w:type="character" w:styleId="CommentReference">
    <w:name w:val="annotation reference"/>
    <w:uiPriority w:val="99"/>
    <w:semiHidden/>
    <w:unhideWhenUsed/>
    <w:rsid w:val="002D5951"/>
    <w:rPr>
      <w:sz w:val="16"/>
      <w:szCs w:val="16"/>
    </w:rPr>
  </w:style>
  <w:style w:type="paragraph" w:styleId="CommentText">
    <w:name w:val="annotation text"/>
    <w:basedOn w:val="Normal"/>
    <w:link w:val="CommentTextChar"/>
    <w:uiPriority w:val="99"/>
    <w:unhideWhenUsed/>
    <w:rsid w:val="002D5951"/>
    <w:rPr>
      <w:rFonts w:ascii="Times New Roman" w:hAnsi="Times New Roman"/>
      <w:sz w:val="20"/>
      <w:szCs w:val="20"/>
    </w:rPr>
  </w:style>
  <w:style w:type="character" w:customStyle="1" w:styleId="CommentTextChar">
    <w:name w:val="Comment Text Char"/>
    <w:link w:val="CommentText"/>
    <w:uiPriority w:val="99"/>
    <w:rsid w:val="002D59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5951"/>
    <w:rPr>
      <w:b/>
      <w:bCs/>
    </w:rPr>
  </w:style>
  <w:style w:type="character" w:customStyle="1" w:styleId="CommentSubjectChar">
    <w:name w:val="Comment Subject Char"/>
    <w:link w:val="CommentSubject"/>
    <w:uiPriority w:val="99"/>
    <w:semiHidden/>
    <w:rsid w:val="002D5951"/>
    <w:rPr>
      <w:rFonts w:ascii="Times New Roman" w:eastAsia="Times New Roman" w:hAnsi="Times New Roman" w:cs="Times New Roman"/>
      <w:b/>
      <w:bCs/>
      <w:sz w:val="20"/>
      <w:szCs w:val="20"/>
      <w:lang w:val="en-GB"/>
    </w:rPr>
  </w:style>
  <w:style w:type="paragraph" w:styleId="BodyText2">
    <w:name w:val="Body Text 2"/>
    <w:basedOn w:val="Normal"/>
    <w:link w:val="BodyText2Char"/>
    <w:semiHidden/>
    <w:rsid w:val="00E74515"/>
    <w:pPr>
      <w:spacing w:line="480" w:lineRule="auto"/>
      <w:jc w:val="left"/>
    </w:pPr>
    <w:rPr>
      <w:rFonts w:ascii="Times New Roman" w:hAnsi="Times New Roman"/>
      <w:sz w:val="20"/>
      <w:szCs w:val="20"/>
    </w:rPr>
  </w:style>
  <w:style w:type="character" w:customStyle="1" w:styleId="BodyText2Char">
    <w:name w:val="Body Text 2 Char"/>
    <w:link w:val="BodyText2"/>
    <w:semiHidden/>
    <w:rsid w:val="00E74515"/>
    <w:rPr>
      <w:rFonts w:ascii="Times New Roman" w:eastAsia="Times New Roman" w:hAnsi="Times New Roman" w:cs="Times New Roman"/>
      <w:sz w:val="20"/>
      <w:szCs w:val="20"/>
    </w:rPr>
  </w:style>
  <w:style w:type="paragraph" w:customStyle="1" w:styleId="CharChar1CharCharChar">
    <w:name w:val="Char Char1 Char Char Char"/>
    <w:basedOn w:val="Normal"/>
    <w:next w:val="Normal"/>
    <w:rsid w:val="00E74515"/>
    <w:pPr>
      <w:spacing w:before="120" w:after="160" w:line="240" w:lineRule="exact"/>
      <w:ind w:firstLine="720"/>
    </w:pPr>
    <w:rPr>
      <w:lang w:val="en-US"/>
    </w:rPr>
  </w:style>
  <w:style w:type="paragraph" w:styleId="ListBullet">
    <w:name w:val="List Bullet"/>
    <w:basedOn w:val="Normal"/>
    <w:uiPriority w:val="99"/>
    <w:rsid w:val="000B3CC4"/>
    <w:pPr>
      <w:numPr>
        <w:numId w:val="5"/>
      </w:numPr>
    </w:pPr>
  </w:style>
  <w:style w:type="paragraph" w:customStyle="1" w:styleId="ListDash">
    <w:name w:val="List Dash"/>
    <w:basedOn w:val="Normal"/>
    <w:rsid w:val="00B94D1D"/>
    <w:pPr>
      <w:numPr>
        <w:numId w:val="6"/>
      </w:numPr>
    </w:pPr>
  </w:style>
  <w:style w:type="character" w:customStyle="1" w:styleId="Heading4Char">
    <w:name w:val="Heading 4 Char"/>
    <w:link w:val="Heading4"/>
    <w:uiPriority w:val="9"/>
    <w:semiHidden/>
    <w:rsid w:val="000E22CF"/>
    <w:rPr>
      <w:rFonts w:ascii="Cambria" w:eastAsia="Times New Roman" w:hAnsi="Cambria" w:cs="Times New Roman"/>
      <w:b/>
      <w:bCs/>
      <w:i/>
      <w:iCs/>
      <w:color w:val="4F81BD"/>
      <w:sz w:val="24"/>
      <w:szCs w:val="20"/>
      <w:lang w:val="en-GB"/>
    </w:rPr>
  </w:style>
  <w:style w:type="paragraph" w:styleId="EndnoteText">
    <w:name w:val="endnote text"/>
    <w:basedOn w:val="Normal"/>
    <w:link w:val="EndnoteTextChar"/>
    <w:uiPriority w:val="99"/>
    <w:semiHidden/>
    <w:unhideWhenUsed/>
    <w:rsid w:val="00260CAA"/>
    <w:pPr>
      <w:spacing w:after="0"/>
    </w:pPr>
    <w:rPr>
      <w:rFonts w:ascii="Times New Roman" w:hAnsi="Times New Roman"/>
      <w:sz w:val="20"/>
      <w:szCs w:val="20"/>
    </w:rPr>
  </w:style>
  <w:style w:type="character" w:customStyle="1" w:styleId="EndnoteTextChar">
    <w:name w:val="Endnote Text Char"/>
    <w:link w:val="EndnoteText"/>
    <w:uiPriority w:val="99"/>
    <w:semiHidden/>
    <w:rsid w:val="00260CAA"/>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260CAA"/>
    <w:rPr>
      <w:vertAlign w:val="superscript"/>
    </w:rPr>
  </w:style>
  <w:style w:type="character" w:styleId="Hyperlink">
    <w:name w:val="Hyperlink"/>
    <w:uiPriority w:val="99"/>
    <w:unhideWhenUsed/>
    <w:rsid w:val="00260CAA"/>
    <w:rPr>
      <w:color w:val="0000FF"/>
      <w:u w:val="single"/>
    </w:rPr>
  </w:style>
  <w:style w:type="paragraph" w:customStyle="1" w:styleId="ListDash2">
    <w:name w:val="List Dash 2"/>
    <w:basedOn w:val="Normal"/>
    <w:uiPriority w:val="99"/>
    <w:rsid w:val="000852C1"/>
    <w:pPr>
      <w:numPr>
        <w:numId w:val="9"/>
      </w:numPr>
    </w:pPr>
  </w:style>
  <w:style w:type="paragraph" w:customStyle="1" w:styleId="Style1">
    <w:name w:val="Style1"/>
    <w:basedOn w:val="Normal"/>
    <w:uiPriority w:val="99"/>
    <w:rsid w:val="0029426B"/>
    <w:pPr>
      <w:jc w:val="left"/>
    </w:pPr>
    <w:rPr>
      <w:lang w:eastAsia="ko-KR"/>
    </w:rPr>
  </w:style>
  <w:style w:type="paragraph" w:styleId="BodyText">
    <w:name w:val="Body Text"/>
    <w:basedOn w:val="Normal"/>
    <w:link w:val="BodyTextChar"/>
    <w:rsid w:val="0029426B"/>
    <w:rPr>
      <w:rFonts w:ascii="Times New Roman" w:hAnsi="Times New Roman"/>
      <w:szCs w:val="20"/>
    </w:rPr>
  </w:style>
  <w:style w:type="character" w:customStyle="1" w:styleId="BodyTextChar">
    <w:name w:val="Body Text Char"/>
    <w:link w:val="BodyText"/>
    <w:rsid w:val="0029426B"/>
    <w:rPr>
      <w:rFonts w:ascii="Times New Roman" w:eastAsia="Times New Roman" w:hAnsi="Times New Roman" w:cs="Times New Roman"/>
      <w:sz w:val="24"/>
      <w:szCs w:val="20"/>
      <w:lang w:val="en-GB"/>
    </w:rPr>
  </w:style>
  <w:style w:type="paragraph" w:styleId="TOCHeading">
    <w:name w:val="TOC Heading"/>
    <w:basedOn w:val="Heading1"/>
    <w:next w:val="Normal"/>
    <w:uiPriority w:val="39"/>
    <w:unhideWhenUsed/>
    <w:qFormat/>
    <w:rsid w:val="00264ADF"/>
    <w:pPr>
      <w:keepLines/>
      <w:spacing w:before="480" w:after="0"/>
      <w:jc w:val="left"/>
      <w:outlineLvl w:val="9"/>
    </w:pPr>
    <w:rPr>
      <w:rFonts w:ascii="Cambria" w:hAnsi="Cambria"/>
      <w:smallCaps w:val="0"/>
      <w:color w:val="365F91"/>
      <w:lang w:val="en-US" w:eastAsia="ja-JP"/>
    </w:rPr>
  </w:style>
  <w:style w:type="paragraph" w:styleId="TOC1">
    <w:name w:val="toc 1"/>
    <w:basedOn w:val="Normal"/>
    <w:next w:val="Normal"/>
    <w:autoRedefine/>
    <w:uiPriority w:val="39"/>
    <w:unhideWhenUsed/>
    <w:rsid w:val="00755612"/>
    <w:pPr>
      <w:tabs>
        <w:tab w:val="right" w:leader="dot" w:pos="8390"/>
      </w:tabs>
      <w:spacing w:before="120" w:line="240" w:lineRule="auto"/>
      <w:ind w:right="417"/>
    </w:pPr>
    <w:rPr>
      <w:rFonts w:ascii="Times New Roman" w:hAnsi="Times New Roman"/>
      <w:noProof/>
      <w:lang w:val="lv-LV"/>
    </w:rPr>
  </w:style>
  <w:style w:type="paragraph" w:styleId="TOC2">
    <w:name w:val="toc 2"/>
    <w:basedOn w:val="Normal"/>
    <w:next w:val="Normal"/>
    <w:autoRedefine/>
    <w:uiPriority w:val="39"/>
    <w:unhideWhenUsed/>
    <w:rsid w:val="00755612"/>
    <w:pPr>
      <w:tabs>
        <w:tab w:val="right" w:leader="dot" w:pos="8390"/>
      </w:tabs>
      <w:spacing w:before="120" w:line="240" w:lineRule="auto"/>
      <w:ind w:left="240" w:right="417"/>
    </w:pPr>
  </w:style>
  <w:style w:type="paragraph" w:customStyle="1" w:styleId="LIST--Simple1">
    <w:name w:val="LIST -- Simple 1"/>
    <w:basedOn w:val="Normal"/>
    <w:autoRedefine/>
    <w:rsid w:val="00D878A1"/>
    <w:pPr>
      <w:spacing w:after="0"/>
      <w:ind w:right="-102"/>
    </w:pPr>
    <w:rPr>
      <w:rFonts w:eastAsia="Arial Unicode MS"/>
      <w:snapToGrid w:val="0"/>
      <w:color w:val="000000"/>
    </w:rPr>
  </w:style>
  <w:style w:type="paragraph" w:customStyle="1" w:styleId="NDPtext">
    <w:name w:val="NDP text"/>
    <w:rsid w:val="00D878A1"/>
    <w:pPr>
      <w:jc w:val="both"/>
    </w:pPr>
    <w:rPr>
      <w:rFonts w:ascii="Times New Roman" w:eastAsia="Times New Roman" w:hAnsi="Times New Roman"/>
      <w:noProof/>
      <w:sz w:val="24"/>
      <w:szCs w:val="24"/>
      <w:lang w:val="en-GB" w:eastAsia="en-US"/>
    </w:rPr>
  </w:style>
  <w:style w:type="character" w:styleId="FollowedHyperlink">
    <w:name w:val="FollowedHyperlink"/>
    <w:uiPriority w:val="99"/>
    <w:semiHidden/>
    <w:unhideWhenUsed/>
    <w:rsid w:val="00D221F8"/>
    <w:rPr>
      <w:color w:val="800080"/>
      <w:u w:val="single"/>
    </w:rPr>
  </w:style>
  <w:style w:type="character" w:customStyle="1" w:styleId="shorttext">
    <w:name w:val="short_text"/>
    <w:basedOn w:val="DefaultParagraphFont"/>
    <w:rsid w:val="003132CC"/>
  </w:style>
  <w:style w:type="character" w:customStyle="1" w:styleId="hps">
    <w:name w:val="hps"/>
    <w:basedOn w:val="DefaultParagraphFont"/>
    <w:rsid w:val="003132CC"/>
  </w:style>
  <w:style w:type="paragraph" w:styleId="NormalWeb">
    <w:name w:val="Normal (Web)"/>
    <w:basedOn w:val="Normal"/>
    <w:uiPriority w:val="99"/>
    <w:semiHidden/>
    <w:unhideWhenUsed/>
    <w:rsid w:val="00D41096"/>
    <w:pPr>
      <w:spacing w:before="100" w:beforeAutospacing="1" w:after="100" w:afterAutospacing="1" w:line="240" w:lineRule="auto"/>
      <w:jc w:val="left"/>
    </w:pPr>
    <w:rPr>
      <w:rFonts w:ascii="Times New Roman" w:hAnsi="Times New Roman"/>
      <w:lang w:eastAsia="en-GB"/>
    </w:rPr>
  </w:style>
  <w:style w:type="table" w:styleId="TableGrid">
    <w:name w:val="Table Grid"/>
    <w:basedOn w:val="TableNormal"/>
    <w:uiPriority w:val="59"/>
    <w:rsid w:val="00FA3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54F2A"/>
    <w:rPr>
      <w:i/>
      <w:iCs/>
    </w:rPr>
  </w:style>
  <w:style w:type="paragraph" w:styleId="NoSpacing">
    <w:name w:val="No Spacing"/>
    <w:uiPriority w:val="1"/>
    <w:qFormat/>
    <w:rsid w:val="00557165"/>
    <w:pPr>
      <w:jc w:val="both"/>
    </w:pPr>
    <w:rPr>
      <w:rFonts w:ascii="Verdana" w:eastAsia="Times New Roman" w:hAnsi="Verdana"/>
      <w:sz w:val="24"/>
      <w:szCs w:val="24"/>
      <w:lang w:val="en-GB" w:eastAsia="en-US"/>
    </w:rPr>
  </w:style>
  <w:style w:type="paragraph" w:styleId="Revision">
    <w:name w:val="Revision"/>
    <w:hidden/>
    <w:uiPriority w:val="99"/>
    <w:semiHidden/>
    <w:rsid w:val="009F6CF8"/>
    <w:rPr>
      <w:rFonts w:ascii="Verdana" w:eastAsia="Times New Roman" w:hAnsi="Verdana"/>
      <w:sz w:val="24"/>
      <w:szCs w:val="24"/>
      <w:lang w:val="en-GB" w:eastAsia="en-US"/>
    </w:rPr>
  </w:style>
  <w:style w:type="paragraph" w:styleId="DocumentMap">
    <w:name w:val="Document Map"/>
    <w:basedOn w:val="Normal"/>
    <w:link w:val="DocumentMapChar"/>
    <w:uiPriority w:val="99"/>
    <w:semiHidden/>
    <w:unhideWhenUsed/>
    <w:rsid w:val="00DA5D6E"/>
    <w:pPr>
      <w:spacing w:after="0" w:line="240" w:lineRule="auto"/>
    </w:pPr>
    <w:rPr>
      <w:rFonts w:ascii="Lucida Grande" w:hAnsi="Lucida Grande"/>
      <w:sz w:val="20"/>
      <w:szCs w:val="20"/>
    </w:rPr>
  </w:style>
  <w:style w:type="character" w:customStyle="1" w:styleId="DocumentMapChar">
    <w:name w:val="Document Map Char"/>
    <w:link w:val="DocumentMap"/>
    <w:uiPriority w:val="99"/>
    <w:semiHidden/>
    <w:rsid w:val="00DA5D6E"/>
    <w:rPr>
      <w:rFonts w:ascii="Lucida Grande" w:eastAsia="Times New Roman" w:hAnsi="Lucida Grande"/>
      <w:lang w:val="en-GB"/>
    </w:rPr>
  </w:style>
  <w:style w:type="character" w:customStyle="1" w:styleId="Heading414">
    <w:name w:val="Heading #414"/>
    <w:rsid w:val="000B2E90"/>
    <w:rPr>
      <w:rFonts w:ascii="Arial Narrow" w:eastAsia="Arial Narrow" w:hAnsi="Arial Narrow" w:cs="Arial Narrow"/>
      <w:b w:val="0"/>
      <w:bCs w:val="0"/>
      <w:i w:val="0"/>
      <w:iCs w:val="0"/>
      <w:smallCaps w:val="0"/>
      <w:strike w:val="0"/>
      <w:spacing w:val="0"/>
      <w:sz w:val="22"/>
      <w:szCs w:val="22"/>
    </w:rPr>
  </w:style>
  <w:style w:type="character" w:customStyle="1" w:styleId="Bodytext5">
    <w:name w:val="Body text (5)_"/>
    <w:link w:val="Bodytext50"/>
    <w:rsid w:val="000B2E90"/>
    <w:rPr>
      <w:rFonts w:ascii="Arial Narrow" w:eastAsia="Arial Narrow" w:hAnsi="Arial Narrow" w:cs="Arial Narrow"/>
      <w:sz w:val="19"/>
      <w:szCs w:val="19"/>
      <w:shd w:val="clear" w:color="auto" w:fill="FFFFFF"/>
    </w:rPr>
  </w:style>
  <w:style w:type="paragraph" w:customStyle="1" w:styleId="Bodytext50">
    <w:name w:val="Body text (5)"/>
    <w:basedOn w:val="Normal"/>
    <w:link w:val="Bodytext5"/>
    <w:rsid w:val="000B2E90"/>
    <w:pPr>
      <w:shd w:val="clear" w:color="auto" w:fill="FFFFFF"/>
      <w:spacing w:after="0" w:line="0" w:lineRule="atLeast"/>
      <w:ind w:hanging="280"/>
      <w:jc w:val="left"/>
    </w:pPr>
    <w:rPr>
      <w:rFonts w:ascii="Arial Narrow" w:eastAsia="Arial Narrow" w:hAnsi="Arial Narrow"/>
      <w:sz w:val="19"/>
      <w:szCs w:val="19"/>
    </w:rPr>
  </w:style>
  <w:style w:type="character" w:customStyle="1" w:styleId="Bodytext8pt4">
    <w:name w:val="Body text + 8 pt4"/>
    <w:rsid w:val="0095520A"/>
    <w:rPr>
      <w:rFonts w:ascii="Arial Narrow" w:eastAsia="Arial Narrow" w:hAnsi="Arial Narrow" w:cs="Arial Narrow"/>
      <w:b w:val="0"/>
      <w:bCs w:val="0"/>
      <w:i w:val="0"/>
      <w:iCs w:val="0"/>
      <w:smallCaps w:val="0"/>
      <w:strike w:val="0"/>
      <w:spacing w:val="0"/>
      <w:sz w:val="16"/>
      <w:szCs w:val="16"/>
      <w:shd w:val="clear" w:color="auto" w:fill="FFFFFF"/>
    </w:rPr>
  </w:style>
  <w:style w:type="character" w:customStyle="1" w:styleId="italic">
    <w:name w:val="italic"/>
    <w:basedOn w:val="DefaultParagraphFont"/>
    <w:rsid w:val="00575D23"/>
  </w:style>
  <w:style w:type="character" w:customStyle="1" w:styleId="Heading311">
    <w:name w:val="Heading #311"/>
    <w:rsid w:val="00575D23"/>
    <w:rPr>
      <w:rFonts w:ascii="Tahoma" w:eastAsia="Tahoma" w:hAnsi="Tahoma" w:cs="Tahoma"/>
      <w:b w:val="0"/>
      <w:bCs w:val="0"/>
      <w:i w:val="0"/>
      <w:iCs w:val="0"/>
      <w:smallCaps w:val="0"/>
      <w:strike w:val="0"/>
      <w:spacing w:val="0"/>
      <w:sz w:val="27"/>
      <w:szCs w:val="27"/>
    </w:rPr>
  </w:style>
  <w:style w:type="character" w:customStyle="1" w:styleId="bold">
    <w:name w:val="bold"/>
    <w:basedOn w:val="DefaultParagraphFont"/>
    <w:rsid w:val="00FB604D"/>
  </w:style>
  <w:style w:type="character" w:customStyle="1" w:styleId="st1">
    <w:name w:val="st1"/>
    <w:basedOn w:val="DefaultParagraphFont"/>
    <w:rsid w:val="00D5469F"/>
  </w:style>
  <w:style w:type="paragraph" w:styleId="PlainText">
    <w:name w:val="Plain Text"/>
    <w:basedOn w:val="Normal"/>
    <w:link w:val="PlainTextChar"/>
    <w:uiPriority w:val="99"/>
    <w:semiHidden/>
    <w:unhideWhenUsed/>
    <w:rsid w:val="000E5CA8"/>
    <w:pPr>
      <w:spacing w:after="0" w:line="240" w:lineRule="auto"/>
      <w:jc w:val="left"/>
    </w:pPr>
    <w:rPr>
      <w:rFonts w:ascii="Consolas" w:eastAsia="Calibri" w:hAnsi="Consolas"/>
      <w:sz w:val="21"/>
      <w:szCs w:val="21"/>
      <w:lang w:val="lv-LV"/>
    </w:rPr>
  </w:style>
  <w:style w:type="character" w:customStyle="1" w:styleId="PlainTextChar">
    <w:name w:val="Plain Text Char"/>
    <w:basedOn w:val="DefaultParagraphFont"/>
    <w:link w:val="PlainText"/>
    <w:uiPriority w:val="99"/>
    <w:semiHidden/>
    <w:rsid w:val="000E5CA8"/>
    <w:rPr>
      <w:rFonts w:ascii="Consolas" w:eastAsia="Calibri" w:hAnsi="Consolas" w:cs="Times New Roman"/>
      <w:sz w:val="21"/>
      <w:szCs w:val="21"/>
      <w:lang w:eastAsia="en-US"/>
    </w:rPr>
  </w:style>
  <w:style w:type="paragraph" w:styleId="Caption">
    <w:name w:val="caption"/>
    <w:basedOn w:val="Normal"/>
    <w:next w:val="Normal"/>
    <w:unhideWhenUsed/>
    <w:qFormat/>
    <w:rsid w:val="00736F69"/>
    <w:pPr>
      <w:spacing w:after="200" w:line="240" w:lineRule="auto"/>
    </w:pPr>
    <w:rPr>
      <w:rFonts w:ascii="Times New Roman" w:hAnsi="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99"/>
    <w:pPr>
      <w:spacing w:after="120" w:line="276" w:lineRule="auto"/>
      <w:jc w:val="both"/>
    </w:pPr>
    <w:rPr>
      <w:rFonts w:ascii="Verdana" w:eastAsia="Times New Roman" w:hAnsi="Verdana"/>
      <w:sz w:val="24"/>
      <w:szCs w:val="24"/>
      <w:lang w:val="en-GB" w:eastAsia="en-US"/>
    </w:rPr>
  </w:style>
  <w:style w:type="paragraph" w:styleId="Heading1">
    <w:name w:val="heading 1"/>
    <w:basedOn w:val="Normal"/>
    <w:next w:val="Text1"/>
    <w:link w:val="Heading1Char"/>
    <w:autoRedefine/>
    <w:qFormat/>
    <w:rsid w:val="00714469"/>
    <w:pPr>
      <w:keepNext/>
      <w:jc w:val="center"/>
      <w:outlineLvl w:val="0"/>
    </w:pPr>
    <w:rPr>
      <w:rFonts w:ascii="Times New Roman" w:hAnsi="Times New Roman"/>
      <w:b/>
      <w:bCs/>
      <w:smallCaps/>
      <w:sz w:val="28"/>
      <w:szCs w:val="28"/>
    </w:rPr>
  </w:style>
  <w:style w:type="paragraph" w:styleId="Heading2">
    <w:name w:val="heading 2"/>
    <w:basedOn w:val="Normal"/>
    <w:next w:val="Normal"/>
    <w:link w:val="Heading2Char"/>
    <w:autoRedefine/>
    <w:qFormat/>
    <w:rsid w:val="00C63F2B"/>
    <w:pPr>
      <w:keepNext/>
      <w:outlineLvl w:val="1"/>
    </w:pPr>
    <w:rPr>
      <w:rFonts w:ascii="Times New Roman" w:hAnsi="Times New Roman"/>
      <w:b/>
      <w:lang w:val="lv-LV" w:eastAsia="fr-BE"/>
    </w:rPr>
  </w:style>
  <w:style w:type="paragraph" w:styleId="Heading4">
    <w:name w:val="heading 4"/>
    <w:basedOn w:val="Normal"/>
    <w:next w:val="Normal"/>
    <w:link w:val="Heading4Char"/>
    <w:uiPriority w:val="9"/>
    <w:semiHidden/>
    <w:unhideWhenUsed/>
    <w:qFormat/>
    <w:rsid w:val="000E22CF"/>
    <w:pPr>
      <w:keepNext/>
      <w:keepLines/>
      <w:spacing w:before="200" w:after="0"/>
      <w:outlineLvl w:val="3"/>
    </w:pPr>
    <w:rPr>
      <w:rFonts w:ascii="Cambria"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4469"/>
    <w:rPr>
      <w:rFonts w:ascii="Times New Roman" w:eastAsia="Times New Roman" w:hAnsi="Times New Roman"/>
      <w:b/>
      <w:bCs/>
      <w:smallCaps/>
      <w:sz w:val="28"/>
      <w:szCs w:val="28"/>
    </w:rPr>
  </w:style>
  <w:style w:type="character" w:customStyle="1" w:styleId="Heading2Char">
    <w:name w:val="Heading 2 Char"/>
    <w:link w:val="Heading2"/>
    <w:rsid w:val="00C63F2B"/>
    <w:rPr>
      <w:rFonts w:ascii="Times New Roman" w:eastAsia="Times New Roman" w:hAnsi="Times New Roman"/>
      <w:b/>
      <w:sz w:val="24"/>
      <w:szCs w:val="24"/>
      <w:lang w:eastAsia="fr-BE"/>
    </w:rPr>
  </w:style>
  <w:style w:type="paragraph" w:customStyle="1" w:styleId="Text1">
    <w:name w:val="Text 1"/>
    <w:basedOn w:val="Normal"/>
    <w:link w:val="Text1Char"/>
    <w:uiPriority w:val="99"/>
    <w:rsid w:val="00EB4D36"/>
    <w:pPr>
      <w:ind w:left="482"/>
    </w:pPr>
    <w:rPr>
      <w:rFonts w:ascii="Times New Roman" w:hAnsi="Times New Roman"/>
      <w:szCs w:val="20"/>
    </w:rPr>
  </w:style>
  <w:style w:type="paragraph" w:customStyle="1" w:styleId="Text3">
    <w:name w:val="Text 3"/>
    <w:basedOn w:val="Normal"/>
    <w:rsid w:val="00EB4D36"/>
    <w:pPr>
      <w:tabs>
        <w:tab w:val="left" w:pos="2302"/>
      </w:tabs>
      <w:ind w:left="1916"/>
    </w:pPr>
  </w:style>
  <w:style w:type="paragraph" w:styleId="Footer">
    <w:name w:val="footer"/>
    <w:basedOn w:val="Normal"/>
    <w:link w:val="FooterChar"/>
    <w:uiPriority w:val="99"/>
    <w:rsid w:val="00EB4D36"/>
    <w:pPr>
      <w:spacing w:after="0"/>
      <w:ind w:right="-567"/>
      <w:jc w:val="left"/>
    </w:pPr>
    <w:rPr>
      <w:rFonts w:ascii="Arial" w:hAnsi="Arial"/>
      <w:sz w:val="16"/>
      <w:szCs w:val="20"/>
    </w:rPr>
  </w:style>
  <w:style w:type="character" w:customStyle="1" w:styleId="FooterChar">
    <w:name w:val="Footer Char"/>
    <w:link w:val="Footer"/>
    <w:uiPriority w:val="99"/>
    <w:rsid w:val="00EB4D36"/>
    <w:rPr>
      <w:rFonts w:ascii="Arial" w:eastAsia="Times New Roman" w:hAnsi="Arial" w:cs="Times New Roman"/>
      <w:sz w:val="16"/>
      <w:szCs w:val="20"/>
      <w:lang w:val="en-GB"/>
    </w:rPr>
  </w:style>
  <w:style w:type="paragraph" w:styleId="FootnoteText">
    <w:name w:val="footnote text"/>
    <w:basedOn w:val="Normal"/>
    <w:link w:val="FootnoteTextChar"/>
    <w:semiHidden/>
    <w:rsid w:val="00EB4D36"/>
    <w:pPr>
      <w:ind w:left="357" w:hanging="357"/>
    </w:pPr>
    <w:rPr>
      <w:rFonts w:ascii="Times New Roman" w:hAnsi="Times New Roman"/>
      <w:sz w:val="20"/>
      <w:szCs w:val="20"/>
    </w:rPr>
  </w:style>
  <w:style w:type="character" w:customStyle="1" w:styleId="FootnoteTextChar">
    <w:name w:val="Footnote Text Char"/>
    <w:link w:val="FootnoteText"/>
    <w:semiHidden/>
    <w:rsid w:val="00EB4D36"/>
    <w:rPr>
      <w:rFonts w:ascii="Times New Roman" w:eastAsia="Times New Roman" w:hAnsi="Times New Roman" w:cs="Times New Roman"/>
      <w:sz w:val="20"/>
      <w:szCs w:val="20"/>
    </w:rPr>
  </w:style>
  <w:style w:type="paragraph" w:styleId="Header">
    <w:name w:val="header"/>
    <w:basedOn w:val="Normal"/>
    <w:link w:val="HeaderChar"/>
    <w:uiPriority w:val="99"/>
    <w:rsid w:val="00EB4D36"/>
    <w:pPr>
      <w:tabs>
        <w:tab w:val="center" w:pos="4153"/>
        <w:tab w:val="right" w:pos="8306"/>
      </w:tabs>
    </w:pPr>
    <w:rPr>
      <w:rFonts w:ascii="Times New Roman" w:hAnsi="Times New Roman"/>
      <w:szCs w:val="20"/>
    </w:rPr>
  </w:style>
  <w:style w:type="character" w:customStyle="1" w:styleId="HeaderChar">
    <w:name w:val="Header Char"/>
    <w:link w:val="Header"/>
    <w:uiPriority w:val="99"/>
    <w:rsid w:val="00EB4D36"/>
    <w:rPr>
      <w:rFonts w:ascii="Times New Roman" w:eastAsia="Times New Roman" w:hAnsi="Times New Roman" w:cs="Times New Roman"/>
      <w:sz w:val="24"/>
      <w:szCs w:val="20"/>
      <w:lang w:val="en-GB"/>
    </w:rPr>
  </w:style>
  <w:style w:type="paragraph" w:customStyle="1" w:styleId="ListBullet1">
    <w:name w:val="List Bullet 1"/>
    <w:basedOn w:val="Text1"/>
    <w:rsid w:val="00EB4D36"/>
    <w:pPr>
      <w:tabs>
        <w:tab w:val="num" w:pos="765"/>
      </w:tabs>
      <w:ind w:left="765" w:hanging="283"/>
    </w:pPr>
  </w:style>
  <w:style w:type="character" w:customStyle="1" w:styleId="Text1Char">
    <w:name w:val="Text 1 Char"/>
    <w:link w:val="Text1"/>
    <w:uiPriority w:val="99"/>
    <w:locked/>
    <w:rsid w:val="00EB4D36"/>
    <w:rPr>
      <w:rFonts w:ascii="Times New Roman" w:eastAsia="Times New Roman" w:hAnsi="Times New Roman" w:cs="Times New Roman"/>
      <w:sz w:val="24"/>
      <w:szCs w:val="20"/>
      <w:lang w:val="en-GB"/>
    </w:rPr>
  </w:style>
  <w:style w:type="character" w:styleId="PageNumber">
    <w:name w:val="page number"/>
    <w:basedOn w:val="DefaultParagraphFont"/>
    <w:rsid w:val="00EB4D36"/>
  </w:style>
  <w:style w:type="character" w:styleId="FootnoteReference">
    <w:name w:val="footnote reference"/>
    <w:semiHidden/>
    <w:rsid w:val="00EB4D36"/>
    <w:rPr>
      <w:vertAlign w:val="superscript"/>
    </w:rPr>
  </w:style>
  <w:style w:type="paragraph" w:styleId="ListParagraph">
    <w:name w:val="List Paragraph"/>
    <w:basedOn w:val="Normal"/>
    <w:uiPriority w:val="34"/>
    <w:qFormat/>
    <w:rsid w:val="00EB4D36"/>
    <w:pPr>
      <w:ind w:left="720"/>
    </w:pPr>
  </w:style>
  <w:style w:type="paragraph" w:customStyle="1" w:styleId="Default">
    <w:name w:val="Default"/>
    <w:rsid w:val="00EB4D36"/>
    <w:pPr>
      <w:autoSpaceDE w:val="0"/>
      <w:autoSpaceDN w:val="0"/>
      <w:adjustRightInd w:val="0"/>
    </w:pPr>
    <w:rPr>
      <w:rFonts w:ascii="Verdana" w:eastAsia="Times New Roman" w:hAnsi="Verdana" w:cs="Verdana"/>
      <w:color w:val="000000"/>
      <w:sz w:val="24"/>
      <w:szCs w:val="24"/>
      <w:lang w:val="en-GB" w:eastAsia="en-GB"/>
    </w:rPr>
  </w:style>
  <w:style w:type="character" w:customStyle="1" w:styleId="googqs-tidbit1">
    <w:name w:val="goog_qs-tidbit1"/>
    <w:rsid w:val="00EB4D36"/>
    <w:rPr>
      <w:vanish w:val="0"/>
      <w:webHidden w:val="0"/>
      <w:specVanish/>
    </w:rPr>
  </w:style>
  <w:style w:type="paragraph" w:styleId="BalloonText">
    <w:name w:val="Balloon Text"/>
    <w:basedOn w:val="Normal"/>
    <w:link w:val="BalloonTextChar"/>
    <w:uiPriority w:val="99"/>
    <w:semiHidden/>
    <w:unhideWhenUsed/>
    <w:rsid w:val="0070702B"/>
    <w:pPr>
      <w:spacing w:after="0"/>
    </w:pPr>
    <w:rPr>
      <w:rFonts w:ascii="Tahoma" w:hAnsi="Tahoma"/>
      <w:sz w:val="16"/>
      <w:szCs w:val="16"/>
    </w:rPr>
  </w:style>
  <w:style w:type="character" w:customStyle="1" w:styleId="BalloonTextChar">
    <w:name w:val="Balloon Text Char"/>
    <w:link w:val="BalloonText"/>
    <w:uiPriority w:val="99"/>
    <w:semiHidden/>
    <w:rsid w:val="0070702B"/>
    <w:rPr>
      <w:rFonts w:ascii="Tahoma" w:eastAsia="Times New Roman" w:hAnsi="Tahoma" w:cs="Tahoma"/>
      <w:sz w:val="16"/>
      <w:szCs w:val="16"/>
      <w:lang w:val="en-GB"/>
    </w:rPr>
  </w:style>
  <w:style w:type="character" w:styleId="CommentReference">
    <w:name w:val="annotation reference"/>
    <w:uiPriority w:val="99"/>
    <w:semiHidden/>
    <w:unhideWhenUsed/>
    <w:rsid w:val="002D5951"/>
    <w:rPr>
      <w:sz w:val="16"/>
      <w:szCs w:val="16"/>
    </w:rPr>
  </w:style>
  <w:style w:type="paragraph" w:styleId="CommentText">
    <w:name w:val="annotation text"/>
    <w:basedOn w:val="Normal"/>
    <w:link w:val="CommentTextChar"/>
    <w:uiPriority w:val="99"/>
    <w:semiHidden/>
    <w:unhideWhenUsed/>
    <w:rsid w:val="002D5951"/>
    <w:rPr>
      <w:rFonts w:ascii="Times New Roman" w:hAnsi="Times New Roman"/>
      <w:sz w:val="20"/>
      <w:szCs w:val="20"/>
    </w:rPr>
  </w:style>
  <w:style w:type="character" w:customStyle="1" w:styleId="CommentTextChar">
    <w:name w:val="Comment Text Char"/>
    <w:link w:val="CommentText"/>
    <w:uiPriority w:val="99"/>
    <w:semiHidden/>
    <w:rsid w:val="002D59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5951"/>
    <w:rPr>
      <w:b/>
      <w:bCs/>
    </w:rPr>
  </w:style>
  <w:style w:type="character" w:customStyle="1" w:styleId="CommentSubjectChar">
    <w:name w:val="Comment Subject Char"/>
    <w:link w:val="CommentSubject"/>
    <w:uiPriority w:val="99"/>
    <w:semiHidden/>
    <w:rsid w:val="002D5951"/>
    <w:rPr>
      <w:rFonts w:ascii="Times New Roman" w:eastAsia="Times New Roman" w:hAnsi="Times New Roman" w:cs="Times New Roman"/>
      <w:b/>
      <w:bCs/>
      <w:sz w:val="20"/>
      <w:szCs w:val="20"/>
      <w:lang w:val="en-GB"/>
    </w:rPr>
  </w:style>
  <w:style w:type="paragraph" w:styleId="BodyText2">
    <w:name w:val="Body Text 2"/>
    <w:basedOn w:val="Normal"/>
    <w:link w:val="BodyText2Char"/>
    <w:semiHidden/>
    <w:rsid w:val="00E74515"/>
    <w:pPr>
      <w:spacing w:line="480" w:lineRule="auto"/>
      <w:jc w:val="left"/>
    </w:pPr>
    <w:rPr>
      <w:rFonts w:ascii="Times New Roman" w:hAnsi="Times New Roman"/>
      <w:sz w:val="20"/>
      <w:szCs w:val="20"/>
    </w:rPr>
  </w:style>
  <w:style w:type="character" w:customStyle="1" w:styleId="BodyText2Char">
    <w:name w:val="Body Text 2 Char"/>
    <w:link w:val="BodyText2"/>
    <w:semiHidden/>
    <w:rsid w:val="00E74515"/>
    <w:rPr>
      <w:rFonts w:ascii="Times New Roman" w:eastAsia="Times New Roman" w:hAnsi="Times New Roman" w:cs="Times New Roman"/>
      <w:sz w:val="20"/>
      <w:szCs w:val="20"/>
    </w:rPr>
  </w:style>
  <w:style w:type="paragraph" w:customStyle="1" w:styleId="CharChar1CharCharChar">
    <w:name w:val="Char Char1 Char Char Char"/>
    <w:basedOn w:val="Normal"/>
    <w:next w:val="Normal"/>
    <w:rsid w:val="00E74515"/>
    <w:pPr>
      <w:spacing w:before="120" w:after="160" w:line="240" w:lineRule="exact"/>
      <w:ind w:firstLine="720"/>
    </w:pPr>
    <w:rPr>
      <w:lang w:val="en-US"/>
    </w:rPr>
  </w:style>
  <w:style w:type="paragraph" w:styleId="ListBullet">
    <w:name w:val="List Bullet"/>
    <w:basedOn w:val="Normal"/>
    <w:uiPriority w:val="99"/>
    <w:rsid w:val="000B3CC4"/>
    <w:pPr>
      <w:numPr>
        <w:numId w:val="5"/>
      </w:numPr>
    </w:pPr>
  </w:style>
  <w:style w:type="paragraph" w:customStyle="1" w:styleId="ListDash">
    <w:name w:val="List Dash"/>
    <w:basedOn w:val="Normal"/>
    <w:uiPriority w:val="99"/>
    <w:rsid w:val="00B94D1D"/>
    <w:pPr>
      <w:numPr>
        <w:numId w:val="6"/>
      </w:numPr>
    </w:pPr>
  </w:style>
  <w:style w:type="character" w:customStyle="1" w:styleId="Heading4Char">
    <w:name w:val="Heading 4 Char"/>
    <w:link w:val="Heading4"/>
    <w:uiPriority w:val="9"/>
    <w:semiHidden/>
    <w:rsid w:val="000E22CF"/>
    <w:rPr>
      <w:rFonts w:ascii="Cambria" w:eastAsia="Times New Roman" w:hAnsi="Cambria" w:cs="Times New Roman"/>
      <w:b/>
      <w:bCs/>
      <w:i/>
      <w:iCs/>
      <w:color w:val="4F81BD"/>
      <w:sz w:val="24"/>
      <w:szCs w:val="20"/>
      <w:lang w:val="en-GB"/>
    </w:rPr>
  </w:style>
  <w:style w:type="paragraph" w:styleId="EndnoteText">
    <w:name w:val="endnote text"/>
    <w:basedOn w:val="Normal"/>
    <w:link w:val="EndnoteTextChar"/>
    <w:uiPriority w:val="99"/>
    <w:semiHidden/>
    <w:unhideWhenUsed/>
    <w:rsid w:val="00260CAA"/>
    <w:pPr>
      <w:spacing w:after="0"/>
    </w:pPr>
    <w:rPr>
      <w:rFonts w:ascii="Times New Roman" w:hAnsi="Times New Roman"/>
      <w:sz w:val="20"/>
      <w:szCs w:val="20"/>
    </w:rPr>
  </w:style>
  <w:style w:type="character" w:customStyle="1" w:styleId="EndnoteTextChar">
    <w:name w:val="Endnote Text Char"/>
    <w:link w:val="EndnoteText"/>
    <w:uiPriority w:val="99"/>
    <w:semiHidden/>
    <w:rsid w:val="00260CAA"/>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260CAA"/>
    <w:rPr>
      <w:vertAlign w:val="superscript"/>
    </w:rPr>
  </w:style>
  <w:style w:type="character" w:styleId="Hyperlink">
    <w:name w:val="Hyperlink"/>
    <w:uiPriority w:val="99"/>
    <w:unhideWhenUsed/>
    <w:rsid w:val="00260CAA"/>
    <w:rPr>
      <w:color w:val="0000FF"/>
      <w:u w:val="single"/>
    </w:rPr>
  </w:style>
  <w:style w:type="paragraph" w:customStyle="1" w:styleId="ListDash2">
    <w:name w:val="List Dash 2"/>
    <w:basedOn w:val="Normal"/>
    <w:uiPriority w:val="99"/>
    <w:rsid w:val="000852C1"/>
    <w:pPr>
      <w:numPr>
        <w:numId w:val="9"/>
      </w:numPr>
    </w:pPr>
  </w:style>
  <w:style w:type="paragraph" w:customStyle="1" w:styleId="Style1">
    <w:name w:val="Style1"/>
    <w:basedOn w:val="Normal"/>
    <w:uiPriority w:val="99"/>
    <w:rsid w:val="0029426B"/>
    <w:pPr>
      <w:jc w:val="left"/>
    </w:pPr>
    <w:rPr>
      <w:lang w:eastAsia="ko-KR"/>
    </w:rPr>
  </w:style>
  <w:style w:type="paragraph" w:styleId="BodyText">
    <w:name w:val="Body Text"/>
    <w:basedOn w:val="Normal"/>
    <w:link w:val="BodyTextChar"/>
    <w:rsid w:val="0029426B"/>
    <w:rPr>
      <w:rFonts w:ascii="Times New Roman" w:hAnsi="Times New Roman"/>
      <w:szCs w:val="20"/>
    </w:rPr>
  </w:style>
  <w:style w:type="character" w:customStyle="1" w:styleId="BodyTextChar">
    <w:name w:val="Body Text Char"/>
    <w:link w:val="BodyText"/>
    <w:rsid w:val="0029426B"/>
    <w:rPr>
      <w:rFonts w:ascii="Times New Roman" w:eastAsia="Times New Roman" w:hAnsi="Times New Roman" w:cs="Times New Roman"/>
      <w:sz w:val="24"/>
      <w:szCs w:val="20"/>
      <w:lang w:val="en-GB"/>
    </w:rPr>
  </w:style>
  <w:style w:type="paragraph" w:styleId="TOCHeading">
    <w:name w:val="TOC Heading"/>
    <w:basedOn w:val="Heading1"/>
    <w:next w:val="Normal"/>
    <w:uiPriority w:val="39"/>
    <w:unhideWhenUsed/>
    <w:qFormat/>
    <w:rsid w:val="00264ADF"/>
    <w:pPr>
      <w:keepLines/>
      <w:spacing w:before="480" w:after="0"/>
      <w:jc w:val="left"/>
      <w:outlineLvl w:val="9"/>
    </w:pPr>
    <w:rPr>
      <w:rFonts w:ascii="Cambria" w:hAnsi="Cambria"/>
      <w:smallCaps w:val="0"/>
      <w:color w:val="365F91"/>
      <w:lang w:val="en-US" w:eastAsia="ja-JP"/>
    </w:rPr>
  </w:style>
  <w:style w:type="paragraph" w:styleId="TOC1">
    <w:name w:val="toc 1"/>
    <w:basedOn w:val="Normal"/>
    <w:next w:val="Normal"/>
    <w:autoRedefine/>
    <w:uiPriority w:val="39"/>
    <w:unhideWhenUsed/>
    <w:rsid w:val="00264ADF"/>
    <w:pPr>
      <w:spacing w:after="100"/>
    </w:pPr>
  </w:style>
  <w:style w:type="paragraph" w:styleId="TOC2">
    <w:name w:val="toc 2"/>
    <w:basedOn w:val="Normal"/>
    <w:next w:val="Normal"/>
    <w:autoRedefine/>
    <w:uiPriority w:val="39"/>
    <w:unhideWhenUsed/>
    <w:rsid w:val="00264ADF"/>
    <w:pPr>
      <w:spacing w:after="100"/>
      <w:ind w:left="240"/>
    </w:pPr>
  </w:style>
  <w:style w:type="paragraph" w:customStyle="1" w:styleId="LIST--Simple1">
    <w:name w:val="LIST -- Simple 1"/>
    <w:basedOn w:val="Normal"/>
    <w:autoRedefine/>
    <w:rsid w:val="00D878A1"/>
    <w:pPr>
      <w:spacing w:after="0"/>
      <w:ind w:right="-102"/>
    </w:pPr>
    <w:rPr>
      <w:rFonts w:eastAsia="Arial Unicode MS"/>
      <w:snapToGrid w:val="0"/>
      <w:color w:val="000000"/>
    </w:rPr>
  </w:style>
  <w:style w:type="paragraph" w:customStyle="1" w:styleId="NDPtext">
    <w:name w:val="NDP text"/>
    <w:rsid w:val="00D878A1"/>
    <w:pPr>
      <w:jc w:val="both"/>
    </w:pPr>
    <w:rPr>
      <w:rFonts w:ascii="Times New Roman" w:eastAsia="Times New Roman" w:hAnsi="Times New Roman"/>
      <w:noProof/>
      <w:sz w:val="24"/>
      <w:szCs w:val="24"/>
      <w:lang w:val="en-GB" w:eastAsia="en-US"/>
    </w:rPr>
  </w:style>
  <w:style w:type="character" w:styleId="FollowedHyperlink">
    <w:name w:val="FollowedHyperlink"/>
    <w:uiPriority w:val="99"/>
    <w:semiHidden/>
    <w:unhideWhenUsed/>
    <w:rsid w:val="00D221F8"/>
    <w:rPr>
      <w:color w:val="800080"/>
      <w:u w:val="single"/>
    </w:rPr>
  </w:style>
  <w:style w:type="character" w:customStyle="1" w:styleId="shorttext">
    <w:name w:val="short_text"/>
    <w:basedOn w:val="DefaultParagraphFont"/>
    <w:rsid w:val="003132CC"/>
  </w:style>
  <w:style w:type="character" w:customStyle="1" w:styleId="hps">
    <w:name w:val="hps"/>
    <w:basedOn w:val="DefaultParagraphFont"/>
    <w:rsid w:val="003132CC"/>
  </w:style>
  <w:style w:type="paragraph" w:styleId="NormalWeb">
    <w:name w:val="Normal (Web)"/>
    <w:basedOn w:val="Normal"/>
    <w:uiPriority w:val="99"/>
    <w:semiHidden/>
    <w:unhideWhenUsed/>
    <w:rsid w:val="00D41096"/>
    <w:pPr>
      <w:spacing w:before="100" w:beforeAutospacing="1" w:after="100" w:afterAutospacing="1" w:line="240" w:lineRule="auto"/>
      <w:jc w:val="left"/>
    </w:pPr>
    <w:rPr>
      <w:rFonts w:ascii="Times New Roman" w:hAnsi="Times New Roman"/>
      <w:lang w:eastAsia="en-GB"/>
    </w:rPr>
  </w:style>
  <w:style w:type="table" w:styleId="TableGrid">
    <w:name w:val="Table Grid"/>
    <w:basedOn w:val="TableNormal"/>
    <w:uiPriority w:val="59"/>
    <w:rsid w:val="00FA3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54F2A"/>
    <w:rPr>
      <w:i/>
      <w:iCs/>
    </w:rPr>
  </w:style>
  <w:style w:type="paragraph" w:styleId="NoSpacing">
    <w:name w:val="No Spacing"/>
    <w:uiPriority w:val="1"/>
    <w:qFormat/>
    <w:rsid w:val="00557165"/>
    <w:pPr>
      <w:jc w:val="both"/>
    </w:pPr>
    <w:rPr>
      <w:rFonts w:ascii="Verdana" w:eastAsia="Times New Roman" w:hAnsi="Verdana"/>
      <w:sz w:val="24"/>
      <w:szCs w:val="24"/>
      <w:lang w:val="en-GB" w:eastAsia="en-US"/>
    </w:rPr>
  </w:style>
  <w:style w:type="paragraph" w:styleId="Revision">
    <w:name w:val="Revision"/>
    <w:hidden/>
    <w:uiPriority w:val="99"/>
    <w:semiHidden/>
    <w:rsid w:val="009F6CF8"/>
    <w:rPr>
      <w:rFonts w:ascii="Verdana" w:eastAsia="Times New Roman" w:hAnsi="Verdana"/>
      <w:sz w:val="24"/>
      <w:szCs w:val="24"/>
      <w:lang w:val="en-GB" w:eastAsia="en-US"/>
    </w:rPr>
  </w:style>
  <w:style w:type="paragraph" w:styleId="DocumentMap">
    <w:name w:val="Document Map"/>
    <w:basedOn w:val="Normal"/>
    <w:link w:val="DocumentMapChar"/>
    <w:uiPriority w:val="99"/>
    <w:semiHidden/>
    <w:unhideWhenUsed/>
    <w:rsid w:val="00DA5D6E"/>
    <w:pPr>
      <w:spacing w:after="0" w:line="240" w:lineRule="auto"/>
    </w:pPr>
    <w:rPr>
      <w:rFonts w:ascii="Lucida Grande" w:hAnsi="Lucida Grande"/>
      <w:sz w:val="20"/>
      <w:szCs w:val="20"/>
    </w:rPr>
  </w:style>
  <w:style w:type="character" w:customStyle="1" w:styleId="DocumentMapChar">
    <w:name w:val="Document Map Char"/>
    <w:link w:val="DocumentMap"/>
    <w:uiPriority w:val="99"/>
    <w:semiHidden/>
    <w:rsid w:val="00DA5D6E"/>
    <w:rPr>
      <w:rFonts w:ascii="Lucida Grande" w:eastAsia="Times New Roman" w:hAnsi="Lucida Grande"/>
      <w:lang w:val="en-GB"/>
    </w:rPr>
  </w:style>
  <w:style w:type="character" w:customStyle="1" w:styleId="Heading414">
    <w:name w:val="Heading #414"/>
    <w:rsid w:val="000B2E90"/>
    <w:rPr>
      <w:rFonts w:ascii="Arial Narrow" w:eastAsia="Arial Narrow" w:hAnsi="Arial Narrow" w:cs="Arial Narrow"/>
      <w:b w:val="0"/>
      <w:bCs w:val="0"/>
      <w:i w:val="0"/>
      <w:iCs w:val="0"/>
      <w:smallCaps w:val="0"/>
      <w:strike w:val="0"/>
      <w:spacing w:val="0"/>
      <w:sz w:val="22"/>
      <w:szCs w:val="22"/>
    </w:rPr>
  </w:style>
  <w:style w:type="character" w:customStyle="1" w:styleId="Bodytext5">
    <w:name w:val="Body text (5)_"/>
    <w:link w:val="Bodytext50"/>
    <w:rsid w:val="000B2E90"/>
    <w:rPr>
      <w:rFonts w:ascii="Arial Narrow" w:eastAsia="Arial Narrow" w:hAnsi="Arial Narrow" w:cs="Arial Narrow"/>
      <w:sz w:val="19"/>
      <w:szCs w:val="19"/>
      <w:shd w:val="clear" w:color="auto" w:fill="FFFFFF"/>
    </w:rPr>
  </w:style>
  <w:style w:type="paragraph" w:customStyle="1" w:styleId="Bodytext50">
    <w:name w:val="Body text (5)"/>
    <w:basedOn w:val="Normal"/>
    <w:link w:val="Bodytext5"/>
    <w:rsid w:val="000B2E90"/>
    <w:pPr>
      <w:shd w:val="clear" w:color="auto" w:fill="FFFFFF"/>
      <w:spacing w:after="0" w:line="0" w:lineRule="atLeast"/>
      <w:ind w:hanging="280"/>
      <w:jc w:val="left"/>
    </w:pPr>
    <w:rPr>
      <w:rFonts w:ascii="Arial Narrow" w:eastAsia="Arial Narrow" w:hAnsi="Arial Narrow" w:cs="Arial Narrow"/>
      <w:sz w:val="19"/>
      <w:szCs w:val="19"/>
      <w:lang w:val="lv-LV" w:eastAsia="lv-LV"/>
    </w:rPr>
  </w:style>
  <w:style w:type="character" w:customStyle="1" w:styleId="Bodytext8pt4">
    <w:name w:val="Body text + 8 pt4"/>
    <w:rsid w:val="0095520A"/>
    <w:rPr>
      <w:rFonts w:ascii="Arial Narrow" w:eastAsia="Arial Narrow" w:hAnsi="Arial Narrow" w:cs="Arial Narrow"/>
      <w:b w:val="0"/>
      <w:bCs w:val="0"/>
      <w:i w:val="0"/>
      <w:iCs w:val="0"/>
      <w:smallCaps w:val="0"/>
      <w:strike w:val="0"/>
      <w:spacing w:val="0"/>
      <w:sz w:val="16"/>
      <w:szCs w:val="16"/>
      <w:shd w:val="clear" w:color="auto" w:fill="FFFFFF"/>
    </w:rPr>
  </w:style>
  <w:style w:type="character" w:customStyle="1" w:styleId="italic">
    <w:name w:val="italic"/>
    <w:basedOn w:val="DefaultParagraphFont"/>
    <w:rsid w:val="00575D23"/>
  </w:style>
  <w:style w:type="character" w:customStyle="1" w:styleId="Heading311">
    <w:name w:val="Heading #311"/>
    <w:rsid w:val="00575D23"/>
    <w:rPr>
      <w:rFonts w:ascii="Tahoma" w:eastAsia="Tahoma" w:hAnsi="Tahoma" w:cs="Tahoma"/>
      <w:b w:val="0"/>
      <w:bCs w:val="0"/>
      <w:i w:val="0"/>
      <w:iCs w:val="0"/>
      <w:smallCaps w:val="0"/>
      <w:strike w:val="0"/>
      <w:spacing w:val="0"/>
      <w:sz w:val="27"/>
      <w:szCs w:val="27"/>
    </w:rPr>
  </w:style>
  <w:style w:type="character" w:customStyle="1" w:styleId="bold">
    <w:name w:val="bold"/>
    <w:basedOn w:val="DefaultParagraphFont"/>
    <w:rsid w:val="00FB604D"/>
  </w:style>
  <w:style w:type="character" w:customStyle="1" w:styleId="st1">
    <w:name w:val="st1"/>
    <w:basedOn w:val="DefaultParagraphFont"/>
    <w:rsid w:val="00D5469F"/>
  </w:style>
</w:styles>
</file>

<file path=word/webSettings.xml><?xml version="1.0" encoding="utf-8"?>
<w:webSettings xmlns:r="http://schemas.openxmlformats.org/officeDocument/2006/relationships" xmlns:w="http://schemas.openxmlformats.org/wordprocessingml/2006/main">
  <w:divs>
    <w:div w:id="66922564">
      <w:bodyDiv w:val="1"/>
      <w:marLeft w:val="0"/>
      <w:marRight w:val="0"/>
      <w:marTop w:val="0"/>
      <w:marBottom w:val="0"/>
      <w:divBdr>
        <w:top w:val="none" w:sz="0" w:space="0" w:color="auto"/>
        <w:left w:val="none" w:sz="0" w:space="0" w:color="auto"/>
        <w:bottom w:val="none" w:sz="0" w:space="0" w:color="auto"/>
        <w:right w:val="none" w:sz="0" w:space="0" w:color="auto"/>
      </w:divBdr>
    </w:div>
    <w:div w:id="132913464">
      <w:bodyDiv w:val="1"/>
      <w:marLeft w:val="0"/>
      <w:marRight w:val="0"/>
      <w:marTop w:val="0"/>
      <w:marBottom w:val="0"/>
      <w:divBdr>
        <w:top w:val="none" w:sz="0" w:space="0" w:color="auto"/>
        <w:left w:val="none" w:sz="0" w:space="0" w:color="auto"/>
        <w:bottom w:val="none" w:sz="0" w:space="0" w:color="auto"/>
        <w:right w:val="none" w:sz="0" w:space="0" w:color="auto"/>
      </w:divBdr>
    </w:div>
    <w:div w:id="216943394">
      <w:bodyDiv w:val="1"/>
      <w:marLeft w:val="0"/>
      <w:marRight w:val="0"/>
      <w:marTop w:val="0"/>
      <w:marBottom w:val="0"/>
      <w:divBdr>
        <w:top w:val="none" w:sz="0" w:space="0" w:color="auto"/>
        <w:left w:val="none" w:sz="0" w:space="0" w:color="auto"/>
        <w:bottom w:val="none" w:sz="0" w:space="0" w:color="auto"/>
        <w:right w:val="none" w:sz="0" w:space="0" w:color="auto"/>
      </w:divBdr>
    </w:div>
    <w:div w:id="413358677">
      <w:bodyDiv w:val="1"/>
      <w:marLeft w:val="0"/>
      <w:marRight w:val="0"/>
      <w:marTop w:val="0"/>
      <w:marBottom w:val="0"/>
      <w:divBdr>
        <w:top w:val="none" w:sz="0" w:space="0" w:color="auto"/>
        <w:left w:val="none" w:sz="0" w:space="0" w:color="auto"/>
        <w:bottom w:val="none" w:sz="0" w:space="0" w:color="auto"/>
        <w:right w:val="none" w:sz="0" w:space="0" w:color="auto"/>
      </w:divBdr>
      <w:divsChild>
        <w:div w:id="1212765457">
          <w:marLeft w:val="0"/>
          <w:marRight w:val="0"/>
          <w:marTop w:val="0"/>
          <w:marBottom w:val="0"/>
          <w:divBdr>
            <w:top w:val="none" w:sz="0" w:space="0" w:color="auto"/>
            <w:left w:val="none" w:sz="0" w:space="0" w:color="auto"/>
            <w:bottom w:val="none" w:sz="0" w:space="0" w:color="auto"/>
            <w:right w:val="none" w:sz="0" w:space="0" w:color="auto"/>
          </w:divBdr>
        </w:div>
        <w:div w:id="2100560414">
          <w:marLeft w:val="0"/>
          <w:marRight w:val="0"/>
          <w:marTop w:val="0"/>
          <w:marBottom w:val="0"/>
          <w:divBdr>
            <w:top w:val="none" w:sz="0" w:space="0" w:color="auto"/>
            <w:left w:val="none" w:sz="0" w:space="0" w:color="auto"/>
            <w:bottom w:val="none" w:sz="0" w:space="0" w:color="auto"/>
            <w:right w:val="none" w:sz="0" w:space="0" w:color="auto"/>
          </w:divBdr>
        </w:div>
      </w:divsChild>
    </w:div>
    <w:div w:id="533349219">
      <w:bodyDiv w:val="1"/>
      <w:marLeft w:val="0"/>
      <w:marRight w:val="0"/>
      <w:marTop w:val="0"/>
      <w:marBottom w:val="0"/>
      <w:divBdr>
        <w:top w:val="none" w:sz="0" w:space="0" w:color="auto"/>
        <w:left w:val="none" w:sz="0" w:space="0" w:color="auto"/>
        <w:bottom w:val="none" w:sz="0" w:space="0" w:color="auto"/>
        <w:right w:val="none" w:sz="0" w:space="0" w:color="auto"/>
      </w:divBdr>
    </w:div>
    <w:div w:id="736441384">
      <w:bodyDiv w:val="1"/>
      <w:marLeft w:val="0"/>
      <w:marRight w:val="0"/>
      <w:marTop w:val="0"/>
      <w:marBottom w:val="0"/>
      <w:divBdr>
        <w:top w:val="none" w:sz="0" w:space="0" w:color="auto"/>
        <w:left w:val="none" w:sz="0" w:space="0" w:color="auto"/>
        <w:bottom w:val="none" w:sz="0" w:space="0" w:color="auto"/>
        <w:right w:val="none" w:sz="0" w:space="0" w:color="auto"/>
      </w:divBdr>
      <w:divsChild>
        <w:div w:id="83454052">
          <w:marLeft w:val="0"/>
          <w:marRight w:val="0"/>
          <w:marTop w:val="0"/>
          <w:marBottom w:val="0"/>
          <w:divBdr>
            <w:top w:val="none" w:sz="0" w:space="0" w:color="auto"/>
            <w:left w:val="none" w:sz="0" w:space="0" w:color="auto"/>
            <w:bottom w:val="none" w:sz="0" w:space="0" w:color="auto"/>
            <w:right w:val="none" w:sz="0" w:space="0" w:color="auto"/>
          </w:divBdr>
        </w:div>
        <w:div w:id="278345193">
          <w:marLeft w:val="0"/>
          <w:marRight w:val="0"/>
          <w:marTop w:val="0"/>
          <w:marBottom w:val="0"/>
          <w:divBdr>
            <w:top w:val="none" w:sz="0" w:space="0" w:color="auto"/>
            <w:left w:val="none" w:sz="0" w:space="0" w:color="auto"/>
            <w:bottom w:val="none" w:sz="0" w:space="0" w:color="auto"/>
            <w:right w:val="none" w:sz="0" w:space="0" w:color="auto"/>
          </w:divBdr>
        </w:div>
        <w:div w:id="420024996">
          <w:marLeft w:val="0"/>
          <w:marRight w:val="0"/>
          <w:marTop w:val="0"/>
          <w:marBottom w:val="0"/>
          <w:divBdr>
            <w:top w:val="none" w:sz="0" w:space="0" w:color="auto"/>
            <w:left w:val="none" w:sz="0" w:space="0" w:color="auto"/>
            <w:bottom w:val="none" w:sz="0" w:space="0" w:color="auto"/>
            <w:right w:val="none" w:sz="0" w:space="0" w:color="auto"/>
          </w:divBdr>
        </w:div>
        <w:div w:id="573702773">
          <w:marLeft w:val="0"/>
          <w:marRight w:val="0"/>
          <w:marTop w:val="0"/>
          <w:marBottom w:val="0"/>
          <w:divBdr>
            <w:top w:val="none" w:sz="0" w:space="0" w:color="auto"/>
            <w:left w:val="none" w:sz="0" w:space="0" w:color="auto"/>
            <w:bottom w:val="none" w:sz="0" w:space="0" w:color="auto"/>
            <w:right w:val="none" w:sz="0" w:space="0" w:color="auto"/>
          </w:divBdr>
        </w:div>
        <w:div w:id="608779261">
          <w:marLeft w:val="0"/>
          <w:marRight w:val="0"/>
          <w:marTop w:val="0"/>
          <w:marBottom w:val="0"/>
          <w:divBdr>
            <w:top w:val="none" w:sz="0" w:space="0" w:color="auto"/>
            <w:left w:val="none" w:sz="0" w:space="0" w:color="auto"/>
            <w:bottom w:val="none" w:sz="0" w:space="0" w:color="auto"/>
            <w:right w:val="none" w:sz="0" w:space="0" w:color="auto"/>
          </w:divBdr>
        </w:div>
        <w:div w:id="1116875927">
          <w:marLeft w:val="0"/>
          <w:marRight w:val="0"/>
          <w:marTop w:val="0"/>
          <w:marBottom w:val="0"/>
          <w:divBdr>
            <w:top w:val="none" w:sz="0" w:space="0" w:color="auto"/>
            <w:left w:val="none" w:sz="0" w:space="0" w:color="auto"/>
            <w:bottom w:val="none" w:sz="0" w:space="0" w:color="auto"/>
            <w:right w:val="none" w:sz="0" w:space="0" w:color="auto"/>
          </w:divBdr>
        </w:div>
        <w:div w:id="1133252112">
          <w:marLeft w:val="0"/>
          <w:marRight w:val="0"/>
          <w:marTop w:val="0"/>
          <w:marBottom w:val="0"/>
          <w:divBdr>
            <w:top w:val="none" w:sz="0" w:space="0" w:color="auto"/>
            <w:left w:val="none" w:sz="0" w:space="0" w:color="auto"/>
            <w:bottom w:val="none" w:sz="0" w:space="0" w:color="auto"/>
            <w:right w:val="none" w:sz="0" w:space="0" w:color="auto"/>
          </w:divBdr>
        </w:div>
        <w:div w:id="1532962044">
          <w:marLeft w:val="0"/>
          <w:marRight w:val="0"/>
          <w:marTop w:val="0"/>
          <w:marBottom w:val="0"/>
          <w:divBdr>
            <w:top w:val="none" w:sz="0" w:space="0" w:color="auto"/>
            <w:left w:val="none" w:sz="0" w:space="0" w:color="auto"/>
            <w:bottom w:val="none" w:sz="0" w:space="0" w:color="auto"/>
            <w:right w:val="none" w:sz="0" w:space="0" w:color="auto"/>
          </w:divBdr>
        </w:div>
        <w:div w:id="1682928855">
          <w:marLeft w:val="0"/>
          <w:marRight w:val="0"/>
          <w:marTop w:val="0"/>
          <w:marBottom w:val="0"/>
          <w:divBdr>
            <w:top w:val="none" w:sz="0" w:space="0" w:color="auto"/>
            <w:left w:val="none" w:sz="0" w:space="0" w:color="auto"/>
            <w:bottom w:val="none" w:sz="0" w:space="0" w:color="auto"/>
            <w:right w:val="none" w:sz="0" w:space="0" w:color="auto"/>
          </w:divBdr>
        </w:div>
        <w:div w:id="1929540357">
          <w:marLeft w:val="0"/>
          <w:marRight w:val="0"/>
          <w:marTop w:val="0"/>
          <w:marBottom w:val="0"/>
          <w:divBdr>
            <w:top w:val="none" w:sz="0" w:space="0" w:color="auto"/>
            <w:left w:val="none" w:sz="0" w:space="0" w:color="auto"/>
            <w:bottom w:val="none" w:sz="0" w:space="0" w:color="auto"/>
            <w:right w:val="none" w:sz="0" w:space="0" w:color="auto"/>
          </w:divBdr>
        </w:div>
      </w:divsChild>
    </w:div>
    <w:div w:id="818229115">
      <w:bodyDiv w:val="1"/>
      <w:marLeft w:val="0"/>
      <w:marRight w:val="0"/>
      <w:marTop w:val="0"/>
      <w:marBottom w:val="0"/>
      <w:divBdr>
        <w:top w:val="none" w:sz="0" w:space="0" w:color="auto"/>
        <w:left w:val="none" w:sz="0" w:space="0" w:color="auto"/>
        <w:bottom w:val="none" w:sz="0" w:space="0" w:color="auto"/>
        <w:right w:val="none" w:sz="0" w:space="0" w:color="auto"/>
      </w:divBdr>
      <w:divsChild>
        <w:div w:id="336663391">
          <w:marLeft w:val="0"/>
          <w:marRight w:val="0"/>
          <w:marTop w:val="0"/>
          <w:marBottom w:val="0"/>
          <w:divBdr>
            <w:top w:val="none" w:sz="0" w:space="0" w:color="auto"/>
            <w:left w:val="none" w:sz="0" w:space="0" w:color="auto"/>
            <w:bottom w:val="none" w:sz="0" w:space="0" w:color="auto"/>
            <w:right w:val="none" w:sz="0" w:space="0" w:color="auto"/>
          </w:divBdr>
          <w:divsChild>
            <w:div w:id="977146688">
              <w:marLeft w:val="0"/>
              <w:marRight w:val="0"/>
              <w:marTop w:val="0"/>
              <w:marBottom w:val="0"/>
              <w:divBdr>
                <w:top w:val="none" w:sz="0" w:space="0" w:color="auto"/>
                <w:left w:val="none" w:sz="0" w:space="0" w:color="auto"/>
                <w:bottom w:val="none" w:sz="0" w:space="0" w:color="auto"/>
                <w:right w:val="none" w:sz="0" w:space="0" w:color="auto"/>
              </w:divBdr>
              <w:divsChild>
                <w:div w:id="1981810820">
                  <w:marLeft w:val="0"/>
                  <w:marRight w:val="0"/>
                  <w:marTop w:val="0"/>
                  <w:marBottom w:val="0"/>
                  <w:divBdr>
                    <w:top w:val="none" w:sz="0" w:space="0" w:color="auto"/>
                    <w:left w:val="none" w:sz="0" w:space="0" w:color="auto"/>
                    <w:bottom w:val="none" w:sz="0" w:space="0" w:color="auto"/>
                    <w:right w:val="none" w:sz="0" w:space="0" w:color="auto"/>
                  </w:divBdr>
                  <w:divsChild>
                    <w:div w:id="13059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96786">
      <w:bodyDiv w:val="1"/>
      <w:marLeft w:val="0"/>
      <w:marRight w:val="0"/>
      <w:marTop w:val="0"/>
      <w:marBottom w:val="0"/>
      <w:divBdr>
        <w:top w:val="none" w:sz="0" w:space="0" w:color="auto"/>
        <w:left w:val="none" w:sz="0" w:space="0" w:color="auto"/>
        <w:bottom w:val="none" w:sz="0" w:space="0" w:color="auto"/>
        <w:right w:val="none" w:sz="0" w:space="0" w:color="auto"/>
      </w:divBdr>
    </w:div>
    <w:div w:id="1118569079">
      <w:bodyDiv w:val="1"/>
      <w:marLeft w:val="0"/>
      <w:marRight w:val="0"/>
      <w:marTop w:val="0"/>
      <w:marBottom w:val="0"/>
      <w:divBdr>
        <w:top w:val="none" w:sz="0" w:space="0" w:color="auto"/>
        <w:left w:val="none" w:sz="0" w:space="0" w:color="auto"/>
        <w:bottom w:val="none" w:sz="0" w:space="0" w:color="auto"/>
        <w:right w:val="none" w:sz="0" w:space="0" w:color="auto"/>
      </w:divBdr>
      <w:divsChild>
        <w:div w:id="886649147">
          <w:marLeft w:val="0"/>
          <w:marRight w:val="0"/>
          <w:marTop w:val="0"/>
          <w:marBottom w:val="0"/>
          <w:divBdr>
            <w:top w:val="none" w:sz="0" w:space="0" w:color="auto"/>
            <w:left w:val="none" w:sz="0" w:space="0" w:color="auto"/>
            <w:bottom w:val="none" w:sz="0" w:space="0" w:color="auto"/>
            <w:right w:val="none" w:sz="0" w:space="0" w:color="auto"/>
          </w:divBdr>
        </w:div>
        <w:div w:id="923876898">
          <w:marLeft w:val="0"/>
          <w:marRight w:val="0"/>
          <w:marTop w:val="0"/>
          <w:marBottom w:val="0"/>
          <w:divBdr>
            <w:top w:val="none" w:sz="0" w:space="0" w:color="auto"/>
            <w:left w:val="none" w:sz="0" w:space="0" w:color="auto"/>
            <w:bottom w:val="none" w:sz="0" w:space="0" w:color="auto"/>
            <w:right w:val="none" w:sz="0" w:space="0" w:color="auto"/>
          </w:divBdr>
        </w:div>
        <w:div w:id="1435052200">
          <w:marLeft w:val="0"/>
          <w:marRight w:val="0"/>
          <w:marTop w:val="0"/>
          <w:marBottom w:val="0"/>
          <w:divBdr>
            <w:top w:val="none" w:sz="0" w:space="0" w:color="auto"/>
            <w:left w:val="none" w:sz="0" w:space="0" w:color="auto"/>
            <w:bottom w:val="none" w:sz="0" w:space="0" w:color="auto"/>
            <w:right w:val="none" w:sz="0" w:space="0" w:color="auto"/>
          </w:divBdr>
        </w:div>
      </w:divsChild>
    </w:div>
    <w:div w:id="1450591790">
      <w:bodyDiv w:val="1"/>
      <w:marLeft w:val="0"/>
      <w:marRight w:val="0"/>
      <w:marTop w:val="0"/>
      <w:marBottom w:val="0"/>
      <w:divBdr>
        <w:top w:val="none" w:sz="0" w:space="0" w:color="auto"/>
        <w:left w:val="none" w:sz="0" w:space="0" w:color="auto"/>
        <w:bottom w:val="none" w:sz="0" w:space="0" w:color="auto"/>
        <w:right w:val="none" w:sz="0" w:space="0" w:color="auto"/>
      </w:divBdr>
    </w:div>
    <w:div w:id="1670911136">
      <w:bodyDiv w:val="1"/>
      <w:marLeft w:val="0"/>
      <w:marRight w:val="0"/>
      <w:marTop w:val="0"/>
      <w:marBottom w:val="0"/>
      <w:divBdr>
        <w:top w:val="none" w:sz="0" w:space="0" w:color="auto"/>
        <w:left w:val="none" w:sz="0" w:space="0" w:color="auto"/>
        <w:bottom w:val="none" w:sz="0" w:space="0" w:color="auto"/>
        <w:right w:val="none" w:sz="0" w:space="0" w:color="auto"/>
      </w:divBdr>
      <w:divsChild>
        <w:div w:id="342437525">
          <w:marLeft w:val="0"/>
          <w:marRight w:val="0"/>
          <w:marTop w:val="0"/>
          <w:marBottom w:val="0"/>
          <w:divBdr>
            <w:top w:val="none" w:sz="0" w:space="0" w:color="auto"/>
            <w:left w:val="none" w:sz="0" w:space="0" w:color="auto"/>
            <w:bottom w:val="none" w:sz="0" w:space="0" w:color="auto"/>
            <w:right w:val="none" w:sz="0" w:space="0" w:color="auto"/>
          </w:divBdr>
        </w:div>
        <w:div w:id="570431292">
          <w:marLeft w:val="0"/>
          <w:marRight w:val="0"/>
          <w:marTop w:val="0"/>
          <w:marBottom w:val="0"/>
          <w:divBdr>
            <w:top w:val="none" w:sz="0" w:space="0" w:color="auto"/>
            <w:left w:val="none" w:sz="0" w:space="0" w:color="auto"/>
            <w:bottom w:val="none" w:sz="0" w:space="0" w:color="auto"/>
            <w:right w:val="none" w:sz="0" w:space="0" w:color="auto"/>
          </w:divBdr>
        </w:div>
        <w:div w:id="1885678200">
          <w:marLeft w:val="0"/>
          <w:marRight w:val="0"/>
          <w:marTop w:val="0"/>
          <w:marBottom w:val="0"/>
          <w:divBdr>
            <w:top w:val="none" w:sz="0" w:space="0" w:color="auto"/>
            <w:left w:val="none" w:sz="0" w:space="0" w:color="auto"/>
            <w:bottom w:val="none" w:sz="0" w:space="0" w:color="auto"/>
            <w:right w:val="none" w:sz="0" w:space="0" w:color="auto"/>
          </w:divBdr>
        </w:div>
      </w:divsChild>
    </w:div>
    <w:div w:id="1709142915">
      <w:bodyDiv w:val="1"/>
      <w:marLeft w:val="0"/>
      <w:marRight w:val="0"/>
      <w:marTop w:val="0"/>
      <w:marBottom w:val="0"/>
      <w:divBdr>
        <w:top w:val="none" w:sz="0" w:space="0" w:color="auto"/>
        <w:left w:val="none" w:sz="0" w:space="0" w:color="auto"/>
        <w:bottom w:val="none" w:sz="0" w:space="0" w:color="auto"/>
        <w:right w:val="none" w:sz="0" w:space="0" w:color="auto"/>
      </w:divBdr>
    </w:div>
    <w:div w:id="1895772485">
      <w:bodyDiv w:val="1"/>
      <w:marLeft w:val="0"/>
      <w:marRight w:val="0"/>
      <w:marTop w:val="0"/>
      <w:marBottom w:val="0"/>
      <w:divBdr>
        <w:top w:val="none" w:sz="0" w:space="0" w:color="auto"/>
        <w:left w:val="none" w:sz="0" w:space="0" w:color="auto"/>
        <w:bottom w:val="none" w:sz="0" w:space="0" w:color="auto"/>
        <w:right w:val="none" w:sz="0" w:space="0" w:color="auto"/>
      </w:divBdr>
      <w:divsChild>
        <w:div w:id="507446876">
          <w:marLeft w:val="0"/>
          <w:marRight w:val="0"/>
          <w:marTop w:val="0"/>
          <w:marBottom w:val="0"/>
          <w:divBdr>
            <w:top w:val="none" w:sz="0" w:space="0" w:color="auto"/>
            <w:left w:val="none" w:sz="0" w:space="0" w:color="auto"/>
            <w:bottom w:val="none" w:sz="0" w:space="0" w:color="auto"/>
            <w:right w:val="none" w:sz="0" w:space="0" w:color="auto"/>
          </w:divBdr>
          <w:divsChild>
            <w:div w:id="38936672">
              <w:marLeft w:val="0"/>
              <w:marRight w:val="0"/>
              <w:marTop w:val="0"/>
              <w:marBottom w:val="0"/>
              <w:divBdr>
                <w:top w:val="none" w:sz="0" w:space="0" w:color="auto"/>
                <w:left w:val="none" w:sz="0" w:space="0" w:color="auto"/>
                <w:bottom w:val="none" w:sz="0" w:space="0" w:color="auto"/>
                <w:right w:val="none" w:sz="0" w:space="0" w:color="auto"/>
              </w:divBdr>
              <w:divsChild>
                <w:div w:id="1325864224">
                  <w:marLeft w:val="0"/>
                  <w:marRight w:val="0"/>
                  <w:marTop w:val="0"/>
                  <w:marBottom w:val="0"/>
                  <w:divBdr>
                    <w:top w:val="none" w:sz="0" w:space="0" w:color="auto"/>
                    <w:left w:val="none" w:sz="0" w:space="0" w:color="auto"/>
                    <w:bottom w:val="none" w:sz="0" w:space="0" w:color="auto"/>
                    <w:right w:val="none" w:sz="0" w:space="0" w:color="auto"/>
                  </w:divBdr>
                  <w:divsChild>
                    <w:div w:id="17611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19919">
      <w:bodyDiv w:val="1"/>
      <w:marLeft w:val="0"/>
      <w:marRight w:val="0"/>
      <w:marTop w:val="0"/>
      <w:marBottom w:val="0"/>
      <w:divBdr>
        <w:top w:val="none" w:sz="0" w:space="0" w:color="auto"/>
        <w:left w:val="none" w:sz="0" w:space="0" w:color="auto"/>
        <w:bottom w:val="none" w:sz="0" w:space="0" w:color="auto"/>
        <w:right w:val="none" w:sz="0" w:space="0" w:color="auto"/>
      </w:divBdr>
    </w:div>
    <w:div w:id="2079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csb.gov.lv;http:/www.stat.gov.lt/" TargetMode="External"/><Relationship Id="rId39" Type="http://schemas.openxmlformats.org/officeDocument/2006/relationships/hyperlink" Target="http://www.stat.gov.lt/en/" TargetMode="External"/><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hyperlink" Target="http://osp.stat.gov.lt/en/rodikliai48" TargetMode="External"/><Relationship Id="rId42" Type="http://schemas.openxmlformats.org/officeDocument/2006/relationships/hyperlink" Target="http://epp.eurostat.ec.europa.eu/portal/page/portal/income_social_inclusion_living_conditions/data/database" TargetMode="External"/><Relationship Id="rId47"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appsso.eurostat.ec.europa.eu/nui/show.do?dataset=nama_r_e3gdp&amp;lang=en" TargetMode="External"/><Relationship Id="rId33" Type="http://schemas.openxmlformats.org/officeDocument/2006/relationships/hyperlink" Target="http://data.csb.gov.lv/Selection.aspx?px_path=transp__Ikgad%C4%93jie%20statistikas%20dati__T%C5%ABrisms&amp;px_tableid=TU0091.px&amp;px_language=lv&amp;px_db=transp&amp;rxid=09cbdccf-2334-4466-bdf7-0051bad1decd" TargetMode="External"/><Relationship Id="rId38" Type="http://schemas.openxmlformats.org/officeDocument/2006/relationships/hyperlink" Target="http://helcom.fi/Documents/Ministerial2013/Associated%20documents/Supporting/PLC-5.5%20Extended%20Summary%20for%20MM2013.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yperlink" Target="http://ec.europa.eu/enterprise/policies/sme/facts-figures-analysis/performance-review/files/countriessheets/2013/lithuania_en.pdf" TargetMode="External"/><Relationship Id="rId41" Type="http://schemas.openxmlformats.org/officeDocument/2006/relationships/hyperlink" Target="http://osp.stat.gov.lt/en/rodikliai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epp.eurostat.ec.europa.eu/statistics_explained/index.php?title=File:One-to-fiveyear_survival_rates_of_enterprises,_2010,_business_economy,_%28%25%29.png&amp;filetimestamp=20130604082504" TargetMode="External"/><Relationship Id="rId37" Type="http://schemas.openxmlformats.org/officeDocument/2006/relationships/hyperlink" Target="http://ec.europa.eu/public_opinion/flash/fl_290_en.pdf" TargetMode="External"/><Relationship Id="rId40" Type="http://schemas.openxmlformats.org/officeDocument/2006/relationships/hyperlink" Target="http://www.csb.gov.lv/statistikas-temas/monetara-nabadziba-un-ienakumu-nevienlidziba-datubaze-30062.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hyperlink" Target="http://epp.eurostat.ec.europa.eu/statistics_explained/index.php/Youth_unemployment" TargetMode="External"/><Relationship Id="rId36" Type="http://schemas.openxmlformats.org/officeDocument/2006/relationships/hyperlink" Target="http://osp.stat.gov.lt/en/rodikliai42"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www.lursoft.lv/lursoft-statistika/Statistikas-dati-Latvijas-regionu-griezuma&amp;id=511" TargetMode="External"/><Relationship Id="rId44" Type="http://schemas.openxmlformats.org/officeDocument/2006/relationships/hyperlink" Target="http://appsso.eurostat.ec.europa.eu/nui/show.do?dataset=ilc_mdes04&am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hyperlink" Target="http://epp.eurostat.ec.europa.eu/tgm/table.do?tab=table&amp;init=1&amp;language=en&amp;pcode=tsdsc330&amp;plugin=0" TargetMode="External"/><Relationship Id="rId30" Type="http://schemas.openxmlformats.org/officeDocument/2006/relationships/hyperlink" Target="http://ec.europa.eu/enterprise/policies/sme/facts-figures-analysis/performance-review/files/countriessheets/2013/latvia_en.pdf" TargetMode="External"/><Relationship Id="rId35" Type="http://schemas.openxmlformats.org/officeDocument/2006/relationships/hyperlink" Target="http://www.csb.gov.lv/statistikas-temas/iekszemes-kopprodukts-datubaze-30011.html" TargetMode="External"/><Relationship Id="rId43" Type="http://schemas.openxmlformats.org/officeDocument/2006/relationships/hyperlink" Target="http://epp.eurostat.ec.europa.eu/statistics_explained/index.php/Glossary:Severe_material_deprivation_ra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3C13-3F97-4A1C-881D-94DCEB15BA54}">
  <ds:schemaRefs>
    <ds:schemaRef ds:uri="http://schemas.openxmlformats.org/officeDocument/2006/bibliography"/>
  </ds:schemaRefs>
</ds:datastoreItem>
</file>

<file path=customXml/itemProps2.xml><?xml version="1.0" encoding="utf-8"?>
<ds:datastoreItem xmlns:ds="http://schemas.openxmlformats.org/officeDocument/2006/customXml" ds:itemID="{9647CB22-41F4-4A9C-9A82-5D36A2C6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90110</Words>
  <Characters>51364</Characters>
  <Application>Microsoft Office Word</Application>
  <DocSecurity>0</DocSecurity>
  <Lines>428</Lines>
  <Paragraphs>282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141192</CharactersWithSpaces>
  <SharedDoc>false</SharedDoc>
  <HLinks>
    <vt:vector size="288" baseType="variant">
      <vt:variant>
        <vt:i4>5308526</vt:i4>
      </vt:variant>
      <vt:variant>
        <vt:i4>228</vt:i4>
      </vt:variant>
      <vt:variant>
        <vt:i4>0</vt:i4>
      </vt:variant>
      <vt:variant>
        <vt:i4>5</vt:i4>
      </vt:variant>
      <vt:variant>
        <vt:lpwstr>http://appsso.eurostat.ec.europa.eu/nui/show.do?dataset=ilc_mdes04&amp;</vt:lpwstr>
      </vt:variant>
      <vt:variant>
        <vt:lpwstr/>
      </vt:variant>
      <vt:variant>
        <vt:i4>2031634</vt:i4>
      </vt:variant>
      <vt:variant>
        <vt:i4>225</vt:i4>
      </vt:variant>
      <vt:variant>
        <vt:i4>0</vt:i4>
      </vt:variant>
      <vt:variant>
        <vt:i4>5</vt:i4>
      </vt:variant>
      <vt:variant>
        <vt:lpwstr>http://epp.eurostat.ec.europa.eu/statistics_explained/index.php/Glossary:Severe_material_deprivation_rate</vt:lpwstr>
      </vt:variant>
      <vt:variant>
        <vt:lpwstr/>
      </vt:variant>
      <vt:variant>
        <vt:i4>7274547</vt:i4>
      </vt:variant>
      <vt:variant>
        <vt:i4>222</vt:i4>
      </vt:variant>
      <vt:variant>
        <vt:i4>0</vt:i4>
      </vt:variant>
      <vt:variant>
        <vt:i4>5</vt:i4>
      </vt:variant>
      <vt:variant>
        <vt:lpwstr>http://epp.eurostat.ec.europa.eu/portal/page/portal/income_social_inclusion_living_conditions/data/database</vt:lpwstr>
      </vt:variant>
      <vt:variant>
        <vt:lpwstr/>
      </vt:variant>
      <vt:variant>
        <vt:i4>5046293</vt:i4>
      </vt:variant>
      <vt:variant>
        <vt:i4>219</vt:i4>
      </vt:variant>
      <vt:variant>
        <vt:i4>0</vt:i4>
      </vt:variant>
      <vt:variant>
        <vt:i4>5</vt:i4>
      </vt:variant>
      <vt:variant>
        <vt:lpwstr>http://osp.stat.gov.lt/en/rodikliai18</vt:lpwstr>
      </vt:variant>
      <vt:variant>
        <vt:lpwstr/>
      </vt:variant>
      <vt:variant>
        <vt:i4>5963778</vt:i4>
      </vt:variant>
      <vt:variant>
        <vt:i4>216</vt:i4>
      </vt:variant>
      <vt:variant>
        <vt:i4>0</vt:i4>
      </vt:variant>
      <vt:variant>
        <vt:i4>5</vt:i4>
      </vt:variant>
      <vt:variant>
        <vt:lpwstr>http://www.csb.gov.lv/statistikas-temas/monetara-nabadziba-un-ienakumu-nevienlidziba-datubaze-30062.html</vt:lpwstr>
      </vt:variant>
      <vt:variant>
        <vt:lpwstr/>
      </vt:variant>
      <vt:variant>
        <vt:i4>6815852</vt:i4>
      </vt:variant>
      <vt:variant>
        <vt:i4>213</vt:i4>
      </vt:variant>
      <vt:variant>
        <vt:i4>0</vt:i4>
      </vt:variant>
      <vt:variant>
        <vt:i4>5</vt:i4>
      </vt:variant>
      <vt:variant>
        <vt:lpwstr>http://www.stat.gov.lt/en/</vt:lpwstr>
      </vt:variant>
      <vt:variant>
        <vt:lpwstr/>
      </vt:variant>
      <vt:variant>
        <vt:i4>4128875</vt:i4>
      </vt:variant>
      <vt:variant>
        <vt:i4>210</vt:i4>
      </vt:variant>
      <vt:variant>
        <vt:i4>0</vt:i4>
      </vt:variant>
      <vt:variant>
        <vt:i4>5</vt:i4>
      </vt:variant>
      <vt:variant>
        <vt:lpwstr>http://helcom.fi/Documents/Ministerial2013/Associated documents/Supporting/PLC-5.5 Extended Summary for MM2013.pdf</vt:lpwstr>
      </vt:variant>
      <vt:variant>
        <vt:lpwstr/>
      </vt:variant>
      <vt:variant>
        <vt:i4>6422621</vt:i4>
      </vt:variant>
      <vt:variant>
        <vt:i4>207</vt:i4>
      </vt:variant>
      <vt:variant>
        <vt:i4>0</vt:i4>
      </vt:variant>
      <vt:variant>
        <vt:i4>5</vt:i4>
      </vt:variant>
      <vt:variant>
        <vt:lpwstr>http://ec.europa.eu/public_opinion/flash/fl_290_en.pdf</vt:lpwstr>
      </vt:variant>
      <vt:variant>
        <vt:lpwstr/>
      </vt:variant>
      <vt:variant>
        <vt:i4>4718613</vt:i4>
      </vt:variant>
      <vt:variant>
        <vt:i4>204</vt:i4>
      </vt:variant>
      <vt:variant>
        <vt:i4>0</vt:i4>
      </vt:variant>
      <vt:variant>
        <vt:i4>5</vt:i4>
      </vt:variant>
      <vt:variant>
        <vt:lpwstr>http://osp.stat.gov.lt/en/rodikliai42</vt:lpwstr>
      </vt:variant>
      <vt:variant>
        <vt:lpwstr/>
      </vt:variant>
      <vt:variant>
        <vt:i4>4522058</vt:i4>
      </vt:variant>
      <vt:variant>
        <vt:i4>201</vt:i4>
      </vt:variant>
      <vt:variant>
        <vt:i4>0</vt:i4>
      </vt:variant>
      <vt:variant>
        <vt:i4>5</vt:i4>
      </vt:variant>
      <vt:variant>
        <vt:lpwstr>http://www.csb.gov.lv/statistikas-temas/iekszemes-kopprodukts-datubaze-30011.html</vt:lpwstr>
      </vt:variant>
      <vt:variant>
        <vt:lpwstr/>
      </vt:variant>
      <vt:variant>
        <vt:i4>4718613</vt:i4>
      </vt:variant>
      <vt:variant>
        <vt:i4>198</vt:i4>
      </vt:variant>
      <vt:variant>
        <vt:i4>0</vt:i4>
      </vt:variant>
      <vt:variant>
        <vt:i4>5</vt:i4>
      </vt:variant>
      <vt:variant>
        <vt:lpwstr>http://osp.stat.gov.lt/en/rodikliai48</vt:lpwstr>
      </vt:variant>
      <vt:variant>
        <vt:lpwstr/>
      </vt:variant>
      <vt:variant>
        <vt:i4>1966146</vt:i4>
      </vt:variant>
      <vt:variant>
        <vt:i4>195</vt:i4>
      </vt:variant>
      <vt:variant>
        <vt:i4>0</vt:i4>
      </vt:variant>
      <vt:variant>
        <vt:i4>5</vt:i4>
      </vt:variant>
      <vt:variant>
        <vt:lpwstr>http://data.csb.gov.lv/Selection.aspx?px_path=transp__Ikgad%C4%93jie%20statistikas%20dati__T%C5%ABrisms&amp;px_tableid=TU0091.px&amp;px_language=lv&amp;px_db=transp&amp;rxid=09cbdccf-2334-4466-bdf7-0051bad1decd</vt:lpwstr>
      </vt:variant>
      <vt:variant>
        <vt:lpwstr/>
      </vt:variant>
      <vt:variant>
        <vt:i4>1376290</vt:i4>
      </vt:variant>
      <vt:variant>
        <vt:i4>192</vt:i4>
      </vt:variant>
      <vt:variant>
        <vt:i4>0</vt:i4>
      </vt:variant>
      <vt:variant>
        <vt:i4>5</vt:i4>
      </vt:variant>
      <vt:variant>
        <vt:lpwstr>http://epp.eurostat.ec.europa.eu/statistics_explained/index.php?title=File:One-to-fiveyear_survival_rates_of_enterprises,_2010,_business_economy,_%28%25%29.png&amp;filetimestamp=20130604082504</vt:lpwstr>
      </vt:variant>
      <vt:variant>
        <vt:lpwstr>file</vt:lpwstr>
      </vt:variant>
      <vt:variant>
        <vt:i4>7602293</vt:i4>
      </vt:variant>
      <vt:variant>
        <vt:i4>189</vt:i4>
      </vt:variant>
      <vt:variant>
        <vt:i4>0</vt:i4>
      </vt:variant>
      <vt:variant>
        <vt:i4>5</vt:i4>
      </vt:variant>
      <vt:variant>
        <vt:lpwstr>https://www.lursoft.lv/lursoft-statistika/Statistikas-dati-Latvijas-regionu-griezuma&amp;id=511</vt:lpwstr>
      </vt:variant>
      <vt:variant>
        <vt:lpwstr/>
      </vt:variant>
      <vt:variant>
        <vt:i4>5701751</vt:i4>
      </vt:variant>
      <vt:variant>
        <vt:i4>186</vt:i4>
      </vt:variant>
      <vt:variant>
        <vt:i4>0</vt:i4>
      </vt:variant>
      <vt:variant>
        <vt:i4>5</vt:i4>
      </vt:variant>
      <vt:variant>
        <vt:lpwstr>http://ec.europa.eu/enterprise/policies/sme/facts-figures-analysis/performance-review/files/countriessheets/2013/latvia_en.pdf</vt:lpwstr>
      </vt:variant>
      <vt:variant>
        <vt:lpwstr/>
      </vt:variant>
      <vt:variant>
        <vt:i4>4980838</vt:i4>
      </vt:variant>
      <vt:variant>
        <vt:i4>183</vt:i4>
      </vt:variant>
      <vt:variant>
        <vt:i4>0</vt:i4>
      </vt:variant>
      <vt:variant>
        <vt:i4>5</vt:i4>
      </vt:variant>
      <vt:variant>
        <vt:lpwstr>http://ec.europa.eu/enterprise/policies/sme/facts-figures-analysis/performance-review/files/countriessheets/2013/lithuania_en.pdf</vt:lpwstr>
      </vt:variant>
      <vt:variant>
        <vt:lpwstr/>
      </vt:variant>
      <vt:variant>
        <vt:i4>7274557</vt:i4>
      </vt:variant>
      <vt:variant>
        <vt:i4>180</vt:i4>
      </vt:variant>
      <vt:variant>
        <vt:i4>0</vt:i4>
      </vt:variant>
      <vt:variant>
        <vt:i4>5</vt:i4>
      </vt:variant>
      <vt:variant>
        <vt:lpwstr>http://epp.eurostat.ec.europa.eu/statistics_explained/index.php/Youth_unemployment</vt:lpwstr>
      </vt:variant>
      <vt:variant>
        <vt:lpwstr/>
      </vt:variant>
      <vt:variant>
        <vt:i4>2949220</vt:i4>
      </vt:variant>
      <vt:variant>
        <vt:i4>177</vt:i4>
      </vt:variant>
      <vt:variant>
        <vt:i4>0</vt:i4>
      </vt:variant>
      <vt:variant>
        <vt:i4>5</vt:i4>
      </vt:variant>
      <vt:variant>
        <vt:lpwstr>http://epp.eurostat.ec.europa.eu/tgm/table.do?tab=table&amp;init=1&amp;language=en&amp;pcode=tsdsc330&amp;plugin=0</vt:lpwstr>
      </vt:variant>
      <vt:variant>
        <vt:lpwstr/>
      </vt:variant>
      <vt:variant>
        <vt:i4>6357037</vt:i4>
      </vt:variant>
      <vt:variant>
        <vt:i4>174</vt:i4>
      </vt:variant>
      <vt:variant>
        <vt:i4>0</vt:i4>
      </vt:variant>
      <vt:variant>
        <vt:i4>5</vt:i4>
      </vt:variant>
      <vt:variant>
        <vt:lpwstr>http://www.csb.gov.lv;http/www.stat.gov.lt/</vt:lpwstr>
      </vt:variant>
      <vt:variant>
        <vt:lpwstr/>
      </vt:variant>
      <vt:variant>
        <vt:i4>1048653</vt:i4>
      </vt:variant>
      <vt:variant>
        <vt:i4>171</vt:i4>
      </vt:variant>
      <vt:variant>
        <vt:i4>0</vt:i4>
      </vt:variant>
      <vt:variant>
        <vt:i4>5</vt:i4>
      </vt:variant>
      <vt:variant>
        <vt:lpwstr>http://appsso.eurostat.ec.europa.eu/nui/show.do?dataset=nama_r_e3gdp&amp;lang=en</vt:lpwstr>
      </vt:variant>
      <vt:variant>
        <vt:lpwstr/>
      </vt:variant>
      <vt:variant>
        <vt:i4>1769528</vt:i4>
      </vt:variant>
      <vt:variant>
        <vt:i4>158</vt:i4>
      </vt:variant>
      <vt:variant>
        <vt:i4>0</vt:i4>
      </vt:variant>
      <vt:variant>
        <vt:i4>5</vt:i4>
      </vt:variant>
      <vt:variant>
        <vt:lpwstr/>
      </vt:variant>
      <vt:variant>
        <vt:lpwstr>_Toc384383749</vt:lpwstr>
      </vt:variant>
      <vt:variant>
        <vt:i4>1769528</vt:i4>
      </vt:variant>
      <vt:variant>
        <vt:i4>152</vt:i4>
      </vt:variant>
      <vt:variant>
        <vt:i4>0</vt:i4>
      </vt:variant>
      <vt:variant>
        <vt:i4>5</vt:i4>
      </vt:variant>
      <vt:variant>
        <vt:lpwstr/>
      </vt:variant>
      <vt:variant>
        <vt:lpwstr>_Toc384383748</vt:lpwstr>
      </vt:variant>
      <vt:variant>
        <vt:i4>1769528</vt:i4>
      </vt:variant>
      <vt:variant>
        <vt:i4>146</vt:i4>
      </vt:variant>
      <vt:variant>
        <vt:i4>0</vt:i4>
      </vt:variant>
      <vt:variant>
        <vt:i4>5</vt:i4>
      </vt:variant>
      <vt:variant>
        <vt:lpwstr/>
      </vt:variant>
      <vt:variant>
        <vt:lpwstr>_Toc384383747</vt:lpwstr>
      </vt:variant>
      <vt:variant>
        <vt:i4>1769528</vt:i4>
      </vt:variant>
      <vt:variant>
        <vt:i4>140</vt:i4>
      </vt:variant>
      <vt:variant>
        <vt:i4>0</vt:i4>
      </vt:variant>
      <vt:variant>
        <vt:i4>5</vt:i4>
      </vt:variant>
      <vt:variant>
        <vt:lpwstr/>
      </vt:variant>
      <vt:variant>
        <vt:lpwstr>_Toc384383746</vt:lpwstr>
      </vt:variant>
      <vt:variant>
        <vt:i4>1769528</vt:i4>
      </vt:variant>
      <vt:variant>
        <vt:i4>134</vt:i4>
      </vt:variant>
      <vt:variant>
        <vt:i4>0</vt:i4>
      </vt:variant>
      <vt:variant>
        <vt:i4>5</vt:i4>
      </vt:variant>
      <vt:variant>
        <vt:lpwstr/>
      </vt:variant>
      <vt:variant>
        <vt:lpwstr>_Toc384383745</vt:lpwstr>
      </vt:variant>
      <vt:variant>
        <vt:i4>1769528</vt:i4>
      </vt:variant>
      <vt:variant>
        <vt:i4>128</vt:i4>
      </vt:variant>
      <vt:variant>
        <vt:i4>0</vt:i4>
      </vt:variant>
      <vt:variant>
        <vt:i4>5</vt:i4>
      </vt:variant>
      <vt:variant>
        <vt:lpwstr/>
      </vt:variant>
      <vt:variant>
        <vt:lpwstr>_Toc384383744</vt:lpwstr>
      </vt:variant>
      <vt:variant>
        <vt:i4>1769528</vt:i4>
      </vt:variant>
      <vt:variant>
        <vt:i4>122</vt:i4>
      </vt:variant>
      <vt:variant>
        <vt:i4>0</vt:i4>
      </vt:variant>
      <vt:variant>
        <vt:i4>5</vt:i4>
      </vt:variant>
      <vt:variant>
        <vt:lpwstr/>
      </vt:variant>
      <vt:variant>
        <vt:lpwstr>_Toc384383743</vt:lpwstr>
      </vt:variant>
      <vt:variant>
        <vt:i4>1769528</vt:i4>
      </vt:variant>
      <vt:variant>
        <vt:i4>116</vt:i4>
      </vt:variant>
      <vt:variant>
        <vt:i4>0</vt:i4>
      </vt:variant>
      <vt:variant>
        <vt:i4>5</vt:i4>
      </vt:variant>
      <vt:variant>
        <vt:lpwstr/>
      </vt:variant>
      <vt:variant>
        <vt:lpwstr>_Toc384383742</vt:lpwstr>
      </vt:variant>
      <vt:variant>
        <vt:i4>1769528</vt:i4>
      </vt:variant>
      <vt:variant>
        <vt:i4>110</vt:i4>
      </vt:variant>
      <vt:variant>
        <vt:i4>0</vt:i4>
      </vt:variant>
      <vt:variant>
        <vt:i4>5</vt:i4>
      </vt:variant>
      <vt:variant>
        <vt:lpwstr/>
      </vt:variant>
      <vt:variant>
        <vt:lpwstr>_Toc384383741</vt:lpwstr>
      </vt:variant>
      <vt:variant>
        <vt:i4>1769528</vt:i4>
      </vt:variant>
      <vt:variant>
        <vt:i4>104</vt:i4>
      </vt:variant>
      <vt:variant>
        <vt:i4>0</vt:i4>
      </vt:variant>
      <vt:variant>
        <vt:i4>5</vt:i4>
      </vt:variant>
      <vt:variant>
        <vt:lpwstr/>
      </vt:variant>
      <vt:variant>
        <vt:lpwstr>_Toc384383740</vt:lpwstr>
      </vt:variant>
      <vt:variant>
        <vt:i4>1835064</vt:i4>
      </vt:variant>
      <vt:variant>
        <vt:i4>98</vt:i4>
      </vt:variant>
      <vt:variant>
        <vt:i4>0</vt:i4>
      </vt:variant>
      <vt:variant>
        <vt:i4>5</vt:i4>
      </vt:variant>
      <vt:variant>
        <vt:lpwstr/>
      </vt:variant>
      <vt:variant>
        <vt:lpwstr>_Toc384383739</vt:lpwstr>
      </vt:variant>
      <vt:variant>
        <vt:i4>1835064</vt:i4>
      </vt:variant>
      <vt:variant>
        <vt:i4>92</vt:i4>
      </vt:variant>
      <vt:variant>
        <vt:i4>0</vt:i4>
      </vt:variant>
      <vt:variant>
        <vt:i4>5</vt:i4>
      </vt:variant>
      <vt:variant>
        <vt:lpwstr/>
      </vt:variant>
      <vt:variant>
        <vt:lpwstr>_Toc384383738</vt:lpwstr>
      </vt:variant>
      <vt:variant>
        <vt:i4>1835064</vt:i4>
      </vt:variant>
      <vt:variant>
        <vt:i4>86</vt:i4>
      </vt:variant>
      <vt:variant>
        <vt:i4>0</vt:i4>
      </vt:variant>
      <vt:variant>
        <vt:i4>5</vt:i4>
      </vt:variant>
      <vt:variant>
        <vt:lpwstr/>
      </vt:variant>
      <vt:variant>
        <vt:lpwstr>_Toc384383737</vt:lpwstr>
      </vt:variant>
      <vt:variant>
        <vt:i4>1835064</vt:i4>
      </vt:variant>
      <vt:variant>
        <vt:i4>80</vt:i4>
      </vt:variant>
      <vt:variant>
        <vt:i4>0</vt:i4>
      </vt:variant>
      <vt:variant>
        <vt:i4>5</vt:i4>
      </vt:variant>
      <vt:variant>
        <vt:lpwstr/>
      </vt:variant>
      <vt:variant>
        <vt:lpwstr>_Toc384383736</vt:lpwstr>
      </vt:variant>
      <vt:variant>
        <vt:i4>1835064</vt:i4>
      </vt:variant>
      <vt:variant>
        <vt:i4>74</vt:i4>
      </vt:variant>
      <vt:variant>
        <vt:i4>0</vt:i4>
      </vt:variant>
      <vt:variant>
        <vt:i4>5</vt:i4>
      </vt:variant>
      <vt:variant>
        <vt:lpwstr/>
      </vt:variant>
      <vt:variant>
        <vt:lpwstr>_Toc384383735</vt:lpwstr>
      </vt:variant>
      <vt:variant>
        <vt:i4>1835064</vt:i4>
      </vt:variant>
      <vt:variant>
        <vt:i4>68</vt:i4>
      </vt:variant>
      <vt:variant>
        <vt:i4>0</vt:i4>
      </vt:variant>
      <vt:variant>
        <vt:i4>5</vt:i4>
      </vt:variant>
      <vt:variant>
        <vt:lpwstr/>
      </vt:variant>
      <vt:variant>
        <vt:lpwstr>_Toc384383734</vt:lpwstr>
      </vt:variant>
      <vt:variant>
        <vt:i4>1835064</vt:i4>
      </vt:variant>
      <vt:variant>
        <vt:i4>62</vt:i4>
      </vt:variant>
      <vt:variant>
        <vt:i4>0</vt:i4>
      </vt:variant>
      <vt:variant>
        <vt:i4>5</vt:i4>
      </vt:variant>
      <vt:variant>
        <vt:lpwstr/>
      </vt:variant>
      <vt:variant>
        <vt:lpwstr>_Toc384383733</vt:lpwstr>
      </vt:variant>
      <vt:variant>
        <vt:i4>1835064</vt:i4>
      </vt:variant>
      <vt:variant>
        <vt:i4>56</vt:i4>
      </vt:variant>
      <vt:variant>
        <vt:i4>0</vt:i4>
      </vt:variant>
      <vt:variant>
        <vt:i4>5</vt:i4>
      </vt:variant>
      <vt:variant>
        <vt:lpwstr/>
      </vt:variant>
      <vt:variant>
        <vt:lpwstr>_Toc384383732</vt:lpwstr>
      </vt:variant>
      <vt:variant>
        <vt:i4>1835064</vt:i4>
      </vt:variant>
      <vt:variant>
        <vt:i4>50</vt:i4>
      </vt:variant>
      <vt:variant>
        <vt:i4>0</vt:i4>
      </vt:variant>
      <vt:variant>
        <vt:i4>5</vt:i4>
      </vt:variant>
      <vt:variant>
        <vt:lpwstr/>
      </vt:variant>
      <vt:variant>
        <vt:lpwstr>_Toc384383731</vt:lpwstr>
      </vt:variant>
      <vt:variant>
        <vt:i4>1835064</vt:i4>
      </vt:variant>
      <vt:variant>
        <vt:i4>44</vt:i4>
      </vt:variant>
      <vt:variant>
        <vt:i4>0</vt:i4>
      </vt:variant>
      <vt:variant>
        <vt:i4>5</vt:i4>
      </vt:variant>
      <vt:variant>
        <vt:lpwstr/>
      </vt:variant>
      <vt:variant>
        <vt:lpwstr>_Toc384383730</vt:lpwstr>
      </vt:variant>
      <vt:variant>
        <vt:i4>1900600</vt:i4>
      </vt:variant>
      <vt:variant>
        <vt:i4>38</vt:i4>
      </vt:variant>
      <vt:variant>
        <vt:i4>0</vt:i4>
      </vt:variant>
      <vt:variant>
        <vt:i4>5</vt:i4>
      </vt:variant>
      <vt:variant>
        <vt:lpwstr/>
      </vt:variant>
      <vt:variant>
        <vt:lpwstr>_Toc384383729</vt:lpwstr>
      </vt:variant>
      <vt:variant>
        <vt:i4>1900600</vt:i4>
      </vt:variant>
      <vt:variant>
        <vt:i4>32</vt:i4>
      </vt:variant>
      <vt:variant>
        <vt:i4>0</vt:i4>
      </vt:variant>
      <vt:variant>
        <vt:i4>5</vt:i4>
      </vt:variant>
      <vt:variant>
        <vt:lpwstr/>
      </vt:variant>
      <vt:variant>
        <vt:lpwstr>_Toc384383728</vt:lpwstr>
      </vt:variant>
      <vt:variant>
        <vt:i4>1900600</vt:i4>
      </vt:variant>
      <vt:variant>
        <vt:i4>26</vt:i4>
      </vt:variant>
      <vt:variant>
        <vt:i4>0</vt:i4>
      </vt:variant>
      <vt:variant>
        <vt:i4>5</vt:i4>
      </vt:variant>
      <vt:variant>
        <vt:lpwstr/>
      </vt:variant>
      <vt:variant>
        <vt:lpwstr>_Toc384383727</vt:lpwstr>
      </vt:variant>
      <vt:variant>
        <vt:i4>1900600</vt:i4>
      </vt:variant>
      <vt:variant>
        <vt:i4>20</vt:i4>
      </vt:variant>
      <vt:variant>
        <vt:i4>0</vt:i4>
      </vt:variant>
      <vt:variant>
        <vt:i4>5</vt:i4>
      </vt:variant>
      <vt:variant>
        <vt:lpwstr/>
      </vt:variant>
      <vt:variant>
        <vt:lpwstr>_Toc384383726</vt:lpwstr>
      </vt:variant>
      <vt:variant>
        <vt:i4>1900600</vt:i4>
      </vt:variant>
      <vt:variant>
        <vt:i4>14</vt:i4>
      </vt:variant>
      <vt:variant>
        <vt:i4>0</vt:i4>
      </vt:variant>
      <vt:variant>
        <vt:i4>5</vt:i4>
      </vt:variant>
      <vt:variant>
        <vt:lpwstr/>
      </vt:variant>
      <vt:variant>
        <vt:lpwstr>_Toc384383725</vt:lpwstr>
      </vt:variant>
      <vt:variant>
        <vt:i4>1900600</vt:i4>
      </vt:variant>
      <vt:variant>
        <vt:i4>8</vt:i4>
      </vt:variant>
      <vt:variant>
        <vt:i4>0</vt:i4>
      </vt:variant>
      <vt:variant>
        <vt:i4>5</vt:i4>
      </vt:variant>
      <vt:variant>
        <vt:lpwstr/>
      </vt:variant>
      <vt:variant>
        <vt:lpwstr>_Toc384383724</vt:lpwstr>
      </vt:variant>
      <vt:variant>
        <vt:i4>1900600</vt:i4>
      </vt:variant>
      <vt:variant>
        <vt:i4>2</vt:i4>
      </vt:variant>
      <vt:variant>
        <vt:i4>0</vt:i4>
      </vt:variant>
      <vt:variant>
        <vt:i4>5</vt:i4>
      </vt:variant>
      <vt:variant>
        <vt:lpwstr/>
      </vt:variant>
      <vt:variant>
        <vt:lpwstr>_Toc384383723</vt:lpwstr>
      </vt:variant>
      <vt:variant>
        <vt:i4>3735678</vt:i4>
      </vt:variant>
      <vt:variant>
        <vt:i4>0</vt:i4>
      </vt:variant>
      <vt:variant>
        <vt:i4>0</vt:i4>
      </vt:variant>
      <vt:variant>
        <vt:i4>5</vt:i4>
      </vt:variant>
      <vt:variant>
        <vt:lpwstr>http://www.lhei.lv/docs/2012/Juras_derektiva_A.pdf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edmunds.snikeris</dc:creator>
  <cp:lastModifiedBy>Vita Prokopovica</cp:lastModifiedBy>
  <cp:revision>11</cp:revision>
  <cp:lastPrinted>2014-07-31T10:30:00Z</cp:lastPrinted>
  <dcterms:created xsi:type="dcterms:W3CDTF">2014-07-29T08:07:00Z</dcterms:created>
  <dcterms:modified xsi:type="dcterms:W3CDTF">2014-07-31T12:58:00Z</dcterms:modified>
</cp:coreProperties>
</file>