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B" w:rsidRPr="00FE289B" w:rsidRDefault="00FE289B" w:rsidP="0005075E">
      <w:pPr>
        <w:jc w:val="right"/>
        <w:rPr>
          <w:i/>
          <w:color w:val="FF0000"/>
        </w:rPr>
      </w:pPr>
      <w:bookmarkStart w:id="0" w:name="_GoBack"/>
      <w:bookmarkEnd w:id="0"/>
    </w:p>
    <w:p w:rsidR="0005075E" w:rsidRPr="002166C8" w:rsidRDefault="0005075E" w:rsidP="00F61F57">
      <w:pPr>
        <w:jc w:val="right"/>
      </w:pPr>
      <w:r>
        <w:t>1</w:t>
      </w:r>
      <w:r w:rsidR="003102A1">
        <w:t>1</w:t>
      </w:r>
      <w:r w:rsidRPr="002166C8">
        <w:t xml:space="preserve">.pielikums </w:t>
      </w:r>
    </w:p>
    <w:p w:rsidR="0005075E" w:rsidRPr="002166C8" w:rsidRDefault="0005075E" w:rsidP="0005075E">
      <w:pPr>
        <w:jc w:val="right"/>
      </w:pPr>
      <w:r w:rsidRPr="002166C8">
        <w:t xml:space="preserve">Ministru kabineta </w:t>
      </w:r>
    </w:p>
    <w:p w:rsidR="0005075E" w:rsidRPr="002166C8" w:rsidRDefault="0005075E" w:rsidP="0005075E">
      <w:pPr>
        <w:jc w:val="right"/>
      </w:pPr>
      <w:r w:rsidRPr="00FE289B">
        <w:t>201</w:t>
      </w:r>
      <w:r w:rsidR="00F61F57">
        <w:t>4</w:t>
      </w:r>
      <w:r w:rsidRPr="00FE289B">
        <w:t>.</w:t>
      </w:r>
      <w:r w:rsidRPr="002166C8">
        <w:t>gada __._____ noteikumiem Nr.____</w:t>
      </w:r>
    </w:p>
    <w:p w:rsidR="0005075E" w:rsidRDefault="0005075E" w:rsidP="0005075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60AD" w:rsidRPr="00B260AD" w:rsidRDefault="00B260AD" w:rsidP="00B260AD">
      <w:pPr>
        <w:jc w:val="center"/>
        <w:rPr>
          <w:b/>
        </w:rPr>
      </w:pPr>
      <w:r w:rsidRPr="00B260AD">
        <w:rPr>
          <w:b/>
        </w:rPr>
        <w:t>Teritorijas attīstības indeksa aprēķināšanas kārtība</w:t>
      </w:r>
    </w:p>
    <w:p w:rsidR="00B260AD" w:rsidRPr="00B260AD" w:rsidRDefault="00B260AD" w:rsidP="00B260AD">
      <w:pPr>
        <w:rPr>
          <w:b/>
        </w:rPr>
      </w:pPr>
    </w:p>
    <w:p w:rsidR="00B260AD" w:rsidRPr="00B260AD" w:rsidRDefault="00B260AD" w:rsidP="00B260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>Atsevišķi aprēķina teritorijas attīstības līmeņa indeksu un teritorijas attīstības līmeņa izmaiņu indeksu:</w:t>
      </w:r>
    </w:p>
    <w:p w:rsidR="00B260AD" w:rsidRPr="00B260AD" w:rsidRDefault="00B260AD" w:rsidP="00B260A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>teritorijas attīstības līmeņa indekss raksturo attīstības līmeni attiecīgajā gadā, parādot teritoriju augstāku vai zemāku attīstību, salīdzinot ar vidējo attīstības līmeni valstī;</w:t>
      </w:r>
    </w:p>
    <w:p w:rsidR="00B260AD" w:rsidRPr="00B260AD" w:rsidRDefault="00B260AD" w:rsidP="00B260A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>teritorijas attīstības līmeņa izmaiņu indekss raksturo attīstības līmeņa izmaiņas pret iepriekšējo gadu, parādot teritoriju atpaliekošu vai apsteidzošu attīstību, salīdzinot ar vidējo attīstības līmeni iepriekšējā gadā.</w:t>
      </w:r>
    </w:p>
    <w:p w:rsidR="00B260AD" w:rsidRPr="00B260AD" w:rsidRDefault="00B260AD" w:rsidP="00B260AD">
      <w:pPr>
        <w:pStyle w:val="ListParagraph"/>
        <w:ind w:left="792"/>
        <w:jc w:val="both"/>
        <w:rPr>
          <w:rFonts w:ascii="Times New Roman" w:hAnsi="Times New Roman"/>
          <w:sz w:val="24"/>
          <w:szCs w:val="24"/>
        </w:rPr>
      </w:pPr>
    </w:p>
    <w:p w:rsidR="00B260AD" w:rsidRPr="00B260AD" w:rsidRDefault="00B260AD" w:rsidP="00B260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>Teritorijas attīstības indeksu aprēķina šādi:</w:t>
      </w:r>
    </w:p>
    <w:p w:rsidR="00B260AD" w:rsidRPr="00B260AD" w:rsidRDefault="00B260AD" w:rsidP="00B260A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>novadu un republikas pilsētu grupās izmanto astoņus rādītājus (1.tabula);</w:t>
      </w:r>
    </w:p>
    <w:p w:rsidR="00B260AD" w:rsidRPr="00B260AD" w:rsidRDefault="00B260AD" w:rsidP="00B260A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>plānošanas reģionu grupā izmanto astoņus rādītājus (2.tabula);</w:t>
      </w:r>
    </w:p>
    <w:p w:rsidR="00B260AD" w:rsidRPr="00B260AD" w:rsidRDefault="00B260AD" w:rsidP="00B260A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>katra rādītāja nozīmību novērtē ar īpašu nozīmības svaru (1. un 2.tabula). Rādītāju nozīmības svaru summa katrā teritoriju grupā ir 1;</w:t>
      </w:r>
    </w:p>
    <w:p w:rsidR="00B260AD" w:rsidRPr="00B260AD" w:rsidRDefault="00B260AD" w:rsidP="00B260A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 xml:space="preserve">lai teritorijas attīstību raksturojošos rādītājus, kas izteikti dažādās vienībās (piemēram, cilvēki, </w:t>
      </w:r>
      <w:proofErr w:type="spellStart"/>
      <w:r w:rsidR="0093034A" w:rsidRPr="0093034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B260AD">
        <w:rPr>
          <w:rFonts w:ascii="Times New Roman" w:hAnsi="Times New Roman"/>
          <w:sz w:val="24"/>
          <w:szCs w:val="24"/>
        </w:rPr>
        <w:t>, procenti), apvienotu un izveidotu teritorijas attīstības indeksu, veic rādītāju statistisku standartizāciju, izmantojot šādu formulu:</w:t>
      </w:r>
    </w:p>
    <w:p w:rsidR="00B260AD" w:rsidRPr="00ED11CA" w:rsidRDefault="00B260AD" w:rsidP="00ED11CA">
      <w:pPr>
        <w:ind w:left="360"/>
        <w:jc w:val="both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125"/>
      </w:tblGrid>
      <w:tr w:rsidR="00B260AD" w:rsidRPr="00B260AD" w:rsidTr="00BB64F0">
        <w:trPr>
          <w:tblCellSpacing w:w="0" w:type="dxa"/>
          <w:jc w:val="center"/>
        </w:trPr>
        <w:tc>
          <w:tcPr>
            <w:tcW w:w="1290" w:type="dxa"/>
          </w:tcPr>
          <w:p w:rsidR="00B260AD" w:rsidRPr="00B260AD" w:rsidRDefault="00B260AD" w:rsidP="00BB64F0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ba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1125" w:type="dxa"/>
            <w:vAlign w:val="center"/>
          </w:tcPr>
          <w:p w:rsidR="00B260AD" w:rsidRPr="00B260AD" w:rsidRDefault="00B260AD" w:rsidP="00BB64F0">
            <w:pPr>
              <w:jc w:val="both"/>
            </w:pPr>
            <w:r w:rsidRPr="00B260AD">
              <w:t>, kur</w:t>
            </w:r>
          </w:p>
        </w:tc>
      </w:tr>
    </w:tbl>
    <w:p w:rsidR="00B260AD" w:rsidRPr="00B260AD" w:rsidRDefault="00B260AD" w:rsidP="00B260AD"/>
    <w:p w:rsidR="00B260AD" w:rsidRPr="00B260AD" w:rsidRDefault="00B260AD" w:rsidP="00B260AD">
      <w:pPr>
        <w:jc w:val="both"/>
      </w:pPr>
      <w:r w:rsidRPr="00B260AD">
        <w:t>t – attīstības pamatrādītāja standartizētā vērtība konkrētā teritorijā;</w:t>
      </w:r>
    </w:p>
    <w:p w:rsidR="00B260AD" w:rsidRPr="00B260AD" w:rsidRDefault="00B260AD" w:rsidP="00B260AD">
      <w:pPr>
        <w:jc w:val="both"/>
      </w:pPr>
      <w:r w:rsidRPr="00B260AD">
        <w:t xml:space="preserve"> </w:t>
      </w:r>
    </w:p>
    <w:p w:rsidR="00B260AD" w:rsidRPr="00B260AD" w:rsidRDefault="00B260AD" w:rsidP="00B260AD">
      <w:pPr>
        <w:jc w:val="both"/>
      </w:pPr>
      <w:r w:rsidRPr="00B260AD">
        <w:t>x – standartizējamais attīstības pamatrādītājs konkrētā teritorijā, izteikts savā specifiskajā mērvienībā;</w:t>
      </w:r>
    </w:p>
    <w:p w:rsidR="00B260AD" w:rsidRPr="00B260AD" w:rsidRDefault="00B260AD" w:rsidP="00B260AD">
      <w:pPr>
        <w:jc w:val="both"/>
      </w:pPr>
      <w:r w:rsidRPr="00B260AD">
        <w:t xml:space="preserve"> </w:t>
      </w:r>
    </w:p>
    <w:p w:rsidR="00B260AD" w:rsidRPr="00B260AD" w:rsidRDefault="005C245E" w:rsidP="00B260AD">
      <w:pPr>
        <w:jc w:val="both"/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 xml:space="preserve"> </m:t>
        </m:r>
      </m:oMath>
      <w:r w:rsidR="00B260AD" w:rsidRPr="00B260AD">
        <w:t>– attiecīgā attīstības pamatrādītāja vidējais teritoriju grupā attiecīgajā gadā (attīstības līmeņa indekss) vai iepriekšējā gadā (attīstības līmeņa izmaiņu indekss), kuru aprēķina kā divu absolūto lielumu attiecību;</w:t>
      </w:r>
    </w:p>
    <w:p w:rsidR="00B260AD" w:rsidRPr="00B260AD" w:rsidRDefault="00B260AD" w:rsidP="00B260AD">
      <w:pPr>
        <w:jc w:val="both"/>
      </w:pPr>
      <w:r w:rsidRPr="00B260AD">
        <w:t xml:space="preserve"> </w:t>
      </w:r>
    </w:p>
    <w:p w:rsidR="00B260AD" w:rsidRPr="00B260AD" w:rsidRDefault="00B260AD" w:rsidP="00B260AD">
      <w:pPr>
        <w:jc w:val="both"/>
      </w:pPr>
      <w:r w:rsidRPr="00B260AD">
        <w:t>s – standartnovirze, variācijas rādītājs, kuru aprēķina par attiecīgo gadu (attīstības līmeņa indekss) vai iepriekšējo gadu (attīstības līmeņa izmaiņu indekss), izmantojot šādu formulu:</w:t>
      </w:r>
    </w:p>
    <w:p w:rsidR="00B260AD" w:rsidRPr="00B260AD" w:rsidRDefault="00B260AD" w:rsidP="00B260AD"/>
    <w:tbl>
      <w:tblPr>
        <w:tblW w:w="0" w:type="auto"/>
        <w:jc w:val="center"/>
        <w:tblCellSpacing w:w="0" w:type="dxa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110"/>
      </w:tblGrid>
      <w:tr w:rsidR="00B260AD" w:rsidRPr="00B260AD" w:rsidTr="00BB64F0">
        <w:trPr>
          <w:tblCellSpacing w:w="0" w:type="dxa"/>
          <w:jc w:val="center"/>
        </w:trPr>
        <w:tc>
          <w:tcPr>
            <w:tcW w:w="2126" w:type="dxa"/>
          </w:tcPr>
          <w:p w:rsidR="00B260AD" w:rsidRPr="00B260AD" w:rsidRDefault="00B260AD" w:rsidP="00BB64F0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</w:rPr>
                              <m:t>(x-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nary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nary>
                      </m:den>
                    </m:f>
                  </m:e>
                </m:rad>
              </m:oMath>
            </m:oMathPara>
          </w:p>
        </w:tc>
        <w:tc>
          <w:tcPr>
            <w:tcW w:w="1110" w:type="dxa"/>
            <w:vAlign w:val="center"/>
          </w:tcPr>
          <w:p w:rsidR="00B260AD" w:rsidRPr="00B260AD" w:rsidRDefault="00B260AD" w:rsidP="00BB64F0">
            <w:pPr>
              <w:jc w:val="both"/>
            </w:pPr>
            <w:r w:rsidRPr="00B260AD">
              <w:t>, kur</w:t>
            </w:r>
          </w:p>
        </w:tc>
      </w:tr>
    </w:tbl>
    <w:p w:rsidR="00B260AD" w:rsidRPr="00B260AD" w:rsidRDefault="00B260AD" w:rsidP="00B260AD"/>
    <w:p w:rsidR="00B260AD" w:rsidRPr="00B260AD" w:rsidRDefault="00B260AD" w:rsidP="00B260AD">
      <w:pPr>
        <w:jc w:val="both"/>
      </w:pPr>
      <w:r w:rsidRPr="00B260AD">
        <w:t>f – statistiskais svars (iedzīvotāju skaits teritorijā, darbspējas vecuma iedzīvotāju skaits, platība km2, izmantojot attiecīgos attīstības pamatrādītājus);</w:t>
      </w:r>
    </w:p>
    <w:p w:rsidR="00B260AD" w:rsidRPr="00B260AD" w:rsidRDefault="00B260AD" w:rsidP="00B260AD">
      <w:r w:rsidRPr="00B260AD">
        <w:t xml:space="preserve"> </w:t>
      </w:r>
    </w:p>
    <w:p w:rsidR="00B260AD" w:rsidRPr="00B260AD" w:rsidRDefault="00B260AD" w:rsidP="00B260A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t xml:space="preserve"> lai katram rādītājam piešķirtu tā specifisko nozīmību, katru standartizēto rādītā</w:t>
      </w:r>
      <w:r w:rsidR="003202B1">
        <w:rPr>
          <w:rFonts w:ascii="Times New Roman" w:hAnsi="Times New Roman"/>
          <w:sz w:val="24"/>
          <w:szCs w:val="24"/>
        </w:rPr>
        <w:t>ju reizina ar nozīmības svaru (1</w:t>
      </w:r>
      <w:r w:rsidRPr="00B260AD">
        <w:rPr>
          <w:rFonts w:ascii="Times New Roman" w:hAnsi="Times New Roman"/>
          <w:sz w:val="24"/>
          <w:szCs w:val="24"/>
        </w:rPr>
        <w:t xml:space="preserve">.tabulas 2., 3., 4. un 7. </w:t>
      </w:r>
      <w:r w:rsidR="00F55C4E">
        <w:rPr>
          <w:rFonts w:ascii="Times New Roman" w:hAnsi="Times New Roman"/>
          <w:sz w:val="24"/>
          <w:szCs w:val="24"/>
        </w:rPr>
        <w:t>r</w:t>
      </w:r>
      <w:r w:rsidRPr="00B260AD">
        <w:rPr>
          <w:rFonts w:ascii="Times New Roman" w:hAnsi="Times New Roman"/>
          <w:sz w:val="24"/>
          <w:szCs w:val="24"/>
        </w:rPr>
        <w:t>ādītāja</w:t>
      </w:r>
      <w:r w:rsidR="00F55C4E">
        <w:rPr>
          <w:rFonts w:ascii="Times New Roman" w:hAnsi="Times New Roman"/>
          <w:sz w:val="24"/>
          <w:szCs w:val="24"/>
        </w:rPr>
        <w:t xml:space="preserve"> un 2.tabulas</w:t>
      </w:r>
      <w:r w:rsidRPr="00B260AD">
        <w:rPr>
          <w:rFonts w:ascii="Times New Roman" w:hAnsi="Times New Roman"/>
          <w:sz w:val="24"/>
          <w:szCs w:val="24"/>
        </w:rPr>
        <w:t xml:space="preserve"> </w:t>
      </w:r>
      <w:r w:rsidR="00F55C4E">
        <w:rPr>
          <w:rFonts w:ascii="Times New Roman" w:hAnsi="Times New Roman"/>
          <w:sz w:val="24"/>
          <w:szCs w:val="24"/>
        </w:rPr>
        <w:t xml:space="preserve">2. un 5. rādītāja </w:t>
      </w:r>
      <w:r w:rsidRPr="00B260AD">
        <w:rPr>
          <w:rFonts w:ascii="Times New Roman" w:hAnsi="Times New Roman"/>
          <w:sz w:val="24"/>
          <w:szCs w:val="24"/>
        </w:rPr>
        <w:t xml:space="preserve">gadījumā lieto nozīmības svaru ar </w:t>
      </w:r>
      <w:r w:rsidRPr="00383D9C">
        <w:rPr>
          <w:rFonts w:ascii="Times New Roman" w:hAnsi="Times New Roman"/>
          <w:sz w:val="24"/>
          <w:szCs w:val="24"/>
        </w:rPr>
        <w:t>negatīvu zīmi), tādējādi</w:t>
      </w:r>
      <w:r w:rsidRPr="00B260AD">
        <w:rPr>
          <w:rFonts w:ascii="Times New Roman" w:hAnsi="Times New Roman"/>
          <w:sz w:val="24"/>
          <w:szCs w:val="24"/>
        </w:rPr>
        <w:t xml:space="preserve"> aprēķinot teritorijas attīstības indeksa komponentus. Komponentu summa veido teritorijas attīstības indeksu.</w:t>
      </w:r>
    </w:p>
    <w:p w:rsidR="00B260AD" w:rsidRPr="00B260AD" w:rsidRDefault="00B260AD" w:rsidP="00B260AD">
      <w:pPr>
        <w:pStyle w:val="ListParagraph"/>
        <w:ind w:left="792"/>
        <w:jc w:val="both"/>
        <w:rPr>
          <w:rFonts w:ascii="Times New Roman" w:hAnsi="Times New Roman"/>
          <w:sz w:val="24"/>
          <w:szCs w:val="24"/>
        </w:rPr>
      </w:pPr>
    </w:p>
    <w:p w:rsidR="00B260AD" w:rsidRPr="00BC772F" w:rsidRDefault="00B260AD" w:rsidP="00B260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AD">
        <w:rPr>
          <w:rFonts w:ascii="Times New Roman" w:hAnsi="Times New Roman"/>
          <w:sz w:val="24"/>
          <w:szCs w:val="24"/>
        </w:rPr>
        <w:lastRenderedPageBreak/>
        <w:t>Teritorijas attīstības indeksu aprēķina Latvijas mērogā.</w:t>
      </w:r>
      <w:bookmarkStart w:id="1" w:name="342295"/>
      <w:bookmarkEnd w:id="1"/>
    </w:p>
    <w:p w:rsidR="00B260AD" w:rsidRPr="00BC772F" w:rsidRDefault="00B260AD" w:rsidP="00B260AD">
      <w:pPr>
        <w:jc w:val="right"/>
        <w:rPr>
          <w:bCs/>
        </w:rPr>
      </w:pPr>
      <w:r w:rsidRPr="00BC772F">
        <w:rPr>
          <w:bCs/>
        </w:rPr>
        <w:t xml:space="preserve">1.tabula </w:t>
      </w:r>
    </w:p>
    <w:p w:rsidR="00BC772F" w:rsidRPr="00BC772F" w:rsidRDefault="00BC772F" w:rsidP="00AF60A1">
      <w:pPr>
        <w:rPr>
          <w:b/>
          <w:bCs/>
        </w:rPr>
      </w:pPr>
    </w:p>
    <w:p w:rsidR="00BC772F" w:rsidRDefault="00BC772F" w:rsidP="00BC772F">
      <w:pPr>
        <w:jc w:val="center"/>
        <w:rPr>
          <w:b/>
          <w:bCs/>
        </w:rPr>
      </w:pPr>
      <w:r w:rsidRPr="00BC772F">
        <w:rPr>
          <w:b/>
          <w:bCs/>
        </w:rPr>
        <w:t>Teritorijas attīstības indeksa aprēķināšanai nepieciešamie rādītāji un to nozīmības svars (novadiem vai republikas pilsētām)</w:t>
      </w:r>
    </w:p>
    <w:p w:rsidR="00F74BFD" w:rsidRPr="00BC772F" w:rsidRDefault="00F74BFD" w:rsidP="00BC772F">
      <w:pPr>
        <w:jc w:val="center"/>
        <w:rPr>
          <w:b/>
          <w:bCs/>
        </w:rPr>
      </w:pPr>
    </w:p>
    <w:tbl>
      <w:tblPr>
        <w:tblStyle w:val="Colorful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61"/>
        <w:gridCol w:w="3133"/>
        <w:gridCol w:w="1984"/>
        <w:gridCol w:w="3509"/>
      </w:tblGrid>
      <w:tr w:rsidR="00BC772F" w:rsidRPr="00922A0C" w:rsidTr="00922A0C">
        <w:trPr>
          <w:trHeight w:val="480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BC772F" w:rsidRPr="00922A0C" w:rsidRDefault="00BC772F" w:rsidP="00922A0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Nr.</w:t>
            </w:r>
          </w:p>
          <w:p w:rsidR="00BC772F" w:rsidRPr="00922A0C" w:rsidRDefault="00BC772F" w:rsidP="00922A0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p.k.</w:t>
            </w:r>
          </w:p>
        </w:tc>
        <w:tc>
          <w:tcPr>
            <w:tcW w:w="1687" w:type="pct"/>
            <w:vMerge w:val="restart"/>
            <w:shd w:val="clear" w:color="auto" w:fill="auto"/>
            <w:vAlign w:val="center"/>
          </w:tcPr>
          <w:p w:rsidR="00BC772F" w:rsidRPr="00922A0C" w:rsidRDefault="00BC772F" w:rsidP="00922A0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C772F" w:rsidRPr="00922A0C" w:rsidRDefault="00BC772F" w:rsidP="00922A0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Rādītājs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BC772F" w:rsidRPr="00922A0C" w:rsidRDefault="00BC772F" w:rsidP="00922A0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Novadi vai republikas pilsētas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</w:tcPr>
          <w:p w:rsidR="00BC772F" w:rsidRPr="00922A0C" w:rsidRDefault="00BC772F" w:rsidP="00922A0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Datu avots</w:t>
            </w:r>
          </w:p>
        </w:tc>
      </w:tr>
      <w:tr w:rsidR="00BC772F" w:rsidRPr="00922A0C" w:rsidTr="00922A0C">
        <w:trPr>
          <w:trHeight w:val="312"/>
        </w:trPr>
        <w:tc>
          <w:tcPr>
            <w:tcW w:w="356" w:type="pct"/>
            <w:vMerge/>
            <w:shd w:val="clear" w:color="auto" w:fill="auto"/>
            <w:hideMark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7" w:type="pct"/>
            <w:vMerge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BC772F" w:rsidRPr="00922A0C" w:rsidRDefault="00BC772F" w:rsidP="00922A0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svars</w:t>
            </w:r>
          </w:p>
        </w:tc>
        <w:tc>
          <w:tcPr>
            <w:tcW w:w="1889" w:type="pct"/>
            <w:vMerge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72F" w:rsidRPr="00922A0C" w:rsidTr="00922A0C">
        <w:trPr>
          <w:trHeight w:val="281"/>
        </w:trPr>
        <w:tc>
          <w:tcPr>
            <w:tcW w:w="356" w:type="pct"/>
            <w:shd w:val="clear" w:color="auto" w:fill="auto"/>
            <w:hideMark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</w:rPr>
              <w:t>Ekonomiski aktīvo individuālo komersantu un komercsabiedrību skaits uz 1000 iedz.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Centrālā</w:t>
            </w:r>
            <w:r w:rsidR="007A4CF4">
              <w:rPr>
                <w:rFonts w:ascii="Times New Roman" w:hAnsi="Times New Roman" w:cs="Times New Roman"/>
              </w:rPr>
              <w:t xml:space="preserve"> </w:t>
            </w:r>
            <w:r w:rsidRPr="00922A0C">
              <w:rPr>
                <w:rFonts w:ascii="Times New Roman" w:hAnsi="Times New Roman" w:cs="Times New Roman"/>
              </w:rPr>
              <w:t>statistikas pārvalde</w:t>
            </w:r>
          </w:p>
        </w:tc>
      </w:tr>
      <w:tr w:rsidR="00BC772F" w:rsidRPr="00922A0C" w:rsidTr="00922A0C">
        <w:trPr>
          <w:trHeight w:val="243"/>
        </w:trPr>
        <w:tc>
          <w:tcPr>
            <w:tcW w:w="356" w:type="pct"/>
            <w:shd w:val="clear" w:color="auto" w:fill="auto"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</w:rPr>
              <w:t>Bezdarba līmenis, %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 xml:space="preserve">Nodarbinātības valsts aģentūra (reģistrēto bezdarbnieku skaits) un </w:t>
            </w:r>
            <w:r w:rsidR="00383D9C" w:rsidRPr="00922A0C">
              <w:rPr>
                <w:rFonts w:ascii="Times New Roman" w:hAnsi="Times New Roman" w:cs="Times New Roman"/>
              </w:rPr>
              <w:t xml:space="preserve">Centrālā statistikas pārvalde </w:t>
            </w:r>
            <w:r w:rsidRPr="00922A0C">
              <w:rPr>
                <w:rFonts w:ascii="Times New Roman" w:hAnsi="Times New Roman" w:cs="Times New Roman"/>
              </w:rPr>
              <w:t>(darbspējas vecuma iedzīvotāju skaits)</w:t>
            </w:r>
          </w:p>
        </w:tc>
      </w:tr>
      <w:tr w:rsidR="00BC772F" w:rsidRPr="00922A0C" w:rsidTr="00922A0C">
        <w:trPr>
          <w:trHeight w:val="243"/>
        </w:trPr>
        <w:tc>
          <w:tcPr>
            <w:tcW w:w="356" w:type="pct"/>
            <w:shd w:val="clear" w:color="auto" w:fill="auto"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Trūcīgo personu īpatsvars iedzīvotāju kopskaitā, %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Labklājības ministrija (trūcīgo personu skaits) un Centrālā statistikas pārvalde (gada vidējais iedzīvotāju skaits)</w:t>
            </w:r>
          </w:p>
        </w:tc>
      </w:tr>
      <w:tr w:rsidR="00BC772F" w:rsidRPr="00922A0C" w:rsidTr="00922A0C">
        <w:trPr>
          <w:trHeight w:val="243"/>
        </w:trPr>
        <w:tc>
          <w:tcPr>
            <w:tcW w:w="356" w:type="pct"/>
            <w:shd w:val="clear" w:color="auto" w:fill="auto"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Kopējais noziedzīgo nodarījumu skaits uz 1000 iedzīvotājiem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Iekšlietu ministrijas Informācijas centrs (kopējais noziedzīgo nodarījumu skaits) un Centrālā statistikas pārvalde (gada vidējais iedzīvotāju skaits)</w:t>
            </w:r>
          </w:p>
        </w:tc>
      </w:tr>
      <w:tr w:rsidR="00BC772F" w:rsidRPr="00922A0C" w:rsidTr="00922A0C">
        <w:trPr>
          <w:trHeight w:val="243"/>
        </w:trPr>
        <w:tc>
          <w:tcPr>
            <w:tcW w:w="356" w:type="pct"/>
            <w:shd w:val="clear" w:color="auto" w:fill="auto"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Dabiskās kustības saldo uz 1000 iedzīvotājiem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Centrālā statistikas pārvalde (dabiskās kustības saldo un gada vidējais iedzīvotāju skaits)</w:t>
            </w:r>
          </w:p>
        </w:tc>
      </w:tr>
      <w:tr w:rsidR="00BC772F" w:rsidRPr="00922A0C" w:rsidTr="00922A0C">
        <w:trPr>
          <w:trHeight w:val="243"/>
        </w:trPr>
        <w:tc>
          <w:tcPr>
            <w:tcW w:w="356" w:type="pct"/>
            <w:shd w:val="clear" w:color="auto" w:fill="auto"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Ilgtermiņa migrācijas saldo uz 1000 iedzīvotājiem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Centrālā statistikas pārvalde (dabiskās kustības saldo un gada vidējais iedzīvotāju skaits)</w:t>
            </w:r>
          </w:p>
        </w:tc>
      </w:tr>
      <w:tr w:rsidR="00BC772F" w:rsidRPr="00922A0C" w:rsidTr="00922A0C">
        <w:trPr>
          <w:trHeight w:val="243"/>
        </w:trPr>
        <w:tc>
          <w:tcPr>
            <w:tcW w:w="356" w:type="pct"/>
            <w:shd w:val="clear" w:color="auto" w:fill="auto"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575F10">
            <w:pPr>
              <w:pStyle w:val="NoSpacing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 xml:space="preserve">Iedzīvotāju skaits virs darbspējas vecuma uz 1000 darbspējas vecuma iedzīvotājiem 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383D9C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 xml:space="preserve">Centrālā statistikas pārvalde </w:t>
            </w:r>
            <w:r w:rsidR="00BC772F" w:rsidRPr="00922A0C">
              <w:rPr>
                <w:rFonts w:ascii="Times New Roman" w:hAnsi="Times New Roman" w:cs="Times New Roman"/>
              </w:rPr>
              <w:t>(iedzīvotāju skaits virs darbspējas vecuma un darbspējas vecuma)</w:t>
            </w:r>
          </w:p>
        </w:tc>
      </w:tr>
      <w:tr w:rsidR="00BC772F" w:rsidRPr="00922A0C" w:rsidTr="00922A0C">
        <w:trPr>
          <w:trHeight w:val="243"/>
        </w:trPr>
        <w:tc>
          <w:tcPr>
            <w:tcW w:w="356" w:type="pct"/>
            <w:shd w:val="clear" w:color="auto" w:fill="auto"/>
          </w:tcPr>
          <w:p w:rsidR="00BC772F" w:rsidRPr="00922A0C" w:rsidRDefault="00BC772F" w:rsidP="006D2C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87" w:type="pct"/>
            <w:shd w:val="clear" w:color="auto" w:fill="auto"/>
          </w:tcPr>
          <w:p w:rsidR="00BC772F" w:rsidRPr="00922A0C" w:rsidRDefault="00BC772F" w:rsidP="00D75A66">
            <w:pPr>
              <w:pStyle w:val="NoSpacing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Iedzīvotāju ienākumu nodoklis uz 1.iedz.</w:t>
            </w:r>
            <w:r w:rsidR="007D1C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1C86" w:rsidRPr="007D1C86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F3031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 xml:space="preserve">Valsts ieņēmumu dienests (pārskata periodā faktiski ieturētā iedzīvotāju ienākuma nodokļa summa) un </w:t>
            </w:r>
            <w:r w:rsidR="00383D9C" w:rsidRPr="00922A0C">
              <w:rPr>
                <w:rFonts w:ascii="Times New Roman" w:hAnsi="Times New Roman" w:cs="Times New Roman"/>
              </w:rPr>
              <w:t xml:space="preserve">Centrālā statistikas pārvalde </w:t>
            </w:r>
            <w:r w:rsidRPr="00922A0C">
              <w:rPr>
                <w:rFonts w:ascii="Times New Roman" w:hAnsi="Times New Roman" w:cs="Times New Roman"/>
              </w:rPr>
              <w:t>(pastāvīgo iedzīvotāju skaits)</w:t>
            </w:r>
          </w:p>
        </w:tc>
      </w:tr>
      <w:tr w:rsidR="00BC772F" w:rsidRPr="00922A0C" w:rsidTr="00922A0C">
        <w:trPr>
          <w:trHeight w:val="243"/>
        </w:trPr>
        <w:tc>
          <w:tcPr>
            <w:tcW w:w="2043" w:type="pct"/>
            <w:gridSpan w:val="2"/>
            <w:shd w:val="clear" w:color="auto" w:fill="auto"/>
          </w:tcPr>
          <w:p w:rsidR="00BC772F" w:rsidRPr="00922A0C" w:rsidRDefault="00BC772F" w:rsidP="00BB64F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Svaru summa</w:t>
            </w:r>
          </w:p>
        </w:tc>
        <w:tc>
          <w:tcPr>
            <w:tcW w:w="1068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889" w:type="pct"/>
            <w:shd w:val="clear" w:color="auto" w:fill="auto"/>
          </w:tcPr>
          <w:p w:rsidR="00BC772F" w:rsidRPr="00922A0C" w:rsidRDefault="00BC772F" w:rsidP="00BB64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0A1" w:rsidRDefault="00AF60A1" w:rsidP="00AF60A1">
      <w:pPr>
        <w:jc w:val="right"/>
        <w:rPr>
          <w:bCs/>
        </w:rPr>
      </w:pPr>
    </w:p>
    <w:p w:rsidR="00BC772F" w:rsidRDefault="00AF60A1" w:rsidP="00AF60A1">
      <w:pPr>
        <w:jc w:val="right"/>
        <w:rPr>
          <w:bCs/>
        </w:rPr>
      </w:pPr>
      <w:r w:rsidRPr="00922A0C">
        <w:rPr>
          <w:bCs/>
        </w:rPr>
        <w:t xml:space="preserve">2.tabula </w:t>
      </w:r>
    </w:p>
    <w:p w:rsidR="00AF60A1" w:rsidRPr="00BC772F" w:rsidRDefault="00AF60A1" w:rsidP="00AF60A1">
      <w:pPr>
        <w:jc w:val="right"/>
        <w:rPr>
          <w:bCs/>
        </w:rPr>
      </w:pPr>
    </w:p>
    <w:p w:rsidR="00AF60A1" w:rsidRPr="00B260AD" w:rsidRDefault="00AF60A1" w:rsidP="00AF60A1">
      <w:pPr>
        <w:jc w:val="center"/>
        <w:rPr>
          <w:b/>
          <w:bCs/>
        </w:rPr>
      </w:pPr>
      <w:r w:rsidRPr="00B260AD">
        <w:rPr>
          <w:b/>
          <w:bCs/>
        </w:rPr>
        <w:t>Teritorijas attīstības indeksa aprēķināšanai nepieciešamie rādītāji un to nozīmības svars</w:t>
      </w:r>
      <w:r w:rsidRPr="00B260AD">
        <w:rPr>
          <w:b/>
          <w:bCs/>
          <w:vertAlign w:val="superscript"/>
        </w:rPr>
        <w:t>1</w:t>
      </w:r>
      <w:r w:rsidRPr="00B260AD">
        <w:rPr>
          <w:b/>
          <w:bCs/>
        </w:rPr>
        <w:t xml:space="preserve"> (plānošanas reģioniem)</w:t>
      </w:r>
    </w:p>
    <w:p w:rsidR="00AF60A1" w:rsidRPr="00B260AD" w:rsidRDefault="00AF60A1" w:rsidP="00AF60A1">
      <w:pPr>
        <w:rPr>
          <w:b/>
          <w:bCs/>
        </w:rPr>
      </w:pPr>
    </w:p>
    <w:tbl>
      <w:tblPr>
        <w:tblStyle w:val="Colorful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61"/>
        <w:gridCol w:w="3416"/>
        <w:gridCol w:w="1701"/>
        <w:gridCol w:w="3509"/>
      </w:tblGrid>
      <w:tr w:rsidR="00AF60A1" w:rsidRPr="00A17F93" w:rsidTr="00144BD8">
        <w:trPr>
          <w:trHeight w:val="480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Nr.</w:t>
            </w:r>
          </w:p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p.k.</w:t>
            </w:r>
          </w:p>
        </w:tc>
        <w:tc>
          <w:tcPr>
            <w:tcW w:w="1839" w:type="pct"/>
            <w:vMerge w:val="restart"/>
            <w:shd w:val="clear" w:color="auto" w:fill="auto"/>
            <w:vAlign w:val="center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Rādītājs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Plānošanas reģioni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Datu avots</w:t>
            </w:r>
          </w:p>
        </w:tc>
      </w:tr>
      <w:tr w:rsidR="00AF60A1" w:rsidRPr="00A17F93" w:rsidTr="00144BD8">
        <w:trPr>
          <w:trHeight w:val="312"/>
        </w:trPr>
        <w:tc>
          <w:tcPr>
            <w:tcW w:w="356" w:type="pct"/>
            <w:vMerge/>
            <w:shd w:val="clear" w:color="auto" w:fill="auto"/>
            <w:hideMark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9" w:type="pct"/>
            <w:vMerge/>
            <w:shd w:val="clear" w:color="auto" w:fill="auto"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svars</w:t>
            </w:r>
          </w:p>
        </w:tc>
        <w:tc>
          <w:tcPr>
            <w:tcW w:w="1889" w:type="pct"/>
            <w:vMerge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0A1" w:rsidRPr="00A17F93" w:rsidTr="00144BD8">
        <w:trPr>
          <w:trHeight w:val="281"/>
        </w:trPr>
        <w:tc>
          <w:tcPr>
            <w:tcW w:w="356" w:type="pct"/>
            <w:shd w:val="clear" w:color="auto" w:fill="auto"/>
            <w:hideMark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7B3D13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</w:rPr>
              <w:t xml:space="preserve">Iekšzemes kopprodukts uz vienu iedzīvotāju, </w:t>
            </w:r>
            <w:proofErr w:type="spellStart"/>
            <w:r w:rsidR="007B3D13" w:rsidRPr="007B3D13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="007B3D13" w:rsidRPr="00A17F93">
              <w:rPr>
                <w:rFonts w:ascii="Times New Roman" w:hAnsi="Times New Roman" w:cs="Times New Roman"/>
              </w:rPr>
              <w:t xml:space="preserve"> </w:t>
            </w:r>
            <w:r w:rsidRPr="00A17F93">
              <w:rPr>
                <w:rFonts w:ascii="Times New Roman" w:hAnsi="Times New Roman" w:cs="Times New Roman"/>
              </w:rPr>
              <w:t>(faktiskajās cenās)</w:t>
            </w:r>
            <w:r w:rsidRPr="00A17F9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8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Centrālā statistikas pārvalde</w:t>
            </w:r>
          </w:p>
        </w:tc>
      </w:tr>
      <w:tr w:rsidR="00AF60A1" w:rsidRPr="00A17F93" w:rsidTr="00144BD8">
        <w:trPr>
          <w:trHeight w:val="243"/>
        </w:trPr>
        <w:tc>
          <w:tcPr>
            <w:tcW w:w="35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</w:rPr>
              <w:t>Bezdarba līmenis, % (reģistrēto bezdarbnieku skaits pret darbspējas vecuma iedzīvotāju skaitu)</w:t>
            </w:r>
            <w:r w:rsidRPr="00A17F9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8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 xml:space="preserve">Nodarbinātības valsts aģentūra (reģistrēto bezdarbnieku skaits) un </w:t>
            </w:r>
            <w:r w:rsidRPr="00922A0C">
              <w:rPr>
                <w:rFonts w:ascii="Times New Roman" w:hAnsi="Times New Roman" w:cs="Times New Roman"/>
              </w:rPr>
              <w:t>Centrālā statistikas pārvalde</w:t>
            </w:r>
            <w:r w:rsidRPr="00A17F93">
              <w:rPr>
                <w:rFonts w:ascii="Times New Roman" w:hAnsi="Times New Roman" w:cs="Times New Roman"/>
              </w:rPr>
              <w:t xml:space="preserve"> (darbspējas vecuma iedzīvotāju skaits)</w:t>
            </w:r>
          </w:p>
        </w:tc>
      </w:tr>
      <w:tr w:rsidR="00AF60A1" w:rsidRPr="00A17F93" w:rsidTr="00144BD8">
        <w:trPr>
          <w:trHeight w:val="243"/>
        </w:trPr>
        <w:tc>
          <w:tcPr>
            <w:tcW w:w="35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7B3D13">
            <w:pPr>
              <w:pStyle w:val="NoSpacing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 xml:space="preserve">Iedzīvotāju ienākuma nodokļa apmērs uz vienu iedzīvotāju, </w:t>
            </w:r>
            <w:proofErr w:type="spellStart"/>
            <w:r w:rsidR="007B3D13" w:rsidRPr="007B3D13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 xml:space="preserve">Valsts kase (iedzīvotāju ienākuma nodoklis) un </w:t>
            </w:r>
            <w:bookmarkStart w:id="2" w:name="OLE_LINK1"/>
            <w:bookmarkStart w:id="3" w:name="OLE_LINK2"/>
            <w:r w:rsidRPr="00922A0C">
              <w:rPr>
                <w:rFonts w:ascii="Times New Roman" w:hAnsi="Times New Roman" w:cs="Times New Roman"/>
              </w:rPr>
              <w:t xml:space="preserve">Centrālā statistikas pārvalde </w:t>
            </w:r>
            <w:bookmarkEnd w:id="2"/>
            <w:bookmarkEnd w:id="3"/>
            <w:r w:rsidRPr="00A17F93">
              <w:rPr>
                <w:rFonts w:ascii="Times New Roman" w:hAnsi="Times New Roman" w:cs="Times New Roman"/>
              </w:rPr>
              <w:t>(</w:t>
            </w:r>
            <w:bookmarkStart w:id="4" w:name="OLE_LINK3"/>
            <w:bookmarkStart w:id="5" w:name="OLE_LINK4"/>
            <w:r w:rsidRPr="00A17F93">
              <w:rPr>
                <w:rFonts w:ascii="Times New Roman" w:hAnsi="Times New Roman" w:cs="Times New Roman"/>
              </w:rPr>
              <w:t>pastāvīgo iedzīvotāju skaits)</w:t>
            </w:r>
            <w:bookmarkEnd w:id="4"/>
            <w:bookmarkEnd w:id="5"/>
          </w:p>
        </w:tc>
      </w:tr>
      <w:tr w:rsidR="00AF60A1" w:rsidRPr="00A17F93" w:rsidTr="00144BD8">
        <w:trPr>
          <w:trHeight w:val="243"/>
        </w:trPr>
        <w:tc>
          <w:tcPr>
            <w:tcW w:w="35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7B3D13">
            <w:pPr>
              <w:pStyle w:val="NoSpacing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 xml:space="preserve">Nefinanšu investīcijas uz vienu iedzīvotāju, </w:t>
            </w:r>
            <w:proofErr w:type="spellStart"/>
            <w:r w:rsidR="007B3D13" w:rsidRPr="007B3D13">
              <w:rPr>
                <w:rFonts w:ascii="Times New Roman" w:hAnsi="Times New Roman" w:cs="Times New Roman"/>
                <w:i/>
              </w:rPr>
              <w:t>euro</w:t>
            </w:r>
            <w:proofErr w:type="spellEnd"/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Centrālā statistikas pārvalde</w:t>
            </w:r>
          </w:p>
        </w:tc>
      </w:tr>
      <w:tr w:rsidR="00AF60A1" w:rsidRPr="00A17F93" w:rsidTr="00144BD8">
        <w:trPr>
          <w:trHeight w:val="243"/>
        </w:trPr>
        <w:tc>
          <w:tcPr>
            <w:tcW w:w="35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Demogrāfiskās slodzes līmenis</w:t>
            </w:r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AF60A1" w:rsidRPr="00383D9C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22A0C">
              <w:rPr>
                <w:rFonts w:ascii="Times New Roman" w:hAnsi="Times New Roman" w:cs="Times New Roman"/>
              </w:rPr>
              <w:t>Centrālā statistikas pārvalde</w:t>
            </w:r>
          </w:p>
        </w:tc>
      </w:tr>
      <w:tr w:rsidR="00AF60A1" w:rsidRPr="00A17F93" w:rsidTr="00144BD8">
        <w:trPr>
          <w:trHeight w:val="243"/>
        </w:trPr>
        <w:tc>
          <w:tcPr>
            <w:tcW w:w="35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Individuālo komersantu un komercsabiedrību skaits uz 1000 iedzīvotājiem</w:t>
            </w:r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Centrālā statistikas pārvalde</w:t>
            </w:r>
          </w:p>
        </w:tc>
      </w:tr>
      <w:tr w:rsidR="00AF60A1" w:rsidRPr="00A17F93" w:rsidTr="00144BD8">
        <w:trPr>
          <w:trHeight w:val="243"/>
        </w:trPr>
        <w:tc>
          <w:tcPr>
            <w:tcW w:w="35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Pastāvīgo iedzīvotāju blīvums (cilvēku skaits uz vienu kvadrātkilometru)</w:t>
            </w:r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8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 xml:space="preserve">Centrālā statistikas pārvalde </w:t>
            </w:r>
            <w:r w:rsidRPr="00A17F93">
              <w:rPr>
                <w:rFonts w:ascii="Times New Roman" w:hAnsi="Times New Roman" w:cs="Times New Roman"/>
              </w:rPr>
              <w:t>(pastāvīgo iedzīvotāju skaits) un Valsts zemes dienests (platība, km</w:t>
            </w:r>
            <w:r w:rsidRPr="00A17F93">
              <w:rPr>
                <w:rFonts w:ascii="Times New Roman" w:hAnsi="Times New Roman" w:cs="Times New Roman"/>
                <w:vertAlign w:val="superscript"/>
              </w:rPr>
              <w:t>2</w:t>
            </w:r>
            <w:r w:rsidRPr="00A17F93">
              <w:rPr>
                <w:rFonts w:ascii="Times New Roman" w:hAnsi="Times New Roman" w:cs="Times New Roman"/>
              </w:rPr>
              <w:t>)</w:t>
            </w:r>
          </w:p>
        </w:tc>
      </w:tr>
      <w:tr w:rsidR="00AF60A1" w:rsidRPr="00A17F93" w:rsidTr="00144BD8">
        <w:trPr>
          <w:trHeight w:val="243"/>
        </w:trPr>
        <w:tc>
          <w:tcPr>
            <w:tcW w:w="35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3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Pastāvīgo iedzīvotāju skaita izmaiņas pēdējo piecu gadu laikā, %</w:t>
            </w:r>
          </w:p>
        </w:tc>
        <w:tc>
          <w:tcPr>
            <w:tcW w:w="916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17F9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89" w:type="pct"/>
            <w:shd w:val="clear" w:color="auto" w:fill="auto"/>
          </w:tcPr>
          <w:p w:rsidR="00AF60A1" w:rsidRPr="00383D9C" w:rsidRDefault="00AF60A1" w:rsidP="00144BD8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22A0C">
              <w:rPr>
                <w:rFonts w:ascii="Times New Roman" w:hAnsi="Times New Roman" w:cs="Times New Roman"/>
              </w:rPr>
              <w:t>Centrālā statistikas pārvalde</w:t>
            </w:r>
          </w:p>
        </w:tc>
      </w:tr>
      <w:tr w:rsidR="00AF60A1" w:rsidRPr="00A17F93" w:rsidTr="00144BD8">
        <w:trPr>
          <w:trHeight w:val="243"/>
        </w:trPr>
        <w:tc>
          <w:tcPr>
            <w:tcW w:w="2195" w:type="pct"/>
            <w:gridSpan w:val="2"/>
            <w:shd w:val="clear" w:color="auto" w:fill="auto"/>
          </w:tcPr>
          <w:p w:rsidR="00AF60A1" w:rsidRPr="00A17F93" w:rsidRDefault="00AF60A1" w:rsidP="00144BD8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Svaru summa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7F93"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1889" w:type="pct"/>
            <w:shd w:val="clear" w:color="auto" w:fill="auto"/>
          </w:tcPr>
          <w:p w:rsidR="00AF60A1" w:rsidRPr="00A17F93" w:rsidRDefault="00AF60A1" w:rsidP="00144BD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0A1" w:rsidRDefault="00AF60A1" w:rsidP="00BC772F">
      <w:pPr>
        <w:rPr>
          <w:bCs/>
        </w:rPr>
      </w:pPr>
    </w:p>
    <w:p w:rsidR="00BC772F" w:rsidRPr="00BC772F" w:rsidRDefault="00BC772F" w:rsidP="00BC772F">
      <w:pPr>
        <w:rPr>
          <w:bCs/>
        </w:rPr>
      </w:pPr>
      <w:r w:rsidRPr="00BC772F">
        <w:rPr>
          <w:bCs/>
        </w:rPr>
        <w:t>Piezīmes:</w:t>
      </w:r>
    </w:p>
    <w:p w:rsidR="00BC772F" w:rsidRPr="00BC772F" w:rsidRDefault="00BC772F" w:rsidP="00BC77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72F">
        <w:rPr>
          <w:rFonts w:ascii="Times New Roman" w:hAnsi="Times New Roman"/>
          <w:sz w:val="24"/>
          <w:szCs w:val="24"/>
        </w:rPr>
        <w:t>Nozīmības svars – rādītāju svarīgums jeb nozīme kopējā teritorijas attīstības indeksa vērtībā.</w:t>
      </w:r>
    </w:p>
    <w:p w:rsidR="00BC772F" w:rsidRPr="004E2483" w:rsidRDefault="00BC772F" w:rsidP="00BC77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483">
        <w:rPr>
          <w:rFonts w:ascii="Times New Roman" w:hAnsi="Times New Roman"/>
          <w:sz w:val="24"/>
          <w:szCs w:val="24"/>
        </w:rPr>
        <w:t>Plānošanas reģionu teritorijas attīstības indeksa ikgadējā aprēķināšanā gadam t tiek i</w:t>
      </w:r>
      <w:r w:rsidR="00423EC6">
        <w:rPr>
          <w:rFonts w:ascii="Times New Roman" w:hAnsi="Times New Roman"/>
          <w:sz w:val="24"/>
          <w:szCs w:val="24"/>
        </w:rPr>
        <w:t>zmantota statistika atbilstoši 2</w:t>
      </w:r>
      <w:r w:rsidRPr="004E2483">
        <w:rPr>
          <w:rFonts w:ascii="Times New Roman" w:hAnsi="Times New Roman"/>
          <w:sz w:val="24"/>
          <w:szCs w:val="24"/>
        </w:rPr>
        <w:t>.tabulas 1.punktā minētajam rādītājam par gadu t-2, kā arī 4. un 6.punktā minētajam rādītājam par gadu t-1.</w:t>
      </w:r>
    </w:p>
    <w:p w:rsidR="009845F7" w:rsidRDefault="00DD23EE" w:rsidP="00DD23EE">
      <w:pPr>
        <w:spacing w:before="120"/>
        <w:ind w:left="720" w:hanging="436"/>
        <w:jc w:val="both"/>
      </w:pPr>
      <w:r>
        <w:t>3</w:t>
      </w:r>
      <w:r>
        <w:tab/>
      </w:r>
      <w:r w:rsidR="00BC772F" w:rsidRPr="00DD23EE">
        <w:rPr>
          <w:color w:val="000000" w:themeColor="text1"/>
        </w:rPr>
        <w:t>Darbspējas vecuma iedzīvotāji – sievietes, vīrieši 15-62 gadi</w:t>
      </w:r>
      <w:r w:rsidR="00BE3768" w:rsidRPr="00DD23EE">
        <w:rPr>
          <w:color w:val="000000" w:themeColor="text1"/>
        </w:rPr>
        <w:t xml:space="preserve"> (aprēķiniem par 2013.gadu), pēc 2014.gada 1.janvāra saskaņā ar likuma </w:t>
      </w:r>
      <w:r w:rsidR="00857BA3" w:rsidRPr="00DD23EE">
        <w:rPr>
          <w:color w:val="000000" w:themeColor="text1"/>
        </w:rPr>
        <w:t>„</w:t>
      </w:r>
      <w:r w:rsidR="00BE3768" w:rsidRPr="00DD23EE">
        <w:rPr>
          <w:color w:val="000000" w:themeColor="text1"/>
        </w:rPr>
        <w:t>Par valsts pensijām</w:t>
      </w:r>
      <w:r w:rsidR="00857BA3" w:rsidRPr="00DD23EE">
        <w:rPr>
          <w:color w:val="000000" w:themeColor="text1"/>
        </w:rPr>
        <w:t>”</w:t>
      </w:r>
      <w:r w:rsidR="00BE3768" w:rsidRPr="00DD23EE">
        <w:rPr>
          <w:color w:val="000000" w:themeColor="text1"/>
        </w:rPr>
        <w:t xml:space="preserve"> </w:t>
      </w:r>
      <w:r w:rsidR="00933458" w:rsidRPr="00DD23EE">
        <w:rPr>
          <w:color w:val="000000" w:themeColor="text1"/>
        </w:rPr>
        <w:t xml:space="preserve">pārejas noteikumu </w:t>
      </w:r>
      <w:r w:rsidR="00BE3768" w:rsidRPr="00DD23EE">
        <w:rPr>
          <w:color w:val="000000" w:themeColor="text1"/>
        </w:rPr>
        <w:t>8.¹</w:t>
      </w:r>
      <w:r w:rsidR="00F329F4" w:rsidRPr="00DD23EE">
        <w:rPr>
          <w:color w:val="000000" w:themeColor="text1"/>
        </w:rPr>
        <w:t>punktā noteikto pensionēšanās vecuma pieaugumu, arī darbspējas vecuma grupas augšējā robeža pakāpeniski paaugstināsies.</w:t>
      </w:r>
    </w:p>
    <w:p w:rsidR="00857BA3" w:rsidRDefault="00857BA3" w:rsidP="006A0F45"/>
    <w:p w:rsidR="006A0F45" w:rsidRPr="005416D0" w:rsidRDefault="006A0F45" w:rsidP="006A0F45">
      <w:r w:rsidRPr="005416D0">
        <w:t>Iesniedzējs:</w:t>
      </w:r>
    </w:p>
    <w:p w:rsidR="00A21DB8" w:rsidRPr="003934CF" w:rsidRDefault="00A21DB8" w:rsidP="00A21DB8">
      <w:r w:rsidRPr="003934CF">
        <w:rPr>
          <w:color w:val="000000"/>
        </w:rPr>
        <w:t xml:space="preserve">vides aizsardzības un </w:t>
      </w:r>
      <w:r w:rsidRPr="003934CF">
        <w:t>reģionālās attīstības</w:t>
      </w:r>
      <w:r w:rsidR="0098402F">
        <w:t xml:space="preserve"> </w:t>
      </w:r>
      <w:r w:rsidRPr="003934CF">
        <w:t>ministrs</w:t>
      </w:r>
      <w:r w:rsidR="0098402F">
        <w:t xml:space="preserve"> </w:t>
      </w:r>
      <w:r w:rsidR="0098402F">
        <w:tab/>
      </w:r>
      <w:r w:rsidR="0098402F">
        <w:tab/>
      </w:r>
      <w:r w:rsidR="0098402F">
        <w:tab/>
      </w:r>
      <w:r w:rsidR="0098402F">
        <w:tab/>
      </w:r>
      <w:r w:rsidR="0098402F">
        <w:tab/>
      </w:r>
      <w:proofErr w:type="spellStart"/>
      <w:r w:rsidR="0098402F">
        <w:t>R.Naudiņš</w:t>
      </w:r>
      <w:proofErr w:type="spellEnd"/>
    </w:p>
    <w:p w:rsidR="006A0F45" w:rsidRPr="005416D0" w:rsidRDefault="006A0F45" w:rsidP="006A0F45"/>
    <w:p w:rsidR="00192EAA" w:rsidRPr="00DE240B" w:rsidRDefault="00192EAA" w:rsidP="00192EAA">
      <w:pPr>
        <w:jc w:val="both"/>
      </w:pPr>
    </w:p>
    <w:p w:rsidR="00192EAA" w:rsidRPr="00DE240B" w:rsidRDefault="00192EAA" w:rsidP="00192EAA">
      <w:pPr>
        <w:jc w:val="both"/>
      </w:pPr>
      <w:r w:rsidRPr="00DE240B">
        <w:t>Vīza:</w:t>
      </w:r>
    </w:p>
    <w:p w:rsidR="00192EAA" w:rsidRDefault="00192EAA" w:rsidP="00192EAA">
      <w:pPr>
        <w:jc w:val="both"/>
      </w:pPr>
      <w:r w:rsidRPr="00DE240B">
        <w:t>valsts sekretārs</w:t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r w:rsidRPr="00DE240B">
        <w:tab/>
      </w:r>
      <w:proofErr w:type="gramStart"/>
      <w:r w:rsidR="0098402F">
        <w:t xml:space="preserve">             </w:t>
      </w:r>
      <w:proofErr w:type="gramEnd"/>
      <w:r w:rsidR="0098402F">
        <w:t>G.Puķītis</w:t>
      </w:r>
    </w:p>
    <w:p w:rsidR="00192EAA" w:rsidRDefault="00192EAA" w:rsidP="00192EAA">
      <w:pPr>
        <w:jc w:val="both"/>
      </w:pPr>
    </w:p>
    <w:p w:rsidR="00A14F78" w:rsidRDefault="00A14F78" w:rsidP="00192EAA">
      <w:pPr>
        <w:jc w:val="both"/>
      </w:pPr>
    </w:p>
    <w:p w:rsidR="00A14F78" w:rsidRPr="00DE240B" w:rsidRDefault="00A14F78" w:rsidP="00192EAA">
      <w:pPr>
        <w:jc w:val="both"/>
      </w:pPr>
    </w:p>
    <w:p w:rsidR="00192EAA" w:rsidRPr="009A62F0" w:rsidRDefault="008E44C4" w:rsidP="00192EAA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BD2BBC">
        <w:rPr>
          <w:noProof/>
          <w:sz w:val="20"/>
        </w:rPr>
        <w:t>02.06.2014. 16:40</w:t>
      </w:r>
      <w:r>
        <w:rPr>
          <w:sz w:val="20"/>
        </w:rPr>
        <w:fldChar w:fldCharType="end"/>
      </w:r>
    </w:p>
    <w:p w:rsidR="00A14F78" w:rsidRDefault="000136EE" w:rsidP="00192EAA">
      <w:pPr>
        <w:rPr>
          <w:sz w:val="20"/>
        </w:rPr>
      </w:pPr>
      <w:fldSimple w:instr=" NUMWORDS   \* MERGEFORMAT ">
        <w:r w:rsidR="00534307" w:rsidRPr="00534307">
          <w:rPr>
            <w:noProof/>
            <w:sz w:val="20"/>
          </w:rPr>
          <w:t>732</w:t>
        </w:r>
      </w:fldSimple>
    </w:p>
    <w:p w:rsidR="00192EAA" w:rsidRPr="009A62F0" w:rsidRDefault="0098402F" w:rsidP="00192EAA">
      <w:pPr>
        <w:rPr>
          <w:sz w:val="20"/>
        </w:rPr>
      </w:pPr>
      <w:r>
        <w:rPr>
          <w:sz w:val="20"/>
        </w:rPr>
        <w:t>L.Vikšere</w:t>
      </w:r>
    </w:p>
    <w:p w:rsidR="00672C5B" w:rsidRPr="009A62F0" w:rsidRDefault="00192EAA" w:rsidP="00192EAA">
      <w:pPr>
        <w:rPr>
          <w:sz w:val="20"/>
        </w:rPr>
      </w:pPr>
      <w:r w:rsidRPr="009A62F0">
        <w:rPr>
          <w:sz w:val="20"/>
        </w:rPr>
        <w:t>660167</w:t>
      </w:r>
      <w:r w:rsidR="0098402F"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="00672C5B" w:rsidRPr="002856E2">
          <w:rPr>
            <w:rStyle w:val="Hyperlink"/>
            <w:sz w:val="20"/>
          </w:rPr>
          <w:t>Laura.Viksere@varam.gov.lv</w:t>
        </w:r>
      </w:hyperlink>
    </w:p>
    <w:p w:rsidR="0005075E" w:rsidRPr="002166C8" w:rsidRDefault="0005075E" w:rsidP="0005075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7C8E" w:rsidRDefault="00F07C8E"/>
    <w:sectPr w:rsidR="00F07C8E" w:rsidSect="006E34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5E" w:rsidRDefault="005C245E">
      <w:r>
        <w:separator/>
      </w:r>
    </w:p>
  </w:endnote>
  <w:endnote w:type="continuationSeparator" w:id="0">
    <w:p w:rsidR="005C245E" w:rsidRDefault="005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C8" w:rsidRPr="00534307" w:rsidRDefault="000136EE" w:rsidP="00534307">
    <w:pPr>
      <w:pStyle w:val="Footer"/>
      <w:ind w:right="99"/>
      <w:rPr>
        <w:i/>
        <w:sz w:val="20"/>
        <w:szCs w:val="20"/>
      </w:rPr>
    </w:pPr>
    <w:fldSimple w:instr=" FILENAME   \* MERGEFORMAT ">
      <w:r w:rsidR="00BD2BBC" w:rsidRPr="00BD2BBC">
        <w:rPr>
          <w:noProof/>
          <w:sz w:val="20"/>
          <w:szCs w:val="20"/>
        </w:rPr>
        <w:t>VARAMPiel11_020614_RAIM</w:t>
      </w:r>
    </w:fldSimple>
    <w:r w:rsidR="006E34C8">
      <w:rPr>
        <w:sz w:val="20"/>
        <w:szCs w:val="20"/>
      </w:rPr>
      <w:t>;</w:t>
    </w:r>
    <w:r w:rsidR="006E34C8">
      <w:rPr>
        <w:i/>
        <w:sz w:val="20"/>
        <w:szCs w:val="20"/>
      </w:rPr>
      <w:t xml:space="preserve"> </w:t>
    </w:r>
    <w:r w:rsidR="006E34C8" w:rsidRPr="00993A04">
      <w:rPr>
        <w:sz w:val="20"/>
        <w:szCs w:val="20"/>
      </w:rPr>
      <w:t xml:space="preserve">Ministru kabineta noteikumu projekts </w:t>
    </w:r>
    <w:r w:rsidR="006E34C8">
      <w:rPr>
        <w:bCs/>
        <w:sz w:val="20"/>
      </w:rPr>
      <w:t>„Reģionālās attīstības uzraudzības un novērtēšanas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C8" w:rsidRPr="002166C8" w:rsidRDefault="000136EE" w:rsidP="006E34C8">
    <w:pPr>
      <w:pStyle w:val="Footer"/>
      <w:ind w:right="99"/>
      <w:rPr>
        <w:i/>
        <w:sz w:val="20"/>
        <w:szCs w:val="20"/>
      </w:rPr>
    </w:pPr>
    <w:fldSimple w:instr=" FILENAME   \* MERGEFORMAT ">
      <w:r w:rsidR="00BD2BBC" w:rsidRPr="00BD2BBC">
        <w:rPr>
          <w:noProof/>
          <w:sz w:val="20"/>
          <w:szCs w:val="20"/>
        </w:rPr>
        <w:t>VARAMPiel11_020614_RAIM</w:t>
      </w:r>
    </w:fldSimple>
    <w:r w:rsidR="006E34C8">
      <w:rPr>
        <w:sz w:val="20"/>
        <w:szCs w:val="20"/>
      </w:rPr>
      <w:t>;</w:t>
    </w:r>
    <w:r w:rsidR="006E34C8">
      <w:rPr>
        <w:i/>
        <w:sz w:val="20"/>
        <w:szCs w:val="20"/>
      </w:rPr>
      <w:t xml:space="preserve"> </w:t>
    </w:r>
    <w:r w:rsidR="006E34C8" w:rsidRPr="00993A04">
      <w:rPr>
        <w:sz w:val="20"/>
        <w:szCs w:val="20"/>
      </w:rPr>
      <w:t xml:space="preserve">Ministru kabineta noteikumu projekts </w:t>
    </w:r>
    <w:r w:rsidR="006E34C8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5E" w:rsidRDefault="005C245E">
      <w:r>
        <w:separator/>
      </w:r>
    </w:p>
  </w:footnote>
  <w:footnote w:type="continuationSeparator" w:id="0">
    <w:p w:rsidR="005C245E" w:rsidRDefault="005C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652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763" w:rsidRDefault="00CA47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763" w:rsidRDefault="00CA4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C8" w:rsidRPr="00E762F1" w:rsidRDefault="006E34C8" w:rsidP="006E34C8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765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C757E8"/>
    <w:multiLevelType w:val="hybridMultilevel"/>
    <w:tmpl w:val="075A4CCE"/>
    <w:lvl w:ilvl="0" w:tplc="F3B4C13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5EBA"/>
    <w:multiLevelType w:val="multilevel"/>
    <w:tmpl w:val="0B725B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E"/>
    <w:rsid w:val="000022FA"/>
    <w:rsid w:val="000136EE"/>
    <w:rsid w:val="0005075E"/>
    <w:rsid w:val="00067021"/>
    <w:rsid w:val="000C2B47"/>
    <w:rsid w:val="000C4CAC"/>
    <w:rsid w:val="000E6591"/>
    <w:rsid w:val="00120F24"/>
    <w:rsid w:val="00125ACF"/>
    <w:rsid w:val="001652FA"/>
    <w:rsid w:val="00192EAA"/>
    <w:rsid w:val="001A4047"/>
    <w:rsid w:val="0021211E"/>
    <w:rsid w:val="00223A7B"/>
    <w:rsid w:val="00284B73"/>
    <w:rsid w:val="002D11A6"/>
    <w:rsid w:val="002E0413"/>
    <w:rsid w:val="003102A1"/>
    <w:rsid w:val="0031042D"/>
    <w:rsid w:val="003202B1"/>
    <w:rsid w:val="00332DBF"/>
    <w:rsid w:val="00351522"/>
    <w:rsid w:val="00356EA8"/>
    <w:rsid w:val="00383D9C"/>
    <w:rsid w:val="003C7E61"/>
    <w:rsid w:val="003D6C52"/>
    <w:rsid w:val="003F2049"/>
    <w:rsid w:val="003F6B05"/>
    <w:rsid w:val="00411F20"/>
    <w:rsid w:val="004175F2"/>
    <w:rsid w:val="00423EC6"/>
    <w:rsid w:val="00454156"/>
    <w:rsid w:val="00457046"/>
    <w:rsid w:val="004736AE"/>
    <w:rsid w:val="00482A5F"/>
    <w:rsid w:val="004A29E5"/>
    <w:rsid w:val="004A78E5"/>
    <w:rsid w:val="004E2483"/>
    <w:rsid w:val="00506588"/>
    <w:rsid w:val="00534307"/>
    <w:rsid w:val="00556A1A"/>
    <w:rsid w:val="00573AD6"/>
    <w:rsid w:val="00575F10"/>
    <w:rsid w:val="00594B23"/>
    <w:rsid w:val="005C245E"/>
    <w:rsid w:val="005C36EA"/>
    <w:rsid w:val="005D31E1"/>
    <w:rsid w:val="005D3A0F"/>
    <w:rsid w:val="005E5020"/>
    <w:rsid w:val="006101BA"/>
    <w:rsid w:val="00625D6E"/>
    <w:rsid w:val="00635601"/>
    <w:rsid w:val="00672C5B"/>
    <w:rsid w:val="006822F0"/>
    <w:rsid w:val="006A0F45"/>
    <w:rsid w:val="006D2CF0"/>
    <w:rsid w:val="006E34C8"/>
    <w:rsid w:val="0072315F"/>
    <w:rsid w:val="007A4CF4"/>
    <w:rsid w:val="007B2784"/>
    <w:rsid w:val="007B3D13"/>
    <w:rsid w:val="007D1C86"/>
    <w:rsid w:val="007F589C"/>
    <w:rsid w:val="008530F4"/>
    <w:rsid w:val="00857BA3"/>
    <w:rsid w:val="008E44C4"/>
    <w:rsid w:val="008F3272"/>
    <w:rsid w:val="00922A0C"/>
    <w:rsid w:val="0093034A"/>
    <w:rsid w:val="0093303D"/>
    <w:rsid w:val="00933458"/>
    <w:rsid w:val="0094000F"/>
    <w:rsid w:val="0098402F"/>
    <w:rsid w:val="009845F7"/>
    <w:rsid w:val="009851F1"/>
    <w:rsid w:val="009907D4"/>
    <w:rsid w:val="00993596"/>
    <w:rsid w:val="00A14F78"/>
    <w:rsid w:val="00A17F93"/>
    <w:rsid w:val="00A21DB8"/>
    <w:rsid w:val="00A56480"/>
    <w:rsid w:val="00A57097"/>
    <w:rsid w:val="00A73211"/>
    <w:rsid w:val="00A8215B"/>
    <w:rsid w:val="00AB0FA0"/>
    <w:rsid w:val="00AD6002"/>
    <w:rsid w:val="00AE71F6"/>
    <w:rsid w:val="00AF16F5"/>
    <w:rsid w:val="00AF60A1"/>
    <w:rsid w:val="00B260AD"/>
    <w:rsid w:val="00B47DBE"/>
    <w:rsid w:val="00B66D2A"/>
    <w:rsid w:val="00B80A29"/>
    <w:rsid w:val="00B81EDB"/>
    <w:rsid w:val="00BC772F"/>
    <w:rsid w:val="00BD2BBC"/>
    <w:rsid w:val="00BE3768"/>
    <w:rsid w:val="00C04287"/>
    <w:rsid w:val="00C233C0"/>
    <w:rsid w:val="00C70031"/>
    <w:rsid w:val="00C7394B"/>
    <w:rsid w:val="00CA3513"/>
    <w:rsid w:val="00CA4763"/>
    <w:rsid w:val="00CE398F"/>
    <w:rsid w:val="00D477B5"/>
    <w:rsid w:val="00D75A66"/>
    <w:rsid w:val="00DD23EE"/>
    <w:rsid w:val="00E156A2"/>
    <w:rsid w:val="00E64342"/>
    <w:rsid w:val="00E75250"/>
    <w:rsid w:val="00E91D37"/>
    <w:rsid w:val="00EB19A9"/>
    <w:rsid w:val="00ED11CA"/>
    <w:rsid w:val="00EF3294"/>
    <w:rsid w:val="00F07C8E"/>
    <w:rsid w:val="00F3031E"/>
    <w:rsid w:val="00F329F4"/>
    <w:rsid w:val="00F51020"/>
    <w:rsid w:val="00F55C4E"/>
    <w:rsid w:val="00F61F57"/>
    <w:rsid w:val="00F71392"/>
    <w:rsid w:val="00F74BFD"/>
    <w:rsid w:val="00F9679D"/>
    <w:rsid w:val="00FA0716"/>
    <w:rsid w:val="00FC5C3C"/>
    <w:rsid w:val="00FD3AF4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7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07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075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uiPriority w:val="99"/>
    <w:rsid w:val="0005075E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050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7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05075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25AC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ACF"/>
    <w:rPr>
      <w:rFonts w:ascii="Times New Roman" w:eastAsia="Times New Roman" w:hAnsi="Times New Roman"/>
      <w:b/>
      <w:bCs/>
      <w:lang w:eastAsia="en-US"/>
    </w:rPr>
  </w:style>
  <w:style w:type="table" w:styleId="ColorfulShading-Accent1">
    <w:name w:val="Colorful Shading Accent 1"/>
    <w:basedOn w:val="TableNormal"/>
    <w:uiPriority w:val="71"/>
    <w:rsid w:val="00B260AD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7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07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50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075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uiPriority w:val="99"/>
    <w:rsid w:val="0005075E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050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7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05075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25AC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ACF"/>
    <w:rPr>
      <w:rFonts w:ascii="Times New Roman" w:eastAsia="Times New Roman" w:hAnsi="Times New Roman"/>
      <w:b/>
      <w:bCs/>
      <w:lang w:eastAsia="en-US"/>
    </w:rPr>
  </w:style>
  <w:style w:type="table" w:styleId="ColorfulShading-Accent1">
    <w:name w:val="Colorful Shading Accent 1"/>
    <w:basedOn w:val="TableNormal"/>
    <w:uiPriority w:val="71"/>
    <w:rsid w:val="00B260AD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8A6F-0559-41E3-BA7A-15769D9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Prēdelis</dc:creator>
  <cp:lastModifiedBy>Laura Vikšere</cp:lastModifiedBy>
  <cp:revision>27</cp:revision>
  <cp:lastPrinted>2013-10-03T13:20:00Z</cp:lastPrinted>
  <dcterms:created xsi:type="dcterms:W3CDTF">2014-04-08T11:36:00Z</dcterms:created>
  <dcterms:modified xsi:type="dcterms:W3CDTF">2014-06-02T13:40:00Z</dcterms:modified>
</cp:coreProperties>
</file>