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84" w:rsidRPr="00393C64" w:rsidRDefault="00F90884" w:rsidP="004E18D2">
      <w:pPr>
        <w:jc w:val="right"/>
        <w:rPr>
          <w:rFonts w:ascii="Times New Roman" w:hAnsi="Times New Roman"/>
          <w:sz w:val="28"/>
          <w:szCs w:val="28"/>
          <w:lang w:val="lv-LV"/>
        </w:rPr>
      </w:pPr>
      <w:r w:rsidRPr="00393C64">
        <w:rPr>
          <w:rFonts w:ascii="Times New Roman" w:hAnsi="Times New Roman"/>
          <w:sz w:val="28"/>
          <w:szCs w:val="28"/>
          <w:lang w:val="lv-LV"/>
        </w:rPr>
        <w:t>Pielikums</w:t>
      </w:r>
    </w:p>
    <w:p w:rsidR="00F90884" w:rsidRPr="00393C64" w:rsidRDefault="00F90884">
      <w:pPr>
        <w:rPr>
          <w:rFonts w:ascii="Times New Roman" w:hAnsi="Times New Roman"/>
          <w:sz w:val="28"/>
          <w:szCs w:val="28"/>
          <w:lang w:val="lv-LV"/>
        </w:rPr>
      </w:pPr>
    </w:p>
    <w:p w:rsidR="00F90884" w:rsidRPr="00FC3C6A" w:rsidRDefault="00F90884" w:rsidP="00A90EA7">
      <w:pPr>
        <w:spacing w:afterLines="60"/>
        <w:jc w:val="center"/>
        <w:rPr>
          <w:rFonts w:ascii="Times New Roman" w:hAnsi="Times New Roman"/>
          <w:b/>
          <w:sz w:val="28"/>
          <w:szCs w:val="28"/>
          <w:lang w:val="lv-LV"/>
        </w:rPr>
      </w:pPr>
      <w:r w:rsidRPr="00FC3C6A">
        <w:rPr>
          <w:rFonts w:ascii="Times New Roman" w:hAnsi="Times New Roman"/>
          <w:b/>
          <w:sz w:val="28"/>
          <w:szCs w:val="28"/>
          <w:lang w:val="lv-LV"/>
        </w:rPr>
        <w:t>Informatīvā ziņojuma „Par papildu valsts budžeta saistību uzņemšanos atsevišķiem projektiem dabas aizsardzības un reģionālās attīstības politikas jomā” projektu apraksti</w:t>
      </w:r>
    </w:p>
    <w:p w:rsidR="00F90884" w:rsidRPr="00393C64" w:rsidRDefault="00F90884" w:rsidP="004E18D2">
      <w:pPr>
        <w:rPr>
          <w:rFonts w:ascii="Times New Roman" w:hAnsi="Times New Roman"/>
          <w:sz w:val="28"/>
          <w:szCs w:val="28"/>
          <w:lang w:val="lv-LV"/>
        </w:rPr>
      </w:pPr>
    </w:p>
    <w:p w:rsidR="00F90884" w:rsidRPr="00393C64" w:rsidRDefault="00F90884" w:rsidP="004E18D2">
      <w:pPr>
        <w:jc w:val="center"/>
        <w:rPr>
          <w:rFonts w:ascii="Times New Roman" w:hAnsi="Times New Roman"/>
          <w:b/>
          <w:bCs/>
          <w:sz w:val="28"/>
          <w:szCs w:val="28"/>
          <w:lang w:val="lv-LV"/>
        </w:rPr>
      </w:pPr>
      <w:r w:rsidRPr="00393C64">
        <w:rPr>
          <w:rFonts w:ascii="Times New Roman" w:hAnsi="Times New Roman"/>
          <w:b/>
          <w:sz w:val="28"/>
          <w:szCs w:val="28"/>
          <w:lang w:val="lv-LV"/>
        </w:rPr>
        <w:t xml:space="preserve">Latvijas Dabas muzeja projekts </w:t>
      </w:r>
      <w:r w:rsidRPr="00393C64">
        <w:rPr>
          <w:rFonts w:ascii="Times New Roman" w:hAnsi="Times New Roman"/>
          <w:b/>
          <w:bCs/>
          <w:sz w:val="28"/>
          <w:szCs w:val="28"/>
          <w:lang w:val="lv-LV"/>
        </w:rPr>
        <w:t>„Latvijas Dabas muzeja administratīvā personāla pieredzes apmaiņas vizītes dabas zinātņu muzej</w:t>
      </w:r>
      <w:r>
        <w:rPr>
          <w:rFonts w:ascii="Times New Roman" w:hAnsi="Times New Roman"/>
          <w:b/>
          <w:bCs/>
          <w:sz w:val="28"/>
          <w:szCs w:val="28"/>
          <w:lang w:val="lv-LV"/>
        </w:rPr>
        <w:t>os Islandē un Dānijā”</w:t>
      </w:r>
      <w:r w:rsidRPr="00393C64">
        <w:rPr>
          <w:rFonts w:ascii="Times New Roman" w:hAnsi="Times New Roman"/>
          <w:b/>
          <w:bCs/>
          <w:sz w:val="28"/>
          <w:szCs w:val="28"/>
          <w:lang w:val="lv-LV"/>
        </w:rPr>
        <w:t>.</w:t>
      </w:r>
    </w:p>
    <w:p w:rsidR="00F90884" w:rsidRPr="00393C64" w:rsidRDefault="00F90884" w:rsidP="004E18D2">
      <w:pPr>
        <w:rPr>
          <w:rFonts w:ascii="Times New Roman" w:hAnsi="Times New Roman"/>
          <w:b/>
          <w:sz w:val="24"/>
          <w:szCs w:val="24"/>
          <w:lang w:val="lv-LV"/>
        </w:rPr>
      </w:pPr>
    </w:p>
    <w:p w:rsidR="00F90884" w:rsidRPr="00393C64" w:rsidRDefault="00F90884" w:rsidP="004E18D2">
      <w:pPr>
        <w:rPr>
          <w:rFonts w:ascii="Times New Roman" w:hAnsi="Times New Roman"/>
          <w:b/>
          <w:sz w:val="24"/>
          <w:szCs w:val="24"/>
          <w:lang w:val="lv-LV"/>
        </w:rPr>
      </w:pPr>
      <w:r w:rsidRPr="00393C64">
        <w:rPr>
          <w:rFonts w:ascii="Times New Roman" w:hAnsi="Times New Roman"/>
          <w:b/>
          <w:sz w:val="24"/>
          <w:szCs w:val="24"/>
          <w:lang w:val="lv-LV"/>
        </w:rPr>
        <w:t>I Projekta sasaiste ar politikas dokumentiem un tiesību aktiem</w:t>
      </w:r>
    </w:p>
    <w:p w:rsidR="00F90884" w:rsidRPr="00393C64" w:rsidRDefault="00F90884" w:rsidP="00256A1B">
      <w:pPr>
        <w:autoSpaceDE w:val="0"/>
        <w:autoSpaceDN w:val="0"/>
        <w:adjustRightInd w:val="0"/>
        <w:rPr>
          <w:rFonts w:ascii="Times New Roman" w:hAnsi="Times New Roman"/>
          <w:color w:val="000000"/>
          <w:sz w:val="24"/>
          <w:szCs w:val="24"/>
          <w:lang w:val="lv-LV" w:eastAsia="lv-LV"/>
        </w:rPr>
      </w:pPr>
      <w:r w:rsidRPr="00393C64">
        <w:rPr>
          <w:rFonts w:ascii="Times New Roman" w:hAnsi="Times New Roman"/>
          <w:b/>
          <w:bCs/>
          <w:sz w:val="24"/>
          <w:szCs w:val="24"/>
          <w:shd w:val="clear" w:color="auto" w:fill="FFFFFF"/>
          <w:lang w:val="lv-LV"/>
        </w:rPr>
        <w:t xml:space="preserve">Vides politikas pamatnostādnēs 2014. – 2020. gadam </w:t>
      </w:r>
      <w:r w:rsidRPr="00393C64">
        <w:rPr>
          <w:rFonts w:ascii="Times New Roman" w:hAnsi="Times New Roman"/>
          <w:bCs/>
          <w:sz w:val="24"/>
          <w:szCs w:val="24"/>
          <w:shd w:val="clear" w:color="auto" w:fill="FFFFFF"/>
          <w:lang w:val="lv-LV"/>
        </w:rPr>
        <w:t>minēts, ka</w:t>
      </w:r>
      <w:r w:rsidRPr="00393C64">
        <w:rPr>
          <w:rFonts w:ascii="Times New Roman" w:hAnsi="Times New Roman"/>
          <w:b/>
          <w:bCs/>
          <w:color w:val="000000"/>
          <w:sz w:val="24"/>
          <w:szCs w:val="24"/>
          <w:lang w:val="lv-LV" w:eastAsia="lv-LV"/>
        </w:rPr>
        <w:t xml:space="preserve"> </w:t>
      </w:r>
      <w:r w:rsidRPr="00393C64">
        <w:rPr>
          <w:rFonts w:ascii="Times New Roman" w:hAnsi="Times New Roman"/>
          <w:bCs/>
          <w:color w:val="000000"/>
          <w:sz w:val="24"/>
          <w:szCs w:val="24"/>
          <w:lang w:val="lv-LV" w:eastAsia="lv-LV"/>
        </w:rPr>
        <w:t>vides informācijas, komunikācijas un vides izglītības</w:t>
      </w:r>
      <w:r w:rsidRPr="00393C64">
        <w:rPr>
          <w:rFonts w:ascii="Times New Roman" w:hAnsi="Times New Roman"/>
          <w:color w:val="000000"/>
          <w:sz w:val="24"/>
          <w:szCs w:val="24"/>
          <w:lang w:val="lv-LV" w:eastAsia="lv-LV"/>
        </w:rPr>
        <w:t xml:space="preserve">, kā arī izglītības ilgtspējīgai attīstībai nodrošināšanā nozīmīga loma ir tādām sabiedrībā plaši pazīstamām institūcijām kā </w:t>
      </w:r>
      <w:r w:rsidRPr="00393C64">
        <w:rPr>
          <w:rFonts w:ascii="Times New Roman" w:hAnsi="Times New Roman"/>
          <w:sz w:val="24"/>
          <w:szCs w:val="24"/>
          <w:lang w:val="lv-LV" w:eastAsia="lv-LV"/>
        </w:rPr>
        <w:t xml:space="preserve">Nacionālais Botāniskais dārzs (NBD), Latvijas Dabas muzejs (LDM), Rīgas Nacionālajam zooloģiskajam dārzam (RNZD), Latvijas Universitātes Botāniskajam dārzam. Taču jāpiezīmē, ka iepriekšminētajās iestādēs ir izteikta cilvēkresursu nepietiekamība vides izglītības darbam. Tāpat, </w:t>
      </w:r>
      <w:r w:rsidRPr="00393C64">
        <w:rPr>
          <w:rFonts w:ascii="Times New Roman" w:hAnsi="Times New Roman"/>
          <w:bCs/>
          <w:sz w:val="24"/>
          <w:szCs w:val="24"/>
          <w:shd w:val="clear" w:color="auto" w:fill="FFFFFF"/>
          <w:lang w:val="lv-LV"/>
        </w:rPr>
        <w:t xml:space="preserve">izvērtējot vides informācijas pieejamību, sabiedrība uzsvērusi </w:t>
      </w:r>
      <w:r w:rsidRPr="00393C64">
        <w:rPr>
          <w:rFonts w:ascii="Times New Roman" w:hAnsi="Times New Roman"/>
          <w:color w:val="000000"/>
          <w:sz w:val="24"/>
          <w:szCs w:val="24"/>
          <w:lang w:val="lv-LV" w:eastAsia="lv-LV"/>
        </w:rPr>
        <w:t xml:space="preserve">informācijas nepietiekamību vai neatbilstību lietotāja prasībām. Valsts institūciju tīmekļa vietnēs bieži ievietota ANO vai ES institūcijām sniegtā informācija, kas sagatavota specifiskā formātā un, pamatā, angļu valodā. VPP2015 pārskata periodā liela sabiedriskā rezonanse un stimulējoša ietekme sapratnes veidošanā starp dažādām iedzīvotāju grupām bijusi vides jautājumiem veltītiem TV un radio raidījumiem, publikācijām presē, kā arī LDM informatīvajiem un izglītojošajiem pasākumiem. </w:t>
      </w:r>
    </w:p>
    <w:p w:rsidR="00F90884" w:rsidRPr="00256A1B" w:rsidRDefault="00F90884" w:rsidP="00256A1B">
      <w:pPr>
        <w:pStyle w:val="Default"/>
        <w:spacing w:after="120"/>
        <w:ind w:firstLine="720"/>
        <w:jc w:val="both"/>
        <w:rPr>
          <w:rFonts w:ascii="Times New Roman" w:hAnsi="Times New Roman" w:cs="Times New Roman"/>
        </w:rPr>
      </w:pPr>
      <w:r w:rsidRPr="00393C64">
        <w:rPr>
          <w:rFonts w:ascii="Times New Roman" w:hAnsi="Times New Roman"/>
        </w:rPr>
        <w:t xml:space="preserve">Horizontālie jautājumi vides aizsardzībā paredz nodrošināt labu vides pārvaldību visos līmeņos, kā arī labu vides komunikāciju, kas balstīta uz iespējami pilnīgu un izsvērtu vides informāciju; veicināt sabiedrības plašu iesaistīšanos vides jautājumu risināšanai. Savukārt rīcības virzieni šī mērķa sasniegšanai paredz </w:t>
      </w:r>
      <w:r w:rsidRPr="00393C64">
        <w:rPr>
          <w:rFonts w:ascii="Times New Roman" w:hAnsi="Times New Roman" w:cs="Times New Roman"/>
        </w:rPr>
        <w:t>pilnveidot infrastruktūru un administratīvo kapacitāti nacionālas nozīmes informācijas un vides izglītības centros, t.sk. Latvijas Dabas muzejā.</w:t>
      </w:r>
    </w:p>
    <w:p w:rsidR="00F90884" w:rsidRPr="00393C64" w:rsidRDefault="00F90884" w:rsidP="004E18D2">
      <w:pPr>
        <w:autoSpaceDE w:val="0"/>
        <w:autoSpaceDN w:val="0"/>
        <w:adjustRightInd w:val="0"/>
        <w:spacing w:after="0"/>
        <w:rPr>
          <w:rFonts w:ascii="Times New Roman" w:hAnsi="Times New Roman"/>
          <w:b/>
          <w:color w:val="000000"/>
          <w:sz w:val="24"/>
          <w:szCs w:val="24"/>
          <w:lang w:val="lv-LV" w:eastAsia="lv-LV"/>
        </w:rPr>
      </w:pPr>
      <w:r w:rsidRPr="00393C64">
        <w:rPr>
          <w:rFonts w:ascii="Times New Roman" w:hAnsi="Times New Roman"/>
          <w:bCs/>
          <w:sz w:val="24"/>
          <w:szCs w:val="24"/>
          <w:lang w:val="lv-LV" w:eastAsia="lv-LV"/>
        </w:rPr>
        <w:t xml:space="preserve">Ministru kabineta </w:t>
      </w:r>
      <w:r>
        <w:rPr>
          <w:rFonts w:ascii="Times New Roman" w:hAnsi="Times New Roman"/>
          <w:bCs/>
          <w:sz w:val="24"/>
          <w:szCs w:val="24"/>
          <w:lang w:val="lv-LV" w:eastAsia="lv-LV"/>
        </w:rPr>
        <w:t xml:space="preserve">2012.gada 9.oktobra noteikumi </w:t>
      </w:r>
      <w:r w:rsidRPr="00393C64">
        <w:rPr>
          <w:rFonts w:ascii="Times New Roman" w:hAnsi="Times New Roman"/>
          <w:bCs/>
          <w:sz w:val="24"/>
          <w:szCs w:val="24"/>
          <w:lang w:val="lv-LV" w:eastAsia="lv-LV"/>
        </w:rPr>
        <w:t>Nr.690</w:t>
      </w:r>
      <w:r>
        <w:rPr>
          <w:rFonts w:ascii="Times New Roman" w:hAnsi="Times New Roman"/>
          <w:bCs/>
          <w:sz w:val="24"/>
          <w:szCs w:val="24"/>
          <w:lang w:val="lv-LV" w:eastAsia="lv-LV"/>
        </w:rPr>
        <w:t xml:space="preserve"> „</w:t>
      </w:r>
      <w:r w:rsidRPr="00393C64">
        <w:rPr>
          <w:rFonts w:ascii="Times New Roman" w:hAnsi="Times New Roman"/>
          <w:b/>
          <w:color w:val="000000"/>
          <w:sz w:val="24"/>
          <w:szCs w:val="24"/>
          <w:lang w:val="lv-LV" w:eastAsia="lv-LV"/>
        </w:rPr>
        <w:t>Latvijas Dabas muzeja nolikums</w:t>
      </w:r>
      <w:r>
        <w:rPr>
          <w:rFonts w:ascii="Times New Roman" w:hAnsi="Times New Roman"/>
          <w:b/>
          <w:color w:val="000000"/>
          <w:sz w:val="24"/>
          <w:szCs w:val="24"/>
          <w:lang w:val="lv-LV" w:eastAsia="lv-LV"/>
        </w:rPr>
        <w:t>”</w:t>
      </w:r>
      <w:r w:rsidRPr="00393C64">
        <w:rPr>
          <w:rFonts w:ascii="Times New Roman" w:hAnsi="Times New Roman"/>
          <w:bCs/>
          <w:sz w:val="24"/>
          <w:szCs w:val="24"/>
          <w:lang w:val="lv-LV" w:eastAsia="lv-LV"/>
        </w:rPr>
        <w:t xml:space="preserve"> definē muzeja lomu sabiedrības vides izglītības veicināšanā, kā arī Latvijas un pasaules dabas kolekciju saglabāšanā nākamajām paaudzēm. Nolikumā noteikts, ka m</w:t>
      </w:r>
      <w:r w:rsidRPr="00393C64">
        <w:rPr>
          <w:rFonts w:ascii="Times New Roman" w:hAnsi="Times New Roman"/>
          <w:sz w:val="24"/>
          <w:szCs w:val="24"/>
          <w:lang w:val="lv-LV" w:eastAsia="lv-LV"/>
        </w:rPr>
        <w:t xml:space="preserve">uzeja darbības mērķis ir uzkrāt Latvijas dabas un materiālās kultūras vērtības, kas liecina par tās daudzveidību, vēsturi un aizsardzību, un veidot sabiedrībā priekšstatu par Latvijas dabu kā nacionālo bagātību un daļu no pasaules dabas daudzveidības. Muzejam ir sekojošas funkcijas: uzturēt un attīstīt muzeja krājumu un nodrošināt tā saglabāšanu; veikt zinātnisko darbību krājuma izpētē un dabaszinātnēs; veikt vides izglītības darbu; nodrošināt muzeja krājuma pieejamību sabiedrībai. </w:t>
      </w:r>
    </w:p>
    <w:p w:rsidR="00F90884" w:rsidRPr="00393C64" w:rsidRDefault="00F90884" w:rsidP="00256A1B">
      <w:pPr>
        <w:pStyle w:val="tv213"/>
        <w:spacing w:before="0" w:beforeAutospacing="0" w:after="120" w:afterAutospacing="0"/>
        <w:ind w:firstLine="720"/>
        <w:jc w:val="both"/>
      </w:pPr>
      <w:r w:rsidRPr="00393C64">
        <w:rPr>
          <w:b/>
          <w:color w:val="000000"/>
        </w:rPr>
        <w:t>Muzeju likums</w:t>
      </w:r>
      <w:r w:rsidRPr="00393C64">
        <w:rPr>
          <w:color w:val="000000"/>
        </w:rPr>
        <w:t xml:space="preserve">, kas definē muzeja </w:t>
      </w:r>
      <w:r w:rsidRPr="00393C64">
        <w:rPr>
          <w:bCs/>
        </w:rPr>
        <w:t xml:space="preserve">jēdzienu, uzdevumus un funkcijas, t.sk. nosaka to, ka muzejs ir </w:t>
      </w:r>
      <w:r w:rsidRPr="00393C64">
        <w:t>sabiedrībai pieejama izglītojoša un pētniecības institūcija, kuras uzdevums ir atbilstoši muzeja darbības specifikai vākt, saglabāt un popularizēt sabiedrībā dabas, materiālās un nemateriālās kultūras vērtības, kā arī sekmēt to izmantošanu sabiedrības izglītošanai un attīstībai, un ka tā funkcijas ir materiālās un nemateriālās kultūras un dabas vērtību uzkrāšana, dokumentēšana un saglabāšana; muzeja krājuma un ar to saistītās informācijas pētniecība; un sabiedrības izglītošana, materiālās un nemateriālās kultūras un dabas vērtību popularizēšana, veidojot ekspozīcijas un izstādes, kā arī izmantojot citus ar muzeja darbību saistītus izglītošanas un popularizēšanas veidus.</w:t>
      </w:r>
    </w:p>
    <w:p w:rsidR="00F90884" w:rsidRPr="00393C64" w:rsidRDefault="00F90884" w:rsidP="00256A1B">
      <w:pPr>
        <w:pStyle w:val="tv213"/>
        <w:spacing w:before="0" w:beforeAutospacing="0" w:after="0" w:afterAutospacing="0"/>
        <w:ind w:firstLine="720"/>
        <w:jc w:val="both"/>
      </w:pPr>
      <w:r w:rsidRPr="00022424">
        <w:t>Ministru kabineta 2006.gada 21.novembra</w:t>
      </w:r>
      <w:r>
        <w:rPr>
          <w:b/>
        </w:rPr>
        <w:t xml:space="preserve"> </w:t>
      </w:r>
      <w:r w:rsidRPr="00393C64">
        <w:rPr>
          <w:bCs/>
        </w:rPr>
        <w:t>noteikumi Nr.956</w:t>
      </w:r>
      <w:r>
        <w:rPr>
          <w:bCs/>
        </w:rPr>
        <w:t xml:space="preserve"> „</w:t>
      </w:r>
      <w:r w:rsidRPr="00393C64">
        <w:rPr>
          <w:b/>
        </w:rPr>
        <w:t>Noteikumi par Nacionālo muzeju krājumu</w:t>
      </w:r>
      <w:r>
        <w:rPr>
          <w:b/>
        </w:rPr>
        <w:t>”</w:t>
      </w:r>
      <w:r w:rsidRPr="00393C64">
        <w:rPr>
          <w:bCs/>
        </w:rPr>
        <w:t xml:space="preserve"> </w:t>
      </w:r>
      <w:r w:rsidRPr="00393C64">
        <w:t xml:space="preserve">nosaka Nacionālā muzeju krājuma veidošanas, papildināšanas, uzskaites un saglabāšanas kārtību, rīcību ar tajā esošajiem priekšmetiem un kolekcijām, kā arī kārtību, kādā priekšmetus var atsavināt un izņemt no Nacionālā krājuma vai uz laiku izvest ārpus valsts. </w:t>
      </w:r>
    </w:p>
    <w:p w:rsidR="00F90884" w:rsidRPr="00393C64" w:rsidRDefault="00F90884" w:rsidP="00256A1B">
      <w:pPr>
        <w:pStyle w:val="tv213"/>
        <w:spacing w:before="0" w:beforeAutospacing="0" w:after="120" w:afterAutospacing="0"/>
        <w:ind w:firstLine="720"/>
        <w:jc w:val="both"/>
      </w:pPr>
      <w:r w:rsidRPr="00393C64">
        <w:rPr>
          <w:b/>
        </w:rPr>
        <w:t>Likums „Par 1998. gada 25. jūnija Orhūsas konvenciju par pieeju informācijai, sabiedrības dalību lēmumu pieņemšanā un iespēju griezties tiesu iestādēs saistībā ar vides jautājumiem”</w:t>
      </w:r>
      <w:r w:rsidRPr="00393C64">
        <w:t xml:space="preserve">. Orhūsas konvencijas viens no punktiem nosaka, ka vides aizsardzības jomā plašākas iespējas iegūt informāciju un sabiedrības dalība lēmumu pieņemšanā uzlabo lēmumu kvalitāti un sekmē to ieviešanu, veido sabiedrības izpratni par vides jautājumiem, dod iespēju sabiedrībai izteikt savas bažas un ļauj valsts iestādēm šādām bažām pievērst atbilstošu uzmanību. Ar vides aizsardzību un saglabāšanu saistītām institūcijām ir jānodrošina informācijas pieejamība sabiedrībai. </w:t>
      </w:r>
    </w:p>
    <w:p w:rsidR="00F90884" w:rsidRPr="00393C64" w:rsidRDefault="00F90884" w:rsidP="00256A1B">
      <w:pPr>
        <w:pStyle w:val="tv213"/>
        <w:spacing w:before="0" w:beforeAutospacing="0" w:after="120" w:afterAutospacing="0"/>
        <w:ind w:firstLine="720"/>
        <w:jc w:val="both"/>
      </w:pPr>
      <w:r w:rsidRPr="00393C64">
        <w:rPr>
          <w:b/>
        </w:rPr>
        <w:t xml:space="preserve">Likums </w:t>
      </w:r>
      <w:r w:rsidRPr="00393C64">
        <w:rPr>
          <w:rStyle w:val="Strong"/>
        </w:rPr>
        <w:t>„Par 1971. gada 2. februāra Konvenciju par starptautiskas nozīmes mitrājiem, īpaši kā ūdensputnu dzīves vidi”</w:t>
      </w:r>
      <w:r w:rsidRPr="00393C64">
        <w:rPr>
          <w:rStyle w:val="Strong"/>
          <w:b w:val="0"/>
        </w:rPr>
        <w:t xml:space="preserve"> (Ramsāres konvencija)</w:t>
      </w:r>
      <w:r w:rsidRPr="00393C64">
        <w:t xml:space="preserve">, kuras </w:t>
      </w:r>
      <w:r w:rsidRPr="00393C64">
        <w:rPr>
          <w:bCs/>
        </w:rPr>
        <w:t>mērķis ir nodrošināt visa veida mitrāju aizsardzību un saprātīgu izmantošanu</w:t>
      </w:r>
      <w:r w:rsidRPr="00393C64">
        <w:t>, atzīstot, ka mitrāji kā ekosistēmas ir ļoti nozīmīgi bioloģiskās daudzveidības aizsardzībā, kā arī cilvēku labklājības nodrošināšanā. Programmas ietvaros Latvijas Dabas muzejs darbojas kā Ramsāres konvencijas Mitrāju saziņas, izglītības un sabiedriskās saskarsmes fokālais punkts.</w:t>
      </w:r>
    </w:p>
    <w:p w:rsidR="00F90884" w:rsidRPr="00393C64" w:rsidRDefault="00F90884" w:rsidP="00220859">
      <w:pPr>
        <w:pStyle w:val="tv213"/>
        <w:spacing w:before="0" w:beforeAutospacing="0" w:after="120" w:afterAutospacing="0"/>
        <w:ind w:firstLine="720"/>
        <w:jc w:val="both"/>
      </w:pPr>
      <w:r w:rsidRPr="00393C64">
        <w:t xml:space="preserve">Lai nodrošinātu augstākminēto muzeja funkciju izpildi un vides izglītības pieejamību sabiedrībai, tā administratīvajam personālam un krājuma glabāšanas speciālistiem nepieciešama regulāra pieredzes apmaiņa un izglītošanās par muzeoloģijas jautājumiem un citu muzeju pieredzi. </w:t>
      </w:r>
    </w:p>
    <w:p w:rsidR="00F90884" w:rsidRPr="00393C64" w:rsidRDefault="00F90884" w:rsidP="004E18D2">
      <w:pPr>
        <w:rPr>
          <w:rFonts w:ascii="Times New Roman" w:hAnsi="Times New Roman"/>
          <w:b/>
          <w:sz w:val="24"/>
          <w:szCs w:val="24"/>
          <w:lang w:val="lv-LV"/>
        </w:rPr>
      </w:pPr>
      <w:r w:rsidRPr="00393C64">
        <w:rPr>
          <w:rFonts w:ascii="Times New Roman" w:hAnsi="Times New Roman"/>
          <w:b/>
          <w:sz w:val="24"/>
          <w:szCs w:val="24"/>
          <w:lang w:val="lv-LV"/>
        </w:rPr>
        <w:t xml:space="preserve">II Informācija par projektu </w:t>
      </w:r>
      <w:r w:rsidRPr="00393C64">
        <w:rPr>
          <w:rFonts w:ascii="Times New Roman" w:hAnsi="Times New Roman"/>
          <w:sz w:val="24"/>
          <w:szCs w:val="24"/>
          <w:lang w:val="lv-LV"/>
        </w:rPr>
        <w:tab/>
      </w:r>
    </w:p>
    <w:p w:rsidR="00F90884" w:rsidRPr="00393C64" w:rsidRDefault="00F90884" w:rsidP="004E18D2">
      <w:pPr>
        <w:pStyle w:val="HTMLPreformatted"/>
        <w:jc w:val="both"/>
        <w:rPr>
          <w:rFonts w:ascii="Times New Roman" w:hAnsi="Times New Roman" w:cs="Times New Roman"/>
          <w:sz w:val="24"/>
          <w:szCs w:val="24"/>
        </w:rPr>
      </w:pPr>
      <w:r w:rsidRPr="00393C64">
        <w:rPr>
          <w:rFonts w:ascii="Times New Roman" w:hAnsi="Times New Roman" w:cs="Times New Roman"/>
          <w:sz w:val="24"/>
          <w:szCs w:val="24"/>
        </w:rPr>
        <w:t>Projekts vērsts uz Latvijas Dabas muzeja personāla pieredzes apmaiņu Ziemeļvalstīs par muzeja vadības, administrācijas un izglītības darba, kā arī krājuma uzglabāšanas organizēšanu. Projekta ietvaros 5 muzeja darbinieki – administratīvais personāls un krājuma glabāšanas speciālisti 2 vizītēs apmeklēs dabaszinātņu muzejus, kas atbilst valsts vai pašvaldības muzeja statusam Islandē un Dānijā. Projektā iekļautajos muzejos notiks tikšanās ar administratīvo personālu un krājuma glabāšanas nodaļu speciālistiem.</w:t>
      </w:r>
    </w:p>
    <w:p w:rsidR="00F90884" w:rsidRPr="00393C64" w:rsidRDefault="00F90884" w:rsidP="004E18D2">
      <w:pPr>
        <w:pStyle w:val="HTMLPreformatted"/>
        <w:jc w:val="both"/>
        <w:rPr>
          <w:rFonts w:ascii="Times New Roman" w:hAnsi="Times New Roman" w:cs="Times New Roman"/>
          <w:sz w:val="24"/>
          <w:szCs w:val="24"/>
        </w:rPr>
      </w:pPr>
    </w:p>
    <w:p w:rsidR="00F90884" w:rsidRPr="00393C64" w:rsidRDefault="00F90884" w:rsidP="004E18D2">
      <w:pPr>
        <w:pStyle w:val="HTMLPreformatted"/>
        <w:jc w:val="both"/>
        <w:rPr>
          <w:rFonts w:ascii="Times New Roman" w:hAnsi="Times New Roman" w:cs="Times New Roman"/>
          <w:sz w:val="24"/>
          <w:szCs w:val="24"/>
        </w:rPr>
      </w:pPr>
      <w:r w:rsidRPr="00393C64">
        <w:rPr>
          <w:rFonts w:ascii="Times New Roman" w:hAnsi="Times New Roman" w:cs="Times New Roman"/>
          <w:sz w:val="24"/>
          <w:szCs w:val="24"/>
        </w:rPr>
        <w:t>Projekta īstenošanas laiks: 2014. gada augusts – 2015. gada augusts.</w:t>
      </w:r>
    </w:p>
    <w:p w:rsidR="00F90884" w:rsidRPr="00393C64" w:rsidRDefault="00F90884" w:rsidP="004E18D2">
      <w:pPr>
        <w:pStyle w:val="HTMLPreformatted"/>
        <w:jc w:val="both"/>
        <w:rPr>
          <w:rFonts w:ascii="Times New Roman" w:hAnsi="Times New Roman" w:cs="Times New Roman"/>
          <w:sz w:val="24"/>
          <w:szCs w:val="24"/>
        </w:rPr>
      </w:pPr>
    </w:p>
    <w:p w:rsidR="00F90884" w:rsidRPr="00393C64" w:rsidRDefault="00F90884" w:rsidP="004E18D2">
      <w:pPr>
        <w:pStyle w:val="HTMLPreformatted"/>
        <w:jc w:val="both"/>
        <w:rPr>
          <w:rFonts w:ascii="Times New Roman" w:hAnsi="Times New Roman" w:cs="Times New Roman"/>
          <w:sz w:val="24"/>
          <w:szCs w:val="24"/>
        </w:rPr>
      </w:pPr>
      <w:r w:rsidRPr="00393C64">
        <w:rPr>
          <w:rFonts w:ascii="Times New Roman" w:hAnsi="Times New Roman" w:cs="Times New Roman"/>
          <w:sz w:val="24"/>
          <w:szCs w:val="24"/>
        </w:rPr>
        <w:t xml:space="preserve">Kopējais projekta budžets ir </w:t>
      </w:r>
      <w:r w:rsidRPr="00393C64">
        <w:rPr>
          <w:rFonts w:ascii="Times New Roman" w:eastAsia="DejaVuSans" w:hAnsi="Times New Roman" w:cs="Times New Roman"/>
          <w:sz w:val="24"/>
          <w:szCs w:val="24"/>
        </w:rPr>
        <w:t>9 100</w:t>
      </w:r>
      <w:r w:rsidRPr="00393C64">
        <w:rPr>
          <w:rFonts w:ascii="Times New Roman" w:eastAsia="DejaVuSans" w:hAnsi="Times New Roman"/>
          <w:sz w:val="24"/>
          <w:szCs w:val="24"/>
        </w:rPr>
        <w:t xml:space="preserve"> </w:t>
      </w:r>
      <w:r w:rsidRPr="00393C64">
        <w:rPr>
          <w:rFonts w:ascii="Times New Roman" w:eastAsia="DejaVuSans" w:hAnsi="Times New Roman"/>
          <w:i/>
          <w:sz w:val="24"/>
          <w:szCs w:val="24"/>
        </w:rPr>
        <w:t>euro</w:t>
      </w:r>
      <w:r w:rsidRPr="00393C64">
        <w:rPr>
          <w:rFonts w:ascii="Times New Roman" w:hAnsi="Times New Roman" w:cs="Times New Roman"/>
          <w:sz w:val="24"/>
          <w:szCs w:val="24"/>
        </w:rPr>
        <w:t>.</w:t>
      </w:r>
    </w:p>
    <w:p w:rsidR="00F90884" w:rsidRPr="00393C64" w:rsidRDefault="00F90884" w:rsidP="004E18D2">
      <w:pPr>
        <w:pStyle w:val="HTMLPreformatted"/>
        <w:jc w:val="both"/>
        <w:rPr>
          <w:rFonts w:ascii="Times New Roman" w:hAnsi="Times New Roman"/>
          <w:sz w:val="24"/>
          <w:szCs w:val="24"/>
        </w:rPr>
      </w:pPr>
    </w:p>
    <w:p w:rsidR="00F90884" w:rsidRPr="00393C64" w:rsidRDefault="00F90884" w:rsidP="004E18D2">
      <w:pPr>
        <w:rPr>
          <w:rFonts w:ascii="Times New Roman" w:hAnsi="Times New Roman"/>
          <w:b/>
          <w:sz w:val="24"/>
          <w:szCs w:val="24"/>
          <w:lang w:val="lv-LV"/>
        </w:rPr>
      </w:pPr>
      <w:r w:rsidRPr="00393C64">
        <w:rPr>
          <w:rFonts w:ascii="Times New Roman" w:hAnsi="Times New Roman"/>
          <w:b/>
          <w:sz w:val="24"/>
          <w:szCs w:val="24"/>
          <w:lang w:val="lv-LV"/>
        </w:rPr>
        <w:t xml:space="preserve">2.1. Projekta apraksts/pamatojums </w:t>
      </w:r>
    </w:p>
    <w:p w:rsidR="00F90884" w:rsidRPr="00393C64" w:rsidRDefault="00F90884" w:rsidP="00700C6C">
      <w:pPr>
        <w:autoSpaceDE w:val="0"/>
        <w:autoSpaceDN w:val="0"/>
        <w:adjustRightInd w:val="0"/>
        <w:spacing w:after="0"/>
        <w:rPr>
          <w:rFonts w:ascii="Times New Roman" w:eastAsia="DejaVuSans" w:hAnsi="Times New Roman"/>
          <w:sz w:val="24"/>
          <w:szCs w:val="24"/>
          <w:lang w:val="lv-LV" w:eastAsia="lv-LV"/>
        </w:rPr>
      </w:pPr>
      <w:r w:rsidRPr="00393C64">
        <w:rPr>
          <w:rFonts w:ascii="Times New Roman" w:eastAsia="DejaVuSans" w:hAnsi="Times New Roman"/>
          <w:sz w:val="24"/>
          <w:szCs w:val="24"/>
          <w:lang w:val="lv-LV" w:eastAsia="lv-LV"/>
        </w:rPr>
        <w:t xml:space="preserve">Latvijas Dabas muzejs Rīgā ir lielākais un viens no vecākajiem daudznozaru dabaszinātņu muzejiem Baltijā. Muzeja darbības mērķi ir muzeja kolekcijas izpēte un papildināšana, vides izglītības pieejamības nodrošināšana, kā arī pastāvīgo un mainīgo ekspozīciju un izstāžu veidošana. Dabas muzejs ir centrālā vieta, kurā sabiedrība saņem un sniedz informāciju par dažādiem atradumiem dabā. </w:t>
      </w:r>
      <w:r w:rsidRPr="00393C64">
        <w:rPr>
          <w:rFonts w:ascii="DejaVuSans" w:eastAsia="DejaVuSans" w:cs="DejaVuSans"/>
          <w:sz w:val="20"/>
          <w:szCs w:val="20"/>
          <w:lang w:val="lv-LV" w:eastAsia="lv-LV"/>
        </w:rPr>
        <w:tab/>
      </w:r>
      <w:r w:rsidRPr="00393C64">
        <w:rPr>
          <w:rFonts w:ascii="Times New Roman" w:eastAsia="DejaVuSans" w:hAnsi="Times New Roman"/>
          <w:sz w:val="24"/>
          <w:szCs w:val="24"/>
          <w:lang w:val="lv-LV" w:eastAsia="lv-LV"/>
        </w:rPr>
        <w:t>Muzeja speciālisti regulāri veic esošo ekspozīciju modernizāciju un jaunu ekspozīciju veidošanu. Zinātniskā informācija tiek papildināta ar interaktīvām tehnoloģijām, radot vidi, kurā apmeklētāji zināšanas gūst caur aktīvu iesaistīšanos.</w:t>
      </w:r>
    </w:p>
    <w:p w:rsidR="00F90884" w:rsidRPr="00393C64" w:rsidRDefault="00F90884" w:rsidP="00700C6C">
      <w:pPr>
        <w:autoSpaceDE w:val="0"/>
        <w:autoSpaceDN w:val="0"/>
        <w:adjustRightInd w:val="0"/>
        <w:spacing w:after="0"/>
        <w:rPr>
          <w:rFonts w:ascii="Times New Roman" w:hAnsi="Times New Roman"/>
          <w:sz w:val="24"/>
          <w:szCs w:val="24"/>
          <w:lang w:val="lv-LV"/>
        </w:rPr>
      </w:pPr>
      <w:r w:rsidRPr="00393C64">
        <w:rPr>
          <w:rFonts w:ascii="Times New Roman" w:eastAsia="DejaVuSans" w:hAnsi="Times New Roman"/>
          <w:sz w:val="24"/>
          <w:szCs w:val="24"/>
          <w:lang w:val="lv-LV" w:eastAsia="lv-LV"/>
        </w:rPr>
        <w:t>Latvijas Dabas muzejs ir viens no apmeklētākajiem muzejiem valstī (2013. gadā 108 312 apmeklētāji). Muzeja kolekcijā glabājas informācija par dzīvo organismu sugām, kas Latvijas un pasaules mērogā jau ir izzudušas vai tām draud izzušana, tāpēc tā vērtība sabiedrības vides izglītības nodrošināšanā ar laiku pieaug. Muzejs</w:t>
      </w:r>
      <w:r w:rsidRPr="00393C64">
        <w:rPr>
          <w:rFonts w:ascii="Times New Roman" w:hAnsi="Times New Roman"/>
          <w:sz w:val="24"/>
          <w:szCs w:val="24"/>
          <w:lang w:val="lv-LV"/>
        </w:rPr>
        <w:t xml:space="preserve"> arī darbojas kā Ramsāres konvencijas Mitrāju saziņas, izglītības un sabiedriskās saskarsmes fokālais punkts.</w:t>
      </w:r>
    </w:p>
    <w:p w:rsidR="00F90884" w:rsidRPr="00393C64" w:rsidRDefault="00F90884" w:rsidP="004E18D2">
      <w:pPr>
        <w:autoSpaceDE w:val="0"/>
        <w:autoSpaceDN w:val="0"/>
        <w:adjustRightInd w:val="0"/>
        <w:spacing w:after="0"/>
        <w:rPr>
          <w:rFonts w:ascii="Times New Roman" w:eastAsia="DejaVuSans" w:hAnsi="Times New Roman"/>
          <w:sz w:val="24"/>
          <w:szCs w:val="24"/>
          <w:lang w:val="lv-LV" w:eastAsia="lv-LV"/>
        </w:rPr>
      </w:pPr>
      <w:r w:rsidRPr="00393C64">
        <w:rPr>
          <w:rFonts w:ascii="Times New Roman" w:eastAsia="DejaVuSans" w:hAnsi="Times New Roman"/>
          <w:sz w:val="24"/>
          <w:szCs w:val="24"/>
          <w:lang w:val="lv-LV" w:eastAsia="lv-LV"/>
        </w:rPr>
        <w:t xml:space="preserve">Lai nodrošinātu kvalitatīvu un mūsdienu prasībām atbilstošu muzeja darbību, muzeja darbiniekiem nepieciešams regulāri papildināt zināšanas un gūt pieredzi par muzeoloģijas jautājumiem, tendencēm un darba organizāciju citos muzejos. </w:t>
      </w:r>
    </w:p>
    <w:p w:rsidR="00F90884" w:rsidRPr="00393C64" w:rsidRDefault="00F90884" w:rsidP="004E18D2">
      <w:pPr>
        <w:autoSpaceDE w:val="0"/>
        <w:autoSpaceDN w:val="0"/>
        <w:adjustRightInd w:val="0"/>
        <w:spacing w:after="0"/>
        <w:rPr>
          <w:rFonts w:ascii="Times New Roman" w:hAnsi="Times New Roman"/>
          <w:sz w:val="24"/>
          <w:szCs w:val="24"/>
          <w:lang w:val="lv-LV"/>
        </w:rPr>
      </w:pPr>
    </w:p>
    <w:p w:rsidR="00F90884" w:rsidRPr="00393C64" w:rsidRDefault="00F90884" w:rsidP="004E18D2">
      <w:pPr>
        <w:rPr>
          <w:rFonts w:ascii="Times New Roman" w:hAnsi="Times New Roman"/>
          <w:b/>
          <w:sz w:val="24"/>
          <w:szCs w:val="24"/>
          <w:lang w:val="lv-LV"/>
        </w:rPr>
      </w:pPr>
      <w:r w:rsidRPr="00393C64">
        <w:rPr>
          <w:rFonts w:ascii="Times New Roman" w:hAnsi="Times New Roman"/>
          <w:b/>
          <w:sz w:val="24"/>
          <w:szCs w:val="24"/>
          <w:lang w:val="lv-LV"/>
        </w:rPr>
        <w:t>2.2.Projekta mērķis</w:t>
      </w:r>
    </w:p>
    <w:p w:rsidR="00F90884" w:rsidRPr="00393C64" w:rsidRDefault="00F90884" w:rsidP="004E18D2">
      <w:pPr>
        <w:autoSpaceDE w:val="0"/>
        <w:autoSpaceDN w:val="0"/>
        <w:adjustRightInd w:val="0"/>
        <w:spacing w:after="0"/>
        <w:rPr>
          <w:rFonts w:ascii="Times New Roman" w:eastAsia="DejaVuSans" w:hAnsi="Times New Roman"/>
          <w:sz w:val="24"/>
          <w:szCs w:val="24"/>
          <w:lang w:val="lv-LV" w:eastAsia="lv-LV"/>
        </w:rPr>
      </w:pPr>
      <w:r w:rsidRPr="00393C64">
        <w:rPr>
          <w:rFonts w:ascii="Times New Roman" w:eastAsia="DejaVuSans" w:hAnsi="Times New Roman"/>
          <w:sz w:val="24"/>
          <w:szCs w:val="24"/>
          <w:lang w:val="lv-LV" w:eastAsia="lv-LV"/>
        </w:rPr>
        <w:t xml:space="preserve">Projekta mērķis ir Latvijas Dabas muzeja darbības kvalitātes un efektivitātes uzlabošana, iesaistoties labās prakses pārņemšanā un pieredzes apmaiņā ar muzeju profesionāļiem Islandē un Dānijā par inovatīviem un veiksmīgi ieviestiem muzeja vadības un administrācijas principiem, ikdienas darba organizēšanu (personāla un brīvprātīgo cilvēkresursu plānošanu, investīciju piesaisti, apmeklētāju vadību, komunikācijas jautājumiem), kā arī muzejos izmantotajām tehnoloģijām un metodēm krājuma uzturēšanai, reģistrēšanai un inventarizācijai. </w:t>
      </w:r>
    </w:p>
    <w:p w:rsidR="00F90884" w:rsidRPr="00393C64" w:rsidRDefault="00F90884" w:rsidP="004E18D2">
      <w:pPr>
        <w:ind w:firstLine="567"/>
        <w:rPr>
          <w:rFonts w:ascii="Times New Roman" w:hAnsi="Times New Roman"/>
          <w:sz w:val="24"/>
          <w:szCs w:val="24"/>
          <w:lang w:val="lv-LV"/>
        </w:rPr>
      </w:pPr>
    </w:p>
    <w:p w:rsidR="00F90884" w:rsidRPr="00393C64" w:rsidRDefault="00F90884" w:rsidP="004E18D2">
      <w:pPr>
        <w:rPr>
          <w:rFonts w:ascii="Times New Roman" w:hAnsi="Times New Roman"/>
          <w:b/>
          <w:sz w:val="24"/>
          <w:szCs w:val="24"/>
          <w:lang w:val="lv-LV"/>
        </w:rPr>
      </w:pPr>
      <w:r w:rsidRPr="00393C64">
        <w:rPr>
          <w:rFonts w:ascii="Times New Roman" w:hAnsi="Times New Roman"/>
          <w:b/>
          <w:sz w:val="24"/>
          <w:szCs w:val="24"/>
          <w:lang w:val="lv-LV"/>
        </w:rPr>
        <w:t>2.3.Projekta aktivitātes</w:t>
      </w:r>
    </w:p>
    <w:p w:rsidR="00F90884" w:rsidRPr="00393C64" w:rsidRDefault="00F90884" w:rsidP="004E18D2">
      <w:pPr>
        <w:pStyle w:val="Default"/>
        <w:jc w:val="both"/>
        <w:rPr>
          <w:rFonts w:ascii="Times New Roman" w:hAnsi="Times New Roman" w:cs="Times New Roman"/>
          <w:bCs/>
          <w:color w:val="auto"/>
        </w:rPr>
      </w:pPr>
      <w:r w:rsidRPr="00393C64">
        <w:rPr>
          <w:rFonts w:ascii="Times New Roman" w:hAnsi="Times New Roman" w:cs="Times New Roman"/>
          <w:bCs/>
          <w:color w:val="auto"/>
        </w:rPr>
        <w:t xml:space="preserve">Projektā paredzētās aktivitātes: </w:t>
      </w:r>
    </w:p>
    <w:p w:rsidR="00F90884" w:rsidRPr="00393C64" w:rsidRDefault="00F90884" w:rsidP="004E18D2">
      <w:pPr>
        <w:pStyle w:val="Default"/>
        <w:jc w:val="both"/>
        <w:rPr>
          <w:rFonts w:ascii="Times New Roman" w:hAnsi="Times New Roman" w:cs="Times New Roman"/>
          <w:color w:val="auto"/>
        </w:rPr>
      </w:pPr>
    </w:p>
    <w:p w:rsidR="00F90884" w:rsidRPr="00393C64" w:rsidRDefault="00F90884" w:rsidP="004E18D2">
      <w:pPr>
        <w:pStyle w:val="Default"/>
        <w:spacing w:after="120"/>
        <w:jc w:val="both"/>
        <w:rPr>
          <w:rFonts w:ascii="Times New Roman" w:hAnsi="Times New Roman" w:cs="Times New Roman"/>
          <w:color w:val="auto"/>
        </w:rPr>
      </w:pPr>
      <w:r w:rsidRPr="00393C64">
        <w:rPr>
          <w:rFonts w:ascii="Times New Roman" w:hAnsi="Times New Roman" w:cs="Times New Roman"/>
          <w:color w:val="auto"/>
        </w:rPr>
        <w:t xml:space="preserve">1. Pieredzes apmaiņas vizīte Islandē no 08.09.2014. līdz 14.09.2014. </w:t>
      </w:r>
    </w:p>
    <w:p w:rsidR="00F90884" w:rsidRPr="00393C64" w:rsidRDefault="00F90884" w:rsidP="004E18D2">
      <w:pPr>
        <w:pStyle w:val="Default"/>
        <w:spacing w:after="120"/>
        <w:jc w:val="both"/>
        <w:rPr>
          <w:rFonts w:ascii="Times New Roman" w:hAnsi="Times New Roman" w:cs="Times New Roman"/>
          <w:color w:val="auto"/>
        </w:rPr>
      </w:pPr>
      <w:r w:rsidRPr="00393C64">
        <w:rPr>
          <w:rFonts w:ascii="Times New Roman" w:hAnsi="Times New Roman" w:cs="Times New Roman"/>
          <w:color w:val="auto"/>
        </w:rPr>
        <w:t xml:space="preserve">Tikšanās ar speciālistiem 3 muzejos – Islandes Dabas muzejā Reikjkavīkā, Kopavagur Dabas muzejā (muzejs atrodas netālu no Reikjavīkas), Akrānes muzeju kompleksā, t.sk. muzeja struktūrvienībā-ekspozīcijā „Minerālu karaliste”. Kopā ar projektā iesaistīto muzeju speciālistiem plānotas vizītes arī vairākos lokālas nozīmes muzejos, kas satur dabaszinātņu kolekcijas. </w:t>
      </w:r>
    </w:p>
    <w:p w:rsidR="00F90884" w:rsidRPr="00393C64" w:rsidRDefault="00F90884" w:rsidP="004E18D2">
      <w:pPr>
        <w:pStyle w:val="Default"/>
        <w:spacing w:after="120"/>
        <w:jc w:val="both"/>
        <w:rPr>
          <w:rFonts w:ascii="Times New Roman" w:hAnsi="Times New Roman" w:cs="Times New Roman"/>
          <w:color w:val="auto"/>
        </w:rPr>
      </w:pPr>
      <w:r w:rsidRPr="00393C64">
        <w:rPr>
          <w:rFonts w:ascii="Times New Roman" w:hAnsi="Times New Roman" w:cs="Times New Roman"/>
          <w:color w:val="auto"/>
        </w:rPr>
        <w:t xml:space="preserve">2. Pieredzes apmaiņas vizīte Dānijā no 10.11.2014. līdz 14.11.2014. </w:t>
      </w:r>
    </w:p>
    <w:p w:rsidR="00F90884" w:rsidRPr="00393C64" w:rsidRDefault="00F90884" w:rsidP="004E18D2">
      <w:pPr>
        <w:pStyle w:val="Default"/>
        <w:jc w:val="both"/>
        <w:rPr>
          <w:rFonts w:ascii="Times New Roman" w:hAnsi="Times New Roman" w:cs="Times New Roman"/>
          <w:color w:val="auto"/>
        </w:rPr>
      </w:pPr>
      <w:r w:rsidRPr="00393C64">
        <w:rPr>
          <w:rFonts w:ascii="Times New Roman" w:hAnsi="Times New Roman" w:cs="Times New Roman"/>
          <w:color w:val="auto"/>
        </w:rPr>
        <w:t xml:space="preserve">Tikšanās ar muzeju speciālistiem Dānijas Dabas muzeja administrācijā un muzeja struktūrvienībās – Ģeoloģijas muzejā, Zooloģijas muzejā, Jaunajā muzejā (muzejs šobrīd ir tapšanas stadijā un pēc atklāšanas 2018. gadā tas būs viens no modernākajiem dabaszinātņu muzejiem Eiropā, kurā realizēta jauna pieeja muzeoloģijā un sabiedrības izglītībā) un Botāniskajā dārzā. </w:t>
      </w:r>
    </w:p>
    <w:p w:rsidR="00F90884" w:rsidRPr="00393C64" w:rsidRDefault="00F90884" w:rsidP="004E18D2">
      <w:pPr>
        <w:pStyle w:val="Default"/>
        <w:jc w:val="both"/>
        <w:rPr>
          <w:rFonts w:ascii="Times New Roman" w:hAnsi="Times New Roman" w:cs="Times New Roman"/>
          <w:color w:val="auto"/>
        </w:rPr>
      </w:pPr>
    </w:p>
    <w:p w:rsidR="00F90884" w:rsidRPr="00393C64" w:rsidRDefault="00F90884" w:rsidP="004E18D2">
      <w:pPr>
        <w:pStyle w:val="Default"/>
        <w:spacing w:after="120"/>
        <w:jc w:val="both"/>
        <w:rPr>
          <w:rFonts w:ascii="Times New Roman" w:hAnsi="Times New Roman" w:cs="Times New Roman"/>
          <w:b/>
          <w:color w:val="auto"/>
        </w:rPr>
      </w:pPr>
      <w:r w:rsidRPr="00393C64">
        <w:rPr>
          <w:rFonts w:ascii="Times New Roman" w:hAnsi="Times New Roman" w:cs="Times New Roman"/>
          <w:b/>
          <w:color w:val="auto"/>
        </w:rPr>
        <w:t>2.4. Projekta posmi</w:t>
      </w:r>
    </w:p>
    <w:p w:rsidR="00F90884" w:rsidRPr="00393C64" w:rsidRDefault="00F90884" w:rsidP="004E18D2">
      <w:pPr>
        <w:rPr>
          <w:rFonts w:ascii="Times New Roman" w:hAnsi="Times New Roman"/>
          <w:sz w:val="24"/>
          <w:szCs w:val="24"/>
          <w:u w:val="single"/>
          <w:shd w:val="clear" w:color="auto" w:fill="FFFFFF"/>
          <w:lang w:val="lv-LV"/>
        </w:rPr>
      </w:pPr>
      <w:r w:rsidRPr="00393C64">
        <w:rPr>
          <w:rFonts w:ascii="Times New Roman" w:hAnsi="Times New Roman"/>
          <w:sz w:val="24"/>
          <w:szCs w:val="24"/>
          <w:u w:val="single"/>
          <w:shd w:val="clear" w:color="auto" w:fill="FFFFFF"/>
          <w:lang w:val="lv-LV"/>
        </w:rPr>
        <w:t>Projekta partneru piesaiste un projekta sagatavošana</w:t>
      </w:r>
    </w:p>
    <w:p w:rsidR="00F90884" w:rsidRPr="00393C64" w:rsidRDefault="00F90884" w:rsidP="004E18D2">
      <w:pPr>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 xml:space="preserve">Projekta sagatavošanas posms ir noslēgts. Projekts elektroniski iesniegts 29.03.2014. Projekts apstiprināts 2014.gada maijā. </w:t>
      </w:r>
    </w:p>
    <w:p w:rsidR="00F90884" w:rsidRPr="00393C64" w:rsidRDefault="00F90884" w:rsidP="004E18D2">
      <w:pPr>
        <w:rPr>
          <w:rFonts w:ascii="Times New Roman" w:hAnsi="Times New Roman"/>
          <w:sz w:val="24"/>
          <w:szCs w:val="24"/>
          <w:u w:val="single"/>
          <w:shd w:val="clear" w:color="auto" w:fill="FFFFFF"/>
          <w:lang w:val="lv-LV"/>
        </w:rPr>
      </w:pPr>
      <w:r w:rsidRPr="00393C64">
        <w:rPr>
          <w:rFonts w:ascii="Times New Roman" w:hAnsi="Times New Roman"/>
          <w:sz w:val="24"/>
          <w:szCs w:val="24"/>
          <w:u w:val="single"/>
          <w:shd w:val="clear" w:color="auto" w:fill="FFFFFF"/>
          <w:lang w:val="lv-LV"/>
        </w:rPr>
        <w:t>Aktivitāšu ieviešana</w:t>
      </w:r>
    </w:p>
    <w:p w:rsidR="00F90884" w:rsidRPr="00393C64" w:rsidRDefault="00F90884" w:rsidP="004E18D2">
      <w:pPr>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 xml:space="preserve">1. Pieredzes apmaiņas vizītes Islandē plānošana (aviobiļešu, naktsmītņu un iekšzemes transporta rezervēšana, ceļojuma apdrošināšanas iegāde) un īstenošana. </w:t>
      </w:r>
    </w:p>
    <w:p w:rsidR="00F90884" w:rsidRPr="00393C64" w:rsidRDefault="00F90884" w:rsidP="004E18D2">
      <w:pPr>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 xml:space="preserve">2. Pieredzes apmaiņas vizītes Dānijā plānošana (aviobiļešu un naktsmītņu rezervēšana, ceļojuma apdrošināšanas iegāde) un īstenošana. </w:t>
      </w:r>
    </w:p>
    <w:p w:rsidR="00F90884" w:rsidRPr="00393C64" w:rsidRDefault="00F90884" w:rsidP="004E18D2">
      <w:pPr>
        <w:rPr>
          <w:rFonts w:ascii="Times New Roman" w:hAnsi="Times New Roman"/>
          <w:sz w:val="24"/>
          <w:szCs w:val="24"/>
          <w:u w:val="single"/>
          <w:shd w:val="clear" w:color="auto" w:fill="FFFFFF"/>
          <w:lang w:val="lv-LV"/>
        </w:rPr>
      </w:pPr>
      <w:r w:rsidRPr="00393C64">
        <w:rPr>
          <w:rFonts w:ascii="Times New Roman" w:hAnsi="Times New Roman"/>
          <w:sz w:val="24"/>
          <w:szCs w:val="24"/>
          <w:u w:val="single"/>
          <w:shd w:val="clear" w:color="auto" w:fill="FFFFFF"/>
          <w:lang w:val="lv-LV"/>
        </w:rPr>
        <w:t xml:space="preserve">Projekta noslēgšana </w:t>
      </w:r>
    </w:p>
    <w:p w:rsidR="00F90884" w:rsidRPr="00393C64" w:rsidRDefault="00F90884" w:rsidP="004E18D2">
      <w:pPr>
        <w:spacing w:after="0"/>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 xml:space="preserve">Ne vēlāk kā 30 dienu laikā pēc pēdējās aktivitātes iesniegšanas, tiek iesniegta projekta atskaite, kas sastāv no sasniegto rezultātu atskaites un finanšu atskaites. </w:t>
      </w:r>
    </w:p>
    <w:p w:rsidR="00F90884" w:rsidRPr="00393C64" w:rsidRDefault="00F90884" w:rsidP="004E18D2">
      <w:pPr>
        <w:spacing w:after="0"/>
        <w:rPr>
          <w:rFonts w:ascii="Times New Roman" w:hAnsi="Times New Roman"/>
          <w:sz w:val="24"/>
          <w:szCs w:val="24"/>
          <w:shd w:val="clear" w:color="auto" w:fill="FFFFFF"/>
          <w:lang w:val="lv-LV"/>
        </w:rPr>
      </w:pPr>
    </w:p>
    <w:p w:rsidR="00F90884" w:rsidRPr="00393C64" w:rsidRDefault="00F90884" w:rsidP="004E18D2">
      <w:pPr>
        <w:pStyle w:val="Default"/>
        <w:spacing w:after="120"/>
        <w:jc w:val="both"/>
        <w:rPr>
          <w:rFonts w:ascii="Times New Roman" w:hAnsi="Times New Roman" w:cs="Times New Roman"/>
          <w:b/>
          <w:color w:val="auto"/>
        </w:rPr>
      </w:pPr>
      <w:r w:rsidRPr="00393C64">
        <w:rPr>
          <w:rFonts w:ascii="Times New Roman" w:hAnsi="Times New Roman" w:cs="Times New Roman"/>
          <w:b/>
          <w:color w:val="auto"/>
        </w:rPr>
        <w:t>2.5. Galvenie projekta rezultāti</w:t>
      </w:r>
    </w:p>
    <w:p w:rsidR="00F90884" w:rsidRPr="00393C64" w:rsidRDefault="00F90884" w:rsidP="004E18D2">
      <w:pPr>
        <w:pStyle w:val="Default"/>
        <w:jc w:val="both"/>
        <w:rPr>
          <w:rFonts w:ascii="Times New Roman" w:hAnsi="Times New Roman" w:cs="Times New Roman"/>
          <w:color w:val="auto"/>
        </w:rPr>
      </w:pPr>
      <w:r w:rsidRPr="00393C64">
        <w:rPr>
          <w:rFonts w:ascii="Times New Roman" w:hAnsi="Times New Roman" w:cs="Times New Roman"/>
          <w:color w:val="auto"/>
        </w:rPr>
        <w:t>Ieviešot projektu, Latvijas Dabas muzeja administratīvais personāls iegūs jaunas zināšanas un pieredzi, kā arī idejas inovatīvām un praksē pārbaudītām muzeja vadības un ikdienas darbības nodrošināšanas metodēm, t.sk. gūs ieskatu par muzejos izmantotajiem tehnoloģiskajiem risinājumiem, apmeklētāju vadības metodēm, muzeja krājuma glabāšanas risinājumiem. Svarīgs projekta rezultāts ir arī jaundibinātie kontakti apmeklētajos muzejos, kas ir svarīgs priekšnoteikums Latvijas Dabas muzeja iesaistei citos starptautiska mēroga projektos.</w:t>
      </w:r>
    </w:p>
    <w:p w:rsidR="00F90884" w:rsidRPr="00393C64" w:rsidRDefault="00F90884" w:rsidP="004E18D2">
      <w:pPr>
        <w:pStyle w:val="Default"/>
        <w:jc w:val="both"/>
        <w:rPr>
          <w:rFonts w:ascii="Times New Roman" w:hAnsi="Times New Roman" w:cs="Times New Roman"/>
          <w:b/>
          <w:color w:val="auto"/>
        </w:rPr>
      </w:pPr>
    </w:p>
    <w:p w:rsidR="00F90884" w:rsidRPr="00393C64" w:rsidRDefault="00F90884" w:rsidP="004E18D2">
      <w:pPr>
        <w:pStyle w:val="ListParagraph"/>
        <w:spacing w:after="120"/>
        <w:ind w:left="0"/>
        <w:rPr>
          <w:b/>
          <w:bCs/>
          <w:sz w:val="24"/>
          <w:szCs w:val="24"/>
        </w:rPr>
      </w:pPr>
      <w:r w:rsidRPr="00393C64">
        <w:rPr>
          <w:b/>
          <w:bCs/>
          <w:sz w:val="24"/>
          <w:szCs w:val="24"/>
        </w:rPr>
        <w:t>III Nepieciešamais finansējums</w:t>
      </w:r>
    </w:p>
    <w:p w:rsidR="00F90884" w:rsidRPr="00393C64" w:rsidRDefault="00F90884" w:rsidP="004E18D2">
      <w:pPr>
        <w:pStyle w:val="ListParagraph"/>
        <w:spacing w:after="120"/>
        <w:ind w:left="0"/>
        <w:jc w:val="both"/>
        <w:rPr>
          <w:sz w:val="24"/>
          <w:szCs w:val="24"/>
        </w:rPr>
      </w:pPr>
      <w:r w:rsidRPr="00393C64">
        <w:rPr>
          <w:sz w:val="24"/>
          <w:szCs w:val="24"/>
        </w:rPr>
        <w:t xml:space="preserve">Kopējais projekta budžets ir 9 100 </w:t>
      </w:r>
      <w:r w:rsidRPr="00393C64">
        <w:rPr>
          <w:i/>
          <w:sz w:val="24"/>
          <w:szCs w:val="24"/>
        </w:rPr>
        <w:t>euro</w:t>
      </w:r>
      <w:r w:rsidRPr="00393C64">
        <w:rPr>
          <w:sz w:val="24"/>
          <w:szCs w:val="24"/>
        </w:rPr>
        <w:t xml:space="preserve">. </w:t>
      </w:r>
    </w:p>
    <w:p w:rsidR="00F90884" w:rsidRPr="00393C64" w:rsidRDefault="00F90884" w:rsidP="004E18D2">
      <w:pPr>
        <w:pStyle w:val="ListParagraph"/>
        <w:spacing w:after="120"/>
        <w:ind w:left="0"/>
        <w:jc w:val="both"/>
        <w:rPr>
          <w:sz w:val="24"/>
          <w:szCs w:val="24"/>
        </w:rPr>
      </w:pPr>
      <w:r w:rsidRPr="00393C64">
        <w:rPr>
          <w:sz w:val="24"/>
          <w:szCs w:val="24"/>
        </w:rPr>
        <w:t>Lai nodrošinātu projekta realizāciju, t.sk., iepriekš minēto aktivitāšu realizāciju, ir nepieciešams tabulā norādītais finansējums.</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3882"/>
        <w:gridCol w:w="1630"/>
        <w:gridCol w:w="1072"/>
        <w:gridCol w:w="1273"/>
      </w:tblGrid>
      <w:tr w:rsidR="00F90884" w:rsidRPr="002551E3" w:rsidTr="004937AC">
        <w:trPr>
          <w:jc w:val="center"/>
        </w:trPr>
        <w:tc>
          <w:tcPr>
            <w:tcW w:w="8694" w:type="dxa"/>
            <w:gridSpan w:val="5"/>
            <w:vAlign w:val="center"/>
          </w:tcPr>
          <w:p w:rsidR="00F90884" w:rsidRPr="00393C64" w:rsidRDefault="00F90884" w:rsidP="00700C6C">
            <w:pPr>
              <w:pStyle w:val="ListParagraph"/>
              <w:ind w:left="0"/>
              <w:jc w:val="center"/>
              <w:rPr>
                <w:sz w:val="24"/>
                <w:szCs w:val="24"/>
              </w:rPr>
            </w:pPr>
            <w:r w:rsidRPr="00393C64">
              <w:rPr>
                <w:b/>
                <w:bCs/>
                <w:sz w:val="24"/>
                <w:szCs w:val="24"/>
                <w:lang w:eastAsia="lv-LV"/>
              </w:rPr>
              <w:t>Nepieciešamais finansējums projekta realizācijai,</w:t>
            </w:r>
            <w:r w:rsidRPr="00DE580D">
              <w:rPr>
                <w:b/>
                <w:bCs/>
                <w:sz w:val="24"/>
                <w:szCs w:val="24"/>
                <w:lang w:eastAsia="lv-LV"/>
              </w:rPr>
              <w:t xml:space="preserve"> EUR</w:t>
            </w:r>
          </w:p>
        </w:tc>
      </w:tr>
      <w:tr w:rsidR="00F90884" w:rsidRPr="002551E3" w:rsidTr="004937AC">
        <w:trPr>
          <w:jc w:val="center"/>
        </w:trPr>
        <w:tc>
          <w:tcPr>
            <w:tcW w:w="837" w:type="dxa"/>
            <w:vAlign w:val="center"/>
          </w:tcPr>
          <w:p w:rsidR="00F90884" w:rsidRPr="00393C64" w:rsidRDefault="00F90884" w:rsidP="00700C6C">
            <w:pPr>
              <w:pStyle w:val="ListParagraph"/>
              <w:ind w:left="0"/>
              <w:jc w:val="center"/>
              <w:rPr>
                <w:sz w:val="24"/>
                <w:szCs w:val="24"/>
              </w:rPr>
            </w:pPr>
            <w:r w:rsidRPr="00393C64">
              <w:rPr>
                <w:sz w:val="24"/>
                <w:szCs w:val="24"/>
              </w:rPr>
              <w:t>Nr.p.k.</w:t>
            </w:r>
          </w:p>
        </w:tc>
        <w:tc>
          <w:tcPr>
            <w:tcW w:w="3882" w:type="dxa"/>
            <w:vAlign w:val="center"/>
          </w:tcPr>
          <w:p w:rsidR="00F90884" w:rsidRPr="00393C64" w:rsidRDefault="00F90884" w:rsidP="00700C6C">
            <w:pPr>
              <w:pStyle w:val="ListParagraph"/>
              <w:ind w:left="0"/>
              <w:jc w:val="center"/>
              <w:rPr>
                <w:b/>
                <w:sz w:val="24"/>
                <w:szCs w:val="24"/>
              </w:rPr>
            </w:pPr>
            <w:r w:rsidRPr="00393C64">
              <w:rPr>
                <w:b/>
                <w:sz w:val="24"/>
                <w:szCs w:val="24"/>
              </w:rPr>
              <w:t>Finansējuma avots</w:t>
            </w:r>
          </w:p>
        </w:tc>
        <w:tc>
          <w:tcPr>
            <w:tcW w:w="1630" w:type="dxa"/>
            <w:vAlign w:val="center"/>
          </w:tcPr>
          <w:p w:rsidR="00F90884" w:rsidRPr="00393C64" w:rsidRDefault="00F90884" w:rsidP="00700C6C">
            <w:pPr>
              <w:pStyle w:val="ListParagraph"/>
              <w:ind w:left="0"/>
              <w:jc w:val="center"/>
              <w:rPr>
                <w:b/>
                <w:sz w:val="24"/>
                <w:szCs w:val="24"/>
              </w:rPr>
            </w:pPr>
            <w:r w:rsidRPr="00393C64">
              <w:rPr>
                <w:b/>
                <w:sz w:val="24"/>
                <w:szCs w:val="24"/>
              </w:rPr>
              <w:t>2014</w:t>
            </w:r>
          </w:p>
        </w:tc>
        <w:tc>
          <w:tcPr>
            <w:tcW w:w="1072" w:type="dxa"/>
            <w:vAlign w:val="center"/>
          </w:tcPr>
          <w:p w:rsidR="00F90884" w:rsidRPr="00393C64" w:rsidRDefault="00F90884" w:rsidP="00700C6C">
            <w:pPr>
              <w:pStyle w:val="ListParagraph"/>
              <w:ind w:left="0"/>
              <w:jc w:val="center"/>
              <w:rPr>
                <w:b/>
                <w:sz w:val="24"/>
                <w:szCs w:val="24"/>
              </w:rPr>
            </w:pPr>
            <w:r w:rsidRPr="00393C64">
              <w:rPr>
                <w:b/>
                <w:sz w:val="24"/>
                <w:szCs w:val="24"/>
              </w:rPr>
              <w:t>2015</w:t>
            </w:r>
          </w:p>
        </w:tc>
        <w:tc>
          <w:tcPr>
            <w:tcW w:w="1273" w:type="dxa"/>
            <w:vAlign w:val="center"/>
          </w:tcPr>
          <w:p w:rsidR="00F90884" w:rsidRPr="00393C64" w:rsidRDefault="00F90884" w:rsidP="00700C6C">
            <w:pPr>
              <w:pStyle w:val="ListParagraph"/>
              <w:ind w:left="0"/>
              <w:jc w:val="center"/>
              <w:rPr>
                <w:b/>
                <w:sz w:val="24"/>
                <w:szCs w:val="24"/>
              </w:rPr>
            </w:pPr>
            <w:r w:rsidRPr="00393C64">
              <w:rPr>
                <w:b/>
                <w:sz w:val="24"/>
                <w:szCs w:val="24"/>
              </w:rPr>
              <w:t>Kopā</w:t>
            </w:r>
          </w:p>
        </w:tc>
      </w:tr>
      <w:tr w:rsidR="00F90884" w:rsidRPr="002551E3" w:rsidTr="004937AC">
        <w:trPr>
          <w:jc w:val="center"/>
        </w:trPr>
        <w:tc>
          <w:tcPr>
            <w:tcW w:w="837" w:type="dxa"/>
            <w:vAlign w:val="center"/>
          </w:tcPr>
          <w:p w:rsidR="00F90884" w:rsidRPr="00393C64" w:rsidRDefault="00F90884" w:rsidP="00700C6C">
            <w:pPr>
              <w:pStyle w:val="ListParagraph"/>
              <w:ind w:left="0"/>
              <w:jc w:val="center"/>
              <w:rPr>
                <w:sz w:val="24"/>
                <w:szCs w:val="24"/>
              </w:rPr>
            </w:pPr>
            <w:r w:rsidRPr="00393C64">
              <w:rPr>
                <w:sz w:val="24"/>
                <w:szCs w:val="24"/>
              </w:rPr>
              <w:t>1.</w:t>
            </w:r>
          </w:p>
        </w:tc>
        <w:tc>
          <w:tcPr>
            <w:tcW w:w="3882" w:type="dxa"/>
            <w:vAlign w:val="center"/>
          </w:tcPr>
          <w:p w:rsidR="00F90884" w:rsidRPr="002551E3" w:rsidRDefault="00F90884" w:rsidP="00700C6C">
            <w:pPr>
              <w:spacing w:after="0"/>
              <w:ind w:firstLine="0"/>
              <w:rPr>
                <w:rFonts w:ascii="Times New Roman" w:hAnsi="Times New Roman"/>
                <w:sz w:val="24"/>
                <w:szCs w:val="24"/>
                <w:lang w:val="lv-LV" w:eastAsia="lv-LV"/>
              </w:rPr>
            </w:pPr>
            <w:r w:rsidRPr="002551E3">
              <w:rPr>
                <w:rFonts w:ascii="Times New Roman" w:hAnsi="Times New Roman"/>
                <w:sz w:val="24"/>
                <w:szCs w:val="24"/>
                <w:lang w:val="lv-LV" w:eastAsia="lv-LV"/>
              </w:rPr>
              <w:t xml:space="preserve">Ieņēmumi no ārvalstu finanšu palīdzības – </w:t>
            </w:r>
            <w:r w:rsidRPr="002551E3">
              <w:rPr>
                <w:rStyle w:val="Strong"/>
                <w:rFonts w:ascii="Times New Roman" w:hAnsi="Times New Roman"/>
                <w:b w:val="0"/>
                <w:sz w:val="24"/>
                <w:szCs w:val="24"/>
                <w:lang w:val="lv-LV"/>
              </w:rPr>
              <w:t>Z</w:t>
            </w:r>
            <w:r w:rsidRPr="002551E3">
              <w:rPr>
                <w:rFonts w:ascii="Times New Roman" w:hAnsi="Times New Roman"/>
                <w:bCs/>
                <w:sz w:val="24"/>
                <w:szCs w:val="24"/>
                <w:lang w:val="lv-LV"/>
              </w:rPr>
              <w:t>iemeļvalstu un Baltijas valstu mobilitātes programmas</w:t>
            </w:r>
            <w:r w:rsidRPr="002551E3">
              <w:rPr>
                <w:rFonts w:ascii="Times New Roman" w:hAnsi="Times New Roman"/>
                <w:sz w:val="24"/>
                <w:szCs w:val="24"/>
                <w:lang w:val="lv-LV" w:eastAsia="lv-LV"/>
              </w:rPr>
              <w:t xml:space="preserve"> finansējums.*</w:t>
            </w:r>
          </w:p>
        </w:tc>
        <w:tc>
          <w:tcPr>
            <w:tcW w:w="1630" w:type="dxa"/>
            <w:vAlign w:val="center"/>
          </w:tcPr>
          <w:p w:rsidR="00F90884" w:rsidRPr="002551E3" w:rsidRDefault="00F90884" w:rsidP="00700C6C">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4 250</w:t>
            </w:r>
          </w:p>
        </w:tc>
        <w:tc>
          <w:tcPr>
            <w:tcW w:w="1072" w:type="dxa"/>
            <w:vAlign w:val="center"/>
          </w:tcPr>
          <w:p w:rsidR="00F90884" w:rsidRPr="002551E3" w:rsidRDefault="00F90884" w:rsidP="00700C6C">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750</w:t>
            </w:r>
          </w:p>
        </w:tc>
        <w:tc>
          <w:tcPr>
            <w:tcW w:w="1273" w:type="dxa"/>
            <w:vAlign w:val="center"/>
          </w:tcPr>
          <w:p w:rsidR="00F90884" w:rsidRPr="002551E3" w:rsidRDefault="00F90884" w:rsidP="00700C6C">
            <w:pPr>
              <w:spacing w:after="0"/>
              <w:ind w:firstLine="0"/>
              <w:jc w:val="center"/>
              <w:rPr>
                <w:rFonts w:ascii="Times New Roman" w:hAnsi="Times New Roman"/>
                <w:b/>
                <w:bCs/>
                <w:sz w:val="24"/>
                <w:szCs w:val="24"/>
                <w:lang w:val="lv-LV" w:eastAsia="lv-LV"/>
              </w:rPr>
            </w:pPr>
            <w:r w:rsidRPr="002551E3">
              <w:rPr>
                <w:rFonts w:ascii="Times New Roman" w:hAnsi="Times New Roman"/>
                <w:b/>
                <w:bCs/>
                <w:sz w:val="24"/>
                <w:szCs w:val="24"/>
                <w:lang w:val="lv-LV" w:eastAsia="lv-LV"/>
              </w:rPr>
              <w:t>5 000</w:t>
            </w:r>
          </w:p>
        </w:tc>
      </w:tr>
      <w:tr w:rsidR="00F90884" w:rsidRPr="002551E3" w:rsidTr="004937AC">
        <w:trPr>
          <w:jc w:val="center"/>
        </w:trPr>
        <w:tc>
          <w:tcPr>
            <w:tcW w:w="837" w:type="dxa"/>
            <w:vAlign w:val="center"/>
          </w:tcPr>
          <w:p w:rsidR="00F90884" w:rsidRPr="00393C64" w:rsidRDefault="00F90884" w:rsidP="00700C6C">
            <w:pPr>
              <w:pStyle w:val="ListParagraph"/>
              <w:ind w:left="0"/>
              <w:jc w:val="center"/>
              <w:rPr>
                <w:sz w:val="24"/>
                <w:szCs w:val="24"/>
              </w:rPr>
            </w:pPr>
            <w:r w:rsidRPr="00393C64">
              <w:rPr>
                <w:sz w:val="24"/>
                <w:szCs w:val="24"/>
              </w:rPr>
              <w:t>2.</w:t>
            </w:r>
          </w:p>
        </w:tc>
        <w:tc>
          <w:tcPr>
            <w:tcW w:w="3882" w:type="dxa"/>
            <w:vAlign w:val="center"/>
          </w:tcPr>
          <w:p w:rsidR="00F90884" w:rsidRPr="002551E3" w:rsidRDefault="00F90884" w:rsidP="00700C6C">
            <w:pPr>
              <w:spacing w:after="0"/>
              <w:ind w:firstLine="0"/>
              <w:rPr>
                <w:rFonts w:ascii="Times New Roman" w:hAnsi="Times New Roman"/>
                <w:sz w:val="24"/>
                <w:szCs w:val="24"/>
                <w:lang w:val="lv-LV" w:eastAsia="lv-LV"/>
              </w:rPr>
            </w:pPr>
            <w:r w:rsidRPr="002551E3">
              <w:rPr>
                <w:rFonts w:ascii="Times New Roman" w:hAnsi="Times New Roman"/>
                <w:sz w:val="24"/>
                <w:szCs w:val="24"/>
                <w:lang w:val="lv-LV" w:eastAsia="lv-LV"/>
              </w:rPr>
              <w:t xml:space="preserve">Valsts budžeta līdzfinansējums – </w:t>
            </w:r>
            <w:r w:rsidRPr="002551E3">
              <w:rPr>
                <w:rFonts w:ascii="Times New Roman" w:hAnsi="Times New Roman"/>
                <w:iCs/>
                <w:sz w:val="24"/>
                <w:szCs w:val="24"/>
                <w:lang w:val="lv-LV"/>
              </w:rPr>
              <w:t>Vispārējā kārtībā sadalāmā dotācija no vispārējiem ieņēmumiem.</w:t>
            </w:r>
          </w:p>
        </w:tc>
        <w:tc>
          <w:tcPr>
            <w:tcW w:w="1630" w:type="dxa"/>
            <w:vAlign w:val="center"/>
          </w:tcPr>
          <w:p w:rsidR="00F90884" w:rsidRPr="002551E3" w:rsidRDefault="00F90884" w:rsidP="00700C6C">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4 100</w:t>
            </w:r>
          </w:p>
        </w:tc>
        <w:tc>
          <w:tcPr>
            <w:tcW w:w="1072" w:type="dxa"/>
            <w:vAlign w:val="center"/>
          </w:tcPr>
          <w:p w:rsidR="00F90884" w:rsidRPr="002551E3" w:rsidRDefault="00F90884" w:rsidP="008064E9">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0</w:t>
            </w:r>
          </w:p>
        </w:tc>
        <w:tc>
          <w:tcPr>
            <w:tcW w:w="1273" w:type="dxa"/>
            <w:vAlign w:val="center"/>
          </w:tcPr>
          <w:p w:rsidR="00F90884" w:rsidRPr="002551E3" w:rsidRDefault="00F90884" w:rsidP="00700C6C">
            <w:pPr>
              <w:spacing w:after="0"/>
              <w:ind w:firstLine="0"/>
              <w:jc w:val="center"/>
              <w:rPr>
                <w:rFonts w:ascii="Times New Roman" w:hAnsi="Times New Roman"/>
                <w:b/>
                <w:bCs/>
                <w:sz w:val="24"/>
                <w:szCs w:val="24"/>
                <w:lang w:val="lv-LV" w:eastAsia="lv-LV"/>
              </w:rPr>
            </w:pPr>
            <w:r w:rsidRPr="002551E3">
              <w:rPr>
                <w:rFonts w:ascii="Times New Roman" w:hAnsi="Times New Roman"/>
                <w:b/>
                <w:bCs/>
                <w:sz w:val="24"/>
                <w:szCs w:val="24"/>
                <w:lang w:val="lv-LV" w:eastAsia="lv-LV"/>
              </w:rPr>
              <w:t>4 100</w:t>
            </w:r>
          </w:p>
        </w:tc>
      </w:tr>
      <w:tr w:rsidR="00F90884" w:rsidRPr="002551E3" w:rsidTr="004937AC">
        <w:trPr>
          <w:jc w:val="center"/>
        </w:trPr>
        <w:tc>
          <w:tcPr>
            <w:tcW w:w="837" w:type="dxa"/>
            <w:vAlign w:val="center"/>
          </w:tcPr>
          <w:p w:rsidR="00F90884" w:rsidRPr="00393C64" w:rsidRDefault="00F90884" w:rsidP="00700C6C">
            <w:pPr>
              <w:pStyle w:val="ListParagraph"/>
              <w:ind w:left="0"/>
              <w:jc w:val="center"/>
              <w:rPr>
                <w:sz w:val="24"/>
                <w:szCs w:val="24"/>
              </w:rPr>
            </w:pPr>
          </w:p>
        </w:tc>
        <w:tc>
          <w:tcPr>
            <w:tcW w:w="3882" w:type="dxa"/>
            <w:vAlign w:val="center"/>
          </w:tcPr>
          <w:p w:rsidR="00F90884" w:rsidRPr="00393C64" w:rsidRDefault="00F90884" w:rsidP="00700C6C">
            <w:pPr>
              <w:pStyle w:val="ListParagraph"/>
              <w:ind w:left="0"/>
              <w:jc w:val="center"/>
              <w:rPr>
                <w:b/>
                <w:sz w:val="24"/>
                <w:szCs w:val="24"/>
              </w:rPr>
            </w:pPr>
            <w:r w:rsidRPr="00393C64">
              <w:rPr>
                <w:b/>
                <w:sz w:val="24"/>
                <w:szCs w:val="24"/>
              </w:rPr>
              <w:t>Kopā</w:t>
            </w:r>
          </w:p>
        </w:tc>
        <w:tc>
          <w:tcPr>
            <w:tcW w:w="1630" w:type="dxa"/>
            <w:vAlign w:val="center"/>
          </w:tcPr>
          <w:p w:rsidR="00F90884" w:rsidRPr="002551E3" w:rsidRDefault="00F90884" w:rsidP="00FA35A2">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8 350</w:t>
            </w:r>
          </w:p>
        </w:tc>
        <w:tc>
          <w:tcPr>
            <w:tcW w:w="1072" w:type="dxa"/>
            <w:vAlign w:val="center"/>
          </w:tcPr>
          <w:p w:rsidR="00F90884" w:rsidRPr="002551E3" w:rsidRDefault="00F90884" w:rsidP="00700C6C">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750</w:t>
            </w:r>
          </w:p>
        </w:tc>
        <w:tc>
          <w:tcPr>
            <w:tcW w:w="1273" w:type="dxa"/>
            <w:vAlign w:val="center"/>
          </w:tcPr>
          <w:p w:rsidR="00F90884" w:rsidRPr="002551E3" w:rsidRDefault="00F90884" w:rsidP="00700C6C">
            <w:pPr>
              <w:spacing w:after="0"/>
              <w:ind w:firstLine="0"/>
              <w:jc w:val="center"/>
              <w:rPr>
                <w:rFonts w:ascii="Times New Roman" w:hAnsi="Times New Roman"/>
                <w:b/>
                <w:bCs/>
                <w:sz w:val="24"/>
                <w:szCs w:val="24"/>
                <w:lang w:val="lv-LV" w:eastAsia="lv-LV"/>
              </w:rPr>
            </w:pPr>
            <w:r w:rsidRPr="002551E3">
              <w:rPr>
                <w:rFonts w:ascii="Times New Roman" w:hAnsi="Times New Roman"/>
                <w:b/>
                <w:bCs/>
                <w:sz w:val="24"/>
                <w:szCs w:val="24"/>
                <w:lang w:val="lv-LV" w:eastAsia="lv-LV"/>
              </w:rPr>
              <w:t>9 100</w:t>
            </w:r>
          </w:p>
        </w:tc>
      </w:tr>
    </w:tbl>
    <w:p w:rsidR="00F90884" w:rsidRPr="00393C64" w:rsidRDefault="00F90884" w:rsidP="004E18D2">
      <w:pPr>
        <w:pStyle w:val="NormalWeb"/>
        <w:spacing w:before="0" w:beforeAutospacing="0" w:after="0" w:afterAutospacing="0"/>
        <w:ind w:firstLine="425"/>
        <w:jc w:val="both"/>
        <w:rPr>
          <w:i/>
          <w:iCs/>
          <w:sz w:val="22"/>
          <w:szCs w:val="22"/>
        </w:rPr>
      </w:pPr>
    </w:p>
    <w:p w:rsidR="00F90884" w:rsidRPr="00393C64" w:rsidRDefault="00F90884" w:rsidP="004E18D2">
      <w:pPr>
        <w:pStyle w:val="NormalWeb"/>
        <w:spacing w:before="0" w:beforeAutospacing="0" w:after="0" w:afterAutospacing="0"/>
        <w:ind w:firstLine="425"/>
        <w:jc w:val="both"/>
        <w:rPr>
          <w:iCs/>
        </w:rPr>
      </w:pPr>
      <w:r w:rsidRPr="00393C64">
        <w:rPr>
          <w:iCs/>
        </w:rPr>
        <w:t xml:space="preserve">* 85% </w:t>
      </w:r>
      <w:r>
        <w:rPr>
          <w:iCs/>
        </w:rPr>
        <w:t xml:space="preserve">no </w:t>
      </w:r>
      <w:r w:rsidRPr="00393C64">
        <w:rPr>
          <w:iCs/>
        </w:rPr>
        <w:t xml:space="preserve">Ziemeļvalstu un Baltijas valstu mobilitātes programmas </w:t>
      </w:r>
      <w:r>
        <w:rPr>
          <w:iCs/>
        </w:rPr>
        <w:t xml:space="preserve">kopējā piešķirtā </w:t>
      </w:r>
      <w:r w:rsidRPr="00393C64">
        <w:rPr>
          <w:iCs/>
        </w:rPr>
        <w:t xml:space="preserve">finansējuma </w:t>
      </w:r>
      <w:r>
        <w:rPr>
          <w:iCs/>
        </w:rPr>
        <w:t xml:space="preserve">projekta īstenotājam </w:t>
      </w:r>
      <w:r w:rsidRPr="00393C64">
        <w:rPr>
          <w:iCs/>
        </w:rPr>
        <w:t xml:space="preserve">tiek ieskaitīti tūlīt pēc projekta apstiprināšanas un līguma parakstīšanas, atlikušie 15% tiek ieskaitīti pēc gala atskaites iesniegšanas. </w:t>
      </w:r>
      <w:r>
        <w:rPr>
          <w:iCs/>
        </w:rPr>
        <w:t>Minētos 15% līdzekļu projekta īstenošanai priekšfinansēs Latvijas Dabas muzejs.</w:t>
      </w:r>
    </w:p>
    <w:p w:rsidR="00F90884" w:rsidRPr="00393C64" w:rsidRDefault="00F90884" w:rsidP="004E18D2">
      <w:pPr>
        <w:pStyle w:val="NormalWeb"/>
        <w:spacing w:before="0" w:beforeAutospacing="0" w:after="0" w:afterAutospacing="0"/>
        <w:ind w:firstLine="425"/>
        <w:jc w:val="both"/>
        <w:rPr>
          <w:iCs/>
        </w:rPr>
      </w:pPr>
    </w:p>
    <w:p w:rsidR="00F90884" w:rsidRPr="00393C64" w:rsidRDefault="00F90884" w:rsidP="004E18D2">
      <w:pPr>
        <w:pStyle w:val="NormalWeb"/>
        <w:spacing w:before="0" w:beforeAutospacing="0" w:after="0" w:afterAutospacing="0"/>
        <w:ind w:firstLine="425"/>
        <w:jc w:val="both"/>
        <w:rPr>
          <w:iCs/>
        </w:rPr>
      </w:pPr>
      <w:r w:rsidRPr="00393C64">
        <w:rPr>
          <w:iCs/>
        </w:rPr>
        <w:t xml:space="preserve">Projektā plānots visas aktivitātes ieviest līdz 2014. gada beigām, t.sk. iesniegt gala atskaites. Taču tā kā aktivitāšu noslēgšana sakrīt ar gada noslēgumu, projekta naudas plūsmas grafikā programmas finansējuma daļas 15% (750 </w:t>
      </w:r>
      <w:r w:rsidRPr="00393C64">
        <w:rPr>
          <w:i/>
          <w:iCs/>
        </w:rPr>
        <w:t>euro</w:t>
      </w:r>
      <w:r w:rsidRPr="00393C64">
        <w:rPr>
          <w:iCs/>
        </w:rPr>
        <w:t xml:space="preserve">) maksājumu paredzēts saņemt 2015.gadā. </w:t>
      </w:r>
    </w:p>
    <w:p w:rsidR="00F90884" w:rsidRDefault="00F90884" w:rsidP="00220859">
      <w:pPr>
        <w:ind w:firstLine="0"/>
        <w:rPr>
          <w:rFonts w:ascii="Times New Roman" w:hAnsi="Times New Roman"/>
          <w:b/>
          <w:sz w:val="24"/>
          <w:szCs w:val="24"/>
          <w:lang w:val="lv-LV"/>
        </w:rPr>
      </w:pPr>
    </w:p>
    <w:p w:rsidR="00F90884" w:rsidRPr="00FC3C6A" w:rsidRDefault="00F90884" w:rsidP="00D11118">
      <w:pPr>
        <w:spacing w:after="0"/>
        <w:jc w:val="center"/>
        <w:rPr>
          <w:rFonts w:ascii="Times New Roman" w:hAnsi="Times New Roman"/>
          <w:b/>
          <w:bCs/>
          <w:sz w:val="28"/>
          <w:szCs w:val="28"/>
          <w:lang w:val="lv-LV"/>
        </w:rPr>
      </w:pPr>
      <w:r w:rsidRPr="00FC3C6A">
        <w:rPr>
          <w:rFonts w:ascii="Times New Roman" w:hAnsi="Times New Roman"/>
          <w:b/>
          <w:sz w:val="28"/>
          <w:szCs w:val="28"/>
          <w:lang w:val="lv-LV"/>
        </w:rPr>
        <w:t>Kurzemes plānošanas reģiona</w:t>
      </w:r>
      <w:r w:rsidRPr="00FC3C6A">
        <w:rPr>
          <w:rFonts w:ascii="Times New Roman" w:hAnsi="Times New Roman"/>
          <w:b/>
          <w:bCs/>
          <w:sz w:val="28"/>
          <w:szCs w:val="28"/>
          <w:lang w:val="lv-LV"/>
        </w:rPr>
        <w:t xml:space="preserve"> projekts </w:t>
      </w:r>
    </w:p>
    <w:p w:rsidR="00F90884" w:rsidRPr="00FC3C6A" w:rsidRDefault="00F90884" w:rsidP="00DF771D">
      <w:pPr>
        <w:jc w:val="center"/>
        <w:rPr>
          <w:rFonts w:ascii="Times New Roman" w:hAnsi="Times New Roman"/>
          <w:b/>
          <w:bCs/>
          <w:sz w:val="28"/>
          <w:szCs w:val="28"/>
          <w:lang w:val="lv-LV"/>
        </w:rPr>
      </w:pPr>
      <w:r w:rsidRPr="00FC3C6A">
        <w:rPr>
          <w:rFonts w:ascii="Times New Roman" w:hAnsi="Times New Roman"/>
          <w:b/>
          <w:sz w:val="28"/>
          <w:szCs w:val="28"/>
          <w:lang w:val="lv-LV"/>
        </w:rPr>
        <w:t>„Pieredzes apmaiņas vizītes Somijā un Zviedrijā kopēju reģionālo projektu sagatavošanai 2014-2020 plānošanas perioda ietvaros”</w:t>
      </w:r>
      <w:r w:rsidRPr="00FC3C6A">
        <w:rPr>
          <w:rFonts w:ascii="Times New Roman" w:hAnsi="Times New Roman"/>
          <w:b/>
          <w:bCs/>
          <w:sz w:val="28"/>
          <w:szCs w:val="28"/>
          <w:lang w:val="lv-LV"/>
        </w:rPr>
        <w:t xml:space="preserve">  </w:t>
      </w:r>
    </w:p>
    <w:p w:rsidR="00F90884" w:rsidRPr="00393C64" w:rsidRDefault="00F90884" w:rsidP="00DF771D">
      <w:pPr>
        <w:rPr>
          <w:rFonts w:ascii="Times New Roman" w:hAnsi="Times New Roman"/>
          <w:b/>
          <w:color w:val="365F91"/>
          <w:sz w:val="24"/>
          <w:szCs w:val="24"/>
          <w:lang w:val="lv-LV"/>
        </w:rPr>
      </w:pPr>
    </w:p>
    <w:p w:rsidR="00F90884" w:rsidRPr="00393C64" w:rsidRDefault="00F90884" w:rsidP="00DF771D">
      <w:pPr>
        <w:rPr>
          <w:rFonts w:ascii="Times New Roman" w:hAnsi="Times New Roman"/>
          <w:b/>
          <w:sz w:val="24"/>
          <w:szCs w:val="24"/>
          <w:lang w:val="lv-LV"/>
        </w:rPr>
      </w:pPr>
      <w:r w:rsidRPr="00393C64">
        <w:rPr>
          <w:rFonts w:ascii="Times New Roman" w:hAnsi="Times New Roman"/>
          <w:b/>
          <w:sz w:val="24"/>
          <w:szCs w:val="24"/>
          <w:lang w:val="lv-LV"/>
        </w:rPr>
        <w:t>I Projekta sasaiste ar politikas dokumentiem un tiesību aktiem</w:t>
      </w:r>
    </w:p>
    <w:p w:rsidR="00F90884" w:rsidRPr="00393C64" w:rsidRDefault="00F90884" w:rsidP="00DF771D">
      <w:pPr>
        <w:autoSpaceDE w:val="0"/>
        <w:autoSpaceDN w:val="0"/>
        <w:adjustRightInd w:val="0"/>
        <w:spacing w:after="0"/>
        <w:rPr>
          <w:rFonts w:ascii="Times New Roman" w:hAnsi="Times New Roman"/>
          <w:bCs/>
          <w:color w:val="365F91"/>
          <w:sz w:val="24"/>
          <w:szCs w:val="24"/>
          <w:shd w:val="clear" w:color="auto" w:fill="FFFFFF"/>
          <w:lang w:val="lv-LV"/>
        </w:rPr>
      </w:pPr>
    </w:p>
    <w:p w:rsidR="00F90884" w:rsidRPr="00393C64" w:rsidRDefault="00F90884" w:rsidP="00DF771D">
      <w:pPr>
        <w:spacing w:after="100" w:afterAutospacing="1"/>
        <w:rPr>
          <w:rFonts w:ascii="Times New Roman" w:hAnsi="Times New Roman"/>
          <w:sz w:val="24"/>
          <w:szCs w:val="24"/>
          <w:lang w:val="lv-LV"/>
        </w:rPr>
      </w:pPr>
      <w:r w:rsidRPr="00393C64">
        <w:rPr>
          <w:rFonts w:ascii="Times New Roman" w:hAnsi="Times New Roman"/>
          <w:b/>
          <w:sz w:val="24"/>
          <w:szCs w:val="24"/>
          <w:lang w:val="lv-LV"/>
        </w:rPr>
        <w:t>Reģionālās attīstības likuma</w:t>
      </w:r>
      <w:r w:rsidRPr="00393C64">
        <w:rPr>
          <w:rFonts w:ascii="Times New Roman" w:hAnsi="Times New Roman"/>
          <w:sz w:val="24"/>
          <w:szCs w:val="24"/>
          <w:lang w:val="lv-LV"/>
        </w:rPr>
        <w:t xml:space="preserve"> (spēkā no 22.06.2006.) 16.panta 1.daļā noteikta </w:t>
      </w:r>
      <w:r w:rsidRPr="00393C64">
        <w:rPr>
          <w:rFonts w:ascii="Times New Roman" w:hAnsi="Times New Roman"/>
          <w:b/>
          <w:sz w:val="24"/>
          <w:szCs w:val="24"/>
          <w:lang w:val="lv-LV"/>
        </w:rPr>
        <w:t>plānošanas reģionu kompetence</w:t>
      </w:r>
      <w:r w:rsidRPr="00393C64">
        <w:rPr>
          <w:rFonts w:ascii="Times New Roman" w:hAnsi="Times New Roman"/>
          <w:sz w:val="24"/>
          <w:szCs w:val="24"/>
          <w:lang w:val="lv-LV"/>
        </w:rPr>
        <w:t>, tajā skaitā, koordinēt un veicināt plānošanas reģionu reģionālās attīstības atbalsta pasākumu izstrādi, īstenošanu, uzraudzību un novērtēšanu; izstrādāt un īstenot projektus reģionālās attīstības atbalsta pasākumu ietvaros.</w:t>
      </w:r>
    </w:p>
    <w:p w:rsidR="00F90884" w:rsidRPr="00393C64" w:rsidRDefault="00F90884" w:rsidP="00DF771D">
      <w:pPr>
        <w:spacing w:after="0"/>
        <w:rPr>
          <w:rFonts w:ascii="Times New Roman" w:hAnsi="Times New Roman"/>
          <w:color w:val="365F91"/>
          <w:sz w:val="24"/>
          <w:szCs w:val="24"/>
          <w:lang w:val="lv-LV"/>
        </w:rPr>
      </w:pPr>
      <w:r w:rsidRPr="00393C64">
        <w:rPr>
          <w:rFonts w:ascii="Times New Roman" w:hAnsi="Times New Roman"/>
          <w:b/>
          <w:sz w:val="24"/>
          <w:szCs w:val="24"/>
          <w:lang w:val="lv-LV"/>
        </w:rPr>
        <w:t>Kurzemes plānošanas reģiona Rīcības plānā</w:t>
      </w:r>
      <w:r w:rsidRPr="00393C64">
        <w:rPr>
          <w:rFonts w:ascii="Times New Roman" w:hAnsi="Times New Roman"/>
          <w:sz w:val="24"/>
          <w:szCs w:val="24"/>
          <w:lang w:val="lv-LV"/>
        </w:rPr>
        <w:t xml:space="preserve"> ir noteiktas ilgtermiņa attīstības prioritātes un rīcības virzieni, kuru realizācija veicama 20 gadu perspektīvā un īstermiņa attīstības prioritātes un rīcības virzieni, kuru realizācija veicama nekavējoši īstermiņa (2010.-2014.gads), lai operatīvi un efektīvi varētu reaģēt uz ekonomisko krīzi un to radīto seku novēršanu reģionā. Lai nodrošinātu ilgtspējīgu Kurzemes plānošanas reģiona attīstību, izvirzītas</w:t>
      </w:r>
      <w:bookmarkStart w:id="0" w:name="_Toc234741510"/>
      <w:r w:rsidRPr="00393C64">
        <w:rPr>
          <w:rFonts w:ascii="Times New Roman" w:hAnsi="Times New Roman"/>
          <w:sz w:val="24"/>
          <w:szCs w:val="24"/>
          <w:lang w:val="lv-LV"/>
        </w:rPr>
        <w:t xml:space="preserve"> Kurzemes plānošanas reģiona ilgtermiņa (2010.-2030.) attīstības prioritāte</w:t>
      </w:r>
      <w:bookmarkEnd w:id="0"/>
      <w:r w:rsidRPr="00393C64">
        <w:rPr>
          <w:rFonts w:ascii="Times New Roman" w:hAnsi="Times New Roman"/>
          <w:sz w:val="24"/>
          <w:szCs w:val="24"/>
          <w:lang w:val="lv-LV"/>
        </w:rPr>
        <w:t>s:</w:t>
      </w:r>
    </w:p>
    <w:p w:rsidR="00F90884" w:rsidRPr="00393C64" w:rsidRDefault="00F90884" w:rsidP="00DF771D">
      <w:pPr>
        <w:spacing w:after="0"/>
        <w:rPr>
          <w:rFonts w:ascii="Times New Roman" w:hAnsi="Times New Roman"/>
          <w:sz w:val="24"/>
          <w:szCs w:val="24"/>
          <w:lang w:val="lv-LV"/>
        </w:rPr>
      </w:pPr>
      <w:r w:rsidRPr="00393C64">
        <w:rPr>
          <w:rFonts w:ascii="Times New Roman" w:hAnsi="Times New Roman"/>
          <w:sz w:val="24"/>
          <w:szCs w:val="24"/>
          <w:lang w:val="lv-LV"/>
        </w:rPr>
        <w:t>Prioritāte Nr.1: Reģiona apdzīvotības struktūras saglabāšana;</w:t>
      </w:r>
    </w:p>
    <w:p w:rsidR="00F90884" w:rsidRPr="00393C64" w:rsidRDefault="00F90884" w:rsidP="00DF771D">
      <w:pPr>
        <w:spacing w:after="0"/>
        <w:rPr>
          <w:rFonts w:ascii="Times New Roman" w:hAnsi="Times New Roman"/>
          <w:sz w:val="24"/>
          <w:szCs w:val="24"/>
          <w:lang w:val="lv-LV"/>
        </w:rPr>
      </w:pPr>
      <w:r w:rsidRPr="00393C64">
        <w:rPr>
          <w:rFonts w:ascii="Times New Roman" w:hAnsi="Times New Roman"/>
          <w:sz w:val="24"/>
          <w:szCs w:val="24"/>
          <w:lang w:val="lv-LV"/>
        </w:rPr>
        <w:t>Prioritāte Nr.2: Daudzveidīgu un konkurētspējīgu pakalpojumu attīstība un to pieejamības uzlabošana reģionā;</w:t>
      </w:r>
    </w:p>
    <w:p w:rsidR="00F90884" w:rsidRPr="00393C64" w:rsidRDefault="00F90884" w:rsidP="00DF771D">
      <w:pPr>
        <w:spacing w:after="0"/>
        <w:rPr>
          <w:rFonts w:ascii="Times New Roman" w:hAnsi="Times New Roman"/>
          <w:sz w:val="24"/>
          <w:szCs w:val="24"/>
          <w:lang w:val="lv-LV"/>
        </w:rPr>
      </w:pPr>
      <w:r w:rsidRPr="00393C64">
        <w:rPr>
          <w:rFonts w:ascii="Times New Roman" w:hAnsi="Times New Roman"/>
          <w:sz w:val="24"/>
          <w:szCs w:val="24"/>
          <w:lang w:val="lv-LV"/>
        </w:rPr>
        <w:t>Prioritāte Nr. 3: Energoefektīvas un ilgtspējīgas saimniekošanas veicināšana reģionā;</w:t>
      </w:r>
    </w:p>
    <w:p w:rsidR="00F90884" w:rsidRPr="00393C64" w:rsidRDefault="00F90884" w:rsidP="00DF771D">
      <w:pPr>
        <w:spacing w:after="0"/>
        <w:rPr>
          <w:rFonts w:ascii="Times New Roman" w:hAnsi="Times New Roman"/>
          <w:sz w:val="24"/>
          <w:szCs w:val="24"/>
          <w:lang w:val="lv-LV"/>
        </w:rPr>
      </w:pPr>
      <w:r w:rsidRPr="00393C64">
        <w:rPr>
          <w:rFonts w:ascii="Times New Roman" w:hAnsi="Times New Roman"/>
          <w:sz w:val="24"/>
          <w:szCs w:val="24"/>
          <w:lang w:val="lv-LV"/>
        </w:rPr>
        <w:t>Prioritāte Nr.4: Zinātnes, pētniecības un uzņēmējdarbības attīstība reģionā;</w:t>
      </w:r>
    </w:p>
    <w:p w:rsidR="00F90884" w:rsidRPr="00393C64" w:rsidRDefault="00F90884" w:rsidP="00DF771D">
      <w:pPr>
        <w:spacing w:after="0"/>
        <w:rPr>
          <w:rFonts w:ascii="Times New Roman" w:hAnsi="Times New Roman"/>
          <w:sz w:val="24"/>
          <w:szCs w:val="24"/>
          <w:lang w:val="lv-LV"/>
        </w:rPr>
      </w:pPr>
      <w:r w:rsidRPr="00393C64">
        <w:rPr>
          <w:rFonts w:ascii="Times New Roman" w:hAnsi="Times New Roman"/>
          <w:sz w:val="24"/>
          <w:szCs w:val="24"/>
          <w:lang w:val="lv-LV"/>
        </w:rPr>
        <w:t>Prioritāte Nr.5: Efektīvas pārvaldības nodrošināšana reģionā.</w:t>
      </w:r>
    </w:p>
    <w:p w:rsidR="00F90884" w:rsidRPr="00220859" w:rsidRDefault="00F90884" w:rsidP="00220859">
      <w:pPr>
        <w:rPr>
          <w:rFonts w:ascii="Times New Roman" w:hAnsi="Times New Roman"/>
          <w:sz w:val="24"/>
          <w:szCs w:val="24"/>
          <w:lang w:val="lv-LV"/>
        </w:rPr>
      </w:pPr>
      <w:r w:rsidRPr="00393C64">
        <w:rPr>
          <w:rFonts w:ascii="Times New Roman" w:hAnsi="Times New Roman"/>
          <w:sz w:val="24"/>
          <w:szCs w:val="24"/>
          <w:lang w:val="lv-LV"/>
        </w:rPr>
        <w:t>Prioritāšu ietvaros tiek izvirzīta nepieciešamība stimulēt vietējās uzņēmējdarbības attīstību, tādējādi piesaistot iedzīvotājus reģionam, saglabājot apdzīvotību un veicinot iedzīvotāju atgriešanos laukos. Projekti izglītības jomā, īpaši profesionālās, augstākās un mūžizglītības jomās vērsti uz daudzveidīgu un konkurētspējīgu pakalpojumu attīstību un to pieejamības uzlabošanu reģionā, uzlabojot reģiona iedzīvotāju konkurētspēju un dzīves kvalitāti. Reģiona attīstībai būtiski ir projekti, kas veicina efektīvu un ilgtspējīgu dabas resursu pasaimniekošanu un aizsardzību. Vides bioloģiskās un ainaviskās daudzveidības, kas ir viens no nozīmīgākajiem Kurzemes reģiona attīstības resursiem, saglabāšana ir būtisks 3.prioritātes rīcības virziena mērķis. Ilgtermiņā nozīmīgi ir arī alternatīvās enerģijas avotu un enerģiju taupošu tehnoloģiju ieviešanas projekti.</w:t>
      </w:r>
    </w:p>
    <w:p w:rsidR="00F90884" w:rsidRPr="00393C64" w:rsidRDefault="00F90884" w:rsidP="00DF771D">
      <w:pPr>
        <w:rPr>
          <w:rFonts w:ascii="Times New Roman" w:hAnsi="Times New Roman"/>
          <w:b/>
          <w:sz w:val="24"/>
          <w:szCs w:val="24"/>
          <w:lang w:val="lv-LV"/>
        </w:rPr>
      </w:pPr>
      <w:r w:rsidRPr="00393C64">
        <w:rPr>
          <w:rFonts w:ascii="Times New Roman" w:hAnsi="Times New Roman"/>
          <w:b/>
          <w:sz w:val="24"/>
          <w:szCs w:val="24"/>
          <w:lang w:val="lv-LV"/>
        </w:rPr>
        <w:t xml:space="preserve">II Informācija par projektu </w:t>
      </w:r>
      <w:r w:rsidRPr="00393C64">
        <w:rPr>
          <w:rFonts w:ascii="Times New Roman" w:hAnsi="Times New Roman"/>
          <w:sz w:val="24"/>
          <w:szCs w:val="24"/>
          <w:lang w:val="lv-LV"/>
        </w:rPr>
        <w:tab/>
      </w:r>
    </w:p>
    <w:p w:rsidR="00F90884" w:rsidRPr="00393C64" w:rsidRDefault="00F90884" w:rsidP="00393C64">
      <w:pPr>
        <w:pStyle w:val="Heading1"/>
        <w:shd w:val="clear" w:color="auto" w:fill="FFFFFF"/>
        <w:spacing w:before="0" w:after="120" w:line="240" w:lineRule="auto"/>
        <w:jc w:val="both"/>
        <w:rPr>
          <w:rFonts w:ascii="Times New Roman" w:hAnsi="Times New Roman"/>
          <w:b w:val="0"/>
          <w:bCs w:val="0"/>
          <w:color w:val="000000"/>
          <w:sz w:val="24"/>
          <w:szCs w:val="24"/>
        </w:rPr>
      </w:pPr>
      <w:r w:rsidRPr="00393C64">
        <w:rPr>
          <w:rFonts w:ascii="Times New Roman" w:hAnsi="Times New Roman"/>
          <w:b w:val="0"/>
          <w:sz w:val="24"/>
          <w:szCs w:val="24"/>
        </w:rPr>
        <w:t>Projekts „Pieredzes apmaiņas vizītes Somijā un Zviedrijā kopēju reģionālo projektu sagatavošanai 2014-2020 plānošanas perioda ietvaros” (</w:t>
      </w:r>
      <w:r w:rsidRPr="00393C64">
        <w:rPr>
          <w:rFonts w:ascii="Times New Roman" w:hAnsi="Times New Roman"/>
          <w:b w:val="0"/>
          <w:i/>
          <w:sz w:val="24"/>
          <w:szCs w:val="24"/>
        </w:rPr>
        <w:t>Study visits to FIN and SE in preparation  for joint regional level projects within 2014-2020 planning period)</w:t>
      </w:r>
      <w:r w:rsidRPr="00393C64">
        <w:rPr>
          <w:rFonts w:ascii="Times New Roman" w:hAnsi="Times New Roman"/>
          <w:b w:val="0"/>
          <w:sz w:val="24"/>
          <w:szCs w:val="24"/>
        </w:rPr>
        <w:t xml:space="preserve"> sagatavots un iesniegts </w:t>
      </w:r>
      <w:r w:rsidRPr="00393C64">
        <w:rPr>
          <w:rFonts w:ascii="Times New Roman" w:hAnsi="Times New Roman"/>
          <w:b w:val="0"/>
          <w:bCs w:val="0"/>
          <w:color w:val="000000"/>
          <w:sz w:val="24"/>
          <w:szCs w:val="24"/>
        </w:rPr>
        <w:t xml:space="preserve">Ziemeļvalstu un Baltijas valstu mobilitātes programmā  „Valsts administrācija” </w:t>
      </w:r>
      <w:r w:rsidRPr="00393C64">
        <w:rPr>
          <w:rFonts w:ascii="Times New Roman" w:hAnsi="Times New Roman"/>
          <w:b w:val="0"/>
          <w:bCs w:val="0"/>
          <w:i/>
          <w:color w:val="000000"/>
          <w:sz w:val="24"/>
          <w:szCs w:val="24"/>
        </w:rPr>
        <w:t>(Nordic-Baltic mobility programme for public administration)</w:t>
      </w:r>
      <w:r w:rsidRPr="00393C64">
        <w:rPr>
          <w:rFonts w:ascii="Times New Roman" w:hAnsi="Times New Roman"/>
          <w:b w:val="0"/>
          <w:i/>
          <w:sz w:val="24"/>
          <w:szCs w:val="24"/>
        </w:rPr>
        <w:t xml:space="preserve">, </w:t>
      </w:r>
      <w:r w:rsidRPr="00393C64">
        <w:rPr>
          <w:rFonts w:ascii="Times New Roman" w:hAnsi="Times New Roman"/>
          <w:b w:val="0"/>
          <w:sz w:val="24"/>
          <w:szCs w:val="24"/>
        </w:rPr>
        <w:t>projekta īstenotājs Kurzemes plānošanas reģions (turpmāk – KPR).</w:t>
      </w:r>
    </w:p>
    <w:p w:rsidR="00F90884" w:rsidRPr="00393C64" w:rsidRDefault="00F90884" w:rsidP="00DF771D">
      <w:pPr>
        <w:pStyle w:val="HTMLPreformatted"/>
        <w:jc w:val="both"/>
        <w:rPr>
          <w:rFonts w:ascii="Times New Roman" w:hAnsi="Times New Roman" w:cs="Times New Roman"/>
          <w:color w:val="365F91"/>
          <w:sz w:val="24"/>
          <w:szCs w:val="24"/>
        </w:rPr>
      </w:pPr>
      <w:r w:rsidRPr="00393C64">
        <w:rPr>
          <w:rFonts w:ascii="Times New Roman" w:hAnsi="Times New Roman" w:cs="Times New Roman"/>
          <w:sz w:val="24"/>
          <w:szCs w:val="24"/>
        </w:rPr>
        <w:t>Projekts vērsts uz reģionāla līmeņa</w:t>
      </w:r>
      <w:r w:rsidRPr="00393C64">
        <w:rPr>
          <w:rFonts w:ascii="Times New Roman" w:hAnsi="Times New Roman" w:cs="Times New Roman"/>
          <w:color w:val="365F91"/>
          <w:sz w:val="24"/>
          <w:szCs w:val="24"/>
        </w:rPr>
        <w:t xml:space="preserve"> </w:t>
      </w:r>
      <w:r w:rsidRPr="00393C64">
        <w:rPr>
          <w:rFonts w:ascii="Times New Roman" w:hAnsi="Times New Roman" w:cs="Times New Roman"/>
          <w:sz w:val="24"/>
          <w:szCs w:val="24"/>
        </w:rPr>
        <w:t xml:space="preserve">starpvalstu sadarbības stiprināšanu (Latvija – Ziemeļvalstis) kopēju projektu izstrādē un īstenošanā uzņēmējdarbības veicināšanas, izglītības un vides jomās, par prioritāti izvirzot kopēju dalību Centrālbaltijas programmas un Baltijas jūras reģiona programmu projektu konkursos 2014-2020 plānošanas periodā. </w:t>
      </w:r>
    </w:p>
    <w:p w:rsidR="00F90884" w:rsidRPr="009D3839" w:rsidRDefault="00F90884" w:rsidP="00DF771D">
      <w:pPr>
        <w:pStyle w:val="HTMLPreformatted"/>
        <w:jc w:val="both"/>
        <w:rPr>
          <w:rFonts w:ascii="Times New Roman" w:hAnsi="Times New Roman" w:cs="Times New Roman"/>
          <w:sz w:val="24"/>
          <w:szCs w:val="24"/>
        </w:rPr>
      </w:pPr>
      <w:r w:rsidRPr="00393C64">
        <w:rPr>
          <w:rFonts w:ascii="Times New Roman" w:hAnsi="Times New Roman" w:cs="Times New Roman"/>
          <w:sz w:val="24"/>
          <w:szCs w:val="24"/>
        </w:rPr>
        <w:t>Projekta ietvaros pieci Kurzemes plānošanas reģiona darbinieki divās pieredzes apmaiņas vizītēs Somijā un Zviedrijā apmeklēs partneru reģionu iestādes un organizācijas, dibinot ilgtspējīgu sadarbību starp reģioniem. Vizīšu laikā tiks padziļināti izdiskutētas reģionu kopējās attīstības problēmas un izstrādātas vairākas kopējo projektu tēmas atbilstoši reģionu attīstības prioritātēm.</w:t>
      </w:r>
    </w:p>
    <w:p w:rsidR="00F90884" w:rsidRPr="00393C64" w:rsidRDefault="00F90884" w:rsidP="00570951">
      <w:pPr>
        <w:pStyle w:val="HTMLPreformatted"/>
        <w:spacing w:after="120"/>
        <w:jc w:val="both"/>
        <w:rPr>
          <w:rFonts w:ascii="Times New Roman" w:hAnsi="Times New Roman" w:cs="Times New Roman"/>
          <w:sz w:val="24"/>
          <w:szCs w:val="24"/>
        </w:rPr>
      </w:pPr>
      <w:r w:rsidRPr="00393C64">
        <w:rPr>
          <w:rFonts w:ascii="Times New Roman" w:hAnsi="Times New Roman" w:cs="Times New Roman"/>
          <w:sz w:val="24"/>
          <w:szCs w:val="24"/>
        </w:rPr>
        <w:t>Projekta īstenošanas laiks: 2014.gada 14.jūlijs – 2014.gada 14.novembris.</w:t>
      </w:r>
    </w:p>
    <w:p w:rsidR="00F90884" w:rsidRPr="00393C64" w:rsidRDefault="00F90884" w:rsidP="00DF771D">
      <w:pPr>
        <w:pStyle w:val="HTMLPreformatted"/>
        <w:jc w:val="both"/>
        <w:rPr>
          <w:rFonts w:ascii="Times New Roman" w:hAnsi="Times New Roman" w:cs="Times New Roman"/>
          <w:sz w:val="24"/>
          <w:szCs w:val="24"/>
        </w:rPr>
      </w:pPr>
      <w:r w:rsidRPr="00393C64">
        <w:rPr>
          <w:rFonts w:ascii="Times New Roman" w:hAnsi="Times New Roman" w:cs="Times New Roman"/>
          <w:sz w:val="24"/>
          <w:szCs w:val="24"/>
        </w:rPr>
        <w:t xml:space="preserve">Kopējais projekta budžets ir </w:t>
      </w:r>
      <w:r>
        <w:rPr>
          <w:rFonts w:ascii="Times New Roman" w:eastAsia="DejaVuSans" w:hAnsi="Times New Roman" w:cs="Times New Roman"/>
          <w:sz w:val="24"/>
          <w:szCs w:val="24"/>
        </w:rPr>
        <w:t>6 250</w:t>
      </w:r>
      <w:r w:rsidRPr="00393C64">
        <w:rPr>
          <w:rFonts w:ascii="Times New Roman" w:eastAsia="DejaVuSans" w:hAnsi="Times New Roman" w:cs="Times New Roman"/>
          <w:sz w:val="24"/>
          <w:szCs w:val="24"/>
        </w:rPr>
        <w:t>,00</w:t>
      </w:r>
      <w:r w:rsidRPr="00393C64">
        <w:rPr>
          <w:rFonts w:ascii="Times New Roman" w:eastAsia="DejaVuSans" w:hAnsi="Times New Roman"/>
          <w:sz w:val="24"/>
          <w:szCs w:val="24"/>
        </w:rPr>
        <w:t xml:space="preserve"> </w:t>
      </w:r>
      <w:r w:rsidRPr="00393C64">
        <w:rPr>
          <w:rFonts w:ascii="Times New Roman" w:eastAsia="DejaVuSans" w:hAnsi="Times New Roman"/>
          <w:i/>
          <w:sz w:val="24"/>
          <w:szCs w:val="24"/>
        </w:rPr>
        <w:t>euro</w:t>
      </w:r>
      <w:r w:rsidRPr="00393C64">
        <w:rPr>
          <w:rFonts w:ascii="Times New Roman" w:hAnsi="Times New Roman" w:cs="Times New Roman"/>
          <w:sz w:val="24"/>
          <w:szCs w:val="24"/>
        </w:rPr>
        <w:t>.</w:t>
      </w:r>
    </w:p>
    <w:p w:rsidR="00F90884" w:rsidRPr="00393C64" w:rsidRDefault="00F90884" w:rsidP="00DF771D">
      <w:pPr>
        <w:pStyle w:val="HTMLPreformatted"/>
        <w:jc w:val="both"/>
        <w:rPr>
          <w:rFonts w:ascii="Times New Roman" w:hAnsi="Times New Roman"/>
          <w:color w:val="365F91"/>
          <w:sz w:val="24"/>
          <w:szCs w:val="24"/>
        </w:rPr>
      </w:pPr>
    </w:p>
    <w:p w:rsidR="00F90884" w:rsidRPr="00393C64" w:rsidRDefault="00F90884" w:rsidP="00DF771D">
      <w:pPr>
        <w:rPr>
          <w:rFonts w:ascii="Times New Roman" w:hAnsi="Times New Roman"/>
          <w:b/>
          <w:sz w:val="24"/>
          <w:szCs w:val="24"/>
          <w:lang w:val="lv-LV"/>
        </w:rPr>
      </w:pPr>
      <w:r w:rsidRPr="00393C64">
        <w:rPr>
          <w:rFonts w:ascii="Times New Roman" w:hAnsi="Times New Roman"/>
          <w:b/>
          <w:sz w:val="24"/>
          <w:szCs w:val="24"/>
          <w:lang w:val="lv-LV"/>
        </w:rPr>
        <w:t xml:space="preserve">2.1. Projekta apraksts/pamatojums </w:t>
      </w:r>
    </w:p>
    <w:p w:rsidR="00F90884" w:rsidRPr="00393C64" w:rsidRDefault="00F90884" w:rsidP="00DF771D">
      <w:pPr>
        <w:shd w:val="clear" w:color="auto" w:fill="FFFFFF"/>
        <w:spacing w:after="0"/>
        <w:rPr>
          <w:rFonts w:ascii="Times New Roman" w:hAnsi="Times New Roman"/>
          <w:color w:val="000000"/>
          <w:sz w:val="24"/>
          <w:szCs w:val="24"/>
          <w:lang w:val="lv-LV" w:eastAsia="lv-LV"/>
        </w:rPr>
      </w:pPr>
      <w:r w:rsidRPr="00393C64">
        <w:rPr>
          <w:rFonts w:ascii="Times New Roman" w:hAnsi="Times New Roman"/>
          <w:color w:val="000000"/>
          <w:sz w:val="24"/>
          <w:szCs w:val="24"/>
          <w:lang w:val="lv-LV" w:eastAsia="lv-LV"/>
        </w:rPr>
        <w:t xml:space="preserve">Kurzemes plānošanas reģions (turpmāk – KPR) ir Vides aizsardzības un reģionālās attīstības ministrijas pārraudzībā esoša atvasināta publiska persona, kas nodrošina KPR attīstības plānošanu, koordināciju, pašvaldību un citu valsts pārvaldes iestāžu sadarbību. </w:t>
      </w:r>
      <w:r w:rsidRPr="00393C64">
        <w:rPr>
          <w:rFonts w:ascii="Times New Roman" w:eastAsia="DejaVuSans" w:hAnsi="Times New Roman"/>
          <w:sz w:val="24"/>
          <w:szCs w:val="24"/>
          <w:lang w:val="lv-LV" w:eastAsia="lv-LV"/>
        </w:rPr>
        <w:t>Lai īstenotu iepriekšminētos uzdevumus, KPR speciālisti</w:t>
      </w:r>
      <w:r w:rsidRPr="00393C64">
        <w:rPr>
          <w:rFonts w:ascii="Times New Roman" w:eastAsia="DejaVuSans" w:hAnsi="Times New Roman"/>
          <w:color w:val="365F91"/>
          <w:sz w:val="24"/>
          <w:szCs w:val="24"/>
          <w:lang w:val="lv-LV" w:eastAsia="lv-LV"/>
        </w:rPr>
        <w:t xml:space="preserve"> </w:t>
      </w:r>
      <w:r w:rsidRPr="00393C64">
        <w:rPr>
          <w:rFonts w:ascii="Times New Roman" w:eastAsia="DejaVuSans" w:hAnsi="Times New Roman"/>
          <w:sz w:val="24"/>
          <w:szCs w:val="24"/>
          <w:lang w:val="lv-LV" w:eastAsia="lv-LV"/>
        </w:rPr>
        <w:t>projekta ietvaros</w:t>
      </w:r>
      <w:r w:rsidRPr="00393C64">
        <w:rPr>
          <w:rFonts w:ascii="Times New Roman" w:eastAsia="DejaVuSans" w:hAnsi="Times New Roman"/>
          <w:color w:val="365F91"/>
          <w:sz w:val="24"/>
          <w:szCs w:val="24"/>
          <w:lang w:val="lv-LV" w:eastAsia="lv-LV"/>
        </w:rPr>
        <w:t xml:space="preserve"> </w:t>
      </w:r>
      <w:r w:rsidRPr="00393C64">
        <w:rPr>
          <w:rFonts w:ascii="Times New Roman" w:hAnsi="Times New Roman"/>
          <w:sz w:val="24"/>
          <w:szCs w:val="24"/>
          <w:lang w:val="lv-LV"/>
        </w:rPr>
        <w:t>organizēs publiskā sektora partnerību ar divām reģionālā līmeņa organizācijām Somijā un Zviedrijā ar mērķi nodibināt koordinētu starpvalstu sadarbību dažādu ES fondu finansējuma apguvē. KPR pārstāvju vizīšu laikā Somijā un Zviedrijā tiks identificētas reģionu attīstības kopējās tēmas un sadarbības vajadzības, nosakot plānoto projektu mērķus Centrālbaltijas programmā 2014-2020 un Baltijas jūras reģiona programmā, kā arī citās no ES fondu līdzekļiem finansētās programmās. Vizīšu laikā dažādās organizācijās, vides aizsardzības institūcijās, uzņēmumos u.c. notiks labās pieredzes apmaiņa, lai veicinātu starpreģionālo sadarbību uzņēmējdarbības atbalsta, vides aizsardzības un izglītības jomās.</w:t>
      </w:r>
    </w:p>
    <w:p w:rsidR="00F90884" w:rsidRPr="00393C64" w:rsidRDefault="00F90884" w:rsidP="00DF771D">
      <w:pPr>
        <w:pStyle w:val="ListParagraph"/>
        <w:suppressAutoHyphens w:val="0"/>
        <w:jc w:val="both"/>
        <w:rPr>
          <w:sz w:val="24"/>
          <w:szCs w:val="24"/>
        </w:rPr>
      </w:pPr>
    </w:p>
    <w:p w:rsidR="00F90884" w:rsidRPr="00393C64" w:rsidRDefault="00F90884" w:rsidP="00DF771D">
      <w:pPr>
        <w:rPr>
          <w:rFonts w:ascii="Times New Roman" w:hAnsi="Times New Roman"/>
          <w:b/>
          <w:sz w:val="24"/>
          <w:szCs w:val="24"/>
          <w:lang w:val="lv-LV"/>
        </w:rPr>
      </w:pPr>
      <w:r w:rsidRPr="00393C64">
        <w:rPr>
          <w:rFonts w:ascii="Times New Roman" w:hAnsi="Times New Roman"/>
          <w:b/>
          <w:sz w:val="24"/>
          <w:szCs w:val="24"/>
          <w:lang w:val="lv-LV"/>
        </w:rPr>
        <w:t>2.2.Projekta mērķis</w:t>
      </w:r>
    </w:p>
    <w:p w:rsidR="00F90884" w:rsidRDefault="00F90884" w:rsidP="00DF771D">
      <w:pPr>
        <w:rPr>
          <w:rFonts w:ascii="Times New Roman" w:hAnsi="Times New Roman"/>
          <w:color w:val="002060"/>
          <w:sz w:val="24"/>
          <w:szCs w:val="24"/>
          <w:lang w:val="lv-LV"/>
        </w:rPr>
      </w:pPr>
      <w:r w:rsidRPr="00393C64">
        <w:rPr>
          <w:rFonts w:ascii="Times New Roman" w:hAnsi="Times New Roman"/>
          <w:bCs/>
          <w:sz w:val="24"/>
          <w:szCs w:val="24"/>
          <w:lang w:val="lv-LV"/>
        </w:rPr>
        <w:t>Projekta mērķis ir</w:t>
      </w:r>
      <w:r w:rsidRPr="00393C64">
        <w:rPr>
          <w:rFonts w:ascii="Times New Roman" w:hAnsi="Times New Roman"/>
          <w:b/>
          <w:bCs/>
          <w:sz w:val="24"/>
          <w:szCs w:val="24"/>
          <w:lang w:val="lv-LV"/>
        </w:rPr>
        <w:t xml:space="preserve"> </w:t>
      </w:r>
      <w:r w:rsidRPr="00393C64">
        <w:rPr>
          <w:rFonts w:ascii="Times New Roman" w:hAnsi="Times New Roman"/>
          <w:sz w:val="24"/>
          <w:szCs w:val="24"/>
          <w:lang w:val="lv-LV"/>
        </w:rPr>
        <w:t xml:space="preserve">sekmēt starpreģionālo sadarbību starp Kurzemes plānošanas reģionu (Latvija), </w:t>
      </w:r>
      <w:r w:rsidRPr="00393C64">
        <w:rPr>
          <w:rFonts w:ascii="Times New Roman" w:hAnsi="Times New Roman"/>
          <w:i/>
          <w:sz w:val="24"/>
          <w:szCs w:val="24"/>
          <w:lang w:val="lv-LV"/>
        </w:rPr>
        <w:t>Kymenlaakso</w:t>
      </w:r>
      <w:r w:rsidRPr="00393C64">
        <w:rPr>
          <w:rFonts w:ascii="Times New Roman" w:hAnsi="Times New Roman"/>
          <w:sz w:val="24"/>
          <w:szCs w:val="24"/>
          <w:lang w:val="lv-LV"/>
        </w:rPr>
        <w:t xml:space="preserve"> reģionu (Somija) un </w:t>
      </w:r>
      <w:r w:rsidRPr="00393C64">
        <w:rPr>
          <w:rFonts w:ascii="Times New Roman" w:hAnsi="Times New Roman"/>
          <w:i/>
          <w:sz w:val="24"/>
          <w:szCs w:val="24"/>
          <w:lang w:val="lv-LV"/>
        </w:rPr>
        <w:t>Swedish Environmental Research Institute</w:t>
      </w:r>
      <w:r w:rsidRPr="00393C64">
        <w:rPr>
          <w:rFonts w:ascii="Times New Roman" w:hAnsi="Times New Roman"/>
          <w:sz w:val="24"/>
          <w:szCs w:val="24"/>
          <w:lang w:val="lv-LV"/>
        </w:rPr>
        <w:t xml:space="preserve"> (Zviedrija) uzņēmējdarbības atbalsta, vides aizsardzības un izglītības jomās, izveidojot partnerību kopēju projektu izstrādei Centrālbaltijas programmā 2014-2020 un Baltijas jūras reģiona programmā, kā arī citu ES fondu programmu ietvaros 2014-2020 plānošanas periodā.</w:t>
      </w:r>
      <w:r w:rsidRPr="00393C64">
        <w:rPr>
          <w:rFonts w:ascii="Times New Roman" w:hAnsi="Times New Roman"/>
          <w:color w:val="002060"/>
          <w:sz w:val="24"/>
          <w:szCs w:val="24"/>
          <w:lang w:val="lv-LV"/>
        </w:rPr>
        <w:t xml:space="preserve"> </w:t>
      </w:r>
    </w:p>
    <w:p w:rsidR="00F90884" w:rsidRPr="00393C64" w:rsidRDefault="00F90884" w:rsidP="00DF771D">
      <w:pPr>
        <w:rPr>
          <w:rFonts w:ascii="Times New Roman" w:hAnsi="Times New Roman"/>
          <w:color w:val="002060"/>
          <w:sz w:val="24"/>
          <w:szCs w:val="24"/>
          <w:lang w:val="lv-LV"/>
        </w:rPr>
      </w:pPr>
    </w:p>
    <w:p w:rsidR="00F90884" w:rsidRPr="00393C64" w:rsidRDefault="00F90884" w:rsidP="00DF771D">
      <w:pPr>
        <w:rPr>
          <w:rFonts w:ascii="Times New Roman" w:hAnsi="Times New Roman"/>
          <w:b/>
          <w:sz w:val="24"/>
          <w:szCs w:val="24"/>
          <w:lang w:val="lv-LV"/>
        </w:rPr>
      </w:pPr>
      <w:r w:rsidRPr="00393C64">
        <w:rPr>
          <w:rFonts w:ascii="Times New Roman" w:hAnsi="Times New Roman"/>
          <w:b/>
          <w:sz w:val="24"/>
          <w:szCs w:val="24"/>
          <w:lang w:val="lv-LV"/>
        </w:rPr>
        <w:t>2.3.Projekta aktivitātes</w:t>
      </w:r>
    </w:p>
    <w:p w:rsidR="00F90884" w:rsidRPr="00393C64" w:rsidRDefault="00F90884" w:rsidP="00DF771D">
      <w:pPr>
        <w:pStyle w:val="NoSpacing"/>
        <w:jc w:val="both"/>
        <w:rPr>
          <w:rFonts w:ascii="Times New Roman" w:hAnsi="Times New Roman"/>
          <w:sz w:val="24"/>
          <w:szCs w:val="24"/>
        </w:rPr>
      </w:pPr>
      <w:r w:rsidRPr="00393C64">
        <w:rPr>
          <w:rFonts w:ascii="Times New Roman" w:hAnsi="Times New Roman"/>
          <w:sz w:val="24"/>
          <w:szCs w:val="24"/>
        </w:rPr>
        <w:t xml:space="preserve">Mobilitātes programmas projektā tiks īstenotas šādas aktivitātes: </w:t>
      </w:r>
    </w:p>
    <w:p w:rsidR="00F90884" w:rsidRPr="00393C64" w:rsidRDefault="00F90884" w:rsidP="00570951">
      <w:pPr>
        <w:numPr>
          <w:ilvl w:val="0"/>
          <w:numId w:val="2"/>
        </w:numPr>
        <w:spacing w:after="0"/>
        <w:ind w:left="0" w:firstLine="426"/>
        <w:rPr>
          <w:rFonts w:ascii="Times New Roman" w:hAnsi="Times New Roman"/>
          <w:sz w:val="24"/>
          <w:szCs w:val="24"/>
          <w:lang w:val="lv-LV"/>
        </w:rPr>
      </w:pPr>
      <w:r w:rsidRPr="00393C64">
        <w:rPr>
          <w:rFonts w:ascii="Times New Roman" w:hAnsi="Times New Roman"/>
          <w:sz w:val="24"/>
          <w:szCs w:val="24"/>
          <w:lang w:val="lv-LV"/>
        </w:rPr>
        <w:t xml:space="preserve">Kurzemes plānošanas reģiona pārstāvju pieredzes apmaiņas vizīte </w:t>
      </w:r>
      <w:r w:rsidRPr="00393C64">
        <w:rPr>
          <w:rFonts w:ascii="Times New Roman" w:hAnsi="Times New Roman"/>
          <w:i/>
          <w:sz w:val="24"/>
          <w:szCs w:val="24"/>
          <w:lang w:val="lv-LV"/>
        </w:rPr>
        <w:t>Kymenlaakso</w:t>
      </w:r>
      <w:r w:rsidRPr="00393C64">
        <w:rPr>
          <w:rFonts w:ascii="Times New Roman" w:hAnsi="Times New Roman"/>
          <w:sz w:val="24"/>
          <w:szCs w:val="24"/>
          <w:lang w:val="lv-LV"/>
        </w:rPr>
        <w:t xml:space="preserve"> reģionā (Somijā) 22.09.2014. – 26.09.2014. Uzņemošā institūcija – Reģionālā padome. Vizītes laikā plānota vispusīga informācijas apmaiņa par abu reģionālo institūciju darbības jomām, līdzšinējām starptautiskās sadarbības aktivitātēm, organizāciju mērķiem Centrālbaltijas programmas 2014-2020 un Baltijas jūras reģiona programmas ietvaros. Notiks darbs pie kopējo mērķu un projektu tēmu izvirzīšanas un rezultātā izstrādātas 2-3 projektu idejas, pie kurām tiks strādāts turpmāk, lai sagatavotu projektus pieteikšanai  Centrālbaltijas programmas 2014-2020, Baltijas jūras reģiona programmas vai citu ES finansētu projektu konkursu ietvaros. Plānotas vizītes citās reģiona organizācijās sadarbības dibināšanai. Vizītes gaitā tiks parakstīts Nodomu protokols par turpmāku abu reģionu sadarbību.</w:t>
      </w:r>
    </w:p>
    <w:p w:rsidR="00F90884" w:rsidRPr="00393C64" w:rsidRDefault="00F90884" w:rsidP="00570951">
      <w:pPr>
        <w:pStyle w:val="ListParagraph"/>
        <w:numPr>
          <w:ilvl w:val="0"/>
          <w:numId w:val="2"/>
        </w:numPr>
        <w:suppressAutoHyphens w:val="0"/>
        <w:ind w:left="0" w:firstLine="426"/>
        <w:contextualSpacing/>
        <w:jc w:val="both"/>
        <w:rPr>
          <w:sz w:val="24"/>
          <w:szCs w:val="24"/>
        </w:rPr>
      </w:pPr>
      <w:r w:rsidRPr="00393C64">
        <w:rPr>
          <w:sz w:val="24"/>
          <w:szCs w:val="24"/>
        </w:rPr>
        <w:t xml:space="preserve">Kurzemes plānošanas reģiona pārstāvju pieredzes apmaiņas vizīte </w:t>
      </w:r>
      <w:r w:rsidRPr="00393C64">
        <w:rPr>
          <w:i/>
          <w:sz w:val="24"/>
          <w:szCs w:val="24"/>
        </w:rPr>
        <w:t>Swedish Environmental Research Institute</w:t>
      </w:r>
      <w:r w:rsidRPr="00393C64">
        <w:rPr>
          <w:sz w:val="24"/>
          <w:szCs w:val="24"/>
        </w:rPr>
        <w:t xml:space="preserve"> (Stokholmā, Zviedrijā) 27.10.2014. – 01.11.2014. Vizīte fokusēsies uz vides jautājumiem, ieskaitot vides politiku, līdzšinējo pieredzi vides projektu īstenošanā, kopējos izaicinājumus u.c. Atkarībā no izvirzītajām kopējās sadarbības tēmām notiks tikšanās ar citām ieinteresētajām organizācijām. Vizītes organizēs uzņemošā institūcija. Vizītes gaitā tiks parakstīts Nodomu protokols par turpmāku abu reģionu sadarbību, kā arī izstrādātas 1-2 projektu idejas, pie kurām tiks strādāts turpmāk, lai sagatavotu projektus pieteikšanai  Centrālbaltijas programmas 2014-2020, Baltijas jūras reģiona programmas vai citu ES finansētu projektu konkursu ietvaros.</w:t>
      </w:r>
    </w:p>
    <w:p w:rsidR="00F90884" w:rsidRPr="00393C64" w:rsidRDefault="00F90884" w:rsidP="00DF771D">
      <w:pPr>
        <w:pStyle w:val="Default"/>
        <w:jc w:val="both"/>
        <w:rPr>
          <w:rFonts w:ascii="Times New Roman" w:hAnsi="Times New Roman" w:cs="Times New Roman"/>
          <w:color w:val="365F91"/>
        </w:rPr>
      </w:pPr>
    </w:p>
    <w:p w:rsidR="00F90884" w:rsidRPr="00393C64" w:rsidRDefault="00F90884" w:rsidP="00DF771D">
      <w:pPr>
        <w:pStyle w:val="Default"/>
        <w:spacing w:after="120"/>
        <w:jc w:val="both"/>
        <w:rPr>
          <w:rFonts w:ascii="Times New Roman" w:hAnsi="Times New Roman" w:cs="Times New Roman"/>
          <w:b/>
          <w:color w:val="auto"/>
        </w:rPr>
      </w:pPr>
      <w:r w:rsidRPr="00393C64">
        <w:rPr>
          <w:rFonts w:ascii="Times New Roman" w:hAnsi="Times New Roman" w:cs="Times New Roman"/>
          <w:b/>
          <w:color w:val="auto"/>
        </w:rPr>
        <w:t>2.4. Projekta posmi</w:t>
      </w:r>
    </w:p>
    <w:p w:rsidR="00F90884" w:rsidRPr="00393C64" w:rsidRDefault="00F90884" w:rsidP="00DF771D">
      <w:pPr>
        <w:rPr>
          <w:rFonts w:ascii="Times New Roman" w:hAnsi="Times New Roman"/>
          <w:sz w:val="24"/>
          <w:szCs w:val="24"/>
          <w:u w:val="single"/>
          <w:shd w:val="clear" w:color="auto" w:fill="FFFFFF"/>
          <w:lang w:val="lv-LV"/>
        </w:rPr>
      </w:pPr>
      <w:r w:rsidRPr="00393C64">
        <w:rPr>
          <w:rFonts w:ascii="Times New Roman" w:hAnsi="Times New Roman"/>
          <w:sz w:val="24"/>
          <w:szCs w:val="24"/>
          <w:u w:val="single"/>
          <w:shd w:val="clear" w:color="auto" w:fill="FFFFFF"/>
          <w:lang w:val="lv-LV"/>
        </w:rPr>
        <w:t>Projekta partneru piesaiste un projekta sagatavošana</w:t>
      </w:r>
    </w:p>
    <w:p w:rsidR="00F90884" w:rsidRPr="00393C64" w:rsidRDefault="00F90884" w:rsidP="00DF771D">
      <w:pPr>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Plānotās vizītes ir saskaņotas ar partneriem Somijā un Zviedrijā, saņemtas partneru apliecinājuma vēstules. Projekta sagatavošanas posms ir noslēgts un projekta pieteikums elektroniski iesniegts 29.03.2014. Projekts apstiprināts 2014.gada maijā</w:t>
      </w:r>
    </w:p>
    <w:p w:rsidR="00F90884" w:rsidRPr="00393C64" w:rsidRDefault="00F90884" w:rsidP="00DF771D">
      <w:pPr>
        <w:rPr>
          <w:rFonts w:ascii="Times New Roman" w:hAnsi="Times New Roman"/>
          <w:sz w:val="24"/>
          <w:szCs w:val="24"/>
          <w:u w:val="single"/>
          <w:shd w:val="clear" w:color="auto" w:fill="FFFFFF"/>
          <w:lang w:val="lv-LV"/>
        </w:rPr>
      </w:pPr>
      <w:r w:rsidRPr="00393C64">
        <w:rPr>
          <w:rFonts w:ascii="Times New Roman" w:hAnsi="Times New Roman"/>
          <w:sz w:val="24"/>
          <w:szCs w:val="24"/>
          <w:u w:val="single"/>
          <w:shd w:val="clear" w:color="auto" w:fill="FFFFFF"/>
          <w:lang w:val="lv-LV"/>
        </w:rPr>
        <w:t>Aktivitāšu ieviešana</w:t>
      </w:r>
    </w:p>
    <w:p w:rsidR="00F90884" w:rsidRPr="00393C64" w:rsidRDefault="00F90884" w:rsidP="00DF771D">
      <w:pPr>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 xml:space="preserve">1. Pieredzes apmaiņas vizītes Somijā plānošana (prāmja Tallina – Helsinki un naktsmītņu rezervēšana, ceļojuma apdrošināšanas iegāde) un īstenošana. </w:t>
      </w:r>
    </w:p>
    <w:p w:rsidR="00F90884" w:rsidRPr="00393C64" w:rsidRDefault="00F90884" w:rsidP="00DF771D">
      <w:pPr>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 xml:space="preserve">2. Pieredzes apmaiņas vizītes Zviedrijā plānošana (prāmja Rīga – Stokholma un naktsmītņu rezervēšana, ceļojuma apdrošināšanas iegāde) un īstenošana. </w:t>
      </w:r>
    </w:p>
    <w:p w:rsidR="00F90884" w:rsidRPr="00393C64" w:rsidRDefault="00F90884" w:rsidP="00DF771D">
      <w:pPr>
        <w:rPr>
          <w:rFonts w:ascii="Times New Roman" w:hAnsi="Times New Roman"/>
          <w:sz w:val="24"/>
          <w:szCs w:val="24"/>
          <w:u w:val="single"/>
          <w:shd w:val="clear" w:color="auto" w:fill="FFFFFF"/>
          <w:lang w:val="lv-LV"/>
        </w:rPr>
      </w:pPr>
      <w:r w:rsidRPr="00393C64">
        <w:rPr>
          <w:rFonts w:ascii="Times New Roman" w:hAnsi="Times New Roman"/>
          <w:sz w:val="24"/>
          <w:szCs w:val="24"/>
          <w:u w:val="single"/>
          <w:shd w:val="clear" w:color="auto" w:fill="FFFFFF"/>
          <w:lang w:val="lv-LV"/>
        </w:rPr>
        <w:t xml:space="preserve">Projekta noslēgšana </w:t>
      </w:r>
    </w:p>
    <w:p w:rsidR="00F90884" w:rsidRPr="00393C64" w:rsidRDefault="00F90884" w:rsidP="00DF771D">
      <w:pPr>
        <w:spacing w:after="0"/>
        <w:rPr>
          <w:rFonts w:ascii="Times New Roman" w:hAnsi="Times New Roman"/>
          <w:sz w:val="24"/>
          <w:szCs w:val="24"/>
          <w:shd w:val="clear" w:color="auto" w:fill="FFFFFF"/>
          <w:lang w:val="lv-LV"/>
        </w:rPr>
      </w:pPr>
      <w:r w:rsidRPr="00393C64">
        <w:rPr>
          <w:rFonts w:ascii="Times New Roman" w:hAnsi="Times New Roman"/>
          <w:sz w:val="24"/>
          <w:szCs w:val="24"/>
          <w:shd w:val="clear" w:color="auto" w:fill="FFFFFF"/>
          <w:lang w:val="lv-LV"/>
        </w:rPr>
        <w:t>30 dienu laikā pēc pēdējās aktivitātes realizēšanas, tiek iesniegta projekta atskaite (tiešsaistē), kas sastāv no sasniegto rezultātu atskaites un finanšu atskaites.</w:t>
      </w:r>
    </w:p>
    <w:p w:rsidR="00F90884" w:rsidRPr="00393C64" w:rsidRDefault="00F90884" w:rsidP="00DF771D">
      <w:pPr>
        <w:pStyle w:val="Default"/>
        <w:spacing w:after="120"/>
        <w:jc w:val="both"/>
        <w:rPr>
          <w:rFonts w:ascii="Times New Roman" w:hAnsi="Times New Roman" w:cs="Times New Roman"/>
          <w:b/>
          <w:color w:val="365F91"/>
        </w:rPr>
      </w:pPr>
    </w:p>
    <w:p w:rsidR="00F90884" w:rsidRPr="00393C64" w:rsidRDefault="00F90884" w:rsidP="00DF771D">
      <w:pPr>
        <w:pStyle w:val="Default"/>
        <w:spacing w:after="120"/>
        <w:jc w:val="both"/>
        <w:rPr>
          <w:rFonts w:ascii="Times New Roman" w:hAnsi="Times New Roman" w:cs="Times New Roman"/>
          <w:b/>
          <w:color w:val="auto"/>
        </w:rPr>
      </w:pPr>
      <w:r w:rsidRPr="00393C64">
        <w:rPr>
          <w:rFonts w:ascii="Times New Roman" w:hAnsi="Times New Roman" w:cs="Times New Roman"/>
          <w:b/>
          <w:color w:val="auto"/>
        </w:rPr>
        <w:t>2.5. Galvenie projekta rezultāti</w:t>
      </w:r>
    </w:p>
    <w:p w:rsidR="00F90884" w:rsidRPr="00393C64" w:rsidRDefault="00F90884" w:rsidP="00DF771D">
      <w:pPr>
        <w:pStyle w:val="NoSpacing"/>
        <w:jc w:val="both"/>
        <w:rPr>
          <w:rFonts w:ascii="Times New Roman" w:hAnsi="Times New Roman"/>
          <w:sz w:val="24"/>
          <w:szCs w:val="24"/>
        </w:rPr>
      </w:pPr>
      <w:r w:rsidRPr="00393C64">
        <w:rPr>
          <w:rFonts w:ascii="Times New Roman" w:hAnsi="Times New Roman"/>
          <w:sz w:val="24"/>
          <w:szCs w:val="24"/>
        </w:rPr>
        <w:t>Projektu realizējot, noslēgumā plānoti šādi rezultāti:</w:t>
      </w:r>
    </w:p>
    <w:p w:rsidR="00F90884" w:rsidRPr="00393C64" w:rsidRDefault="00F90884" w:rsidP="00DF771D">
      <w:pPr>
        <w:pStyle w:val="ListParagraph"/>
        <w:numPr>
          <w:ilvl w:val="0"/>
          <w:numId w:val="3"/>
        </w:numPr>
        <w:suppressAutoHyphens w:val="0"/>
        <w:jc w:val="both"/>
        <w:rPr>
          <w:sz w:val="24"/>
          <w:szCs w:val="24"/>
        </w:rPr>
      </w:pPr>
      <w:r w:rsidRPr="00393C64">
        <w:rPr>
          <w:sz w:val="24"/>
          <w:szCs w:val="24"/>
        </w:rPr>
        <w:t>izveidota publiskā sektora partnerība ar divām reģionālā līmeņa organizācijām Somijā un Zviedrijā;</w:t>
      </w:r>
    </w:p>
    <w:p w:rsidR="00F90884" w:rsidRPr="00393C64" w:rsidRDefault="00F90884" w:rsidP="00DF771D">
      <w:pPr>
        <w:pStyle w:val="ListParagraph"/>
        <w:numPr>
          <w:ilvl w:val="0"/>
          <w:numId w:val="3"/>
        </w:numPr>
        <w:suppressAutoHyphens w:val="0"/>
        <w:jc w:val="both"/>
        <w:rPr>
          <w:sz w:val="24"/>
          <w:szCs w:val="24"/>
        </w:rPr>
      </w:pPr>
      <w:r w:rsidRPr="00393C64">
        <w:rPr>
          <w:sz w:val="24"/>
          <w:szCs w:val="24"/>
        </w:rPr>
        <w:t>identificētas reģionu attīstības kopējās tēmas un sadarbības vajadzības, nosakot plānoto projektu mērķus Centrālbaltijas programmā 2014-2020 un Baltijas jūras reģiona programmā,</w:t>
      </w:r>
    </w:p>
    <w:p w:rsidR="00F90884" w:rsidRPr="00393C64" w:rsidRDefault="00F90884" w:rsidP="00DF771D">
      <w:pPr>
        <w:pStyle w:val="ListParagraph"/>
        <w:numPr>
          <w:ilvl w:val="0"/>
          <w:numId w:val="3"/>
        </w:numPr>
        <w:suppressAutoHyphens w:val="0"/>
        <w:jc w:val="both"/>
        <w:rPr>
          <w:sz w:val="24"/>
          <w:szCs w:val="24"/>
        </w:rPr>
      </w:pPr>
      <w:r w:rsidRPr="00393C64">
        <w:rPr>
          <w:sz w:val="24"/>
          <w:szCs w:val="24"/>
        </w:rPr>
        <w:t>vizīšu laikā dažādās organizācijās, vides aizsardzības institūcijās, uzņēmumos u.c. notikusi labās pieredzes apmaiņa, lai veicinātu starpreģionālo sadarbību uzņēmējdarbības atbalsta, vides aizsardzības un izglītības jomās.</w:t>
      </w:r>
    </w:p>
    <w:p w:rsidR="00F90884" w:rsidRPr="00393C64" w:rsidRDefault="00F90884" w:rsidP="00DF771D">
      <w:pPr>
        <w:pStyle w:val="ListParagraph"/>
        <w:suppressAutoHyphens w:val="0"/>
        <w:jc w:val="both"/>
        <w:rPr>
          <w:sz w:val="24"/>
          <w:szCs w:val="24"/>
        </w:rPr>
      </w:pPr>
    </w:p>
    <w:p w:rsidR="00F90884" w:rsidRPr="00393C64" w:rsidRDefault="00F90884" w:rsidP="00DF771D">
      <w:pPr>
        <w:pStyle w:val="ListParagraph"/>
        <w:ind w:left="0"/>
        <w:jc w:val="both"/>
        <w:rPr>
          <w:sz w:val="24"/>
          <w:szCs w:val="24"/>
        </w:rPr>
      </w:pPr>
      <w:r w:rsidRPr="00393C64">
        <w:rPr>
          <w:sz w:val="24"/>
          <w:szCs w:val="24"/>
        </w:rPr>
        <w:t>Projekta ieviešanas rezultātā paplašināsies koordinēta starpvalstu sadarbība (Latvija – Ziemeļvalstis) dažādu ES fondu finansējuma apguvē.</w:t>
      </w:r>
    </w:p>
    <w:p w:rsidR="00F90884" w:rsidRPr="00393C64" w:rsidRDefault="00F90884" w:rsidP="00DF771D">
      <w:pPr>
        <w:pStyle w:val="Default"/>
        <w:jc w:val="both"/>
        <w:rPr>
          <w:rFonts w:ascii="Times New Roman" w:hAnsi="Times New Roman" w:cs="Times New Roman"/>
          <w:b/>
          <w:color w:val="365F91"/>
        </w:rPr>
      </w:pPr>
    </w:p>
    <w:p w:rsidR="00F90884" w:rsidRPr="0055095E" w:rsidRDefault="00F90884" w:rsidP="0055095E">
      <w:pPr>
        <w:pStyle w:val="ListParagraph"/>
        <w:spacing w:after="120"/>
        <w:ind w:left="0"/>
        <w:rPr>
          <w:b/>
          <w:bCs/>
          <w:sz w:val="24"/>
          <w:szCs w:val="24"/>
        </w:rPr>
      </w:pPr>
      <w:r w:rsidRPr="00393C64">
        <w:rPr>
          <w:b/>
          <w:bCs/>
          <w:sz w:val="24"/>
          <w:szCs w:val="24"/>
        </w:rPr>
        <w:t>III Nepieciešamais finansējums</w:t>
      </w:r>
      <w:r>
        <w:rPr>
          <w:b/>
          <w:bCs/>
          <w:sz w:val="24"/>
          <w:szCs w:val="24"/>
        </w:rPr>
        <w:t>, EUR</w:t>
      </w: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3409"/>
        <w:gridCol w:w="992"/>
        <w:gridCol w:w="1276"/>
        <w:gridCol w:w="1276"/>
      </w:tblGrid>
      <w:tr w:rsidR="00F90884" w:rsidRPr="002551E3" w:rsidTr="00C82B14">
        <w:trPr>
          <w:jc w:val="center"/>
        </w:trPr>
        <w:tc>
          <w:tcPr>
            <w:tcW w:w="7843" w:type="dxa"/>
            <w:gridSpan w:val="5"/>
            <w:vAlign w:val="center"/>
          </w:tcPr>
          <w:p w:rsidR="00F90884" w:rsidRPr="00393C64" w:rsidRDefault="00F90884" w:rsidP="0033682B">
            <w:pPr>
              <w:pStyle w:val="ListParagraph"/>
              <w:ind w:left="0"/>
              <w:jc w:val="center"/>
              <w:rPr>
                <w:b/>
                <w:bCs/>
                <w:sz w:val="24"/>
                <w:szCs w:val="24"/>
                <w:lang w:eastAsia="lv-LV"/>
              </w:rPr>
            </w:pPr>
            <w:r w:rsidRPr="00393C64">
              <w:rPr>
                <w:b/>
                <w:bCs/>
                <w:sz w:val="24"/>
                <w:szCs w:val="24"/>
                <w:lang w:eastAsia="lv-LV"/>
              </w:rPr>
              <w:t>Nepieciešamais finansējums projekta realizācijai,</w:t>
            </w:r>
            <w:r w:rsidRPr="0088648F">
              <w:rPr>
                <w:b/>
                <w:bCs/>
                <w:sz w:val="24"/>
                <w:szCs w:val="24"/>
                <w:lang w:eastAsia="lv-LV"/>
              </w:rPr>
              <w:t xml:space="preserve"> EUR</w:t>
            </w:r>
          </w:p>
        </w:tc>
      </w:tr>
      <w:tr w:rsidR="00F90884" w:rsidRPr="002551E3" w:rsidTr="00C82B14">
        <w:trPr>
          <w:jc w:val="center"/>
        </w:trPr>
        <w:tc>
          <w:tcPr>
            <w:tcW w:w="890" w:type="dxa"/>
            <w:vAlign w:val="center"/>
          </w:tcPr>
          <w:p w:rsidR="00F90884" w:rsidRPr="00393C64" w:rsidRDefault="00F90884" w:rsidP="0033682B">
            <w:pPr>
              <w:pStyle w:val="ListParagraph"/>
              <w:ind w:left="0"/>
              <w:jc w:val="center"/>
              <w:rPr>
                <w:sz w:val="24"/>
                <w:szCs w:val="24"/>
              </w:rPr>
            </w:pPr>
            <w:r w:rsidRPr="00393C64">
              <w:rPr>
                <w:sz w:val="24"/>
                <w:szCs w:val="24"/>
              </w:rPr>
              <w:t>Nr.p.k.</w:t>
            </w:r>
          </w:p>
        </w:tc>
        <w:tc>
          <w:tcPr>
            <w:tcW w:w="3409" w:type="dxa"/>
            <w:vAlign w:val="center"/>
          </w:tcPr>
          <w:p w:rsidR="00F90884" w:rsidRPr="00393C64" w:rsidRDefault="00F90884" w:rsidP="0033682B">
            <w:pPr>
              <w:pStyle w:val="ListParagraph"/>
              <w:ind w:left="0"/>
              <w:jc w:val="center"/>
              <w:rPr>
                <w:b/>
                <w:sz w:val="24"/>
                <w:szCs w:val="24"/>
              </w:rPr>
            </w:pPr>
            <w:r w:rsidRPr="00393C64">
              <w:rPr>
                <w:b/>
                <w:sz w:val="24"/>
                <w:szCs w:val="24"/>
              </w:rPr>
              <w:t>Finansējuma avots</w:t>
            </w:r>
          </w:p>
        </w:tc>
        <w:tc>
          <w:tcPr>
            <w:tcW w:w="992" w:type="dxa"/>
            <w:vAlign w:val="center"/>
          </w:tcPr>
          <w:p w:rsidR="00F90884" w:rsidRPr="00393C64" w:rsidRDefault="00F90884" w:rsidP="0033682B">
            <w:pPr>
              <w:pStyle w:val="ListParagraph"/>
              <w:ind w:left="0"/>
              <w:jc w:val="center"/>
              <w:rPr>
                <w:b/>
                <w:sz w:val="24"/>
                <w:szCs w:val="24"/>
              </w:rPr>
            </w:pPr>
            <w:r w:rsidRPr="00393C64">
              <w:rPr>
                <w:b/>
                <w:sz w:val="24"/>
                <w:szCs w:val="24"/>
              </w:rPr>
              <w:t>2014</w:t>
            </w:r>
          </w:p>
        </w:tc>
        <w:tc>
          <w:tcPr>
            <w:tcW w:w="1276" w:type="dxa"/>
          </w:tcPr>
          <w:p w:rsidR="00F90884" w:rsidRPr="00393C64" w:rsidRDefault="00F90884" w:rsidP="0033682B">
            <w:pPr>
              <w:pStyle w:val="ListParagraph"/>
              <w:ind w:left="0"/>
              <w:jc w:val="center"/>
              <w:rPr>
                <w:b/>
                <w:sz w:val="24"/>
                <w:szCs w:val="24"/>
              </w:rPr>
            </w:pPr>
            <w:r>
              <w:rPr>
                <w:b/>
                <w:sz w:val="24"/>
                <w:szCs w:val="24"/>
              </w:rPr>
              <w:t>2015</w:t>
            </w:r>
          </w:p>
        </w:tc>
        <w:tc>
          <w:tcPr>
            <w:tcW w:w="1276" w:type="dxa"/>
          </w:tcPr>
          <w:p w:rsidR="00F90884" w:rsidRPr="00393C64" w:rsidRDefault="00F90884" w:rsidP="0033682B">
            <w:pPr>
              <w:pStyle w:val="ListParagraph"/>
              <w:ind w:left="0"/>
              <w:jc w:val="center"/>
              <w:rPr>
                <w:b/>
                <w:sz w:val="24"/>
                <w:szCs w:val="24"/>
              </w:rPr>
            </w:pPr>
            <w:r>
              <w:rPr>
                <w:b/>
                <w:sz w:val="24"/>
                <w:szCs w:val="24"/>
              </w:rPr>
              <w:t>Kopā</w:t>
            </w:r>
          </w:p>
        </w:tc>
      </w:tr>
      <w:tr w:rsidR="00F90884" w:rsidRPr="002551E3" w:rsidTr="00E27D2A">
        <w:trPr>
          <w:jc w:val="center"/>
        </w:trPr>
        <w:tc>
          <w:tcPr>
            <w:tcW w:w="890" w:type="dxa"/>
            <w:vAlign w:val="center"/>
          </w:tcPr>
          <w:p w:rsidR="00F90884" w:rsidRPr="00393C64" w:rsidRDefault="00F90884" w:rsidP="0033682B">
            <w:pPr>
              <w:pStyle w:val="ListParagraph"/>
              <w:ind w:left="0"/>
              <w:jc w:val="center"/>
              <w:rPr>
                <w:sz w:val="24"/>
                <w:szCs w:val="24"/>
              </w:rPr>
            </w:pPr>
            <w:r w:rsidRPr="00393C64">
              <w:rPr>
                <w:sz w:val="24"/>
                <w:szCs w:val="24"/>
              </w:rPr>
              <w:t>1.</w:t>
            </w:r>
          </w:p>
        </w:tc>
        <w:tc>
          <w:tcPr>
            <w:tcW w:w="3409" w:type="dxa"/>
            <w:vAlign w:val="center"/>
          </w:tcPr>
          <w:p w:rsidR="00F90884" w:rsidRPr="002551E3" w:rsidRDefault="00F90884" w:rsidP="0033682B">
            <w:pPr>
              <w:spacing w:after="0"/>
              <w:ind w:firstLine="0"/>
              <w:rPr>
                <w:rFonts w:ascii="Times New Roman" w:hAnsi="Times New Roman"/>
                <w:sz w:val="24"/>
                <w:szCs w:val="24"/>
                <w:lang w:val="lv-LV" w:eastAsia="lv-LV"/>
              </w:rPr>
            </w:pPr>
            <w:r w:rsidRPr="002551E3">
              <w:rPr>
                <w:rFonts w:ascii="Times New Roman" w:hAnsi="Times New Roman"/>
                <w:sz w:val="24"/>
                <w:szCs w:val="24"/>
                <w:lang w:val="lv-LV" w:eastAsia="lv-LV"/>
              </w:rPr>
              <w:t xml:space="preserve">Ieņēmumi no ārvalstu finanšu palīdzības – </w:t>
            </w:r>
            <w:r w:rsidRPr="002551E3">
              <w:rPr>
                <w:rStyle w:val="Strong"/>
                <w:rFonts w:ascii="Times New Roman" w:hAnsi="Times New Roman"/>
                <w:b w:val="0"/>
                <w:sz w:val="24"/>
                <w:szCs w:val="24"/>
                <w:lang w:val="lv-LV"/>
              </w:rPr>
              <w:t>Z</w:t>
            </w:r>
            <w:r w:rsidRPr="002551E3">
              <w:rPr>
                <w:rFonts w:ascii="Times New Roman" w:hAnsi="Times New Roman"/>
                <w:bCs/>
                <w:sz w:val="24"/>
                <w:szCs w:val="24"/>
                <w:lang w:val="lv-LV"/>
              </w:rPr>
              <w:t>iemeļvalstu un Baltijas valstu mobilitātes programmas</w:t>
            </w:r>
            <w:r w:rsidRPr="002551E3">
              <w:rPr>
                <w:rFonts w:ascii="Times New Roman" w:hAnsi="Times New Roman"/>
                <w:sz w:val="24"/>
                <w:szCs w:val="24"/>
                <w:lang w:val="lv-LV" w:eastAsia="lv-LV"/>
              </w:rPr>
              <w:t xml:space="preserve"> finansējums*</w:t>
            </w:r>
          </w:p>
        </w:tc>
        <w:tc>
          <w:tcPr>
            <w:tcW w:w="992" w:type="dxa"/>
            <w:vAlign w:val="center"/>
          </w:tcPr>
          <w:p w:rsidR="00F90884" w:rsidRPr="002551E3" w:rsidRDefault="00F90884" w:rsidP="00E27D2A">
            <w:pPr>
              <w:spacing w:after="0"/>
              <w:ind w:firstLine="0"/>
              <w:jc w:val="center"/>
              <w:rPr>
                <w:rFonts w:ascii="Times New Roman" w:hAnsi="Times New Roman"/>
                <w:b/>
                <w:bCs/>
                <w:sz w:val="24"/>
                <w:szCs w:val="24"/>
                <w:lang w:val="lv-LV" w:eastAsia="lv-LV"/>
              </w:rPr>
            </w:pPr>
            <w:r w:rsidRPr="002551E3">
              <w:rPr>
                <w:rFonts w:ascii="Times New Roman" w:hAnsi="Times New Roman"/>
                <w:sz w:val="24"/>
                <w:szCs w:val="24"/>
                <w:lang w:val="lv-LV" w:eastAsia="lv-LV"/>
              </w:rPr>
              <w:t>3 400</w:t>
            </w:r>
          </w:p>
        </w:tc>
        <w:tc>
          <w:tcPr>
            <w:tcW w:w="1276" w:type="dxa"/>
            <w:vAlign w:val="center"/>
          </w:tcPr>
          <w:p w:rsidR="00F90884" w:rsidRPr="002551E3" w:rsidRDefault="00F90884" w:rsidP="00E27D2A">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600</w:t>
            </w:r>
          </w:p>
        </w:tc>
        <w:tc>
          <w:tcPr>
            <w:tcW w:w="1276" w:type="dxa"/>
            <w:vAlign w:val="center"/>
          </w:tcPr>
          <w:p w:rsidR="00F90884" w:rsidRPr="002551E3" w:rsidRDefault="00F90884" w:rsidP="00E27D2A">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4000</w:t>
            </w:r>
          </w:p>
        </w:tc>
      </w:tr>
      <w:tr w:rsidR="00F90884" w:rsidRPr="002551E3" w:rsidTr="00E27D2A">
        <w:trPr>
          <w:jc w:val="center"/>
        </w:trPr>
        <w:tc>
          <w:tcPr>
            <w:tcW w:w="890" w:type="dxa"/>
            <w:vAlign w:val="center"/>
          </w:tcPr>
          <w:p w:rsidR="00F90884" w:rsidRPr="00393C64" w:rsidRDefault="00F90884" w:rsidP="0033682B">
            <w:pPr>
              <w:pStyle w:val="ListParagraph"/>
              <w:ind w:left="0"/>
              <w:jc w:val="center"/>
              <w:rPr>
                <w:sz w:val="24"/>
                <w:szCs w:val="24"/>
              </w:rPr>
            </w:pPr>
            <w:r w:rsidRPr="00393C64">
              <w:rPr>
                <w:sz w:val="24"/>
                <w:szCs w:val="24"/>
              </w:rPr>
              <w:t>2.</w:t>
            </w:r>
          </w:p>
        </w:tc>
        <w:tc>
          <w:tcPr>
            <w:tcW w:w="3409" w:type="dxa"/>
            <w:vAlign w:val="center"/>
          </w:tcPr>
          <w:p w:rsidR="00F90884" w:rsidRPr="002551E3" w:rsidRDefault="00F90884" w:rsidP="0033682B">
            <w:pPr>
              <w:spacing w:after="0"/>
              <w:ind w:firstLine="0"/>
              <w:rPr>
                <w:rFonts w:ascii="Times New Roman" w:hAnsi="Times New Roman"/>
                <w:sz w:val="24"/>
                <w:szCs w:val="24"/>
                <w:lang w:val="lv-LV" w:eastAsia="lv-LV"/>
              </w:rPr>
            </w:pPr>
            <w:r w:rsidRPr="002551E3">
              <w:rPr>
                <w:rFonts w:ascii="Times New Roman" w:hAnsi="Times New Roman"/>
                <w:sz w:val="24"/>
                <w:szCs w:val="24"/>
                <w:lang w:val="lv-LV" w:eastAsia="lv-LV"/>
              </w:rPr>
              <w:t xml:space="preserve">Valsts budžeta līdzfinansējums – </w:t>
            </w:r>
            <w:r w:rsidRPr="002551E3">
              <w:rPr>
                <w:rFonts w:ascii="Times New Roman" w:hAnsi="Times New Roman"/>
                <w:iCs/>
                <w:sz w:val="24"/>
                <w:szCs w:val="24"/>
                <w:lang w:val="lv-LV"/>
              </w:rPr>
              <w:t>Vispārējā kārtībā sadalāmā dotācija no vispārējiem ieņēmumiem</w:t>
            </w:r>
          </w:p>
        </w:tc>
        <w:tc>
          <w:tcPr>
            <w:tcW w:w="992" w:type="dxa"/>
            <w:vAlign w:val="center"/>
          </w:tcPr>
          <w:p w:rsidR="00F90884" w:rsidRPr="002551E3" w:rsidRDefault="00F90884" w:rsidP="00E27D2A">
            <w:pPr>
              <w:spacing w:after="0"/>
              <w:ind w:firstLine="0"/>
              <w:jc w:val="center"/>
              <w:rPr>
                <w:rFonts w:ascii="Times New Roman" w:hAnsi="Times New Roman"/>
                <w:b/>
                <w:bCs/>
                <w:sz w:val="24"/>
                <w:szCs w:val="24"/>
                <w:lang w:val="lv-LV" w:eastAsia="lv-LV"/>
              </w:rPr>
            </w:pPr>
            <w:r w:rsidRPr="002551E3">
              <w:rPr>
                <w:rFonts w:ascii="Times New Roman" w:hAnsi="Times New Roman"/>
                <w:sz w:val="24"/>
                <w:szCs w:val="24"/>
                <w:lang w:val="lv-LV" w:eastAsia="lv-LV"/>
              </w:rPr>
              <w:t>2 250</w:t>
            </w:r>
          </w:p>
        </w:tc>
        <w:tc>
          <w:tcPr>
            <w:tcW w:w="1276" w:type="dxa"/>
            <w:vAlign w:val="center"/>
          </w:tcPr>
          <w:p w:rsidR="00F90884" w:rsidRPr="002551E3" w:rsidRDefault="00F90884" w:rsidP="00E27D2A">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0</w:t>
            </w:r>
          </w:p>
        </w:tc>
        <w:tc>
          <w:tcPr>
            <w:tcW w:w="1276" w:type="dxa"/>
            <w:vAlign w:val="center"/>
          </w:tcPr>
          <w:p w:rsidR="00F90884" w:rsidRPr="002551E3" w:rsidRDefault="00F90884" w:rsidP="00E27D2A">
            <w:pPr>
              <w:spacing w:after="0"/>
              <w:ind w:firstLine="0"/>
              <w:jc w:val="center"/>
              <w:rPr>
                <w:rFonts w:ascii="Times New Roman" w:hAnsi="Times New Roman"/>
                <w:sz w:val="24"/>
                <w:szCs w:val="24"/>
                <w:lang w:val="lv-LV" w:eastAsia="lv-LV"/>
              </w:rPr>
            </w:pPr>
            <w:r w:rsidRPr="002551E3">
              <w:rPr>
                <w:rFonts w:ascii="Times New Roman" w:hAnsi="Times New Roman"/>
                <w:sz w:val="24"/>
                <w:szCs w:val="24"/>
                <w:lang w:val="lv-LV" w:eastAsia="lv-LV"/>
              </w:rPr>
              <w:t>2 250</w:t>
            </w:r>
          </w:p>
        </w:tc>
      </w:tr>
      <w:tr w:rsidR="00F90884" w:rsidRPr="002551E3" w:rsidTr="00C82B14">
        <w:trPr>
          <w:jc w:val="center"/>
        </w:trPr>
        <w:tc>
          <w:tcPr>
            <w:tcW w:w="890" w:type="dxa"/>
            <w:vAlign w:val="center"/>
          </w:tcPr>
          <w:p w:rsidR="00F90884" w:rsidRPr="00393C64" w:rsidRDefault="00F90884" w:rsidP="0033682B">
            <w:pPr>
              <w:pStyle w:val="ListParagraph"/>
              <w:ind w:left="0"/>
              <w:jc w:val="center"/>
              <w:rPr>
                <w:sz w:val="24"/>
                <w:szCs w:val="24"/>
              </w:rPr>
            </w:pPr>
            <w:r w:rsidRPr="00393C64">
              <w:rPr>
                <w:sz w:val="24"/>
                <w:szCs w:val="24"/>
              </w:rPr>
              <w:t>3.</w:t>
            </w:r>
          </w:p>
        </w:tc>
        <w:tc>
          <w:tcPr>
            <w:tcW w:w="3409" w:type="dxa"/>
            <w:vAlign w:val="center"/>
          </w:tcPr>
          <w:p w:rsidR="00F90884" w:rsidRPr="00393C64" w:rsidRDefault="00F90884" w:rsidP="0033682B">
            <w:pPr>
              <w:pStyle w:val="ListParagraph"/>
              <w:ind w:left="0"/>
              <w:jc w:val="center"/>
              <w:rPr>
                <w:b/>
                <w:sz w:val="24"/>
                <w:szCs w:val="24"/>
              </w:rPr>
            </w:pPr>
            <w:r w:rsidRPr="00393C64">
              <w:rPr>
                <w:b/>
                <w:sz w:val="24"/>
                <w:szCs w:val="24"/>
              </w:rPr>
              <w:t>Kopā</w:t>
            </w:r>
          </w:p>
        </w:tc>
        <w:tc>
          <w:tcPr>
            <w:tcW w:w="992" w:type="dxa"/>
            <w:vAlign w:val="center"/>
          </w:tcPr>
          <w:p w:rsidR="00F90884" w:rsidRPr="002551E3" w:rsidRDefault="00F90884" w:rsidP="0033682B">
            <w:pPr>
              <w:spacing w:after="0"/>
              <w:ind w:firstLine="0"/>
              <w:jc w:val="center"/>
              <w:rPr>
                <w:rFonts w:ascii="Times New Roman" w:hAnsi="Times New Roman"/>
                <w:bCs/>
                <w:sz w:val="24"/>
                <w:szCs w:val="24"/>
                <w:lang w:val="lv-LV" w:eastAsia="lv-LV"/>
              </w:rPr>
            </w:pPr>
            <w:r w:rsidRPr="002551E3">
              <w:rPr>
                <w:rFonts w:ascii="Times New Roman" w:hAnsi="Times New Roman"/>
                <w:bCs/>
                <w:sz w:val="24"/>
                <w:szCs w:val="24"/>
                <w:lang w:val="lv-LV" w:eastAsia="lv-LV"/>
              </w:rPr>
              <w:t>5 650</w:t>
            </w:r>
          </w:p>
        </w:tc>
        <w:tc>
          <w:tcPr>
            <w:tcW w:w="1276" w:type="dxa"/>
          </w:tcPr>
          <w:p w:rsidR="00F90884" w:rsidRPr="002551E3" w:rsidRDefault="00F90884" w:rsidP="0033682B">
            <w:pPr>
              <w:spacing w:after="0"/>
              <w:ind w:firstLine="0"/>
              <w:jc w:val="center"/>
              <w:rPr>
                <w:rFonts w:ascii="Times New Roman" w:hAnsi="Times New Roman"/>
                <w:bCs/>
                <w:sz w:val="24"/>
                <w:szCs w:val="24"/>
                <w:lang w:val="lv-LV" w:eastAsia="lv-LV"/>
              </w:rPr>
            </w:pPr>
            <w:r w:rsidRPr="002551E3">
              <w:rPr>
                <w:rFonts w:ascii="Times New Roman" w:hAnsi="Times New Roman"/>
                <w:bCs/>
                <w:sz w:val="24"/>
                <w:szCs w:val="24"/>
                <w:lang w:val="lv-LV" w:eastAsia="lv-LV"/>
              </w:rPr>
              <w:t>600</w:t>
            </w:r>
          </w:p>
        </w:tc>
        <w:tc>
          <w:tcPr>
            <w:tcW w:w="1276" w:type="dxa"/>
          </w:tcPr>
          <w:p w:rsidR="00F90884" w:rsidRPr="002551E3" w:rsidRDefault="00F90884" w:rsidP="0033682B">
            <w:pPr>
              <w:spacing w:after="0"/>
              <w:ind w:firstLine="0"/>
              <w:jc w:val="center"/>
              <w:rPr>
                <w:rFonts w:ascii="Times New Roman" w:hAnsi="Times New Roman"/>
                <w:b/>
                <w:bCs/>
                <w:sz w:val="24"/>
                <w:szCs w:val="24"/>
                <w:lang w:val="lv-LV" w:eastAsia="lv-LV"/>
              </w:rPr>
            </w:pPr>
            <w:r w:rsidRPr="002551E3">
              <w:rPr>
                <w:rFonts w:ascii="Times New Roman" w:hAnsi="Times New Roman"/>
                <w:b/>
                <w:bCs/>
                <w:sz w:val="24"/>
                <w:szCs w:val="24"/>
                <w:lang w:val="lv-LV" w:eastAsia="lv-LV"/>
              </w:rPr>
              <w:t>6 250</w:t>
            </w:r>
          </w:p>
        </w:tc>
      </w:tr>
    </w:tbl>
    <w:p w:rsidR="00F90884" w:rsidRPr="00393C64" w:rsidRDefault="00F90884" w:rsidP="00A95116">
      <w:pPr>
        <w:pStyle w:val="NormalWeb"/>
        <w:spacing w:before="120" w:beforeAutospacing="0" w:after="0" w:afterAutospacing="0"/>
        <w:jc w:val="both"/>
        <w:rPr>
          <w:iCs/>
        </w:rPr>
      </w:pPr>
      <w:r w:rsidRPr="00393C64">
        <w:rPr>
          <w:iCs/>
        </w:rPr>
        <w:t xml:space="preserve">* </w:t>
      </w:r>
      <w:r>
        <w:rPr>
          <w:iCs/>
        </w:rPr>
        <w:t xml:space="preserve">85% no </w:t>
      </w:r>
      <w:r w:rsidRPr="00393C64">
        <w:rPr>
          <w:iCs/>
        </w:rPr>
        <w:t xml:space="preserve">Ziemeļvalstu un Baltijas valstu mobilitātes programmas kopējā </w:t>
      </w:r>
      <w:r>
        <w:rPr>
          <w:iCs/>
        </w:rPr>
        <w:t>piešķirtā</w:t>
      </w:r>
      <w:r w:rsidRPr="00393C64">
        <w:rPr>
          <w:iCs/>
        </w:rPr>
        <w:t xml:space="preserve"> finansējuma </w:t>
      </w:r>
      <w:r>
        <w:rPr>
          <w:iCs/>
        </w:rPr>
        <w:t xml:space="preserve">projekta īstenotājam </w:t>
      </w:r>
      <w:r w:rsidRPr="00393C64">
        <w:rPr>
          <w:iCs/>
        </w:rPr>
        <w:t xml:space="preserve">tiek ieskaitīti tūlīt pēc projekta apstiprināšanas un līguma parakstīšanas, atlikušie 15% tiek ieskaitīti pēc gala atskaites iesniegšanas. </w:t>
      </w:r>
      <w:r>
        <w:rPr>
          <w:iCs/>
        </w:rPr>
        <w:t>Minēto 15% līdzekļu nodrošināšanai Kurzemes plānošanas reģionam nepieciešams valsts budžeta priekšfinansējums.</w:t>
      </w:r>
    </w:p>
    <w:p w:rsidR="00F90884" w:rsidRPr="00393C64" w:rsidRDefault="00F90884" w:rsidP="004E18D2">
      <w:pPr>
        <w:pStyle w:val="naiskr"/>
        <w:tabs>
          <w:tab w:val="left" w:pos="170"/>
        </w:tabs>
        <w:spacing w:before="0" w:after="120"/>
        <w:jc w:val="both"/>
      </w:pPr>
    </w:p>
    <w:tbl>
      <w:tblPr>
        <w:tblW w:w="0" w:type="auto"/>
        <w:tblLook w:val="00A0"/>
      </w:tblPr>
      <w:tblGrid>
        <w:gridCol w:w="5920"/>
        <w:gridCol w:w="3367"/>
      </w:tblGrid>
      <w:tr w:rsidR="00F90884" w:rsidRPr="002551E3" w:rsidTr="000B5F33">
        <w:tc>
          <w:tcPr>
            <w:tcW w:w="5920" w:type="dxa"/>
          </w:tcPr>
          <w:p w:rsidR="00F90884" w:rsidRPr="002551E3" w:rsidRDefault="00F90884" w:rsidP="000B5F33">
            <w:pPr>
              <w:tabs>
                <w:tab w:val="left" w:pos="851"/>
                <w:tab w:val="left" w:pos="6804"/>
              </w:tabs>
              <w:spacing w:before="120"/>
              <w:ind w:firstLine="0"/>
              <w:rPr>
                <w:rFonts w:ascii="Times New Roman" w:hAnsi="Times New Roman"/>
                <w:sz w:val="24"/>
                <w:szCs w:val="24"/>
              </w:rPr>
            </w:pPr>
            <w:r w:rsidRPr="002551E3">
              <w:rPr>
                <w:rFonts w:ascii="Times New Roman" w:hAnsi="Times New Roman"/>
                <w:sz w:val="24"/>
                <w:szCs w:val="24"/>
              </w:rPr>
              <w:t>Vides aizsardzības un reģionālās attīstības ministrs</w:t>
            </w:r>
          </w:p>
        </w:tc>
        <w:tc>
          <w:tcPr>
            <w:tcW w:w="3367" w:type="dxa"/>
          </w:tcPr>
          <w:p w:rsidR="00F90884" w:rsidRPr="002551E3" w:rsidRDefault="00F90884" w:rsidP="000B5F33">
            <w:pPr>
              <w:tabs>
                <w:tab w:val="left" w:pos="851"/>
              </w:tabs>
              <w:spacing w:before="120"/>
              <w:jc w:val="right"/>
              <w:rPr>
                <w:rFonts w:ascii="Times New Roman" w:hAnsi="Times New Roman"/>
                <w:sz w:val="24"/>
                <w:szCs w:val="24"/>
              </w:rPr>
            </w:pPr>
            <w:r w:rsidRPr="002551E3">
              <w:rPr>
                <w:rFonts w:ascii="Times New Roman" w:hAnsi="Times New Roman"/>
                <w:sz w:val="24"/>
                <w:szCs w:val="24"/>
              </w:rPr>
              <w:t>R.Naudiņš</w:t>
            </w:r>
          </w:p>
        </w:tc>
      </w:tr>
      <w:tr w:rsidR="00F90884" w:rsidRPr="002551E3" w:rsidTr="000B5F33">
        <w:tc>
          <w:tcPr>
            <w:tcW w:w="5920" w:type="dxa"/>
          </w:tcPr>
          <w:p w:rsidR="00F90884" w:rsidRDefault="00F90884" w:rsidP="000B5F33">
            <w:pPr>
              <w:tabs>
                <w:tab w:val="left" w:pos="851"/>
                <w:tab w:val="left" w:pos="6804"/>
              </w:tabs>
              <w:spacing w:before="120"/>
              <w:ind w:firstLine="0"/>
              <w:rPr>
                <w:rFonts w:ascii="Times New Roman" w:hAnsi="Times New Roman"/>
                <w:sz w:val="24"/>
                <w:szCs w:val="24"/>
              </w:rPr>
            </w:pPr>
          </w:p>
          <w:p w:rsidR="00F90884" w:rsidRPr="002551E3" w:rsidRDefault="00F90884" w:rsidP="000B5F33">
            <w:pPr>
              <w:tabs>
                <w:tab w:val="left" w:pos="851"/>
                <w:tab w:val="left" w:pos="6804"/>
              </w:tabs>
              <w:spacing w:before="120"/>
              <w:ind w:firstLine="0"/>
              <w:rPr>
                <w:rFonts w:ascii="Times New Roman" w:hAnsi="Times New Roman"/>
                <w:sz w:val="24"/>
                <w:szCs w:val="24"/>
              </w:rPr>
            </w:pPr>
            <w:r w:rsidRPr="002551E3">
              <w:rPr>
                <w:rFonts w:ascii="Times New Roman" w:hAnsi="Times New Roman"/>
                <w:sz w:val="24"/>
                <w:szCs w:val="24"/>
              </w:rPr>
              <w:t>Vīza: valsts sekretāra p.i. administrācijas vadītāja</w:t>
            </w:r>
          </w:p>
        </w:tc>
        <w:tc>
          <w:tcPr>
            <w:tcW w:w="3367" w:type="dxa"/>
          </w:tcPr>
          <w:p w:rsidR="00F90884" w:rsidRDefault="00F90884" w:rsidP="000B5F33">
            <w:pPr>
              <w:tabs>
                <w:tab w:val="left" w:pos="851"/>
              </w:tabs>
              <w:spacing w:before="120"/>
              <w:jc w:val="right"/>
              <w:rPr>
                <w:rFonts w:ascii="Times New Roman" w:hAnsi="Times New Roman"/>
                <w:sz w:val="24"/>
                <w:szCs w:val="24"/>
              </w:rPr>
            </w:pPr>
          </w:p>
          <w:p w:rsidR="00F90884" w:rsidRPr="002551E3" w:rsidRDefault="00F90884" w:rsidP="000B5F33">
            <w:pPr>
              <w:tabs>
                <w:tab w:val="left" w:pos="851"/>
              </w:tabs>
              <w:spacing w:before="120"/>
              <w:jc w:val="right"/>
              <w:rPr>
                <w:rFonts w:ascii="Times New Roman" w:hAnsi="Times New Roman"/>
                <w:sz w:val="24"/>
                <w:szCs w:val="24"/>
              </w:rPr>
            </w:pPr>
            <w:r w:rsidRPr="002551E3">
              <w:rPr>
                <w:rFonts w:ascii="Times New Roman" w:hAnsi="Times New Roman"/>
                <w:sz w:val="24"/>
                <w:szCs w:val="24"/>
              </w:rPr>
              <w:t>E.Turka</w:t>
            </w:r>
          </w:p>
        </w:tc>
      </w:tr>
    </w:tbl>
    <w:p w:rsidR="00F90884" w:rsidRDefault="00F90884" w:rsidP="00947B80">
      <w:pPr>
        <w:tabs>
          <w:tab w:val="left" w:pos="6804"/>
        </w:tabs>
        <w:spacing w:after="0"/>
        <w:ind w:firstLine="0"/>
        <w:rPr>
          <w:rFonts w:ascii="Times New Roman" w:hAnsi="Times New Roman"/>
          <w:sz w:val="20"/>
          <w:szCs w:val="20"/>
        </w:rPr>
      </w:pPr>
    </w:p>
    <w:p w:rsidR="00F90884" w:rsidRDefault="00F90884" w:rsidP="00947B80">
      <w:pPr>
        <w:tabs>
          <w:tab w:val="left" w:pos="6804"/>
        </w:tabs>
        <w:spacing w:after="0"/>
        <w:ind w:firstLine="0"/>
        <w:rPr>
          <w:rFonts w:ascii="Times New Roman" w:hAnsi="Times New Roman"/>
          <w:sz w:val="20"/>
          <w:szCs w:val="20"/>
        </w:rPr>
      </w:pPr>
    </w:p>
    <w:p w:rsidR="00F90884" w:rsidRDefault="00F90884" w:rsidP="00947B80">
      <w:pPr>
        <w:tabs>
          <w:tab w:val="left" w:pos="6804"/>
        </w:tabs>
        <w:spacing w:after="0"/>
        <w:ind w:firstLine="0"/>
        <w:rPr>
          <w:rFonts w:ascii="Times New Roman" w:hAnsi="Times New Roman"/>
          <w:sz w:val="20"/>
          <w:szCs w:val="20"/>
        </w:rPr>
      </w:pPr>
    </w:p>
    <w:p w:rsidR="00F90884" w:rsidRDefault="00F90884" w:rsidP="00947B80">
      <w:pPr>
        <w:tabs>
          <w:tab w:val="left" w:pos="6804"/>
        </w:tabs>
        <w:spacing w:after="0"/>
        <w:ind w:firstLine="0"/>
        <w:rPr>
          <w:rFonts w:ascii="Times New Roman" w:hAnsi="Times New Roman"/>
          <w:sz w:val="20"/>
          <w:szCs w:val="20"/>
        </w:rPr>
      </w:pPr>
    </w:p>
    <w:p w:rsidR="00F90884" w:rsidRDefault="00F90884" w:rsidP="00947B80">
      <w:pPr>
        <w:tabs>
          <w:tab w:val="left" w:pos="6804"/>
        </w:tabs>
        <w:spacing w:after="0"/>
        <w:ind w:firstLine="0"/>
        <w:rPr>
          <w:rFonts w:ascii="Times New Roman" w:hAnsi="Times New Roman"/>
          <w:sz w:val="20"/>
          <w:szCs w:val="20"/>
        </w:rPr>
      </w:pPr>
    </w:p>
    <w:p w:rsidR="00F90884" w:rsidRDefault="00F90884" w:rsidP="00025FCD">
      <w:pPr>
        <w:tabs>
          <w:tab w:val="left" w:pos="6804"/>
        </w:tabs>
        <w:spacing w:after="0"/>
        <w:ind w:firstLine="0"/>
        <w:rPr>
          <w:rFonts w:ascii="Times New Roman" w:hAnsi="Times New Roman"/>
          <w:sz w:val="20"/>
          <w:szCs w:val="20"/>
        </w:rPr>
      </w:pPr>
    </w:p>
    <w:p w:rsidR="00F90884" w:rsidRPr="00A95116" w:rsidRDefault="00F90884" w:rsidP="00A95116">
      <w:pPr>
        <w:tabs>
          <w:tab w:val="left" w:pos="6804"/>
        </w:tabs>
        <w:spacing w:after="0"/>
        <w:rPr>
          <w:rFonts w:ascii="Times New Roman" w:hAnsi="Times New Roman"/>
          <w:sz w:val="20"/>
          <w:szCs w:val="20"/>
          <w:lang w:val="lv-LV"/>
        </w:rPr>
      </w:pPr>
      <w:r w:rsidRPr="00A95116">
        <w:rPr>
          <w:rFonts w:ascii="Times New Roman" w:hAnsi="Times New Roman"/>
          <w:sz w:val="20"/>
          <w:szCs w:val="20"/>
        </w:rPr>
        <w:fldChar w:fldCharType="begin"/>
      </w:r>
      <w:r w:rsidRPr="00A95116">
        <w:rPr>
          <w:rFonts w:ascii="Times New Roman" w:hAnsi="Times New Roman"/>
          <w:sz w:val="20"/>
          <w:szCs w:val="20"/>
        </w:rPr>
        <w:instrText xml:space="preserve"> TIME \@ "dd.MM.yyyy H:mm" </w:instrText>
      </w:r>
      <w:r w:rsidRPr="00A95116">
        <w:rPr>
          <w:rFonts w:ascii="Times New Roman" w:hAnsi="Times New Roman"/>
          <w:sz w:val="20"/>
          <w:szCs w:val="20"/>
        </w:rPr>
        <w:fldChar w:fldCharType="separate"/>
      </w:r>
      <w:r>
        <w:rPr>
          <w:rFonts w:ascii="Times New Roman" w:hAnsi="Times New Roman"/>
          <w:noProof/>
          <w:sz w:val="20"/>
          <w:szCs w:val="20"/>
        </w:rPr>
        <w:t>09.07.2014 13:47</w:t>
      </w:r>
      <w:r w:rsidRPr="00A95116">
        <w:rPr>
          <w:rFonts w:ascii="Times New Roman" w:hAnsi="Times New Roman"/>
          <w:sz w:val="20"/>
          <w:szCs w:val="20"/>
        </w:rPr>
        <w:fldChar w:fldCharType="end"/>
      </w:r>
    </w:p>
    <w:p w:rsidR="00F90884" w:rsidRPr="00A95116" w:rsidRDefault="00F90884" w:rsidP="00A95116">
      <w:pPr>
        <w:tabs>
          <w:tab w:val="left" w:pos="6804"/>
        </w:tabs>
        <w:spacing w:after="0"/>
        <w:rPr>
          <w:rFonts w:ascii="Times New Roman" w:hAnsi="Times New Roman"/>
          <w:sz w:val="20"/>
          <w:szCs w:val="20"/>
          <w:lang w:val="lv-LV"/>
        </w:rPr>
      </w:pPr>
      <w:r>
        <w:rPr>
          <w:rFonts w:ascii="Times New Roman" w:hAnsi="Times New Roman"/>
          <w:sz w:val="20"/>
          <w:szCs w:val="20"/>
          <w:lang w:val="lv-LV"/>
        </w:rPr>
        <w:t>2445</w:t>
      </w:r>
    </w:p>
    <w:p w:rsidR="00F90884" w:rsidRPr="00A95116" w:rsidRDefault="00F90884" w:rsidP="00A95116">
      <w:pPr>
        <w:spacing w:after="0"/>
        <w:rPr>
          <w:rFonts w:ascii="Times New Roman" w:hAnsi="Times New Roman"/>
          <w:sz w:val="20"/>
          <w:szCs w:val="20"/>
          <w:lang w:val="lv-LV"/>
        </w:rPr>
      </w:pPr>
      <w:r w:rsidRPr="00A95116">
        <w:rPr>
          <w:rFonts w:ascii="Times New Roman" w:hAnsi="Times New Roman"/>
          <w:sz w:val="20"/>
          <w:szCs w:val="20"/>
          <w:lang w:val="lv-LV"/>
        </w:rPr>
        <w:t>V.Šļaukstiņš, 67026523</w:t>
      </w:r>
    </w:p>
    <w:p w:rsidR="00F90884" w:rsidRPr="00A95116" w:rsidRDefault="00F90884" w:rsidP="00A95116">
      <w:pPr>
        <w:spacing w:after="0"/>
        <w:rPr>
          <w:rFonts w:ascii="Times New Roman" w:hAnsi="Times New Roman"/>
          <w:sz w:val="20"/>
          <w:szCs w:val="20"/>
          <w:lang w:val="lv-LV"/>
        </w:rPr>
      </w:pPr>
      <w:r w:rsidRPr="00A95116">
        <w:rPr>
          <w:rFonts w:ascii="Times New Roman" w:hAnsi="Times New Roman"/>
          <w:sz w:val="20"/>
          <w:szCs w:val="20"/>
          <w:lang w:val="lv-LV"/>
        </w:rPr>
        <w:t xml:space="preserve">valdimarts.slaukstins@varam.gov.lv </w:t>
      </w:r>
    </w:p>
    <w:p w:rsidR="00F90884" w:rsidRPr="00393C64" w:rsidRDefault="00F90884" w:rsidP="0088648F">
      <w:pPr>
        <w:ind w:firstLine="0"/>
        <w:rPr>
          <w:lang w:val="lv-LV"/>
        </w:rPr>
      </w:pPr>
    </w:p>
    <w:sectPr w:rsidR="00F90884" w:rsidRPr="00393C64" w:rsidSect="00A90EA7">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884" w:rsidRDefault="00F90884" w:rsidP="004E18D2">
      <w:pPr>
        <w:spacing w:after="0"/>
      </w:pPr>
      <w:r>
        <w:separator/>
      </w:r>
    </w:p>
  </w:endnote>
  <w:endnote w:type="continuationSeparator" w:id="0">
    <w:p w:rsidR="00F90884" w:rsidRDefault="00F90884" w:rsidP="004E18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DejaVuSan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4" w:rsidRPr="005353C7" w:rsidRDefault="00F90884" w:rsidP="00A90EA7">
    <w:pPr>
      <w:spacing w:afterLines="60"/>
      <w:ind w:firstLine="0"/>
      <w:rPr>
        <w:rFonts w:ascii="Times New Roman" w:hAnsi="Times New Roman"/>
        <w:sz w:val="20"/>
        <w:szCs w:val="20"/>
      </w:rPr>
    </w:pPr>
    <w:r w:rsidRPr="005353C7">
      <w:rPr>
        <w:rFonts w:ascii="Times New Roman" w:hAnsi="Times New Roman"/>
        <w:sz w:val="20"/>
        <w:szCs w:val="20"/>
      </w:rPr>
      <w:fldChar w:fldCharType="begin"/>
    </w:r>
    <w:r w:rsidRPr="005353C7">
      <w:rPr>
        <w:rFonts w:ascii="Times New Roman" w:hAnsi="Times New Roman"/>
        <w:sz w:val="20"/>
        <w:szCs w:val="20"/>
      </w:rPr>
      <w:instrText xml:space="preserve"> FILENAME </w:instrText>
    </w:r>
    <w:r w:rsidRPr="005353C7">
      <w:rPr>
        <w:rFonts w:ascii="Times New Roman" w:hAnsi="Times New Roman"/>
        <w:sz w:val="20"/>
        <w:szCs w:val="20"/>
      </w:rPr>
      <w:fldChar w:fldCharType="separate"/>
    </w:r>
    <w:r>
      <w:rPr>
        <w:rFonts w:ascii="Times New Roman" w:hAnsi="Times New Roman"/>
        <w:noProof/>
        <w:sz w:val="20"/>
        <w:szCs w:val="20"/>
      </w:rPr>
      <w:t>VARAMPiel_0807</w:t>
    </w:r>
    <w:r w:rsidRPr="005353C7">
      <w:rPr>
        <w:rFonts w:ascii="Times New Roman" w:hAnsi="Times New Roman"/>
        <w:noProof/>
        <w:sz w:val="20"/>
        <w:szCs w:val="20"/>
      </w:rPr>
      <w:t>14_</w:t>
    </w:r>
    <w:r w:rsidRPr="005353C7">
      <w:rPr>
        <w:rFonts w:ascii="Times New Roman" w:hAnsi="Times New Roman"/>
        <w:sz w:val="20"/>
        <w:szCs w:val="20"/>
      </w:rPr>
      <w:fldChar w:fldCharType="end"/>
    </w:r>
    <w:r w:rsidRPr="005353C7">
      <w:rPr>
        <w:rFonts w:ascii="Times New Roman" w:hAnsi="Times New Roman"/>
        <w:sz w:val="20"/>
        <w:szCs w:val="20"/>
      </w:rPr>
      <w:t>lidzfin; informatīvā ziņojuma „Par papildu valsts budžeta saistību uzņemšanos atsevišķiem projektiem dabas aizsardzības un reģionālās attīstības politikas jomā” pielikums</w:t>
    </w:r>
  </w:p>
  <w:p w:rsidR="00F90884" w:rsidRDefault="00F90884">
    <w:pPr>
      <w:pStyle w:val="Footer"/>
      <w:jc w:val="center"/>
    </w:pPr>
  </w:p>
  <w:p w:rsidR="00F90884" w:rsidRDefault="00F90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4" w:rsidRPr="005353C7" w:rsidRDefault="00F90884" w:rsidP="00A90EA7">
    <w:pPr>
      <w:spacing w:afterLines="60"/>
      <w:ind w:firstLine="0"/>
      <w:rPr>
        <w:rFonts w:ascii="Times New Roman" w:hAnsi="Times New Roman"/>
        <w:sz w:val="20"/>
        <w:szCs w:val="20"/>
      </w:rPr>
    </w:pPr>
    <w:r w:rsidRPr="005353C7">
      <w:rPr>
        <w:rFonts w:ascii="Times New Roman" w:hAnsi="Times New Roman"/>
        <w:sz w:val="20"/>
        <w:szCs w:val="20"/>
      </w:rPr>
      <w:fldChar w:fldCharType="begin"/>
    </w:r>
    <w:r w:rsidRPr="005353C7">
      <w:rPr>
        <w:rFonts w:ascii="Times New Roman" w:hAnsi="Times New Roman"/>
        <w:sz w:val="20"/>
        <w:szCs w:val="20"/>
      </w:rPr>
      <w:instrText xml:space="preserve"> FILENAME </w:instrText>
    </w:r>
    <w:r w:rsidRPr="005353C7">
      <w:rPr>
        <w:rFonts w:ascii="Times New Roman" w:hAnsi="Times New Roman"/>
        <w:sz w:val="20"/>
        <w:szCs w:val="20"/>
      </w:rPr>
      <w:fldChar w:fldCharType="separate"/>
    </w:r>
    <w:r>
      <w:rPr>
        <w:rFonts w:ascii="Times New Roman" w:hAnsi="Times New Roman"/>
        <w:noProof/>
        <w:sz w:val="20"/>
        <w:szCs w:val="20"/>
      </w:rPr>
      <w:t>VARAMPiel_0807</w:t>
    </w:r>
    <w:r w:rsidRPr="005353C7">
      <w:rPr>
        <w:rFonts w:ascii="Times New Roman" w:hAnsi="Times New Roman"/>
        <w:noProof/>
        <w:sz w:val="20"/>
        <w:szCs w:val="20"/>
      </w:rPr>
      <w:t>14_</w:t>
    </w:r>
    <w:r w:rsidRPr="005353C7">
      <w:rPr>
        <w:rFonts w:ascii="Times New Roman" w:hAnsi="Times New Roman"/>
        <w:sz w:val="20"/>
        <w:szCs w:val="20"/>
      </w:rPr>
      <w:fldChar w:fldCharType="end"/>
    </w:r>
    <w:r w:rsidRPr="005353C7">
      <w:rPr>
        <w:rFonts w:ascii="Times New Roman" w:hAnsi="Times New Roman"/>
        <w:sz w:val="20"/>
        <w:szCs w:val="20"/>
      </w:rPr>
      <w:t>lidzfin; informatīvā ziņojuma „Par papildu valsts budžeta saistību uzņemšanos atsevišķiem projektiem dabas aizsardzības un reģionālās attīstības politikas jomā” pielikums</w:t>
    </w:r>
  </w:p>
  <w:p w:rsidR="00F90884" w:rsidRDefault="00F90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884" w:rsidRDefault="00F90884" w:rsidP="004E18D2">
      <w:pPr>
        <w:spacing w:after="0"/>
      </w:pPr>
      <w:r>
        <w:separator/>
      </w:r>
    </w:p>
  </w:footnote>
  <w:footnote w:type="continuationSeparator" w:id="0">
    <w:p w:rsidR="00F90884" w:rsidRDefault="00F90884" w:rsidP="004E18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4" w:rsidRDefault="00F90884">
    <w:pPr>
      <w:pStyle w:val="Header"/>
      <w:jc w:val="center"/>
    </w:pPr>
    <w:fldSimple w:instr=" PAGE   \* MERGEFORMAT ">
      <w:r>
        <w:rPr>
          <w:noProof/>
        </w:rPr>
        <w:t>7</w:t>
      </w:r>
    </w:fldSimple>
  </w:p>
  <w:p w:rsidR="00F90884" w:rsidRDefault="00F90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D7F"/>
    <w:multiLevelType w:val="hybridMultilevel"/>
    <w:tmpl w:val="07A22CF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D303F3A"/>
    <w:multiLevelType w:val="hybridMultilevel"/>
    <w:tmpl w:val="9E68A698"/>
    <w:lvl w:ilvl="0" w:tplc="B36CD5F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F021056"/>
    <w:multiLevelType w:val="hybridMultilevel"/>
    <w:tmpl w:val="D9D20720"/>
    <w:lvl w:ilvl="0" w:tplc="0426000F">
      <w:start w:val="1"/>
      <w:numFmt w:val="decimal"/>
      <w:lvlText w:val="%1."/>
      <w:lvlJc w:val="left"/>
      <w:pPr>
        <w:tabs>
          <w:tab w:val="num" w:pos="1429"/>
        </w:tabs>
        <w:ind w:left="1429" w:hanging="360"/>
      </w:pPr>
      <w:rPr>
        <w:rFonts w:cs="Times New Roman"/>
      </w:rPr>
    </w:lvl>
    <w:lvl w:ilvl="1" w:tplc="04260019">
      <w:start w:val="1"/>
      <w:numFmt w:val="lowerLetter"/>
      <w:lvlText w:val="%2."/>
      <w:lvlJc w:val="left"/>
      <w:pPr>
        <w:tabs>
          <w:tab w:val="num" w:pos="2149"/>
        </w:tabs>
        <w:ind w:left="2149" w:hanging="360"/>
      </w:pPr>
      <w:rPr>
        <w:rFonts w:cs="Times New Roman"/>
      </w:rPr>
    </w:lvl>
    <w:lvl w:ilvl="2" w:tplc="0426001B">
      <w:start w:val="1"/>
      <w:numFmt w:val="lowerRoman"/>
      <w:lvlText w:val="%3."/>
      <w:lvlJc w:val="right"/>
      <w:pPr>
        <w:tabs>
          <w:tab w:val="num" w:pos="2869"/>
        </w:tabs>
        <w:ind w:left="2869" w:hanging="180"/>
      </w:pPr>
      <w:rPr>
        <w:rFonts w:cs="Times New Roman"/>
      </w:rPr>
    </w:lvl>
    <w:lvl w:ilvl="3" w:tplc="0426000F">
      <w:start w:val="1"/>
      <w:numFmt w:val="decimal"/>
      <w:lvlText w:val="%4."/>
      <w:lvlJc w:val="left"/>
      <w:pPr>
        <w:tabs>
          <w:tab w:val="num" w:pos="3589"/>
        </w:tabs>
        <w:ind w:left="3589" w:hanging="360"/>
      </w:pPr>
      <w:rPr>
        <w:rFonts w:cs="Times New Roman"/>
      </w:rPr>
    </w:lvl>
    <w:lvl w:ilvl="4" w:tplc="04260019">
      <w:start w:val="1"/>
      <w:numFmt w:val="lowerLetter"/>
      <w:lvlText w:val="%5."/>
      <w:lvlJc w:val="left"/>
      <w:pPr>
        <w:tabs>
          <w:tab w:val="num" w:pos="4309"/>
        </w:tabs>
        <w:ind w:left="4309" w:hanging="360"/>
      </w:pPr>
      <w:rPr>
        <w:rFonts w:cs="Times New Roman"/>
      </w:rPr>
    </w:lvl>
    <w:lvl w:ilvl="5" w:tplc="0426001B">
      <w:start w:val="1"/>
      <w:numFmt w:val="lowerRoman"/>
      <w:lvlText w:val="%6."/>
      <w:lvlJc w:val="right"/>
      <w:pPr>
        <w:tabs>
          <w:tab w:val="num" w:pos="5029"/>
        </w:tabs>
        <w:ind w:left="5029" w:hanging="180"/>
      </w:pPr>
      <w:rPr>
        <w:rFonts w:cs="Times New Roman"/>
      </w:rPr>
    </w:lvl>
    <w:lvl w:ilvl="6" w:tplc="0426000F">
      <w:start w:val="1"/>
      <w:numFmt w:val="decimal"/>
      <w:lvlText w:val="%7."/>
      <w:lvlJc w:val="left"/>
      <w:pPr>
        <w:tabs>
          <w:tab w:val="num" w:pos="5749"/>
        </w:tabs>
        <w:ind w:left="5749" w:hanging="360"/>
      </w:pPr>
      <w:rPr>
        <w:rFonts w:cs="Times New Roman"/>
      </w:rPr>
    </w:lvl>
    <w:lvl w:ilvl="7" w:tplc="04260019">
      <w:start w:val="1"/>
      <w:numFmt w:val="lowerLetter"/>
      <w:lvlText w:val="%8."/>
      <w:lvlJc w:val="left"/>
      <w:pPr>
        <w:tabs>
          <w:tab w:val="num" w:pos="6469"/>
        </w:tabs>
        <w:ind w:left="6469" w:hanging="360"/>
      </w:pPr>
      <w:rPr>
        <w:rFonts w:cs="Times New Roman"/>
      </w:rPr>
    </w:lvl>
    <w:lvl w:ilvl="8" w:tplc="0426001B">
      <w:start w:val="1"/>
      <w:numFmt w:val="lowerRoman"/>
      <w:lvlText w:val="%9."/>
      <w:lvlJc w:val="right"/>
      <w:pPr>
        <w:tabs>
          <w:tab w:val="num" w:pos="7189"/>
        </w:tabs>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8D2"/>
    <w:rsid w:val="00002329"/>
    <w:rsid w:val="00002C71"/>
    <w:rsid w:val="00003D34"/>
    <w:rsid w:val="00005789"/>
    <w:rsid w:val="000179C0"/>
    <w:rsid w:val="000207C3"/>
    <w:rsid w:val="000221EE"/>
    <w:rsid w:val="00022424"/>
    <w:rsid w:val="000229EC"/>
    <w:rsid w:val="00024821"/>
    <w:rsid w:val="0002495D"/>
    <w:rsid w:val="00025FCD"/>
    <w:rsid w:val="00033C7A"/>
    <w:rsid w:val="00041372"/>
    <w:rsid w:val="00041F57"/>
    <w:rsid w:val="00046222"/>
    <w:rsid w:val="00046C27"/>
    <w:rsid w:val="0005221D"/>
    <w:rsid w:val="00054869"/>
    <w:rsid w:val="00054BDF"/>
    <w:rsid w:val="00056A6A"/>
    <w:rsid w:val="00056BF1"/>
    <w:rsid w:val="000661C4"/>
    <w:rsid w:val="00072F10"/>
    <w:rsid w:val="00076BBD"/>
    <w:rsid w:val="0008030F"/>
    <w:rsid w:val="00081122"/>
    <w:rsid w:val="000846ED"/>
    <w:rsid w:val="00087E38"/>
    <w:rsid w:val="000935AD"/>
    <w:rsid w:val="000946F2"/>
    <w:rsid w:val="000A088E"/>
    <w:rsid w:val="000A14FB"/>
    <w:rsid w:val="000A166D"/>
    <w:rsid w:val="000B1C1D"/>
    <w:rsid w:val="000B5F33"/>
    <w:rsid w:val="000C14BA"/>
    <w:rsid w:val="000C5788"/>
    <w:rsid w:val="000C6015"/>
    <w:rsid w:val="000D25AC"/>
    <w:rsid w:val="000D6783"/>
    <w:rsid w:val="000D72DF"/>
    <w:rsid w:val="000E59C4"/>
    <w:rsid w:val="000F6A99"/>
    <w:rsid w:val="00101867"/>
    <w:rsid w:val="00105A64"/>
    <w:rsid w:val="00111623"/>
    <w:rsid w:val="00112955"/>
    <w:rsid w:val="001138F8"/>
    <w:rsid w:val="00115328"/>
    <w:rsid w:val="0013167A"/>
    <w:rsid w:val="00137C16"/>
    <w:rsid w:val="00140858"/>
    <w:rsid w:val="0014260B"/>
    <w:rsid w:val="001449B7"/>
    <w:rsid w:val="00150DFE"/>
    <w:rsid w:val="001523EF"/>
    <w:rsid w:val="00154AA5"/>
    <w:rsid w:val="0015551D"/>
    <w:rsid w:val="00155A38"/>
    <w:rsid w:val="00155DEC"/>
    <w:rsid w:val="00157CDF"/>
    <w:rsid w:val="00162E08"/>
    <w:rsid w:val="00163136"/>
    <w:rsid w:val="0016496F"/>
    <w:rsid w:val="00172C8C"/>
    <w:rsid w:val="001801A2"/>
    <w:rsid w:val="001802EE"/>
    <w:rsid w:val="0018080F"/>
    <w:rsid w:val="00183594"/>
    <w:rsid w:val="00191489"/>
    <w:rsid w:val="00192130"/>
    <w:rsid w:val="001A6E36"/>
    <w:rsid w:val="001B0B35"/>
    <w:rsid w:val="001B17B2"/>
    <w:rsid w:val="001B4E35"/>
    <w:rsid w:val="001B63FD"/>
    <w:rsid w:val="001D0FD9"/>
    <w:rsid w:val="001D2851"/>
    <w:rsid w:val="001D29A1"/>
    <w:rsid w:val="001D7BE3"/>
    <w:rsid w:val="001E16DD"/>
    <w:rsid w:val="001F1A79"/>
    <w:rsid w:val="001F5635"/>
    <w:rsid w:val="001F6134"/>
    <w:rsid w:val="002051C9"/>
    <w:rsid w:val="00206C0E"/>
    <w:rsid w:val="00210865"/>
    <w:rsid w:val="00220859"/>
    <w:rsid w:val="0022217A"/>
    <w:rsid w:val="00222E46"/>
    <w:rsid w:val="00233415"/>
    <w:rsid w:val="0023438B"/>
    <w:rsid w:val="00234576"/>
    <w:rsid w:val="002429C5"/>
    <w:rsid w:val="00243358"/>
    <w:rsid w:val="00250530"/>
    <w:rsid w:val="002506E8"/>
    <w:rsid w:val="002551E3"/>
    <w:rsid w:val="002557CF"/>
    <w:rsid w:val="00256A1B"/>
    <w:rsid w:val="00256B89"/>
    <w:rsid w:val="00270A0A"/>
    <w:rsid w:val="0027379A"/>
    <w:rsid w:val="00275DA9"/>
    <w:rsid w:val="0027690D"/>
    <w:rsid w:val="0029333B"/>
    <w:rsid w:val="002B00F1"/>
    <w:rsid w:val="002B2BEF"/>
    <w:rsid w:val="002C0CD9"/>
    <w:rsid w:val="002C358C"/>
    <w:rsid w:val="002C35AB"/>
    <w:rsid w:val="002D3CC2"/>
    <w:rsid w:val="002E5EF5"/>
    <w:rsid w:val="002F1D07"/>
    <w:rsid w:val="002F76D2"/>
    <w:rsid w:val="00303D6C"/>
    <w:rsid w:val="0031203F"/>
    <w:rsid w:val="0031218D"/>
    <w:rsid w:val="00315872"/>
    <w:rsid w:val="003172C7"/>
    <w:rsid w:val="003208AD"/>
    <w:rsid w:val="00322DB7"/>
    <w:rsid w:val="00324DD3"/>
    <w:rsid w:val="0033682B"/>
    <w:rsid w:val="003439FC"/>
    <w:rsid w:val="0034483B"/>
    <w:rsid w:val="0036391A"/>
    <w:rsid w:val="00363F1C"/>
    <w:rsid w:val="00364F9A"/>
    <w:rsid w:val="003764F1"/>
    <w:rsid w:val="003765CE"/>
    <w:rsid w:val="0038223E"/>
    <w:rsid w:val="003842CE"/>
    <w:rsid w:val="00384691"/>
    <w:rsid w:val="003864F5"/>
    <w:rsid w:val="00391DB6"/>
    <w:rsid w:val="00393C64"/>
    <w:rsid w:val="003947AA"/>
    <w:rsid w:val="003971C5"/>
    <w:rsid w:val="003A00B2"/>
    <w:rsid w:val="003A38B3"/>
    <w:rsid w:val="003A3932"/>
    <w:rsid w:val="003A6930"/>
    <w:rsid w:val="003B1DA9"/>
    <w:rsid w:val="003B2277"/>
    <w:rsid w:val="003B5C40"/>
    <w:rsid w:val="003B66C0"/>
    <w:rsid w:val="003B6DC8"/>
    <w:rsid w:val="003C3131"/>
    <w:rsid w:val="003C681C"/>
    <w:rsid w:val="003D2BB8"/>
    <w:rsid w:val="003D5982"/>
    <w:rsid w:val="003E6258"/>
    <w:rsid w:val="003F5191"/>
    <w:rsid w:val="00400D6B"/>
    <w:rsid w:val="00403FB5"/>
    <w:rsid w:val="00404E3A"/>
    <w:rsid w:val="00410A06"/>
    <w:rsid w:val="00414F70"/>
    <w:rsid w:val="004151FF"/>
    <w:rsid w:val="004203E5"/>
    <w:rsid w:val="00425FDF"/>
    <w:rsid w:val="004266B3"/>
    <w:rsid w:val="004328D7"/>
    <w:rsid w:val="00436607"/>
    <w:rsid w:val="00437296"/>
    <w:rsid w:val="0044124C"/>
    <w:rsid w:val="00445AFF"/>
    <w:rsid w:val="00446017"/>
    <w:rsid w:val="00453DB1"/>
    <w:rsid w:val="00456EE0"/>
    <w:rsid w:val="004616E7"/>
    <w:rsid w:val="00463E08"/>
    <w:rsid w:val="00470519"/>
    <w:rsid w:val="0047373C"/>
    <w:rsid w:val="00484183"/>
    <w:rsid w:val="00484F0D"/>
    <w:rsid w:val="00484F21"/>
    <w:rsid w:val="00485654"/>
    <w:rsid w:val="004874E4"/>
    <w:rsid w:val="0049017B"/>
    <w:rsid w:val="004937AC"/>
    <w:rsid w:val="00494EE8"/>
    <w:rsid w:val="004A308A"/>
    <w:rsid w:val="004A6F50"/>
    <w:rsid w:val="004B1861"/>
    <w:rsid w:val="004B256C"/>
    <w:rsid w:val="004B42A7"/>
    <w:rsid w:val="004B5ECE"/>
    <w:rsid w:val="004B7CF5"/>
    <w:rsid w:val="004C0DEF"/>
    <w:rsid w:val="004C3B23"/>
    <w:rsid w:val="004D4130"/>
    <w:rsid w:val="004E175E"/>
    <w:rsid w:val="004E18D2"/>
    <w:rsid w:val="004E62FC"/>
    <w:rsid w:val="004F1660"/>
    <w:rsid w:val="004F212C"/>
    <w:rsid w:val="004F38C2"/>
    <w:rsid w:val="004F745B"/>
    <w:rsid w:val="00500ACC"/>
    <w:rsid w:val="00504CCF"/>
    <w:rsid w:val="00514A30"/>
    <w:rsid w:val="00521E4D"/>
    <w:rsid w:val="00526C43"/>
    <w:rsid w:val="005272B9"/>
    <w:rsid w:val="0053116F"/>
    <w:rsid w:val="005353C7"/>
    <w:rsid w:val="00540471"/>
    <w:rsid w:val="005418A8"/>
    <w:rsid w:val="0055095E"/>
    <w:rsid w:val="00550C5B"/>
    <w:rsid w:val="00553AB6"/>
    <w:rsid w:val="0055542C"/>
    <w:rsid w:val="00556807"/>
    <w:rsid w:val="0056290D"/>
    <w:rsid w:val="00570951"/>
    <w:rsid w:val="00574492"/>
    <w:rsid w:val="00576510"/>
    <w:rsid w:val="00577AE3"/>
    <w:rsid w:val="0058310B"/>
    <w:rsid w:val="005872A5"/>
    <w:rsid w:val="005872F1"/>
    <w:rsid w:val="00591719"/>
    <w:rsid w:val="005920CC"/>
    <w:rsid w:val="0059533F"/>
    <w:rsid w:val="00595369"/>
    <w:rsid w:val="00596E86"/>
    <w:rsid w:val="005A0C47"/>
    <w:rsid w:val="005A2736"/>
    <w:rsid w:val="005A3041"/>
    <w:rsid w:val="005A4225"/>
    <w:rsid w:val="005A6718"/>
    <w:rsid w:val="005C3F7D"/>
    <w:rsid w:val="005C7455"/>
    <w:rsid w:val="005C7F4F"/>
    <w:rsid w:val="005D0811"/>
    <w:rsid w:val="005D62B4"/>
    <w:rsid w:val="005E7140"/>
    <w:rsid w:val="005E7612"/>
    <w:rsid w:val="005F3C1F"/>
    <w:rsid w:val="005F4B64"/>
    <w:rsid w:val="005F4D9A"/>
    <w:rsid w:val="005F53DE"/>
    <w:rsid w:val="00600A8D"/>
    <w:rsid w:val="006069C1"/>
    <w:rsid w:val="00606A6D"/>
    <w:rsid w:val="00612C41"/>
    <w:rsid w:val="006140A5"/>
    <w:rsid w:val="006239A4"/>
    <w:rsid w:val="00627E12"/>
    <w:rsid w:val="0063020F"/>
    <w:rsid w:val="00630BBA"/>
    <w:rsid w:val="006348DE"/>
    <w:rsid w:val="00634B7B"/>
    <w:rsid w:val="006405DB"/>
    <w:rsid w:val="00646129"/>
    <w:rsid w:val="006471D5"/>
    <w:rsid w:val="00647580"/>
    <w:rsid w:val="00661A7C"/>
    <w:rsid w:val="00662459"/>
    <w:rsid w:val="0066574B"/>
    <w:rsid w:val="00666E33"/>
    <w:rsid w:val="00676675"/>
    <w:rsid w:val="00680696"/>
    <w:rsid w:val="0068128C"/>
    <w:rsid w:val="00692396"/>
    <w:rsid w:val="006929FE"/>
    <w:rsid w:val="00696415"/>
    <w:rsid w:val="006A4359"/>
    <w:rsid w:val="006A5A43"/>
    <w:rsid w:val="006B09F3"/>
    <w:rsid w:val="006B0DA4"/>
    <w:rsid w:val="006B56AC"/>
    <w:rsid w:val="006B5F8B"/>
    <w:rsid w:val="006B72B8"/>
    <w:rsid w:val="006C223A"/>
    <w:rsid w:val="006D0030"/>
    <w:rsid w:val="006D01C2"/>
    <w:rsid w:val="006D0284"/>
    <w:rsid w:val="006D2035"/>
    <w:rsid w:val="006D2319"/>
    <w:rsid w:val="006E4ACF"/>
    <w:rsid w:val="006F3A08"/>
    <w:rsid w:val="00700C6C"/>
    <w:rsid w:val="007015B2"/>
    <w:rsid w:val="00703640"/>
    <w:rsid w:val="0072075D"/>
    <w:rsid w:val="00725183"/>
    <w:rsid w:val="00727307"/>
    <w:rsid w:val="00732DA2"/>
    <w:rsid w:val="00736E88"/>
    <w:rsid w:val="00740BE2"/>
    <w:rsid w:val="00741B94"/>
    <w:rsid w:val="00742336"/>
    <w:rsid w:val="00744414"/>
    <w:rsid w:val="00754664"/>
    <w:rsid w:val="007575AC"/>
    <w:rsid w:val="00764AF6"/>
    <w:rsid w:val="00770237"/>
    <w:rsid w:val="007710B0"/>
    <w:rsid w:val="007831CB"/>
    <w:rsid w:val="007918C1"/>
    <w:rsid w:val="007921CB"/>
    <w:rsid w:val="0079428B"/>
    <w:rsid w:val="007A5FBD"/>
    <w:rsid w:val="007A7353"/>
    <w:rsid w:val="007A7F82"/>
    <w:rsid w:val="007E00EE"/>
    <w:rsid w:val="007E420B"/>
    <w:rsid w:val="007E56AD"/>
    <w:rsid w:val="007E6934"/>
    <w:rsid w:val="007F3196"/>
    <w:rsid w:val="007F623A"/>
    <w:rsid w:val="0080291E"/>
    <w:rsid w:val="008030AF"/>
    <w:rsid w:val="0080351A"/>
    <w:rsid w:val="0080453F"/>
    <w:rsid w:val="008064E9"/>
    <w:rsid w:val="00810EE2"/>
    <w:rsid w:val="00814E13"/>
    <w:rsid w:val="00815CE6"/>
    <w:rsid w:val="00816FF4"/>
    <w:rsid w:val="00817E05"/>
    <w:rsid w:val="008201E2"/>
    <w:rsid w:val="00825998"/>
    <w:rsid w:val="00831362"/>
    <w:rsid w:val="00836424"/>
    <w:rsid w:val="00840CFB"/>
    <w:rsid w:val="008413E4"/>
    <w:rsid w:val="008421BE"/>
    <w:rsid w:val="0085540F"/>
    <w:rsid w:val="00856CB5"/>
    <w:rsid w:val="00861CCA"/>
    <w:rsid w:val="00864F71"/>
    <w:rsid w:val="00866505"/>
    <w:rsid w:val="00873553"/>
    <w:rsid w:val="00874A73"/>
    <w:rsid w:val="00876B2D"/>
    <w:rsid w:val="008823DC"/>
    <w:rsid w:val="00883B6F"/>
    <w:rsid w:val="0088648F"/>
    <w:rsid w:val="008A20B7"/>
    <w:rsid w:val="008A3F2E"/>
    <w:rsid w:val="008A7271"/>
    <w:rsid w:val="008C3DCE"/>
    <w:rsid w:val="008C6AB4"/>
    <w:rsid w:val="008D0E42"/>
    <w:rsid w:val="008D1ACC"/>
    <w:rsid w:val="008F1F8A"/>
    <w:rsid w:val="008F277B"/>
    <w:rsid w:val="008F5724"/>
    <w:rsid w:val="008F7DE7"/>
    <w:rsid w:val="009014A1"/>
    <w:rsid w:val="00901621"/>
    <w:rsid w:val="00906458"/>
    <w:rsid w:val="009066A5"/>
    <w:rsid w:val="009101A1"/>
    <w:rsid w:val="00911C8B"/>
    <w:rsid w:val="00912A72"/>
    <w:rsid w:val="009318AB"/>
    <w:rsid w:val="0093664A"/>
    <w:rsid w:val="00941A9B"/>
    <w:rsid w:val="0094253F"/>
    <w:rsid w:val="00943868"/>
    <w:rsid w:val="009453E1"/>
    <w:rsid w:val="00946389"/>
    <w:rsid w:val="009469AE"/>
    <w:rsid w:val="00947B80"/>
    <w:rsid w:val="00952201"/>
    <w:rsid w:val="0096069C"/>
    <w:rsid w:val="009644AF"/>
    <w:rsid w:val="00970D8C"/>
    <w:rsid w:val="00991106"/>
    <w:rsid w:val="00992650"/>
    <w:rsid w:val="00994164"/>
    <w:rsid w:val="0099564A"/>
    <w:rsid w:val="00995BEE"/>
    <w:rsid w:val="00996998"/>
    <w:rsid w:val="009A5D03"/>
    <w:rsid w:val="009B27B0"/>
    <w:rsid w:val="009B72C6"/>
    <w:rsid w:val="009C2043"/>
    <w:rsid w:val="009C3E2B"/>
    <w:rsid w:val="009D3839"/>
    <w:rsid w:val="009E37D8"/>
    <w:rsid w:val="009F4074"/>
    <w:rsid w:val="009F5F29"/>
    <w:rsid w:val="00A007C8"/>
    <w:rsid w:val="00A02FD6"/>
    <w:rsid w:val="00A03B38"/>
    <w:rsid w:val="00A03F25"/>
    <w:rsid w:val="00A2398F"/>
    <w:rsid w:val="00A27B25"/>
    <w:rsid w:val="00A45887"/>
    <w:rsid w:val="00A510A2"/>
    <w:rsid w:val="00A541D8"/>
    <w:rsid w:val="00A550B5"/>
    <w:rsid w:val="00A5699B"/>
    <w:rsid w:val="00A6087A"/>
    <w:rsid w:val="00A60E41"/>
    <w:rsid w:val="00A66089"/>
    <w:rsid w:val="00A66ACF"/>
    <w:rsid w:val="00A67596"/>
    <w:rsid w:val="00A7262E"/>
    <w:rsid w:val="00A7630A"/>
    <w:rsid w:val="00A77B99"/>
    <w:rsid w:val="00A82DA1"/>
    <w:rsid w:val="00A8365A"/>
    <w:rsid w:val="00A83909"/>
    <w:rsid w:val="00A86AD7"/>
    <w:rsid w:val="00A90EA7"/>
    <w:rsid w:val="00A95116"/>
    <w:rsid w:val="00A97DA9"/>
    <w:rsid w:val="00AA44C3"/>
    <w:rsid w:val="00AB3B87"/>
    <w:rsid w:val="00AB485F"/>
    <w:rsid w:val="00AB6F55"/>
    <w:rsid w:val="00AB76E2"/>
    <w:rsid w:val="00AD563E"/>
    <w:rsid w:val="00AD7F53"/>
    <w:rsid w:val="00AF0BA5"/>
    <w:rsid w:val="00AF1C6B"/>
    <w:rsid w:val="00B10BA5"/>
    <w:rsid w:val="00B113A8"/>
    <w:rsid w:val="00B11BC7"/>
    <w:rsid w:val="00B11F2B"/>
    <w:rsid w:val="00B14F1A"/>
    <w:rsid w:val="00B20124"/>
    <w:rsid w:val="00B22005"/>
    <w:rsid w:val="00B2390C"/>
    <w:rsid w:val="00B24E41"/>
    <w:rsid w:val="00B30B7D"/>
    <w:rsid w:val="00B37333"/>
    <w:rsid w:val="00B42FDA"/>
    <w:rsid w:val="00B44308"/>
    <w:rsid w:val="00B45ABE"/>
    <w:rsid w:val="00B52220"/>
    <w:rsid w:val="00B55960"/>
    <w:rsid w:val="00B62EE7"/>
    <w:rsid w:val="00B64F56"/>
    <w:rsid w:val="00B7278A"/>
    <w:rsid w:val="00B742F4"/>
    <w:rsid w:val="00B83B7D"/>
    <w:rsid w:val="00B846F9"/>
    <w:rsid w:val="00B85BE7"/>
    <w:rsid w:val="00B96EAE"/>
    <w:rsid w:val="00BC1D41"/>
    <w:rsid w:val="00BC4EAA"/>
    <w:rsid w:val="00BC6752"/>
    <w:rsid w:val="00BD084F"/>
    <w:rsid w:val="00BD168C"/>
    <w:rsid w:val="00BE6C33"/>
    <w:rsid w:val="00BF2C8C"/>
    <w:rsid w:val="00BF3133"/>
    <w:rsid w:val="00C03F74"/>
    <w:rsid w:val="00C05708"/>
    <w:rsid w:val="00C1008B"/>
    <w:rsid w:val="00C13CD4"/>
    <w:rsid w:val="00C1612F"/>
    <w:rsid w:val="00C23793"/>
    <w:rsid w:val="00C37CE5"/>
    <w:rsid w:val="00C4038A"/>
    <w:rsid w:val="00C407B2"/>
    <w:rsid w:val="00C45CA7"/>
    <w:rsid w:val="00C52162"/>
    <w:rsid w:val="00C62FE9"/>
    <w:rsid w:val="00C64B85"/>
    <w:rsid w:val="00C67B4B"/>
    <w:rsid w:val="00C71EA4"/>
    <w:rsid w:val="00C7797D"/>
    <w:rsid w:val="00C8293A"/>
    <w:rsid w:val="00C82B14"/>
    <w:rsid w:val="00C83005"/>
    <w:rsid w:val="00C842BB"/>
    <w:rsid w:val="00C93534"/>
    <w:rsid w:val="00C93AE5"/>
    <w:rsid w:val="00CB07CB"/>
    <w:rsid w:val="00CB13E8"/>
    <w:rsid w:val="00CB23FA"/>
    <w:rsid w:val="00CB4274"/>
    <w:rsid w:val="00CC5352"/>
    <w:rsid w:val="00CD72E9"/>
    <w:rsid w:val="00CE0614"/>
    <w:rsid w:val="00CE6FFB"/>
    <w:rsid w:val="00CF7D77"/>
    <w:rsid w:val="00D11118"/>
    <w:rsid w:val="00D17E25"/>
    <w:rsid w:val="00D226F7"/>
    <w:rsid w:val="00D31141"/>
    <w:rsid w:val="00D32A97"/>
    <w:rsid w:val="00D35835"/>
    <w:rsid w:val="00D41436"/>
    <w:rsid w:val="00D422D3"/>
    <w:rsid w:val="00D46038"/>
    <w:rsid w:val="00D468B2"/>
    <w:rsid w:val="00D470AA"/>
    <w:rsid w:val="00D47183"/>
    <w:rsid w:val="00D51ECF"/>
    <w:rsid w:val="00D62F80"/>
    <w:rsid w:val="00D63439"/>
    <w:rsid w:val="00D67C10"/>
    <w:rsid w:val="00D725D9"/>
    <w:rsid w:val="00D73740"/>
    <w:rsid w:val="00D756B8"/>
    <w:rsid w:val="00D75C7C"/>
    <w:rsid w:val="00D90F1A"/>
    <w:rsid w:val="00D910E5"/>
    <w:rsid w:val="00D92B56"/>
    <w:rsid w:val="00D94F95"/>
    <w:rsid w:val="00D960A1"/>
    <w:rsid w:val="00DA1ED9"/>
    <w:rsid w:val="00DA67BA"/>
    <w:rsid w:val="00DA6CDC"/>
    <w:rsid w:val="00DB3E0A"/>
    <w:rsid w:val="00DB45B5"/>
    <w:rsid w:val="00DB553A"/>
    <w:rsid w:val="00DC354F"/>
    <w:rsid w:val="00DD1495"/>
    <w:rsid w:val="00DD1AAD"/>
    <w:rsid w:val="00DD1DFD"/>
    <w:rsid w:val="00DD1FD4"/>
    <w:rsid w:val="00DD3693"/>
    <w:rsid w:val="00DD5A1F"/>
    <w:rsid w:val="00DD6C5F"/>
    <w:rsid w:val="00DE0F06"/>
    <w:rsid w:val="00DE2E73"/>
    <w:rsid w:val="00DE3BB2"/>
    <w:rsid w:val="00DE580D"/>
    <w:rsid w:val="00DE5B6D"/>
    <w:rsid w:val="00DF06CA"/>
    <w:rsid w:val="00DF1B30"/>
    <w:rsid w:val="00DF1E53"/>
    <w:rsid w:val="00DF2C5F"/>
    <w:rsid w:val="00DF3018"/>
    <w:rsid w:val="00DF5B25"/>
    <w:rsid w:val="00DF771D"/>
    <w:rsid w:val="00DF7F63"/>
    <w:rsid w:val="00DF7F9A"/>
    <w:rsid w:val="00E00BE7"/>
    <w:rsid w:val="00E0294A"/>
    <w:rsid w:val="00E0295B"/>
    <w:rsid w:val="00E04A40"/>
    <w:rsid w:val="00E067B3"/>
    <w:rsid w:val="00E12942"/>
    <w:rsid w:val="00E13DCD"/>
    <w:rsid w:val="00E22BF0"/>
    <w:rsid w:val="00E25E70"/>
    <w:rsid w:val="00E261EC"/>
    <w:rsid w:val="00E27D2A"/>
    <w:rsid w:val="00E32F66"/>
    <w:rsid w:val="00E32F84"/>
    <w:rsid w:val="00E33C79"/>
    <w:rsid w:val="00E3624A"/>
    <w:rsid w:val="00E76A24"/>
    <w:rsid w:val="00E83DE6"/>
    <w:rsid w:val="00E8434D"/>
    <w:rsid w:val="00E84A35"/>
    <w:rsid w:val="00E90823"/>
    <w:rsid w:val="00E94753"/>
    <w:rsid w:val="00E97181"/>
    <w:rsid w:val="00EA0AEF"/>
    <w:rsid w:val="00EA3515"/>
    <w:rsid w:val="00EA51AA"/>
    <w:rsid w:val="00EC4BA9"/>
    <w:rsid w:val="00ED0730"/>
    <w:rsid w:val="00ED1669"/>
    <w:rsid w:val="00EE16A2"/>
    <w:rsid w:val="00EE359A"/>
    <w:rsid w:val="00EF057E"/>
    <w:rsid w:val="00EF622B"/>
    <w:rsid w:val="00F00242"/>
    <w:rsid w:val="00F01975"/>
    <w:rsid w:val="00F059AD"/>
    <w:rsid w:val="00F10C8F"/>
    <w:rsid w:val="00F208C4"/>
    <w:rsid w:val="00F21A3C"/>
    <w:rsid w:val="00F222CB"/>
    <w:rsid w:val="00F226A3"/>
    <w:rsid w:val="00F24F73"/>
    <w:rsid w:val="00F302FF"/>
    <w:rsid w:val="00F33B00"/>
    <w:rsid w:val="00F360DD"/>
    <w:rsid w:val="00F3732F"/>
    <w:rsid w:val="00F42808"/>
    <w:rsid w:val="00F57C68"/>
    <w:rsid w:val="00F6067D"/>
    <w:rsid w:val="00F60EF8"/>
    <w:rsid w:val="00F670F6"/>
    <w:rsid w:val="00F701F8"/>
    <w:rsid w:val="00F738FD"/>
    <w:rsid w:val="00F75B9E"/>
    <w:rsid w:val="00F8590F"/>
    <w:rsid w:val="00F90884"/>
    <w:rsid w:val="00F92C4E"/>
    <w:rsid w:val="00FA35A2"/>
    <w:rsid w:val="00FA6B55"/>
    <w:rsid w:val="00FA79C6"/>
    <w:rsid w:val="00FB15A4"/>
    <w:rsid w:val="00FC3C6A"/>
    <w:rsid w:val="00FC6FBC"/>
    <w:rsid w:val="00FD134F"/>
    <w:rsid w:val="00FD3B93"/>
    <w:rsid w:val="00FE4DAA"/>
    <w:rsid w:val="00FE7F9B"/>
    <w:rsid w:val="00FF1DCC"/>
    <w:rsid w:val="00FF39F7"/>
    <w:rsid w:val="00FF4B5A"/>
    <w:rsid w:val="00FF58AF"/>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A8"/>
    <w:pPr>
      <w:spacing w:after="120"/>
      <w:ind w:firstLine="720"/>
      <w:jc w:val="both"/>
    </w:pPr>
    <w:rPr>
      <w:lang w:val="en-US" w:eastAsia="en-US"/>
    </w:rPr>
  </w:style>
  <w:style w:type="paragraph" w:styleId="Heading1">
    <w:name w:val="heading 1"/>
    <w:basedOn w:val="Normal"/>
    <w:next w:val="Normal"/>
    <w:link w:val="Heading1Char"/>
    <w:uiPriority w:val="99"/>
    <w:qFormat/>
    <w:rsid w:val="00DF771D"/>
    <w:pPr>
      <w:keepNext/>
      <w:spacing w:before="240" w:after="60" w:line="276" w:lineRule="auto"/>
      <w:ind w:firstLine="0"/>
      <w:jc w:val="left"/>
      <w:outlineLvl w:val="0"/>
    </w:pPr>
    <w:rPr>
      <w:rFonts w:ascii="Cambria" w:eastAsia="Times New Roman" w:hAnsi="Cambria"/>
      <w:b/>
      <w:bCs/>
      <w:kern w:val="32"/>
      <w:sz w:val="32"/>
      <w:szCs w:val="32"/>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71D"/>
    <w:rPr>
      <w:rFonts w:ascii="Cambria" w:hAnsi="Cambria" w:cs="Times New Roman"/>
      <w:b/>
      <w:bCs/>
      <w:kern w:val="32"/>
      <w:sz w:val="32"/>
      <w:szCs w:val="32"/>
      <w:lang w:val="lv-LV"/>
    </w:rPr>
  </w:style>
  <w:style w:type="paragraph" w:styleId="Header">
    <w:name w:val="header"/>
    <w:basedOn w:val="Normal"/>
    <w:link w:val="HeaderChar"/>
    <w:uiPriority w:val="99"/>
    <w:rsid w:val="004E18D2"/>
    <w:pPr>
      <w:tabs>
        <w:tab w:val="center" w:pos="4320"/>
        <w:tab w:val="right" w:pos="8640"/>
      </w:tabs>
      <w:spacing w:after="0"/>
    </w:pPr>
  </w:style>
  <w:style w:type="character" w:customStyle="1" w:styleId="HeaderChar">
    <w:name w:val="Header Char"/>
    <w:basedOn w:val="DefaultParagraphFont"/>
    <w:link w:val="Header"/>
    <w:uiPriority w:val="99"/>
    <w:locked/>
    <w:rsid w:val="004E18D2"/>
    <w:rPr>
      <w:rFonts w:cs="Times New Roman"/>
    </w:rPr>
  </w:style>
  <w:style w:type="paragraph" w:styleId="Footer">
    <w:name w:val="footer"/>
    <w:basedOn w:val="Normal"/>
    <w:link w:val="FooterChar"/>
    <w:uiPriority w:val="99"/>
    <w:rsid w:val="004E18D2"/>
    <w:pPr>
      <w:tabs>
        <w:tab w:val="center" w:pos="4320"/>
        <w:tab w:val="right" w:pos="8640"/>
      </w:tabs>
      <w:spacing w:after="0"/>
    </w:pPr>
  </w:style>
  <w:style w:type="character" w:customStyle="1" w:styleId="FooterChar">
    <w:name w:val="Footer Char"/>
    <w:basedOn w:val="DefaultParagraphFont"/>
    <w:link w:val="Footer"/>
    <w:uiPriority w:val="99"/>
    <w:locked/>
    <w:rsid w:val="004E18D2"/>
    <w:rPr>
      <w:rFonts w:cs="Times New Roman"/>
    </w:rPr>
  </w:style>
  <w:style w:type="paragraph" w:styleId="NormalWeb">
    <w:name w:val="Normal (Web)"/>
    <w:basedOn w:val="Normal"/>
    <w:uiPriority w:val="99"/>
    <w:rsid w:val="004E18D2"/>
    <w:pPr>
      <w:spacing w:before="100" w:beforeAutospacing="1" w:after="100" w:afterAutospacing="1"/>
      <w:ind w:firstLine="0"/>
      <w:jc w:val="left"/>
    </w:pPr>
    <w:rPr>
      <w:rFonts w:ascii="Times New Roman" w:eastAsia="Times New Roman" w:hAnsi="Times New Roman"/>
      <w:sz w:val="24"/>
      <w:szCs w:val="24"/>
      <w:lang w:val="lv-LV" w:eastAsia="lv-LV"/>
    </w:rPr>
  </w:style>
  <w:style w:type="character" w:styleId="Hyperlink">
    <w:name w:val="Hyperlink"/>
    <w:basedOn w:val="DefaultParagraphFont"/>
    <w:uiPriority w:val="99"/>
    <w:rsid w:val="004E18D2"/>
    <w:rPr>
      <w:rFonts w:cs="Times New Roman"/>
      <w:color w:val="0000FF"/>
      <w:u w:val="single"/>
    </w:rPr>
  </w:style>
  <w:style w:type="paragraph" w:customStyle="1" w:styleId="Default">
    <w:name w:val="Default"/>
    <w:uiPriority w:val="99"/>
    <w:rsid w:val="004E18D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4E18D2"/>
    <w:pPr>
      <w:suppressAutoHyphens/>
      <w:spacing w:after="0"/>
      <w:ind w:left="720" w:firstLine="0"/>
      <w:jc w:val="left"/>
    </w:pPr>
    <w:rPr>
      <w:rFonts w:ascii="Times New Roman" w:eastAsia="Times New Roman" w:hAnsi="Times New Roman"/>
      <w:sz w:val="20"/>
      <w:szCs w:val="20"/>
      <w:lang w:val="lv-LV" w:eastAsia="lo-LA" w:bidi="lo-LA"/>
    </w:rPr>
  </w:style>
  <w:style w:type="paragraph" w:customStyle="1" w:styleId="naiskr">
    <w:name w:val="naiskr"/>
    <w:basedOn w:val="Normal"/>
    <w:uiPriority w:val="99"/>
    <w:rsid w:val="004E18D2"/>
    <w:pPr>
      <w:spacing w:before="75" w:after="75"/>
      <w:ind w:firstLine="0"/>
      <w:jc w:val="left"/>
    </w:pPr>
    <w:rPr>
      <w:rFonts w:ascii="Times New Roman" w:eastAsia="Times New Roman" w:hAnsi="Times New Roman"/>
      <w:sz w:val="24"/>
      <w:szCs w:val="24"/>
      <w:lang w:val="lv-LV" w:eastAsia="lv-LV"/>
    </w:rPr>
  </w:style>
  <w:style w:type="character" w:styleId="Strong">
    <w:name w:val="Strong"/>
    <w:basedOn w:val="DefaultParagraphFont"/>
    <w:uiPriority w:val="99"/>
    <w:qFormat/>
    <w:rsid w:val="004E18D2"/>
    <w:rPr>
      <w:rFonts w:cs="Times New Roman"/>
      <w:b/>
      <w:bCs/>
    </w:rPr>
  </w:style>
  <w:style w:type="paragraph" w:styleId="HTMLPreformatted">
    <w:name w:val="HTML Preformatted"/>
    <w:basedOn w:val="Normal"/>
    <w:link w:val="HTMLPreformattedChar"/>
    <w:uiPriority w:val="99"/>
    <w:rsid w:val="004E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locked/>
    <w:rsid w:val="004E18D2"/>
    <w:rPr>
      <w:rFonts w:ascii="Courier New" w:hAnsi="Courier New" w:cs="Courier New"/>
      <w:sz w:val="20"/>
      <w:szCs w:val="20"/>
      <w:lang w:val="lv-LV" w:eastAsia="lv-LV"/>
    </w:rPr>
  </w:style>
  <w:style w:type="paragraph" w:customStyle="1" w:styleId="tv213">
    <w:name w:val="tv213"/>
    <w:basedOn w:val="Normal"/>
    <w:uiPriority w:val="99"/>
    <w:rsid w:val="004E18D2"/>
    <w:pPr>
      <w:spacing w:before="100" w:beforeAutospacing="1" w:after="100" w:afterAutospacing="1"/>
      <w:ind w:firstLine="0"/>
      <w:jc w:val="left"/>
    </w:pPr>
    <w:rPr>
      <w:rFonts w:ascii="Times New Roman" w:eastAsia="Times New Roman" w:hAnsi="Times New Roman"/>
      <w:sz w:val="24"/>
      <w:szCs w:val="24"/>
      <w:lang w:val="lv-LV" w:eastAsia="lv-LV"/>
    </w:rPr>
  </w:style>
  <w:style w:type="paragraph" w:styleId="NoSpacing">
    <w:name w:val="No Spacing"/>
    <w:uiPriority w:val="99"/>
    <w:qFormat/>
    <w:rsid w:val="00DF771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8</Pages>
  <Words>2377</Words>
  <Characters>18282</Characters>
  <Application>Microsoft Office Outlook</Application>
  <DocSecurity>0</DocSecurity>
  <Lines>0</Lines>
  <Paragraphs>0</Paragraphs>
  <ScaleCrop>false</ScaleCrop>
  <Company>VARAM, Dabas aizsardzības departaments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valsts budžeta saistību uzņemšanos atsevišķiem projektiem dabas aizsardzības un reģionālās attīstības politikas jomā” </dc:title>
  <dc:subject>Informatīvā ziņojuma pielikums</dc:subject>
  <dc:creator>Valdimārts Šļaukstiņš</dc:creator>
  <cp:keywords/>
  <dc:description>67026523valdimarts.slaukstins@varam.gov.lv</dc:description>
  <cp:lastModifiedBy>dagnijad</cp:lastModifiedBy>
  <cp:revision>43</cp:revision>
  <dcterms:created xsi:type="dcterms:W3CDTF">2014-05-23T14:38:00Z</dcterms:created>
  <dcterms:modified xsi:type="dcterms:W3CDTF">2014-07-09T10:50:00Z</dcterms:modified>
</cp:coreProperties>
</file>