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4A" w:rsidRDefault="00E1594A" w:rsidP="002768C5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2768C5" w:rsidRPr="00E1594A" w:rsidRDefault="002768C5" w:rsidP="002768C5">
      <w:pPr>
        <w:tabs>
          <w:tab w:val="left" w:pos="6663"/>
        </w:tabs>
        <w:rPr>
          <w:color w:val="000000" w:themeColor="text1"/>
          <w:sz w:val="28"/>
          <w:szCs w:val="28"/>
        </w:rPr>
      </w:pPr>
      <w:proofErr w:type="gramStart"/>
      <w:r w:rsidRPr="00E1594A">
        <w:rPr>
          <w:color w:val="000000" w:themeColor="text1"/>
          <w:sz w:val="28"/>
          <w:szCs w:val="28"/>
        </w:rPr>
        <w:t>201</w:t>
      </w:r>
      <w:r w:rsidR="00E1594A" w:rsidRPr="00E1594A">
        <w:rPr>
          <w:color w:val="000000" w:themeColor="text1"/>
          <w:sz w:val="28"/>
          <w:szCs w:val="28"/>
        </w:rPr>
        <w:t>4</w:t>
      </w:r>
      <w:r w:rsidRPr="00E1594A">
        <w:rPr>
          <w:color w:val="000000" w:themeColor="text1"/>
          <w:sz w:val="28"/>
          <w:szCs w:val="28"/>
        </w:rPr>
        <w:t>.gada</w:t>
      </w:r>
      <w:proofErr w:type="gramEnd"/>
      <w:r w:rsidRPr="00E1594A">
        <w:rPr>
          <w:color w:val="000000" w:themeColor="text1"/>
          <w:sz w:val="28"/>
          <w:szCs w:val="28"/>
        </w:rPr>
        <w:t xml:space="preserve">            </w:t>
      </w:r>
      <w:r w:rsidRPr="00E1594A">
        <w:rPr>
          <w:color w:val="000000" w:themeColor="text1"/>
          <w:sz w:val="28"/>
          <w:szCs w:val="28"/>
        </w:rPr>
        <w:tab/>
        <w:t>Rīkojums Nr.</w:t>
      </w:r>
    </w:p>
    <w:p w:rsidR="002768C5" w:rsidRPr="00E1594A" w:rsidRDefault="002768C5" w:rsidP="002768C5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>Rīgā</w:t>
      </w:r>
      <w:r w:rsidRPr="00E1594A">
        <w:rPr>
          <w:color w:val="000000" w:themeColor="text1"/>
          <w:sz w:val="28"/>
          <w:szCs w:val="28"/>
        </w:rPr>
        <w:tab/>
        <w:t>(prot. Nr.</w:t>
      </w:r>
      <w:proofErr w:type="gramStart"/>
      <w:r w:rsidRPr="00E1594A">
        <w:rPr>
          <w:color w:val="000000" w:themeColor="text1"/>
          <w:sz w:val="28"/>
          <w:szCs w:val="28"/>
        </w:rPr>
        <w:t xml:space="preserve">               .</w:t>
      </w:r>
      <w:proofErr w:type="gramEnd"/>
      <w:r w:rsidRPr="00E1594A">
        <w:rPr>
          <w:color w:val="000000" w:themeColor="text1"/>
          <w:sz w:val="28"/>
          <w:szCs w:val="28"/>
        </w:rPr>
        <w:t>§)</w:t>
      </w:r>
    </w:p>
    <w:p w:rsidR="00C054C7" w:rsidRDefault="00C054C7" w:rsidP="002768C5">
      <w:pPr>
        <w:jc w:val="center"/>
        <w:rPr>
          <w:b/>
          <w:color w:val="000000" w:themeColor="text1"/>
          <w:sz w:val="29"/>
          <w:szCs w:val="29"/>
        </w:rPr>
      </w:pPr>
    </w:p>
    <w:p w:rsidR="00E1594A" w:rsidRPr="00E1594A" w:rsidRDefault="00E1594A" w:rsidP="002768C5">
      <w:pPr>
        <w:jc w:val="center"/>
        <w:rPr>
          <w:b/>
          <w:color w:val="000000" w:themeColor="text1"/>
          <w:sz w:val="29"/>
          <w:szCs w:val="29"/>
        </w:rPr>
      </w:pPr>
    </w:p>
    <w:p w:rsidR="0091439E" w:rsidRPr="00E1594A" w:rsidRDefault="000A6DC3" w:rsidP="002768C5">
      <w:pPr>
        <w:jc w:val="center"/>
        <w:rPr>
          <w:b/>
          <w:color w:val="000000" w:themeColor="text1"/>
          <w:sz w:val="28"/>
          <w:szCs w:val="28"/>
        </w:rPr>
      </w:pPr>
      <w:r w:rsidRPr="00E1594A">
        <w:rPr>
          <w:b/>
          <w:color w:val="000000" w:themeColor="text1"/>
          <w:sz w:val="28"/>
          <w:szCs w:val="28"/>
        </w:rPr>
        <w:t>Grozījum</w:t>
      </w:r>
      <w:r w:rsidR="00B40B4F" w:rsidRPr="00E1594A">
        <w:rPr>
          <w:b/>
          <w:color w:val="000000" w:themeColor="text1"/>
          <w:sz w:val="28"/>
          <w:szCs w:val="28"/>
        </w:rPr>
        <w:t>s</w:t>
      </w:r>
      <w:r w:rsidRPr="00E1594A">
        <w:rPr>
          <w:b/>
          <w:color w:val="000000" w:themeColor="text1"/>
          <w:sz w:val="28"/>
          <w:szCs w:val="28"/>
        </w:rPr>
        <w:t xml:space="preserve"> darbības programmas </w:t>
      </w:r>
      <w:r w:rsidR="00E1594A">
        <w:rPr>
          <w:b/>
          <w:color w:val="000000" w:themeColor="text1"/>
          <w:sz w:val="28"/>
          <w:szCs w:val="28"/>
        </w:rPr>
        <w:t>„</w:t>
      </w:r>
      <w:r w:rsidRPr="00E1594A">
        <w:rPr>
          <w:b/>
          <w:color w:val="000000" w:themeColor="text1"/>
          <w:sz w:val="28"/>
          <w:szCs w:val="28"/>
        </w:rPr>
        <w:t>Infrastruktūra un pakalpojumi</w:t>
      </w:r>
      <w:r w:rsidR="00E1594A">
        <w:rPr>
          <w:b/>
          <w:color w:val="000000" w:themeColor="text1"/>
          <w:sz w:val="28"/>
          <w:szCs w:val="28"/>
        </w:rPr>
        <w:t xml:space="preserve">” </w:t>
      </w:r>
      <w:r w:rsidRPr="00E1594A">
        <w:rPr>
          <w:b/>
          <w:color w:val="000000" w:themeColor="text1"/>
          <w:sz w:val="28"/>
          <w:szCs w:val="28"/>
        </w:rPr>
        <w:t>papildinājumā</w:t>
      </w:r>
    </w:p>
    <w:p w:rsidR="0091439E" w:rsidRPr="00E1594A" w:rsidRDefault="0091439E" w:rsidP="002768C5">
      <w:pPr>
        <w:jc w:val="center"/>
        <w:rPr>
          <w:b/>
          <w:color w:val="000000" w:themeColor="text1"/>
          <w:sz w:val="29"/>
          <w:szCs w:val="29"/>
        </w:rPr>
      </w:pPr>
    </w:p>
    <w:p w:rsidR="004A197A" w:rsidRPr="00E1594A" w:rsidRDefault="00B40B4F" w:rsidP="00E1594A">
      <w:pPr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 xml:space="preserve">Izdarīt darbības programmas </w:t>
      </w:r>
      <w:r w:rsidR="0071189F" w:rsidRPr="00E1594A">
        <w:rPr>
          <w:color w:val="000000" w:themeColor="text1"/>
          <w:sz w:val="28"/>
          <w:szCs w:val="28"/>
        </w:rPr>
        <w:t>„</w:t>
      </w:r>
      <w:r w:rsidRPr="00E1594A">
        <w:rPr>
          <w:color w:val="000000" w:themeColor="text1"/>
          <w:sz w:val="28"/>
          <w:szCs w:val="28"/>
        </w:rPr>
        <w:t>Infrastruktūra un pakalpojumi</w:t>
      </w:r>
      <w:r w:rsidR="0071189F" w:rsidRPr="00E1594A">
        <w:rPr>
          <w:color w:val="000000" w:themeColor="text1"/>
          <w:sz w:val="28"/>
          <w:szCs w:val="28"/>
        </w:rPr>
        <w:t>”</w:t>
      </w:r>
      <w:r w:rsidRPr="00E1594A">
        <w:rPr>
          <w:color w:val="000000" w:themeColor="text1"/>
          <w:sz w:val="28"/>
          <w:szCs w:val="28"/>
        </w:rPr>
        <w:t xml:space="preserve"> papildinājumā</w:t>
      </w:r>
      <w:r w:rsidR="004A197A" w:rsidRPr="00E1594A">
        <w:rPr>
          <w:color w:val="000000" w:themeColor="text1"/>
          <w:sz w:val="28"/>
          <w:szCs w:val="28"/>
        </w:rPr>
        <w:t xml:space="preserve"> </w:t>
      </w:r>
      <w:r w:rsidRPr="00E1594A">
        <w:rPr>
          <w:color w:val="000000" w:themeColor="text1"/>
          <w:sz w:val="28"/>
          <w:szCs w:val="28"/>
        </w:rPr>
        <w:t xml:space="preserve">(apstiprināts ar Ministru kabineta </w:t>
      </w:r>
      <w:proofErr w:type="gramStart"/>
      <w:r w:rsidRPr="00E1594A">
        <w:rPr>
          <w:color w:val="000000" w:themeColor="text1"/>
          <w:sz w:val="28"/>
          <w:szCs w:val="28"/>
        </w:rPr>
        <w:t>2008.gada</w:t>
      </w:r>
      <w:proofErr w:type="gramEnd"/>
      <w:r w:rsidRPr="00E1594A">
        <w:rPr>
          <w:color w:val="000000" w:themeColor="text1"/>
          <w:sz w:val="28"/>
          <w:szCs w:val="28"/>
        </w:rPr>
        <w:t xml:space="preserve"> 29.aprīļa rīkojumu Nr.236 </w:t>
      </w:r>
      <w:r w:rsidR="0071189F" w:rsidRPr="00E1594A">
        <w:rPr>
          <w:color w:val="000000" w:themeColor="text1"/>
          <w:sz w:val="28"/>
          <w:szCs w:val="28"/>
        </w:rPr>
        <w:t>„</w:t>
      </w:r>
      <w:r w:rsidRPr="00E1594A">
        <w:rPr>
          <w:color w:val="000000" w:themeColor="text1"/>
          <w:sz w:val="28"/>
          <w:szCs w:val="28"/>
        </w:rPr>
        <w:t xml:space="preserve">Par darbības programmas </w:t>
      </w:r>
      <w:r w:rsidR="0071189F" w:rsidRPr="00E1594A">
        <w:rPr>
          <w:color w:val="000000" w:themeColor="text1"/>
          <w:sz w:val="28"/>
          <w:szCs w:val="28"/>
        </w:rPr>
        <w:t>„</w:t>
      </w:r>
      <w:r w:rsidRPr="00E1594A">
        <w:rPr>
          <w:color w:val="000000" w:themeColor="text1"/>
          <w:sz w:val="28"/>
          <w:szCs w:val="28"/>
        </w:rPr>
        <w:t>Infrastruktūra un pakalpojumi</w:t>
      </w:r>
      <w:r w:rsidR="0071189F" w:rsidRPr="00E1594A">
        <w:rPr>
          <w:color w:val="000000" w:themeColor="text1"/>
          <w:sz w:val="28"/>
          <w:szCs w:val="28"/>
        </w:rPr>
        <w:t>”</w:t>
      </w:r>
      <w:r w:rsidRPr="00E1594A">
        <w:rPr>
          <w:color w:val="000000" w:themeColor="text1"/>
          <w:sz w:val="28"/>
          <w:szCs w:val="28"/>
        </w:rPr>
        <w:t xml:space="preserve"> papildinājum</w:t>
      </w:r>
      <w:r w:rsidR="00477425" w:rsidRPr="00E1594A">
        <w:rPr>
          <w:color w:val="000000" w:themeColor="text1"/>
          <w:sz w:val="28"/>
          <w:szCs w:val="28"/>
        </w:rPr>
        <w:t>ā</w:t>
      </w:r>
      <w:r w:rsidRPr="00E1594A">
        <w:rPr>
          <w:color w:val="000000" w:themeColor="text1"/>
          <w:sz w:val="28"/>
          <w:szCs w:val="28"/>
        </w:rPr>
        <w:t xml:space="preserve"> apstiprināšanu</w:t>
      </w:r>
      <w:r w:rsidR="0071189F" w:rsidRPr="00E1594A">
        <w:rPr>
          <w:color w:val="000000" w:themeColor="text1"/>
          <w:sz w:val="28"/>
          <w:szCs w:val="28"/>
        </w:rPr>
        <w:t>”</w:t>
      </w:r>
      <w:r w:rsidRPr="00E1594A">
        <w:rPr>
          <w:color w:val="000000" w:themeColor="text1"/>
          <w:sz w:val="28"/>
          <w:szCs w:val="28"/>
        </w:rPr>
        <w:t xml:space="preserve">) </w:t>
      </w:r>
      <w:r w:rsidR="004A197A" w:rsidRPr="00E1594A">
        <w:rPr>
          <w:color w:val="000000" w:themeColor="text1"/>
          <w:sz w:val="28"/>
          <w:szCs w:val="28"/>
        </w:rPr>
        <w:t>šādu grozījumu</w:t>
      </w:r>
      <w:r w:rsidR="00E1594A" w:rsidRPr="00E1594A">
        <w:rPr>
          <w:color w:val="000000" w:themeColor="text1"/>
          <w:sz w:val="28"/>
          <w:szCs w:val="28"/>
        </w:rPr>
        <w:t xml:space="preserve"> un izteikt </w:t>
      </w:r>
      <w:r w:rsidR="004A197A" w:rsidRPr="00E1594A">
        <w:rPr>
          <w:color w:val="000000" w:themeColor="text1"/>
          <w:sz w:val="28"/>
          <w:szCs w:val="28"/>
        </w:rPr>
        <w:t>3.</w:t>
      </w:r>
      <w:r w:rsidR="00477425" w:rsidRPr="00E1594A">
        <w:rPr>
          <w:color w:val="000000" w:themeColor="text1"/>
          <w:sz w:val="28"/>
          <w:szCs w:val="28"/>
        </w:rPr>
        <w:t>5</w:t>
      </w:r>
      <w:r w:rsidR="004A197A" w:rsidRPr="00E1594A">
        <w:rPr>
          <w:color w:val="000000" w:themeColor="text1"/>
          <w:sz w:val="28"/>
          <w:szCs w:val="28"/>
        </w:rPr>
        <w:t xml:space="preserve">.prioritātes </w:t>
      </w:r>
      <w:r w:rsidR="003F6887" w:rsidRPr="00E1594A">
        <w:rPr>
          <w:color w:val="000000" w:themeColor="text1"/>
          <w:sz w:val="28"/>
          <w:szCs w:val="28"/>
        </w:rPr>
        <w:t>„</w:t>
      </w:r>
      <w:r w:rsidR="00477425" w:rsidRPr="00E1594A">
        <w:rPr>
          <w:color w:val="000000" w:themeColor="text1"/>
          <w:sz w:val="28"/>
          <w:szCs w:val="28"/>
        </w:rPr>
        <w:t>Vides infrastruktūras un videi draudzīgas enerģētikas veicināšana” 3.5.1.</w:t>
      </w:r>
      <w:r w:rsidR="00E1594A" w:rsidRPr="00E1594A">
        <w:rPr>
          <w:color w:val="000000" w:themeColor="text1"/>
          <w:sz w:val="28"/>
          <w:szCs w:val="28"/>
        </w:rPr>
        <w:t>pasākuma</w:t>
      </w:r>
      <w:r w:rsidR="00477425" w:rsidRPr="00E1594A">
        <w:rPr>
          <w:color w:val="000000" w:themeColor="text1"/>
          <w:sz w:val="28"/>
          <w:szCs w:val="28"/>
        </w:rPr>
        <w:t xml:space="preserve"> </w:t>
      </w:r>
      <w:r w:rsidR="00E1594A" w:rsidRPr="00E1594A">
        <w:rPr>
          <w:color w:val="000000" w:themeColor="text1"/>
          <w:sz w:val="28"/>
          <w:szCs w:val="28"/>
        </w:rPr>
        <w:t>„</w:t>
      </w:r>
      <w:r w:rsidR="00477425" w:rsidRPr="00E1594A">
        <w:rPr>
          <w:color w:val="000000" w:themeColor="text1"/>
          <w:sz w:val="28"/>
          <w:szCs w:val="28"/>
        </w:rPr>
        <w:t>Vides aizsardzības infrastruktūra</w:t>
      </w:r>
      <w:r w:rsidR="00E1594A" w:rsidRPr="00E1594A">
        <w:rPr>
          <w:color w:val="000000" w:themeColor="text1"/>
          <w:sz w:val="28"/>
          <w:szCs w:val="28"/>
        </w:rPr>
        <w:t>”</w:t>
      </w:r>
      <w:r w:rsidR="004A197A" w:rsidRPr="00E1594A">
        <w:rPr>
          <w:color w:val="000000" w:themeColor="text1"/>
          <w:sz w:val="28"/>
          <w:szCs w:val="28"/>
        </w:rPr>
        <w:t xml:space="preserve"> </w:t>
      </w:r>
      <w:r w:rsidR="003F6887" w:rsidRPr="00E1594A">
        <w:rPr>
          <w:color w:val="000000" w:themeColor="text1"/>
          <w:sz w:val="28"/>
          <w:szCs w:val="28"/>
        </w:rPr>
        <w:t xml:space="preserve">tabulu „Finanšu plāns” </w:t>
      </w:r>
      <w:r w:rsidR="004A197A" w:rsidRPr="00E1594A">
        <w:rPr>
          <w:color w:val="000000" w:themeColor="text1"/>
          <w:sz w:val="28"/>
          <w:szCs w:val="28"/>
        </w:rPr>
        <w:t>šādā redakcijā:</w:t>
      </w:r>
    </w:p>
    <w:p w:rsidR="002C26DC" w:rsidRPr="00E1594A" w:rsidRDefault="00477425" w:rsidP="00E1594A">
      <w:pPr>
        <w:pStyle w:val="EE-normls"/>
      </w:pPr>
      <w:r w:rsidRPr="00E1594A">
        <w:t>“</w:t>
      </w:r>
      <w:r w:rsidR="002C26DC" w:rsidRPr="00E1594A">
        <w:t>Finanšu plāns</w:t>
      </w:r>
    </w:p>
    <w:tbl>
      <w:tblPr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418"/>
        <w:gridCol w:w="1417"/>
        <w:gridCol w:w="1361"/>
        <w:gridCol w:w="1301"/>
      </w:tblGrid>
      <w:tr w:rsidR="00E1594A" w:rsidRPr="00E1594A" w:rsidTr="00E1594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Nr.</w:t>
            </w:r>
          </w:p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p.k.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Investīciju joma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Kopā,</w:t>
            </w:r>
          </w:p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Publiskais finansējums,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KF,</w:t>
            </w:r>
          </w:p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Nacionālais publiskais finansējums, EUR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color w:val="000000" w:themeColor="text1"/>
                <w:sz w:val="20"/>
                <w:szCs w:val="20"/>
              </w:rPr>
              <w:t>Privātais finansējums,</w:t>
            </w:r>
            <w:proofErr w:type="gramStart"/>
            <w:r w:rsidRPr="00E1594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E1594A">
              <w:rPr>
                <w:b/>
                <w:color w:val="000000" w:themeColor="text1"/>
                <w:sz w:val="20"/>
                <w:szCs w:val="20"/>
              </w:rPr>
              <w:t>EUR</w:t>
            </w:r>
          </w:p>
        </w:tc>
      </w:tr>
      <w:tr w:rsidR="00E1594A" w:rsidRPr="00E1594A" w:rsidTr="00E1594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DC" w:rsidRPr="00E1594A" w:rsidRDefault="002C26DC">
            <w:pPr>
              <w:spacing w:before="20" w:after="20"/>
              <w:ind w:left="-36" w:firstLine="36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6DC" w:rsidRPr="00E1594A" w:rsidRDefault="002C26DC">
            <w:pPr>
              <w:spacing w:before="20" w:after="20"/>
              <w:ind w:left="-36" w:firstLine="36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spacing w:before="20" w:after="20"/>
              <w:ind w:left="-36" w:firstLine="3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1=2+5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spacing w:before="20" w:after="20"/>
              <w:ind w:left="-36" w:firstLine="3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2=3+4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spacing w:before="20" w:after="20"/>
              <w:ind w:left="-36" w:firstLine="3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spacing w:before="20" w:after="20"/>
              <w:ind w:left="-36" w:firstLine="3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6DC" w:rsidRPr="00E1594A" w:rsidRDefault="002C26DC">
            <w:pPr>
              <w:spacing w:before="20" w:after="20"/>
              <w:ind w:left="-36" w:firstLine="36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E1594A" w:rsidRPr="00E1594A" w:rsidTr="00184A8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04" w:rsidRPr="00E1594A" w:rsidRDefault="00D2460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/>
                <w:bCs/>
                <w:color w:val="000000" w:themeColor="text1"/>
                <w:sz w:val="20"/>
                <w:szCs w:val="20"/>
              </w:rPr>
              <w:t>3.5.1. Vides aizsardzības infrastruktūra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604" w:rsidRPr="00E1594A" w:rsidRDefault="00184A8C" w:rsidP="00147D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672 843 986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604" w:rsidRPr="00E1594A" w:rsidRDefault="00184A8C" w:rsidP="00147D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589 468 734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556 571 552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32 897 182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83 375 252</w:t>
            </w:r>
          </w:p>
        </w:tc>
      </w:tr>
      <w:tr w:rsidR="00E1594A" w:rsidRPr="00E1594A" w:rsidTr="00184A8C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3.5.1.1. Ūdenssaimniecības infrastruktūras attīstība aglomerācijās ar cilvēku ekvivalentu lielāku par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505 683 472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468 117 465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444 913 304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23 204 161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37 566 007</w:t>
            </w:r>
          </w:p>
        </w:tc>
      </w:tr>
      <w:tr w:rsidR="00E1594A" w:rsidRPr="00E1594A" w:rsidTr="00184A8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3.5.1.2. Reģionālu atkritumu apsaimniekošanas sistēmu attīstība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604" w:rsidRPr="00E1594A" w:rsidRDefault="00184A8C" w:rsidP="00DC4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148 815 623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DC4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103 006 378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DC4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94 362 478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8 643 900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DC4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45 809 245</w:t>
            </w:r>
          </w:p>
        </w:tc>
      </w:tr>
      <w:tr w:rsidR="00E1594A" w:rsidRPr="00E1594A" w:rsidTr="00184A8C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E9" w:rsidRPr="00E1594A" w:rsidRDefault="00A33CE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CE9" w:rsidRPr="00E1594A" w:rsidRDefault="00A33CE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3.5.1.2.1. Normatīvo aktu prasībām neatbilstošo izgāztuvju rekultivācija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CE9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24 419 824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24 419 824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15 775 924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8 643 900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1594A" w:rsidRPr="00E1594A" w:rsidTr="00184A8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E9" w:rsidRPr="00E1594A" w:rsidRDefault="00A33CE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CE9" w:rsidRPr="00E1594A" w:rsidRDefault="00A33CE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3.5.1.2.2. Reģionālu atkritumu apsaimniekošanas sistēmu attīstība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CE9" w:rsidRPr="00E1594A" w:rsidRDefault="00A33CE9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1594A">
              <w:rPr>
                <w:bCs/>
                <w:color w:val="000000" w:themeColor="text1"/>
                <w:sz w:val="22"/>
                <w:szCs w:val="22"/>
              </w:rPr>
              <w:t>46 867 925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39 822 617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39 822 617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CE9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7 045 308</w:t>
            </w:r>
          </w:p>
        </w:tc>
      </w:tr>
      <w:tr w:rsidR="00E1594A" w:rsidRPr="00E1594A" w:rsidTr="00184A8C">
        <w:trPr>
          <w:trHeight w:val="7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3.5.1.2.3. Dalītās atkritumu apsaimniekošanas sistēmu attīstība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604" w:rsidRPr="00E1594A" w:rsidRDefault="00184A8C" w:rsidP="000A2C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77 527 874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0A2C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38 763 937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38 763 937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38 763 937</w:t>
            </w:r>
          </w:p>
        </w:tc>
      </w:tr>
      <w:tr w:rsidR="00E1594A" w:rsidRPr="00E1594A" w:rsidTr="00184A8C"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  <w:lang w:val="en-US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04" w:rsidRPr="00E1594A" w:rsidRDefault="00D2460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 xml:space="preserve">3.5.1.3. Infrastruktūras izveide </w:t>
            </w:r>
            <w:proofErr w:type="spellStart"/>
            <w:r w:rsidRPr="00E1594A">
              <w:rPr>
                <w:bCs/>
                <w:color w:val="000000" w:themeColor="text1"/>
                <w:sz w:val="20"/>
                <w:szCs w:val="20"/>
              </w:rPr>
              <w:t>Natura</w:t>
            </w:r>
            <w:proofErr w:type="spellEnd"/>
            <w:r w:rsidRPr="00E1594A">
              <w:rPr>
                <w:bCs/>
                <w:color w:val="000000" w:themeColor="text1"/>
                <w:sz w:val="20"/>
                <w:szCs w:val="20"/>
              </w:rPr>
              <w:t xml:space="preserve"> 2000 teritorijās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604" w:rsidRPr="00E1594A" w:rsidRDefault="00184A8C" w:rsidP="00DC45F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7 881 194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DC45F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7 881 194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DC45F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7 881 194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604" w:rsidRPr="00E1594A" w:rsidRDefault="00184A8C" w:rsidP="00147D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1594A" w:rsidRPr="00E1594A" w:rsidTr="00184A8C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6" w:rsidRPr="00E1594A" w:rsidRDefault="006D69F6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6" w:rsidRPr="00E1594A" w:rsidRDefault="006D69F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1594A">
              <w:rPr>
                <w:bCs/>
                <w:color w:val="000000" w:themeColor="text1"/>
                <w:sz w:val="20"/>
                <w:szCs w:val="20"/>
              </w:rPr>
              <w:t>3.5.1.4. Vides monitoringa un kontroles sistēmas attīstība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9F6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10 463 697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9F6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10 463 697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9F6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9 414 576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9F6" w:rsidRPr="00E1594A" w:rsidRDefault="00184A8C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1 049 121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9F6" w:rsidRPr="00E1594A" w:rsidRDefault="006D69F6" w:rsidP="00147D2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1594A">
              <w:rPr>
                <w:color w:val="000000" w:themeColor="text1"/>
                <w:sz w:val="22"/>
                <w:szCs w:val="22"/>
                <w:lang w:val="en-US"/>
              </w:rPr>
              <w:t>0”</w:t>
            </w:r>
          </w:p>
        </w:tc>
      </w:tr>
    </w:tbl>
    <w:p w:rsidR="00A21245" w:rsidRPr="00E1594A" w:rsidRDefault="00A21245" w:rsidP="00A21245">
      <w:pPr>
        <w:jc w:val="both"/>
        <w:rPr>
          <w:color w:val="000000" w:themeColor="text1"/>
          <w:sz w:val="22"/>
          <w:szCs w:val="22"/>
          <w:lang w:val="en-US" w:eastAsia="en-US"/>
        </w:rPr>
      </w:pPr>
    </w:p>
    <w:p w:rsidR="004A197A" w:rsidRPr="00E1594A" w:rsidRDefault="004A197A" w:rsidP="00932DFF">
      <w:pPr>
        <w:pStyle w:val="H2"/>
        <w:numPr>
          <w:ilvl w:val="0"/>
          <w:numId w:val="0"/>
        </w:numPr>
        <w:ind w:left="644" w:hanging="360"/>
        <w:rPr>
          <w:color w:val="000000" w:themeColor="text1"/>
        </w:rPr>
      </w:pPr>
    </w:p>
    <w:p w:rsidR="003E2BE5" w:rsidRPr="00E1594A" w:rsidRDefault="003E2BE5" w:rsidP="004A197A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4A197A" w:rsidRPr="00E1594A" w:rsidRDefault="00E1594A" w:rsidP="004A197A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>Ministru prezidente</w:t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proofErr w:type="gramStart"/>
      <w:r w:rsidRPr="00E1594A">
        <w:rPr>
          <w:color w:val="000000" w:themeColor="text1"/>
          <w:sz w:val="28"/>
          <w:szCs w:val="28"/>
        </w:rPr>
        <w:t xml:space="preserve">      </w:t>
      </w:r>
      <w:proofErr w:type="gramEnd"/>
      <w:r w:rsidRPr="00E1594A">
        <w:rPr>
          <w:color w:val="000000" w:themeColor="text1"/>
          <w:sz w:val="28"/>
          <w:szCs w:val="28"/>
        </w:rPr>
        <w:t>L.Straujuma</w:t>
      </w:r>
    </w:p>
    <w:p w:rsidR="004A197A" w:rsidRPr="00E1594A" w:rsidRDefault="004A197A" w:rsidP="004A197A">
      <w:pPr>
        <w:tabs>
          <w:tab w:val="left" w:pos="6315"/>
        </w:tabs>
        <w:jc w:val="both"/>
        <w:rPr>
          <w:color w:val="000000" w:themeColor="text1"/>
          <w:sz w:val="28"/>
          <w:szCs w:val="28"/>
        </w:rPr>
      </w:pPr>
    </w:p>
    <w:p w:rsidR="004A197A" w:rsidRPr="00E1594A" w:rsidRDefault="004A197A" w:rsidP="004A197A">
      <w:pPr>
        <w:tabs>
          <w:tab w:val="left" w:pos="6315"/>
        </w:tabs>
        <w:jc w:val="both"/>
        <w:rPr>
          <w:color w:val="000000" w:themeColor="text1"/>
          <w:sz w:val="28"/>
          <w:szCs w:val="28"/>
        </w:rPr>
      </w:pPr>
    </w:p>
    <w:p w:rsidR="00E1594A" w:rsidRPr="00E1594A" w:rsidRDefault="004A197A" w:rsidP="004A197A">
      <w:pPr>
        <w:tabs>
          <w:tab w:val="left" w:pos="6315"/>
        </w:tabs>
        <w:jc w:val="both"/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>V</w:t>
      </w:r>
      <w:r w:rsidR="007F7FA2">
        <w:rPr>
          <w:color w:val="000000" w:themeColor="text1"/>
          <w:sz w:val="28"/>
          <w:szCs w:val="28"/>
        </w:rPr>
        <w:t>ides aizsardzības un reģionālās</w:t>
      </w:r>
    </w:p>
    <w:p w:rsidR="004A197A" w:rsidRPr="00E1594A" w:rsidRDefault="005167D1" w:rsidP="004A197A">
      <w:pPr>
        <w:tabs>
          <w:tab w:val="left" w:pos="631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attīstības ministrs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gramStart"/>
      <w:r w:rsidR="008D5400">
        <w:rPr>
          <w:color w:val="000000" w:themeColor="text1"/>
          <w:sz w:val="28"/>
          <w:szCs w:val="28"/>
        </w:rPr>
        <w:t xml:space="preserve">       </w:t>
      </w:r>
      <w:proofErr w:type="gramEnd"/>
      <w:r w:rsidR="008D5400">
        <w:rPr>
          <w:color w:val="000000" w:themeColor="text1"/>
          <w:sz w:val="28"/>
          <w:szCs w:val="28"/>
        </w:rPr>
        <w:t>K. Gerhards</w:t>
      </w:r>
    </w:p>
    <w:p w:rsidR="004A197A" w:rsidRPr="00E1594A" w:rsidRDefault="004A197A" w:rsidP="004A197A">
      <w:pPr>
        <w:pStyle w:val="BodyTextIndent"/>
        <w:tabs>
          <w:tab w:val="num" w:pos="1090"/>
        </w:tabs>
        <w:spacing w:after="0"/>
        <w:ind w:left="0"/>
        <w:rPr>
          <w:color w:val="000000" w:themeColor="text1"/>
          <w:sz w:val="28"/>
          <w:szCs w:val="28"/>
        </w:rPr>
      </w:pPr>
    </w:p>
    <w:p w:rsidR="004A197A" w:rsidRPr="00E1594A" w:rsidRDefault="004A197A" w:rsidP="004A197A">
      <w:pPr>
        <w:pStyle w:val="BodyTextIndent"/>
        <w:tabs>
          <w:tab w:val="num" w:pos="1090"/>
        </w:tabs>
        <w:spacing w:after="0"/>
        <w:ind w:left="0"/>
        <w:rPr>
          <w:color w:val="000000" w:themeColor="text1"/>
          <w:sz w:val="28"/>
          <w:szCs w:val="28"/>
        </w:rPr>
      </w:pPr>
    </w:p>
    <w:p w:rsidR="004A197A" w:rsidRPr="00E1594A" w:rsidRDefault="004A197A" w:rsidP="004A197A">
      <w:pPr>
        <w:pStyle w:val="BodyTextIndent"/>
        <w:tabs>
          <w:tab w:val="num" w:pos="1090"/>
        </w:tabs>
        <w:spacing w:after="0"/>
        <w:ind w:left="0"/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 xml:space="preserve">Iesniedzējs: </w:t>
      </w:r>
    </w:p>
    <w:p w:rsidR="00E1594A" w:rsidRPr="00E1594A" w:rsidRDefault="004A197A" w:rsidP="004A197A">
      <w:pPr>
        <w:tabs>
          <w:tab w:val="left" w:pos="6315"/>
        </w:tabs>
        <w:jc w:val="both"/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 xml:space="preserve">Vides aizsardzības un reģionālās </w:t>
      </w:r>
    </w:p>
    <w:p w:rsidR="004A197A" w:rsidRPr="00E1594A" w:rsidRDefault="008D5400" w:rsidP="004A197A">
      <w:pPr>
        <w:tabs>
          <w:tab w:val="left" w:pos="631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attīstības </w:t>
      </w:r>
      <w:r w:rsidR="005167D1">
        <w:rPr>
          <w:color w:val="000000" w:themeColor="text1"/>
          <w:sz w:val="28"/>
          <w:szCs w:val="28"/>
        </w:rPr>
        <w:t>ministrs</w:t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r w:rsidR="004A197A" w:rsidRPr="00E1594A">
        <w:rPr>
          <w:color w:val="000000" w:themeColor="text1"/>
          <w:sz w:val="28"/>
          <w:szCs w:val="28"/>
        </w:rPr>
        <w:tab/>
      </w:r>
      <w:proofErr w:type="gramStart"/>
      <w:r w:rsidR="005167D1">
        <w:rPr>
          <w:color w:val="000000" w:themeColor="text1"/>
          <w:sz w:val="28"/>
          <w:szCs w:val="28"/>
        </w:rPr>
        <w:t xml:space="preserve">       </w:t>
      </w:r>
      <w:proofErr w:type="gramEnd"/>
      <w:r>
        <w:rPr>
          <w:color w:val="000000" w:themeColor="text1"/>
          <w:sz w:val="28"/>
          <w:szCs w:val="28"/>
        </w:rPr>
        <w:t>K. Gerhards</w:t>
      </w:r>
    </w:p>
    <w:p w:rsidR="004A197A" w:rsidRPr="00E1594A" w:rsidRDefault="004A197A" w:rsidP="004A197A">
      <w:pPr>
        <w:jc w:val="both"/>
        <w:rPr>
          <w:color w:val="000000" w:themeColor="text1"/>
          <w:sz w:val="28"/>
          <w:szCs w:val="28"/>
        </w:rPr>
      </w:pPr>
    </w:p>
    <w:p w:rsidR="004A197A" w:rsidRPr="00E1594A" w:rsidRDefault="004A197A" w:rsidP="004A197A">
      <w:pPr>
        <w:jc w:val="both"/>
        <w:rPr>
          <w:color w:val="000000" w:themeColor="text1"/>
          <w:sz w:val="28"/>
          <w:szCs w:val="28"/>
        </w:rPr>
      </w:pPr>
    </w:p>
    <w:p w:rsidR="004A197A" w:rsidRPr="00E1594A" w:rsidRDefault="004A197A" w:rsidP="004A197A">
      <w:pPr>
        <w:jc w:val="both"/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 xml:space="preserve">Vizē: </w:t>
      </w:r>
    </w:p>
    <w:p w:rsidR="004A197A" w:rsidRPr="00E1594A" w:rsidRDefault="00E1594A" w:rsidP="004A197A">
      <w:pPr>
        <w:jc w:val="both"/>
        <w:rPr>
          <w:color w:val="000000" w:themeColor="text1"/>
          <w:sz w:val="28"/>
          <w:szCs w:val="28"/>
        </w:rPr>
      </w:pPr>
      <w:r w:rsidRPr="00E1594A">
        <w:rPr>
          <w:color w:val="000000" w:themeColor="text1"/>
          <w:sz w:val="28"/>
          <w:szCs w:val="28"/>
        </w:rPr>
        <w:t>valsts sekretārs</w:t>
      </w:r>
      <w:r w:rsidR="00B8662D" w:rsidRPr="00E1594A">
        <w:rPr>
          <w:color w:val="000000" w:themeColor="text1"/>
          <w:sz w:val="28"/>
          <w:szCs w:val="28"/>
        </w:rPr>
        <w:t xml:space="preserve"> </w:t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</w:r>
      <w:r w:rsidRPr="00E1594A">
        <w:rPr>
          <w:color w:val="000000" w:themeColor="text1"/>
          <w:sz w:val="28"/>
          <w:szCs w:val="28"/>
        </w:rPr>
        <w:tab/>
        <w:t xml:space="preserve"> G.Puķītis</w:t>
      </w:r>
    </w:p>
    <w:p w:rsidR="004A197A" w:rsidRPr="00E1594A" w:rsidRDefault="004A197A" w:rsidP="004A197A">
      <w:pPr>
        <w:jc w:val="both"/>
        <w:rPr>
          <w:color w:val="000000" w:themeColor="text1"/>
          <w:sz w:val="20"/>
          <w:szCs w:val="20"/>
        </w:rPr>
      </w:pPr>
    </w:p>
    <w:p w:rsidR="004A197A" w:rsidRPr="00E1594A" w:rsidRDefault="004A197A" w:rsidP="004A197A">
      <w:pPr>
        <w:jc w:val="both"/>
        <w:rPr>
          <w:color w:val="000000" w:themeColor="text1"/>
          <w:sz w:val="20"/>
          <w:szCs w:val="20"/>
        </w:rPr>
      </w:pPr>
    </w:p>
    <w:p w:rsidR="004A197A" w:rsidRPr="00E1594A" w:rsidRDefault="004A197A" w:rsidP="004A197A">
      <w:pPr>
        <w:jc w:val="both"/>
        <w:rPr>
          <w:color w:val="000000" w:themeColor="text1"/>
          <w:sz w:val="20"/>
          <w:szCs w:val="20"/>
        </w:rPr>
      </w:pPr>
    </w:p>
    <w:p w:rsidR="005C77C3" w:rsidRPr="00E1594A" w:rsidRDefault="005C77C3" w:rsidP="004A197A">
      <w:pPr>
        <w:jc w:val="both"/>
        <w:rPr>
          <w:color w:val="000000" w:themeColor="text1"/>
          <w:sz w:val="20"/>
          <w:szCs w:val="20"/>
        </w:rPr>
      </w:pPr>
    </w:p>
    <w:p w:rsidR="004A197A" w:rsidRPr="00E1594A" w:rsidRDefault="004A197A" w:rsidP="004A197A">
      <w:pPr>
        <w:jc w:val="both"/>
        <w:rPr>
          <w:color w:val="000000" w:themeColor="text1"/>
          <w:sz w:val="20"/>
          <w:szCs w:val="20"/>
        </w:rPr>
      </w:pPr>
    </w:p>
    <w:p w:rsidR="004A197A" w:rsidRPr="00E1594A" w:rsidRDefault="004A197A" w:rsidP="004A197A">
      <w:pPr>
        <w:jc w:val="both"/>
        <w:rPr>
          <w:color w:val="000000" w:themeColor="text1"/>
          <w:sz w:val="20"/>
          <w:szCs w:val="20"/>
        </w:rPr>
      </w:pPr>
    </w:p>
    <w:p w:rsidR="004A197A" w:rsidRPr="00E1594A" w:rsidRDefault="008D5400" w:rsidP="004A197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15</w:t>
      </w:r>
      <w:r w:rsidR="00FF7F03" w:rsidRPr="00E1594A">
        <w:rPr>
          <w:color w:val="000000" w:themeColor="text1"/>
          <w:sz w:val="20"/>
          <w:szCs w:val="20"/>
        </w:rPr>
        <w:t>.1</w:t>
      </w:r>
      <w:r w:rsidR="007F7FA2">
        <w:rPr>
          <w:color w:val="000000" w:themeColor="text1"/>
          <w:sz w:val="20"/>
          <w:szCs w:val="20"/>
        </w:rPr>
        <w:t>2</w:t>
      </w:r>
      <w:r w:rsidR="00FF7F03" w:rsidRPr="00E1594A">
        <w:rPr>
          <w:color w:val="000000" w:themeColor="text1"/>
          <w:sz w:val="20"/>
          <w:szCs w:val="20"/>
        </w:rPr>
        <w:t>.201</w:t>
      </w:r>
      <w:r w:rsidR="00E1594A" w:rsidRPr="00E1594A">
        <w:rPr>
          <w:color w:val="000000" w:themeColor="text1"/>
          <w:sz w:val="20"/>
          <w:szCs w:val="20"/>
        </w:rPr>
        <w:t>4</w:t>
      </w:r>
      <w:r w:rsidR="00FF7F03" w:rsidRPr="00E1594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10</w:t>
      </w:r>
      <w:r w:rsidR="004A197A" w:rsidRPr="00E1594A"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>00</w:t>
      </w:r>
    </w:p>
    <w:p w:rsidR="004A197A" w:rsidRPr="00E1594A" w:rsidRDefault="008D5400" w:rsidP="004A197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291</w:t>
      </w:r>
    </w:p>
    <w:p w:rsidR="004A197A" w:rsidRPr="00E1594A" w:rsidRDefault="00E1594A" w:rsidP="004A197A">
      <w:pPr>
        <w:jc w:val="both"/>
        <w:rPr>
          <w:color w:val="000000" w:themeColor="text1"/>
          <w:sz w:val="20"/>
          <w:szCs w:val="20"/>
        </w:rPr>
      </w:pPr>
      <w:r w:rsidRPr="00E1594A">
        <w:rPr>
          <w:color w:val="000000" w:themeColor="text1"/>
          <w:sz w:val="20"/>
          <w:szCs w:val="20"/>
        </w:rPr>
        <w:t>A.Auziņa</w:t>
      </w:r>
    </w:p>
    <w:p w:rsidR="00E1594A" w:rsidRPr="00E1594A" w:rsidRDefault="00E1594A" w:rsidP="004A197A">
      <w:pPr>
        <w:jc w:val="both"/>
        <w:rPr>
          <w:color w:val="000000" w:themeColor="text1"/>
          <w:sz w:val="20"/>
          <w:szCs w:val="20"/>
        </w:rPr>
      </w:pPr>
      <w:r w:rsidRPr="00E1594A">
        <w:rPr>
          <w:color w:val="000000" w:themeColor="text1"/>
          <w:sz w:val="20"/>
          <w:szCs w:val="20"/>
        </w:rPr>
        <w:t>VARAM Investīciju politikas departamenta</w:t>
      </w:r>
    </w:p>
    <w:p w:rsidR="00E1594A" w:rsidRPr="00E1594A" w:rsidRDefault="00E1594A" w:rsidP="004A197A">
      <w:pPr>
        <w:jc w:val="both"/>
        <w:rPr>
          <w:color w:val="000000" w:themeColor="text1"/>
          <w:sz w:val="20"/>
          <w:szCs w:val="20"/>
        </w:rPr>
      </w:pPr>
      <w:r w:rsidRPr="00E1594A">
        <w:rPr>
          <w:color w:val="000000" w:themeColor="text1"/>
          <w:sz w:val="20"/>
          <w:szCs w:val="20"/>
        </w:rPr>
        <w:t>Programmu vadības nodaļas vecākā eksperte</w:t>
      </w:r>
    </w:p>
    <w:p w:rsidR="00E1594A" w:rsidRPr="00E1594A" w:rsidRDefault="00E1594A" w:rsidP="004A197A">
      <w:pPr>
        <w:jc w:val="both"/>
        <w:rPr>
          <w:color w:val="000000" w:themeColor="text1"/>
          <w:sz w:val="20"/>
          <w:szCs w:val="20"/>
        </w:rPr>
      </w:pPr>
      <w:r w:rsidRPr="00E1594A">
        <w:rPr>
          <w:color w:val="000000" w:themeColor="text1"/>
          <w:sz w:val="20"/>
          <w:szCs w:val="20"/>
        </w:rPr>
        <w:t>66016701, austra.a</w:t>
      </w:r>
      <w:bookmarkStart w:id="0" w:name="_GoBack"/>
      <w:bookmarkEnd w:id="0"/>
      <w:r w:rsidRPr="00E1594A">
        <w:rPr>
          <w:color w:val="000000" w:themeColor="text1"/>
          <w:sz w:val="20"/>
          <w:szCs w:val="20"/>
        </w:rPr>
        <w:t>uzina@varam.gov.lv</w:t>
      </w:r>
    </w:p>
    <w:sectPr w:rsidR="00E1594A" w:rsidRPr="00E1594A" w:rsidSect="00A76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54" w:rsidRDefault="00DB1E54">
      <w:r>
        <w:separator/>
      </w:r>
    </w:p>
  </w:endnote>
  <w:endnote w:type="continuationSeparator" w:id="0">
    <w:p w:rsidR="00DB1E54" w:rsidRDefault="00DB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2B" w:rsidRDefault="003758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D2B">
      <w:rPr>
        <w:rStyle w:val="PageNumber"/>
        <w:noProof/>
      </w:rPr>
      <w:t>5</w:t>
    </w:r>
    <w:r>
      <w:rPr>
        <w:rStyle w:val="PageNumber"/>
      </w:rPr>
      <w:fldChar w:fldCharType="end"/>
    </w:r>
  </w:p>
  <w:p w:rsidR="00147D2B" w:rsidRDefault="00147D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2B" w:rsidRDefault="00E1594A" w:rsidP="006E3248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8D5400">
      <w:rPr>
        <w:noProof/>
        <w:sz w:val="20"/>
        <w:szCs w:val="20"/>
      </w:rPr>
      <w:t>VARAMRik_15</w:t>
    </w:r>
    <w:r w:rsidR="007F7FA2">
      <w:rPr>
        <w:noProof/>
        <w:sz w:val="20"/>
        <w:szCs w:val="20"/>
      </w:rPr>
      <w:t>12</w:t>
    </w:r>
    <w:r>
      <w:rPr>
        <w:noProof/>
        <w:sz w:val="20"/>
        <w:szCs w:val="20"/>
      </w:rPr>
      <w:t>14_DPP_groz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rīkojuma projekts </w:t>
    </w:r>
    <w:r>
      <w:rPr>
        <w:sz w:val="20"/>
        <w:szCs w:val="20"/>
      </w:rPr>
      <w:t>„Grozījums darbības programmas „Infrastruktūra un pakalpojumi” papildinājumā”</w:t>
    </w:r>
  </w:p>
  <w:p w:rsidR="00147D2B" w:rsidRDefault="00147D2B" w:rsidP="006E3248">
    <w:pPr>
      <w:jc w:val="both"/>
      <w:rPr>
        <w:sz w:val="20"/>
        <w:szCs w:val="20"/>
      </w:rPr>
    </w:pPr>
  </w:p>
  <w:p w:rsidR="00147D2B" w:rsidRPr="002768C5" w:rsidRDefault="00147D2B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2B" w:rsidRDefault="003758B5" w:rsidP="006E3248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 w:rsidR="00147D2B"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E1594A">
      <w:rPr>
        <w:noProof/>
        <w:sz w:val="20"/>
        <w:szCs w:val="20"/>
      </w:rPr>
      <w:t>VARAMRik</w:t>
    </w:r>
    <w:r w:rsidR="00147D2B">
      <w:rPr>
        <w:noProof/>
        <w:sz w:val="20"/>
        <w:szCs w:val="20"/>
      </w:rPr>
      <w:t>_</w:t>
    </w:r>
    <w:r w:rsidR="008D5400">
      <w:rPr>
        <w:noProof/>
        <w:sz w:val="20"/>
        <w:szCs w:val="20"/>
      </w:rPr>
      <w:t>15</w:t>
    </w:r>
    <w:r w:rsidR="007F7FA2">
      <w:rPr>
        <w:noProof/>
        <w:sz w:val="20"/>
        <w:szCs w:val="20"/>
      </w:rPr>
      <w:t>12</w:t>
    </w:r>
    <w:r w:rsidR="00E1594A">
      <w:rPr>
        <w:noProof/>
        <w:sz w:val="20"/>
        <w:szCs w:val="20"/>
      </w:rPr>
      <w:t>14</w:t>
    </w:r>
    <w:r w:rsidR="00147D2B">
      <w:rPr>
        <w:noProof/>
        <w:sz w:val="20"/>
        <w:szCs w:val="20"/>
      </w:rPr>
      <w:t>_DPP_</w:t>
    </w:r>
    <w:r w:rsidR="00E1594A">
      <w:rPr>
        <w:noProof/>
        <w:sz w:val="20"/>
        <w:szCs w:val="20"/>
      </w:rPr>
      <w:t>groz</w:t>
    </w:r>
    <w:r>
      <w:rPr>
        <w:sz w:val="20"/>
        <w:szCs w:val="20"/>
      </w:rPr>
      <w:fldChar w:fldCharType="end"/>
    </w:r>
    <w:r w:rsidR="00147D2B">
      <w:rPr>
        <w:sz w:val="20"/>
        <w:szCs w:val="20"/>
      </w:rPr>
      <w:t xml:space="preserve">; </w:t>
    </w:r>
    <w:r w:rsidR="00147D2B">
      <w:rPr>
        <w:bCs/>
        <w:sz w:val="20"/>
        <w:szCs w:val="20"/>
      </w:rPr>
      <w:t xml:space="preserve">Ministru kabineta rīkojuma projekts </w:t>
    </w:r>
    <w:r w:rsidR="00E1594A">
      <w:rPr>
        <w:sz w:val="20"/>
        <w:szCs w:val="20"/>
      </w:rPr>
      <w:t>„Grozījums</w:t>
    </w:r>
    <w:r w:rsidR="00147D2B">
      <w:rPr>
        <w:sz w:val="20"/>
        <w:szCs w:val="20"/>
      </w:rPr>
      <w:t xml:space="preserve"> darbības programmas „Infrastruktūra un pakalpojumi” papildinājumā”</w:t>
    </w:r>
  </w:p>
  <w:p w:rsidR="00147D2B" w:rsidRPr="006E3248" w:rsidRDefault="00147D2B" w:rsidP="006E324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54" w:rsidRDefault="00DB1E54">
      <w:r>
        <w:separator/>
      </w:r>
    </w:p>
  </w:footnote>
  <w:footnote w:type="continuationSeparator" w:id="0">
    <w:p w:rsidR="00DB1E54" w:rsidRDefault="00DB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2B" w:rsidRDefault="003758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D2B">
      <w:rPr>
        <w:rStyle w:val="PageNumber"/>
        <w:noProof/>
      </w:rPr>
      <w:t>5</w:t>
    </w:r>
    <w:r>
      <w:rPr>
        <w:rStyle w:val="PageNumber"/>
      </w:rPr>
      <w:fldChar w:fldCharType="end"/>
    </w:r>
  </w:p>
  <w:p w:rsidR="00147D2B" w:rsidRDefault="00147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2B" w:rsidRDefault="003758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400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D2B" w:rsidRDefault="00147D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2B" w:rsidRDefault="00147D2B" w:rsidP="002768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7BB"/>
    <w:multiLevelType w:val="hybridMultilevel"/>
    <w:tmpl w:val="4A3AE12E"/>
    <w:lvl w:ilvl="0" w:tplc="78B0970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7279"/>
    <w:multiLevelType w:val="hybridMultilevel"/>
    <w:tmpl w:val="EFC86CE4"/>
    <w:lvl w:ilvl="0" w:tplc="DD32512A">
      <w:start w:val="1"/>
      <w:numFmt w:val="decimal"/>
      <w:pStyle w:val="H2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A40628F"/>
    <w:multiLevelType w:val="hybridMultilevel"/>
    <w:tmpl w:val="457298C2"/>
    <w:lvl w:ilvl="0" w:tplc="21C01F3A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128669D"/>
    <w:multiLevelType w:val="multilevel"/>
    <w:tmpl w:val="F37C5B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5">
    <w:nsid w:val="11354978"/>
    <w:multiLevelType w:val="hybridMultilevel"/>
    <w:tmpl w:val="22603A5A"/>
    <w:lvl w:ilvl="0" w:tplc="02AE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E664CA"/>
    <w:multiLevelType w:val="multilevel"/>
    <w:tmpl w:val="19E8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</w:rPr>
    </w:lvl>
  </w:abstractNum>
  <w:abstractNum w:abstractNumId="8">
    <w:nsid w:val="17C51327"/>
    <w:multiLevelType w:val="hybridMultilevel"/>
    <w:tmpl w:val="E0C43F7C"/>
    <w:lvl w:ilvl="0" w:tplc="6630B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39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ED382F"/>
    <w:multiLevelType w:val="hybridMultilevel"/>
    <w:tmpl w:val="E982B68E"/>
    <w:lvl w:ilvl="0" w:tplc="983A50A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681B"/>
    <w:multiLevelType w:val="hybridMultilevel"/>
    <w:tmpl w:val="FE3E2AB6"/>
    <w:lvl w:ilvl="0" w:tplc="B22E4630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2067D27"/>
    <w:multiLevelType w:val="hybridMultilevel"/>
    <w:tmpl w:val="2EBAF33E"/>
    <w:lvl w:ilvl="0" w:tplc="8CCE4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A4BFC"/>
    <w:multiLevelType w:val="hybridMultilevel"/>
    <w:tmpl w:val="E0628C76"/>
    <w:lvl w:ilvl="0" w:tplc="2370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D403B"/>
    <w:multiLevelType w:val="hybridMultilevel"/>
    <w:tmpl w:val="CD2EF37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D1535C"/>
    <w:multiLevelType w:val="hybridMultilevel"/>
    <w:tmpl w:val="B81CB448"/>
    <w:lvl w:ilvl="0" w:tplc="6F9881A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94CB0"/>
    <w:multiLevelType w:val="hybridMultilevel"/>
    <w:tmpl w:val="BAB2B45E"/>
    <w:lvl w:ilvl="0" w:tplc="0F663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02928"/>
    <w:multiLevelType w:val="hybridMultilevel"/>
    <w:tmpl w:val="5A864BA4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2057D"/>
    <w:multiLevelType w:val="hybridMultilevel"/>
    <w:tmpl w:val="B81CB448"/>
    <w:lvl w:ilvl="0" w:tplc="6F9881A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88E"/>
    <w:multiLevelType w:val="hybridMultilevel"/>
    <w:tmpl w:val="0D68A6E0"/>
    <w:lvl w:ilvl="0" w:tplc="F21CA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2E36ED"/>
    <w:multiLevelType w:val="hybridMultilevel"/>
    <w:tmpl w:val="B81CB448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B2241A"/>
    <w:multiLevelType w:val="hybridMultilevel"/>
    <w:tmpl w:val="8E5CE94C"/>
    <w:lvl w:ilvl="0" w:tplc="6F98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C56F2"/>
    <w:multiLevelType w:val="hybridMultilevel"/>
    <w:tmpl w:val="B81CB448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13A69"/>
    <w:multiLevelType w:val="multilevel"/>
    <w:tmpl w:val="DF02E9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5">
    <w:nsid w:val="57680847"/>
    <w:multiLevelType w:val="hybridMultilevel"/>
    <w:tmpl w:val="D9F649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F387B"/>
    <w:multiLevelType w:val="hybridMultilevel"/>
    <w:tmpl w:val="B3B0E69A"/>
    <w:lvl w:ilvl="0" w:tplc="094018CC">
      <w:start w:val="4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4A7DDA" w:tentative="1">
      <w:start w:val="1"/>
      <w:numFmt w:val="lowerLetter"/>
      <w:lvlText w:val="%2."/>
      <w:lvlJc w:val="left"/>
      <w:pPr>
        <w:ind w:left="1440" w:hanging="360"/>
      </w:pPr>
    </w:lvl>
    <w:lvl w:ilvl="2" w:tplc="A872B21E" w:tentative="1">
      <w:start w:val="1"/>
      <w:numFmt w:val="lowerRoman"/>
      <w:lvlText w:val="%3."/>
      <w:lvlJc w:val="right"/>
      <w:pPr>
        <w:ind w:left="2160" w:hanging="180"/>
      </w:pPr>
    </w:lvl>
    <w:lvl w:ilvl="3" w:tplc="A348AA4A" w:tentative="1">
      <w:start w:val="1"/>
      <w:numFmt w:val="decimal"/>
      <w:lvlText w:val="%4."/>
      <w:lvlJc w:val="left"/>
      <w:pPr>
        <w:ind w:left="2880" w:hanging="360"/>
      </w:pPr>
    </w:lvl>
    <w:lvl w:ilvl="4" w:tplc="57F24824" w:tentative="1">
      <w:start w:val="1"/>
      <w:numFmt w:val="lowerLetter"/>
      <w:lvlText w:val="%5."/>
      <w:lvlJc w:val="left"/>
      <w:pPr>
        <w:ind w:left="3600" w:hanging="360"/>
      </w:pPr>
    </w:lvl>
    <w:lvl w:ilvl="5" w:tplc="246A53E6" w:tentative="1">
      <w:start w:val="1"/>
      <w:numFmt w:val="lowerRoman"/>
      <w:lvlText w:val="%6."/>
      <w:lvlJc w:val="right"/>
      <w:pPr>
        <w:ind w:left="4320" w:hanging="180"/>
      </w:pPr>
    </w:lvl>
    <w:lvl w:ilvl="6" w:tplc="03F058E8" w:tentative="1">
      <w:start w:val="1"/>
      <w:numFmt w:val="decimal"/>
      <w:lvlText w:val="%7."/>
      <w:lvlJc w:val="left"/>
      <w:pPr>
        <w:ind w:left="5040" w:hanging="360"/>
      </w:pPr>
    </w:lvl>
    <w:lvl w:ilvl="7" w:tplc="2FC8816E" w:tentative="1">
      <w:start w:val="1"/>
      <w:numFmt w:val="lowerLetter"/>
      <w:lvlText w:val="%8."/>
      <w:lvlJc w:val="left"/>
      <w:pPr>
        <w:ind w:left="5760" w:hanging="360"/>
      </w:pPr>
    </w:lvl>
    <w:lvl w:ilvl="8" w:tplc="CC4AC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23621"/>
    <w:multiLevelType w:val="hybridMultilevel"/>
    <w:tmpl w:val="B81CB448"/>
    <w:lvl w:ilvl="0" w:tplc="3F367588">
      <w:start w:val="1"/>
      <w:numFmt w:val="decimal"/>
      <w:lvlText w:val="%1."/>
      <w:lvlJc w:val="left"/>
      <w:pPr>
        <w:ind w:left="928" w:hanging="360"/>
      </w:pPr>
      <w:rPr>
        <w:rFonts w:hint="default"/>
        <w:sz w:val="2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030B7"/>
    <w:multiLevelType w:val="multilevel"/>
    <w:tmpl w:val="21400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72531D61"/>
    <w:multiLevelType w:val="hybridMultilevel"/>
    <w:tmpl w:val="811C8920"/>
    <w:lvl w:ilvl="0" w:tplc="078CEC20">
      <w:start w:val="1"/>
      <w:numFmt w:val="bullet"/>
      <w:lvlText w:val="­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2720519A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3A8F3C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96D0445A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87C4E2EE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53D8F09A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D99A8AFC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74C2A6AA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78E094D2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>
    <w:nsid w:val="728F3815"/>
    <w:multiLevelType w:val="hybridMultilevel"/>
    <w:tmpl w:val="BDB69CFC"/>
    <w:lvl w:ilvl="0" w:tplc="75A6EE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C470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062E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D088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B29B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F83D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3E74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40A1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9E1D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F57F6B"/>
    <w:multiLevelType w:val="hybridMultilevel"/>
    <w:tmpl w:val="8832817C"/>
    <w:lvl w:ilvl="0" w:tplc="D8527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4CBF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440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BA77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0C54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12D3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E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BC95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C87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E362D8C"/>
    <w:multiLevelType w:val="hybridMultilevel"/>
    <w:tmpl w:val="52D4F6EC"/>
    <w:lvl w:ilvl="0" w:tplc="576420B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"/>
  </w:num>
  <w:num w:numId="4">
    <w:abstractNumId w:val="12"/>
  </w:num>
  <w:num w:numId="5">
    <w:abstractNumId w:val="32"/>
  </w:num>
  <w:num w:numId="6">
    <w:abstractNumId w:val="14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31"/>
  </w:num>
  <w:num w:numId="12">
    <w:abstractNumId w:val="24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18"/>
  </w:num>
  <w:num w:numId="17">
    <w:abstractNumId w:val="22"/>
  </w:num>
  <w:num w:numId="18">
    <w:abstractNumId w:val="15"/>
  </w:num>
  <w:num w:numId="19">
    <w:abstractNumId w:val="27"/>
  </w:num>
  <w:num w:numId="20">
    <w:abstractNumId w:val="16"/>
  </w:num>
  <w:num w:numId="21">
    <w:abstractNumId w:val="26"/>
  </w:num>
  <w:num w:numId="22">
    <w:abstractNumId w:val="19"/>
  </w:num>
  <w:num w:numId="23">
    <w:abstractNumId w:val="23"/>
  </w:num>
  <w:num w:numId="24">
    <w:abstractNumId w:val="21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9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0"/>
  </w:num>
  <w:num w:numId="33">
    <w:abstractNumId w:val="2"/>
  </w:num>
  <w:num w:numId="34">
    <w:abstractNumId w:val="11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C3"/>
    <w:rsid w:val="00001AA3"/>
    <w:rsid w:val="00023100"/>
    <w:rsid w:val="00033725"/>
    <w:rsid w:val="00035D5E"/>
    <w:rsid w:val="000471D3"/>
    <w:rsid w:val="000523BD"/>
    <w:rsid w:val="00070B08"/>
    <w:rsid w:val="00071F50"/>
    <w:rsid w:val="0008437C"/>
    <w:rsid w:val="000A2CDF"/>
    <w:rsid w:val="000A6DC3"/>
    <w:rsid w:val="000C6373"/>
    <w:rsid w:val="000E4490"/>
    <w:rsid w:val="000E71C8"/>
    <w:rsid w:val="000F0A92"/>
    <w:rsid w:val="000F3531"/>
    <w:rsid w:val="00123271"/>
    <w:rsid w:val="00123504"/>
    <w:rsid w:val="00124D19"/>
    <w:rsid w:val="00136C60"/>
    <w:rsid w:val="001432D1"/>
    <w:rsid w:val="00145198"/>
    <w:rsid w:val="001479E0"/>
    <w:rsid w:val="00147D2B"/>
    <w:rsid w:val="001512BB"/>
    <w:rsid w:val="00156939"/>
    <w:rsid w:val="00167627"/>
    <w:rsid w:val="00174E07"/>
    <w:rsid w:val="001768DB"/>
    <w:rsid w:val="00183A66"/>
    <w:rsid w:val="0018456A"/>
    <w:rsid w:val="00184A8C"/>
    <w:rsid w:val="00184C9D"/>
    <w:rsid w:val="00191977"/>
    <w:rsid w:val="001C03E7"/>
    <w:rsid w:val="001D4BFE"/>
    <w:rsid w:val="001D5AFC"/>
    <w:rsid w:val="001E1CAA"/>
    <w:rsid w:val="001E6F61"/>
    <w:rsid w:val="001F4556"/>
    <w:rsid w:val="00226175"/>
    <w:rsid w:val="00231A14"/>
    <w:rsid w:val="00236F9E"/>
    <w:rsid w:val="00250E06"/>
    <w:rsid w:val="00265159"/>
    <w:rsid w:val="00265F51"/>
    <w:rsid w:val="00266E77"/>
    <w:rsid w:val="002768C5"/>
    <w:rsid w:val="00284117"/>
    <w:rsid w:val="00291455"/>
    <w:rsid w:val="002C26C6"/>
    <w:rsid w:val="002C26DC"/>
    <w:rsid w:val="002C4B31"/>
    <w:rsid w:val="002D6EA7"/>
    <w:rsid w:val="002F703E"/>
    <w:rsid w:val="003049DB"/>
    <w:rsid w:val="00314B83"/>
    <w:rsid w:val="00317A21"/>
    <w:rsid w:val="003758B5"/>
    <w:rsid w:val="00384BBE"/>
    <w:rsid w:val="003A2D35"/>
    <w:rsid w:val="003A407B"/>
    <w:rsid w:val="003E2BE5"/>
    <w:rsid w:val="003F6887"/>
    <w:rsid w:val="00410A7F"/>
    <w:rsid w:val="00417449"/>
    <w:rsid w:val="00440B24"/>
    <w:rsid w:val="004511AF"/>
    <w:rsid w:val="00455D25"/>
    <w:rsid w:val="004567A7"/>
    <w:rsid w:val="00457523"/>
    <w:rsid w:val="004575AA"/>
    <w:rsid w:val="00462F8A"/>
    <w:rsid w:val="00467A98"/>
    <w:rsid w:val="004718C7"/>
    <w:rsid w:val="00477425"/>
    <w:rsid w:val="00493C08"/>
    <w:rsid w:val="004A197A"/>
    <w:rsid w:val="004A3DF6"/>
    <w:rsid w:val="004B2080"/>
    <w:rsid w:val="004C4281"/>
    <w:rsid w:val="004C4874"/>
    <w:rsid w:val="004C6BC0"/>
    <w:rsid w:val="004D7BF3"/>
    <w:rsid w:val="004E4A39"/>
    <w:rsid w:val="004E4CA2"/>
    <w:rsid w:val="004F20BC"/>
    <w:rsid w:val="004F687A"/>
    <w:rsid w:val="005167D1"/>
    <w:rsid w:val="00517DBC"/>
    <w:rsid w:val="00555403"/>
    <w:rsid w:val="00561A6C"/>
    <w:rsid w:val="00577E8D"/>
    <w:rsid w:val="00586A84"/>
    <w:rsid w:val="005C2712"/>
    <w:rsid w:val="005C5499"/>
    <w:rsid w:val="005C77C3"/>
    <w:rsid w:val="005D1C3A"/>
    <w:rsid w:val="005D21FA"/>
    <w:rsid w:val="005E1B5A"/>
    <w:rsid w:val="005E65F8"/>
    <w:rsid w:val="005F43F6"/>
    <w:rsid w:val="00632D1F"/>
    <w:rsid w:val="0064679A"/>
    <w:rsid w:val="00661E6F"/>
    <w:rsid w:val="00665C76"/>
    <w:rsid w:val="006770D8"/>
    <w:rsid w:val="0069233F"/>
    <w:rsid w:val="006D69F6"/>
    <w:rsid w:val="006E14EF"/>
    <w:rsid w:val="006E15E5"/>
    <w:rsid w:val="006E3248"/>
    <w:rsid w:val="006E5879"/>
    <w:rsid w:val="0071189F"/>
    <w:rsid w:val="007175EE"/>
    <w:rsid w:val="007509C6"/>
    <w:rsid w:val="00752AC4"/>
    <w:rsid w:val="00766AB3"/>
    <w:rsid w:val="00770A0F"/>
    <w:rsid w:val="00783AE6"/>
    <w:rsid w:val="00791F3E"/>
    <w:rsid w:val="007C3DCA"/>
    <w:rsid w:val="007E5BEC"/>
    <w:rsid w:val="007F1334"/>
    <w:rsid w:val="007F7FA2"/>
    <w:rsid w:val="0080380A"/>
    <w:rsid w:val="00810242"/>
    <w:rsid w:val="0082063E"/>
    <w:rsid w:val="00820AC6"/>
    <w:rsid w:val="00830ABB"/>
    <w:rsid w:val="008315AF"/>
    <w:rsid w:val="00843A0F"/>
    <w:rsid w:val="00874793"/>
    <w:rsid w:val="008B4E11"/>
    <w:rsid w:val="008C1C2E"/>
    <w:rsid w:val="008C552C"/>
    <w:rsid w:val="008D5400"/>
    <w:rsid w:val="008F781D"/>
    <w:rsid w:val="0091439E"/>
    <w:rsid w:val="00927795"/>
    <w:rsid w:val="00931F24"/>
    <w:rsid w:val="00932DFF"/>
    <w:rsid w:val="009413A6"/>
    <w:rsid w:val="00944F69"/>
    <w:rsid w:val="0095337D"/>
    <w:rsid w:val="009556BE"/>
    <w:rsid w:val="00970116"/>
    <w:rsid w:val="0097613C"/>
    <w:rsid w:val="00987111"/>
    <w:rsid w:val="00993C5F"/>
    <w:rsid w:val="00994719"/>
    <w:rsid w:val="00995C33"/>
    <w:rsid w:val="009B2401"/>
    <w:rsid w:val="009C1BF7"/>
    <w:rsid w:val="009C629D"/>
    <w:rsid w:val="009D05C3"/>
    <w:rsid w:val="009F2DE6"/>
    <w:rsid w:val="00A02312"/>
    <w:rsid w:val="00A0436C"/>
    <w:rsid w:val="00A21245"/>
    <w:rsid w:val="00A33CE9"/>
    <w:rsid w:val="00A36B45"/>
    <w:rsid w:val="00A44853"/>
    <w:rsid w:val="00A47E0C"/>
    <w:rsid w:val="00A50538"/>
    <w:rsid w:val="00A553CC"/>
    <w:rsid w:val="00A76C36"/>
    <w:rsid w:val="00A77C72"/>
    <w:rsid w:val="00A800D4"/>
    <w:rsid w:val="00A8748B"/>
    <w:rsid w:val="00AB2E48"/>
    <w:rsid w:val="00AC6178"/>
    <w:rsid w:val="00AC7690"/>
    <w:rsid w:val="00AD10DC"/>
    <w:rsid w:val="00AD3FA5"/>
    <w:rsid w:val="00B03CC7"/>
    <w:rsid w:val="00B06BCB"/>
    <w:rsid w:val="00B204F2"/>
    <w:rsid w:val="00B40B4F"/>
    <w:rsid w:val="00B564DD"/>
    <w:rsid w:val="00B65671"/>
    <w:rsid w:val="00B718E3"/>
    <w:rsid w:val="00B8662D"/>
    <w:rsid w:val="00B9163A"/>
    <w:rsid w:val="00BE6F2C"/>
    <w:rsid w:val="00BE7DF5"/>
    <w:rsid w:val="00C054C7"/>
    <w:rsid w:val="00C233E5"/>
    <w:rsid w:val="00C351D0"/>
    <w:rsid w:val="00C47BA4"/>
    <w:rsid w:val="00C56109"/>
    <w:rsid w:val="00C70CB1"/>
    <w:rsid w:val="00C733FF"/>
    <w:rsid w:val="00C75CFA"/>
    <w:rsid w:val="00C85DCE"/>
    <w:rsid w:val="00CA0ECF"/>
    <w:rsid w:val="00CC3952"/>
    <w:rsid w:val="00CD0BA7"/>
    <w:rsid w:val="00CE7440"/>
    <w:rsid w:val="00CF736A"/>
    <w:rsid w:val="00D035B4"/>
    <w:rsid w:val="00D07AA2"/>
    <w:rsid w:val="00D16663"/>
    <w:rsid w:val="00D24604"/>
    <w:rsid w:val="00D6282A"/>
    <w:rsid w:val="00D70134"/>
    <w:rsid w:val="00D739CD"/>
    <w:rsid w:val="00D81593"/>
    <w:rsid w:val="00D95415"/>
    <w:rsid w:val="00DB1E54"/>
    <w:rsid w:val="00DC45FF"/>
    <w:rsid w:val="00DF2FB1"/>
    <w:rsid w:val="00E03FB7"/>
    <w:rsid w:val="00E04972"/>
    <w:rsid w:val="00E14DD8"/>
    <w:rsid w:val="00E1594A"/>
    <w:rsid w:val="00E16514"/>
    <w:rsid w:val="00E31B5C"/>
    <w:rsid w:val="00E67F92"/>
    <w:rsid w:val="00E83D03"/>
    <w:rsid w:val="00E92AD9"/>
    <w:rsid w:val="00E96896"/>
    <w:rsid w:val="00E97777"/>
    <w:rsid w:val="00EA2775"/>
    <w:rsid w:val="00ED0281"/>
    <w:rsid w:val="00F1452B"/>
    <w:rsid w:val="00F22CB4"/>
    <w:rsid w:val="00F24448"/>
    <w:rsid w:val="00F40D8A"/>
    <w:rsid w:val="00F45E0B"/>
    <w:rsid w:val="00F462EC"/>
    <w:rsid w:val="00F510FA"/>
    <w:rsid w:val="00F52039"/>
    <w:rsid w:val="00F526B1"/>
    <w:rsid w:val="00F63B00"/>
    <w:rsid w:val="00F807A8"/>
    <w:rsid w:val="00F90EC3"/>
    <w:rsid w:val="00FA0C97"/>
    <w:rsid w:val="00FA6AA6"/>
    <w:rsid w:val="00FB5DE6"/>
    <w:rsid w:val="00FB6073"/>
    <w:rsid w:val="00FC1616"/>
    <w:rsid w:val="00FE1857"/>
    <w:rsid w:val="00FE3F01"/>
    <w:rsid w:val="00FE792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258B58-DE7A-4FBD-916E-EF6F202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73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0C6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C6373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6373"/>
    <w:pPr>
      <w:keepNext/>
      <w:overflowPunct w:val="0"/>
      <w:autoSpaceDE w:val="0"/>
      <w:autoSpaceDN w:val="0"/>
      <w:adjustRightInd w:val="0"/>
      <w:outlineLvl w:val="3"/>
    </w:pPr>
    <w:rPr>
      <w:b/>
      <w:i/>
      <w:spacing w:val="32"/>
      <w:kern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0C63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0C6373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0C6373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0C6373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0C6373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0C6373"/>
    <w:rPr>
      <w:vertAlign w:val="superscript"/>
    </w:rPr>
  </w:style>
  <w:style w:type="paragraph" w:customStyle="1" w:styleId="Teksts">
    <w:name w:val="Teksts"/>
    <w:basedOn w:val="Normal"/>
    <w:rsid w:val="000C6373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0C6373"/>
    <w:pPr>
      <w:spacing w:after="120"/>
    </w:pPr>
  </w:style>
  <w:style w:type="paragraph" w:customStyle="1" w:styleId="nais1">
    <w:name w:val="nais1"/>
    <w:basedOn w:val="Normal"/>
    <w:rsid w:val="000C6373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0C6373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uiPriority w:val="99"/>
    <w:rsid w:val="000C637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0C6373"/>
    <w:pPr>
      <w:spacing w:before="75" w:after="75"/>
    </w:pPr>
  </w:style>
  <w:style w:type="paragraph" w:customStyle="1" w:styleId="naisc">
    <w:name w:val="naisc"/>
    <w:basedOn w:val="Normal"/>
    <w:rsid w:val="000C6373"/>
    <w:pPr>
      <w:spacing w:before="75" w:after="75"/>
      <w:jc w:val="center"/>
    </w:pPr>
  </w:style>
  <w:style w:type="paragraph" w:styleId="Footer">
    <w:name w:val="footer"/>
    <w:basedOn w:val="Normal"/>
    <w:rsid w:val="000C63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6373"/>
  </w:style>
  <w:style w:type="paragraph" w:styleId="Header">
    <w:name w:val="header"/>
    <w:basedOn w:val="Normal"/>
    <w:rsid w:val="000C63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63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C6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63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6373"/>
    <w:rPr>
      <w:b/>
      <w:bCs/>
    </w:rPr>
  </w:style>
  <w:style w:type="paragraph" w:styleId="BalloonText">
    <w:name w:val="Balloon Text"/>
    <w:basedOn w:val="Normal"/>
    <w:semiHidden/>
    <w:rsid w:val="000C6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373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0C6373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0C6373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rsid w:val="000C6373"/>
    <w:rPr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rsid w:val="000C6373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rsid w:val="00E1594A"/>
    <w:pPr>
      <w:spacing w:before="240" w:after="240"/>
      <w:jc w:val="center"/>
    </w:pPr>
    <w:rPr>
      <w:noProof/>
      <w:color w:val="000000" w:themeColor="text1"/>
      <w:sz w:val="28"/>
      <w:szCs w:val="28"/>
      <w:lang w:val="en-US"/>
    </w:rPr>
  </w:style>
  <w:style w:type="character" w:customStyle="1" w:styleId="EE-normlsChar">
    <w:name w:val="EE-normāls Char"/>
    <w:basedOn w:val="DefaultParagraphFont"/>
    <w:link w:val="EE-normls"/>
    <w:locked/>
    <w:rsid w:val="00E1594A"/>
    <w:rPr>
      <w:bCs/>
      <w:noProof/>
      <w:color w:val="000000" w:themeColor="text1"/>
      <w:sz w:val="28"/>
      <w:szCs w:val="28"/>
      <w:lang w:eastAsia="lv-LV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80380A"/>
    <w:rPr>
      <w:bCs/>
      <w:sz w:val="28"/>
      <w:szCs w:val="28"/>
      <w:lang w:val="en-US" w:eastAsia="en-US"/>
    </w:rPr>
  </w:style>
  <w:style w:type="paragraph" w:customStyle="1" w:styleId="EE-paragrCharChar">
    <w:name w:val="EE-paragr Char Char"/>
    <w:basedOn w:val="Normal"/>
    <w:link w:val="EE-paragrCharCharChar1"/>
    <w:autoRedefine/>
    <w:rsid w:val="0080380A"/>
    <w:pPr>
      <w:tabs>
        <w:tab w:val="left" w:pos="0"/>
      </w:tabs>
      <w:jc w:val="both"/>
    </w:pPr>
    <w:rPr>
      <w:bCs/>
      <w:sz w:val="28"/>
      <w:szCs w:val="28"/>
      <w:lang w:val="en-US" w:eastAsia="en-US"/>
    </w:rPr>
  </w:style>
  <w:style w:type="paragraph" w:customStyle="1" w:styleId="EE-paragr-bold">
    <w:name w:val="EE-paragr-bold"/>
    <w:basedOn w:val="EE-paragrCharChar"/>
    <w:rsid w:val="000C6373"/>
    <w:rPr>
      <w:b/>
    </w:rPr>
  </w:style>
  <w:style w:type="character" w:customStyle="1" w:styleId="Heading2Char">
    <w:name w:val="Heading 2 Char"/>
    <w:basedOn w:val="DefaultParagraphFont"/>
    <w:link w:val="Heading2"/>
    <w:locked/>
    <w:rsid w:val="000C6373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locked/>
    <w:rsid w:val="000C6373"/>
    <w:rPr>
      <w:lang w:val="lv-LV" w:eastAsia="lv-LV" w:bidi="ar-SA"/>
    </w:rPr>
  </w:style>
  <w:style w:type="paragraph" w:customStyle="1" w:styleId="Komentratma">
    <w:name w:val="Komentāra tēma"/>
    <w:basedOn w:val="CommentText"/>
    <w:next w:val="CommentText"/>
    <w:semiHidden/>
    <w:rsid w:val="000C6373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0C63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6373"/>
    <w:rPr>
      <w:sz w:val="24"/>
      <w:szCs w:val="24"/>
    </w:rPr>
  </w:style>
  <w:style w:type="paragraph" w:customStyle="1" w:styleId="EE-V">
    <w:name w:val="EE-V"/>
    <w:basedOn w:val="Normal"/>
    <w:autoRedefine/>
    <w:rsid w:val="000C6373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rsid w:val="000C6373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locked/>
    <w:rsid w:val="000C6373"/>
    <w:rPr>
      <w:iCs/>
      <w:sz w:val="24"/>
      <w:szCs w:val="24"/>
      <w:lang w:val="lv-LV" w:eastAsia="lv-LV" w:bidi="ar-SA"/>
    </w:rPr>
  </w:style>
  <w:style w:type="paragraph" w:customStyle="1" w:styleId="H2">
    <w:name w:val="H2"/>
    <w:basedOn w:val="Normal"/>
    <w:autoRedefine/>
    <w:qFormat/>
    <w:rsid w:val="00932DFF"/>
    <w:pPr>
      <w:numPr>
        <w:numId w:val="30"/>
      </w:numPr>
      <w:autoSpaceDE w:val="0"/>
      <w:autoSpaceDN w:val="0"/>
      <w:adjustRightInd w:val="0"/>
      <w:spacing w:before="120" w:after="120"/>
      <w:jc w:val="both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rsid w:val="000C6373"/>
    <w:pPr>
      <w:ind w:left="720"/>
    </w:pPr>
  </w:style>
  <w:style w:type="paragraph" w:customStyle="1" w:styleId="default0">
    <w:name w:val="default"/>
    <w:basedOn w:val="Normal"/>
    <w:rsid w:val="000C6373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rsid w:val="000C6373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59">
    <w:name w:val="EmailStyle59"/>
    <w:basedOn w:val="DefaultParagraphFont"/>
    <w:semiHidden/>
    <w:rsid w:val="000C6373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link w:val="Heading3"/>
    <w:locked/>
    <w:rsid w:val="000C6373"/>
    <w:rPr>
      <w:b/>
      <w:lang w:val="lv-LV" w:eastAsia="en-US" w:bidi="ar-SA"/>
    </w:rPr>
  </w:style>
  <w:style w:type="character" w:customStyle="1" w:styleId="Heading4Char">
    <w:name w:val="Heading 4 Char"/>
    <w:link w:val="Heading4"/>
    <w:locked/>
    <w:rsid w:val="000C6373"/>
    <w:rPr>
      <w:b/>
      <w:i/>
      <w:spacing w:val="32"/>
      <w:kern w:val="28"/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C054C7"/>
    <w:pPr>
      <w:ind w:left="720"/>
      <w:contextualSpacing/>
    </w:pPr>
  </w:style>
  <w:style w:type="paragraph" w:customStyle="1" w:styleId="V1-bold">
    <w:name w:val="V1-bold"/>
    <w:basedOn w:val="Normal"/>
    <w:rsid w:val="00AB2E48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"Infrastruktūra un pakalpojumi" papildinājumā</vt:lpstr>
    </vt:vector>
  </TitlesOfParts>
  <Company>VARAM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"Infrastruktūra un pakalpojumi" papildinājumā</dc:title>
  <dc:subject>Rīkojuma projekts</dc:subject>
  <dc:creator>Austra Auzina</dc:creator>
  <cp:lastModifiedBy>Austra Auziņa</cp:lastModifiedBy>
  <cp:revision>7</cp:revision>
  <cp:lastPrinted>2013-10-02T13:44:00Z</cp:lastPrinted>
  <dcterms:created xsi:type="dcterms:W3CDTF">2014-10-28T07:46:00Z</dcterms:created>
  <dcterms:modified xsi:type="dcterms:W3CDTF">2014-12-15T08:00:00Z</dcterms:modified>
</cp:coreProperties>
</file>