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72" w:rsidRPr="009932A4" w:rsidRDefault="008A6072" w:rsidP="008A6072">
      <w:pPr>
        <w:jc w:val="center"/>
        <w:rPr>
          <w:b/>
          <w:bCs/>
          <w:sz w:val="26"/>
          <w:szCs w:val="26"/>
          <w:lang w:eastAsia="en-US"/>
        </w:rPr>
      </w:pPr>
      <w:r w:rsidRPr="006E33C5">
        <w:rPr>
          <w:b/>
          <w:bCs/>
          <w:sz w:val="26"/>
          <w:szCs w:val="26"/>
          <w:lang w:eastAsia="en-US"/>
        </w:rPr>
        <w:t xml:space="preserve">Ministru kabineta </w:t>
      </w:r>
      <w:r w:rsidRPr="009932A4">
        <w:rPr>
          <w:b/>
          <w:bCs/>
          <w:sz w:val="26"/>
          <w:szCs w:val="26"/>
          <w:lang w:eastAsia="en-US"/>
        </w:rPr>
        <w:t>noteikumu projekta</w:t>
      </w:r>
      <w:r w:rsidR="001A66CA" w:rsidRPr="009932A4">
        <w:rPr>
          <w:b/>
          <w:bCs/>
          <w:sz w:val="26"/>
          <w:szCs w:val="26"/>
          <w:lang w:eastAsia="en-US"/>
        </w:rPr>
        <w:t xml:space="preserve"> </w:t>
      </w:r>
      <w:r w:rsidRPr="009932A4">
        <w:rPr>
          <w:b/>
          <w:bCs/>
          <w:sz w:val="26"/>
          <w:szCs w:val="26"/>
          <w:lang w:eastAsia="en-US"/>
        </w:rPr>
        <w:t>”</w:t>
      </w:r>
      <w:r w:rsidR="009932A4" w:rsidRPr="009932A4">
        <w:rPr>
          <w:b/>
          <w:sz w:val="26"/>
          <w:szCs w:val="26"/>
        </w:rPr>
        <w:t xml:space="preserve"> Kārtība, kādā piešķir valsts budžeta līdzfinansējumu datoru, interneta un vispārpieejamo elektroniskās informācijas resursu publiskās pieejamības nodrošināšanai pašvaldību bibliotēkās</w:t>
      </w:r>
      <w:r w:rsidRPr="009932A4">
        <w:rPr>
          <w:b/>
          <w:bCs/>
          <w:sz w:val="26"/>
          <w:szCs w:val="26"/>
        </w:rPr>
        <w:t>”</w:t>
      </w:r>
      <w:r w:rsidRPr="009932A4">
        <w:rPr>
          <w:b/>
          <w:sz w:val="26"/>
          <w:szCs w:val="26"/>
        </w:rPr>
        <w:t xml:space="preserve"> </w:t>
      </w:r>
      <w:r w:rsidRPr="009932A4">
        <w:rPr>
          <w:b/>
          <w:bCs/>
          <w:sz w:val="26"/>
          <w:szCs w:val="26"/>
          <w:lang w:eastAsia="en-US"/>
        </w:rPr>
        <w:t>sākotnējās ietekmes novērtējuma ziņojums (anotācija)</w:t>
      </w:r>
    </w:p>
    <w:p w:rsidR="00C00837" w:rsidRPr="009932A4" w:rsidRDefault="00C00837" w:rsidP="005A10E4">
      <w:pPr>
        <w:spacing w:before="60" w:after="60"/>
        <w:ind w:firstLine="374"/>
        <w:jc w:val="both"/>
        <w:outlineLvl w:val="3"/>
        <w:rPr>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5E550D" w:rsidTr="005E550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Default="005E550D">
            <w:pPr>
              <w:pStyle w:val="tvhtml"/>
              <w:jc w:val="center"/>
              <w:rPr>
                <w:b/>
                <w:bCs/>
              </w:rPr>
            </w:pPr>
            <w:r>
              <w:rPr>
                <w:b/>
                <w:bCs/>
              </w:rPr>
              <w:t>I. Tiesību akta projekta izstrādes nepieciešamība</w:t>
            </w:r>
          </w:p>
        </w:tc>
      </w:tr>
      <w:tr w:rsidR="005E550D" w:rsidTr="005E550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024478" w:rsidRDefault="005E550D">
            <w:pPr>
              <w:pStyle w:val="tvhtml"/>
              <w:jc w:val="center"/>
              <w:rPr>
                <w:sz w:val="22"/>
                <w:szCs w:val="22"/>
              </w:rPr>
            </w:pPr>
            <w:r w:rsidRPr="00024478">
              <w:rPr>
                <w:sz w:val="22"/>
                <w:szCs w:val="22"/>
              </w:rPr>
              <w:t>1.</w:t>
            </w:r>
          </w:p>
        </w:tc>
        <w:tc>
          <w:tcPr>
            <w:tcW w:w="153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Pamatojums</w:t>
            </w:r>
          </w:p>
        </w:tc>
        <w:tc>
          <w:tcPr>
            <w:tcW w:w="3158" w:type="pct"/>
            <w:tcBorders>
              <w:top w:val="outset" w:sz="6" w:space="0" w:color="auto"/>
              <w:left w:val="outset" w:sz="6" w:space="0" w:color="auto"/>
              <w:bottom w:val="outset" w:sz="6" w:space="0" w:color="auto"/>
              <w:right w:val="outset" w:sz="6" w:space="0" w:color="auto"/>
            </w:tcBorders>
            <w:hideMark/>
          </w:tcPr>
          <w:p w:rsidR="00FF7796" w:rsidRPr="00024478" w:rsidRDefault="00FF7796" w:rsidP="005E550D">
            <w:pPr>
              <w:pStyle w:val="naiskr"/>
              <w:spacing w:before="0" w:after="0"/>
              <w:ind w:left="247" w:right="180"/>
              <w:jc w:val="both"/>
              <w:rPr>
                <w:sz w:val="22"/>
                <w:szCs w:val="22"/>
              </w:rPr>
            </w:pPr>
            <w:r w:rsidRPr="00024478">
              <w:rPr>
                <w:sz w:val="22"/>
                <w:szCs w:val="22"/>
              </w:rPr>
              <w:t>Bibliotēku likuma pārejas noteikumu 11.punkts</w:t>
            </w:r>
          </w:p>
          <w:p w:rsidR="00941352" w:rsidRPr="00024478" w:rsidRDefault="00FF7796" w:rsidP="005E550D">
            <w:pPr>
              <w:pStyle w:val="naiskr"/>
              <w:spacing w:before="0" w:after="0"/>
              <w:ind w:left="247" w:right="180"/>
              <w:jc w:val="both"/>
              <w:rPr>
                <w:sz w:val="22"/>
                <w:szCs w:val="22"/>
              </w:rPr>
            </w:pPr>
            <w:r w:rsidRPr="00024478">
              <w:rPr>
                <w:sz w:val="22"/>
                <w:szCs w:val="22"/>
              </w:rPr>
              <w:t xml:space="preserve">2014.gada 29.maija likums “Grozījumi </w:t>
            </w:r>
            <w:r w:rsidR="00941352" w:rsidRPr="00024478">
              <w:rPr>
                <w:sz w:val="22"/>
                <w:szCs w:val="22"/>
              </w:rPr>
              <w:t>Bibliot</w:t>
            </w:r>
            <w:r w:rsidRPr="00024478">
              <w:rPr>
                <w:sz w:val="22"/>
                <w:szCs w:val="22"/>
              </w:rPr>
              <w:t>ēku likumā”</w:t>
            </w:r>
            <w:r w:rsidR="00024478" w:rsidRPr="00024478">
              <w:rPr>
                <w:sz w:val="22"/>
                <w:szCs w:val="22"/>
              </w:rPr>
              <w:t xml:space="preserve">, </w:t>
            </w:r>
            <w:r w:rsidRPr="00024478">
              <w:rPr>
                <w:sz w:val="22"/>
                <w:szCs w:val="22"/>
              </w:rPr>
              <w:t>kas paredz papildināt likuma 17.pantu astoto daļu</w:t>
            </w:r>
            <w:r w:rsidR="00683CCA" w:rsidRPr="00024478">
              <w:rPr>
                <w:sz w:val="22"/>
                <w:szCs w:val="22"/>
              </w:rPr>
              <w:t xml:space="preserve"> ar trešo teikumu. </w:t>
            </w:r>
          </w:p>
          <w:p w:rsidR="005E550D" w:rsidRPr="00024478" w:rsidRDefault="005E550D" w:rsidP="005E550D">
            <w:pPr>
              <w:pStyle w:val="naiskr"/>
              <w:spacing w:before="0" w:after="0"/>
              <w:ind w:left="247" w:right="180"/>
              <w:jc w:val="both"/>
              <w:rPr>
                <w:sz w:val="22"/>
                <w:szCs w:val="22"/>
              </w:rPr>
            </w:pPr>
          </w:p>
        </w:tc>
      </w:tr>
      <w:tr w:rsidR="005E550D"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43F3" w:rsidRDefault="005E550D">
            <w:pPr>
              <w:pStyle w:val="tvhtml"/>
              <w:jc w:val="center"/>
              <w:rPr>
                <w:sz w:val="22"/>
                <w:szCs w:val="22"/>
              </w:rPr>
            </w:pPr>
            <w:r w:rsidRPr="00024478">
              <w:rPr>
                <w:sz w:val="22"/>
                <w:szCs w:val="22"/>
              </w:rPr>
              <w:t>2.</w:t>
            </w: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Pr="006843F3" w:rsidRDefault="006843F3" w:rsidP="006843F3">
            <w:pPr>
              <w:rPr>
                <w:lang w:val="en-US" w:eastAsia="en-US"/>
              </w:rPr>
            </w:pPr>
          </w:p>
          <w:p w:rsidR="006843F3" w:rsidRDefault="006843F3" w:rsidP="006843F3">
            <w:pPr>
              <w:rPr>
                <w:lang w:val="en-US" w:eastAsia="en-US"/>
              </w:rPr>
            </w:pPr>
          </w:p>
          <w:p w:rsidR="006843F3" w:rsidRDefault="006843F3" w:rsidP="006843F3">
            <w:pPr>
              <w:rPr>
                <w:lang w:val="en-US" w:eastAsia="en-US"/>
              </w:rPr>
            </w:pPr>
          </w:p>
          <w:p w:rsidR="005E550D" w:rsidRPr="006843F3" w:rsidRDefault="005E550D" w:rsidP="006843F3">
            <w:pPr>
              <w:rPr>
                <w:lang w:val="en-US" w:eastAsia="en-US"/>
              </w:rPr>
            </w:pPr>
          </w:p>
        </w:tc>
        <w:tc>
          <w:tcPr>
            <w:tcW w:w="153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5E550D" w:rsidRPr="00024478" w:rsidRDefault="005E550D" w:rsidP="00F037AA">
            <w:pPr>
              <w:ind w:left="247" w:right="180"/>
              <w:jc w:val="both"/>
              <w:rPr>
                <w:sz w:val="22"/>
                <w:szCs w:val="22"/>
              </w:rPr>
            </w:pPr>
            <w:r w:rsidRPr="00024478">
              <w:rPr>
                <w:sz w:val="22"/>
                <w:szCs w:val="22"/>
              </w:rPr>
              <w:t>Bibliotēku likuma 23.panta trešā daļa nosaka, ka valsts un pašvaldību bibliotēku lietotājiem ir tiesības bez maksas izmantot publiski pieejamos datorus, kā arī internetu un vispārpieejamos elektroniskās informācijas resursus.</w:t>
            </w:r>
            <w:r w:rsidR="00F037AA">
              <w:rPr>
                <w:sz w:val="22"/>
                <w:szCs w:val="22"/>
              </w:rPr>
              <w:t xml:space="preserve"> </w:t>
            </w:r>
            <w:r w:rsidRPr="00024478">
              <w:rPr>
                <w:color w:val="000000"/>
                <w:sz w:val="22"/>
                <w:szCs w:val="22"/>
              </w:rPr>
              <w:t>Pašvaldību publiskajās bibliotēkās, atklāta konkursa rezultātā, 2008.gadā tika izveidots vienotais datu pārraides tīkls, kas nodrošina katram Latvijas iedzīvotājam līdzvērtīgu piekļuvi interneta resursiem visās pašvaldību publiskajās bibliotēkās. Vienotais datu pārraides tīkls ir unikāls, tas dod iespēju papildus ar autortiesībām aizsargātu e resursu piegādi bibliotēkas lietotājiem.</w:t>
            </w:r>
            <w:r w:rsidRPr="00024478">
              <w:rPr>
                <w:sz w:val="22"/>
                <w:szCs w:val="22"/>
              </w:rPr>
              <w:t xml:space="preserve"> Kopš 2012.gada 1.jūlija oficiālo publikāciju “Latvijas Vēstnesis” nodrošina elektroniski, izdodot tīmekļa vietnē </w:t>
            </w:r>
            <w:hyperlink r:id="rId8" w:history="1">
              <w:r w:rsidRPr="00024478">
                <w:rPr>
                  <w:rStyle w:val="Hyperlink"/>
                  <w:sz w:val="22"/>
                  <w:szCs w:val="22"/>
                </w:rPr>
                <w:t>www.vestnesis.lv</w:t>
              </w:r>
            </w:hyperlink>
            <w:r w:rsidRPr="00024478">
              <w:rPr>
                <w:sz w:val="22"/>
                <w:szCs w:val="22"/>
              </w:rPr>
              <w:t>. Valsts pienākums ir radīt mehānismu, kas nodrošina personu informētību par tiesiskā regulējuma saturu un tā izmaiņām. Drošai interneta lietošanai bibliotēkās visiem publiskajās bibliotēkās esošajiem datoriem, ir uzstādīti interneta filtri, izveidots melnais saraksts ar tām tīmekļa vietnēm, par kurām zināms, ka to saturs ir nevēlams. Filtrs salīdzina vietnes adresi ar melno sarakstu un, ja tiek atrasta sakritība, lietotājam tiek liegta pieeja vietnei. Melnā saraksta aktualizāciju un uzturēšanu nodrošina interneta pakalpojuma sniedzējs. Papildus tam bibliotēkās tiek rīkotas informatīvas kampaņas, bibliotēkās ir izstrādāti datortehnikas lietošanas noteikumi nepilngadīgiem lietotājiem. Turklāt bibliotēkās arī vizuāli tiek sekots līdzi, nepilngadīgu apmeklētāju veiktajām darbībām internetā.</w:t>
            </w:r>
          </w:p>
          <w:p w:rsidR="005E550D" w:rsidRPr="00024478" w:rsidRDefault="005E550D" w:rsidP="005E550D">
            <w:pPr>
              <w:ind w:left="247" w:right="180"/>
              <w:jc w:val="both"/>
              <w:rPr>
                <w:color w:val="000000"/>
                <w:sz w:val="22"/>
                <w:szCs w:val="22"/>
              </w:rPr>
            </w:pPr>
            <w:r w:rsidRPr="00024478">
              <w:rPr>
                <w:sz w:val="22"/>
                <w:szCs w:val="22"/>
              </w:rPr>
              <w:t>Saskaņā ar Bibliotēku likuma 17.panta astoto daļu, likums paredz, ka bibliotēkas var saņemt arī valsts budžetā vai pašvaldību budžetos paredzētos finanšu līdzekļus īpašu ar bibliotēku darbību</w:t>
            </w:r>
            <w:r w:rsidRPr="00024478">
              <w:rPr>
                <w:color w:val="000000"/>
                <w:sz w:val="22"/>
                <w:szCs w:val="22"/>
              </w:rPr>
              <w:t>, attīstību un zinātnisko pētniecību saistītu projektu un programmu realizēšanai. Datoru, interneta un vispārpieejamo elektroniskās informācijas resursu publisku pieejamību pašvaldību bibliotēkās nodrošina, izmantojot valsts budžeta līdzfinansējumu. Kārtību, kādā minēto valsts budžeta līdzfinansējumu piešķir pašvaldību bibliotēkām, nosaka Ministru kabinets.</w:t>
            </w:r>
          </w:p>
          <w:p w:rsidR="005E550D" w:rsidRPr="00024478" w:rsidRDefault="005E550D" w:rsidP="005E550D">
            <w:pPr>
              <w:ind w:left="247" w:right="180"/>
              <w:jc w:val="both"/>
              <w:rPr>
                <w:color w:val="000000"/>
                <w:sz w:val="22"/>
                <w:szCs w:val="22"/>
              </w:rPr>
            </w:pPr>
            <w:r w:rsidRPr="00024478">
              <w:rPr>
                <w:color w:val="000000"/>
                <w:sz w:val="22"/>
                <w:szCs w:val="22"/>
              </w:rPr>
              <w:t xml:space="preserve">Esošās kārtības ietvaros tiks mazināts administratīvais slogs. Kārtējā gada kārtība paliek nemainīga, mainoties finansējuma apjomam, kas skatāms saskaņā ar likumu par </w:t>
            </w:r>
            <w:r w:rsidRPr="00024478">
              <w:rPr>
                <w:color w:val="000000"/>
                <w:sz w:val="22"/>
                <w:szCs w:val="22"/>
              </w:rPr>
              <w:lastRenderedPageBreak/>
              <w:t xml:space="preserve">budžetu un finanšu vadību. </w:t>
            </w:r>
          </w:p>
          <w:p w:rsidR="005E550D" w:rsidRPr="00024478" w:rsidRDefault="005E550D" w:rsidP="005E550D">
            <w:pPr>
              <w:ind w:left="247" w:right="180"/>
              <w:jc w:val="both"/>
              <w:rPr>
                <w:sz w:val="22"/>
                <w:szCs w:val="22"/>
              </w:rPr>
            </w:pPr>
            <w:r w:rsidRPr="00024478">
              <w:rPr>
                <w:sz w:val="22"/>
                <w:szCs w:val="22"/>
              </w:rPr>
              <w:t>S</w:t>
            </w:r>
            <w:r w:rsidRPr="00024478">
              <w:rPr>
                <w:rFonts w:eastAsia="Calibri"/>
                <w:sz w:val="22"/>
                <w:szCs w:val="22"/>
              </w:rPr>
              <w:t>askaņā ar Publisko iepirkumu likuma 8.pantu Kultūras informācijas sistēmu centrs veic iepirkuma procedūru, lai noslēgtu līgumu par izveidotā vienotā bibliotēku datu pārraides tīkla pieslēgumu darbības nodrošināšanu kārtējā gadā.</w:t>
            </w:r>
            <w:r w:rsidRPr="00024478">
              <w:rPr>
                <w:sz w:val="22"/>
                <w:szCs w:val="22"/>
              </w:rPr>
              <w:t xml:space="preserve"> </w:t>
            </w:r>
          </w:p>
          <w:p w:rsidR="005E550D" w:rsidRPr="002F146E" w:rsidRDefault="005E550D" w:rsidP="005E550D">
            <w:pPr>
              <w:ind w:left="247" w:right="180"/>
              <w:jc w:val="both"/>
              <w:rPr>
                <w:sz w:val="22"/>
                <w:szCs w:val="22"/>
              </w:rPr>
            </w:pPr>
            <w:r w:rsidRPr="00024478">
              <w:rPr>
                <w:sz w:val="22"/>
                <w:szCs w:val="22"/>
              </w:rPr>
              <w:t xml:space="preserve">Valsts budžeta finansējumu izmaksā pakalpojuma sniedzējam, kas izvēlēts iepirkuma procedūras rezultātā slēdzot līgumu ar Valsts reģionālās attīstības aģentūru. Finansējuma apmērs paredzēts </w:t>
            </w:r>
            <w:r w:rsidRPr="00024478">
              <w:rPr>
                <w:iCs/>
                <w:sz w:val="22"/>
                <w:szCs w:val="22"/>
              </w:rPr>
              <w:t xml:space="preserve">Vides aizsardzības un reģionālās attīstības ministrijas programmā </w:t>
            </w:r>
            <w:smartTag w:uri="schemas-tilde-lv/tildestengine" w:element="date">
              <w:smartTagPr>
                <w:attr w:name="Day" w:val="30"/>
                <w:attr w:name="Month" w:val="11"/>
                <w:attr w:name="Year" w:val="2029"/>
              </w:smartTagPr>
              <w:r w:rsidRPr="00024478">
                <w:rPr>
                  <w:iCs/>
                  <w:sz w:val="22"/>
                  <w:szCs w:val="22"/>
                </w:rPr>
                <w:t>30.00.00</w:t>
              </w:r>
            </w:smartTag>
            <w:r w:rsidRPr="00024478">
              <w:rPr>
                <w:iCs/>
                <w:sz w:val="22"/>
                <w:szCs w:val="22"/>
              </w:rPr>
              <w:t xml:space="preserve"> „Pašvaldību attīstības nacionālie atbalsta instrumenti”</w:t>
            </w:r>
            <w:r w:rsidRPr="00024478">
              <w:rPr>
                <w:sz w:val="22"/>
                <w:szCs w:val="22"/>
              </w:rPr>
              <w:t xml:space="preserve">, lai segtu pakalpojumu nodrošināšanas izmaksas laikposmā no kārtējā gada 1.janvāra līdz 31.decembrim. </w:t>
            </w:r>
            <w:r w:rsidR="00A44AC6">
              <w:rPr>
                <w:sz w:val="22"/>
                <w:szCs w:val="22"/>
              </w:rPr>
              <w:t>Saskaņā ar likumu „Par valsts budžetu 2014.</w:t>
            </w:r>
            <w:r w:rsidR="00F037AA">
              <w:rPr>
                <w:sz w:val="22"/>
                <w:szCs w:val="22"/>
              </w:rPr>
              <w:t>gada</w:t>
            </w:r>
            <w:r w:rsidR="00A44AC6">
              <w:rPr>
                <w:sz w:val="22"/>
                <w:szCs w:val="22"/>
              </w:rPr>
              <w:t xml:space="preserve">m” 60.pantu </w:t>
            </w:r>
            <w:r w:rsidR="00A44AC6" w:rsidRPr="00024478">
              <w:rPr>
                <w:iCs/>
                <w:sz w:val="22"/>
                <w:szCs w:val="22"/>
              </w:rPr>
              <w:t>Vides aizsardzības un reģionālās attīstības ministrijas</w:t>
            </w:r>
            <w:r w:rsidR="00A44AC6">
              <w:rPr>
                <w:sz w:val="22"/>
                <w:szCs w:val="22"/>
              </w:rPr>
              <w:t xml:space="preserve"> programmas 30.00.00 „</w:t>
            </w:r>
            <w:r w:rsidR="00A44AC6" w:rsidRPr="00A44AC6">
              <w:rPr>
                <w:sz w:val="22"/>
                <w:szCs w:val="22"/>
              </w:rPr>
              <w:t xml:space="preserve">Pašvaldību attīstības nacionālie atbalsta instrumenti” ietvaros </w:t>
            </w:r>
            <w:r w:rsidR="00A44AC6" w:rsidRPr="002F146E">
              <w:rPr>
                <w:sz w:val="22"/>
                <w:szCs w:val="22"/>
              </w:rPr>
              <w:t xml:space="preserve">paredzētā apropriācija ir 451 015 </w:t>
            </w:r>
            <w:r w:rsidR="00A44AC6" w:rsidRPr="002F146E">
              <w:rPr>
                <w:i/>
                <w:iCs/>
                <w:sz w:val="22"/>
                <w:szCs w:val="22"/>
              </w:rPr>
              <w:t>euro</w:t>
            </w:r>
            <w:r w:rsidR="00A44AC6" w:rsidRPr="002F146E">
              <w:rPr>
                <w:sz w:val="22"/>
                <w:szCs w:val="22"/>
              </w:rPr>
              <w:t xml:space="preserve"> apmērā. F</w:t>
            </w:r>
            <w:r w:rsidRPr="002F146E">
              <w:rPr>
                <w:sz w:val="22"/>
                <w:szCs w:val="22"/>
              </w:rPr>
              <w:t xml:space="preserve">inansējuma izpildi nodrošina Valsts reģionālās attīstības aģentūra. </w:t>
            </w:r>
            <w:r w:rsidR="002F146E" w:rsidRPr="002F146E">
              <w:rPr>
                <w:sz w:val="22"/>
                <w:szCs w:val="22"/>
              </w:rPr>
              <w:t xml:space="preserve">Ar katru pašvaldību tiks slēgti trīs pušu līgumi </w:t>
            </w:r>
            <w:r w:rsidR="002F146E" w:rsidRPr="002F146E">
              <w:rPr>
                <w:sz w:val="22"/>
                <w:szCs w:val="22"/>
                <w:lang w:eastAsia="en-US"/>
              </w:rPr>
              <w:t>starp Kultūras informācijas sistēmu centru, Valsts reģionālās attīstības aģentūru un pašvaldībām</w:t>
            </w:r>
            <w:r w:rsidR="002F146E" w:rsidRPr="002F146E">
              <w:rPr>
                <w:sz w:val="22"/>
                <w:szCs w:val="22"/>
              </w:rPr>
              <w:t xml:space="preserve">, kurā noteikts saņemtā pakalpojuma un valsts </w:t>
            </w:r>
            <w:r w:rsidR="002F146E" w:rsidRPr="002F146E">
              <w:rPr>
                <w:color w:val="000000"/>
                <w:sz w:val="22"/>
                <w:szCs w:val="22"/>
              </w:rPr>
              <w:t xml:space="preserve">budžeta finansējuma </w:t>
            </w:r>
            <w:r w:rsidR="002F146E" w:rsidRPr="002F146E">
              <w:rPr>
                <w:sz w:val="22"/>
                <w:szCs w:val="22"/>
              </w:rPr>
              <w:t>apmērs bezmaksas interneta un datoru izmantošanai to īpašumā esošām publiskajām bibliotēkām.</w:t>
            </w:r>
          </w:p>
          <w:p w:rsidR="005E550D" w:rsidRPr="00024478" w:rsidRDefault="005E550D" w:rsidP="005E550D">
            <w:pPr>
              <w:ind w:left="247" w:right="180"/>
              <w:jc w:val="both"/>
              <w:rPr>
                <w:sz w:val="22"/>
                <w:szCs w:val="22"/>
              </w:rPr>
            </w:pPr>
            <w:r w:rsidRPr="002F146E">
              <w:rPr>
                <w:sz w:val="22"/>
                <w:szCs w:val="22"/>
              </w:rPr>
              <w:t>Pamatojoties uz esošo situāciju un iepriekšminētajiem likumiem ir izstrādāts Minist</w:t>
            </w:r>
            <w:r w:rsidR="00F47241" w:rsidRPr="002F146E">
              <w:rPr>
                <w:sz w:val="22"/>
                <w:szCs w:val="22"/>
              </w:rPr>
              <w:t>ru kabineta noteikumu projekts „Kārtība, kādā piešķir valsts</w:t>
            </w:r>
            <w:r w:rsidR="00F47241" w:rsidRPr="00900076">
              <w:rPr>
                <w:sz w:val="22"/>
                <w:szCs w:val="22"/>
              </w:rPr>
              <w:t xml:space="preserve"> budžeta līdzfinansējumu datoru, interneta un vispārpieejamo elektroniskās informācijas resursu publiskās pieejamības nodroš</w:t>
            </w:r>
            <w:r w:rsidR="00F47241">
              <w:rPr>
                <w:sz w:val="22"/>
                <w:szCs w:val="22"/>
              </w:rPr>
              <w:t>ināšanai pašvaldību bibliotēkās</w:t>
            </w:r>
            <w:r w:rsidRPr="00024478">
              <w:rPr>
                <w:sz w:val="22"/>
                <w:szCs w:val="22"/>
              </w:rPr>
              <w:t>”.</w:t>
            </w:r>
          </w:p>
        </w:tc>
      </w:tr>
      <w:tr w:rsidR="005E550D"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024478" w:rsidRDefault="005E550D">
            <w:pPr>
              <w:pStyle w:val="tvhtml"/>
              <w:jc w:val="center"/>
              <w:rPr>
                <w:sz w:val="22"/>
                <w:szCs w:val="22"/>
              </w:rPr>
            </w:pPr>
            <w:r w:rsidRPr="00024478">
              <w:rPr>
                <w:sz w:val="22"/>
                <w:szCs w:val="22"/>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E550D" w:rsidRPr="00024478" w:rsidRDefault="00024478" w:rsidP="005F7696">
            <w:pPr>
              <w:ind w:left="208" w:right="138"/>
              <w:rPr>
                <w:sz w:val="22"/>
                <w:szCs w:val="22"/>
              </w:rPr>
            </w:pPr>
            <w:r w:rsidRPr="00024478">
              <w:rPr>
                <w:sz w:val="22"/>
                <w:szCs w:val="22"/>
              </w:rPr>
              <w:t>Kultūras ministrija, Kultūras informācijas sistēmu centrs</w:t>
            </w:r>
          </w:p>
        </w:tc>
      </w:tr>
      <w:tr w:rsidR="005E550D" w:rsidTr="005E55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024478" w:rsidRDefault="005E550D">
            <w:pPr>
              <w:pStyle w:val="tvhtml"/>
              <w:jc w:val="center"/>
              <w:rPr>
                <w:sz w:val="22"/>
                <w:szCs w:val="22"/>
              </w:rPr>
            </w:pPr>
            <w:r w:rsidRPr="00024478">
              <w:rPr>
                <w:sz w:val="22"/>
                <w:szCs w:val="22"/>
              </w:rPr>
              <w:t>4.</w:t>
            </w:r>
          </w:p>
        </w:tc>
        <w:tc>
          <w:tcPr>
            <w:tcW w:w="153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550D" w:rsidRPr="00024478" w:rsidRDefault="005E550D" w:rsidP="005F7696">
            <w:pPr>
              <w:pStyle w:val="tvhtml"/>
              <w:ind w:left="208" w:right="138"/>
              <w:rPr>
                <w:sz w:val="22"/>
                <w:szCs w:val="22"/>
              </w:rPr>
            </w:pPr>
            <w:r w:rsidRPr="00024478">
              <w:rPr>
                <w:sz w:val="22"/>
                <w:szCs w:val="22"/>
              </w:rPr>
              <w:t>Nav</w:t>
            </w:r>
          </w:p>
        </w:tc>
      </w:tr>
    </w:tbl>
    <w:p w:rsidR="005E550D" w:rsidRDefault="005E550D" w:rsidP="005E550D">
      <w:pPr>
        <w:pStyle w:val="tvhtml"/>
        <w:spacing w:before="0" w:beforeAutospacing="0" w:after="0" w:afterAutospacing="0"/>
      </w:pPr>
      <w: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5E550D" w:rsidTr="005E550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Default="005E550D">
            <w:pPr>
              <w:pStyle w:val="tvhtml"/>
              <w:jc w:val="center"/>
              <w:rPr>
                <w:b/>
                <w:bCs/>
              </w:rPr>
            </w:pPr>
            <w:r>
              <w:rPr>
                <w:b/>
                <w:bCs/>
              </w:rPr>
              <w:t>II. Tiesību akta projekta ietekme uz sabiedrību, tautsaimniecības attīstību un administratīvo slogu</w:t>
            </w:r>
          </w:p>
        </w:tc>
      </w:tr>
      <w:tr w:rsidR="005E550D" w:rsidTr="005E550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1.</w:t>
            </w:r>
          </w:p>
        </w:tc>
        <w:tc>
          <w:tcPr>
            <w:tcW w:w="15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F7696" w:rsidRPr="00024478" w:rsidRDefault="005E550D" w:rsidP="005F7696">
            <w:pPr>
              <w:pStyle w:val="Default"/>
              <w:ind w:left="208" w:right="138"/>
              <w:jc w:val="both"/>
              <w:rPr>
                <w:sz w:val="22"/>
                <w:szCs w:val="22"/>
                <w:lang w:val="lv-LV"/>
              </w:rPr>
            </w:pPr>
            <w:r w:rsidRPr="00024478">
              <w:rPr>
                <w:sz w:val="22"/>
                <w:szCs w:val="22"/>
                <w:lang w:val="lv-LV"/>
              </w:rPr>
              <w:t xml:space="preserve">Mērķgrupa, ko skar šis likumprojekts, aptver pilnīgi visus Latvijas iedzīvotājus. </w:t>
            </w:r>
          </w:p>
          <w:p w:rsidR="005E550D" w:rsidRPr="00024478" w:rsidRDefault="005E550D" w:rsidP="005F7696">
            <w:pPr>
              <w:pStyle w:val="Default"/>
              <w:ind w:left="208" w:right="138"/>
              <w:jc w:val="both"/>
              <w:rPr>
                <w:sz w:val="22"/>
                <w:szCs w:val="22"/>
                <w:lang w:val="lv-LV"/>
              </w:rPr>
            </w:pPr>
            <w:r w:rsidRPr="00024478">
              <w:rPr>
                <w:sz w:val="22"/>
                <w:szCs w:val="22"/>
                <w:lang w:val="lv-LV"/>
              </w:rPr>
              <w:t>Noteikumu projekts skar arī pašvaldības, pašvaldību bibliotēkas un interneta pakalpojumu sniedzējus, kuriem ir jāīsteno šajā likumprojektā noteiktais.</w:t>
            </w:r>
          </w:p>
        </w:tc>
      </w:tr>
      <w:tr w:rsidR="005E550D"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2.</w:t>
            </w:r>
          </w:p>
        </w:tc>
        <w:tc>
          <w:tcPr>
            <w:tcW w:w="15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E550D" w:rsidRPr="00024478" w:rsidRDefault="005E550D" w:rsidP="005F7696">
            <w:pPr>
              <w:pStyle w:val="naiskr"/>
              <w:spacing w:before="0" w:after="0"/>
              <w:ind w:left="208" w:right="138"/>
              <w:jc w:val="both"/>
              <w:rPr>
                <w:iCs/>
                <w:sz w:val="22"/>
                <w:szCs w:val="22"/>
              </w:rPr>
            </w:pPr>
            <w:r w:rsidRPr="00024478">
              <w:rPr>
                <w:iCs/>
                <w:sz w:val="22"/>
                <w:szCs w:val="22"/>
              </w:rPr>
              <w:t>Pašvaldību iedzīvotājiem tiks pastāvīgi nodrošināta bezmaksas pieeja internetam un datoriem pašvaldību bibliotēkās.</w:t>
            </w:r>
          </w:p>
          <w:p w:rsidR="005E550D" w:rsidRPr="00024478" w:rsidRDefault="005E550D" w:rsidP="005F7696">
            <w:pPr>
              <w:ind w:left="208" w:right="138"/>
              <w:rPr>
                <w:sz w:val="22"/>
                <w:szCs w:val="22"/>
              </w:rPr>
            </w:pPr>
            <w:r w:rsidRPr="00024478">
              <w:rPr>
                <w:iCs/>
                <w:sz w:val="22"/>
                <w:szCs w:val="22"/>
              </w:rPr>
              <w:t>Izvēloties bibliotēku kanālu (vairāk nekā 800 bibliotēkas), tiek nodrošināta piekļuve valsts un pašvaldību sniegtajiem e-pakalpojumiem plašam lietotāju lokam.</w:t>
            </w:r>
          </w:p>
        </w:tc>
      </w:tr>
      <w:tr w:rsidR="005E550D"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3.</w:t>
            </w:r>
          </w:p>
        </w:tc>
        <w:tc>
          <w:tcPr>
            <w:tcW w:w="15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E550D" w:rsidRPr="00024478" w:rsidRDefault="005E550D" w:rsidP="005F7696">
            <w:pPr>
              <w:ind w:left="208" w:right="138"/>
              <w:rPr>
                <w:sz w:val="22"/>
                <w:szCs w:val="22"/>
              </w:rPr>
            </w:pPr>
            <w:r w:rsidRPr="00024478">
              <w:rPr>
                <w:sz w:val="22"/>
                <w:szCs w:val="22"/>
              </w:rPr>
              <w:t xml:space="preserve">Administratīvā sloga izmaksas noteikumu projekta izstrādē ikgadēji veido 16694,40eur. Izmaksas ietver iekļauto personu darbu projekta izstrādē un saskaņošanā. Veiktās </w:t>
            </w:r>
            <w:r w:rsidRPr="00024478">
              <w:rPr>
                <w:sz w:val="22"/>
                <w:szCs w:val="22"/>
              </w:rPr>
              <w:lastRenderedPageBreak/>
              <w:t>izmaiņas noteikumos atvieglos šīs kārtības izpildi, netiks tērēti resursi jaunu MK noteikumu izstrādei saskaņā ar MK kārtības rullī noteikto procedūru. Mainīgā finansējuma apjoms interneta un datoru bezmaksas izmantošanai pašvaldību bibliotēkās skatāms atbilstoši kārtējā budžeta finanšu līdzekļu apmēram.</w:t>
            </w:r>
          </w:p>
        </w:tc>
      </w:tr>
      <w:tr w:rsidR="005E550D" w:rsidTr="005E550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5E550D" w:rsidRPr="00024478" w:rsidRDefault="005E550D">
            <w:pPr>
              <w:rPr>
                <w:sz w:val="22"/>
                <w:szCs w:val="22"/>
              </w:rPr>
            </w:pPr>
            <w:r w:rsidRPr="00024478">
              <w:rPr>
                <w:sz w:val="22"/>
                <w:szCs w:val="22"/>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E550D" w:rsidRPr="00024478" w:rsidRDefault="005E550D" w:rsidP="005F7696">
            <w:pPr>
              <w:pStyle w:val="tvhtml"/>
              <w:ind w:left="208" w:right="138"/>
              <w:rPr>
                <w:sz w:val="22"/>
                <w:szCs w:val="22"/>
              </w:rPr>
            </w:pPr>
            <w:r w:rsidRPr="00024478">
              <w:rPr>
                <w:sz w:val="22"/>
                <w:szCs w:val="22"/>
              </w:rPr>
              <w:t>Nav</w:t>
            </w:r>
          </w:p>
        </w:tc>
      </w:tr>
    </w:tbl>
    <w:p w:rsidR="00C00837" w:rsidRDefault="00C00837" w:rsidP="00655B1F">
      <w:pPr>
        <w:pStyle w:val="tvhtml"/>
        <w:spacing w:before="0" w:beforeAutospacing="0" w:after="0" w:afterAutospacing="0"/>
      </w:pP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3205"/>
        <w:gridCol w:w="5597"/>
      </w:tblGrid>
      <w:tr w:rsidR="005F7696" w:rsidTr="005F7696">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F7696" w:rsidRDefault="005F7696">
            <w:pPr>
              <w:pStyle w:val="tvhtml"/>
              <w:jc w:val="center"/>
              <w:rPr>
                <w:b/>
                <w:bCs/>
              </w:rPr>
            </w:pPr>
            <w:r>
              <w:rPr>
                <w:b/>
                <w:bCs/>
              </w:rPr>
              <w:t>VII. Tiesību akta projekta izpildes nodrošināšana un tās ietekme uz institūcijām</w:t>
            </w:r>
          </w:p>
        </w:tc>
      </w:tr>
      <w:tr w:rsidR="005F7696" w:rsidTr="005F7696">
        <w:trPr>
          <w:trHeight w:val="420"/>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1.</w:t>
            </w:r>
          </w:p>
        </w:tc>
        <w:tc>
          <w:tcPr>
            <w:tcW w:w="1708"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Projekta izpildē iesaistītās institūcijas</w:t>
            </w:r>
          </w:p>
        </w:tc>
        <w:tc>
          <w:tcPr>
            <w:tcW w:w="2956" w:type="pct"/>
            <w:tcBorders>
              <w:top w:val="outset" w:sz="6" w:space="0" w:color="auto"/>
              <w:left w:val="outset" w:sz="6" w:space="0" w:color="auto"/>
              <w:bottom w:val="outset" w:sz="6" w:space="0" w:color="auto"/>
              <w:right w:val="outset" w:sz="6" w:space="0" w:color="auto"/>
            </w:tcBorders>
            <w:hideMark/>
          </w:tcPr>
          <w:p w:rsidR="005F7696" w:rsidRPr="00024478" w:rsidRDefault="005F7696" w:rsidP="00AF304E">
            <w:pPr>
              <w:ind w:left="293" w:right="207"/>
              <w:rPr>
                <w:sz w:val="22"/>
                <w:szCs w:val="22"/>
              </w:rPr>
            </w:pPr>
            <w:r w:rsidRPr="00024478">
              <w:rPr>
                <w:iCs/>
                <w:sz w:val="22"/>
                <w:szCs w:val="22"/>
              </w:rPr>
              <w:t xml:space="preserve">Noteikumu projekta izpildi nodrošinās </w:t>
            </w:r>
            <w:r w:rsidRPr="00024478">
              <w:rPr>
                <w:sz w:val="22"/>
                <w:szCs w:val="22"/>
              </w:rPr>
              <w:t>Vides aizsardzības un reģionālās attīstības ministrija, Valsts reģionālās attīstības aģentūra, Kultūras ministrija un Kultūras informācijas sistēmu centrs</w:t>
            </w:r>
            <w:r w:rsidRPr="00024478">
              <w:rPr>
                <w:iCs/>
                <w:sz w:val="22"/>
                <w:szCs w:val="22"/>
              </w:rPr>
              <w:t>.</w:t>
            </w:r>
          </w:p>
        </w:tc>
      </w:tr>
      <w:tr w:rsidR="005F7696" w:rsidTr="005F7696">
        <w:trPr>
          <w:trHeight w:val="450"/>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2.</w:t>
            </w:r>
          </w:p>
        </w:tc>
        <w:tc>
          <w:tcPr>
            <w:tcW w:w="1708"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 xml:space="preserve">Projekta izpildes ietekme uz pārvaldes funkcijām un institucionālo struktūru. </w:t>
            </w:r>
          </w:p>
          <w:p w:rsidR="005F7696" w:rsidRPr="00024478" w:rsidRDefault="005F7696">
            <w:pPr>
              <w:pStyle w:val="tvhtml"/>
              <w:rPr>
                <w:sz w:val="22"/>
                <w:szCs w:val="22"/>
                <w:lang w:val="lv-LV"/>
              </w:rPr>
            </w:pPr>
            <w:r w:rsidRPr="00024478">
              <w:rPr>
                <w:sz w:val="22"/>
                <w:szCs w:val="22"/>
                <w:lang w:val="lv-LV"/>
              </w:rPr>
              <w:t>Jaunu institūciju izveide, esošu institūciju likvidācija vai reorganizācija, to ietekme uz institūcijas cilvēkresursiem</w:t>
            </w:r>
          </w:p>
        </w:tc>
        <w:tc>
          <w:tcPr>
            <w:tcW w:w="2956" w:type="pct"/>
            <w:tcBorders>
              <w:top w:val="outset" w:sz="6" w:space="0" w:color="auto"/>
              <w:left w:val="outset" w:sz="6" w:space="0" w:color="auto"/>
              <w:bottom w:val="outset" w:sz="6" w:space="0" w:color="auto"/>
              <w:right w:val="outset" w:sz="6" w:space="0" w:color="auto"/>
            </w:tcBorders>
            <w:hideMark/>
          </w:tcPr>
          <w:p w:rsidR="005F7696" w:rsidRPr="00024478" w:rsidRDefault="005F7696" w:rsidP="00AF304E">
            <w:pPr>
              <w:ind w:left="293"/>
              <w:rPr>
                <w:sz w:val="22"/>
                <w:szCs w:val="22"/>
              </w:rPr>
            </w:pPr>
            <w:r w:rsidRPr="00024478">
              <w:rPr>
                <w:sz w:val="22"/>
                <w:szCs w:val="22"/>
              </w:rPr>
              <w:t>Nav</w:t>
            </w:r>
          </w:p>
        </w:tc>
      </w:tr>
      <w:tr w:rsidR="005F7696" w:rsidTr="005F7696">
        <w:trPr>
          <w:trHeight w:val="390"/>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3.</w:t>
            </w:r>
          </w:p>
        </w:tc>
        <w:tc>
          <w:tcPr>
            <w:tcW w:w="1708" w:type="pct"/>
            <w:tcBorders>
              <w:top w:val="outset" w:sz="6" w:space="0" w:color="auto"/>
              <w:left w:val="outset" w:sz="6" w:space="0" w:color="auto"/>
              <w:bottom w:val="outset" w:sz="6" w:space="0" w:color="auto"/>
              <w:right w:val="outset" w:sz="6" w:space="0" w:color="auto"/>
            </w:tcBorders>
            <w:hideMark/>
          </w:tcPr>
          <w:p w:rsidR="005F7696" w:rsidRPr="00024478" w:rsidRDefault="005F7696">
            <w:pPr>
              <w:rPr>
                <w:sz w:val="22"/>
                <w:szCs w:val="22"/>
              </w:rPr>
            </w:pPr>
            <w:r w:rsidRPr="00024478">
              <w:rPr>
                <w:sz w:val="22"/>
                <w:szCs w:val="22"/>
              </w:rPr>
              <w:t>Cita informācija</w:t>
            </w:r>
          </w:p>
        </w:tc>
        <w:tc>
          <w:tcPr>
            <w:tcW w:w="2956" w:type="pct"/>
            <w:tcBorders>
              <w:top w:val="outset" w:sz="6" w:space="0" w:color="auto"/>
              <w:left w:val="outset" w:sz="6" w:space="0" w:color="auto"/>
              <w:bottom w:val="outset" w:sz="6" w:space="0" w:color="auto"/>
              <w:right w:val="outset" w:sz="6" w:space="0" w:color="auto"/>
            </w:tcBorders>
            <w:hideMark/>
          </w:tcPr>
          <w:p w:rsidR="005F7696" w:rsidRPr="00024478" w:rsidRDefault="005F7696" w:rsidP="00AF304E">
            <w:pPr>
              <w:ind w:left="293"/>
              <w:rPr>
                <w:sz w:val="22"/>
                <w:szCs w:val="22"/>
              </w:rPr>
            </w:pPr>
            <w:r w:rsidRPr="00024478">
              <w:rPr>
                <w:sz w:val="22"/>
                <w:szCs w:val="22"/>
              </w:rPr>
              <w:t>Nav</w:t>
            </w:r>
          </w:p>
        </w:tc>
      </w:tr>
    </w:tbl>
    <w:p w:rsidR="001617E8" w:rsidRDefault="001617E8"/>
    <w:p w:rsidR="00AF304E" w:rsidRDefault="00941352">
      <w:r>
        <w:t xml:space="preserve">Anotācijas III – VI.sadaļa – projekts šo jomu neskar. </w:t>
      </w:r>
    </w:p>
    <w:p w:rsidR="001617E8" w:rsidRDefault="001617E8"/>
    <w:p w:rsidR="00024478" w:rsidRDefault="00024478"/>
    <w:p w:rsidR="00024478" w:rsidRDefault="00024478"/>
    <w:p w:rsidR="00024478" w:rsidRDefault="00024478"/>
    <w:p w:rsidR="00024478" w:rsidRDefault="00024478"/>
    <w:p w:rsidR="00941352" w:rsidRPr="00941352" w:rsidRDefault="002B61DB" w:rsidP="00AC2821">
      <w:pPr>
        <w:pStyle w:val="naisf"/>
        <w:spacing w:before="0" w:after="0"/>
        <w:ind w:firstLine="0"/>
      </w:pPr>
      <w:r w:rsidRPr="002B61DB">
        <w:t xml:space="preserve">Vides aizsardzības un reģionālās </w:t>
      </w:r>
    </w:p>
    <w:p w:rsidR="00941352" w:rsidRPr="00941352" w:rsidRDefault="002B61DB" w:rsidP="00AC2821">
      <w:pPr>
        <w:pStyle w:val="naisf"/>
        <w:spacing w:before="0" w:after="0"/>
        <w:ind w:firstLine="0"/>
      </w:pPr>
      <w:r w:rsidRPr="002B61DB">
        <w:t>attīstības ministrs</w:t>
      </w:r>
      <w:r w:rsidRPr="002B61DB">
        <w:tab/>
      </w:r>
      <w:r w:rsidRPr="002B61DB">
        <w:tab/>
      </w:r>
      <w:r w:rsidRPr="002B61DB">
        <w:tab/>
      </w:r>
      <w:r w:rsidRPr="002B61DB">
        <w:tab/>
      </w:r>
      <w:r w:rsidRPr="002B61DB">
        <w:tab/>
      </w:r>
      <w:r w:rsidRPr="002B61DB">
        <w:tab/>
      </w:r>
      <w:r w:rsidRPr="002B61DB">
        <w:tab/>
        <w:t>R.Naudiņš</w:t>
      </w:r>
    </w:p>
    <w:p w:rsidR="00941352" w:rsidRPr="00941352" w:rsidRDefault="00941352" w:rsidP="00AC2821">
      <w:pPr>
        <w:pStyle w:val="naisf"/>
        <w:spacing w:before="0" w:after="0"/>
        <w:ind w:firstLine="0"/>
      </w:pPr>
    </w:p>
    <w:p w:rsidR="00941352" w:rsidRDefault="00941352" w:rsidP="00AC2821">
      <w:pPr>
        <w:pStyle w:val="naisf"/>
        <w:spacing w:before="0" w:after="0"/>
        <w:ind w:firstLine="0"/>
        <w:rPr>
          <w:b/>
        </w:rPr>
      </w:pPr>
    </w:p>
    <w:p w:rsidR="00024478" w:rsidRDefault="00024478" w:rsidP="00AC2821">
      <w:pPr>
        <w:pStyle w:val="naisf"/>
        <w:spacing w:before="0" w:after="0"/>
        <w:ind w:firstLine="0"/>
        <w:rPr>
          <w:b/>
        </w:rPr>
      </w:pPr>
    </w:p>
    <w:p w:rsidR="00320CEE" w:rsidRPr="00194FED" w:rsidRDefault="00320CEE" w:rsidP="00AC2821">
      <w:pPr>
        <w:pStyle w:val="naisf"/>
        <w:spacing w:before="0" w:after="0"/>
        <w:ind w:firstLine="0"/>
        <w:rPr>
          <w:b/>
        </w:rPr>
      </w:pPr>
      <w:r w:rsidRPr="00194FED">
        <w:rPr>
          <w:b/>
        </w:rPr>
        <w:t xml:space="preserve">Iesniedzējs: </w:t>
      </w:r>
    </w:p>
    <w:p w:rsidR="00354462" w:rsidRPr="00194FED" w:rsidRDefault="00AC2821" w:rsidP="00AC2821">
      <w:pPr>
        <w:pStyle w:val="naisf"/>
        <w:spacing w:before="0" w:after="0"/>
        <w:ind w:firstLine="0"/>
      </w:pPr>
      <w:r w:rsidRPr="00194FED">
        <w:t>Vides</w:t>
      </w:r>
      <w:r w:rsidR="00354462" w:rsidRPr="00194FED">
        <w:t xml:space="preserve"> aizsardzības un </w:t>
      </w:r>
    </w:p>
    <w:p w:rsidR="00AC2821" w:rsidRPr="00194FED" w:rsidRDefault="00C576E3" w:rsidP="00AC2821">
      <w:pPr>
        <w:pStyle w:val="naisf"/>
        <w:spacing w:before="0" w:after="0"/>
        <w:ind w:firstLine="0"/>
      </w:pPr>
      <w:r w:rsidRPr="00194FED">
        <w:t>reģionālās attīstības ministr</w:t>
      </w:r>
      <w:r w:rsidR="008A6072">
        <w:t>s</w:t>
      </w:r>
      <w:r w:rsidR="00C15FB9">
        <w:t xml:space="preserve"> </w:t>
      </w:r>
      <w:r w:rsidR="008A6072">
        <w:tab/>
      </w:r>
      <w:r w:rsidR="008A6072">
        <w:tab/>
      </w:r>
      <w:r w:rsidR="008A6072">
        <w:tab/>
      </w:r>
      <w:r w:rsidR="008A6072">
        <w:tab/>
      </w:r>
      <w:r w:rsidR="008A6072">
        <w:tab/>
      </w:r>
      <w:r w:rsidR="008A6072">
        <w:tab/>
        <w:t>R.Naudiņš</w:t>
      </w:r>
      <w:r w:rsidR="00DA1589" w:rsidRPr="00194FED">
        <w:t xml:space="preserve"> </w:t>
      </w:r>
    </w:p>
    <w:p w:rsidR="00AC2821" w:rsidRDefault="00AC2821" w:rsidP="00AC2821">
      <w:pPr>
        <w:pStyle w:val="naisf"/>
        <w:spacing w:before="0" w:after="0"/>
        <w:ind w:firstLine="0"/>
      </w:pPr>
    </w:p>
    <w:p w:rsidR="00024478" w:rsidRPr="00194FED" w:rsidRDefault="00024478" w:rsidP="00AC2821">
      <w:pPr>
        <w:pStyle w:val="naisf"/>
        <w:spacing w:before="0" w:after="0"/>
        <w:ind w:firstLine="0"/>
      </w:pPr>
    </w:p>
    <w:p w:rsidR="00AC2821" w:rsidRPr="00194FED" w:rsidRDefault="00AC2821" w:rsidP="00AC2821">
      <w:pPr>
        <w:jc w:val="both"/>
        <w:rPr>
          <w:b/>
        </w:rPr>
      </w:pPr>
      <w:r w:rsidRPr="00194FED">
        <w:rPr>
          <w:b/>
        </w:rPr>
        <w:t xml:space="preserve">Vīza: </w:t>
      </w:r>
    </w:p>
    <w:p w:rsidR="00C86F53" w:rsidRPr="00194FED" w:rsidRDefault="00A852B0" w:rsidP="00C86F53">
      <w:pPr>
        <w:jc w:val="both"/>
      </w:pPr>
      <w:r>
        <w:t>v</w:t>
      </w:r>
      <w:r w:rsidR="00FC441C" w:rsidRPr="00194FED">
        <w:t>alsts sekretārs</w:t>
      </w:r>
      <w:r w:rsidR="00C86F53" w:rsidRPr="00194FED">
        <w:tab/>
      </w:r>
      <w:r w:rsidR="00C86F53" w:rsidRPr="00194FED">
        <w:tab/>
      </w:r>
      <w:r w:rsidR="00C86F53" w:rsidRPr="00194FED">
        <w:tab/>
      </w:r>
      <w:r w:rsidR="00C86F53" w:rsidRPr="00194FED">
        <w:tab/>
      </w:r>
      <w:r w:rsidR="008A6072">
        <w:tab/>
      </w:r>
      <w:r w:rsidR="008A6072">
        <w:tab/>
      </w:r>
      <w:r w:rsidR="008A6072">
        <w:tab/>
        <w:t>G.Puķītis</w:t>
      </w:r>
      <w:r w:rsidR="00C86F53" w:rsidRPr="00194FED">
        <w:t xml:space="preserve"> </w:t>
      </w:r>
    </w:p>
    <w:p w:rsidR="00CE5F53" w:rsidRDefault="00CE5F53" w:rsidP="00AC2821">
      <w:pPr>
        <w:pStyle w:val="naisf"/>
        <w:spacing w:before="0" w:after="0"/>
        <w:ind w:firstLine="0"/>
        <w:rPr>
          <w:sz w:val="26"/>
          <w:szCs w:val="26"/>
        </w:rPr>
      </w:pPr>
    </w:p>
    <w:p w:rsidR="00024478" w:rsidRDefault="00024478" w:rsidP="00AC2821">
      <w:pPr>
        <w:pStyle w:val="naisf"/>
        <w:spacing w:before="0" w:after="0"/>
        <w:ind w:firstLine="0"/>
        <w:rPr>
          <w:sz w:val="20"/>
          <w:szCs w:val="20"/>
        </w:rPr>
      </w:pPr>
    </w:p>
    <w:p w:rsidR="00024478" w:rsidRPr="00160EBA" w:rsidRDefault="00024478" w:rsidP="00AC2821">
      <w:pPr>
        <w:pStyle w:val="naisf"/>
        <w:spacing w:before="0" w:after="0"/>
        <w:ind w:firstLine="0"/>
        <w:rPr>
          <w:sz w:val="20"/>
          <w:szCs w:val="20"/>
        </w:rPr>
      </w:pPr>
    </w:p>
    <w:p w:rsidR="006655D6" w:rsidRPr="00024478" w:rsidRDefault="004462B1" w:rsidP="006655D6">
      <w:pPr>
        <w:rPr>
          <w:sz w:val="16"/>
          <w:szCs w:val="16"/>
        </w:rPr>
      </w:pPr>
      <w:r w:rsidRPr="00024478">
        <w:rPr>
          <w:sz w:val="16"/>
          <w:szCs w:val="16"/>
        </w:rPr>
        <w:fldChar w:fldCharType="begin"/>
      </w:r>
      <w:r w:rsidR="006655D6" w:rsidRPr="00024478">
        <w:rPr>
          <w:sz w:val="16"/>
          <w:szCs w:val="16"/>
        </w:rPr>
        <w:instrText xml:space="preserve"> DATE  \@ "dd.MM.yyyy H:mm"  \* MERGEFORMAT </w:instrText>
      </w:r>
      <w:r w:rsidRPr="00024478">
        <w:rPr>
          <w:sz w:val="16"/>
          <w:szCs w:val="16"/>
        </w:rPr>
        <w:fldChar w:fldCharType="separate"/>
      </w:r>
      <w:r w:rsidR="00F8373A">
        <w:rPr>
          <w:noProof/>
          <w:sz w:val="16"/>
          <w:szCs w:val="16"/>
        </w:rPr>
        <w:t>29.08.2014 10:21</w:t>
      </w:r>
      <w:r w:rsidRPr="00024478">
        <w:rPr>
          <w:sz w:val="16"/>
          <w:szCs w:val="16"/>
        </w:rPr>
        <w:fldChar w:fldCharType="end"/>
      </w:r>
    </w:p>
    <w:p w:rsidR="002F146E" w:rsidRDefault="002F146E" w:rsidP="00AD263A">
      <w:pPr>
        <w:tabs>
          <w:tab w:val="left" w:pos="5865"/>
        </w:tabs>
        <w:jc w:val="both"/>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F8373A">
        <w:rPr>
          <w:noProof/>
          <w:sz w:val="16"/>
          <w:szCs w:val="16"/>
        </w:rPr>
        <w:t>789</w:t>
      </w:r>
      <w:r>
        <w:rPr>
          <w:sz w:val="16"/>
          <w:szCs w:val="16"/>
        </w:rPr>
        <w:fldChar w:fldCharType="end"/>
      </w:r>
      <w:bookmarkStart w:id="0" w:name="_GoBack"/>
      <w:bookmarkEnd w:id="0"/>
    </w:p>
    <w:p w:rsidR="00AD263A" w:rsidRPr="00024478" w:rsidRDefault="00387B2A" w:rsidP="00AD263A">
      <w:pPr>
        <w:tabs>
          <w:tab w:val="left" w:pos="5865"/>
        </w:tabs>
        <w:jc w:val="both"/>
        <w:rPr>
          <w:sz w:val="16"/>
          <w:szCs w:val="16"/>
        </w:rPr>
      </w:pPr>
      <w:r w:rsidRPr="00024478">
        <w:rPr>
          <w:sz w:val="16"/>
          <w:szCs w:val="16"/>
        </w:rPr>
        <w:t>N.</w:t>
      </w:r>
      <w:r w:rsidR="008A6072" w:rsidRPr="00024478">
        <w:rPr>
          <w:sz w:val="16"/>
          <w:szCs w:val="16"/>
        </w:rPr>
        <w:t xml:space="preserve"> Lauskis</w:t>
      </w:r>
    </w:p>
    <w:p w:rsidR="00AD263A" w:rsidRPr="00024478" w:rsidRDefault="00AD263A" w:rsidP="00AD263A">
      <w:pPr>
        <w:jc w:val="both"/>
        <w:rPr>
          <w:sz w:val="16"/>
          <w:szCs w:val="16"/>
        </w:rPr>
      </w:pPr>
      <w:r w:rsidRPr="00024478">
        <w:rPr>
          <w:sz w:val="16"/>
          <w:szCs w:val="16"/>
        </w:rPr>
        <w:t xml:space="preserve">Tālr: </w:t>
      </w:r>
      <w:r w:rsidR="008A6072" w:rsidRPr="00024478">
        <w:rPr>
          <w:sz w:val="16"/>
          <w:szCs w:val="16"/>
          <w:shd w:val="clear" w:color="auto" w:fill="FFFFFF"/>
        </w:rPr>
        <w:t>6601654</w:t>
      </w:r>
      <w:r w:rsidR="006655D6" w:rsidRPr="00024478">
        <w:rPr>
          <w:sz w:val="16"/>
          <w:szCs w:val="16"/>
          <w:shd w:val="clear" w:color="auto" w:fill="FFFFFF"/>
        </w:rPr>
        <w:t>5</w:t>
      </w:r>
      <w:r w:rsidRPr="00024478">
        <w:rPr>
          <w:sz w:val="16"/>
          <w:szCs w:val="16"/>
        </w:rPr>
        <w:t xml:space="preserve">, </w:t>
      </w:r>
    </w:p>
    <w:p w:rsidR="00AD263A" w:rsidRPr="00024478" w:rsidRDefault="00F43794" w:rsidP="00AD263A">
      <w:pPr>
        <w:jc w:val="both"/>
        <w:rPr>
          <w:sz w:val="16"/>
          <w:szCs w:val="16"/>
        </w:rPr>
      </w:pPr>
      <w:hyperlink r:id="rId9" w:history="1">
        <w:r w:rsidR="00387B2A" w:rsidRPr="00024478">
          <w:rPr>
            <w:rStyle w:val="Hyperlink"/>
            <w:sz w:val="16"/>
            <w:szCs w:val="16"/>
          </w:rPr>
          <w:t>normunds.lauskis@varam.gov.lv</w:t>
        </w:r>
      </w:hyperlink>
      <w:r w:rsidR="00AD263A" w:rsidRPr="00024478">
        <w:rPr>
          <w:sz w:val="16"/>
          <w:szCs w:val="16"/>
        </w:rPr>
        <w:t xml:space="preserve"> </w:t>
      </w:r>
    </w:p>
    <w:p w:rsidR="00AD263A" w:rsidRPr="0046549D" w:rsidRDefault="00AD263A" w:rsidP="00AC2821">
      <w:pPr>
        <w:jc w:val="both"/>
        <w:rPr>
          <w:sz w:val="20"/>
          <w:szCs w:val="20"/>
        </w:rPr>
      </w:pPr>
    </w:p>
    <w:sectPr w:rsidR="00AD263A" w:rsidRPr="0046549D" w:rsidSect="00434207">
      <w:headerReference w:type="even" r:id="rId10"/>
      <w:headerReference w:type="default" r:id="rId11"/>
      <w:footerReference w:type="default" r:id="rId12"/>
      <w:footerReference w:type="first" r:id="rId13"/>
      <w:pgSz w:w="11906" w:h="16838" w:code="9"/>
      <w:pgMar w:top="1411" w:right="1138" w:bottom="1138"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94" w:rsidRDefault="00F43794">
      <w:r>
        <w:separator/>
      </w:r>
    </w:p>
  </w:endnote>
  <w:endnote w:type="continuationSeparator" w:id="0">
    <w:p w:rsidR="00F43794" w:rsidRDefault="00F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96" w:rsidRPr="00AD25F8" w:rsidRDefault="005F7696" w:rsidP="00AD25F8">
    <w:pPr>
      <w:pStyle w:val="Footer"/>
      <w:jc w:val="both"/>
      <w:rPr>
        <w:sz w:val="20"/>
        <w:szCs w:val="20"/>
      </w:rPr>
    </w:pPr>
    <w:r w:rsidRPr="008511FF">
      <w:rPr>
        <w:sz w:val="20"/>
        <w:szCs w:val="20"/>
      </w:rPr>
      <w:t>VARAManot_</w:t>
    </w:r>
    <w:r w:rsidR="006843F3">
      <w:rPr>
        <w:sz w:val="20"/>
        <w:szCs w:val="20"/>
      </w:rPr>
      <w:t>29</w:t>
    </w:r>
    <w:r w:rsidR="00A44AC6">
      <w:rPr>
        <w:sz w:val="20"/>
        <w:szCs w:val="20"/>
      </w:rPr>
      <w:t>08</w:t>
    </w:r>
    <w:r w:rsidRPr="008511FF">
      <w:rPr>
        <w:sz w:val="20"/>
        <w:szCs w:val="20"/>
      </w:rPr>
      <w:t>2014_kart_Bibl</w:t>
    </w:r>
    <w:r w:rsidRPr="00D01C0A">
      <w:rPr>
        <w:sz w:val="20"/>
        <w:szCs w:val="20"/>
      </w:rPr>
      <w:t xml:space="preserve">; </w:t>
    </w:r>
    <w:r>
      <w:rPr>
        <w:sz w:val="20"/>
        <w:szCs w:val="20"/>
      </w:rPr>
      <w:t>Ministru kabineta noteikumu projekta</w:t>
    </w:r>
    <w:r w:rsidRPr="0070781B">
      <w:rPr>
        <w:sz w:val="20"/>
        <w:szCs w:val="20"/>
      </w:rPr>
      <w:t xml:space="preserve"> „</w:t>
    </w:r>
    <w:r w:rsidR="00F8373A" w:rsidRPr="00F8373A">
      <w:rPr>
        <w:sz w:val="20"/>
        <w:szCs w:val="20"/>
      </w:rPr>
      <w:t>Kārtība, kādā piešķir valsts budžeta līdzfinansējumu datoru, interneta un vispārpieejamo elektroniskās informācijas resursu publiskās pieejamības nodrošināšanai pašvaldību bibliotēkās</w:t>
    </w:r>
    <w:r w:rsidRPr="0070781B">
      <w:rPr>
        <w:sz w:val="20"/>
        <w:szCs w:val="20"/>
      </w:rPr>
      <w:t>”</w:t>
    </w:r>
    <w:r>
      <w:rPr>
        <w:sz w:val="20"/>
        <w:szCs w:val="20"/>
      </w:rPr>
      <w:t xml:space="preserve"> </w:t>
    </w:r>
    <w:r w:rsidRPr="00D01C0A">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96" w:rsidRPr="002C0D39" w:rsidRDefault="005F7696" w:rsidP="002C0D39">
    <w:pPr>
      <w:pStyle w:val="Footer"/>
      <w:jc w:val="both"/>
      <w:rPr>
        <w:sz w:val="20"/>
        <w:szCs w:val="20"/>
      </w:rPr>
    </w:pPr>
    <w:r w:rsidRPr="008511FF">
      <w:rPr>
        <w:sz w:val="20"/>
        <w:szCs w:val="20"/>
      </w:rPr>
      <w:t>VARAManot</w:t>
    </w:r>
    <w:r w:rsidRPr="00F8373A">
      <w:rPr>
        <w:sz w:val="20"/>
        <w:szCs w:val="20"/>
      </w:rPr>
      <w:t>_</w:t>
    </w:r>
    <w:r w:rsidR="006843F3" w:rsidRPr="00F8373A">
      <w:rPr>
        <w:sz w:val="20"/>
        <w:szCs w:val="20"/>
      </w:rPr>
      <w:t>29</w:t>
    </w:r>
    <w:r w:rsidR="00A44AC6" w:rsidRPr="00F8373A">
      <w:rPr>
        <w:sz w:val="20"/>
        <w:szCs w:val="20"/>
      </w:rPr>
      <w:t>08</w:t>
    </w:r>
    <w:r w:rsidRPr="00F8373A">
      <w:rPr>
        <w:sz w:val="20"/>
        <w:szCs w:val="20"/>
      </w:rPr>
      <w:t>2014_kart_Bibl; Ministru kabineta noteikumu projekta „</w:t>
    </w:r>
    <w:r w:rsidR="00F8373A" w:rsidRPr="00F8373A">
      <w:rPr>
        <w:sz w:val="20"/>
        <w:szCs w:val="20"/>
      </w:rPr>
      <w:t>Kārtība, kādā piešķir valsts budžeta līdzfinansējumu datoru, interneta un vispārpieejamo elektroniskās informācijas resursu publiskās pieejamības nodrošināšanai pašvaldību bibliotēkās</w:t>
    </w:r>
    <w:r w:rsidRPr="00F8373A">
      <w:rPr>
        <w:sz w:val="20"/>
        <w:szCs w:val="20"/>
      </w:rPr>
      <w:t>” sākotnējās</w:t>
    </w:r>
    <w:r w:rsidRPr="00D01C0A">
      <w:rPr>
        <w:sz w:val="20"/>
        <w:szCs w:val="20"/>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94" w:rsidRDefault="00F43794">
      <w:r>
        <w:separator/>
      </w:r>
    </w:p>
  </w:footnote>
  <w:footnote w:type="continuationSeparator" w:id="0">
    <w:p w:rsidR="00F43794" w:rsidRDefault="00F4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96" w:rsidRDefault="004462B1" w:rsidP="00ED7A6B">
    <w:pPr>
      <w:pStyle w:val="Header"/>
      <w:framePr w:wrap="around" w:vAnchor="text" w:hAnchor="margin" w:xAlign="center" w:y="1"/>
      <w:rPr>
        <w:rStyle w:val="PageNumber"/>
      </w:rPr>
    </w:pPr>
    <w:r>
      <w:rPr>
        <w:rStyle w:val="PageNumber"/>
      </w:rPr>
      <w:fldChar w:fldCharType="begin"/>
    </w:r>
    <w:r w:rsidR="005F7696">
      <w:rPr>
        <w:rStyle w:val="PageNumber"/>
      </w:rPr>
      <w:instrText xml:space="preserve">PAGE  </w:instrText>
    </w:r>
    <w:r>
      <w:rPr>
        <w:rStyle w:val="PageNumber"/>
      </w:rPr>
      <w:fldChar w:fldCharType="end"/>
    </w:r>
  </w:p>
  <w:p w:rsidR="005F7696" w:rsidRDefault="005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96" w:rsidRDefault="004462B1" w:rsidP="00ED7A6B">
    <w:pPr>
      <w:pStyle w:val="Header"/>
      <w:framePr w:wrap="around" w:vAnchor="text" w:hAnchor="margin" w:xAlign="center" w:y="1"/>
      <w:rPr>
        <w:rStyle w:val="PageNumber"/>
      </w:rPr>
    </w:pPr>
    <w:r>
      <w:rPr>
        <w:rStyle w:val="PageNumber"/>
      </w:rPr>
      <w:fldChar w:fldCharType="begin"/>
    </w:r>
    <w:r w:rsidR="005F7696">
      <w:rPr>
        <w:rStyle w:val="PageNumber"/>
      </w:rPr>
      <w:instrText xml:space="preserve">PAGE  </w:instrText>
    </w:r>
    <w:r>
      <w:rPr>
        <w:rStyle w:val="PageNumber"/>
      </w:rPr>
      <w:fldChar w:fldCharType="separate"/>
    </w:r>
    <w:r w:rsidR="00F8373A">
      <w:rPr>
        <w:rStyle w:val="PageNumber"/>
        <w:noProof/>
      </w:rPr>
      <w:t>2</w:t>
    </w:r>
    <w:r>
      <w:rPr>
        <w:rStyle w:val="PageNumber"/>
      </w:rPr>
      <w:fldChar w:fldCharType="end"/>
    </w:r>
  </w:p>
  <w:p w:rsidR="005F7696" w:rsidRDefault="005F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855CD"/>
    <w:multiLevelType w:val="hybridMultilevel"/>
    <w:tmpl w:val="BF244F4C"/>
    <w:lvl w:ilvl="0" w:tplc="C5E8F37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1">
    <w:nsid w:val="4ABC5082"/>
    <w:multiLevelType w:val="hybridMultilevel"/>
    <w:tmpl w:val="1F6E15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F9D55EB"/>
    <w:multiLevelType w:val="hybridMultilevel"/>
    <w:tmpl w:val="860E34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821"/>
    <w:rsid w:val="0000136B"/>
    <w:rsid w:val="00001572"/>
    <w:rsid w:val="00002CE0"/>
    <w:rsid w:val="00002DCC"/>
    <w:rsid w:val="0001057B"/>
    <w:rsid w:val="0001191F"/>
    <w:rsid w:val="0001202C"/>
    <w:rsid w:val="00013C3C"/>
    <w:rsid w:val="00015050"/>
    <w:rsid w:val="00017AFD"/>
    <w:rsid w:val="00017EEB"/>
    <w:rsid w:val="0002090B"/>
    <w:rsid w:val="0002156A"/>
    <w:rsid w:val="00023CDE"/>
    <w:rsid w:val="00024478"/>
    <w:rsid w:val="000268E6"/>
    <w:rsid w:val="000414FB"/>
    <w:rsid w:val="000427B5"/>
    <w:rsid w:val="00042E0B"/>
    <w:rsid w:val="00044105"/>
    <w:rsid w:val="00051B3A"/>
    <w:rsid w:val="00052385"/>
    <w:rsid w:val="0005365A"/>
    <w:rsid w:val="00055DAD"/>
    <w:rsid w:val="000572C8"/>
    <w:rsid w:val="0006036B"/>
    <w:rsid w:val="00060ECF"/>
    <w:rsid w:val="00065A02"/>
    <w:rsid w:val="00065C22"/>
    <w:rsid w:val="00070DD6"/>
    <w:rsid w:val="0007112E"/>
    <w:rsid w:val="00072DF3"/>
    <w:rsid w:val="00073D9B"/>
    <w:rsid w:val="00082AEB"/>
    <w:rsid w:val="00084AB2"/>
    <w:rsid w:val="000A3612"/>
    <w:rsid w:val="000A3DA0"/>
    <w:rsid w:val="000A605E"/>
    <w:rsid w:val="000B18B3"/>
    <w:rsid w:val="000B3945"/>
    <w:rsid w:val="000B5B7E"/>
    <w:rsid w:val="000B73DC"/>
    <w:rsid w:val="000B7903"/>
    <w:rsid w:val="000C253A"/>
    <w:rsid w:val="000C3003"/>
    <w:rsid w:val="000C3BEC"/>
    <w:rsid w:val="000C6130"/>
    <w:rsid w:val="000C7294"/>
    <w:rsid w:val="000D1593"/>
    <w:rsid w:val="000D242E"/>
    <w:rsid w:val="000D2997"/>
    <w:rsid w:val="000E10BD"/>
    <w:rsid w:val="000E26F6"/>
    <w:rsid w:val="000E3C14"/>
    <w:rsid w:val="000E4AF0"/>
    <w:rsid w:val="000F34C8"/>
    <w:rsid w:val="000F3B54"/>
    <w:rsid w:val="000F58CC"/>
    <w:rsid w:val="000F5E76"/>
    <w:rsid w:val="000F6803"/>
    <w:rsid w:val="000F7DDB"/>
    <w:rsid w:val="00103BE6"/>
    <w:rsid w:val="00104128"/>
    <w:rsid w:val="00104527"/>
    <w:rsid w:val="001065AC"/>
    <w:rsid w:val="00111331"/>
    <w:rsid w:val="0011263B"/>
    <w:rsid w:val="0011380D"/>
    <w:rsid w:val="001206AF"/>
    <w:rsid w:val="00124140"/>
    <w:rsid w:val="0012536C"/>
    <w:rsid w:val="00125D7F"/>
    <w:rsid w:val="0013639C"/>
    <w:rsid w:val="001374BA"/>
    <w:rsid w:val="00140C35"/>
    <w:rsid w:val="00141BC1"/>
    <w:rsid w:val="001437D5"/>
    <w:rsid w:val="00144C71"/>
    <w:rsid w:val="00146E5A"/>
    <w:rsid w:val="001473BF"/>
    <w:rsid w:val="00150293"/>
    <w:rsid w:val="0015179C"/>
    <w:rsid w:val="00152F50"/>
    <w:rsid w:val="00153579"/>
    <w:rsid w:val="00154FE7"/>
    <w:rsid w:val="001617E8"/>
    <w:rsid w:val="00163410"/>
    <w:rsid w:val="00167141"/>
    <w:rsid w:val="00167996"/>
    <w:rsid w:val="0017062E"/>
    <w:rsid w:val="00171580"/>
    <w:rsid w:val="00171AB0"/>
    <w:rsid w:val="00171B9A"/>
    <w:rsid w:val="001756DE"/>
    <w:rsid w:val="00175B3F"/>
    <w:rsid w:val="00176829"/>
    <w:rsid w:val="00176A01"/>
    <w:rsid w:val="00176B97"/>
    <w:rsid w:val="00180523"/>
    <w:rsid w:val="0019311F"/>
    <w:rsid w:val="00193A3D"/>
    <w:rsid w:val="00193D24"/>
    <w:rsid w:val="00194FED"/>
    <w:rsid w:val="001975DC"/>
    <w:rsid w:val="001A4899"/>
    <w:rsid w:val="001A4A08"/>
    <w:rsid w:val="001A6298"/>
    <w:rsid w:val="001A66CA"/>
    <w:rsid w:val="001A71D1"/>
    <w:rsid w:val="001A7A46"/>
    <w:rsid w:val="001B3321"/>
    <w:rsid w:val="001B6398"/>
    <w:rsid w:val="001C071A"/>
    <w:rsid w:val="001C2238"/>
    <w:rsid w:val="001C3797"/>
    <w:rsid w:val="001C5514"/>
    <w:rsid w:val="001C5BF0"/>
    <w:rsid w:val="001C6AC6"/>
    <w:rsid w:val="001D146D"/>
    <w:rsid w:val="001D17A6"/>
    <w:rsid w:val="001D21A8"/>
    <w:rsid w:val="001D4896"/>
    <w:rsid w:val="001E006F"/>
    <w:rsid w:val="001E1B8F"/>
    <w:rsid w:val="001E1E70"/>
    <w:rsid w:val="001E3E47"/>
    <w:rsid w:val="001F0241"/>
    <w:rsid w:val="001F0E2F"/>
    <w:rsid w:val="001F4391"/>
    <w:rsid w:val="001F6B6C"/>
    <w:rsid w:val="001F735C"/>
    <w:rsid w:val="0020084F"/>
    <w:rsid w:val="00202C70"/>
    <w:rsid w:val="00205865"/>
    <w:rsid w:val="00205D00"/>
    <w:rsid w:val="00206CDA"/>
    <w:rsid w:val="00206E28"/>
    <w:rsid w:val="00207C13"/>
    <w:rsid w:val="0021074C"/>
    <w:rsid w:val="00212AEA"/>
    <w:rsid w:val="002152E0"/>
    <w:rsid w:val="0021547D"/>
    <w:rsid w:val="002155C4"/>
    <w:rsid w:val="002162EE"/>
    <w:rsid w:val="00220D69"/>
    <w:rsid w:val="00220D98"/>
    <w:rsid w:val="00220F95"/>
    <w:rsid w:val="0022186E"/>
    <w:rsid w:val="00224D19"/>
    <w:rsid w:val="00230F20"/>
    <w:rsid w:val="0023154B"/>
    <w:rsid w:val="00235371"/>
    <w:rsid w:val="002361B0"/>
    <w:rsid w:val="00237B0D"/>
    <w:rsid w:val="0024235D"/>
    <w:rsid w:val="00244C81"/>
    <w:rsid w:val="002510D0"/>
    <w:rsid w:val="002511B5"/>
    <w:rsid w:val="00251E53"/>
    <w:rsid w:val="00253157"/>
    <w:rsid w:val="002531CF"/>
    <w:rsid w:val="0026277D"/>
    <w:rsid w:val="0027300B"/>
    <w:rsid w:val="002732CF"/>
    <w:rsid w:val="00274922"/>
    <w:rsid w:val="00280692"/>
    <w:rsid w:val="00283098"/>
    <w:rsid w:val="00290E70"/>
    <w:rsid w:val="00291F42"/>
    <w:rsid w:val="00292F4F"/>
    <w:rsid w:val="00297344"/>
    <w:rsid w:val="002A00C0"/>
    <w:rsid w:val="002A1C2C"/>
    <w:rsid w:val="002B1777"/>
    <w:rsid w:val="002B2AB5"/>
    <w:rsid w:val="002B478A"/>
    <w:rsid w:val="002B538F"/>
    <w:rsid w:val="002B61DB"/>
    <w:rsid w:val="002B7A5E"/>
    <w:rsid w:val="002B7CF6"/>
    <w:rsid w:val="002C0D39"/>
    <w:rsid w:val="002C15EB"/>
    <w:rsid w:val="002C2880"/>
    <w:rsid w:val="002C69A9"/>
    <w:rsid w:val="002D07AE"/>
    <w:rsid w:val="002D15D9"/>
    <w:rsid w:val="002D42BE"/>
    <w:rsid w:val="002E121E"/>
    <w:rsid w:val="002E3A06"/>
    <w:rsid w:val="002E4F7C"/>
    <w:rsid w:val="002E59DB"/>
    <w:rsid w:val="002F07FA"/>
    <w:rsid w:val="002F0DE3"/>
    <w:rsid w:val="002F146E"/>
    <w:rsid w:val="002F5979"/>
    <w:rsid w:val="002F5D35"/>
    <w:rsid w:val="002F6985"/>
    <w:rsid w:val="00307299"/>
    <w:rsid w:val="0031122C"/>
    <w:rsid w:val="003154B1"/>
    <w:rsid w:val="00315CAB"/>
    <w:rsid w:val="003205D4"/>
    <w:rsid w:val="00320CEE"/>
    <w:rsid w:val="00323B99"/>
    <w:rsid w:val="00324EF8"/>
    <w:rsid w:val="00325504"/>
    <w:rsid w:val="0032734A"/>
    <w:rsid w:val="00331069"/>
    <w:rsid w:val="00332238"/>
    <w:rsid w:val="003325BE"/>
    <w:rsid w:val="00334319"/>
    <w:rsid w:val="00336D45"/>
    <w:rsid w:val="0033776C"/>
    <w:rsid w:val="00340580"/>
    <w:rsid w:val="00343DDC"/>
    <w:rsid w:val="003448E9"/>
    <w:rsid w:val="003470F5"/>
    <w:rsid w:val="00347858"/>
    <w:rsid w:val="003478FB"/>
    <w:rsid w:val="00350CF7"/>
    <w:rsid w:val="00352C8B"/>
    <w:rsid w:val="00354462"/>
    <w:rsid w:val="0035755B"/>
    <w:rsid w:val="00357B06"/>
    <w:rsid w:val="00361632"/>
    <w:rsid w:val="00361C41"/>
    <w:rsid w:val="00367723"/>
    <w:rsid w:val="00367CC7"/>
    <w:rsid w:val="00376478"/>
    <w:rsid w:val="0037796B"/>
    <w:rsid w:val="00381CEB"/>
    <w:rsid w:val="00382477"/>
    <w:rsid w:val="00382A53"/>
    <w:rsid w:val="00382E64"/>
    <w:rsid w:val="00383495"/>
    <w:rsid w:val="00384E7A"/>
    <w:rsid w:val="00386434"/>
    <w:rsid w:val="00387B2A"/>
    <w:rsid w:val="00392184"/>
    <w:rsid w:val="003941B1"/>
    <w:rsid w:val="003A2611"/>
    <w:rsid w:val="003A5DA8"/>
    <w:rsid w:val="003A7EB3"/>
    <w:rsid w:val="003B1DAB"/>
    <w:rsid w:val="003B49E9"/>
    <w:rsid w:val="003B52BA"/>
    <w:rsid w:val="003B5475"/>
    <w:rsid w:val="003C05B9"/>
    <w:rsid w:val="003C2776"/>
    <w:rsid w:val="003C420C"/>
    <w:rsid w:val="003C6E07"/>
    <w:rsid w:val="003D21D2"/>
    <w:rsid w:val="003D32FD"/>
    <w:rsid w:val="003E2A59"/>
    <w:rsid w:val="003E48AE"/>
    <w:rsid w:val="003F0262"/>
    <w:rsid w:val="003F189C"/>
    <w:rsid w:val="003F3FCC"/>
    <w:rsid w:val="00401FEA"/>
    <w:rsid w:val="004027AD"/>
    <w:rsid w:val="00405694"/>
    <w:rsid w:val="00406497"/>
    <w:rsid w:val="004071B0"/>
    <w:rsid w:val="00407BC8"/>
    <w:rsid w:val="0041050F"/>
    <w:rsid w:val="00410548"/>
    <w:rsid w:val="004130F2"/>
    <w:rsid w:val="00414A17"/>
    <w:rsid w:val="00421E4F"/>
    <w:rsid w:val="00427B97"/>
    <w:rsid w:val="0043083C"/>
    <w:rsid w:val="00434207"/>
    <w:rsid w:val="00436EA1"/>
    <w:rsid w:val="00437962"/>
    <w:rsid w:val="004407BC"/>
    <w:rsid w:val="0044218A"/>
    <w:rsid w:val="00442E68"/>
    <w:rsid w:val="004457C0"/>
    <w:rsid w:val="0044591E"/>
    <w:rsid w:val="00445D9E"/>
    <w:rsid w:val="004462B1"/>
    <w:rsid w:val="00452129"/>
    <w:rsid w:val="00453B60"/>
    <w:rsid w:val="00454303"/>
    <w:rsid w:val="00457E2E"/>
    <w:rsid w:val="004637BA"/>
    <w:rsid w:val="00464857"/>
    <w:rsid w:val="0046635D"/>
    <w:rsid w:val="00466EC7"/>
    <w:rsid w:val="00467082"/>
    <w:rsid w:val="00470F95"/>
    <w:rsid w:val="0047111D"/>
    <w:rsid w:val="00471564"/>
    <w:rsid w:val="0047204F"/>
    <w:rsid w:val="00475918"/>
    <w:rsid w:val="004764DC"/>
    <w:rsid w:val="00484A52"/>
    <w:rsid w:val="00484F37"/>
    <w:rsid w:val="00485086"/>
    <w:rsid w:val="00486695"/>
    <w:rsid w:val="00486880"/>
    <w:rsid w:val="00491852"/>
    <w:rsid w:val="00493321"/>
    <w:rsid w:val="0049413B"/>
    <w:rsid w:val="004950AD"/>
    <w:rsid w:val="00496154"/>
    <w:rsid w:val="004A1330"/>
    <w:rsid w:val="004A3C2C"/>
    <w:rsid w:val="004A4C5E"/>
    <w:rsid w:val="004B0C4A"/>
    <w:rsid w:val="004B5EF0"/>
    <w:rsid w:val="004B7AD4"/>
    <w:rsid w:val="004C27DC"/>
    <w:rsid w:val="004C38F8"/>
    <w:rsid w:val="004C60AF"/>
    <w:rsid w:val="004C655D"/>
    <w:rsid w:val="004D2811"/>
    <w:rsid w:val="004D46EB"/>
    <w:rsid w:val="004D4C8F"/>
    <w:rsid w:val="004D5ADF"/>
    <w:rsid w:val="004D79C8"/>
    <w:rsid w:val="004D7E4B"/>
    <w:rsid w:val="004E0F9D"/>
    <w:rsid w:val="004F0130"/>
    <w:rsid w:val="004F080E"/>
    <w:rsid w:val="004F7399"/>
    <w:rsid w:val="005037D8"/>
    <w:rsid w:val="005041F0"/>
    <w:rsid w:val="0050450D"/>
    <w:rsid w:val="0050635C"/>
    <w:rsid w:val="005074DA"/>
    <w:rsid w:val="005107D4"/>
    <w:rsid w:val="00511516"/>
    <w:rsid w:val="005116DA"/>
    <w:rsid w:val="005122B3"/>
    <w:rsid w:val="00513D3E"/>
    <w:rsid w:val="00513E90"/>
    <w:rsid w:val="00513FFB"/>
    <w:rsid w:val="005146D0"/>
    <w:rsid w:val="005215B6"/>
    <w:rsid w:val="00522E73"/>
    <w:rsid w:val="00523B54"/>
    <w:rsid w:val="00523DA2"/>
    <w:rsid w:val="00526250"/>
    <w:rsid w:val="005266D0"/>
    <w:rsid w:val="00526F6E"/>
    <w:rsid w:val="0052712A"/>
    <w:rsid w:val="00530C50"/>
    <w:rsid w:val="00534C64"/>
    <w:rsid w:val="0053511D"/>
    <w:rsid w:val="005354A7"/>
    <w:rsid w:val="005436FB"/>
    <w:rsid w:val="0054426E"/>
    <w:rsid w:val="00544826"/>
    <w:rsid w:val="0054539F"/>
    <w:rsid w:val="0055357D"/>
    <w:rsid w:val="00554A87"/>
    <w:rsid w:val="00556D31"/>
    <w:rsid w:val="00557075"/>
    <w:rsid w:val="00560B73"/>
    <w:rsid w:val="00564C24"/>
    <w:rsid w:val="005651DA"/>
    <w:rsid w:val="00571292"/>
    <w:rsid w:val="00574B33"/>
    <w:rsid w:val="00575068"/>
    <w:rsid w:val="00576DFC"/>
    <w:rsid w:val="00577EA5"/>
    <w:rsid w:val="00577F5E"/>
    <w:rsid w:val="00584B06"/>
    <w:rsid w:val="00585FB0"/>
    <w:rsid w:val="005917B7"/>
    <w:rsid w:val="0059501C"/>
    <w:rsid w:val="00596568"/>
    <w:rsid w:val="00596600"/>
    <w:rsid w:val="00596868"/>
    <w:rsid w:val="00597820"/>
    <w:rsid w:val="00597BB0"/>
    <w:rsid w:val="00597FFC"/>
    <w:rsid w:val="005A10E4"/>
    <w:rsid w:val="005A28BE"/>
    <w:rsid w:val="005A4936"/>
    <w:rsid w:val="005A663B"/>
    <w:rsid w:val="005B1D0A"/>
    <w:rsid w:val="005B4733"/>
    <w:rsid w:val="005B5876"/>
    <w:rsid w:val="005B7673"/>
    <w:rsid w:val="005C3723"/>
    <w:rsid w:val="005D0AB6"/>
    <w:rsid w:val="005D3B89"/>
    <w:rsid w:val="005D4DAC"/>
    <w:rsid w:val="005D69A2"/>
    <w:rsid w:val="005D7BBC"/>
    <w:rsid w:val="005D7E89"/>
    <w:rsid w:val="005E06E7"/>
    <w:rsid w:val="005E493B"/>
    <w:rsid w:val="005E550D"/>
    <w:rsid w:val="005E5A4C"/>
    <w:rsid w:val="005F3397"/>
    <w:rsid w:val="005F6852"/>
    <w:rsid w:val="005F7696"/>
    <w:rsid w:val="00602485"/>
    <w:rsid w:val="00603ABC"/>
    <w:rsid w:val="00603CBA"/>
    <w:rsid w:val="00605EB9"/>
    <w:rsid w:val="00607074"/>
    <w:rsid w:val="00607E96"/>
    <w:rsid w:val="00613B5F"/>
    <w:rsid w:val="00614EE2"/>
    <w:rsid w:val="00620A61"/>
    <w:rsid w:val="00624A5A"/>
    <w:rsid w:val="00625A87"/>
    <w:rsid w:val="0062651A"/>
    <w:rsid w:val="00626B59"/>
    <w:rsid w:val="00626F93"/>
    <w:rsid w:val="006301B4"/>
    <w:rsid w:val="00630533"/>
    <w:rsid w:val="00630920"/>
    <w:rsid w:val="0063126B"/>
    <w:rsid w:val="00632DAB"/>
    <w:rsid w:val="00636C29"/>
    <w:rsid w:val="00640A0A"/>
    <w:rsid w:val="0064215A"/>
    <w:rsid w:val="00643428"/>
    <w:rsid w:val="00644BB2"/>
    <w:rsid w:val="00645EEC"/>
    <w:rsid w:val="006467C1"/>
    <w:rsid w:val="00647B70"/>
    <w:rsid w:val="00647FCD"/>
    <w:rsid w:val="00651D0A"/>
    <w:rsid w:val="00653712"/>
    <w:rsid w:val="00655B1F"/>
    <w:rsid w:val="00656DEB"/>
    <w:rsid w:val="00665280"/>
    <w:rsid w:val="006655D6"/>
    <w:rsid w:val="006674C2"/>
    <w:rsid w:val="00670BBA"/>
    <w:rsid w:val="0067190A"/>
    <w:rsid w:val="006727D6"/>
    <w:rsid w:val="00674185"/>
    <w:rsid w:val="0067558B"/>
    <w:rsid w:val="00681EE3"/>
    <w:rsid w:val="00682F07"/>
    <w:rsid w:val="00683CCA"/>
    <w:rsid w:val="006843F3"/>
    <w:rsid w:val="00685786"/>
    <w:rsid w:val="0069409B"/>
    <w:rsid w:val="00694644"/>
    <w:rsid w:val="006A04B0"/>
    <w:rsid w:val="006A1D93"/>
    <w:rsid w:val="006A52EE"/>
    <w:rsid w:val="006A5B9B"/>
    <w:rsid w:val="006A5EAA"/>
    <w:rsid w:val="006A7CE0"/>
    <w:rsid w:val="006A7F01"/>
    <w:rsid w:val="006B1BCD"/>
    <w:rsid w:val="006B2E40"/>
    <w:rsid w:val="006B4F06"/>
    <w:rsid w:val="006B4F77"/>
    <w:rsid w:val="006B71C1"/>
    <w:rsid w:val="006C11BD"/>
    <w:rsid w:val="006C1FFE"/>
    <w:rsid w:val="006C214D"/>
    <w:rsid w:val="006C52E9"/>
    <w:rsid w:val="006C56A6"/>
    <w:rsid w:val="006C70B5"/>
    <w:rsid w:val="006D14C8"/>
    <w:rsid w:val="006D4B32"/>
    <w:rsid w:val="006D58F2"/>
    <w:rsid w:val="006E0044"/>
    <w:rsid w:val="006E40D8"/>
    <w:rsid w:val="006E7681"/>
    <w:rsid w:val="006E7DD4"/>
    <w:rsid w:val="006E7F93"/>
    <w:rsid w:val="006F062B"/>
    <w:rsid w:val="006F57A6"/>
    <w:rsid w:val="006F58DA"/>
    <w:rsid w:val="006F5D46"/>
    <w:rsid w:val="006F633C"/>
    <w:rsid w:val="006F68AD"/>
    <w:rsid w:val="006F6CC9"/>
    <w:rsid w:val="007017EE"/>
    <w:rsid w:val="00704F8B"/>
    <w:rsid w:val="007064D8"/>
    <w:rsid w:val="007072AB"/>
    <w:rsid w:val="0071032D"/>
    <w:rsid w:val="00711708"/>
    <w:rsid w:val="007136D2"/>
    <w:rsid w:val="007149E1"/>
    <w:rsid w:val="007150B0"/>
    <w:rsid w:val="00715EF6"/>
    <w:rsid w:val="00716E6D"/>
    <w:rsid w:val="00717D68"/>
    <w:rsid w:val="0072181E"/>
    <w:rsid w:val="00722419"/>
    <w:rsid w:val="007228B6"/>
    <w:rsid w:val="00722D0D"/>
    <w:rsid w:val="00727CD3"/>
    <w:rsid w:val="00730412"/>
    <w:rsid w:val="00733616"/>
    <w:rsid w:val="00734CE9"/>
    <w:rsid w:val="00734D13"/>
    <w:rsid w:val="007416E8"/>
    <w:rsid w:val="007507A2"/>
    <w:rsid w:val="00751025"/>
    <w:rsid w:val="00753CF8"/>
    <w:rsid w:val="00754362"/>
    <w:rsid w:val="00756A75"/>
    <w:rsid w:val="00757CFB"/>
    <w:rsid w:val="00760208"/>
    <w:rsid w:val="007610EC"/>
    <w:rsid w:val="00763045"/>
    <w:rsid w:val="0076391A"/>
    <w:rsid w:val="007648A6"/>
    <w:rsid w:val="0076547C"/>
    <w:rsid w:val="0077026F"/>
    <w:rsid w:val="0077146B"/>
    <w:rsid w:val="007729EB"/>
    <w:rsid w:val="00773AB6"/>
    <w:rsid w:val="00773B45"/>
    <w:rsid w:val="007745DC"/>
    <w:rsid w:val="00774BDD"/>
    <w:rsid w:val="007756AC"/>
    <w:rsid w:val="00775806"/>
    <w:rsid w:val="00781BC2"/>
    <w:rsid w:val="0078213D"/>
    <w:rsid w:val="007868B9"/>
    <w:rsid w:val="00790A40"/>
    <w:rsid w:val="007944BF"/>
    <w:rsid w:val="007A128A"/>
    <w:rsid w:val="007A48C5"/>
    <w:rsid w:val="007B0B22"/>
    <w:rsid w:val="007B1950"/>
    <w:rsid w:val="007B1E1A"/>
    <w:rsid w:val="007B21C4"/>
    <w:rsid w:val="007C1765"/>
    <w:rsid w:val="007C1FFA"/>
    <w:rsid w:val="007C5EAC"/>
    <w:rsid w:val="007D18E9"/>
    <w:rsid w:val="007D692E"/>
    <w:rsid w:val="007D6E65"/>
    <w:rsid w:val="007E3071"/>
    <w:rsid w:val="007E3AE6"/>
    <w:rsid w:val="007E5FF8"/>
    <w:rsid w:val="007E6E1A"/>
    <w:rsid w:val="007F202C"/>
    <w:rsid w:val="007F2304"/>
    <w:rsid w:val="007F7223"/>
    <w:rsid w:val="007F75FB"/>
    <w:rsid w:val="00801FC9"/>
    <w:rsid w:val="00803B8B"/>
    <w:rsid w:val="00803F5C"/>
    <w:rsid w:val="00804317"/>
    <w:rsid w:val="0080518B"/>
    <w:rsid w:val="00806AB0"/>
    <w:rsid w:val="00811375"/>
    <w:rsid w:val="00823F98"/>
    <w:rsid w:val="00827F10"/>
    <w:rsid w:val="00833581"/>
    <w:rsid w:val="0084243A"/>
    <w:rsid w:val="008443BF"/>
    <w:rsid w:val="00845C45"/>
    <w:rsid w:val="00846527"/>
    <w:rsid w:val="008509C2"/>
    <w:rsid w:val="008511FF"/>
    <w:rsid w:val="008535D6"/>
    <w:rsid w:val="00853F47"/>
    <w:rsid w:val="00854611"/>
    <w:rsid w:val="0085591F"/>
    <w:rsid w:val="00857248"/>
    <w:rsid w:val="00857E65"/>
    <w:rsid w:val="00860676"/>
    <w:rsid w:val="00862BCC"/>
    <w:rsid w:val="00863BD7"/>
    <w:rsid w:val="00863CDC"/>
    <w:rsid w:val="008653F0"/>
    <w:rsid w:val="00867BB1"/>
    <w:rsid w:val="0087072D"/>
    <w:rsid w:val="0087127F"/>
    <w:rsid w:val="00874457"/>
    <w:rsid w:val="00874653"/>
    <w:rsid w:val="00875B57"/>
    <w:rsid w:val="00876548"/>
    <w:rsid w:val="00876A8E"/>
    <w:rsid w:val="0087701A"/>
    <w:rsid w:val="00877539"/>
    <w:rsid w:val="008832B9"/>
    <w:rsid w:val="0088636A"/>
    <w:rsid w:val="008937CB"/>
    <w:rsid w:val="00895B1A"/>
    <w:rsid w:val="00896862"/>
    <w:rsid w:val="008A094D"/>
    <w:rsid w:val="008A2009"/>
    <w:rsid w:val="008A4C7C"/>
    <w:rsid w:val="008A50A3"/>
    <w:rsid w:val="008A6072"/>
    <w:rsid w:val="008A7612"/>
    <w:rsid w:val="008A7F2B"/>
    <w:rsid w:val="008B094F"/>
    <w:rsid w:val="008B15B7"/>
    <w:rsid w:val="008B17A7"/>
    <w:rsid w:val="008B3236"/>
    <w:rsid w:val="008B455B"/>
    <w:rsid w:val="008B5585"/>
    <w:rsid w:val="008B58BD"/>
    <w:rsid w:val="008B6AC6"/>
    <w:rsid w:val="008B7723"/>
    <w:rsid w:val="008C0C13"/>
    <w:rsid w:val="008C1C0F"/>
    <w:rsid w:val="008D208A"/>
    <w:rsid w:val="008D291B"/>
    <w:rsid w:val="008D40FD"/>
    <w:rsid w:val="008D5994"/>
    <w:rsid w:val="008D6EEF"/>
    <w:rsid w:val="008E341D"/>
    <w:rsid w:val="008F0729"/>
    <w:rsid w:val="008F0CE0"/>
    <w:rsid w:val="008F2FAB"/>
    <w:rsid w:val="008F3CD6"/>
    <w:rsid w:val="008F51B1"/>
    <w:rsid w:val="008F602C"/>
    <w:rsid w:val="008F7FCB"/>
    <w:rsid w:val="00901088"/>
    <w:rsid w:val="0090126A"/>
    <w:rsid w:val="0090342F"/>
    <w:rsid w:val="009049F9"/>
    <w:rsid w:val="00906891"/>
    <w:rsid w:val="00906EF2"/>
    <w:rsid w:val="00910031"/>
    <w:rsid w:val="0091095E"/>
    <w:rsid w:val="009114B4"/>
    <w:rsid w:val="00913623"/>
    <w:rsid w:val="00920589"/>
    <w:rsid w:val="0092372F"/>
    <w:rsid w:val="00923734"/>
    <w:rsid w:val="009409C4"/>
    <w:rsid w:val="00941352"/>
    <w:rsid w:val="00941FCB"/>
    <w:rsid w:val="00943CC2"/>
    <w:rsid w:val="009464F6"/>
    <w:rsid w:val="0095018A"/>
    <w:rsid w:val="009502D4"/>
    <w:rsid w:val="00952307"/>
    <w:rsid w:val="009525E0"/>
    <w:rsid w:val="00952B19"/>
    <w:rsid w:val="0095550F"/>
    <w:rsid w:val="00955BD2"/>
    <w:rsid w:val="00955E38"/>
    <w:rsid w:val="00962253"/>
    <w:rsid w:val="00962570"/>
    <w:rsid w:val="0096515A"/>
    <w:rsid w:val="0097119C"/>
    <w:rsid w:val="00972D7A"/>
    <w:rsid w:val="00972F54"/>
    <w:rsid w:val="00973E24"/>
    <w:rsid w:val="00975643"/>
    <w:rsid w:val="00975FF3"/>
    <w:rsid w:val="00977737"/>
    <w:rsid w:val="00977C74"/>
    <w:rsid w:val="00980EC4"/>
    <w:rsid w:val="00980ED5"/>
    <w:rsid w:val="0098313D"/>
    <w:rsid w:val="00983567"/>
    <w:rsid w:val="009932A4"/>
    <w:rsid w:val="009948ED"/>
    <w:rsid w:val="00996A79"/>
    <w:rsid w:val="009A0155"/>
    <w:rsid w:val="009A2E76"/>
    <w:rsid w:val="009A4B55"/>
    <w:rsid w:val="009B0787"/>
    <w:rsid w:val="009B2F3F"/>
    <w:rsid w:val="009B3809"/>
    <w:rsid w:val="009B3C2A"/>
    <w:rsid w:val="009B5C2F"/>
    <w:rsid w:val="009B5D5A"/>
    <w:rsid w:val="009C0AF9"/>
    <w:rsid w:val="009C2501"/>
    <w:rsid w:val="009C2538"/>
    <w:rsid w:val="009C7316"/>
    <w:rsid w:val="009C7E39"/>
    <w:rsid w:val="009D3284"/>
    <w:rsid w:val="009D4D43"/>
    <w:rsid w:val="009D61C6"/>
    <w:rsid w:val="009D73A9"/>
    <w:rsid w:val="009E23EE"/>
    <w:rsid w:val="009E2E65"/>
    <w:rsid w:val="009E394C"/>
    <w:rsid w:val="009E3A69"/>
    <w:rsid w:val="009E6C84"/>
    <w:rsid w:val="009E734C"/>
    <w:rsid w:val="009E7D7B"/>
    <w:rsid w:val="009F2214"/>
    <w:rsid w:val="009F3CC6"/>
    <w:rsid w:val="009F556D"/>
    <w:rsid w:val="009F675D"/>
    <w:rsid w:val="00A075DF"/>
    <w:rsid w:val="00A16F89"/>
    <w:rsid w:val="00A202FD"/>
    <w:rsid w:val="00A2571F"/>
    <w:rsid w:val="00A26A1F"/>
    <w:rsid w:val="00A311CF"/>
    <w:rsid w:val="00A31EF0"/>
    <w:rsid w:val="00A33500"/>
    <w:rsid w:val="00A33A33"/>
    <w:rsid w:val="00A346FF"/>
    <w:rsid w:val="00A347F5"/>
    <w:rsid w:val="00A35DEF"/>
    <w:rsid w:val="00A4095E"/>
    <w:rsid w:val="00A43EF2"/>
    <w:rsid w:val="00A448D6"/>
    <w:rsid w:val="00A44AC6"/>
    <w:rsid w:val="00A479A7"/>
    <w:rsid w:val="00A5016B"/>
    <w:rsid w:val="00A540F4"/>
    <w:rsid w:val="00A607E4"/>
    <w:rsid w:val="00A62522"/>
    <w:rsid w:val="00A62EA7"/>
    <w:rsid w:val="00A63677"/>
    <w:rsid w:val="00A6408B"/>
    <w:rsid w:val="00A64808"/>
    <w:rsid w:val="00A66E4E"/>
    <w:rsid w:val="00A72D8D"/>
    <w:rsid w:val="00A741D4"/>
    <w:rsid w:val="00A774AD"/>
    <w:rsid w:val="00A808F6"/>
    <w:rsid w:val="00A8313E"/>
    <w:rsid w:val="00A852B0"/>
    <w:rsid w:val="00A86F1B"/>
    <w:rsid w:val="00A8761D"/>
    <w:rsid w:val="00A87C0E"/>
    <w:rsid w:val="00A92EF2"/>
    <w:rsid w:val="00A9507F"/>
    <w:rsid w:val="00A950E5"/>
    <w:rsid w:val="00A95B43"/>
    <w:rsid w:val="00A97A33"/>
    <w:rsid w:val="00A97C8A"/>
    <w:rsid w:val="00AA4C24"/>
    <w:rsid w:val="00AB1EA0"/>
    <w:rsid w:val="00AB3FFD"/>
    <w:rsid w:val="00AC1277"/>
    <w:rsid w:val="00AC2821"/>
    <w:rsid w:val="00AC5DDD"/>
    <w:rsid w:val="00AC787A"/>
    <w:rsid w:val="00AC78FE"/>
    <w:rsid w:val="00AD25F8"/>
    <w:rsid w:val="00AD263A"/>
    <w:rsid w:val="00AD26B0"/>
    <w:rsid w:val="00AD7B90"/>
    <w:rsid w:val="00AE0781"/>
    <w:rsid w:val="00AE0D56"/>
    <w:rsid w:val="00AE3DB0"/>
    <w:rsid w:val="00AE4774"/>
    <w:rsid w:val="00AE7136"/>
    <w:rsid w:val="00AF277E"/>
    <w:rsid w:val="00AF304E"/>
    <w:rsid w:val="00AF6A7C"/>
    <w:rsid w:val="00AF7A03"/>
    <w:rsid w:val="00B0027D"/>
    <w:rsid w:val="00B00447"/>
    <w:rsid w:val="00B05CCA"/>
    <w:rsid w:val="00B05D5E"/>
    <w:rsid w:val="00B127A9"/>
    <w:rsid w:val="00B131AC"/>
    <w:rsid w:val="00B13E1E"/>
    <w:rsid w:val="00B15360"/>
    <w:rsid w:val="00B176D8"/>
    <w:rsid w:val="00B17F2D"/>
    <w:rsid w:val="00B20663"/>
    <w:rsid w:val="00B215D9"/>
    <w:rsid w:val="00B26DEB"/>
    <w:rsid w:val="00B26F5C"/>
    <w:rsid w:val="00B30725"/>
    <w:rsid w:val="00B3684A"/>
    <w:rsid w:val="00B41999"/>
    <w:rsid w:val="00B42177"/>
    <w:rsid w:val="00B43BE6"/>
    <w:rsid w:val="00B45DA3"/>
    <w:rsid w:val="00B47814"/>
    <w:rsid w:val="00B52BDB"/>
    <w:rsid w:val="00B5399F"/>
    <w:rsid w:val="00B54551"/>
    <w:rsid w:val="00B552D2"/>
    <w:rsid w:val="00B55D5F"/>
    <w:rsid w:val="00B57467"/>
    <w:rsid w:val="00B607B8"/>
    <w:rsid w:val="00B65C3D"/>
    <w:rsid w:val="00B672B6"/>
    <w:rsid w:val="00B714A3"/>
    <w:rsid w:val="00B7283D"/>
    <w:rsid w:val="00B74C22"/>
    <w:rsid w:val="00B7578A"/>
    <w:rsid w:val="00B82F97"/>
    <w:rsid w:val="00B87956"/>
    <w:rsid w:val="00B87DE5"/>
    <w:rsid w:val="00B937A9"/>
    <w:rsid w:val="00B96509"/>
    <w:rsid w:val="00B97A09"/>
    <w:rsid w:val="00B97C49"/>
    <w:rsid w:val="00B97C81"/>
    <w:rsid w:val="00BA0D9B"/>
    <w:rsid w:val="00BA68A6"/>
    <w:rsid w:val="00BB0D29"/>
    <w:rsid w:val="00BB1205"/>
    <w:rsid w:val="00BB545F"/>
    <w:rsid w:val="00BB7C10"/>
    <w:rsid w:val="00BC2149"/>
    <w:rsid w:val="00BC53B8"/>
    <w:rsid w:val="00BC6BE4"/>
    <w:rsid w:val="00BD6434"/>
    <w:rsid w:val="00BD7781"/>
    <w:rsid w:val="00BE0071"/>
    <w:rsid w:val="00BE08FE"/>
    <w:rsid w:val="00BE0B7D"/>
    <w:rsid w:val="00BE2445"/>
    <w:rsid w:val="00BE2E9C"/>
    <w:rsid w:val="00BE48A7"/>
    <w:rsid w:val="00BF2BCB"/>
    <w:rsid w:val="00BF4513"/>
    <w:rsid w:val="00BF575B"/>
    <w:rsid w:val="00C00837"/>
    <w:rsid w:val="00C00998"/>
    <w:rsid w:val="00C07448"/>
    <w:rsid w:val="00C077F3"/>
    <w:rsid w:val="00C125B0"/>
    <w:rsid w:val="00C1480B"/>
    <w:rsid w:val="00C1568D"/>
    <w:rsid w:val="00C15FB9"/>
    <w:rsid w:val="00C24CE7"/>
    <w:rsid w:val="00C2582C"/>
    <w:rsid w:val="00C276B9"/>
    <w:rsid w:val="00C30274"/>
    <w:rsid w:val="00C34872"/>
    <w:rsid w:val="00C34DAB"/>
    <w:rsid w:val="00C4146A"/>
    <w:rsid w:val="00C43B70"/>
    <w:rsid w:val="00C45935"/>
    <w:rsid w:val="00C51CC4"/>
    <w:rsid w:val="00C524B5"/>
    <w:rsid w:val="00C529BE"/>
    <w:rsid w:val="00C560F2"/>
    <w:rsid w:val="00C576E3"/>
    <w:rsid w:val="00C60011"/>
    <w:rsid w:val="00C60BC9"/>
    <w:rsid w:val="00C61DF9"/>
    <w:rsid w:val="00C732DE"/>
    <w:rsid w:val="00C73829"/>
    <w:rsid w:val="00C7751F"/>
    <w:rsid w:val="00C77525"/>
    <w:rsid w:val="00C82696"/>
    <w:rsid w:val="00C83079"/>
    <w:rsid w:val="00C84E6B"/>
    <w:rsid w:val="00C85C30"/>
    <w:rsid w:val="00C86F53"/>
    <w:rsid w:val="00C94F5A"/>
    <w:rsid w:val="00C950AA"/>
    <w:rsid w:val="00C9579B"/>
    <w:rsid w:val="00CA591A"/>
    <w:rsid w:val="00CA66C5"/>
    <w:rsid w:val="00CA7091"/>
    <w:rsid w:val="00CB0A32"/>
    <w:rsid w:val="00CB4722"/>
    <w:rsid w:val="00CB7ADC"/>
    <w:rsid w:val="00CC14AD"/>
    <w:rsid w:val="00CC1DAD"/>
    <w:rsid w:val="00CC6C1F"/>
    <w:rsid w:val="00CD14A6"/>
    <w:rsid w:val="00CD4069"/>
    <w:rsid w:val="00CD6411"/>
    <w:rsid w:val="00CE5F53"/>
    <w:rsid w:val="00CE6DFC"/>
    <w:rsid w:val="00CE78B2"/>
    <w:rsid w:val="00CE79E4"/>
    <w:rsid w:val="00CF108F"/>
    <w:rsid w:val="00CF1E7B"/>
    <w:rsid w:val="00CF333F"/>
    <w:rsid w:val="00CF7992"/>
    <w:rsid w:val="00D001A1"/>
    <w:rsid w:val="00D00E35"/>
    <w:rsid w:val="00D02DA5"/>
    <w:rsid w:val="00D20A43"/>
    <w:rsid w:val="00D2323B"/>
    <w:rsid w:val="00D2402F"/>
    <w:rsid w:val="00D25462"/>
    <w:rsid w:val="00D25D2C"/>
    <w:rsid w:val="00D26BF9"/>
    <w:rsid w:val="00D26FE5"/>
    <w:rsid w:val="00D307E1"/>
    <w:rsid w:val="00D36252"/>
    <w:rsid w:val="00D36DA1"/>
    <w:rsid w:val="00D41292"/>
    <w:rsid w:val="00D44723"/>
    <w:rsid w:val="00D447BF"/>
    <w:rsid w:val="00D46359"/>
    <w:rsid w:val="00D5656D"/>
    <w:rsid w:val="00D57220"/>
    <w:rsid w:val="00D57841"/>
    <w:rsid w:val="00D57905"/>
    <w:rsid w:val="00D57DB6"/>
    <w:rsid w:val="00D617E1"/>
    <w:rsid w:val="00D64202"/>
    <w:rsid w:val="00D64310"/>
    <w:rsid w:val="00D64339"/>
    <w:rsid w:val="00D65AC6"/>
    <w:rsid w:val="00D66FB3"/>
    <w:rsid w:val="00D672B2"/>
    <w:rsid w:val="00D72ABB"/>
    <w:rsid w:val="00D74ACD"/>
    <w:rsid w:val="00D768F2"/>
    <w:rsid w:val="00D83577"/>
    <w:rsid w:val="00D83AFE"/>
    <w:rsid w:val="00D85519"/>
    <w:rsid w:val="00D91809"/>
    <w:rsid w:val="00D92109"/>
    <w:rsid w:val="00D9388E"/>
    <w:rsid w:val="00D9510B"/>
    <w:rsid w:val="00DA1589"/>
    <w:rsid w:val="00DA2484"/>
    <w:rsid w:val="00DA2E4D"/>
    <w:rsid w:val="00DA3680"/>
    <w:rsid w:val="00DB1622"/>
    <w:rsid w:val="00DB2342"/>
    <w:rsid w:val="00DB2BCF"/>
    <w:rsid w:val="00DB3B57"/>
    <w:rsid w:val="00DB4C21"/>
    <w:rsid w:val="00DB6B35"/>
    <w:rsid w:val="00DC5D57"/>
    <w:rsid w:val="00DC79C8"/>
    <w:rsid w:val="00DD006C"/>
    <w:rsid w:val="00DD0350"/>
    <w:rsid w:val="00DD2307"/>
    <w:rsid w:val="00DD356B"/>
    <w:rsid w:val="00DD3947"/>
    <w:rsid w:val="00DD68B9"/>
    <w:rsid w:val="00DE002A"/>
    <w:rsid w:val="00DE0A37"/>
    <w:rsid w:val="00DE1182"/>
    <w:rsid w:val="00DE1371"/>
    <w:rsid w:val="00DE1AF6"/>
    <w:rsid w:val="00DF0CFA"/>
    <w:rsid w:val="00DF1F21"/>
    <w:rsid w:val="00DF1FA7"/>
    <w:rsid w:val="00DF5C07"/>
    <w:rsid w:val="00DF5D71"/>
    <w:rsid w:val="00DF6619"/>
    <w:rsid w:val="00DF6EDF"/>
    <w:rsid w:val="00DF7D58"/>
    <w:rsid w:val="00E00012"/>
    <w:rsid w:val="00E048D1"/>
    <w:rsid w:val="00E04A6E"/>
    <w:rsid w:val="00E055A0"/>
    <w:rsid w:val="00E05D20"/>
    <w:rsid w:val="00E06D89"/>
    <w:rsid w:val="00E070FC"/>
    <w:rsid w:val="00E1067F"/>
    <w:rsid w:val="00E14259"/>
    <w:rsid w:val="00E2294A"/>
    <w:rsid w:val="00E22984"/>
    <w:rsid w:val="00E23C26"/>
    <w:rsid w:val="00E23CE9"/>
    <w:rsid w:val="00E2478A"/>
    <w:rsid w:val="00E27BC6"/>
    <w:rsid w:val="00E32F6B"/>
    <w:rsid w:val="00E3363A"/>
    <w:rsid w:val="00E33C88"/>
    <w:rsid w:val="00E37A62"/>
    <w:rsid w:val="00E41F03"/>
    <w:rsid w:val="00E42CEA"/>
    <w:rsid w:val="00E506C2"/>
    <w:rsid w:val="00E513A6"/>
    <w:rsid w:val="00E535AD"/>
    <w:rsid w:val="00E55E87"/>
    <w:rsid w:val="00E567F5"/>
    <w:rsid w:val="00E62440"/>
    <w:rsid w:val="00E65DBF"/>
    <w:rsid w:val="00E676D2"/>
    <w:rsid w:val="00E736DE"/>
    <w:rsid w:val="00E76806"/>
    <w:rsid w:val="00E80159"/>
    <w:rsid w:val="00E8094C"/>
    <w:rsid w:val="00E82827"/>
    <w:rsid w:val="00EA186F"/>
    <w:rsid w:val="00EA4B10"/>
    <w:rsid w:val="00EB06AC"/>
    <w:rsid w:val="00EB06E2"/>
    <w:rsid w:val="00EB208B"/>
    <w:rsid w:val="00EB22E6"/>
    <w:rsid w:val="00EB4E45"/>
    <w:rsid w:val="00EB6100"/>
    <w:rsid w:val="00EB62E7"/>
    <w:rsid w:val="00EC0095"/>
    <w:rsid w:val="00EC20EE"/>
    <w:rsid w:val="00EC2215"/>
    <w:rsid w:val="00EC425F"/>
    <w:rsid w:val="00EC5FB2"/>
    <w:rsid w:val="00EC6DD4"/>
    <w:rsid w:val="00EC7314"/>
    <w:rsid w:val="00ED7A6B"/>
    <w:rsid w:val="00EE1240"/>
    <w:rsid w:val="00EE1967"/>
    <w:rsid w:val="00EE25C8"/>
    <w:rsid w:val="00EF1780"/>
    <w:rsid w:val="00EF2278"/>
    <w:rsid w:val="00EF4C3E"/>
    <w:rsid w:val="00EF5464"/>
    <w:rsid w:val="00EF63FF"/>
    <w:rsid w:val="00EF6495"/>
    <w:rsid w:val="00EF65A6"/>
    <w:rsid w:val="00EF761F"/>
    <w:rsid w:val="00F037AA"/>
    <w:rsid w:val="00F11D16"/>
    <w:rsid w:val="00F30271"/>
    <w:rsid w:val="00F356F5"/>
    <w:rsid w:val="00F363E9"/>
    <w:rsid w:val="00F3691B"/>
    <w:rsid w:val="00F371B6"/>
    <w:rsid w:val="00F4037D"/>
    <w:rsid w:val="00F41B95"/>
    <w:rsid w:val="00F4333F"/>
    <w:rsid w:val="00F43794"/>
    <w:rsid w:val="00F43A82"/>
    <w:rsid w:val="00F44E0F"/>
    <w:rsid w:val="00F463E9"/>
    <w:rsid w:val="00F47241"/>
    <w:rsid w:val="00F4731D"/>
    <w:rsid w:val="00F50D8B"/>
    <w:rsid w:val="00F5196C"/>
    <w:rsid w:val="00F553E1"/>
    <w:rsid w:val="00F56181"/>
    <w:rsid w:val="00F610CA"/>
    <w:rsid w:val="00F617F8"/>
    <w:rsid w:val="00F6241F"/>
    <w:rsid w:val="00F63C2E"/>
    <w:rsid w:val="00F65F1A"/>
    <w:rsid w:val="00F67089"/>
    <w:rsid w:val="00F675FA"/>
    <w:rsid w:val="00F7032E"/>
    <w:rsid w:val="00F709A1"/>
    <w:rsid w:val="00F70B4D"/>
    <w:rsid w:val="00F752EA"/>
    <w:rsid w:val="00F75454"/>
    <w:rsid w:val="00F75490"/>
    <w:rsid w:val="00F775B1"/>
    <w:rsid w:val="00F82B59"/>
    <w:rsid w:val="00F8373A"/>
    <w:rsid w:val="00F8488B"/>
    <w:rsid w:val="00F905BE"/>
    <w:rsid w:val="00F9066F"/>
    <w:rsid w:val="00F90918"/>
    <w:rsid w:val="00F9163F"/>
    <w:rsid w:val="00F93423"/>
    <w:rsid w:val="00F946E2"/>
    <w:rsid w:val="00F96A31"/>
    <w:rsid w:val="00FA24B5"/>
    <w:rsid w:val="00FA71B0"/>
    <w:rsid w:val="00FA71D0"/>
    <w:rsid w:val="00FA7DD0"/>
    <w:rsid w:val="00FB0D85"/>
    <w:rsid w:val="00FB19B4"/>
    <w:rsid w:val="00FB46B0"/>
    <w:rsid w:val="00FB5CAC"/>
    <w:rsid w:val="00FC04A3"/>
    <w:rsid w:val="00FC1C18"/>
    <w:rsid w:val="00FC2115"/>
    <w:rsid w:val="00FC3617"/>
    <w:rsid w:val="00FC380B"/>
    <w:rsid w:val="00FC441C"/>
    <w:rsid w:val="00FC75F6"/>
    <w:rsid w:val="00FC7C43"/>
    <w:rsid w:val="00FD1B7E"/>
    <w:rsid w:val="00FD39BF"/>
    <w:rsid w:val="00FE7A19"/>
    <w:rsid w:val="00FF4F3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15:docId w15:val="{CC9592D1-649E-464F-85F8-D4D027B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semiHidden/>
    <w:rsid w:val="009C2501"/>
    <w:rPr>
      <w:sz w:val="16"/>
      <w:szCs w:val="16"/>
    </w:rPr>
  </w:style>
  <w:style w:type="paragraph" w:styleId="CommentText">
    <w:name w:val="annotation text"/>
    <w:basedOn w:val="Normal"/>
    <w:semiHidden/>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247">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407306818">
          <w:marLeft w:val="0"/>
          <w:marRight w:val="0"/>
          <w:marTop w:val="0"/>
          <w:marBottom w:val="0"/>
          <w:divBdr>
            <w:top w:val="none" w:sz="0" w:space="0" w:color="auto"/>
            <w:left w:val="none" w:sz="0" w:space="0" w:color="auto"/>
            <w:bottom w:val="none" w:sz="0" w:space="0" w:color="auto"/>
            <w:right w:val="none" w:sz="0" w:space="0" w:color="auto"/>
          </w:divBdr>
          <w:divsChild>
            <w:div w:id="1093357074">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sChild>
                    <w:div w:id="622925092">
                      <w:marLeft w:val="0"/>
                      <w:marRight w:val="0"/>
                      <w:marTop w:val="0"/>
                      <w:marBottom w:val="0"/>
                      <w:divBdr>
                        <w:top w:val="none" w:sz="0" w:space="0" w:color="auto"/>
                        <w:left w:val="none" w:sz="0" w:space="0" w:color="auto"/>
                        <w:bottom w:val="none" w:sz="0" w:space="0" w:color="auto"/>
                        <w:right w:val="none" w:sz="0" w:space="0" w:color="auto"/>
                      </w:divBdr>
                      <w:divsChild>
                        <w:div w:id="1426655722">
                          <w:marLeft w:val="0"/>
                          <w:marRight w:val="0"/>
                          <w:marTop w:val="300"/>
                          <w:marBottom w:val="0"/>
                          <w:divBdr>
                            <w:top w:val="none" w:sz="0" w:space="0" w:color="auto"/>
                            <w:left w:val="none" w:sz="0" w:space="0" w:color="auto"/>
                            <w:bottom w:val="none" w:sz="0" w:space="0" w:color="auto"/>
                            <w:right w:val="none" w:sz="0" w:space="0" w:color="auto"/>
                          </w:divBdr>
                          <w:divsChild>
                            <w:div w:id="1481192551">
                              <w:marLeft w:val="0"/>
                              <w:marRight w:val="0"/>
                              <w:marTop w:val="480"/>
                              <w:marBottom w:val="240"/>
                              <w:divBdr>
                                <w:top w:val="none" w:sz="0" w:space="0" w:color="auto"/>
                                <w:left w:val="none" w:sz="0" w:space="0" w:color="auto"/>
                                <w:bottom w:val="none" w:sz="0" w:space="0" w:color="auto"/>
                                <w:right w:val="none" w:sz="0" w:space="0" w:color="auto"/>
                              </w:divBdr>
                            </w:div>
                            <w:div w:id="19706212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67849">
      <w:bodyDiv w:val="1"/>
      <w:marLeft w:val="0"/>
      <w:marRight w:val="0"/>
      <w:marTop w:val="0"/>
      <w:marBottom w:val="0"/>
      <w:divBdr>
        <w:top w:val="none" w:sz="0" w:space="0" w:color="auto"/>
        <w:left w:val="none" w:sz="0" w:space="0" w:color="auto"/>
        <w:bottom w:val="none" w:sz="0" w:space="0" w:color="auto"/>
        <w:right w:val="none" w:sz="0" w:space="0" w:color="auto"/>
      </w:divBdr>
    </w:div>
    <w:div w:id="954364480">
      <w:bodyDiv w:val="1"/>
      <w:marLeft w:val="0"/>
      <w:marRight w:val="0"/>
      <w:marTop w:val="0"/>
      <w:marBottom w:val="0"/>
      <w:divBdr>
        <w:top w:val="none" w:sz="0" w:space="0" w:color="auto"/>
        <w:left w:val="none" w:sz="0" w:space="0" w:color="auto"/>
        <w:bottom w:val="none" w:sz="0" w:space="0" w:color="auto"/>
        <w:right w:val="none" w:sz="0" w:space="0" w:color="auto"/>
      </w:divBdr>
    </w:div>
    <w:div w:id="1046833674">
      <w:bodyDiv w:val="1"/>
      <w:marLeft w:val="0"/>
      <w:marRight w:val="0"/>
      <w:marTop w:val="0"/>
      <w:marBottom w:val="0"/>
      <w:divBdr>
        <w:top w:val="none" w:sz="0" w:space="0" w:color="auto"/>
        <w:left w:val="none" w:sz="0" w:space="0" w:color="auto"/>
        <w:bottom w:val="none" w:sz="0" w:space="0" w:color="auto"/>
        <w:right w:val="none" w:sz="0" w:space="0" w:color="auto"/>
      </w:divBdr>
    </w:div>
    <w:div w:id="1237594306">
      <w:bodyDiv w:val="1"/>
      <w:marLeft w:val="0"/>
      <w:marRight w:val="0"/>
      <w:marTop w:val="0"/>
      <w:marBottom w:val="0"/>
      <w:divBdr>
        <w:top w:val="none" w:sz="0" w:space="0" w:color="auto"/>
        <w:left w:val="none" w:sz="0" w:space="0" w:color="auto"/>
        <w:bottom w:val="none" w:sz="0" w:space="0" w:color="auto"/>
        <w:right w:val="none" w:sz="0" w:space="0" w:color="auto"/>
      </w:divBdr>
    </w:div>
    <w:div w:id="1968734198">
      <w:bodyDiv w:val="1"/>
      <w:marLeft w:val="0"/>
      <w:marRight w:val="0"/>
      <w:marTop w:val="0"/>
      <w:marBottom w:val="0"/>
      <w:divBdr>
        <w:top w:val="none" w:sz="0" w:space="0" w:color="auto"/>
        <w:left w:val="none" w:sz="0" w:space="0" w:color="auto"/>
        <w:bottom w:val="none" w:sz="0" w:space="0" w:color="auto"/>
        <w:right w:val="none" w:sz="0" w:space="0" w:color="auto"/>
      </w:divBdr>
      <w:divsChild>
        <w:div w:id="382876589">
          <w:marLeft w:val="0"/>
          <w:marRight w:val="0"/>
          <w:marTop w:val="0"/>
          <w:marBottom w:val="0"/>
          <w:divBdr>
            <w:top w:val="none" w:sz="0" w:space="0" w:color="auto"/>
            <w:left w:val="none" w:sz="0" w:space="0" w:color="auto"/>
            <w:bottom w:val="none" w:sz="0" w:space="0" w:color="auto"/>
            <w:right w:val="none" w:sz="0" w:space="0" w:color="auto"/>
          </w:divBdr>
          <w:divsChild>
            <w:div w:id="1846552392">
              <w:marLeft w:val="0"/>
              <w:marRight w:val="0"/>
              <w:marTop w:val="0"/>
              <w:marBottom w:val="0"/>
              <w:divBdr>
                <w:top w:val="none" w:sz="0" w:space="0" w:color="auto"/>
                <w:left w:val="none" w:sz="0" w:space="0" w:color="auto"/>
                <w:bottom w:val="none" w:sz="0" w:space="0" w:color="auto"/>
                <w:right w:val="none" w:sz="0" w:space="0" w:color="auto"/>
              </w:divBdr>
              <w:divsChild>
                <w:div w:id="1435783001">
                  <w:marLeft w:val="0"/>
                  <w:marRight w:val="0"/>
                  <w:marTop w:val="0"/>
                  <w:marBottom w:val="0"/>
                  <w:divBdr>
                    <w:top w:val="none" w:sz="0" w:space="0" w:color="auto"/>
                    <w:left w:val="none" w:sz="0" w:space="0" w:color="auto"/>
                    <w:bottom w:val="none" w:sz="0" w:space="0" w:color="auto"/>
                    <w:right w:val="none" w:sz="0" w:space="0" w:color="auto"/>
                  </w:divBdr>
                  <w:divsChild>
                    <w:div w:id="491339876">
                      <w:marLeft w:val="0"/>
                      <w:marRight w:val="0"/>
                      <w:marTop w:val="0"/>
                      <w:marBottom w:val="0"/>
                      <w:divBdr>
                        <w:top w:val="none" w:sz="0" w:space="0" w:color="auto"/>
                        <w:left w:val="none" w:sz="0" w:space="0" w:color="auto"/>
                        <w:bottom w:val="none" w:sz="0" w:space="0" w:color="auto"/>
                        <w:right w:val="none" w:sz="0" w:space="0" w:color="auto"/>
                      </w:divBdr>
                      <w:divsChild>
                        <w:div w:id="183175264">
                          <w:marLeft w:val="0"/>
                          <w:marRight w:val="0"/>
                          <w:marTop w:val="0"/>
                          <w:marBottom w:val="0"/>
                          <w:divBdr>
                            <w:top w:val="none" w:sz="0" w:space="0" w:color="auto"/>
                            <w:left w:val="none" w:sz="0" w:space="0" w:color="auto"/>
                            <w:bottom w:val="none" w:sz="0" w:space="0" w:color="auto"/>
                            <w:right w:val="none" w:sz="0" w:space="0" w:color="auto"/>
                          </w:divBdr>
                          <w:divsChild>
                            <w:div w:id="233207036">
                              <w:marLeft w:val="0"/>
                              <w:marRight w:val="0"/>
                              <w:marTop w:val="0"/>
                              <w:marBottom w:val="0"/>
                              <w:divBdr>
                                <w:top w:val="none" w:sz="0" w:space="0" w:color="auto"/>
                                <w:left w:val="none" w:sz="0" w:space="0" w:color="auto"/>
                                <w:bottom w:val="none" w:sz="0" w:space="0" w:color="auto"/>
                                <w:right w:val="none" w:sz="0" w:space="0" w:color="auto"/>
                              </w:divBdr>
                            </w:div>
                          </w:divsChild>
                        </w:div>
                        <w:div w:id="1958753597">
                          <w:marLeft w:val="0"/>
                          <w:marRight w:val="0"/>
                          <w:marTop w:val="0"/>
                          <w:marBottom w:val="0"/>
                          <w:divBdr>
                            <w:top w:val="none" w:sz="0" w:space="0" w:color="auto"/>
                            <w:left w:val="none" w:sz="0" w:space="0" w:color="auto"/>
                            <w:bottom w:val="none" w:sz="0" w:space="0" w:color="auto"/>
                            <w:right w:val="none" w:sz="0" w:space="0" w:color="auto"/>
                          </w:divBdr>
                          <w:divsChild>
                            <w:div w:id="2146585331">
                              <w:marLeft w:val="0"/>
                              <w:marRight w:val="0"/>
                              <w:marTop w:val="0"/>
                              <w:marBottom w:val="0"/>
                              <w:divBdr>
                                <w:top w:val="none" w:sz="0" w:space="0" w:color="auto"/>
                                <w:left w:val="none" w:sz="0" w:space="0" w:color="auto"/>
                                <w:bottom w:val="none" w:sz="0" w:space="0" w:color="auto"/>
                                <w:right w:val="none" w:sz="0" w:space="0" w:color="auto"/>
                              </w:divBdr>
                              <w:divsChild>
                                <w:div w:id="1529874938">
                                  <w:marLeft w:val="0"/>
                                  <w:marRight w:val="0"/>
                                  <w:marTop w:val="0"/>
                                  <w:marBottom w:val="0"/>
                                  <w:divBdr>
                                    <w:top w:val="none" w:sz="0" w:space="0" w:color="auto"/>
                                    <w:left w:val="none" w:sz="0" w:space="0" w:color="auto"/>
                                    <w:bottom w:val="none" w:sz="0" w:space="0" w:color="auto"/>
                                    <w:right w:val="none" w:sz="0" w:space="0" w:color="auto"/>
                                  </w:divBdr>
                                </w:div>
                                <w:div w:id="1076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34">
                          <w:marLeft w:val="0"/>
                          <w:marRight w:val="0"/>
                          <w:marTop w:val="0"/>
                          <w:marBottom w:val="0"/>
                          <w:divBdr>
                            <w:top w:val="none" w:sz="0" w:space="0" w:color="auto"/>
                            <w:left w:val="none" w:sz="0" w:space="0" w:color="auto"/>
                            <w:bottom w:val="none" w:sz="0" w:space="0" w:color="auto"/>
                            <w:right w:val="none" w:sz="0" w:space="0" w:color="auto"/>
                          </w:divBdr>
                          <w:divsChild>
                            <w:div w:id="108864918">
                              <w:marLeft w:val="0"/>
                              <w:marRight w:val="0"/>
                              <w:marTop w:val="0"/>
                              <w:marBottom w:val="0"/>
                              <w:divBdr>
                                <w:top w:val="none" w:sz="0" w:space="0" w:color="auto"/>
                                <w:left w:val="none" w:sz="0" w:space="0" w:color="auto"/>
                                <w:bottom w:val="none" w:sz="0" w:space="0" w:color="auto"/>
                                <w:right w:val="none" w:sz="0" w:space="0" w:color="auto"/>
                              </w:divBdr>
                            </w:div>
                          </w:divsChild>
                        </w:div>
                        <w:div w:id="1496873449">
                          <w:marLeft w:val="0"/>
                          <w:marRight w:val="0"/>
                          <w:marTop w:val="0"/>
                          <w:marBottom w:val="0"/>
                          <w:divBdr>
                            <w:top w:val="none" w:sz="0" w:space="0" w:color="auto"/>
                            <w:left w:val="none" w:sz="0" w:space="0" w:color="auto"/>
                            <w:bottom w:val="none" w:sz="0" w:space="0" w:color="auto"/>
                            <w:right w:val="none" w:sz="0" w:space="0" w:color="auto"/>
                          </w:divBdr>
                          <w:divsChild>
                            <w:div w:id="1507748164">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861">
                  <w:marLeft w:val="0"/>
                  <w:marRight w:val="0"/>
                  <w:marTop w:val="0"/>
                  <w:marBottom w:val="0"/>
                  <w:divBdr>
                    <w:top w:val="none" w:sz="0" w:space="0" w:color="auto"/>
                    <w:left w:val="none" w:sz="0" w:space="0" w:color="auto"/>
                    <w:bottom w:val="none" w:sz="0" w:space="0" w:color="auto"/>
                    <w:right w:val="none" w:sz="0" w:space="0" w:color="auto"/>
                  </w:divBdr>
                  <w:divsChild>
                    <w:div w:id="438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 w:id="2143957563">
      <w:bodyDiv w:val="1"/>
      <w:marLeft w:val="-255"/>
      <w:marRight w:val="0"/>
      <w:marTop w:val="0"/>
      <w:marBottom w:val="0"/>
      <w:divBdr>
        <w:top w:val="none" w:sz="0" w:space="0" w:color="auto"/>
        <w:left w:val="none" w:sz="0" w:space="0" w:color="auto"/>
        <w:bottom w:val="none" w:sz="0" w:space="0" w:color="auto"/>
        <w:right w:val="none" w:sz="0" w:space="0" w:color="auto"/>
      </w:divBdr>
      <w:divsChild>
        <w:div w:id="2058621012">
          <w:marLeft w:val="0"/>
          <w:marRight w:val="0"/>
          <w:marTop w:val="0"/>
          <w:marBottom w:val="0"/>
          <w:divBdr>
            <w:top w:val="none" w:sz="0" w:space="0" w:color="auto"/>
            <w:left w:val="none" w:sz="0" w:space="0" w:color="auto"/>
            <w:bottom w:val="none" w:sz="0" w:space="0" w:color="auto"/>
            <w:right w:val="none" w:sz="0" w:space="0" w:color="auto"/>
          </w:divBdr>
          <w:divsChild>
            <w:div w:id="1311130195">
              <w:marLeft w:val="0"/>
              <w:marRight w:val="0"/>
              <w:marTop w:val="0"/>
              <w:marBottom w:val="0"/>
              <w:divBdr>
                <w:top w:val="none" w:sz="0" w:space="0" w:color="auto"/>
                <w:left w:val="none" w:sz="0" w:space="0" w:color="auto"/>
                <w:bottom w:val="none" w:sz="0" w:space="0" w:color="auto"/>
                <w:right w:val="none" w:sz="0" w:space="0" w:color="auto"/>
              </w:divBdr>
              <w:divsChild>
                <w:div w:id="2085756028">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540674184">
                          <w:marLeft w:val="0"/>
                          <w:marRight w:val="0"/>
                          <w:marTop w:val="0"/>
                          <w:marBottom w:val="0"/>
                          <w:divBdr>
                            <w:top w:val="none" w:sz="0" w:space="0" w:color="auto"/>
                            <w:left w:val="none" w:sz="0" w:space="0" w:color="auto"/>
                            <w:bottom w:val="none" w:sz="0" w:space="0" w:color="auto"/>
                            <w:right w:val="none" w:sz="0" w:space="0" w:color="auto"/>
                          </w:divBdr>
                          <w:divsChild>
                            <w:div w:id="1184978771">
                              <w:marLeft w:val="0"/>
                              <w:marRight w:val="0"/>
                              <w:marTop w:val="0"/>
                              <w:marBottom w:val="0"/>
                              <w:divBdr>
                                <w:top w:val="none" w:sz="0" w:space="0" w:color="auto"/>
                                <w:left w:val="none" w:sz="0" w:space="0" w:color="auto"/>
                                <w:bottom w:val="none" w:sz="0" w:space="0" w:color="auto"/>
                                <w:right w:val="none" w:sz="0" w:space="0" w:color="auto"/>
                              </w:divBdr>
                              <w:divsChild>
                                <w:div w:id="1353343455">
                                  <w:marLeft w:val="0"/>
                                  <w:marRight w:val="0"/>
                                  <w:marTop w:val="0"/>
                                  <w:marBottom w:val="0"/>
                                  <w:divBdr>
                                    <w:top w:val="none" w:sz="0" w:space="0" w:color="auto"/>
                                    <w:left w:val="none" w:sz="0" w:space="0" w:color="auto"/>
                                    <w:bottom w:val="none" w:sz="0" w:space="0" w:color="auto"/>
                                    <w:right w:val="none" w:sz="0" w:space="0" w:color="auto"/>
                                  </w:divBdr>
                                  <w:divsChild>
                                    <w:div w:id="25064622">
                                      <w:marLeft w:val="0"/>
                                      <w:marRight w:val="270"/>
                                      <w:marTop w:val="0"/>
                                      <w:marBottom w:val="0"/>
                                      <w:divBdr>
                                        <w:top w:val="none" w:sz="0" w:space="0" w:color="auto"/>
                                        <w:left w:val="none" w:sz="0" w:space="0" w:color="auto"/>
                                        <w:bottom w:val="none" w:sz="0" w:space="0" w:color="auto"/>
                                        <w:right w:val="none" w:sz="0" w:space="0" w:color="auto"/>
                                      </w:divBdr>
                                      <w:divsChild>
                                        <w:div w:id="154416581">
                                          <w:marLeft w:val="0"/>
                                          <w:marRight w:val="0"/>
                                          <w:marTop w:val="0"/>
                                          <w:marBottom w:val="0"/>
                                          <w:divBdr>
                                            <w:top w:val="none" w:sz="0" w:space="0" w:color="auto"/>
                                            <w:left w:val="none" w:sz="0" w:space="0" w:color="auto"/>
                                            <w:bottom w:val="none" w:sz="0" w:space="0" w:color="auto"/>
                                            <w:right w:val="none" w:sz="0" w:space="0" w:color="auto"/>
                                          </w:divBdr>
                                          <w:divsChild>
                                            <w:div w:id="678654354">
                                              <w:marLeft w:val="0"/>
                                              <w:marRight w:val="0"/>
                                              <w:marTop w:val="0"/>
                                              <w:marBottom w:val="0"/>
                                              <w:divBdr>
                                                <w:top w:val="none" w:sz="0" w:space="0" w:color="auto"/>
                                                <w:left w:val="none" w:sz="0" w:space="0" w:color="auto"/>
                                                <w:bottom w:val="none" w:sz="0" w:space="0" w:color="auto"/>
                                                <w:right w:val="none" w:sz="0" w:space="0" w:color="auto"/>
                                              </w:divBdr>
                                              <w:divsChild>
                                                <w:div w:id="352608194">
                                                  <w:marLeft w:val="0"/>
                                                  <w:marRight w:val="0"/>
                                                  <w:marTop w:val="0"/>
                                                  <w:marBottom w:val="0"/>
                                                  <w:divBdr>
                                                    <w:top w:val="none" w:sz="0" w:space="0" w:color="auto"/>
                                                    <w:left w:val="none" w:sz="0" w:space="0" w:color="auto"/>
                                                    <w:bottom w:val="none" w:sz="0" w:space="0" w:color="auto"/>
                                                    <w:right w:val="none" w:sz="0" w:space="0" w:color="auto"/>
                                                  </w:divBdr>
                                                  <w:divsChild>
                                                    <w:div w:id="720055326">
                                                      <w:marLeft w:val="0"/>
                                                      <w:marRight w:val="0"/>
                                                      <w:marTop w:val="0"/>
                                                      <w:marBottom w:val="0"/>
                                                      <w:divBdr>
                                                        <w:top w:val="none" w:sz="0" w:space="0" w:color="auto"/>
                                                        <w:left w:val="none" w:sz="0" w:space="0" w:color="auto"/>
                                                        <w:bottom w:val="none" w:sz="0" w:space="0" w:color="auto"/>
                                                        <w:right w:val="none" w:sz="0" w:space="0" w:color="auto"/>
                                                      </w:divBdr>
                                                      <w:divsChild>
                                                        <w:div w:id="336033451">
                                                          <w:marLeft w:val="0"/>
                                                          <w:marRight w:val="0"/>
                                                          <w:marTop w:val="0"/>
                                                          <w:marBottom w:val="0"/>
                                                          <w:divBdr>
                                                            <w:top w:val="none" w:sz="0" w:space="0" w:color="auto"/>
                                                            <w:left w:val="none" w:sz="0" w:space="0" w:color="auto"/>
                                                            <w:bottom w:val="none" w:sz="0" w:space="0" w:color="auto"/>
                                                            <w:right w:val="none" w:sz="0" w:space="0" w:color="auto"/>
                                                          </w:divBdr>
                                                          <w:divsChild>
                                                            <w:div w:id="4527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754">
                                                  <w:marLeft w:val="150"/>
                                                  <w:marRight w:val="0"/>
                                                  <w:marTop w:val="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none" w:sz="0" w:space="0" w:color="auto"/>
                                                        <w:left w:val="none" w:sz="0" w:space="0" w:color="auto"/>
                                                        <w:bottom w:val="none" w:sz="0" w:space="0" w:color="auto"/>
                                                        <w:right w:val="none" w:sz="0" w:space="0" w:color="auto"/>
                                                      </w:divBdr>
                                                      <w:divsChild>
                                                        <w:div w:id="1340233346">
                                                          <w:marLeft w:val="0"/>
                                                          <w:marRight w:val="0"/>
                                                          <w:marTop w:val="0"/>
                                                          <w:marBottom w:val="0"/>
                                                          <w:divBdr>
                                                            <w:top w:val="none" w:sz="0" w:space="0" w:color="auto"/>
                                                            <w:left w:val="none" w:sz="0" w:space="0" w:color="auto"/>
                                                            <w:bottom w:val="none" w:sz="0" w:space="0" w:color="auto"/>
                                                            <w:right w:val="none" w:sz="0" w:space="0" w:color="auto"/>
                                                          </w:divBdr>
                                                          <w:divsChild>
                                                            <w:div w:id="86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358">
                                          <w:marLeft w:val="0"/>
                                          <w:marRight w:val="0"/>
                                          <w:marTop w:val="0"/>
                                          <w:marBottom w:val="0"/>
                                          <w:divBdr>
                                            <w:top w:val="none" w:sz="0" w:space="0" w:color="auto"/>
                                            <w:left w:val="none" w:sz="0" w:space="0" w:color="auto"/>
                                            <w:bottom w:val="none" w:sz="0" w:space="0" w:color="auto"/>
                                            <w:right w:val="none" w:sz="0" w:space="0" w:color="auto"/>
                                          </w:divBdr>
                                          <w:divsChild>
                                            <w:div w:id="218513744">
                                              <w:marLeft w:val="0"/>
                                              <w:marRight w:val="0"/>
                                              <w:marTop w:val="0"/>
                                              <w:marBottom w:val="0"/>
                                              <w:divBdr>
                                                <w:top w:val="none" w:sz="0" w:space="0" w:color="auto"/>
                                                <w:left w:val="none" w:sz="0" w:space="0" w:color="auto"/>
                                                <w:bottom w:val="none" w:sz="0" w:space="0" w:color="auto"/>
                                                <w:right w:val="none" w:sz="0" w:space="0" w:color="auto"/>
                                              </w:divBdr>
                                              <w:divsChild>
                                                <w:div w:id="173959496">
                                                  <w:marLeft w:val="0"/>
                                                  <w:marRight w:val="0"/>
                                                  <w:marTop w:val="0"/>
                                                  <w:marBottom w:val="0"/>
                                                  <w:divBdr>
                                                    <w:top w:val="none" w:sz="0" w:space="0" w:color="auto"/>
                                                    <w:left w:val="none" w:sz="0" w:space="0" w:color="auto"/>
                                                    <w:bottom w:val="none" w:sz="0" w:space="0" w:color="auto"/>
                                                    <w:right w:val="none" w:sz="0" w:space="0" w:color="auto"/>
                                                  </w:divBdr>
                                                  <w:divsChild>
                                                    <w:div w:id="1080714444">
                                                      <w:marLeft w:val="0"/>
                                                      <w:marRight w:val="0"/>
                                                      <w:marTop w:val="0"/>
                                                      <w:marBottom w:val="0"/>
                                                      <w:divBdr>
                                                        <w:top w:val="none" w:sz="0" w:space="0" w:color="auto"/>
                                                        <w:left w:val="none" w:sz="0" w:space="0" w:color="auto"/>
                                                        <w:bottom w:val="none" w:sz="0" w:space="0" w:color="auto"/>
                                                        <w:right w:val="none" w:sz="0" w:space="0" w:color="auto"/>
                                                      </w:divBdr>
                                                      <w:divsChild>
                                                        <w:div w:id="1019355617">
                                                          <w:marLeft w:val="0"/>
                                                          <w:marRight w:val="0"/>
                                                          <w:marTop w:val="0"/>
                                                          <w:marBottom w:val="0"/>
                                                          <w:divBdr>
                                                            <w:top w:val="none" w:sz="0" w:space="0" w:color="auto"/>
                                                            <w:left w:val="none" w:sz="0" w:space="0" w:color="auto"/>
                                                            <w:bottom w:val="none" w:sz="0" w:space="0" w:color="auto"/>
                                                            <w:right w:val="none" w:sz="0" w:space="0" w:color="auto"/>
                                                          </w:divBdr>
                                                          <w:divsChild>
                                                            <w:div w:id="83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633">
                                                  <w:marLeft w:val="150"/>
                                                  <w:marRight w:val="0"/>
                                                  <w:marTop w:val="0"/>
                                                  <w:marBottom w:val="0"/>
                                                  <w:divBdr>
                                                    <w:top w:val="none" w:sz="0" w:space="0" w:color="auto"/>
                                                    <w:left w:val="none" w:sz="0" w:space="0" w:color="auto"/>
                                                    <w:bottom w:val="none" w:sz="0" w:space="0" w:color="auto"/>
                                                    <w:right w:val="none" w:sz="0" w:space="0" w:color="auto"/>
                                                  </w:divBdr>
                                                  <w:divsChild>
                                                    <w:div w:id="1503624506">
                                                      <w:marLeft w:val="0"/>
                                                      <w:marRight w:val="0"/>
                                                      <w:marTop w:val="0"/>
                                                      <w:marBottom w:val="0"/>
                                                      <w:divBdr>
                                                        <w:top w:val="none" w:sz="0" w:space="0" w:color="auto"/>
                                                        <w:left w:val="none" w:sz="0" w:space="0" w:color="auto"/>
                                                        <w:bottom w:val="none" w:sz="0" w:space="0" w:color="auto"/>
                                                        <w:right w:val="none" w:sz="0" w:space="0" w:color="auto"/>
                                                      </w:divBdr>
                                                      <w:divsChild>
                                                        <w:div w:id="289242346">
                                                          <w:marLeft w:val="0"/>
                                                          <w:marRight w:val="0"/>
                                                          <w:marTop w:val="0"/>
                                                          <w:marBottom w:val="0"/>
                                                          <w:divBdr>
                                                            <w:top w:val="none" w:sz="0" w:space="0" w:color="auto"/>
                                                            <w:left w:val="none" w:sz="0" w:space="0" w:color="auto"/>
                                                            <w:bottom w:val="none" w:sz="0" w:space="0" w:color="auto"/>
                                                            <w:right w:val="none" w:sz="0" w:space="0" w:color="auto"/>
                                                          </w:divBdr>
                                                          <w:divsChild>
                                                            <w:div w:id="50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2868">
                                          <w:marLeft w:val="0"/>
                                          <w:marRight w:val="0"/>
                                          <w:marTop w:val="0"/>
                                          <w:marBottom w:val="0"/>
                                          <w:divBdr>
                                            <w:top w:val="none" w:sz="0" w:space="0" w:color="auto"/>
                                            <w:left w:val="none" w:sz="0" w:space="0" w:color="auto"/>
                                            <w:bottom w:val="none" w:sz="0" w:space="0" w:color="auto"/>
                                            <w:right w:val="none" w:sz="0" w:space="0" w:color="auto"/>
                                          </w:divBdr>
                                        </w:div>
                                        <w:div w:id="1990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lausk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0B2AC-7B65-4CD3-A1BC-2B363EC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819</Words>
  <Characters>6222</Characters>
  <Application>Microsoft Office Word</Application>
  <DocSecurity>0</DocSecurity>
  <Lines>207</Lines>
  <Paragraphs>69</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 par Ministru kabineta noteikumiem „Grozījumi Ministru kabineta 2011.gada 21.jūnija noteikumos Nr.470 „Derīgo izrakteņu ieguves atkritumu apsaimniekošanas kārtība””</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par Ministru kabineta noteikumiem „Grozījumi Ministru kabineta 2011.gada 21.jūnija noteikumos Nr.470 „Derīgo izrakteņu ieguves atkritumu apsaimniekošanas kārtība””</dc:title>
  <dc:subject>Anotācija</dc:subject>
  <dc:creator>L.Miķelsone</dc:creator>
  <dc:description>liene.mikelsone@varam.gov.lv_x000d_
T. 67026569</dc:description>
  <cp:lastModifiedBy>Normunds Lauskis</cp:lastModifiedBy>
  <cp:revision>22</cp:revision>
  <cp:lastPrinted>2012-11-16T08:17:00Z</cp:lastPrinted>
  <dcterms:created xsi:type="dcterms:W3CDTF">2014-07-23T07:14:00Z</dcterms:created>
  <dcterms:modified xsi:type="dcterms:W3CDTF">2014-08-29T07:24:00Z</dcterms:modified>
</cp:coreProperties>
</file>