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1D4587" w:rsidRDefault="00D23877" w:rsidP="003D627E">
      <w:pPr>
        <w:ind w:firstLine="567"/>
        <w:jc w:val="center"/>
        <w:rPr>
          <w:b/>
          <w:caps/>
        </w:rPr>
      </w:pPr>
      <w:r w:rsidRPr="001D4587">
        <w:rPr>
          <w:b/>
          <w:caps/>
        </w:rPr>
        <w:t xml:space="preserve">Informatīvais </w:t>
      </w:r>
      <w:smartTag w:uri="schemas-tilde-lv/tildestengine" w:element="veidnes">
        <w:smartTagPr>
          <w:attr w:name="text" w:val="ziņojums"/>
          <w:attr w:name="baseform" w:val="ziņojums"/>
          <w:attr w:name="id" w:val="-1"/>
        </w:smartTagPr>
        <w:r w:rsidRPr="001D4587">
          <w:rPr>
            <w:b/>
            <w:caps/>
          </w:rPr>
          <w:t>ziņojums</w:t>
        </w:r>
      </w:smartTag>
    </w:p>
    <w:p w:rsidR="00D23877" w:rsidRPr="001D4587" w:rsidRDefault="00D23877" w:rsidP="003D627E">
      <w:pPr>
        <w:pStyle w:val="BodyTextIndent"/>
        <w:ind w:firstLine="567"/>
        <w:jc w:val="center"/>
        <w:rPr>
          <w:sz w:val="24"/>
          <w:szCs w:val="24"/>
        </w:rPr>
      </w:pPr>
      <w:r w:rsidRPr="001D4587">
        <w:rPr>
          <w:sz w:val="24"/>
          <w:szCs w:val="24"/>
        </w:rPr>
        <w:t>„</w:t>
      </w:r>
      <w:bookmarkStart w:id="0" w:name="OLE_LINK1"/>
      <w:bookmarkStart w:id="1" w:name="OLE_LINK2"/>
      <w:r w:rsidR="00531AFC" w:rsidRPr="001D4587">
        <w:rPr>
          <w:sz w:val="24"/>
          <w:szCs w:val="24"/>
        </w:rPr>
        <w:t>Par 201</w:t>
      </w:r>
      <w:r w:rsidR="008E02A7" w:rsidRPr="001D4587">
        <w:rPr>
          <w:sz w:val="24"/>
          <w:szCs w:val="24"/>
        </w:rPr>
        <w:t>4</w:t>
      </w:r>
      <w:r w:rsidR="00531AFC" w:rsidRPr="001D4587">
        <w:rPr>
          <w:sz w:val="24"/>
          <w:szCs w:val="24"/>
        </w:rPr>
        <w:t xml:space="preserve">.gada </w:t>
      </w:r>
      <w:r w:rsidR="008E02A7" w:rsidRPr="001D4587">
        <w:rPr>
          <w:sz w:val="24"/>
          <w:szCs w:val="24"/>
        </w:rPr>
        <w:t xml:space="preserve">14.maijā </w:t>
      </w:r>
      <w:r w:rsidR="00531AFC" w:rsidRPr="001D4587">
        <w:rPr>
          <w:sz w:val="24"/>
          <w:szCs w:val="24"/>
        </w:rPr>
        <w:t>neformālajā Eiropas Savienības Vides ministru padomē izskatāmajiem jautājumiem</w:t>
      </w:r>
      <w:bookmarkEnd w:id="0"/>
      <w:bookmarkEnd w:id="1"/>
      <w:r w:rsidRPr="001D4587">
        <w:rPr>
          <w:sz w:val="24"/>
          <w:szCs w:val="24"/>
        </w:rPr>
        <w:t>”</w:t>
      </w:r>
    </w:p>
    <w:p w:rsidR="00EE5153" w:rsidRPr="001D4587" w:rsidRDefault="00EE5153" w:rsidP="003D627E">
      <w:pPr>
        <w:ind w:firstLine="567"/>
        <w:jc w:val="both"/>
      </w:pPr>
    </w:p>
    <w:p w:rsidR="00E222E4" w:rsidRPr="001D4587" w:rsidRDefault="00E222E4" w:rsidP="003D627E">
      <w:pPr>
        <w:ind w:firstLine="567"/>
        <w:jc w:val="both"/>
        <w:rPr>
          <w:b/>
          <w:u w:val="single"/>
        </w:rPr>
      </w:pPr>
      <w:r w:rsidRPr="001D4587">
        <w:rPr>
          <w:b/>
          <w:u w:val="single"/>
        </w:rPr>
        <w:t>Informācija par neformālajā ministru padomē izskatāmajiem jautājumiem</w:t>
      </w:r>
    </w:p>
    <w:p w:rsidR="00507CBC" w:rsidRPr="001D4587" w:rsidRDefault="00507CBC" w:rsidP="003D627E">
      <w:pPr>
        <w:ind w:firstLine="567"/>
        <w:jc w:val="both"/>
      </w:pPr>
    </w:p>
    <w:p w:rsidR="00AB7C1B" w:rsidRPr="001D4587" w:rsidRDefault="00AB7C1B" w:rsidP="003D627E">
      <w:pPr>
        <w:ind w:firstLine="567"/>
        <w:jc w:val="both"/>
        <w:rPr>
          <w:b/>
          <w:u w:val="single"/>
        </w:rPr>
      </w:pPr>
      <w:r w:rsidRPr="001D4587">
        <w:t xml:space="preserve">Eiropas Savienības (turpmāk – ES) </w:t>
      </w:r>
      <w:r w:rsidR="008E02A7" w:rsidRPr="001D4587">
        <w:t>Grieķijas</w:t>
      </w:r>
      <w:r w:rsidRPr="001D4587">
        <w:t xml:space="preserve"> prezidentūra 201</w:t>
      </w:r>
      <w:r w:rsidR="008E02A7" w:rsidRPr="001D4587">
        <w:t>4</w:t>
      </w:r>
      <w:r w:rsidRPr="001D4587">
        <w:t xml:space="preserve">.gada </w:t>
      </w:r>
      <w:r w:rsidR="008E02A7" w:rsidRPr="001D4587">
        <w:t>14.maijā</w:t>
      </w:r>
      <w:r w:rsidRPr="001D4587">
        <w:t xml:space="preserve"> </w:t>
      </w:r>
      <w:r w:rsidR="008E02A7" w:rsidRPr="001D4587">
        <w:t>Grieķijā</w:t>
      </w:r>
      <w:r w:rsidRPr="001D4587">
        <w:t xml:space="preserve">, </w:t>
      </w:r>
      <w:r w:rsidR="008E02A7" w:rsidRPr="001D4587">
        <w:t>Atēnās</w:t>
      </w:r>
      <w:r w:rsidRPr="001D4587">
        <w:t xml:space="preserve"> organizē neformālo ES Vides ministru padomi</w:t>
      </w:r>
      <w:r w:rsidR="005F6569" w:rsidRPr="001D4587">
        <w:t>, kuras d</w:t>
      </w:r>
      <w:r w:rsidRPr="001D4587">
        <w:t xml:space="preserve">arba kārtībā paredzētas diskusijas par šādiem </w:t>
      </w:r>
      <w:r w:rsidR="005F6569" w:rsidRPr="001D4587">
        <w:t xml:space="preserve">Vides aizsardzības un reģionālās attīstības ministrijas kompetencē esošiem </w:t>
      </w:r>
      <w:r w:rsidRPr="001D4587">
        <w:t>jautājumiem:</w:t>
      </w:r>
    </w:p>
    <w:p w:rsidR="00554B70" w:rsidRPr="001D4587" w:rsidRDefault="00B05309" w:rsidP="003D627E">
      <w:pPr>
        <w:ind w:firstLine="567"/>
        <w:jc w:val="both"/>
      </w:pPr>
      <w:r w:rsidRPr="001D4587">
        <w:t>1. Jūras vide – pamats ilgtspējīgai jūras nozaru izaugsmei (</w:t>
      </w:r>
      <w:proofErr w:type="spellStart"/>
      <w:r w:rsidR="00692AEE" w:rsidRPr="001D4587">
        <w:rPr>
          <w:i/>
          <w:lang w:eastAsia="en-GB"/>
        </w:rPr>
        <w:t>blue</w:t>
      </w:r>
      <w:proofErr w:type="spellEnd"/>
      <w:r w:rsidR="00692AEE" w:rsidRPr="001D4587">
        <w:rPr>
          <w:i/>
          <w:lang w:eastAsia="en-GB"/>
        </w:rPr>
        <w:t xml:space="preserve"> </w:t>
      </w:r>
      <w:proofErr w:type="spellStart"/>
      <w:r w:rsidR="00692AEE" w:rsidRPr="001D4587">
        <w:rPr>
          <w:i/>
          <w:lang w:eastAsia="en-GB"/>
        </w:rPr>
        <w:t>growth</w:t>
      </w:r>
      <w:proofErr w:type="spellEnd"/>
      <w:r w:rsidR="00692AEE" w:rsidRPr="001D4587">
        <w:rPr>
          <w:lang w:eastAsia="en-GB"/>
        </w:rPr>
        <w:t>)</w:t>
      </w:r>
      <w:r w:rsidR="00280A6E" w:rsidRPr="001D4587">
        <w:t>;</w:t>
      </w:r>
    </w:p>
    <w:p w:rsidR="00280A6E" w:rsidRPr="001D4587" w:rsidRDefault="00B05309" w:rsidP="003D627E">
      <w:pPr>
        <w:ind w:firstLine="567"/>
        <w:jc w:val="both"/>
      </w:pPr>
      <w:r w:rsidRPr="001D4587">
        <w:t xml:space="preserve">2. </w:t>
      </w:r>
      <w:r w:rsidR="000823F3" w:rsidRPr="001D4587">
        <w:t xml:space="preserve">Gatavošanās nākamajai </w:t>
      </w:r>
      <w:r w:rsidR="000B1949" w:rsidRPr="001D4587">
        <w:t xml:space="preserve">ANO </w:t>
      </w:r>
      <w:r w:rsidR="00F7525A" w:rsidRPr="001D4587">
        <w:t>Vispārējās konvencijas par klimata pārmaiņām</w:t>
      </w:r>
      <w:r w:rsidR="000B1949" w:rsidRPr="001D4587">
        <w:t xml:space="preserve"> (</w:t>
      </w:r>
      <w:r w:rsidR="000823F3" w:rsidRPr="001D4587">
        <w:t>UNFCCC</w:t>
      </w:r>
      <w:r w:rsidR="000B1949" w:rsidRPr="001D4587">
        <w:t>)</w:t>
      </w:r>
      <w:r w:rsidR="000823F3" w:rsidRPr="001D4587">
        <w:t xml:space="preserve"> </w:t>
      </w:r>
      <w:r w:rsidR="002E6668" w:rsidRPr="001D4587">
        <w:t xml:space="preserve">pušu </w:t>
      </w:r>
      <w:r w:rsidR="000823F3" w:rsidRPr="001D4587">
        <w:t>sesijai</w:t>
      </w:r>
      <w:r w:rsidR="00F91A8E" w:rsidRPr="001D4587">
        <w:t xml:space="preserve"> (Kioto ambīciju mehānisms, </w:t>
      </w:r>
      <w:proofErr w:type="spellStart"/>
      <w:r w:rsidR="00F91A8E" w:rsidRPr="001D4587">
        <w:t>Durb</w:t>
      </w:r>
      <w:r w:rsidR="00E63AA4" w:rsidRPr="001D4587">
        <w:t>ā</w:t>
      </w:r>
      <w:r w:rsidR="00F91A8E" w:rsidRPr="001D4587">
        <w:t>nas</w:t>
      </w:r>
      <w:proofErr w:type="spellEnd"/>
      <w:r w:rsidR="00F91A8E" w:rsidRPr="001D4587">
        <w:t xml:space="preserve"> platformas darba grupa)</w:t>
      </w:r>
      <w:r w:rsidR="00280A6E" w:rsidRPr="001D4587">
        <w:t>;</w:t>
      </w:r>
    </w:p>
    <w:p w:rsidR="00280A6E" w:rsidRPr="001D4587" w:rsidRDefault="00B05309" w:rsidP="003D627E">
      <w:pPr>
        <w:ind w:firstLine="567"/>
        <w:jc w:val="both"/>
      </w:pPr>
      <w:r w:rsidRPr="001D4587">
        <w:t xml:space="preserve">3. </w:t>
      </w:r>
      <w:r w:rsidR="000823F3" w:rsidRPr="001D4587">
        <w:t>Klimata un enerģētikas p</w:t>
      </w:r>
      <w:r w:rsidR="00F86A6A" w:rsidRPr="001D4587">
        <w:t>olitikas</w:t>
      </w:r>
      <w:r w:rsidR="000823F3" w:rsidRPr="001D4587">
        <w:t xml:space="preserve"> ietvars 2030.gadam</w:t>
      </w:r>
      <w:r w:rsidR="00280A6E" w:rsidRPr="001D4587">
        <w:t>.</w:t>
      </w:r>
    </w:p>
    <w:p w:rsidR="00507CBC" w:rsidRPr="001D4587" w:rsidRDefault="00507CBC" w:rsidP="003D627E">
      <w:pPr>
        <w:ind w:firstLine="567"/>
        <w:jc w:val="both"/>
        <w:rPr>
          <w:b/>
          <w:u w:val="single"/>
        </w:rPr>
      </w:pPr>
    </w:p>
    <w:p w:rsidR="00D23877" w:rsidRPr="001D4587" w:rsidRDefault="00E222E4" w:rsidP="003D627E">
      <w:pPr>
        <w:ind w:firstLine="567"/>
        <w:jc w:val="both"/>
        <w:rPr>
          <w:b/>
          <w:u w:val="single"/>
        </w:rPr>
      </w:pPr>
      <w:r w:rsidRPr="001D4587">
        <w:rPr>
          <w:b/>
          <w:u w:val="single"/>
        </w:rPr>
        <w:t>Latvijas viedoklis par sanāksmes laikā diskutējamiem jautājumiem</w:t>
      </w:r>
    </w:p>
    <w:p w:rsidR="005767C1" w:rsidRPr="001D4587" w:rsidRDefault="005767C1" w:rsidP="003D627E">
      <w:pPr>
        <w:pStyle w:val="ListParagraph"/>
        <w:ind w:left="0" w:firstLine="567"/>
        <w:jc w:val="both"/>
        <w:rPr>
          <w:b/>
          <w:u w:val="single"/>
        </w:rPr>
      </w:pPr>
      <w:r w:rsidRPr="001D4587">
        <w:rPr>
          <w:b/>
        </w:rPr>
        <w:t>1. Jūras vide – pamats ilgtspējīgai jūras nozaru izaugsmei (</w:t>
      </w:r>
      <w:proofErr w:type="spellStart"/>
      <w:r w:rsidRPr="001D4587">
        <w:rPr>
          <w:b/>
          <w:i/>
          <w:lang w:eastAsia="en-GB"/>
        </w:rPr>
        <w:t>blue</w:t>
      </w:r>
      <w:proofErr w:type="spellEnd"/>
      <w:r w:rsidRPr="001D4587">
        <w:rPr>
          <w:b/>
          <w:i/>
          <w:lang w:eastAsia="en-GB"/>
        </w:rPr>
        <w:t xml:space="preserve"> </w:t>
      </w:r>
      <w:proofErr w:type="spellStart"/>
      <w:r w:rsidRPr="001D4587">
        <w:rPr>
          <w:b/>
          <w:i/>
          <w:lang w:eastAsia="en-GB"/>
        </w:rPr>
        <w:t>growth</w:t>
      </w:r>
      <w:proofErr w:type="spellEnd"/>
      <w:r w:rsidRPr="001D4587">
        <w:rPr>
          <w:b/>
          <w:lang w:eastAsia="en-GB"/>
        </w:rPr>
        <w:t>).</w:t>
      </w:r>
    </w:p>
    <w:p w:rsidR="005767C1" w:rsidRPr="001D4587" w:rsidRDefault="005767C1" w:rsidP="003D627E">
      <w:pPr>
        <w:ind w:firstLine="567"/>
        <w:jc w:val="both"/>
      </w:pPr>
      <w:r w:rsidRPr="001D4587">
        <w:t>Ilgtspējīga jūras nozaru izaugsme ir viena no Grieķijas prezidentūras izvirzītajām prioritārajām tēmām. Jūras vide un tās stāvoklis ir būtisks pamatelements jūras nozaru izaugsmei. Tādēļ Grieķijas prezidentūra organizē vides ministru diskusiju par tālākiem pasākumiem, lai ilgtspējīga jūras nozaru izaugsme neapdraudētu virzību uz sasniegt labu jūras vides stāvokli 2020.gadā.</w:t>
      </w:r>
    </w:p>
    <w:p w:rsidR="005767C1" w:rsidRPr="001D4587" w:rsidRDefault="005767C1" w:rsidP="003D627E">
      <w:pPr>
        <w:ind w:firstLine="567"/>
        <w:jc w:val="both"/>
      </w:pPr>
      <w:r w:rsidRPr="001D4587">
        <w:rPr>
          <w:snapToGrid w:val="0"/>
        </w:rPr>
        <w:t>2012.gada Eiropas Komisijas</w:t>
      </w:r>
      <w:r w:rsidR="00FD6E23" w:rsidRPr="001D4587">
        <w:rPr>
          <w:snapToGrid w:val="0"/>
        </w:rPr>
        <w:t xml:space="preserve"> (turpmāk-EK)</w:t>
      </w:r>
      <w:r w:rsidRPr="001D4587">
        <w:rPr>
          <w:snapToGrid w:val="0"/>
        </w:rPr>
        <w:t xml:space="preserve"> Paziņojums „Jūras nozaru izaugsme un izaugsmes noturību veicinošās iespējas” definē jūras nozaru izaugsmi kā</w:t>
      </w:r>
      <w:r w:rsidRPr="001D4587">
        <w:t xml:space="preserve"> stratēģijas „Eiropa 2020” jūrlietu dimensiju. Jūras nozaru izaugsmes mērķis ir izmantot līdz šim neapzināto Eiropas okeānu, jūru un piekrastes potenciālu nodarbinātības un izaugsmes jomā. </w:t>
      </w:r>
      <w:r w:rsidRPr="001D4587">
        <w:rPr>
          <w:u w:val="single"/>
        </w:rPr>
        <w:t>Tika atzīts, ka jūras nozaru ekonomikā veicināt ilgtspējīgu izaugsmi un radīt darba vietas vissekmīgāk varētu piecās jūras ekonomikas jomās</w:t>
      </w:r>
      <w:r w:rsidRPr="001D4587">
        <w:t>: 1)</w:t>
      </w:r>
      <w:r w:rsidRPr="001D4587">
        <w:rPr>
          <w:b/>
        </w:rPr>
        <w:t xml:space="preserve"> </w:t>
      </w:r>
      <w:r w:rsidRPr="001D4587">
        <w:t xml:space="preserve">jūras enerģija, 2) akvakultūra, 3) jūras, piekrastes un kruīza tūrisms, 4) zemes dzīļu resursu ieguve jūrā, 5) jūras biotehnoloģija. Latvijas nacionālā pozīcija par </w:t>
      </w:r>
      <w:r w:rsidR="00FD6E23" w:rsidRPr="001D4587">
        <w:t xml:space="preserve">EK </w:t>
      </w:r>
      <w:r w:rsidRPr="001D4587">
        <w:t xml:space="preserve">paziņojumu tika apstiprināta Ministru kabineta 22.01.2013. sēdē ar </w:t>
      </w:r>
      <w:proofErr w:type="spellStart"/>
      <w:r w:rsidRPr="001D4587">
        <w:t>protokollēmumu</w:t>
      </w:r>
      <w:proofErr w:type="spellEnd"/>
      <w:r w:rsidRPr="001D4587">
        <w:t xml:space="preserve"> Nr. 5, 41.</w:t>
      </w:r>
      <w:r w:rsidRPr="001D4587">
        <w:rPr>
          <w:bCs/>
          <w:shd w:val="clear" w:color="auto" w:fill="FFFFFF"/>
        </w:rPr>
        <w:t>§</w:t>
      </w:r>
      <w:r w:rsidRPr="001D4587">
        <w:t>.</w:t>
      </w:r>
    </w:p>
    <w:p w:rsidR="00C30AD4" w:rsidRPr="001D4587" w:rsidRDefault="005767C1" w:rsidP="003D627E">
      <w:pPr>
        <w:ind w:firstLine="567"/>
        <w:jc w:val="both"/>
      </w:pPr>
      <w:r w:rsidRPr="001D4587">
        <w:t>Jūras nozaru izaugsmes un integrētās jūrlietu politikas vides pīlāru veido Jūras stratēģijas pamatdirektīva (2008/56 EK)</w:t>
      </w:r>
      <w:r w:rsidRPr="001D4587">
        <w:rPr>
          <w:rStyle w:val="FootnoteReference"/>
        </w:rPr>
        <w:footnoteReference w:id="1"/>
      </w:r>
      <w:r w:rsidRPr="001D4587">
        <w:t xml:space="preserve"> (turpmāk arī – Direktīva). Tā nostiprina ekosistēmas pieeju un ir būtisks instruments, lai īstenotu mērķi līdz 2020. gadam panāktu labu jūras vides stāvokli Eiropas jūrās. Direktīva ievieš arī </w:t>
      </w:r>
      <w:r w:rsidRPr="001D4587">
        <w:rPr>
          <w:bCs/>
          <w:iCs/>
        </w:rPr>
        <w:t xml:space="preserve">augstas kvalitātes zinātniskajā informācijā balstītu pieeju, lai panāktu ar informāciju pamatotas politikas veidošanu. Informācijas bāzi nodrošina efektīvs jūras monitorings un novērtējums, jūras </w:t>
      </w:r>
      <w:r w:rsidRPr="001D4587">
        <w:t xml:space="preserve">zinātniskās </w:t>
      </w:r>
      <w:r w:rsidRPr="001D4587">
        <w:rPr>
          <w:bCs/>
          <w:iCs/>
        </w:rPr>
        <w:t>pētniecības attīstība dalībvalstīs un Eiropas Savienībā.</w:t>
      </w:r>
      <w:r w:rsidRPr="001D4587">
        <w:t xml:space="preserve"> Direktīva pārņemta ar Jūras vides aizsardzības un pārvaldības likumu (</w:t>
      </w:r>
      <w:r w:rsidRPr="001D4587">
        <w:rPr>
          <w:bCs/>
          <w:iCs/>
        </w:rPr>
        <w:t xml:space="preserve">2010. gada 18. novembris). </w:t>
      </w:r>
      <w:r w:rsidRPr="001D4587">
        <w:t xml:space="preserve">2012.gadā Latvijas </w:t>
      </w:r>
      <w:proofErr w:type="spellStart"/>
      <w:r w:rsidRPr="001D4587">
        <w:t>Hidroekoloģijas</w:t>
      </w:r>
      <w:proofErr w:type="spellEnd"/>
      <w:r w:rsidRPr="001D4587">
        <w:t xml:space="preserve"> institūts 2012.gadā ir izstrādājis „Jūras vides stāvokļa sākotnējo novērtējumu”</w:t>
      </w:r>
      <w:r w:rsidRPr="001D4587">
        <w:rPr>
          <w:rStyle w:val="FootnoteReference"/>
        </w:rPr>
        <w:footnoteReference w:id="2"/>
      </w:r>
      <w:r w:rsidRPr="001D4587">
        <w:t xml:space="preserve"> (turpmāk –jūras novērtējums), tai skaitā, jūras izmantošanas sociālo un ekonomisko aspektu</w:t>
      </w:r>
      <w:r w:rsidRPr="001D4587">
        <w:rPr>
          <w:b/>
        </w:rPr>
        <w:t xml:space="preserve"> </w:t>
      </w:r>
      <w:r w:rsidRPr="001D4587">
        <w:t>analīzi, kas kalpos, lai nodrošinātu pamatotu lēmumu pieņemšanu ilgtspējīgai jūras izmantošanai un aizsardzībai. Pamatojoties uz jūras novērtējumu, Latvijā līdz 2015.gadam tiks izstrādāta pasākumu programma laba jūras vides stāvokļa panākšanai.</w:t>
      </w:r>
    </w:p>
    <w:p w:rsidR="005767C1" w:rsidRPr="001D4587" w:rsidRDefault="005767C1" w:rsidP="003D627E">
      <w:pPr>
        <w:ind w:firstLine="567"/>
        <w:jc w:val="both"/>
      </w:pPr>
      <w:r w:rsidRPr="001D4587">
        <w:t xml:space="preserve">2014.gada 20.februārī </w:t>
      </w:r>
      <w:r w:rsidR="00FD6E23" w:rsidRPr="001D4587">
        <w:t>EK</w:t>
      </w:r>
      <w:r w:rsidRPr="001D4587">
        <w:t xml:space="preserve"> nāca klajā ar ziņojumu</w:t>
      </w:r>
      <w:r w:rsidRPr="001D4587">
        <w:rPr>
          <w:rStyle w:val="FootnoteReference"/>
        </w:rPr>
        <w:footnoteReference w:id="3"/>
      </w:r>
      <w:r w:rsidRPr="001D4587">
        <w:t xml:space="preserve"> (turpmāk – 12.panta </w:t>
      </w:r>
      <w:smartTag w:uri="schemas-tilde-lv/tildestengine" w:element="veidnes">
        <w:smartTagPr>
          <w:attr w:name="id" w:val="-1"/>
          <w:attr w:name="baseform" w:val="ziņojums"/>
          <w:attr w:name="text" w:val="ziņojums"/>
        </w:smartTagPr>
        <w:r w:rsidRPr="001D4587">
          <w:t>ziņojums</w:t>
        </w:r>
      </w:smartTag>
      <w:r w:rsidRPr="001D4587">
        <w:t xml:space="preserve">), kurā analizēti Direktīvas ieviešanas pirmā posma rezultāti, tostarp, dalībvalstu izstrādātie jūras </w:t>
      </w:r>
      <w:r w:rsidRPr="001D4587">
        <w:lastRenderedPageBreak/>
        <w:t xml:space="preserve">vides stāvokļa novērtējumi. 12.panta ziņojumā secināts, ka jūras vides stāvoklis nav apmierinošs un jāpieliek pūles, lai panāktu Direktīvā noteikto labu jūras vides stāvokli 2020.gadā. Tādēļ tālāk jāstiprina reģionālā koordinācija jūru konvenciju ietvaros un reģionālā saskaņotība, nepieciešama zinātniski pamato informācija un datu par daudziem kvalitatīvajiem raksturlielumiem (zemūdens troksnis, jūras piesārņojošie atkritumu īpašības, jūras dibena integritāte, barības ķēdes, klimata pārmaiņu ietekme), kā arī jānovērš nepietiekamā, </w:t>
      </w:r>
      <w:proofErr w:type="spellStart"/>
      <w:r w:rsidRPr="001D4587">
        <w:t>mazefektīvā</w:t>
      </w:r>
      <w:proofErr w:type="spellEnd"/>
      <w:r w:rsidRPr="001D4587">
        <w:t xml:space="preserve">, sadrumstalotā un izmaksu neefektīvā attieksme pret jūras vides aizsardzību. </w:t>
      </w:r>
    </w:p>
    <w:p w:rsidR="005767C1" w:rsidRPr="001D4587" w:rsidRDefault="005767C1" w:rsidP="003D627E">
      <w:pPr>
        <w:pStyle w:val="Pa19"/>
        <w:spacing w:line="240" w:lineRule="auto"/>
        <w:ind w:right="26" w:firstLine="567"/>
        <w:jc w:val="both"/>
        <w:rPr>
          <w:rFonts w:ascii="Times New Roman" w:hAnsi="Times New Roman"/>
        </w:rPr>
      </w:pPr>
      <w:r w:rsidRPr="001D4587">
        <w:rPr>
          <w:rFonts w:ascii="Times New Roman" w:hAnsi="Times New Roman"/>
        </w:rPr>
        <w:t>Papildus Eiropas Vides aģentūra publicēja Eiropas jūru novērtējumu „Jūras vēstījumi” („</w:t>
      </w:r>
      <w:proofErr w:type="spellStart"/>
      <w:r w:rsidRPr="001D4587">
        <w:rPr>
          <w:rFonts w:ascii="Times New Roman" w:hAnsi="Times New Roman"/>
          <w:i/>
        </w:rPr>
        <w:t>Marine</w:t>
      </w:r>
      <w:proofErr w:type="spellEnd"/>
      <w:r w:rsidRPr="001D4587">
        <w:rPr>
          <w:rFonts w:ascii="Times New Roman" w:hAnsi="Times New Roman"/>
          <w:i/>
        </w:rPr>
        <w:t xml:space="preserve"> </w:t>
      </w:r>
      <w:proofErr w:type="spellStart"/>
      <w:r w:rsidRPr="001D4587">
        <w:rPr>
          <w:rFonts w:ascii="Times New Roman" w:hAnsi="Times New Roman"/>
          <w:i/>
        </w:rPr>
        <w:t>messages</w:t>
      </w:r>
      <w:proofErr w:type="spellEnd"/>
      <w:r w:rsidRPr="001D4587">
        <w:rPr>
          <w:rFonts w:ascii="Times New Roman" w:hAnsi="Times New Roman"/>
        </w:rPr>
        <w:t>”)</w:t>
      </w:r>
      <w:r w:rsidRPr="001D4587">
        <w:rPr>
          <w:rStyle w:val="FootnoteReference"/>
          <w:rFonts w:ascii="Times New Roman" w:hAnsi="Times New Roman"/>
        </w:rPr>
        <w:footnoteReference w:id="4"/>
      </w:r>
      <w:r w:rsidRPr="001D4587">
        <w:rPr>
          <w:rFonts w:ascii="Times New Roman" w:hAnsi="Times New Roman"/>
        </w:rPr>
        <w:t>. Arī šajā novērtējumā secināts, ka 1) laba jūras vides stāvokļa panākšanai Direktīvas ieviešanai jābūt savstarpēji saskaņotākai, 2) ilgtermiņa perspektīvā, lai samazinātu jūras izmantošanas radīto spiedienu uz vidi, jūras ekonomikai un jūras preču un pakalpojumu patēriņam jākļūst ilgtspējīgākam. Vienlaikus atzīts, ka Direktīva paver iespēju pilnībā ieviest ar jūru saistītās ES politikas un tiesību aktus, lai panāktu labu jūras vides stāvokli 2020.gadā. Šajā ziņā izaicinājums ir integrēt esošo politiku mērķus Direktīvas mērķa panākšanai un arī izprast savstarpējo saikni starp „labu jūras vides stāvokli” un citu direktīvu mērķiem „panākt labu ekoloģisko stāvokli” (Ūdens struktūrdirektīva), „labvēlīgu saglabāšanas stāvokli” (</w:t>
      </w:r>
      <w:r w:rsidR="00BB4FF6" w:rsidRPr="001D4587">
        <w:rPr>
          <w:rFonts w:ascii="Times New Roman" w:hAnsi="Times New Roman"/>
        </w:rPr>
        <w:t>B</w:t>
      </w:r>
      <w:r w:rsidRPr="001D4587">
        <w:rPr>
          <w:rFonts w:ascii="Times New Roman" w:hAnsi="Times New Roman"/>
        </w:rPr>
        <w:t xml:space="preserve">iotopu direktīva) vai kopējās zivsaimniecības politikas „maksimāli ilgtspējīgās nozvejas mērķi”, jo viena mērķa sasniegšana ne vienmēr nodrošinās to pašu attiecībā uz citu politikas jomu. </w:t>
      </w:r>
    </w:p>
    <w:p w:rsidR="005767C1" w:rsidRPr="001D4587" w:rsidRDefault="005767C1" w:rsidP="003D627E">
      <w:pPr>
        <w:ind w:firstLine="567"/>
        <w:jc w:val="both"/>
      </w:pPr>
      <w:r w:rsidRPr="001D4587">
        <w:t xml:space="preserve">Eiropas Savienības līmenī galīgās apstiprināšanas stadijā ir </w:t>
      </w:r>
      <w:r w:rsidR="0091585F" w:rsidRPr="001D4587">
        <w:t>Direktīva, ar ko izveido jūras telpiskās plānošanas satvaru</w:t>
      </w:r>
      <w:r w:rsidR="00E0031B" w:rsidRPr="001D4587">
        <w:rPr>
          <w:rStyle w:val="FootnoteReference"/>
        </w:rPr>
        <w:footnoteReference w:id="5"/>
      </w:r>
      <w:r w:rsidR="0091585F" w:rsidRPr="001D4587">
        <w:t xml:space="preserve">. </w:t>
      </w:r>
      <w:r w:rsidRPr="001D4587">
        <w:t xml:space="preserve"> Šī direktīva veicinās starpnozaru sadarbību un sabiedrības iesaisti integrētas jūras politikas īstenošanā. Latvija 2014.gadā ir uzsākusi jūras telpiskā plānojuma izstrādi ar prognozējamo izstrādes beigu termiņu 2016. gada beigās. Paredzēts, ka nacionālā līmeņa tematiskais plānojums Baltijas jūras piekrastei veicinās Baltijas jūras piekrastes ekonomisko aktivitāti un uzlabos piekrastes pārvaldību, tādējādi pilnveidojot jūras un piekrastes sasaisti. </w:t>
      </w:r>
    </w:p>
    <w:p w:rsidR="005767C1" w:rsidRPr="001D4587" w:rsidRDefault="005767C1" w:rsidP="003D627E">
      <w:pPr>
        <w:ind w:firstLine="567"/>
        <w:jc w:val="both"/>
        <w:rPr>
          <w:rStyle w:val="hps"/>
        </w:rPr>
      </w:pPr>
      <w:r w:rsidRPr="001D4587">
        <w:t>ANO Ilgtspējīgas attīstības 2012.gada konferences Rio+20 noslēguma dokumentā ,,Nākotne, kādu to vēlamies” (</w:t>
      </w:r>
      <w:proofErr w:type="spellStart"/>
      <w:r w:rsidRPr="001D4587">
        <w:rPr>
          <w:i/>
        </w:rPr>
        <w:t>The</w:t>
      </w:r>
      <w:proofErr w:type="spellEnd"/>
      <w:r w:rsidRPr="001D4587">
        <w:rPr>
          <w:i/>
        </w:rPr>
        <w:t xml:space="preserve"> </w:t>
      </w:r>
      <w:proofErr w:type="spellStart"/>
      <w:r w:rsidRPr="001D4587">
        <w:rPr>
          <w:i/>
        </w:rPr>
        <w:t>future</w:t>
      </w:r>
      <w:proofErr w:type="spellEnd"/>
      <w:r w:rsidRPr="001D4587">
        <w:rPr>
          <w:i/>
        </w:rPr>
        <w:t xml:space="preserve"> </w:t>
      </w:r>
      <w:proofErr w:type="spellStart"/>
      <w:r w:rsidRPr="001D4587">
        <w:rPr>
          <w:i/>
        </w:rPr>
        <w:t>we</w:t>
      </w:r>
      <w:proofErr w:type="spellEnd"/>
      <w:r w:rsidRPr="001D4587">
        <w:rPr>
          <w:i/>
        </w:rPr>
        <w:t xml:space="preserve"> </w:t>
      </w:r>
      <w:proofErr w:type="spellStart"/>
      <w:r w:rsidRPr="001D4587">
        <w:rPr>
          <w:i/>
        </w:rPr>
        <w:t>want</w:t>
      </w:r>
      <w:proofErr w:type="spellEnd"/>
      <w:r w:rsidRPr="001D4587">
        <w:t>) uzsvērta nepieciešamība veicināt ,,zaļo ekonomiku”, ilgtspējīgu un iekļaujošu ekonomisko izaugsmi, sociālo attīstību un vides aizsardzību cilvēku labā, to attiecinot arī uz okeānu un jūru nozīmi globālajā ekosistēmā, klimata regulācijā un ekonomikā. Visaptverošu starptautiski tiesisko ietvaru jūras resursu ilgtspējīgai izmantošanai, tostarp, pārtikas ieguvei un ilgtspējīgai ekonomiskajai izaugsmei, vienlaikus aizsargājot jūras bioloģisko daudzveidību un vidi, nosaka</w:t>
      </w:r>
      <w:r w:rsidRPr="001D4587">
        <w:rPr>
          <w:rStyle w:val="apple-converted-space"/>
        </w:rPr>
        <w:t> </w:t>
      </w:r>
      <w:r w:rsidRPr="001D4587">
        <w:t>1982.gada</w:t>
      </w:r>
      <w:r w:rsidRPr="001D4587">
        <w:rPr>
          <w:rStyle w:val="apple-converted-space"/>
        </w:rPr>
        <w:t> </w:t>
      </w:r>
      <w:r w:rsidRPr="001D4587">
        <w:t>10.decembra</w:t>
      </w:r>
      <w:r w:rsidRPr="001D4587">
        <w:rPr>
          <w:rStyle w:val="apple-converted-space"/>
        </w:rPr>
        <w:t> </w:t>
      </w:r>
      <w:r w:rsidRPr="001D4587">
        <w:t xml:space="preserve"> ANO Jūras tiesību konvencija (UNCLOS). 2014.gadā aprit 20 gadi, kopš UNCLOS stāšanās spēkā. Šobrīd ANO ietvaros uzsākta diskusija par jauna starptautiska juridiska instrumenta </w:t>
      </w:r>
      <w:r w:rsidRPr="001D4587">
        <w:rPr>
          <w:rStyle w:val="hps"/>
        </w:rPr>
        <w:t>nepieciešamību</w:t>
      </w:r>
      <w:r w:rsidRPr="001D4587">
        <w:t xml:space="preserve"> UNCLOS ietvaros </w:t>
      </w:r>
      <w:r w:rsidRPr="001D4587">
        <w:rPr>
          <w:rStyle w:val="hps"/>
        </w:rPr>
        <w:t>par</w:t>
      </w:r>
      <w:r w:rsidRPr="001D4587">
        <w:t xml:space="preserve"> </w:t>
      </w:r>
      <w:r w:rsidRPr="001D4587">
        <w:rPr>
          <w:rStyle w:val="hps"/>
        </w:rPr>
        <w:t>jūras</w:t>
      </w:r>
      <w:r w:rsidRPr="001D4587">
        <w:t xml:space="preserve"> </w:t>
      </w:r>
      <w:r w:rsidRPr="001D4587">
        <w:rPr>
          <w:rStyle w:val="hps"/>
        </w:rPr>
        <w:t>bioloģiskās daudzveidības saglabāšanu un ilgtspējīgu</w:t>
      </w:r>
      <w:r w:rsidRPr="001D4587">
        <w:t xml:space="preserve"> </w:t>
      </w:r>
      <w:r w:rsidRPr="001D4587">
        <w:rPr>
          <w:rStyle w:val="hps"/>
        </w:rPr>
        <w:t>izmantošanu teritorijās ārpus</w:t>
      </w:r>
      <w:r w:rsidRPr="001D4587">
        <w:t xml:space="preserve"> </w:t>
      </w:r>
      <w:r w:rsidRPr="001D4587">
        <w:rPr>
          <w:rStyle w:val="hps"/>
        </w:rPr>
        <w:t xml:space="preserve">valstu jurisdikcijas. </w:t>
      </w:r>
      <w:r w:rsidR="00452899" w:rsidRPr="001D4587">
        <w:rPr>
          <w:rStyle w:val="hps"/>
        </w:rPr>
        <w:t>ANO ietvaros turpinās diskusija par ilgtspējīgas</w:t>
      </w:r>
      <w:r w:rsidR="00452899" w:rsidRPr="001D4587">
        <w:t xml:space="preserve"> </w:t>
      </w:r>
      <w:r w:rsidR="00452899" w:rsidRPr="001D4587">
        <w:rPr>
          <w:rStyle w:val="hps"/>
        </w:rPr>
        <w:t xml:space="preserve">attīstības mērķiem </w:t>
      </w:r>
      <w:r w:rsidR="00452899" w:rsidRPr="001D4587">
        <w:t xml:space="preserve">programmai pēc 2015.gada, tai skaitā, par atsevišķi izdalīta īpaša </w:t>
      </w:r>
      <w:r w:rsidR="00452899" w:rsidRPr="001D4587">
        <w:rPr>
          <w:i/>
        </w:rPr>
        <w:t>(</w:t>
      </w:r>
      <w:proofErr w:type="spellStart"/>
      <w:r w:rsidR="00452899" w:rsidRPr="001D4587">
        <w:rPr>
          <w:i/>
        </w:rPr>
        <w:t>stand-alone</w:t>
      </w:r>
      <w:proofErr w:type="spellEnd"/>
      <w:r w:rsidR="00452899" w:rsidRPr="001D4587">
        <w:rPr>
          <w:i/>
        </w:rPr>
        <w:t>)</w:t>
      </w:r>
      <w:r w:rsidR="00452899" w:rsidRPr="001D4587">
        <w:t xml:space="preserve"> ilgtspējīgas attīstības mērķa jūrām un okeāniem noteikšanu, ko atbalsta daudzas pasaules valstis, tostarp, Eiropas Savienības dalībvalstis. Šāda īpaša </w:t>
      </w:r>
      <w:r w:rsidR="00452899" w:rsidRPr="001D4587">
        <w:rPr>
          <w:i/>
        </w:rPr>
        <w:t>(</w:t>
      </w:r>
      <w:proofErr w:type="spellStart"/>
      <w:r w:rsidR="00452899" w:rsidRPr="001D4587">
        <w:rPr>
          <w:i/>
        </w:rPr>
        <w:t>stand-alone</w:t>
      </w:r>
      <w:proofErr w:type="spellEnd"/>
      <w:r w:rsidR="00452899" w:rsidRPr="001D4587">
        <w:rPr>
          <w:i/>
        </w:rPr>
        <w:t>)</w:t>
      </w:r>
      <w:r w:rsidR="00452899" w:rsidRPr="001D4587">
        <w:t xml:space="preserve"> mērķa noteikšana okeāniem demonstrētu nepārprotamu jūru un okeānu izšķirošo lomu visām trim ilgtspējīgas attīstības dimensijām: vides, ekonomiskajai un sociālajai.</w:t>
      </w:r>
    </w:p>
    <w:p w:rsidR="00E75EE3" w:rsidRPr="001D4587" w:rsidRDefault="00E75EE3" w:rsidP="003D627E">
      <w:pPr>
        <w:ind w:firstLine="567"/>
        <w:jc w:val="both"/>
      </w:pPr>
      <w:r w:rsidRPr="001D4587">
        <w:t xml:space="preserve">Kā pozitīvu piemēru reģionālās sadarbības veicināšanai var uzskatīt Kopējā zivsaimniecības politikā iestrādāto principu, ka konkrētā reģiona valstis pēc ciešām konsultācijām ar nozari var sagatavot un iesniegt priekšlikumus attiecīgā reģiona pārvaldības pasākumiem zivsaimniecības jomā. Kā to arī vairākkārt ir atzinusi </w:t>
      </w:r>
      <w:r w:rsidR="00FD6E23" w:rsidRPr="001D4587">
        <w:t>EK</w:t>
      </w:r>
      <w:r w:rsidRPr="001D4587">
        <w:t xml:space="preserve"> (DG MARE) šajā jomā par līderi uz uzskatāma Baltijas jūras reģionālās sadarbības platforma BALTFISH, kas </w:t>
      </w:r>
      <w:r w:rsidRPr="001D4587">
        <w:lastRenderedPageBreak/>
        <w:t xml:space="preserve">iepriekšējā gada oktobrī iesniedza vienotu priekšlikumu par kopējās pieļaujamās nozvejas apjomiem Baltijas jūrā 2014. gadā, pievienojot arī priekšlikumus krājumu ilgtspējas nodrošināšanai veicamos pasākumus. Pašlaik notiek aktīvs darbs pie izmetumu aizlieguma ieviešanai nepieciešamā plāna Baltijas jūrai, tāpat plānots darbs pie daudzgadu plāna Baltijas jūras mencai un </w:t>
      </w:r>
      <w:proofErr w:type="spellStart"/>
      <w:r w:rsidRPr="001D4587">
        <w:t>pelaģiskajām</w:t>
      </w:r>
      <w:proofErr w:type="spellEnd"/>
      <w:r w:rsidRPr="001D4587">
        <w:t xml:space="preserve"> sugām, tādējādi balstot to uz ekosistēmas pieeju.</w:t>
      </w:r>
    </w:p>
    <w:p w:rsidR="0029260E" w:rsidRPr="001D4587" w:rsidRDefault="0029260E" w:rsidP="003D627E">
      <w:pPr>
        <w:ind w:firstLine="567"/>
        <w:jc w:val="both"/>
      </w:pPr>
    </w:p>
    <w:p w:rsidR="005767C1" w:rsidRPr="001D4587" w:rsidRDefault="005767C1" w:rsidP="003D627E">
      <w:pPr>
        <w:ind w:firstLine="567"/>
        <w:jc w:val="both"/>
      </w:pPr>
      <w:r w:rsidRPr="001D4587">
        <w:t>Atbildes uz Grieķijas prezidentūras uzdotajiem jautājumiem:</w:t>
      </w:r>
    </w:p>
    <w:p w:rsidR="005767C1" w:rsidRPr="001D4587" w:rsidRDefault="005767C1" w:rsidP="003D627E">
      <w:pPr>
        <w:ind w:firstLine="567"/>
        <w:jc w:val="both"/>
      </w:pPr>
      <w:r w:rsidRPr="001D4587">
        <w:rPr>
          <w:rStyle w:val="hps"/>
          <w:i/>
        </w:rPr>
        <w:t>1</w:t>
      </w:r>
      <w:r w:rsidR="001014CB" w:rsidRPr="001D4587">
        <w:rPr>
          <w:rStyle w:val="hps"/>
          <w:i/>
        </w:rPr>
        <w:t>)</w:t>
      </w:r>
      <w:r w:rsidRPr="001D4587">
        <w:rPr>
          <w:rStyle w:val="hps"/>
        </w:rPr>
        <w:t xml:space="preserve"> </w:t>
      </w:r>
      <w:r w:rsidRPr="001D4587">
        <w:rPr>
          <w:rStyle w:val="hps"/>
          <w:i/>
        </w:rPr>
        <w:t>Kādi</w:t>
      </w:r>
      <w:r w:rsidRPr="001D4587">
        <w:rPr>
          <w:i/>
        </w:rPr>
        <w:t xml:space="preserve"> </w:t>
      </w:r>
      <w:r w:rsidRPr="001D4587">
        <w:rPr>
          <w:rStyle w:val="hps"/>
          <w:i/>
        </w:rPr>
        <w:t>pasākumi dalībvalstīm būtu veic</w:t>
      </w:r>
      <w:r w:rsidRPr="001D4587">
        <w:rPr>
          <w:i/>
        </w:rPr>
        <w:t xml:space="preserve">, </w:t>
      </w:r>
      <w:r w:rsidRPr="001D4587">
        <w:rPr>
          <w:rStyle w:val="hps"/>
          <w:i/>
        </w:rPr>
        <w:t>un kādā</w:t>
      </w:r>
      <w:r w:rsidRPr="001D4587">
        <w:rPr>
          <w:i/>
        </w:rPr>
        <w:t xml:space="preserve"> </w:t>
      </w:r>
      <w:r w:rsidRPr="001D4587">
        <w:rPr>
          <w:rStyle w:val="hps"/>
          <w:i/>
        </w:rPr>
        <w:t>ģeogrāfiskā</w:t>
      </w:r>
      <w:r w:rsidRPr="001D4587">
        <w:rPr>
          <w:i/>
        </w:rPr>
        <w:t xml:space="preserve"> </w:t>
      </w:r>
      <w:r w:rsidRPr="001D4587">
        <w:rPr>
          <w:rStyle w:val="hps"/>
          <w:i/>
        </w:rPr>
        <w:t>līmenī,</w:t>
      </w:r>
      <w:r w:rsidRPr="001D4587">
        <w:rPr>
          <w:i/>
        </w:rPr>
        <w:t xml:space="preserve"> </w:t>
      </w:r>
      <w:r w:rsidRPr="001D4587">
        <w:rPr>
          <w:rStyle w:val="hps"/>
          <w:i/>
        </w:rPr>
        <w:t>lai, izmantojot</w:t>
      </w:r>
      <w:r w:rsidRPr="001D4587">
        <w:rPr>
          <w:i/>
        </w:rPr>
        <w:t xml:space="preserve"> </w:t>
      </w:r>
      <w:r w:rsidRPr="001D4587">
        <w:rPr>
          <w:rStyle w:val="hps"/>
          <w:i/>
        </w:rPr>
        <w:t>jūras</w:t>
      </w:r>
      <w:r w:rsidRPr="001D4587">
        <w:rPr>
          <w:i/>
        </w:rPr>
        <w:t xml:space="preserve"> </w:t>
      </w:r>
      <w:r w:rsidRPr="001D4587">
        <w:rPr>
          <w:rStyle w:val="hps"/>
          <w:i/>
        </w:rPr>
        <w:t>vides tiesību aktus</w:t>
      </w:r>
      <w:r w:rsidRPr="001D4587">
        <w:rPr>
          <w:i/>
        </w:rPr>
        <w:t xml:space="preserve">, </w:t>
      </w:r>
      <w:r w:rsidRPr="001D4587">
        <w:rPr>
          <w:rStyle w:val="hps"/>
          <w:i/>
        </w:rPr>
        <w:t>palielinātu</w:t>
      </w:r>
      <w:r w:rsidRPr="001D4587">
        <w:rPr>
          <w:i/>
        </w:rPr>
        <w:t xml:space="preserve"> </w:t>
      </w:r>
      <w:r w:rsidRPr="001D4587">
        <w:rPr>
          <w:rStyle w:val="hps"/>
          <w:i/>
        </w:rPr>
        <w:t>mūsu</w:t>
      </w:r>
      <w:r w:rsidRPr="001D4587">
        <w:rPr>
          <w:i/>
        </w:rPr>
        <w:t xml:space="preserve"> </w:t>
      </w:r>
      <w:r w:rsidRPr="001D4587">
        <w:rPr>
          <w:rStyle w:val="hps"/>
          <w:i/>
        </w:rPr>
        <w:t>jūru un okeānu</w:t>
      </w:r>
      <w:r w:rsidRPr="001D4587">
        <w:rPr>
          <w:i/>
        </w:rPr>
        <w:t xml:space="preserve"> </w:t>
      </w:r>
      <w:r w:rsidRPr="001D4587">
        <w:rPr>
          <w:rStyle w:val="hps"/>
          <w:i/>
        </w:rPr>
        <w:t>aizsardzības</w:t>
      </w:r>
      <w:r w:rsidRPr="001D4587">
        <w:rPr>
          <w:i/>
        </w:rPr>
        <w:t xml:space="preserve"> </w:t>
      </w:r>
      <w:r w:rsidRPr="001D4587">
        <w:rPr>
          <w:rStyle w:val="hps"/>
          <w:i/>
        </w:rPr>
        <w:t>efektivitāti, lietderību</w:t>
      </w:r>
      <w:r w:rsidRPr="001D4587">
        <w:rPr>
          <w:i/>
        </w:rPr>
        <w:t xml:space="preserve"> </w:t>
      </w:r>
      <w:r w:rsidRPr="001D4587">
        <w:rPr>
          <w:rStyle w:val="hps"/>
          <w:i/>
        </w:rPr>
        <w:t>un saskaņotību,</w:t>
      </w:r>
      <w:r w:rsidRPr="001D4587">
        <w:rPr>
          <w:i/>
        </w:rPr>
        <w:t xml:space="preserve"> </w:t>
      </w:r>
      <w:r w:rsidRPr="001D4587">
        <w:rPr>
          <w:rStyle w:val="hps"/>
          <w:i/>
        </w:rPr>
        <w:t>tādējādi</w:t>
      </w:r>
      <w:r w:rsidRPr="001D4587">
        <w:rPr>
          <w:i/>
        </w:rPr>
        <w:t xml:space="preserve"> </w:t>
      </w:r>
      <w:r w:rsidRPr="001D4587">
        <w:rPr>
          <w:rStyle w:val="hps"/>
          <w:i/>
        </w:rPr>
        <w:t xml:space="preserve">nodrošinot </w:t>
      </w:r>
      <w:r w:rsidRPr="001D4587">
        <w:rPr>
          <w:i/>
        </w:rPr>
        <w:t>pamatu jūras nozaru izaugsmei</w:t>
      </w:r>
      <w:r w:rsidRPr="001D4587">
        <w:rPr>
          <w:rStyle w:val="hps"/>
          <w:i/>
        </w:rPr>
        <w:t>?</w:t>
      </w:r>
      <w:r w:rsidRPr="001D4587">
        <w:rPr>
          <w:i/>
        </w:rPr>
        <w:t xml:space="preserve"> Kā varētu uzlabot sadarbību un koordināciju reģionālā līmenī</w:t>
      </w:r>
      <w:r w:rsidRPr="001D4587">
        <w:t>?</w:t>
      </w:r>
    </w:p>
    <w:p w:rsidR="005767C1" w:rsidRPr="001D4587" w:rsidRDefault="005767C1" w:rsidP="003D627E">
      <w:pPr>
        <w:tabs>
          <w:tab w:val="num" w:pos="1080"/>
          <w:tab w:val="left" w:pos="9072"/>
        </w:tabs>
        <w:autoSpaceDE w:val="0"/>
        <w:autoSpaceDN w:val="0"/>
        <w:adjustRightInd w:val="0"/>
        <w:ind w:right="74" w:firstLine="567"/>
        <w:jc w:val="both"/>
      </w:pPr>
      <w:r w:rsidRPr="001D4587">
        <w:t xml:space="preserve">Latvija atzīst, ka konkurētspējīgas jūras nozaru izaugsmes priekšnosacījums ir ilgtspējīga un uz ekosistēmu pieeju balstīta jūras vides izmantošana un labs jūras vides stāvoklis. Tādēļ būtiska loma ir šādiem apsvērumiem: </w:t>
      </w:r>
    </w:p>
    <w:p w:rsidR="005767C1" w:rsidRPr="001D4587" w:rsidRDefault="005767C1" w:rsidP="003D627E">
      <w:pPr>
        <w:pStyle w:val="ListParagraph"/>
        <w:numPr>
          <w:ilvl w:val="0"/>
          <w:numId w:val="50"/>
        </w:numPr>
        <w:ind w:left="0" w:firstLine="567"/>
        <w:jc w:val="both"/>
        <w:rPr>
          <w:lang w:eastAsia="en-US"/>
        </w:rPr>
      </w:pPr>
      <w:r w:rsidRPr="001D4587">
        <w:t>l</w:t>
      </w:r>
      <w:r w:rsidRPr="001D4587">
        <w:rPr>
          <w:lang w:eastAsia="en-US"/>
        </w:rPr>
        <w:t xml:space="preserve">ai apzinātu un gūtu maksimālo labumu no jūras un tās resursu potenciāla, nepieciešami atbilstoši ieguldījumi un atbalsts jūras pētniecības attīstībai; </w:t>
      </w:r>
    </w:p>
    <w:p w:rsidR="005767C1" w:rsidRPr="001D4587" w:rsidRDefault="005767C1" w:rsidP="003D627E">
      <w:pPr>
        <w:pStyle w:val="ListParagraph"/>
        <w:numPr>
          <w:ilvl w:val="0"/>
          <w:numId w:val="50"/>
        </w:numPr>
        <w:ind w:left="0" w:firstLine="567"/>
        <w:jc w:val="both"/>
      </w:pPr>
      <w:r w:rsidRPr="001D4587">
        <w:t>ir nepieciešama integrēta un starp nozarēm koordinēta pieeja jūrlietām, tai skaitā, jūras telpiskā plānošana, ņemot vērā pieaugošo konkurenci jūras telpas izmantošanā un cilvēka darbības kopējo ietekmi uz jūras ekosistēmām;</w:t>
      </w:r>
    </w:p>
    <w:p w:rsidR="005767C1" w:rsidRPr="001D4587" w:rsidRDefault="005767C1" w:rsidP="003D627E">
      <w:pPr>
        <w:pStyle w:val="ListParagraph"/>
        <w:numPr>
          <w:ilvl w:val="0"/>
          <w:numId w:val="50"/>
        </w:numPr>
        <w:ind w:left="0" w:firstLine="567"/>
        <w:jc w:val="both"/>
      </w:pPr>
      <w:r w:rsidRPr="001D4587">
        <w:t>tālāk jāstiprina starpvalstu sadarbība jūru reģionu ietvaros, t.sk. izmantojot reģionālās jūru konvencijas.</w:t>
      </w:r>
    </w:p>
    <w:p w:rsidR="00EE6FCD" w:rsidRPr="001D4587" w:rsidRDefault="00E75EE3" w:rsidP="003D627E">
      <w:pPr>
        <w:ind w:firstLine="567"/>
        <w:jc w:val="both"/>
      </w:pPr>
      <w:r w:rsidRPr="001D4587">
        <w:t xml:space="preserve">- Latvijas uzskata, ka pozitīvs piemērs reģionālās sadarbības jomā varētu būt kopējā zivsaimniecības politikā iestrādātais principu, kas ļauj valstīm ar tiešu interesi konkrēta reģiona zivju resursu izmantošanā sadarboties un sniegt priekšlikumus </w:t>
      </w:r>
      <w:r w:rsidR="00FD6E23" w:rsidRPr="001D4587">
        <w:t>EK</w:t>
      </w:r>
      <w:r w:rsidRPr="001D4587">
        <w:t xml:space="preserve"> tiesību aktu izstrādē. Tādējādi tiek nodrošināta atbildīga resursu izmantošana, ņemot vērā konkrētam reģionam specifisko situāciju un iespēju pielāgot regulējumu. Baltijas jūras reģionālā sadarbības platforma BALTFISH </w:t>
      </w:r>
      <w:r w:rsidR="00452899" w:rsidRPr="001D4587">
        <w:t>var kalpot par piemēru</w:t>
      </w:r>
      <w:r w:rsidRPr="001D4587">
        <w:t xml:space="preserve"> šajā jomā. </w:t>
      </w:r>
    </w:p>
    <w:p w:rsidR="005767C1" w:rsidRPr="001D4587" w:rsidRDefault="005767C1" w:rsidP="003D627E">
      <w:pPr>
        <w:ind w:firstLine="567"/>
        <w:jc w:val="both"/>
      </w:pPr>
      <w:r w:rsidRPr="001D4587">
        <w:t xml:space="preserve">Jūras stratēģijas pamatdirektīva nodrošina adekvātu pamatu jūras nozaru izaugsmes vides pīlāram. To stiprina arī jūras telpiskās plānošanas attīstība, piemērojot ekosistēmas pieeju. Nenoliedzami ir iespējams vēl tālāk uzlabot reģionālo sadarbību un koordināciju jūras monitoringa un novērtējumu izstrādes jomā. Latvija augstu vērtē notiekošo darbu Helsinku konvencijas un HELCOM ietvaros, lai kopīgiem spēkiem nodrošinātu labu jūras vides stāvokli Baltijas jūrā. Jūras vides stāvokļa uzlabošanu un jūras nozaru izaugsmi veicina arī ES jūras reģionu stratēģijas, kā, piemēram, stratēģija Baltijas jūras reģionam.    </w:t>
      </w:r>
    </w:p>
    <w:p w:rsidR="005767C1" w:rsidRPr="001D4587" w:rsidRDefault="005767C1" w:rsidP="003D627E">
      <w:pPr>
        <w:ind w:firstLine="567"/>
        <w:jc w:val="both"/>
      </w:pPr>
      <w:r w:rsidRPr="001D4587">
        <w:t>Attiecībā uz jūras monitoringu un novērtējumu izstrādi, ņemot vērā Eiropas jūru un to reģionu atšķirības, saskatām iespējas labāk saskaņot konvenciju un Direktīvas ziņošanas prasības, ievērojot principu „iegūt un ziņot datus vienreiz, bet izmantot tos daudzreiz” (kā to paredz Zaļā grāmata „Zināšanas par jūru 2020”</w:t>
      </w:r>
      <w:r w:rsidRPr="001D4587">
        <w:rPr>
          <w:rStyle w:val="FootnoteReference"/>
        </w:rPr>
        <w:footnoteReference w:id="6"/>
      </w:r>
      <w:r w:rsidRPr="001D4587">
        <w:t>), tai skaitā, saistībā ar ANO regulāro ziņošanas procesu globālā jūras vides novērtējuma, tostarp, sociālekonomisko aspektu, izstrādi.</w:t>
      </w:r>
    </w:p>
    <w:p w:rsidR="005767C1" w:rsidRPr="001D4587" w:rsidRDefault="005767C1" w:rsidP="003D627E">
      <w:pPr>
        <w:ind w:firstLine="567"/>
        <w:jc w:val="both"/>
      </w:pPr>
      <w:r w:rsidRPr="001D4587">
        <w:t>Latvijā šobrīd ir uzsākta pasākumu programmas laba jūras vides stāvokļa panākšanai un jūras telpiskā plānojuma izstrāde. Šo procesu ietvaros tiek izvērtēti arī jūras izmantošanas sociālie un ekonomiskie aspekti, kā arī piekrastes un tajā notiekošo darbību un procesu ietekme.</w:t>
      </w:r>
    </w:p>
    <w:p w:rsidR="005767C1" w:rsidRPr="001D4587" w:rsidRDefault="005767C1" w:rsidP="003D627E">
      <w:pPr>
        <w:ind w:firstLine="567"/>
        <w:jc w:val="both"/>
      </w:pPr>
      <w:r w:rsidRPr="001D4587">
        <w:rPr>
          <w:rStyle w:val="hps"/>
          <w:i/>
        </w:rPr>
        <w:t>2</w:t>
      </w:r>
      <w:r w:rsidR="001014CB" w:rsidRPr="001D4587">
        <w:rPr>
          <w:rStyle w:val="hps"/>
          <w:i/>
        </w:rPr>
        <w:t>)</w:t>
      </w:r>
      <w:r w:rsidRPr="001D4587">
        <w:rPr>
          <w:rStyle w:val="hps"/>
          <w:i/>
        </w:rPr>
        <w:t xml:space="preserve"> Kā ES</w:t>
      </w:r>
      <w:r w:rsidRPr="001D4587">
        <w:rPr>
          <w:i/>
        </w:rPr>
        <w:t xml:space="preserve"> </w:t>
      </w:r>
      <w:r w:rsidRPr="001D4587">
        <w:rPr>
          <w:rStyle w:val="hps"/>
          <w:i/>
        </w:rPr>
        <w:t>vislabāk</w:t>
      </w:r>
      <w:r w:rsidRPr="001D4587">
        <w:rPr>
          <w:i/>
        </w:rPr>
        <w:t xml:space="preserve"> </w:t>
      </w:r>
      <w:r w:rsidRPr="001D4587">
        <w:rPr>
          <w:rStyle w:val="hps"/>
          <w:i/>
        </w:rPr>
        <w:t>būtu</w:t>
      </w:r>
      <w:r w:rsidRPr="001D4587">
        <w:rPr>
          <w:i/>
        </w:rPr>
        <w:t xml:space="preserve"> </w:t>
      </w:r>
      <w:r w:rsidRPr="001D4587">
        <w:rPr>
          <w:rStyle w:val="hps"/>
          <w:i/>
        </w:rPr>
        <w:t>uzlabot sadarbību ar</w:t>
      </w:r>
      <w:r w:rsidRPr="001D4587">
        <w:rPr>
          <w:i/>
        </w:rPr>
        <w:t xml:space="preserve"> </w:t>
      </w:r>
      <w:r w:rsidRPr="001D4587">
        <w:rPr>
          <w:rStyle w:val="hps"/>
          <w:i/>
        </w:rPr>
        <w:t>trešajām</w:t>
      </w:r>
      <w:r w:rsidRPr="001D4587">
        <w:rPr>
          <w:i/>
        </w:rPr>
        <w:t xml:space="preserve"> </w:t>
      </w:r>
      <w:r w:rsidRPr="001D4587">
        <w:rPr>
          <w:rStyle w:val="hps"/>
          <w:i/>
        </w:rPr>
        <w:t>valstīm</w:t>
      </w:r>
      <w:r w:rsidRPr="001D4587">
        <w:rPr>
          <w:i/>
        </w:rPr>
        <w:t xml:space="preserve"> </w:t>
      </w:r>
      <w:r w:rsidRPr="001D4587">
        <w:rPr>
          <w:rStyle w:val="hps"/>
          <w:i/>
        </w:rPr>
        <w:t>un</w:t>
      </w:r>
      <w:r w:rsidRPr="001D4587">
        <w:rPr>
          <w:i/>
        </w:rPr>
        <w:t xml:space="preserve"> </w:t>
      </w:r>
      <w:r w:rsidRPr="001D4587">
        <w:rPr>
          <w:rStyle w:val="hps"/>
          <w:i/>
        </w:rPr>
        <w:t>atbalstīt</w:t>
      </w:r>
      <w:r w:rsidRPr="001D4587">
        <w:rPr>
          <w:i/>
        </w:rPr>
        <w:t xml:space="preserve"> </w:t>
      </w:r>
      <w:r w:rsidRPr="001D4587">
        <w:rPr>
          <w:rStyle w:val="hps"/>
          <w:i/>
        </w:rPr>
        <w:t>stingrāku</w:t>
      </w:r>
      <w:r w:rsidRPr="001D4587">
        <w:rPr>
          <w:i/>
        </w:rPr>
        <w:t xml:space="preserve"> </w:t>
      </w:r>
      <w:r w:rsidRPr="001D4587">
        <w:rPr>
          <w:rStyle w:val="hps"/>
          <w:i/>
        </w:rPr>
        <w:t>starptautisku jūru un okeānu pārvaldību</w:t>
      </w:r>
      <w:r w:rsidRPr="001D4587">
        <w:rPr>
          <w:i/>
        </w:rPr>
        <w:t xml:space="preserve"> </w:t>
      </w:r>
      <w:r w:rsidRPr="001D4587">
        <w:rPr>
          <w:rStyle w:val="hps"/>
          <w:i/>
        </w:rPr>
        <w:t>kontekstā</w:t>
      </w:r>
      <w:r w:rsidRPr="001D4587">
        <w:rPr>
          <w:i/>
        </w:rPr>
        <w:t xml:space="preserve"> ar </w:t>
      </w:r>
      <w:r w:rsidRPr="001D4587">
        <w:rPr>
          <w:rStyle w:val="hps"/>
          <w:i/>
        </w:rPr>
        <w:t>attīstības programmu pēc</w:t>
      </w:r>
      <w:r w:rsidRPr="001D4587">
        <w:rPr>
          <w:i/>
        </w:rPr>
        <w:t xml:space="preserve"> </w:t>
      </w:r>
      <w:r w:rsidRPr="001D4587">
        <w:rPr>
          <w:rStyle w:val="hps"/>
          <w:i/>
        </w:rPr>
        <w:t>2015.gada</w:t>
      </w:r>
      <w:r w:rsidRPr="001D4587">
        <w:rPr>
          <w:i/>
        </w:rPr>
        <w:t xml:space="preserve">, </w:t>
      </w:r>
      <w:r w:rsidRPr="001D4587">
        <w:rPr>
          <w:rStyle w:val="hps"/>
          <w:i/>
        </w:rPr>
        <w:t>tostarp</w:t>
      </w:r>
      <w:r w:rsidRPr="001D4587">
        <w:rPr>
          <w:i/>
        </w:rPr>
        <w:t xml:space="preserve"> </w:t>
      </w:r>
      <w:r w:rsidRPr="001D4587">
        <w:rPr>
          <w:rStyle w:val="hps"/>
          <w:i/>
        </w:rPr>
        <w:t>nosakot</w:t>
      </w:r>
      <w:r w:rsidRPr="001D4587">
        <w:rPr>
          <w:i/>
        </w:rPr>
        <w:t xml:space="preserve"> </w:t>
      </w:r>
      <w:r w:rsidRPr="001D4587">
        <w:rPr>
          <w:rStyle w:val="hps"/>
          <w:i/>
        </w:rPr>
        <w:t>ilgtspējīgas</w:t>
      </w:r>
      <w:r w:rsidRPr="001D4587">
        <w:rPr>
          <w:i/>
        </w:rPr>
        <w:t xml:space="preserve"> </w:t>
      </w:r>
      <w:r w:rsidRPr="001D4587">
        <w:rPr>
          <w:rStyle w:val="hps"/>
          <w:i/>
        </w:rPr>
        <w:t>attīstības mērķus</w:t>
      </w:r>
      <w:r w:rsidRPr="001D4587">
        <w:rPr>
          <w:i/>
        </w:rPr>
        <w:t xml:space="preserve"> </w:t>
      </w:r>
      <w:r w:rsidRPr="001D4587">
        <w:rPr>
          <w:rStyle w:val="hps"/>
          <w:i/>
        </w:rPr>
        <w:t>un ar tiem saistītos</w:t>
      </w:r>
      <w:r w:rsidRPr="001D4587">
        <w:rPr>
          <w:i/>
        </w:rPr>
        <w:t xml:space="preserve"> darbības </w:t>
      </w:r>
      <w:r w:rsidRPr="001D4587">
        <w:rPr>
          <w:rStyle w:val="hps"/>
          <w:i/>
        </w:rPr>
        <w:t>mērķus</w:t>
      </w:r>
      <w:r w:rsidRPr="001D4587">
        <w:t>?</w:t>
      </w:r>
    </w:p>
    <w:p w:rsidR="005767C1" w:rsidRPr="001D4587" w:rsidRDefault="009409FC" w:rsidP="003D627E">
      <w:pPr>
        <w:ind w:firstLine="567"/>
        <w:jc w:val="both"/>
      </w:pPr>
      <w:r w:rsidRPr="001D4587">
        <w:lastRenderedPageBreak/>
        <w:t xml:space="preserve">Okeāna un jūru dabas resursu </w:t>
      </w:r>
      <w:r w:rsidR="005767C1" w:rsidRPr="001D4587">
        <w:t xml:space="preserve">saglabāšanai un aizsardzībai svarīga visu pušu iesaiste un pūliņu ieguldījums dažādos līmeņos no nacionālā līdz globālajam. Latvija uzskata, ka ir nepieciešams īstenot iepriekšējos 20 gados pieņemtās starptautiska līmeņa apņemšanās okeānu aizsardzībai, uzlabojot arī sadrumstaloto starptautisko koordināciju un novēršot citus Rio+20 konferences noslēguma dokumentā atzīmētos trūkumus okeāna pārvaldībā. Ilgtspējīgas attīstības, tostarp, attiecībā uz jūrām un okeāniem, nodrošināšanā izšķiroša nozīme ir 1992.gada </w:t>
      </w:r>
      <w:proofErr w:type="spellStart"/>
      <w:r w:rsidR="005767C1" w:rsidRPr="001D4587">
        <w:t>Rio</w:t>
      </w:r>
      <w:proofErr w:type="spellEnd"/>
      <w:r w:rsidR="005767C1" w:rsidRPr="001D4587">
        <w:t xml:space="preserve"> konvencijām: ANO Vispārējai konvencijai par klimata pārmaiņām un Konvencijai par bioloģisko daudzveidību, tai skaitā, </w:t>
      </w:r>
      <w:r w:rsidR="00A05F3C" w:rsidRPr="001D4587">
        <w:t xml:space="preserve">2010.gada </w:t>
      </w:r>
      <w:proofErr w:type="spellStart"/>
      <w:r w:rsidR="00A05F3C" w:rsidRPr="001D4587">
        <w:t>Aiči</w:t>
      </w:r>
      <w:proofErr w:type="spellEnd"/>
      <w:r w:rsidR="00A05F3C" w:rsidRPr="001D4587">
        <w:t xml:space="preserve"> mērķiem</w:t>
      </w:r>
      <w:r w:rsidR="00EE6FCD" w:rsidRPr="001D4587">
        <w:rPr>
          <w:rStyle w:val="FootnoteReference"/>
        </w:rPr>
        <w:footnoteReference w:id="7"/>
      </w:r>
      <w:r w:rsidR="00A05F3C" w:rsidRPr="001D4587">
        <w:t xml:space="preserve">. </w:t>
      </w:r>
      <w:r w:rsidR="005767C1" w:rsidRPr="001D4587">
        <w:t xml:space="preserve">Ir būtiska šo konvenciju ieviešana visās valstīs, veicot konkrētus pasākumus visos līmeņos, tai skaitā reģionālā. Baltijas jūras reģions var kalpot par piemēru globālo </w:t>
      </w:r>
      <w:r w:rsidR="005767C1" w:rsidRPr="001D4587">
        <w:rPr>
          <w:rStyle w:val="hps"/>
        </w:rPr>
        <w:t>ilgtspējīgas</w:t>
      </w:r>
      <w:r w:rsidR="005767C1" w:rsidRPr="001D4587">
        <w:t xml:space="preserve"> </w:t>
      </w:r>
      <w:r w:rsidR="005767C1" w:rsidRPr="001D4587">
        <w:rPr>
          <w:rStyle w:val="hps"/>
        </w:rPr>
        <w:t>attīstības</w:t>
      </w:r>
      <w:r w:rsidR="005767C1" w:rsidRPr="001D4587">
        <w:rPr>
          <w:rStyle w:val="hps"/>
          <w:i/>
        </w:rPr>
        <w:t xml:space="preserve"> </w:t>
      </w:r>
      <w:r w:rsidR="005767C1" w:rsidRPr="001D4587">
        <w:t xml:space="preserve">saistību īstenošanā un arī veiksmīgā sadarbībā ar trešajām valstīm. Lai veicinātu globālo mērķu jūras vides aizsardzībai sasniegšanu, izšķiroša nozīme trešo valstu iesaistē ir starptautiskajām organizācijām (ANO, </w:t>
      </w:r>
      <w:r w:rsidR="00294592" w:rsidRPr="001D4587">
        <w:t>Apvienoto Nāciju Organizācijas Vides programma (</w:t>
      </w:r>
      <w:r w:rsidR="005767C1" w:rsidRPr="001D4587">
        <w:t>UNEP</w:t>
      </w:r>
      <w:r w:rsidR="00294592" w:rsidRPr="001D4587">
        <w:t>)</w:t>
      </w:r>
      <w:r w:rsidR="005767C1" w:rsidRPr="001D4587">
        <w:t xml:space="preserve">, IMO u.c.). </w:t>
      </w:r>
    </w:p>
    <w:p w:rsidR="00B05309" w:rsidRPr="001D4587" w:rsidRDefault="0010357E" w:rsidP="003D627E">
      <w:pPr>
        <w:ind w:firstLine="567"/>
        <w:jc w:val="both"/>
      </w:pPr>
      <w:r w:rsidRPr="001D4587">
        <w:t>Atzīstot okeānu izšķirošo lomu visām trim ilgtspējīgas attīstības dimensijām</w:t>
      </w:r>
      <w:r w:rsidR="00452899" w:rsidRPr="001D4587">
        <w:t xml:space="preserve">: vides, ekonomiskajai un </w:t>
      </w:r>
      <w:proofErr w:type="spellStart"/>
      <w:r w:rsidR="00452899" w:rsidRPr="001D4587">
        <w:t>sociālajai,</w:t>
      </w:r>
      <w:r w:rsidRPr="001D4587">
        <w:t>Latvija</w:t>
      </w:r>
      <w:proofErr w:type="spellEnd"/>
      <w:r w:rsidRPr="001D4587">
        <w:t xml:space="preserve"> atbalsta atsevišķi izdalītu īpašu </w:t>
      </w:r>
      <w:r w:rsidRPr="001D4587">
        <w:rPr>
          <w:i/>
        </w:rPr>
        <w:t>(</w:t>
      </w:r>
      <w:proofErr w:type="spellStart"/>
      <w:r w:rsidRPr="001D4587">
        <w:rPr>
          <w:i/>
        </w:rPr>
        <w:t>stand-alone</w:t>
      </w:r>
      <w:proofErr w:type="spellEnd"/>
      <w:r w:rsidRPr="001D4587">
        <w:rPr>
          <w:i/>
        </w:rPr>
        <w:t>)</w:t>
      </w:r>
      <w:r w:rsidRPr="001D4587">
        <w:t xml:space="preserve"> ilgtspējīgas attīstības mērķu jūrām un okeāniem noteikšanu kā politisku prioritāti attīstības programmai pēc 2015.gada. </w:t>
      </w:r>
      <w:r w:rsidR="005767C1" w:rsidRPr="001D4587">
        <w:t xml:space="preserve">Latvija arī atbalsta </w:t>
      </w:r>
      <w:r w:rsidR="00D823C3" w:rsidRPr="001D4587">
        <w:t>ES</w:t>
      </w:r>
      <w:r w:rsidR="005767C1" w:rsidRPr="001D4587">
        <w:t xml:space="preserve"> centienus un iestrādes attiecībā uz UNCLOS Piemērošanas līguma </w:t>
      </w:r>
      <w:r w:rsidR="005767C1" w:rsidRPr="001D4587">
        <w:rPr>
          <w:rStyle w:val="hps"/>
        </w:rPr>
        <w:t>par</w:t>
      </w:r>
      <w:r w:rsidR="005767C1" w:rsidRPr="001D4587">
        <w:t xml:space="preserve"> </w:t>
      </w:r>
      <w:r w:rsidR="005767C1" w:rsidRPr="001D4587">
        <w:rPr>
          <w:rStyle w:val="hps"/>
        </w:rPr>
        <w:t>jūras</w:t>
      </w:r>
      <w:r w:rsidR="005767C1" w:rsidRPr="001D4587">
        <w:t xml:space="preserve"> </w:t>
      </w:r>
      <w:r w:rsidR="005767C1" w:rsidRPr="001D4587">
        <w:rPr>
          <w:rStyle w:val="hps"/>
        </w:rPr>
        <w:t>bioloģiskās daudzveidības saglabāšanu un ilgtspējīgu</w:t>
      </w:r>
      <w:r w:rsidR="005767C1" w:rsidRPr="001D4587">
        <w:t xml:space="preserve"> </w:t>
      </w:r>
      <w:r w:rsidR="005767C1" w:rsidRPr="001D4587">
        <w:rPr>
          <w:rStyle w:val="hps"/>
        </w:rPr>
        <w:t>izmantošanu teritorijās ārpus</w:t>
      </w:r>
      <w:r w:rsidR="005767C1" w:rsidRPr="001D4587">
        <w:t xml:space="preserve"> </w:t>
      </w:r>
      <w:r w:rsidR="005767C1" w:rsidRPr="001D4587">
        <w:rPr>
          <w:rStyle w:val="hps"/>
        </w:rPr>
        <w:t>valstu jurisdikcijas izstrādi</w:t>
      </w:r>
      <w:r w:rsidR="005767C1" w:rsidRPr="001D4587">
        <w:t>.</w:t>
      </w:r>
    </w:p>
    <w:p w:rsidR="00B05309" w:rsidRPr="001D4587" w:rsidRDefault="00B05309" w:rsidP="003D627E">
      <w:pPr>
        <w:pStyle w:val="ListParagraph"/>
        <w:ind w:left="0" w:firstLine="567"/>
        <w:jc w:val="both"/>
        <w:rPr>
          <w:u w:val="single"/>
        </w:rPr>
      </w:pPr>
    </w:p>
    <w:p w:rsidR="00C97713" w:rsidRPr="001D4587" w:rsidRDefault="00B05309" w:rsidP="003D627E">
      <w:pPr>
        <w:ind w:firstLine="567"/>
        <w:jc w:val="both"/>
        <w:rPr>
          <w:b/>
        </w:rPr>
      </w:pPr>
      <w:r w:rsidRPr="001D4587">
        <w:rPr>
          <w:b/>
        </w:rPr>
        <w:t xml:space="preserve">2. </w:t>
      </w:r>
      <w:r w:rsidR="00C97713" w:rsidRPr="001D4587">
        <w:rPr>
          <w:b/>
        </w:rPr>
        <w:t xml:space="preserve">Gatavošanās nākamajai </w:t>
      </w:r>
      <w:r w:rsidR="00F7525A" w:rsidRPr="001D4587">
        <w:rPr>
          <w:b/>
        </w:rPr>
        <w:t>ANO Vispārējās konvencijas par klimata pārmaiņām</w:t>
      </w:r>
      <w:r w:rsidR="00AA450A" w:rsidRPr="001D4587">
        <w:rPr>
          <w:b/>
        </w:rPr>
        <w:t xml:space="preserve"> pušu</w:t>
      </w:r>
      <w:r w:rsidR="00C97713" w:rsidRPr="001D4587">
        <w:rPr>
          <w:b/>
        </w:rPr>
        <w:t xml:space="preserve"> sesijai (Kioto ambīciju mehānisms, </w:t>
      </w:r>
      <w:proofErr w:type="spellStart"/>
      <w:r w:rsidR="00C97713" w:rsidRPr="001D4587">
        <w:rPr>
          <w:b/>
        </w:rPr>
        <w:t>Durbānas</w:t>
      </w:r>
      <w:proofErr w:type="spellEnd"/>
      <w:r w:rsidR="00C97713" w:rsidRPr="001D4587">
        <w:rPr>
          <w:b/>
        </w:rPr>
        <w:t xml:space="preserve"> platformas darba grupa)</w:t>
      </w:r>
      <w:r w:rsidR="00F33FF3" w:rsidRPr="001D4587">
        <w:rPr>
          <w:b/>
        </w:rPr>
        <w:t>.</w:t>
      </w:r>
    </w:p>
    <w:p w:rsidR="000823F3" w:rsidRPr="001D4587" w:rsidRDefault="00B05309" w:rsidP="003D627E">
      <w:pPr>
        <w:ind w:firstLine="567"/>
        <w:jc w:val="both"/>
        <w:rPr>
          <w:b/>
        </w:rPr>
      </w:pPr>
      <w:r w:rsidRPr="001D4587">
        <w:rPr>
          <w:b/>
        </w:rPr>
        <w:t xml:space="preserve">2.1. </w:t>
      </w:r>
      <w:r w:rsidR="00C97713" w:rsidRPr="001D4587">
        <w:rPr>
          <w:b/>
        </w:rPr>
        <w:t xml:space="preserve">Kioto </w:t>
      </w:r>
      <w:r w:rsidR="00E65E58" w:rsidRPr="001D4587">
        <w:rPr>
          <w:b/>
        </w:rPr>
        <w:t xml:space="preserve">protokola </w:t>
      </w:r>
      <w:r w:rsidR="00AD2FD7" w:rsidRPr="001D4587">
        <w:rPr>
          <w:b/>
        </w:rPr>
        <w:t xml:space="preserve">saistību </w:t>
      </w:r>
      <w:r w:rsidR="00C97713" w:rsidRPr="001D4587">
        <w:rPr>
          <w:b/>
        </w:rPr>
        <w:t>ambīciju mehānisms</w:t>
      </w:r>
      <w:r w:rsidR="00F33FF3" w:rsidRPr="001D4587">
        <w:rPr>
          <w:b/>
        </w:rPr>
        <w:t>.</w:t>
      </w:r>
    </w:p>
    <w:p w:rsidR="00E65E58" w:rsidRPr="001D4587" w:rsidRDefault="00E65E58" w:rsidP="003D627E">
      <w:pPr>
        <w:ind w:firstLine="567"/>
        <w:jc w:val="both"/>
        <w:rPr>
          <w:i/>
        </w:rPr>
      </w:pPr>
      <w:r w:rsidRPr="001D4587">
        <w:rPr>
          <w:i/>
        </w:rPr>
        <w:t>Informācija par Eiropas Savienības, tās dalībvalstu un Islandes ziņojumu attiecībā uz Kioto protokola saistību ambīciju palielināša</w:t>
      </w:r>
      <w:r w:rsidR="00AD2FD7" w:rsidRPr="001D4587">
        <w:rPr>
          <w:i/>
        </w:rPr>
        <w:t>na</w:t>
      </w:r>
      <w:r w:rsidRPr="001D4587">
        <w:rPr>
          <w:i/>
        </w:rPr>
        <w:t>s mehānismu</w:t>
      </w:r>
      <w:r w:rsidR="005767C1" w:rsidRPr="001D4587">
        <w:rPr>
          <w:i/>
        </w:rPr>
        <w:t>.</w:t>
      </w:r>
    </w:p>
    <w:p w:rsidR="00B43543" w:rsidRPr="001D4587" w:rsidRDefault="00B43543" w:rsidP="003D627E">
      <w:pPr>
        <w:ind w:firstLine="567"/>
        <w:jc w:val="both"/>
      </w:pPr>
      <w:r w:rsidRPr="001D4587">
        <w:t>Dohas klimata konferencē 2012.gada decembrī Eiropas Savienība</w:t>
      </w:r>
      <w:r w:rsidR="00356633" w:rsidRPr="001D4587">
        <w:t xml:space="preserve"> (turpmāk – ES)</w:t>
      </w:r>
      <w:r w:rsidRPr="001D4587">
        <w:t xml:space="preserve">, tās 28 dalībvalstis un Islande vienojās par </w:t>
      </w:r>
      <w:r w:rsidR="00356633" w:rsidRPr="001D4587">
        <w:t xml:space="preserve">siltumnīcefekta gāzu (turpmāk – SEG) </w:t>
      </w:r>
      <w:r w:rsidRPr="001D4587">
        <w:t>emisiju samazināšanas saistībām Kioto protokola 2.saistību periodā (2013.-2020.gads) 80% apmērā no Kioto protokola bāzes gada emisijām</w:t>
      </w:r>
      <w:r w:rsidR="005545F0" w:rsidRPr="001D4587">
        <w:t>, kā arī</w:t>
      </w:r>
      <w:r w:rsidRPr="001D4587">
        <w:t xml:space="preserve"> vienojās kopīgai saistību izpildei saskaņā ar Kioto protokola 4.pantu.</w:t>
      </w:r>
    </w:p>
    <w:p w:rsidR="0028652C" w:rsidRPr="001D4587" w:rsidRDefault="0028652C" w:rsidP="003D627E">
      <w:pPr>
        <w:ind w:firstLine="567"/>
        <w:jc w:val="both"/>
      </w:pPr>
      <w:r w:rsidRPr="001D4587">
        <w:t xml:space="preserve">Kioto protokola Dohas grozījuma Kioto protokola 2.saistību periodam ir noteikts, ka katra līgumslēdzēja </w:t>
      </w:r>
      <w:r w:rsidR="00356633" w:rsidRPr="001D4587">
        <w:t>P</w:t>
      </w:r>
      <w:r w:rsidRPr="001D4587">
        <w:t>use var piedāvāt savu</w:t>
      </w:r>
      <w:r w:rsidR="00356633" w:rsidRPr="001D4587">
        <w:t xml:space="preserve"> kvantitatīvo SEG</w:t>
      </w:r>
      <w:r w:rsidRPr="001D4587">
        <w:t xml:space="preserve"> emisiju ierobežošanas un samazināšanas </w:t>
      </w:r>
      <w:r w:rsidR="00356633" w:rsidRPr="001D4587">
        <w:t>saistību (</w:t>
      </w:r>
      <w:r w:rsidR="00356633" w:rsidRPr="001D4587">
        <w:rPr>
          <w:i/>
        </w:rPr>
        <w:t>QELRC</w:t>
      </w:r>
      <w:r w:rsidR="00356633" w:rsidRPr="001D4587">
        <w:rPr>
          <w:rStyle w:val="FootnoteReference"/>
          <w:i/>
        </w:rPr>
        <w:footnoteReference w:id="8"/>
      </w:r>
      <w:r w:rsidR="00356633" w:rsidRPr="001D4587">
        <w:t>) pal</w:t>
      </w:r>
      <w:r w:rsidRPr="001D4587">
        <w:t xml:space="preserve">ielināšanu (tiek samazināts procentuālais apjoms, kurš ir pieļaujams attiecībā uz bāzes gada </w:t>
      </w:r>
      <w:r w:rsidR="00356633" w:rsidRPr="001D4587">
        <w:t xml:space="preserve">SEG </w:t>
      </w:r>
      <w:r w:rsidRPr="001D4587">
        <w:t>emisijām).</w:t>
      </w:r>
    </w:p>
    <w:p w:rsidR="00B43543" w:rsidRPr="001D4587" w:rsidRDefault="00B43543" w:rsidP="003D627E">
      <w:pPr>
        <w:ind w:firstLine="567"/>
        <w:jc w:val="both"/>
      </w:pPr>
      <w:r w:rsidRPr="001D4587">
        <w:t>Līgumslēdzēju pušu lēmuma 1/CMP.8 9.punktā ir noteikts, ka katra līgumslēdzēja Puse, kurai</w:t>
      </w:r>
      <w:r w:rsidR="00B85C69" w:rsidRPr="001D4587">
        <w:t xml:space="preserve"> ir noteiktas </w:t>
      </w:r>
      <w:r w:rsidR="00356633" w:rsidRPr="001D4587">
        <w:rPr>
          <w:i/>
        </w:rPr>
        <w:t>QELRC</w:t>
      </w:r>
      <w:r w:rsidR="00356633" w:rsidRPr="001D4587">
        <w:t xml:space="preserve"> Kioto </w:t>
      </w:r>
      <w:r w:rsidRPr="001D4587">
        <w:t>protokola 2.saistību periodā, līdz 2014.gada 30.aprīlim iesniedz ANO Vispārējās konvencijas par klimata pārmaiņām sekretariātam informāciju par tās apņemšanos palielināt sav</w:t>
      </w:r>
      <w:r w:rsidR="00356633" w:rsidRPr="001D4587">
        <w:t xml:space="preserve">as saistības </w:t>
      </w:r>
      <w:r w:rsidRPr="001D4587">
        <w:t>(ambīciju palielināšana)</w:t>
      </w:r>
      <w:r w:rsidR="0028652C" w:rsidRPr="001D4587">
        <w:t>, šajā ziņojumā iekļaujot informāciju par progresu, kas ir sas</w:t>
      </w:r>
      <w:r w:rsidR="00356633" w:rsidRPr="001D4587">
        <w:t>niegts SEG emisiju ierobežošanā un samazināšanā</w:t>
      </w:r>
      <w:r w:rsidR="0028652C" w:rsidRPr="001D4587">
        <w:t xml:space="preserve">, aktuālās pieejamā </w:t>
      </w:r>
      <w:r w:rsidR="00356633" w:rsidRPr="001D4587">
        <w:t xml:space="preserve">SEG </w:t>
      </w:r>
      <w:r w:rsidR="0028652C" w:rsidRPr="001D4587">
        <w:t>emisijas prognozes līdz Kioto protokola 2.saistību perioda beigām un ambīciju palielināšanas potenciālu.</w:t>
      </w:r>
    </w:p>
    <w:p w:rsidR="0028652C" w:rsidRPr="001D4587" w:rsidRDefault="0028652C" w:rsidP="003D627E">
      <w:pPr>
        <w:ind w:firstLine="567"/>
        <w:jc w:val="both"/>
      </w:pPr>
      <w:r w:rsidRPr="001D4587">
        <w:t xml:space="preserve">2014.gada 30.aprīlī </w:t>
      </w:r>
      <w:r w:rsidR="00FD6E23" w:rsidRPr="001D4587">
        <w:t>EK</w:t>
      </w:r>
      <w:r w:rsidRPr="001D4587">
        <w:t xml:space="preserve"> E</w:t>
      </w:r>
      <w:r w:rsidR="00E65E58" w:rsidRPr="001D4587">
        <w:t>S</w:t>
      </w:r>
      <w:r w:rsidRPr="001D4587">
        <w:t xml:space="preserve">, tās 28 dalībvalstu un Islandes vārdā iesniedza ANO Vispārējās konvencijas par klimata pārmaiņām sekretariātam ziņojumu par šā brīža progresu </w:t>
      </w:r>
      <w:r w:rsidR="00E65E58" w:rsidRPr="001D4587">
        <w:t xml:space="preserve">SEG </w:t>
      </w:r>
      <w:r w:rsidRPr="001D4587">
        <w:t>emisiju ierobežošanas un samazināšanas saistību izpildē, potenciālo saistību izpildi lielākā apjomā un ambīciju palielināšanas iespējām, kā arī tehnisko pielikumu ar detālu informāciju un datiem attiecībā uz katru ES dalībvalsti un Islandi.</w:t>
      </w:r>
    </w:p>
    <w:p w:rsidR="00806976" w:rsidRPr="001D4587" w:rsidRDefault="00806976" w:rsidP="003D627E">
      <w:pPr>
        <w:ind w:firstLine="567"/>
        <w:jc w:val="both"/>
      </w:pPr>
      <w:r w:rsidRPr="001D4587">
        <w:lastRenderedPageBreak/>
        <w:t>Ziņojumā tiek norādīts, ka E</w:t>
      </w:r>
      <w:r w:rsidR="00E65E58" w:rsidRPr="001D4587">
        <w:t>S</w:t>
      </w:r>
      <w:r w:rsidRPr="001D4587">
        <w:t>, tās dalībvalstis un Islande uzņemas Kioto protokola 2.saist</w:t>
      </w:r>
      <w:r w:rsidR="0093267F" w:rsidRPr="001D4587">
        <w:t>ību perio</w:t>
      </w:r>
      <w:r w:rsidRPr="001D4587">
        <w:t>dā īstenot tādu politiku un pasākumus, kuri nodrošina SEG emisiju samazinājumu pēc iespējas lielākā apjomā</w:t>
      </w:r>
      <w:r w:rsidR="0093267F" w:rsidRPr="001D4587">
        <w:t xml:space="preserve">, tādējādi nodrošinot </w:t>
      </w:r>
      <w:r w:rsidR="00E65E58" w:rsidRPr="001D4587">
        <w:t xml:space="preserve">SEG </w:t>
      </w:r>
      <w:r w:rsidR="0093267F" w:rsidRPr="001D4587">
        <w:t>emisiju ierobežošanas un samazināšanas saistību</w:t>
      </w:r>
      <w:r w:rsidR="00066F55" w:rsidRPr="001D4587">
        <w:t xml:space="preserve"> izpildes pārsniegumu. E</w:t>
      </w:r>
      <w:r w:rsidR="00E65E58" w:rsidRPr="001D4587">
        <w:t>S</w:t>
      </w:r>
      <w:r w:rsidR="00066F55" w:rsidRPr="001D4587">
        <w:t xml:space="preserve">, tās dalībvalstis un Islande arī </w:t>
      </w:r>
      <w:r w:rsidRPr="001D4587">
        <w:t>atkārto savu</w:t>
      </w:r>
      <w:r w:rsidR="00066F55" w:rsidRPr="001D4587">
        <w:t xml:space="preserve"> nosacījumu piedāvājumu</w:t>
      </w:r>
      <w:r w:rsidRPr="001D4587">
        <w:t xml:space="preserve"> </w:t>
      </w:r>
      <w:r w:rsidR="00066F55" w:rsidRPr="001D4587">
        <w:t xml:space="preserve">noteikt </w:t>
      </w:r>
      <w:r w:rsidR="00E65E58" w:rsidRPr="001D4587">
        <w:rPr>
          <w:i/>
        </w:rPr>
        <w:t>QELRC</w:t>
      </w:r>
      <w:r w:rsidR="00066F55" w:rsidRPr="001D4587">
        <w:t xml:space="preserve"> Kioto protokola 2.saistību periodam – 30% apmērā attiecībā pret 1990.gada SEG emisijām, paredzot, ka arī pārējās attīstītās valstis</w:t>
      </w:r>
      <w:r w:rsidR="009034DC" w:rsidRPr="001D4587">
        <w:t xml:space="preserve"> noteiks sev un izpildīs līdzvērtīgus </w:t>
      </w:r>
      <w:r w:rsidR="00E65E58" w:rsidRPr="001D4587">
        <w:t xml:space="preserve">SEG </w:t>
      </w:r>
      <w:r w:rsidR="009034DC" w:rsidRPr="001D4587">
        <w:t>emisiju samazināšanas mērķus, kā arī attīstī</w:t>
      </w:r>
      <w:r w:rsidR="00E65E58" w:rsidRPr="001D4587">
        <w:t>bas</w:t>
      </w:r>
      <w:r w:rsidR="009034DC" w:rsidRPr="001D4587">
        <w:t xml:space="preserve"> valstis pienācīgi piedalīsies</w:t>
      </w:r>
      <w:r w:rsidR="00E65E58" w:rsidRPr="001D4587">
        <w:t xml:space="preserve"> SEG</w:t>
      </w:r>
      <w:r w:rsidR="009034DC" w:rsidRPr="001D4587">
        <w:t xml:space="preserve"> emisiju samazināšanā saskaņā ar saviem pienākumiem un attiecīgajām iespējām.</w:t>
      </w:r>
    </w:p>
    <w:p w:rsidR="009034DC" w:rsidRPr="001D4587" w:rsidRDefault="009034DC" w:rsidP="003D627E">
      <w:pPr>
        <w:ind w:firstLine="567"/>
        <w:jc w:val="both"/>
      </w:pPr>
      <w:r w:rsidRPr="001D4587">
        <w:t>Saskaņā ar ziņojumā sniegto informāciju E</w:t>
      </w:r>
      <w:r w:rsidR="00E65E58" w:rsidRPr="001D4587">
        <w:t>S</w:t>
      </w:r>
      <w:r w:rsidRPr="001D4587">
        <w:t>, tās dalībvalstis un Islande pārsniegs sav</w:t>
      </w:r>
      <w:r w:rsidR="00E65E58" w:rsidRPr="001D4587">
        <w:t xml:space="preserve">as </w:t>
      </w:r>
      <w:r w:rsidR="00E65E58" w:rsidRPr="001D4587">
        <w:rPr>
          <w:i/>
        </w:rPr>
        <w:t>QELRC</w:t>
      </w:r>
      <w:r w:rsidRPr="001D4587">
        <w:t xml:space="preserve"> Kioto protokola 1.saistību periodā (2008.-2013.gads) un tiek prognozēts arī </w:t>
      </w:r>
      <w:r w:rsidR="00E65E58" w:rsidRPr="001D4587">
        <w:t xml:space="preserve">SEG </w:t>
      </w:r>
      <w:r w:rsidRPr="001D4587">
        <w:t xml:space="preserve">emisiju samazināšanas mērķa pārsniegums Kioto protokola 2.saistību periodam. Tiek prognozēts, ka 2020.gadā kopējās SEG emisijas būs 24,5% zemākas kā bāzes gada kopējās </w:t>
      </w:r>
      <w:r w:rsidR="00E65E58" w:rsidRPr="001D4587">
        <w:t xml:space="preserve">SEG </w:t>
      </w:r>
      <w:r w:rsidRPr="001D4587">
        <w:t>emisijas, ņemot vērā dalībvalstu iesniegtās prognozes scenārijam ar esošajiem pasākumiem. Tādējādi iespējamais</w:t>
      </w:r>
      <w:r w:rsidR="00E65E58" w:rsidRPr="001D4587">
        <w:t xml:space="preserve"> </w:t>
      </w:r>
      <w:r w:rsidR="00E65E58" w:rsidRPr="001D4587">
        <w:rPr>
          <w:i/>
        </w:rPr>
        <w:t>QELRC</w:t>
      </w:r>
      <w:r w:rsidRPr="001D4587">
        <w:t xml:space="preserve"> pārsniegums tiek prognozēts apmēram 5,5 </w:t>
      </w:r>
      <w:proofErr w:type="spellStart"/>
      <w:r w:rsidRPr="001D4587">
        <w:t>miljrd.tonnu</w:t>
      </w:r>
      <w:proofErr w:type="spellEnd"/>
      <w:r w:rsidRPr="001D4587">
        <w:t xml:space="preserve"> CO</w:t>
      </w:r>
      <w:r w:rsidRPr="001D4587">
        <w:rPr>
          <w:vertAlign w:val="subscript"/>
        </w:rPr>
        <w:t>2</w:t>
      </w:r>
      <w:r w:rsidRPr="001D4587">
        <w:t xml:space="preserve"> </w:t>
      </w:r>
      <w:proofErr w:type="spellStart"/>
      <w:r w:rsidRPr="001D4587">
        <w:t>ekv</w:t>
      </w:r>
      <w:proofErr w:type="spellEnd"/>
      <w:r w:rsidR="00130637" w:rsidRPr="001D4587">
        <w:t>.</w:t>
      </w:r>
      <w:r w:rsidRPr="001D4587">
        <w:t>, kas ir vairāk nekā 2012.gada Eiropas Savienības un Islandes kopējās SEG emisijas.</w:t>
      </w:r>
    </w:p>
    <w:p w:rsidR="003E72A8" w:rsidRPr="001D4587" w:rsidRDefault="0023719E" w:rsidP="003D627E">
      <w:pPr>
        <w:ind w:firstLine="567"/>
        <w:jc w:val="both"/>
      </w:pPr>
      <w:r w:rsidRPr="001D4587">
        <w:t>Ziņojumā tiek norādīts</w:t>
      </w:r>
      <w:r w:rsidR="003E72A8" w:rsidRPr="001D4587">
        <w:t xml:space="preserve">, ka esošais un plānotais </w:t>
      </w:r>
      <w:r w:rsidR="00E65E58" w:rsidRPr="001D4587">
        <w:t xml:space="preserve">SEG </w:t>
      </w:r>
      <w:r w:rsidR="003E72A8" w:rsidRPr="001D4587">
        <w:t>emisiju samazinā</w:t>
      </w:r>
      <w:r w:rsidR="00E65E58" w:rsidRPr="001D4587">
        <w:t>jums</w:t>
      </w:r>
      <w:r w:rsidR="003E72A8" w:rsidRPr="001D4587">
        <w:t xml:space="preserve"> un prognozētais saistību izpildes p</w:t>
      </w:r>
      <w:r w:rsidR="00E65E58" w:rsidRPr="001D4587">
        <w:t>ārsniegums ir radies, īstenojot s</w:t>
      </w:r>
      <w:r w:rsidR="003E72A8" w:rsidRPr="001D4587">
        <w:t>trukturāl</w:t>
      </w:r>
      <w:r w:rsidR="00E65E58" w:rsidRPr="001D4587">
        <w:t>ās</w:t>
      </w:r>
      <w:r w:rsidR="003E72A8" w:rsidRPr="001D4587">
        <w:t xml:space="preserve"> politik</w:t>
      </w:r>
      <w:r w:rsidR="00E65E58" w:rsidRPr="001D4587">
        <w:t>as</w:t>
      </w:r>
      <w:r w:rsidR="003E72A8" w:rsidRPr="001D4587">
        <w:t xml:space="preserve"> īpaši rūpniecības energointensitātes uzlabošanā un atjaunojamo energoresursu izmantošanas palielināšanā. Īpaši tiek norādīts, ka </w:t>
      </w:r>
      <w:r w:rsidR="00E65E58" w:rsidRPr="001D4587">
        <w:t xml:space="preserve">SEG </w:t>
      </w:r>
      <w:r w:rsidR="003E72A8" w:rsidRPr="001D4587">
        <w:t>emisiju samazinājums ir sasniegts neietekmējot ekonomikas pieaugumu</w:t>
      </w:r>
      <w:r w:rsidR="009965BE" w:rsidRPr="001D4587">
        <w:t>, tādējādi veiksmīgi „atsaistot” ekonomisko attīstību un SEG emisijas, 1990.-2012.gada periodā kombinētais IKP Eiropas Savienības dalībvalstīs un Islandē palielinājās par vairāk nekā 44%</w:t>
      </w:r>
      <w:r w:rsidR="00130637" w:rsidRPr="001D4587">
        <w:t>,</w:t>
      </w:r>
      <w:r w:rsidR="009965BE" w:rsidRPr="001D4587">
        <w:t xml:space="preserve"> savukārt SEG emisijas ir samazinājušās par 19%. Kā rezultātā SEG emisiju intensitāte ir samazinājusies gandrīz par 50% šajā periodā un šobrīd ir viena no zemākajām starp pasaules attīstītākajām </w:t>
      </w:r>
      <w:r w:rsidRPr="001D4587">
        <w:t>valstīm</w:t>
      </w:r>
      <w:r w:rsidR="00BA2A9A" w:rsidRPr="001D4587">
        <w:t>.</w:t>
      </w:r>
    </w:p>
    <w:p w:rsidR="00B85C69" w:rsidRPr="001D4587" w:rsidRDefault="00B85C69" w:rsidP="003D627E">
      <w:pPr>
        <w:ind w:firstLine="567"/>
        <w:jc w:val="both"/>
      </w:pPr>
    </w:p>
    <w:p w:rsidR="003D252D" w:rsidRPr="001D4587" w:rsidRDefault="00D91C8E" w:rsidP="003D627E">
      <w:pPr>
        <w:ind w:firstLine="567"/>
        <w:jc w:val="both"/>
      </w:pPr>
      <w:r w:rsidRPr="001D4587">
        <w:t>Atbildes uz Grieķijas prezidentūras uzdotajiem jautājumiem:</w:t>
      </w:r>
    </w:p>
    <w:p w:rsidR="00C91206" w:rsidRPr="001D4587" w:rsidRDefault="003D252D" w:rsidP="003D627E">
      <w:pPr>
        <w:ind w:firstLine="567"/>
        <w:jc w:val="both"/>
        <w:rPr>
          <w:i/>
        </w:rPr>
      </w:pPr>
      <w:r w:rsidRPr="001D4587">
        <w:rPr>
          <w:i/>
        </w:rPr>
        <w:t xml:space="preserve">1) </w:t>
      </w:r>
      <w:r w:rsidR="00C91206" w:rsidRPr="001D4587">
        <w:rPr>
          <w:i/>
        </w:rPr>
        <w:t>Kādam ir jābūt ES galvenajam viedokli</w:t>
      </w:r>
      <w:r w:rsidR="00A17B66" w:rsidRPr="001D4587">
        <w:rPr>
          <w:i/>
        </w:rPr>
        <w:t>m</w:t>
      </w:r>
      <w:r w:rsidR="00C91206" w:rsidRPr="001D4587">
        <w:rPr>
          <w:i/>
        </w:rPr>
        <w:t xml:space="preserve"> jūnija ministru sanāksmē Bonnā?</w:t>
      </w:r>
    </w:p>
    <w:p w:rsidR="00C91206" w:rsidRPr="001D4587" w:rsidRDefault="007B12F8" w:rsidP="003D627E">
      <w:pPr>
        <w:ind w:firstLine="567"/>
        <w:jc w:val="both"/>
      </w:pPr>
      <w:r w:rsidRPr="001D4587">
        <w:t xml:space="preserve">Apzinoties nepieciešamību palielināt QELRC, </w:t>
      </w:r>
      <w:r w:rsidR="00C91206" w:rsidRPr="001D4587">
        <w:t xml:space="preserve">Latvija uzsver, ka </w:t>
      </w:r>
      <w:r w:rsidRPr="001D4587">
        <w:t>QELRC</w:t>
      </w:r>
      <w:r w:rsidRPr="001D4587" w:rsidDel="007B12F8">
        <w:t xml:space="preserve"> </w:t>
      </w:r>
      <w:r w:rsidR="00C91206" w:rsidRPr="001D4587">
        <w:t xml:space="preserve">palielināšana </w:t>
      </w:r>
      <w:r w:rsidR="00A17B66" w:rsidRPr="001D4587">
        <w:t xml:space="preserve">individuālu </w:t>
      </w:r>
      <w:r w:rsidR="00C91206" w:rsidRPr="001D4587">
        <w:t xml:space="preserve">dalībvalstu līmenī ir </w:t>
      </w:r>
      <w:r w:rsidR="00A17B66" w:rsidRPr="001D4587">
        <w:t xml:space="preserve">jāveic </w:t>
      </w:r>
      <w:r w:rsidR="00C91206" w:rsidRPr="001D4587">
        <w:t xml:space="preserve">rūpīgi izvērtējot katras </w:t>
      </w:r>
      <w:r w:rsidR="00A17B66" w:rsidRPr="001D4587">
        <w:t xml:space="preserve">atsevišķas </w:t>
      </w:r>
      <w:r w:rsidR="00C91206" w:rsidRPr="001D4587">
        <w:t>dalībvalsts iespējas emisiju samazināšan</w:t>
      </w:r>
      <w:r w:rsidR="00A17B66" w:rsidRPr="001D4587">
        <w:t>ā</w:t>
      </w:r>
      <w:r w:rsidR="00C91206" w:rsidRPr="001D4587">
        <w:t xml:space="preserve"> un šo emisiju </w:t>
      </w:r>
      <w:r w:rsidR="00A17B66" w:rsidRPr="001D4587">
        <w:t xml:space="preserve">samazinājuma īpatsvaru </w:t>
      </w:r>
      <w:r w:rsidR="00C91206" w:rsidRPr="001D4587">
        <w:t>kopējā SEG emisiju apjomā.</w:t>
      </w:r>
    </w:p>
    <w:p w:rsidR="00C91206" w:rsidRPr="001D4587" w:rsidRDefault="00C91206" w:rsidP="003D627E">
      <w:pPr>
        <w:ind w:firstLine="567"/>
        <w:jc w:val="both"/>
      </w:pPr>
      <w:r w:rsidRPr="001D4587">
        <w:t xml:space="preserve">Latvija īpaši uzsver, ka SEG emisiju samazināšanas saistību ambīcijas palielināšana ir </w:t>
      </w:r>
      <w:r w:rsidR="00A17B66" w:rsidRPr="001D4587">
        <w:t xml:space="preserve">jāveic </w:t>
      </w:r>
      <w:r w:rsidRPr="001D4587">
        <w:t xml:space="preserve">ne tikai Eiropas Savienības </w:t>
      </w:r>
      <w:r w:rsidR="00A17B66" w:rsidRPr="001D4587">
        <w:t>dalīb</w:t>
      </w:r>
      <w:r w:rsidRPr="001D4587">
        <w:t xml:space="preserve">valstīm, bet </w:t>
      </w:r>
      <w:r w:rsidR="00A17B66" w:rsidRPr="001D4587">
        <w:t xml:space="preserve">arī citām valstīm. </w:t>
      </w:r>
      <w:r w:rsidRPr="001D4587">
        <w:t>Tādējādi ir ļoti svarīgas tieši starptautiskās sarunas attiecībā uz SEG emisiju samazināšanas iespējām un saistībām.</w:t>
      </w:r>
    </w:p>
    <w:p w:rsidR="003D627E" w:rsidRPr="001D4587" w:rsidRDefault="003D627E" w:rsidP="003D627E">
      <w:pPr>
        <w:pStyle w:val="ListParagraph"/>
        <w:ind w:left="0" w:firstLine="567"/>
        <w:contextualSpacing w:val="0"/>
        <w:jc w:val="both"/>
        <w:rPr>
          <w:i/>
        </w:rPr>
      </w:pPr>
    </w:p>
    <w:p w:rsidR="00C91206" w:rsidRPr="001D4587" w:rsidRDefault="003D252D" w:rsidP="003D627E">
      <w:pPr>
        <w:pStyle w:val="ListParagraph"/>
        <w:ind w:left="0" w:firstLine="567"/>
        <w:contextualSpacing w:val="0"/>
        <w:jc w:val="both"/>
        <w:rPr>
          <w:i/>
        </w:rPr>
      </w:pPr>
      <w:r w:rsidRPr="001D4587">
        <w:rPr>
          <w:i/>
        </w:rPr>
        <w:t xml:space="preserve">2) </w:t>
      </w:r>
      <w:r w:rsidR="00C91206" w:rsidRPr="001D4587">
        <w:rPr>
          <w:i/>
        </w:rPr>
        <w:t xml:space="preserve">Vai Jūs plānojat jūnija Bonna sesijā, </w:t>
      </w:r>
      <w:r w:rsidR="00466939" w:rsidRPr="001D4587">
        <w:rPr>
          <w:i/>
        </w:rPr>
        <w:t xml:space="preserve">paust viedokli par to, ka plānojat savā dalībvalstī veikt darbības </w:t>
      </w:r>
      <w:r w:rsidR="00C91206" w:rsidRPr="001D4587">
        <w:rPr>
          <w:i/>
        </w:rPr>
        <w:t>ambīciju palielināšanai pirms 2020.gada?</w:t>
      </w:r>
    </w:p>
    <w:p w:rsidR="00C91206" w:rsidRPr="001D4587" w:rsidRDefault="00A17B66" w:rsidP="003D627E">
      <w:pPr>
        <w:ind w:firstLine="567"/>
        <w:jc w:val="both"/>
      </w:pPr>
      <w:r w:rsidRPr="001D4587">
        <w:t xml:space="preserve">Bonnas sesijā jūnijā </w:t>
      </w:r>
      <w:r w:rsidR="00C91206" w:rsidRPr="001D4587">
        <w:t xml:space="preserve">Latvija neplāno </w:t>
      </w:r>
      <w:r w:rsidRPr="001D4587">
        <w:t xml:space="preserve">paust </w:t>
      </w:r>
      <w:r w:rsidR="00C91206" w:rsidRPr="001D4587">
        <w:t xml:space="preserve">viedokli par Latvijas </w:t>
      </w:r>
      <w:r w:rsidR="00C91206" w:rsidRPr="001D4587">
        <w:rPr>
          <w:i/>
        </w:rPr>
        <w:t>QELRC</w:t>
      </w:r>
      <w:r w:rsidR="00C91206" w:rsidRPr="001D4587">
        <w:t xml:space="preserve"> ambīciju </w:t>
      </w:r>
      <w:r w:rsidRPr="001D4587">
        <w:t>palielināšanu</w:t>
      </w:r>
      <w:r w:rsidR="00C91206" w:rsidRPr="001D4587">
        <w:t>. Latvija uzskata, ka šādam viedoklim jābūt kopējam ES, tās dalībvalstīm un Islandei, īpaši</w:t>
      </w:r>
      <w:r w:rsidRPr="001D4587">
        <w:t>,</w:t>
      </w:r>
      <w:r w:rsidR="00C91206" w:rsidRPr="001D4587">
        <w:t xml:space="preserve"> ņemot vērā apņemšanos kopīgai saistību izpildei. Latvija uzskata, ka ES, tās dalībvalstīm un Islandei ir jāpauž kop</w:t>
      </w:r>
      <w:r w:rsidRPr="001D4587">
        <w:t>ēj</w:t>
      </w:r>
      <w:r w:rsidR="00C91206" w:rsidRPr="001D4587">
        <w:t xml:space="preserve">s viedoklis par iespējām un apņemšanos savu kopīgo </w:t>
      </w:r>
      <w:r w:rsidR="00C91206" w:rsidRPr="001D4587">
        <w:rPr>
          <w:i/>
        </w:rPr>
        <w:t>QELRC</w:t>
      </w:r>
      <w:r w:rsidR="00C91206" w:rsidRPr="001D4587">
        <w:t xml:space="preserve"> ambīciju palielināšanā.</w:t>
      </w:r>
    </w:p>
    <w:p w:rsidR="0028652C" w:rsidRPr="001D4587" w:rsidRDefault="0028652C" w:rsidP="003D627E">
      <w:pPr>
        <w:ind w:firstLine="567"/>
        <w:jc w:val="both"/>
      </w:pPr>
      <w:r w:rsidRPr="001D4587">
        <w:t>Šobrīd</w:t>
      </w:r>
      <w:r w:rsidR="00663F16" w:rsidRPr="001D4587">
        <w:t xml:space="preserve"> nav iespējams pieņemt lēmumu vai pozīciju par iespējām palielināt</w:t>
      </w:r>
      <w:r w:rsidR="00C91206" w:rsidRPr="001D4587">
        <w:t xml:space="preserve"> tieši</w:t>
      </w:r>
      <w:r w:rsidR="00663F16" w:rsidRPr="001D4587">
        <w:t xml:space="preserve"> </w:t>
      </w:r>
      <w:r w:rsidR="00C7426C" w:rsidRPr="001D4587">
        <w:t xml:space="preserve">Latvijai noteiktās SEG emisiju samazināšanas saistības kopīgo saistību izpildes ietvaros, tādējādi </w:t>
      </w:r>
      <w:r w:rsidR="00667CFD" w:rsidRPr="001D4587">
        <w:t xml:space="preserve">lemjot par iespēju </w:t>
      </w:r>
      <w:r w:rsidR="00C7426C" w:rsidRPr="001D4587">
        <w:t xml:space="preserve">ES, tās dalībvalstu un Islandes </w:t>
      </w:r>
      <w:r w:rsidR="00C7426C" w:rsidRPr="001D4587">
        <w:rPr>
          <w:i/>
        </w:rPr>
        <w:t>QELRC</w:t>
      </w:r>
      <w:r w:rsidR="00C7426C" w:rsidRPr="001D4587">
        <w:t xml:space="preserve"> ambīciju palielināšan</w:t>
      </w:r>
      <w:r w:rsidR="00667CFD" w:rsidRPr="001D4587">
        <w:t>ai, ir jāņem vērā vairāki aspekti</w:t>
      </w:r>
      <w:r w:rsidR="00663F16" w:rsidRPr="001D4587">
        <w:t>:</w:t>
      </w:r>
    </w:p>
    <w:p w:rsidR="00663F16" w:rsidRPr="001D4587" w:rsidRDefault="00663F16" w:rsidP="003D627E">
      <w:pPr>
        <w:pStyle w:val="ListParagraph"/>
        <w:numPr>
          <w:ilvl w:val="0"/>
          <w:numId w:val="37"/>
        </w:numPr>
        <w:ind w:left="0" w:firstLine="567"/>
        <w:contextualSpacing w:val="0"/>
        <w:jc w:val="both"/>
      </w:pPr>
      <w:r w:rsidRPr="001D4587">
        <w:t xml:space="preserve">2030.gada </w:t>
      </w:r>
      <w:r w:rsidR="00C7426C" w:rsidRPr="001D4587">
        <w:t xml:space="preserve">SEG </w:t>
      </w:r>
      <w:r w:rsidRPr="001D4587">
        <w:t>emisiju samazināšanas kopējais mērķis un katras E</w:t>
      </w:r>
      <w:r w:rsidR="00C7426C" w:rsidRPr="001D4587">
        <w:t>S</w:t>
      </w:r>
      <w:r w:rsidRPr="001D4587">
        <w:t xml:space="preserve"> dalībvalsts individuālais mērķis nav noteikts;</w:t>
      </w:r>
    </w:p>
    <w:p w:rsidR="00663F16" w:rsidRPr="001D4587" w:rsidRDefault="00C7426C" w:rsidP="003D627E">
      <w:pPr>
        <w:pStyle w:val="ListParagraph"/>
        <w:numPr>
          <w:ilvl w:val="0"/>
          <w:numId w:val="37"/>
        </w:numPr>
        <w:ind w:left="0" w:firstLine="567"/>
        <w:contextualSpacing w:val="0"/>
        <w:jc w:val="both"/>
      </w:pPr>
      <w:r w:rsidRPr="001D4587">
        <w:lastRenderedPageBreak/>
        <w:t xml:space="preserve">Ir nepieciešams </w:t>
      </w:r>
      <w:r w:rsidR="00663F16" w:rsidRPr="001D4587">
        <w:t>nodrošināt enerģētisko neatkarību un pārtikas drošību</w:t>
      </w:r>
      <w:r w:rsidRPr="001D4587">
        <w:t>, kas</w:t>
      </w:r>
      <w:r w:rsidR="00663F16" w:rsidRPr="001D4587">
        <w:t xml:space="preserve"> var būtiski ietekmēt valsts SEG emisiju apjomu, kas savukārt būtiski ietekmēs valsts </w:t>
      </w:r>
      <w:r w:rsidRPr="001D4587">
        <w:rPr>
          <w:i/>
        </w:rPr>
        <w:t>QELRC</w:t>
      </w:r>
      <w:r w:rsidR="00663F16" w:rsidRPr="001D4587">
        <w:t xml:space="preserve"> izpildi;</w:t>
      </w:r>
    </w:p>
    <w:p w:rsidR="00663F16" w:rsidRPr="001D4587" w:rsidRDefault="00C7426C" w:rsidP="003D627E">
      <w:pPr>
        <w:pStyle w:val="ListParagraph"/>
        <w:numPr>
          <w:ilvl w:val="0"/>
          <w:numId w:val="37"/>
        </w:numPr>
        <w:ind w:left="0" w:firstLine="567"/>
        <w:contextualSpacing w:val="0"/>
        <w:jc w:val="both"/>
      </w:pPr>
      <w:r w:rsidRPr="001D4587">
        <w:t>Nav pamatoti n</w:t>
      </w:r>
      <w:r w:rsidR="00663F16" w:rsidRPr="001D4587">
        <w:t xml:space="preserve">oteikt </w:t>
      </w:r>
      <w:r w:rsidRPr="001D4587">
        <w:t>SEG emisiju samazināšanas</w:t>
      </w:r>
      <w:r w:rsidR="00663F16" w:rsidRPr="001D4587">
        <w:t xml:space="preserve"> ambīciju palielināšanas </w:t>
      </w:r>
      <w:r w:rsidRPr="001D4587">
        <w:t>potenciālu</w:t>
      </w:r>
      <w:r w:rsidR="00663F16" w:rsidRPr="001D4587">
        <w:t xml:space="preserve"> saskaņā ar vēsturiskajām SEG emisiju izmaiņām pēc bāzes 1990.gada, īpaši ņemot vērā</w:t>
      </w:r>
      <w:r w:rsidR="00667CFD" w:rsidRPr="001D4587">
        <w:t xml:space="preserve"> rūpniecības, būvniecības un lauksaimniecības attīstība pēc 2005.gada, ko nosaka kopējā valstu attīstības līmeņa un dzīves līmeņa paaugstināšanās.</w:t>
      </w:r>
    </w:p>
    <w:p w:rsidR="00C91206" w:rsidRPr="001D4587" w:rsidRDefault="00C91206" w:rsidP="003D627E">
      <w:pPr>
        <w:pStyle w:val="ListParagraph"/>
        <w:ind w:left="0" w:firstLine="567"/>
        <w:contextualSpacing w:val="0"/>
        <w:jc w:val="both"/>
      </w:pPr>
    </w:p>
    <w:p w:rsidR="00B43543" w:rsidRPr="001D4587" w:rsidRDefault="003D252D" w:rsidP="003D627E">
      <w:pPr>
        <w:pStyle w:val="ListParagraph"/>
        <w:ind w:left="0" w:firstLine="567"/>
        <w:contextualSpacing w:val="0"/>
        <w:jc w:val="both"/>
        <w:rPr>
          <w:b/>
        </w:rPr>
      </w:pPr>
      <w:r w:rsidRPr="001D4587">
        <w:rPr>
          <w:b/>
        </w:rPr>
        <w:t xml:space="preserve">2.2. </w:t>
      </w:r>
      <w:proofErr w:type="spellStart"/>
      <w:r w:rsidR="00317213" w:rsidRPr="001D4587">
        <w:rPr>
          <w:b/>
        </w:rPr>
        <w:t>Durb</w:t>
      </w:r>
      <w:r w:rsidR="00E0031B" w:rsidRPr="001D4587">
        <w:rPr>
          <w:b/>
        </w:rPr>
        <w:t>ā</w:t>
      </w:r>
      <w:r w:rsidR="00317213" w:rsidRPr="001D4587">
        <w:rPr>
          <w:b/>
        </w:rPr>
        <w:t>nas</w:t>
      </w:r>
      <w:proofErr w:type="spellEnd"/>
      <w:r w:rsidR="00317213" w:rsidRPr="001D4587">
        <w:rPr>
          <w:b/>
        </w:rPr>
        <w:t xml:space="preserve"> platformas darba grupa</w:t>
      </w:r>
      <w:r w:rsidR="00A54A7B" w:rsidRPr="001D4587">
        <w:rPr>
          <w:b/>
        </w:rPr>
        <w:t xml:space="preserve"> - vienošanās par SEG emisiju samazināšanas saistībām pēc 2020.gada (2015.gada vienošanās)</w:t>
      </w:r>
      <w:r w:rsidR="00F33FF3" w:rsidRPr="001D4587">
        <w:rPr>
          <w:b/>
        </w:rPr>
        <w:t>.</w:t>
      </w:r>
    </w:p>
    <w:p w:rsidR="00E65BA2" w:rsidRPr="001D4587" w:rsidRDefault="00F7525A" w:rsidP="003D627E">
      <w:pPr>
        <w:pStyle w:val="ListParagraph"/>
        <w:tabs>
          <w:tab w:val="left" w:pos="0"/>
        </w:tabs>
        <w:ind w:left="0" w:firstLine="567"/>
        <w:jc w:val="both"/>
        <w:rPr>
          <w:rStyle w:val="CommentReference"/>
          <w:sz w:val="24"/>
          <w:szCs w:val="24"/>
        </w:rPr>
      </w:pPr>
      <w:r w:rsidRPr="001D4587">
        <w:t xml:space="preserve">ANO Vispārējās konvencijas par klimata pārmaiņām pušu konferencē </w:t>
      </w:r>
      <w:r w:rsidR="00B70F5B" w:rsidRPr="001D4587">
        <w:rPr>
          <w:rStyle w:val="PageNumber"/>
        </w:rPr>
        <w:t xml:space="preserve">(turpmāk – </w:t>
      </w:r>
      <w:r w:rsidR="00E65BA2" w:rsidRPr="001D4587">
        <w:rPr>
          <w:rStyle w:val="CommentReference"/>
          <w:sz w:val="24"/>
          <w:szCs w:val="24"/>
        </w:rPr>
        <w:t>COP</w:t>
      </w:r>
      <w:r w:rsidR="00B70F5B" w:rsidRPr="001D4587">
        <w:rPr>
          <w:rStyle w:val="CommentReference"/>
          <w:sz w:val="24"/>
          <w:szCs w:val="24"/>
        </w:rPr>
        <w:t>)</w:t>
      </w:r>
      <w:r w:rsidR="00E65BA2" w:rsidRPr="001D4587">
        <w:rPr>
          <w:rStyle w:val="CommentReference"/>
          <w:sz w:val="24"/>
          <w:szCs w:val="24"/>
        </w:rPr>
        <w:t xml:space="preserve"> </w:t>
      </w:r>
      <w:proofErr w:type="spellStart"/>
      <w:r w:rsidR="00B70F5B" w:rsidRPr="001D4587">
        <w:rPr>
          <w:rStyle w:val="CommentReference"/>
          <w:sz w:val="24"/>
          <w:szCs w:val="24"/>
        </w:rPr>
        <w:t>Durbānā</w:t>
      </w:r>
      <w:proofErr w:type="spellEnd"/>
      <w:r w:rsidR="00B70F5B" w:rsidRPr="001D4587">
        <w:rPr>
          <w:rStyle w:val="CommentReference"/>
          <w:sz w:val="24"/>
          <w:szCs w:val="24"/>
        </w:rPr>
        <w:t xml:space="preserve"> </w:t>
      </w:r>
      <w:r w:rsidR="00E65BA2" w:rsidRPr="001D4587">
        <w:rPr>
          <w:rStyle w:val="CommentReference"/>
          <w:sz w:val="24"/>
          <w:szCs w:val="24"/>
        </w:rPr>
        <w:t>(2011) tika izveidota paplašinātās rīcības platforma (</w:t>
      </w:r>
      <w:proofErr w:type="spellStart"/>
      <w:r w:rsidR="00E65BA2" w:rsidRPr="001D4587">
        <w:rPr>
          <w:rStyle w:val="CommentReference"/>
          <w:sz w:val="24"/>
          <w:szCs w:val="24"/>
        </w:rPr>
        <w:t>Durban</w:t>
      </w:r>
      <w:proofErr w:type="spellEnd"/>
      <w:r w:rsidR="00E65BA2" w:rsidRPr="001D4587">
        <w:rPr>
          <w:rStyle w:val="CommentReference"/>
          <w:sz w:val="24"/>
          <w:szCs w:val="24"/>
        </w:rPr>
        <w:t xml:space="preserve"> </w:t>
      </w:r>
      <w:proofErr w:type="spellStart"/>
      <w:r w:rsidR="00E65BA2" w:rsidRPr="001D4587">
        <w:rPr>
          <w:rStyle w:val="CommentReference"/>
          <w:sz w:val="24"/>
          <w:szCs w:val="24"/>
        </w:rPr>
        <w:t>Platform</w:t>
      </w:r>
      <w:proofErr w:type="spellEnd"/>
      <w:r w:rsidR="00E65BA2" w:rsidRPr="001D4587">
        <w:rPr>
          <w:rStyle w:val="CommentReference"/>
          <w:sz w:val="24"/>
          <w:szCs w:val="24"/>
        </w:rPr>
        <w:t xml:space="preserve"> </w:t>
      </w:r>
      <w:proofErr w:type="spellStart"/>
      <w:r w:rsidR="00E65BA2" w:rsidRPr="001D4587">
        <w:rPr>
          <w:rStyle w:val="CommentReference"/>
          <w:sz w:val="24"/>
          <w:szCs w:val="24"/>
        </w:rPr>
        <w:t>for</w:t>
      </w:r>
      <w:proofErr w:type="spellEnd"/>
      <w:r w:rsidR="00E65BA2" w:rsidRPr="001D4587">
        <w:rPr>
          <w:rStyle w:val="CommentReference"/>
          <w:sz w:val="24"/>
          <w:szCs w:val="24"/>
        </w:rPr>
        <w:t xml:space="preserve"> </w:t>
      </w:r>
      <w:proofErr w:type="spellStart"/>
      <w:r w:rsidR="00E65BA2" w:rsidRPr="001D4587">
        <w:rPr>
          <w:rStyle w:val="CommentReference"/>
          <w:sz w:val="24"/>
          <w:szCs w:val="24"/>
        </w:rPr>
        <w:t>Enhanced</w:t>
      </w:r>
      <w:proofErr w:type="spellEnd"/>
      <w:r w:rsidR="00E65BA2" w:rsidRPr="001D4587">
        <w:rPr>
          <w:rStyle w:val="CommentReference"/>
          <w:sz w:val="24"/>
          <w:szCs w:val="24"/>
        </w:rPr>
        <w:t xml:space="preserve"> </w:t>
      </w:r>
      <w:proofErr w:type="spellStart"/>
      <w:r w:rsidR="00E65BA2" w:rsidRPr="001D4587">
        <w:rPr>
          <w:rStyle w:val="CommentReference"/>
          <w:sz w:val="24"/>
          <w:szCs w:val="24"/>
        </w:rPr>
        <w:t>Action-</w:t>
      </w:r>
      <w:proofErr w:type="spellEnd"/>
      <w:r w:rsidR="00E65BA2" w:rsidRPr="001D4587">
        <w:rPr>
          <w:rStyle w:val="CommentReference"/>
          <w:sz w:val="24"/>
          <w:szCs w:val="24"/>
        </w:rPr>
        <w:t xml:space="preserve"> ADP), un Puses vienojās, ka darbs tās ietvaros notiks šādos divos virzienos:</w:t>
      </w:r>
    </w:p>
    <w:p w:rsidR="00AF0C7F" w:rsidRPr="001D4587" w:rsidRDefault="00E65BA2" w:rsidP="003D627E">
      <w:pPr>
        <w:pStyle w:val="ListParagraph"/>
        <w:numPr>
          <w:ilvl w:val="0"/>
          <w:numId w:val="48"/>
        </w:numPr>
        <w:tabs>
          <w:tab w:val="left" w:pos="0"/>
        </w:tabs>
        <w:ind w:left="0" w:firstLine="567"/>
        <w:contextualSpacing w:val="0"/>
        <w:jc w:val="both"/>
        <w:rPr>
          <w:rStyle w:val="CommentReference"/>
          <w:sz w:val="24"/>
          <w:szCs w:val="24"/>
        </w:rPr>
      </w:pPr>
      <w:r w:rsidRPr="001D4587">
        <w:rPr>
          <w:rStyle w:val="CommentReference"/>
          <w:sz w:val="24"/>
          <w:szCs w:val="24"/>
        </w:rPr>
        <w:t>līdz 2015.gadam izveidot starptautisku Pusēm saistošu nolīgumu, kas nosaka starptautisko klimata režīmu pēc 2020.gada;</w:t>
      </w:r>
    </w:p>
    <w:p w:rsidR="00AF0C7F" w:rsidRPr="001D4587" w:rsidRDefault="00E65BA2" w:rsidP="003D627E">
      <w:pPr>
        <w:pStyle w:val="ListParagraph"/>
        <w:numPr>
          <w:ilvl w:val="0"/>
          <w:numId w:val="48"/>
        </w:numPr>
        <w:tabs>
          <w:tab w:val="left" w:pos="0"/>
        </w:tabs>
        <w:ind w:left="0" w:firstLine="567"/>
        <w:contextualSpacing w:val="0"/>
        <w:jc w:val="both"/>
        <w:rPr>
          <w:rStyle w:val="CommentReference"/>
          <w:sz w:val="24"/>
          <w:szCs w:val="24"/>
        </w:rPr>
      </w:pPr>
      <w:r w:rsidRPr="001D4587">
        <w:rPr>
          <w:rStyle w:val="CommentReference"/>
          <w:sz w:val="24"/>
          <w:szCs w:val="24"/>
        </w:rPr>
        <w:t>vienoties par emisiju samazināšanas mērķu (</w:t>
      </w:r>
      <w:proofErr w:type="spellStart"/>
      <w:r w:rsidRPr="001D4587">
        <w:rPr>
          <w:rStyle w:val="CommentReference"/>
          <w:sz w:val="24"/>
          <w:szCs w:val="24"/>
        </w:rPr>
        <w:t>mitigation</w:t>
      </w:r>
      <w:proofErr w:type="spellEnd"/>
      <w:r w:rsidRPr="001D4587">
        <w:rPr>
          <w:rStyle w:val="CommentReference"/>
          <w:sz w:val="24"/>
          <w:szCs w:val="24"/>
        </w:rPr>
        <w:t xml:space="preserve"> </w:t>
      </w:r>
      <w:proofErr w:type="spellStart"/>
      <w:r w:rsidRPr="001D4587">
        <w:rPr>
          <w:rStyle w:val="CommentReference"/>
          <w:sz w:val="24"/>
          <w:szCs w:val="24"/>
        </w:rPr>
        <w:t>ambitions</w:t>
      </w:r>
      <w:proofErr w:type="spellEnd"/>
      <w:r w:rsidRPr="001D4587">
        <w:rPr>
          <w:rStyle w:val="CommentReference"/>
          <w:sz w:val="24"/>
          <w:szCs w:val="24"/>
        </w:rPr>
        <w:t>) palielināšanu periodam pirms 2020.gada.</w:t>
      </w:r>
    </w:p>
    <w:p w:rsidR="004D7B75" w:rsidRPr="001D4587" w:rsidRDefault="00E65BA2" w:rsidP="003D627E">
      <w:pPr>
        <w:ind w:firstLine="567"/>
        <w:jc w:val="both"/>
      </w:pPr>
      <w:proofErr w:type="spellStart"/>
      <w:r w:rsidRPr="001D4587">
        <w:rPr>
          <w:rStyle w:val="CommentReference"/>
          <w:sz w:val="24"/>
          <w:szCs w:val="24"/>
        </w:rPr>
        <w:t>Durbānas</w:t>
      </w:r>
      <w:proofErr w:type="spellEnd"/>
      <w:r w:rsidRPr="001D4587">
        <w:rPr>
          <w:rStyle w:val="CommentReference"/>
          <w:sz w:val="24"/>
          <w:szCs w:val="24"/>
        </w:rPr>
        <w:t xml:space="preserve"> paplašinātās rīcības platforma (ADP), par kuras uzdevumiem vienojušās valstis, paredz strādāt pie ambīciju palielināšanas, īpaši ņemot vērā globālās klimata tendences un SEG emisiju trajektoriju, kas liecina par nepietiekamiem pasaules valstu kopīgajiem emisiju samazināj</w:t>
      </w:r>
      <w:r w:rsidR="00E5462B" w:rsidRPr="001D4587">
        <w:rPr>
          <w:rStyle w:val="CommentReference"/>
          <w:sz w:val="24"/>
          <w:szCs w:val="24"/>
        </w:rPr>
        <w:t xml:space="preserve">uma centieniem. Latvijai tas nenozīmē citas saistības, kā tās, par ko tā ir jau vienojusies Dohas </w:t>
      </w:r>
      <w:r w:rsidR="00037722" w:rsidRPr="001D4587">
        <w:rPr>
          <w:rStyle w:val="CommentReference"/>
          <w:sz w:val="24"/>
          <w:szCs w:val="24"/>
        </w:rPr>
        <w:t>COP</w:t>
      </w:r>
      <w:r w:rsidR="00E5462B" w:rsidRPr="001D4587">
        <w:rPr>
          <w:rStyle w:val="CommentReference"/>
          <w:sz w:val="24"/>
          <w:szCs w:val="24"/>
        </w:rPr>
        <w:t xml:space="preserve"> .</w:t>
      </w:r>
      <w:r w:rsidR="00E736F4" w:rsidRPr="001D4587">
        <w:t xml:space="preserve">Bonnas sesijā jūnijā turpināsies vairākus gadus atpakaļ uzsāktās un š.g. martā turpinātās sarunas par 2015.gadā panākamās vienošanās </w:t>
      </w:r>
      <w:r w:rsidR="00962455" w:rsidRPr="001D4587">
        <w:t xml:space="preserve">(turpmāk – 2015.gada vienošanās) </w:t>
      </w:r>
      <w:r w:rsidR="00E736F4" w:rsidRPr="001D4587">
        <w:t>jautājumiem.</w:t>
      </w:r>
      <w:r w:rsidR="00962455" w:rsidRPr="001D4587">
        <w:t xml:space="preserve"> ADP sesijā martā tika diskutēts par potenciālajiem 2015.gada vienošanās elementiem, t.sk. par taisnīgumu un ambīcijām, aktivitāšu caurskatāmību un atbalstu, nacionāli nosakāmajiem ieguldījumiem u.c. Paralēli notika ADP tehnisko ekspertu sanāksmes par atjaunojamo energoresursu un energoefektivitātes (EE) jautājumiem. Marta s</w:t>
      </w:r>
      <w:r w:rsidR="00E736F4" w:rsidRPr="001D4587">
        <w:t>anāksmes noslēgumā tika nolemts turpināt darbu ADP tehnisko ekspertu sanāksmju formātā (t.sk. jūnijā plānotās sesijas ietvaros); izveidot ADP līdzpriekšsēdētāju vadītu kontaktgrupu 3.punkta (1/CP.17  lēmuma visu elementu ieviešana) turpmākai pārrunāšanai; rudenī organizēt papildus ADP sesiju (Bonnā).</w:t>
      </w:r>
    </w:p>
    <w:p w:rsidR="00962455" w:rsidRPr="001D4587" w:rsidRDefault="00952AFA" w:rsidP="003D627E">
      <w:pPr>
        <w:ind w:firstLine="567"/>
        <w:jc w:val="both"/>
      </w:pPr>
      <w:r w:rsidRPr="001D4587">
        <w:t>Sarunu centrālajam elementam Bonnas jūnija sesijā vajadzētu būt iepriekš</w:t>
      </w:r>
      <w:r w:rsidR="00EE6FCD" w:rsidRPr="001D4587">
        <w:t xml:space="preserve"> </w:t>
      </w:r>
      <w:r w:rsidRPr="001D4587">
        <w:t xml:space="preserve">iesniedzamās informācijas parametru definēšanai nacionāli nosakāmajiem ieguldījumiem, kas Pusēm jādara zināmas 2015.gada I ceturksnī. Svarīgi, lai tiktu definēti iespējami precīzi nosacījumi un tajā pašā laikā netiktu atbaidīti potenciālie šādas informācijas sniedzēji. </w:t>
      </w:r>
      <w:r w:rsidR="00677968" w:rsidRPr="001D4587">
        <w:t xml:space="preserve">Tāpat būtiski arī atrast veidu kā konkretizēt un formalizēt sarunu procesu par 2015.gada vienošanās tekstu, lai tā sākotnējās teksts būtu saprātīgi īss nevis vairāku simtu lapaspušu garumā. </w:t>
      </w:r>
      <w:r w:rsidRPr="001D4587">
        <w:t>Tomēr pastāv bažas, ka sarunu uzmanība varētu tikt arī novērsta uz citiem mazāk svarīgiem</w:t>
      </w:r>
      <w:r w:rsidR="00E61476" w:rsidRPr="001D4587">
        <w:t xml:space="preserve"> vai procesuāliem</w:t>
      </w:r>
      <w:r w:rsidRPr="001D4587">
        <w:t xml:space="preserve"> jautājumiem.</w:t>
      </w:r>
    </w:p>
    <w:p w:rsidR="00952AFA" w:rsidRPr="001D4587" w:rsidRDefault="00952AFA" w:rsidP="003D627E">
      <w:pPr>
        <w:ind w:firstLine="567"/>
        <w:jc w:val="both"/>
      </w:pPr>
      <w:r w:rsidRPr="001D4587">
        <w:t xml:space="preserve">Latvijas </w:t>
      </w:r>
      <w:r w:rsidR="00CA6D89" w:rsidRPr="001D4587">
        <w:t xml:space="preserve">īpašā </w:t>
      </w:r>
      <w:r w:rsidRPr="001D4587">
        <w:t xml:space="preserve">interese ir </w:t>
      </w:r>
      <w:r w:rsidR="00677968" w:rsidRPr="001D4587">
        <w:t xml:space="preserve">Bonnas sesijā jūnijā </w:t>
      </w:r>
      <w:r w:rsidRPr="001D4587">
        <w:t>panākt iespējami lielu sarunu progresu, jo 2015.gada I pusē, kad Latvija būs ES Prezidentūra, jau būtu jānotiek sarunām par 2015.gada vienošanās tekstu, lai, vēlākais, 2015.gada otrajā pusē Pusēm būtu iespējams panākt vienošanos par visu.</w:t>
      </w:r>
    </w:p>
    <w:p w:rsidR="00712A40" w:rsidRPr="001D4587" w:rsidRDefault="00712A40" w:rsidP="003D627E">
      <w:pPr>
        <w:ind w:firstLine="567"/>
        <w:jc w:val="both"/>
      </w:pPr>
      <w:r w:rsidRPr="001D4587">
        <w:t>Bonnas sesija jūnijā no ES puses arī varētu tikt izmantota, lai uzturētu un virzītu uz priekšu jautājumu par</w:t>
      </w:r>
      <w:r w:rsidR="000B1949" w:rsidRPr="001D4587">
        <w:t xml:space="preserve"> </w:t>
      </w:r>
      <w:proofErr w:type="spellStart"/>
      <w:r w:rsidR="000B1949" w:rsidRPr="001D4587">
        <w:t>fluoroglekļu</w:t>
      </w:r>
      <w:proofErr w:type="spellEnd"/>
      <w:r w:rsidR="000B1949" w:rsidRPr="001D4587">
        <w:t xml:space="preserve"> (</w:t>
      </w:r>
      <w:proofErr w:type="spellStart"/>
      <w:r w:rsidR="000B1949" w:rsidRPr="001D4587">
        <w:t>fluorētās</w:t>
      </w:r>
      <w:proofErr w:type="spellEnd"/>
      <w:r w:rsidR="000B1949" w:rsidRPr="001D4587">
        <w:t xml:space="preserve"> gāzes)</w:t>
      </w:r>
      <w:r w:rsidR="007030B9" w:rsidRPr="001D4587">
        <w:t xml:space="preserve"> </w:t>
      </w:r>
      <w:r w:rsidRPr="001D4587">
        <w:t xml:space="preserve">noregulējumu Monreālas protokolā nevis Kioto protokolā. Ņemot vērā Latvijā jau izveidoto HFC pārvaldības sistēmu, šāda pieeja pilnībā atbilst Latvijas interesēm un Latvija varētu būt gatava savu iespēju robežās palīdzēt t.s. </w:t>
      </w:r>
      <w:proofErr w:type="spellStart"/>
      <w:r w:rsidRPr="001D4587">
        <w:rPr>
          <w:i/>
        </w:rPr>
        <w:t>outreach</w:t>
      </w:r>
      <w:proofErr w:type="spellEnd"/>
      <w:r w:rsidRPr="001D4587">
        <w:t xml:space="preserve"> aktivitātēs ar bijušā PSRS bloka valstīm. </w:t>
      </w:r>
    </w:p>
    <w:p w:rsidR="00E736F4" w:rsidRPr="001D4587" w:rsidRDefault="00CA6D89" w:rsidP="003D627E">
      <w:pPr>
        <w:ind w:firstLine="567"/>
        <w:jc w:val="both"/>
      </w:pPr>
      <w:r w:rsidRPr="001D4587">
        <w:t xml:space="preserve">Papildus Bonnas sesijai kontekstā ar 2015.gada vienošanos šobrīd ļoti aktuāls ir jautājums par gatavošanos t.s. </w:t>
      </w:r>
      <w:proofErr w:type="spellStart"/>
      <w:r w:rsidRPr="001D4587">
        <w:t>Ban</w:t>
      </w:r>
      <w:proofErr w:type="spellEnd"/>
      <w:r w:rsidRPr="001D4587">
        <w:t xml:space="preserve"> </w:t>
      </w:r>
      <w:proofErr w:type="spellStart"/>
      <w:r w:rsidRPr="001D4587">
        <w:t>Ki</w:t>
      </w:r>
      <w:proofErr w:type="spellEnd"/>
      <w:r w:rsidRPr="001D4587">
        <w:t xml:space="preserve"> </w:t>
      </w:r>
      <w:proofErr w:type="spellStart"/>
      <w:r w:rsidRPr="001D4587">
        <w:t>Moon</w:t>
      </w:r>
      <w:proofErr w:type="spellEnd"/>
      <w:r w:rsidRPr="001D4587">
        <w:t xml:space="preserve"> samitam 2014.gada septembrī. Bonnas sesijā </w:t>
      </w:r>
      <w:r w:rsidRPr="001D4587">
        <w:lastRenderedPageBreak/>
        <w:t>varētu skaidrāk izkristalizēties šī pasākuma potenciālais devums virzībā uz 2015.gada vienošanās panākšanu.</w:t>
      </w:r>
    </w:p>
    <w:p w:rsidR="00712A40" w:rsidRPr="001D4587" w:rsidRDefault="00712A40" w:rsidP="003D627E">
      <w:pPr>
        <w:ind w:firstLine="567"/>
        <w:jc w:val="both"/>
      </w:pPr>
    </w:p>
    <w:p w:rsidR="00D807C9" w:rsidRPr="001D4587" w:rsidRDefault="003D252D" w:rsidP="003D627E">
      <w:pPr>
        <w:pStyle w:val="ListParagraph"/>
        <w:ind w:left="0" w:firstLine="567"/>
        <w:contextualSpacing w:val="0"/>
        <w:jc w:val="both"/>
        <w:rPr>
          <w:b/>
        </w:rPr>
      </w:pPr>
      <w:r w:rsidRPr="001D4587">
        <w:rPr>
          <w:b/>
        </w:rPr>
        <w:t xml:space="preserve">3. </w:t>
      </w:r>
      <w:r w:rsidR="00D807C9" w:rsidRPr="001D4587">
        <w:rPr>
          <w:b/>
        </w:rPr>
        <w:t>Klimata un enerģētikas p</w:t>
      </w:r>
      <w:r w:rsidR="00F86A6A" w:rsidRPr="001D4587">
        <w:rPr>
          <w:b/>
        </w:rPr>
        <w:t>olitikas</w:t>
      </w:r>
      <w:r w:rsidR="00D807C9" w:rsidRPr="001D4587">
        <w:rPr>
          <w:b/>
        </w:rPr>
        <w:t xml:space="preserve"> ietvars 2030.gadam</w:t>
      </w:r>
      <w:r w:rsidR="00CF66A1" w:rsidRPr="001D4587">
        <w:rPr>
          <w:b/>
        </w:rPr>
        <w:t xml:space="preserve"> (KEP2030)</w:t>
      </w:r>
      <w:r w:rsidR="00D807C9" w:rsidRPr="001D4587">
        <w:rPr>
          <w:b/>
        </w:rPr>
        <w:t>.</w:t>
      </w:r>
    </w:p>
    <w:p w:rsidR="000823F3" w:rsidRPr="001D4587" w:rsidRDefault="0062615E" w:rsidP="003D627E">
      <w:pPr>
        <w:pStyle w:val="ListParagraph"/>
        <w:ind w:left="0" w:firstLine="567"/>
        <w:contextualSpacing w:val="0"/>
        <w:jc w:val="both"/>
      </w:pPr>
      <w:r w:rsidRPr="001D4587">
        <w:t xml:space="preserve">Latvijas nacionālā pozīcija Nr.1 „Par Komisijas paziņojumu par Klimata un enerģētikas politikas satvaru laikposmam no 2020.gada līdz 2030.gadam”, ar kuru ir noteikta Latvijas pozīcija par </w:t>
      </w:r>
      <w:r w:rsidR="00FD6E23" w:rsidRPr="001D4587">
        <w:t>EK</w:t>
      </w:r>
      <w:r w:rsidRPr="001D4587">
        <w:t xml:space="preserve"> publicēto Klimata un enerģētikas politikas satvaru un to pavadošajiem dokumentiem</w:t>
      </w:r>
      <w:r w:rsidR="00130637" w:rsidRPr="001D4587">
        <w:t xml:space="preserve"> apstiprināta Ministru kabineta 2014.gada 18.februāra sēdē (</w:t>
      </w:r>
      <w:proofErr w:type="spellStart"/>
      <w:r w:rsidR="00130637" w:rsidRPr="001D4587">
        <w:t>protokollēmums</w:t>
      </w:r>
      <w:proofErr w:type="spellEnd"/>
      <w:r w:rsidR="00130637" w:rsidRPr="001D4587">
        <w:t xml:space="preserve"> </w:t>
      </w:r>
      <w:r w:rsidR="00023147" w:rsidRPr="001D4587">
        <w:t>Nr.10, 38.</w:t>
      </w:r>
      <w:r w:rsidR="00023147" w:rsidRPr="001D4587">
        <w:rPr>
          <w:bCs/>
          <w:shd w:val="clear" w:color="auto" w:fill="FFFFFF"/>
        </w:rPr>
        <w:t>§</w:t>
      </w:r>
      <w:r w:rsidR="00023147" w:rsidRPr="001D4587">
        <w:t>).</w:t>
      </w:r>
    </w:p>
    <w:p w:rsidR="00EE6FCD" w:rsidRPr="001D4587" w:rsidRDefault="00EE6FCD" w:rsidP="003D627E">
      <w:pPr>
        <w:pStyle w:val="ListParagraph"/>
        <w:ind w:left="0" w:firstLine="567"/>
        <w:contextualSpacing w:val="0"/>
        <w:jc w:val="both"/>
        <w:rPr>
          <w:i/>
        </w:rPr>
      </w:pPr>
      <w:r w:rsidRPr="001D4587">
        <w:rPr>
          <w:i/>
        </w:rPr>
        <w:t>Latvijas viedoklis par principiem un kritērijiem, kuri būtu jāņem vērā SEG emisiju samazināšanas pasākumu ietekme uz katru atsevišķi dalībvalsti.</w:t>
      </w:r>
    </w:p>
    <w:p w:rsidR="00EE6FCD" w:rsidRPr="001D4587" w:rsidRDefault="00EE6FCD" w:rsidP="003D627E">
      <w:pPr>
        <w:pStyle w:val="ListParagraph"/>
        <w:ind w:left="0" w:firstLine="567"/>
        <w:contextualSpacing w:val="0"/>
        <w:jc w:val="both"/>
      </w:pPr>
      <w:r w:rsidRPr="001D4587">
        <w:t>Latvija uzskata, ka, nosakot SEG emisiju samazināšanas pasākumu ietekmi uz katru atsevišķu dalībvalsti, ir jāņem vērā šādi nosacījumi:</w:t>
      </w:r>
    </w:p>
    <w:p w:rsidR="00EE6FCD" w:rsidRPr="001D4587" w:rsidRDefault="00EE6FCD" w:rsidP="003D627E">
      <w:pPr>
        <w:pStyle w:val="ListParagraph"/>
        <w:numPr>
          <w:ilvl w:val="0"/>
          <w:numId w:val="37"/>
        </w:numPr>
        <w:ind w:left="0" w:firstLine="567"/>
        <w:contextualSpacing w:val="0"/>
        <w:jc w:val="both"/>
      </w:pPr>
      <w:r w:rsidRPr="001D4587">
        <w:t>SEG emisiju samazināšanas vienības izmaksas, enerģētikas infrastruktūras attīstību energoapgādes drošības nodrošināšanai,</w:t>
      </w:r>
      <w:r w:rsidRPr="001D4587" w:rsidDel="008B4738">
        <w:t xml:space="preserve"> </w:t>
      </w:r>
      <w:r w:rsidRPr="001D4587">
        <w:t xml:space="preserve">un pārtikas drošības nodrošināšanu, ģeopolitisko situāciju. </w:t>
      </w:r>
    </w:p>
    <w:p w:rsidR="00EE6FCD" w:rsidRPr="001D4587" w:rsidRDefault="00EE6FCD" w:rsidP="003D627E">
      <w:pPr>
        <w:ind w:firstLine="567"/>
        <w:jc w:val="both"/>
      </w:pPr>
      <w:r w:rsidRPr="001D4587">
        <w:t>Latvijā jau šobrīd viena tonna CO</w:t>
      </w:r>
      <w:r w:rsidRPr="001D4587">
        <w:rPr>
          <w:vertAlign w:val="subscript"/>
        </w:rPr>
        <w:t>2</w:t>
      </w:r>
      <w:r w:rsidRPr="001D4587">
        <w:t xml:space="preserve"> emisiju samazinājuma ir salīdzinoši dārgāka kā citās ES dalībvalstīs, jo Latvijā enerģētikas sektors un rūpnieciskā ražošana ir salīdzinoši „SEG emisiju tīra” – enerģijas ražošanai tiek izmantota dabasgāze, biomasa, savukārt ražošanā tiek izmantotas efektīvas un jaunas tehnoloģijas.</w:t>
      </w:r>
    </w:p>
    <w:p w:rsidR="00EE6FCD" w:rsidRPr="001D4587" w:rsidRDefault="00EE6FCD" w:rsidP="003D627E">
      <w:pPr>
        <w:ind w:firstLine="567"/>
        <w:jc w:val="both"/>
      </w:pPr>
      <w:r w:rsidRPr="001D4587">
        <w:t>Ievērojot nepieciešamību nodrošināt enerģētisko neatkarību valstīs, kā arī, ievērot pārtikas drošību, ir nepieciešams ņemt vērā nosacījumus, ka dalībvalsts, nomainot biomasas vai SEG emisiju draudzīgāko importa kurināmo uz SEG emisiju nedraudzīgāko vietējo fosilo kurināmo, uzlabo savu valsts enerģētisko neatkarību.</w:t>
      </w:r>
    </w:p>
    <w:p w:rsidR="00EE6FCD" w:rsidRPr="001D4587" w:rsidRDefault="00EE6FCD" w:rsidP="003D627E">
      <w:pPr>
        <w:ind w:firstLine="567"/>
        <w:jc w:val="both"/>
      </w:pPr>
      <w:r w:rsidRPr="001D4587">
        <w:t>Attiecībā uz pārtikas drošības nodrošināšanu, ir nepieciešams ņemt vērā katras dalībvalsts lauksaimniecības produkcijas ražošanas potenciālu, lai SEG emisiju samazināšanas mērķi būtiski neietekmētu lauksaimniecības ražošanu.</w:t>
      </w:r>
    </w:p>
    <w:p w:rsidR="00EE6FCD" w:rsidRPr="001D4587" w:rsidRDefault="00EE6FCD" w:rsidP="003D627E">
      <w:pPr>
        <w:ind w:firstLine="567"/>
        <w:jc w:val="both"/>
      </w:pPr>
      <w:r w:rsidRPr="001D4587">
        <w:t>Ir arī nepieciešams ņemt vērā dalībvalsts ģeogrāfisko novietojumu (energoresursu importa iespējas) un klimatiskās un dabas īpatnības (iespējas palielināt atjaunojamo energoresursu izmantošanas īpatsvaru). Klimatiskās, dabas un ģeogrāfiskās īpatnības ir arī jāņem vērā pārtikas drošības aspektā, lai SEG emisiju samazināšanas saistības būtiski neierobežotu lauksaimniecības nozares attīstību.</w:t>
      </w:r>
    </w:p>
    <w:p w:rsidR="00EE6FCD" w:rsidRPr="001D4587" w:rsidRDefault="00EE6FCD" w:rsidP="003D627E">
      <w:pPr>
        <w:pStyle w:val="ListParagraph"/>
        <w:numPr>
          <w:ilvl w:val="0"/>
          <w:numId w:val="37"/>
        </w:numPr>
        <w:ind w:left="0" w:firstLine="567"/>
        <w:jc w:val="both"/>
      </w:pPr>
      <w:r w:rsidRPr="001D4587">
        <w:t>SEG emisiju samazināšanas ietekme uz atsevišķām tautsaimniecības nozarēm. Latvijas lielākie SEG emisiju avoti SEG emisiju prognozē 2020. un 2030.gadam ir transports (īpaši kravas transports) un lauksaimniecība, kur emisiju samazināšana, neietekmējot tautsaimniecības attīstību, ir samērā sarežģīta. Eiropas Komisija arī atzīst, ka SEG emisijas no kravas transporta nozares ir tieši saistītas ar ekonomikas attīstību. Savukārt lauksaimniecības nozarē iespējas samazināt SEG emisijas ir diezgan ierobežotas un grūti veicamas bez papildu subsīdijām.</w:t>
      </w:r>
    </w:p>
    <w:p w:rsidR="00EE6FCD" w:rsidRPr="001D4587" w:rsidRDefault="00EE6FCD" w:rsidP="003D627E">
      <w:pPr>
        <w:pStyle w:val="ListParagraph"/>
        <w:keepNext/>
        <w:keepLines/>
        <w:numPr>
          <w:ilvl w:val="0"/>
          <w:numId w:val="37"/>
        </w:numPr>
        <w:ind w:left="0" w:firstLine="567"/>
        <w:jc w:val="both"/>
        <w:outlineLvl w:val="0"/>
      </w:pPr>
      <w:r w:rsidRPr="001D4587">
        <w:lastRenderedPageBreak/>
        <w:t>SEG emisiju samazināšanas potenciālā negatīvā ietekme uz CO2 emisiju piesaisti. Latvijā ir lielas mežu un lauksaimniecības zemju platības. Pateicoties CO</w:t>
      </w:r>
      <w:r w:rsidRPr="001D4587">
        <w:rPr>
          <w:vertAlign w:val="subscript"/>
        </w:rPr>
        <w:t>2</w:t>
      </w:r>
      <w:r w:rsidRPr="001D4587">
        <w:t xml:space="preserve"> piesaistei koksnes biomasā fotosintēzes procesā meža zemēs, ko pamatā veicina ilgtspējīgi meža apsaimniekošanas pasākumi, kopējā CO</w:t>
      </w:r>
      <w:r w:rsidRPr="001D4587">
        <w:rPr>
          <w:vertAlign w:val="subscript"/>
        </w:rPr>
        <w:t>2</w:t>
      </w:r>
      <w:r w:rsidRPr="001D4587">
        <w:t xml:space="preserve"> piesaiste šobrīd Latvijā pārsniedz SEG emisijas (2011.gadā par 5,6 </w:t>
      </w:r>
      <w:proofErr w:type="spellStart"/>
      <w:r w:rsidRPr="001D4587">
        <w:t>Mt</w:t>
      </w:r>
      <w:proofErr w:type="spellEnd"/>
      <w:r w:rsidRPr="001D4587">
        <w:t xml:space="preserve"> CO</w:t>
      </w:r>
      <w:r w:rsidRPr="001D4587">
        <w:rPr>
          <w:vertAlign w:val="subscript"/>
        </w:rPr>
        <w:t>2</w:t>
      </w:r>
      <w:r w:rsidRPr="001D4587">
        <w:t xml:space="preserve"> </w:t>
      </w:r>
      <w:proofErr w:type="spellStart"/>
      <w:r w:rsidRPr="001D4587">
        <w:t>ekv</w:t>
      </w:r>
      <w:proofErr w:type="spellEnd"/>
      <w:r w:rsidRPr="001D4587">
        <w:t>.). Tajā pašā laikā dati liecina, ka CO</w:t>
      </w:r>
      <w:r w:rsidRPr="001D4587">
        <w:rPr>
          <w:vertAlign w:val="subscript"/>
        </w:rPr>
        <w:t>2</w:t>
      </w:r>
      <w:r w:rsidRPr="001D4587">
        <w:t xml:space="preserve"> piesaistes apjomiem ir tendence samazināties (skatīt 2.att.) no aptuveni 22,31 </w:t>
      </w:r>
      <w:proofErr w:type="spellStart"/>
      <w:r w:rsidRPr="001D4587">
        <w:t>Mt</w:t>
      </w:r>
      <w:proofErr w:type="spellEnd"/>
      <w:r w:rsidRPr="001D4587">
        <w:t xml:space="preserve"> CO</w:t>
      </w:r>
      <w:r w:rsidRPr="001D4587">
        <w:rPr>
          <w:vertAlign w:val="subscript"/>
        </w:rPr>
        <w:t>2</w:t>
      </w:r>
      <w:r w:rsidRPr="001D4587">
        <w:t xml:space="preserve"> </w:t>
      </w:r>
      <w:proofErr w:type="spellStart"/>
      <w:r w:rsidRPr="001D4587">
        <w:t>ekv</w:t>
      </w:r>
      <w:proofErr w:type="spellEnd"/>
      <w:r w:rsidRPr="001D4587">
        <w:t xml:space="preserve">. 1990.gadā līdz 17,18 </w:t>
      </w:r>
      <w:proofErr w:type="spellStart"/>
      <w:r w:rsidRPr="001D4587">
        <w:t>Mt</w:t>
      </w:r>
      <w:proofErr w:type="spellEnd"/>
      <w:r w:rsidRPr="001D4587">
        <w:t xml:space="preserve"> CO</w:t>
      </w:r>
      <w:r w:rsidRPr="001D4587">
        <w:rPr>
          <w:vertAlign w:val="subscript"/>
        </w:rPr>
        <w:t xml:space="preserve">2 </w:t>
      </w:r>
      <w:proofErr w:type="spellStart"/>
      <w:r w:rsidRPr="001D4587">
        <w:t>ekv</w:t>
      </w:r>
      <w:proofErr w:type="spellEnd"/>
      <w:r w:rsidRPr="001D4587">
        <w:t xml:space="preserve">. 2011.gadā. </w:t>
      </w:r>
    </w:p>
    <w:p w:rsidR="00DF04CF" w:rsidRPr="001D4587" w:rsidRDefault="00EE6FCD" w:rsidP="003D627E">
      <w:pPr>
        <w:overflowPunct w:val="0"/>
        <w:ind w:firstLine="567"/>
        <w:jc w:val="both"/>
        <w:textAlignment w:val="baseline"/>
        <w:rPr>
          <w:rFonts w:eastAsia="Calibri"/>
        </w:rPr>
      </w:pPr>
      <w:r w:rsidRPr="001D4587">
        <w:t>Kioto protokola Pušu</w:t>
      </w:r>
      <w:r w:rsidRPr="001D4587">
        <w:rPr>
          <w:rFonts w:eastAsia="Calibri"/>
        </w:rPr>
        <w:t xml:space="preserve"> Lēmumā 2/CMP.7 un Eiropas Parlamenta un Padomes lēmuma Nr.529/2013/ES</w:t>
      </w:r>
      <w:r w:rsidRPr="001D4587">
        <w:rPr>
          <w:rStyle w:val="FootnoteReference"/>
          <w:rFonts w:eastAsia="Calibri"/>
        </w:rPr>
        <w:footnoteReference w:id="9"/>
      </w:r>
      <w:r w:rsidRPr="001D4587">
        <w:rPr>
          <w:rFonts w:eastAsia="Calibri"/>
        </w:rPr>
        <w:t xml:space="preserve"> 2.pielikumā Latvijai ir noteikts SEG emisiju samazināšanas un CO</w:t>
      </w:r>
      <w:r w:rsidRPr="001D4587">
        <w:rPr>
          <w:rFonts w:eastAsia="Calibri"/>
          <w:vertAlign w:val="subscript"/>
        </w:rPr>
        <w:t>2</w:t>
      </w:r>
      <w:r w:rsidRPr="001D4587">
        <w:rPr>
          <w:rFonts w:eastAsia="Calibri"/>
        </w:rPr>
        <w:t xml:space="preserve"> piesaistes mērķis – meža apsaimniekošanas references līmenis, kas jānodrošina uz 2020.gadu. Tas ir 16,302 </w:t>
      </w:r>
      <w:proofErr w:type="spellStart"/>
      <w:r w:rsidRPr="001D4587">
        <w:rPr>
          <w:rFonts w:eastAsia="Calibri"/>
        </w:rPr>
        <w:t>Mt</w:t>
      </w:r>
      <w:proofErr w:type="spellEnd"/>
      <w:r w:rsidRPr="001D4587">
        <w:rPr>
          <w:rFonts w:eastAsia="Calibri"/>
        </w:rPr>
        <w:t xml:space="preserve"> CO</w:t>
      </w:r>
      <w:r w:rsidRPr="001D4587">
        <w:rPr>
          <w:rFonts w:eastAsia="Calibri"/>
          <w:vertAlign w:val="subscript"/>
        </w:rPr>
        <w:t>2</w:t>
      </w:r>
      <w:r w:rsidRPr="001D4587">
        <w:rPr>
          <w:rFonts w:eastAsia="Calibri"/>
        </w:rPr>
        <w:t xml:space="preserve"> </w:t>
      </w:r>
      <w:proofErr w:type="spellStart"/>
      <w:r w:rsidRPr="001D4587">
        <w:rPr>
          <w:rFonts w:eastAsia="Calibri"/>
        </w:rPr>
        <w:t>ekv</w:t>
      </w:r>
      <w:proofErr w:type="spellEnd"/>
      <w:r w:rsidRPr="001D4587">
        <w:rPr>
          <w:rStyle w:val="FootnoteReference"/>
          <w:rFonts w:eastAsia="Calibri"/>
        </w:rPr>
        <w:footnoteReference w:id="10"/>
      </w:r>
      <w:r w:rsidRPr="001D4587">
        <w:rPr>
          <w:rFonts w:eastAsia="Calibri"/>
        </w:rPr>
        <w:t xml:space="preserve">. 2013.gada situācijas novērtējums rāda, ka, pieaugot pieprasījumam pēc koksnes produktiem (arī biomasas kurināmā) un līdz ar to meža īpašnieku aktivitātei laižot koksni tirgū, Latvijai noteiktais references līmenis varētu netikt sasniegts. Pēc Zemkopības ministrijas veiktajām aplēsēm </w:t>
      </w:r>
      <w:r w:rsidRPr="001D4587">
        <w:t>sliktākā scenārija gadījumā kopējais iztrūkstošais CO</w:t>
      </w:r>
      <w:r w:rsidRPr="001D4587">
        <w:rPr>
          <w:vertAlign w:val="subscript"/>
        </w:rPr>
        <w:t xml:space="preserve">2 </w:t>
      </w:r>
      <w:r w:rsidRPr="001D4587">
        <w:t xml:space="preserve">piesaistes apjoms mežsaimniecības nozarē Kioto protokola 2. periodā varētu sasniegt 10,776 </w:t>
      </w:r>
      <w:proofErr w:type="spellStart"/>
      <w:r w:rsidRPr="001D4587">
        <w:t>Mt</w:t>
      </w:r>
      <w:proofErr w:type="spellEnd"/>
      <w:r w:rsidRPr="001D4587">
        <w:t xml:space="preserve"> CO</w:t>
      </w:r>
      <w:r w:rsidRPr="001D4587">
        <w:rPr>
          <w:vertAlign w:val="subscript"/>
        </w:rPr>
        <w:t>2</w:t>
      </w:r>
      <w:r w:rsidRPr="001D4587">
        <w:t xml:space="preserve"> </w:t>
      </w:r>
      <w:proofErr w:type="spellStart"/>
      <w:r w:rsidRPr="001D4587">
        <w:t>ekv</w:t>
      </w:r>
      <w:proofErr w:type="spellEnd"/>
      <w:r w:rsidRPr="001D4587">
        <w:t>. Iespējamās izmaksas, kas var rasties, references līmeņa neizpildi kompensējot ar brīvā tirgū iegādātām Kioto protokola vienībām, varētu būt no 2,15 milj.</w:t>
      </w:r>
      <w:r w:rsidR="003D627E" w:rsidRPr="001D4587">
        <w:t xml:space="preserve"> </w:t>
      </w:r>
      <w:r w:rsidRPr="001D4587">
        <w:t>eiro līdz 107,76 milj.</w:t>
      </w:r>
      <w:r w:rsidR="003D627E" w:rsidRPr="001D4587">
        <w:t xml:space="preserve"> </w:t>
      </w:r>
      <w:r w:rsidRPr="001D4587">
        <w:t>eiro.</w:t>
      </w:r>
      <w:r w:rsidR="00DF04CF" w:rsidRPr="001D4587">
        <w:t xml:space="preserve"> Kā arī</w:t>
      </w:r>
      <w:r w:rsidR="0029260E" w:rsidRPr="001D4587">
        <w:t>,</w:t>
      </w:r>
      <w:r w:rsidR="00DF04CF" w:rsidRPr="001D4587">
        <w:t xml:space="preserve"> ņemot vērā mežaudžu vecumstruktūru un pēdējā desmitgadē pieaugošo veco audžu īpatsvaru, prognozējams, ka meža piesaistes potenciāls turpinās samazināties arī pēc 2020.gada. Realizētie un plānotie pasākumi piesaistes palielināšanai, ņemot vērā ilgo mežaudžu attīstības ciklu, piesaistes palielinājumu dos nē ātrāk kā 50 gadu periodā.</w:t>
      </w:r>
    </w:p>
    <w:p w:rsidR="00EE6FCD" w:rsidRPr="001D4587" w:rsidRDefault="00EE6FCD" w:rsidP="003D627E">
      <w:pPr>
        <w:pStyle w:val="ListParagraph"/>
        <w:keepNext/>
        <w:keepLines/>
        <w:numPr>
          <w:ilvl w:val="0"/>
          <w:numId w:val="37"/>
        </w:numPr>
        <w:ind w:left="0" w:firstLine="567"/>
        <w:jc w:val="both"/>
      </w:pPr>
      <w:r w:rsidRPr="001D4587">
        <w:t xml:space="preserve">SEG samazināšanas ietekme uz enerģijas, kā arī preču un pakalpojumu cenām, iedzīvotāju pirktspēju. Latvijas Republikas valdības noteiktā atjaunojamo energoresursu izmantošanu veicinošā atbalsta mehānisma (obligātais elektroenerģijas iepirkums) atbalsta izmaksas sedz visi elektroenerģijas lietotāji proporcionāli savam patēriņam. Līdz ar to pieaugošs kopējais atbalsta apjoms elektroenerģijai, kas ražota no atjaunojamiem energoresursiem un koģenerācijā, tieši ietekmē tautsaimniecības konkurētspēju, tai skaitā elektroenerģijas lietotāju maksājumus par elektroenerģiju un arī </w:t>
      </w:r>
      <w:proofErr w:type="spellStart"/>
      <w:r w:rsidRPr="001D4587">
        <w:t>energointensīvos</w:t>
      </w:r>
      <w:proofErr w:type="spellEnd"/>
      <w:r w:rsidRPr="001D4587">
        <w:t xml:space="preserve"> ražošanas uzņēmumus.</w:t>
      </w:r>
      <w:r w:rsidRPr="001D4587">
        <w:rPr>
          <w:iCs/>
        </w:rPr>
        <w:t xml:space="preserve"> </w:t>
      </w:r>
    </w:p>
    <w:p w:rsidR="00EE6FCD" w:rsidRPr="001D4587" w:rsidRDefault="00EE6FCD" w:rsidP="003D627E">
      <w:pPr>
        <w:pStyle w:val="BodyText"/>
        <w:spacing w:after="0"/>
        <w:ind w:firstLine="567"/>
        <w:jc w:val="both"/>
      </w:pPr>
      <w:r w:rsidRPr="001D4587">
        <w:t xml:space="preserve">Energoefektivitātes 2020.gada mērķa izpildei Latvija plāno ieviest energoefektivitātes pienākumu shēmu. Ir novērtēts, ka shēma var izraisīt enerģijas cenu pieaugumu patērētājiem par 2–4%, bet ilgtermiņā energoefektivitātes pasākumu īstenošana samazinās patērētāju maksājumus par enerģiju. Saskaņā ar Ekonomikas ministrijas aprēķiniem valsts saistošā energoefektivitātes mērķa sasniegšanas maksimālās izmaksas var sasniegt 2,1 mljrd. </w:t>
      </w:r>
      <w:r w:rsidRPr="001D4587">
        <w:rPr>
          <w:i/>
        </w:rPr>
        <w:t>e</w:t>
      </w:r>
      <w:r w:rsidR="003D627E" w:rsidRPr="001D4587">
        <w:rPr>
          <w:i/>
        </w:rPr>
        <w:t>i</w:t>
      </w:r>
      <w:r w:rsidRPr="001D4587">
        <w:rPr>
          <w:i/>
        </w:rPr>
        <w:t>ro</w:t>
      </w:r>
      <w:r w:rsidRPr="001D4587">
        <w:t xml:space="preserve"> līdz 2020.gadam. </w:t>
      </w:r>
    </w:p>
    <w:p w:rsidR="00EE6FCD" w:rsidRPr="001D4587" w:rsidRDefault="00EE6FCD" w:rsidP="003D627E">
      <w:pPr>
        <w:ind w:firstLine="567"/>
        <w:jc w:val="both"/>
        <w:rPr>
          <w:b/>
        </w:rPr>
      </w:pPr>
    </w:p>
    <w:p w:rsidR="00EE6FCD" w:rsidRPr="001D4587" w:rsidRDefault="00EE6FCD" w:rsidP="003D627E">
      <w:pPr>
        <w:ind w:firstLine="567"/>
        <w:jc w:val="both"/>
      </w:pPr>
      <w:r w:rsidRPr="001D4587">
        <w:t>Atbildes uz Grieķijas prezidentūras uzdotajiem jautājumiem:</w:t>
      </w:r>
    </w:p>
    <w:p w:rsidR="00EE6FCD" w:rsidRPr="001D4587" w:rsidRDefault="00EE6FCD" w:rsidP="003D627E">
      <w:pPr>
        <w:ind w:firstLine="567"/>
        <w:jc w:val="both"/>
      </w:pPr>
      <w:r w:rsidRPr="001D4587">
        <w:rPr>
          <w:i/>
        </w:rPr>
        <w:t>1) kādiem pēc Jūsu viedokļa ir jābūt galvenajiem elementiem KEP2030, kuriem ir jābūt definētiem, lai panāktu vienošanos oktobrī? Kuriem ir jābūt apsvērtiem vēlāk?</w:t>
      </w:r>
    </w:p>
    <w:p w:rsidR="00EE6FCD" w:rsidRPr="001D4587" w:rsidRDefault="00EE6FCD" w:rsidP="003D627E">
      <w:pPr>
        <w:ind w:firstLine="567"/>
        <w:jc w:val="both"/>
      </w:pPr>
      <w:r w:rsidRPr="001D4587">
        <w:t>Galvenie elementi, kuriem ir jābūt iekļautiem KEP2030, ir SEG emisiju samazināšanas mērķis un nosacījumi, ES līmeņa atjaunojamās enerģijas (turpmāk – AE) mērķa attiecināšanas veids uz dalībvalstīm . Par šiem elementiem būtu jāpanāk vienošanās oktobra Eiropadomē.</w:t>
      </w:r>
    </w:p>
    <w:p w:rsidR="00EE6FCD" w:rsidRPr="001D4587" w:rsidRDefault="00EE6FCD" w:rsidP="003D627E">
      <w:pPr>
        <w:ind w:firstLine="567"/>
        <w:jc w:val="both"/>
      </w:pPr>
      <w:r w:rsidRPr="001D4587">
        <w:t>Latvija vēlētos, lai oktobra Vides padomē tiktu panākta stratēģiskā vienošanās par kritērijiem SEG emisiju samazināšanas sloga pārdalei ne-ETS sektoram, kā arī būtu jāuzsāk diskusijas par ES finansējumu</w:t>
      </w:r>
      <w:r w:rsidR="00786BAF" w:rsidRPr="001D4587">
        <w:t xml:space="preserve"> pēc 2020.gada</w:t>
      </w:r>
      <w:r w:rsidRPr="001D4587">
        <w:t xml:space="preserve"> (kompensācijas mehānismiem) arī šiem </w:t>
      </w:r>
      <w:r w:rsidRPr="001D4587">
        <w:lastRenderedPageBreak/>
        <w:t>mērķiem (dalībvalstīm paliek arvien dārgāk nodrošināt SEG emisiju samazināšanas mērķu izpildi).</w:t>
      </w:r>
    </w:p>
    <w:p w:rsidR="00EE6FCD" w:rsidRPr="001D4587" w:rsidRDefault="00EE6FCD" w:rsidP="003D627E">
      <w:pPr>
        <w:ind w:firstLine="567"/>
        <w:jc w:val="both"/>
      </w:pPr>
      <w:r w:rsidRPr="001D4587">
        <w:t>Latvija uzskata, ka KEP2030 jābūt definētiem šādiem elementiem, lai panāktu vienošanos par SEG emisiju samazināšanas mērķi:</w:t>
      </w:r>
    </w:p>
    <w:p w:rsidR="00EE6FCD" w:rsidRPr="001D4587" w:rsidRDefault="00EE6FCD" w:rsidP="003D627E">
      <w:pPr>
        <w:pStyle w:val="ListParagraph"/>
        <w:numPr>
          <w:ilvl w:val="1"/>
          <w:numId w:val="47"/>
        </w:numPr>
        <w:ind w:left="0" w:firstLine="567"/>
        <w:contextualSpacing w:val="0"/>
        <w:jc w:val="both"/>
      </w:pPr>
      <w:r w:rsidRPr="001D4587">
        <w:t xml:space="preserve"> </w:t>
      </w:r>
      <w:r w:rsidRPr="001D4587">
        <w:rPr>
          <w:u w:val="single"/>
        </w:rPr>
        <w:t>nacionālo saistību slogu pārdale, ņemot vērā šādus principus</w:t>
      </w:r>
      <w:r w:rsidRPr="001D4587">
        <w:t xml:space="preserve">: solidaritāte; godīgums, ņemot vērā katras dalībvalsts sasniegto pagātnē; elastība, ņemot vērā DV atšķirīgās kapacitātes un nacionālos apstākļus; konkurētspējas aspekti, lai nodrošinātu, ka attiecīgās valsts energoietilpīgās rūpniecības nozares nepasliktinātu savas iespējas starptautiskajos tirgos; politiku savstarpējā saskaņotība un </w:t>
      </w:r>
      <w:proofErr w:type="spellStart"/>
      <w:r w:rsidRPr="001D4587">
        <w:t>papildināmība</w:t>
      </w:r>
      <w:proofErr w:type="spellEnd"/>
      <w:r w:rsidRPr="001D4587">
        <w:t>;</w:t>
      </w:r>
    </w:p>
    <w:p w:rsidR="00EE6FCD" w:rsidRPr="001D4587" w:rsidRDefault="00EE6FCD" w:rsidP="003D627E">
      <w:pPr>
        <w:pStyle w:val="ListParagraph"/>
        <w:numPr>
          <w:ilvl w:val="1"/>
          <w:numId w:val="47"/>
        </w:numPr>
        <w:ind w:left="0" w:firstLine="567"/>
        <w:contextualSpacing w:val="0"/>
        <w:jc w:val="both"/>
      </w:pPr>
      <w:r w:rsidRPr="001D4587">
        <w:rPr>
          <w:u w:val="single"/>
        </w:rPr>
        <w:t>elastība</w:t>
      </w:r>
      <w:r w:rsidRPr="001D4587">
        <w:t>, lai mērķa sasniegšana būtu izmaksu efektīvs risinājums arī dalībvalstu, ne tikai ES līmenī. Tādējādi dalībvalstis izvēlētos izmaksu efektīvākos paņēmienus mērķu sasniegšanā, sev piemērotākajā ņemot vērā nacionālo situāciju, vajadzības un iespējas;</w:t>
      </w:r>
    </w:p>
    <w:p w:rsidR="00EE6FCD" w:rsidRPr="001D4587" w:rsidRDefault="00EE6FCD" w:rsidP="003D627E">
      <w:pPr>
        <w:pStyle w:val="ListParagraph"/>
        <w:numPr>
          <w:ilvl w:val="1"/>
          <w:numId w:val="47"/>
        </w:numPr>
        <w:ind w:left="0" w:firstLine="567"/>
        <w:contextualSpacing w:val="0"/>
        <w:jc w:val="both"/>
      </w:pPr>
      <w:r w:rsidRPr="001D4587">
        <w:rPr>
          <w:u w:val="single"/>
        </w:rPr>
        <w:t>pietiekams ES līmeņa publiskais finansējums periodā pēc 2020.gada dalībvalstīm ar zemāku IKP līmeni,</w:t>
      </w:r>
      <w:r w:rsidRPr="001D4587">
        <w:t xml:space="preserve"> jo tās saskarsies ar relatīvi lielākām investīciju un sistēmas izmaksām.</w:t>
      </w:r>
    </w:p>
    <w:p w:rsidR="00EE6FCD" w:rsidRPr="001D4587" w:rsidRDefault="00EE6FCD" w:rsidP="003D627E">
      <w:pPr>
        <w:ind w:firstLine="567"/>
        <w:jc w:val="both"/>
        <w:rPr>
          <w:u w:val="single"/>
        </w:rPr>
      </w:pPr>
      <w:r w:rsidRPr="001D4587">
        <w:t>Ņemot vērā KEP2030 uzsvērto dalībvalstu elastību attiecībā uz atjaunojamās enerģijas  mērķi, joprojām ir jābūt pārliecībai, ka ES līmeņa AE mērķis nozīmē ES līmeņa mērķa sasniegšanu izmaksu efektīvā veidā arī dalībvalstīm.</w:t>
      </w:r>
      <w:r w:rsidRPr="001D4587">
        <w:rPr>
          <w:iCs/>
        </w:rPr>
        <w:t xml:space="preserve"> Jāņem vērā a</w:t>
      </w:r>
      <w:r w:rsidRPr="001D4587">
        <w:t xml:space="preserve">tšķirīgā dalībvalstu enerģijas resursu patēriņa struktūra, ko ietekmē gan tehniski un ekonomiski pieejamais AER potenciāls, gan atšķirīgās klimata iezīmes. Turklāt jāņem  vērā arī DV atšķirīgā </w:t>
      </w:r>
      <w:proofErr w:type="spellStart"/>
      <w:r w:rsidRPr="001D4587">
        <w:t>socioekonomiskā</w:t>
      </w:r>
      <w:proofErr w:type="spellEnd"/>
      <w:r w:rsidRPr="001D4587">
        <w:t xml:space="preserve"> attīstība, kas tieši ietekmē finanšu pieejamību.</w:t>
      </w:r>
    </w:p>
    <w:p w:rsidR="00EE6FCD" w:rsidRPr="001D4587" w:rsidRDefault="00EE6FCD" w:rsidP="003D627E">
      <w:pPr>
        <w:pStyle w:val="a3520normalp8"/>
        <w:shd w:val="clear" w:color="auto" w:fill="FFFFFF" w:themeFill="background1"/>
        <w:spacing w:before="0" w:after="0"/>
        <w:ind w:firstLine="567"/>
        <w:rPr>
          <w:sz w:val="24"/>
        </w:rPr>
      </w:pPr>
      <w:r w:rsidRPr="001D4587">
        <w:rPr>
          <w:sz w:val="24"/>
        </w:rPr>
        <w:t xml:space="preserve">Pašlaik KEP2030 nesniedz atbildi uz būtisko jautājumu, kā ES līmeņa AE mērķis tiks attiecināts uz dalībvalstīm, kā tas skars enerģētikas un citus industriālos sektorus. KEP2030 mērķu noteikšanā ir būtiski rast risinājumu attiecībā uz nacionālo saistību sloga pārdali. Tāpēc uzskatām, ka </w:t>
      </w:r>
      <w:r w:rsidRPr="001D4587">
        <w:rPr>
          <w:sz w:val="24"/>
          <w:u w:val="single"/>
        </w:rPr>
        <w:t>ir jāpanāk vienošanās par ES līmeņa AE mērķu attiecināšanas veidu uz dalībvalstīm</w:t>
      </w:r>
      <w:r w:rsidRPr="001D4587">
        <w:rPr>
          <w:sz w:val="24"/>
        </w:rPr>
        <w:t xml:space="preserve">. Svarīgi gūt pārliecību, ka no AE mērķa turpmāk neizrietēs dalībvalstu līmeņa juridiski saistoši skaitliski mērķi vai sasniedzami rādītāji. Dalībvalstīm nepieciešama elastība pašām noteikt AE ieguldījumu klimata mērķu īstenošanā, izvēloties enerģijas avotu struktūru un piemērotākos pasākumus enerģētikas jomā atbilstoši nacionālajām īpatnībām. </w:t>
      </w:r>
    </w:p>
    <w:p w:rsidR="00EE6FCD" w:rsidRPr="001D4587" w:rsidRDefault="00EE6FCD" w:rsidP="003D627E">
      <w:pPr>
        <w:pStyle w:val="a3520normalp8"/>
        <w:shd w:val="clear" w:color="auto" w:fill="FFFFFF" w:themeFill="background1"/>
        <w:spacing w:before="0" w:after="0"/>
        <w:ind w:firstLine="567"/>
        <w:rPr>
          <w:sz w:val="24"/>
        </w:rPr>
      </w:pPr>
      <w:r w:rsidRPr="001D4587">
        <w:rPr>
          <w:sz w:val="24"/>
        </w:rPr>
        <w:t xml:space="preserve">Latvijas gadījumā AE potenciāls ne-ETS sektoru emisiju samazināšanā lielā mērā varētu tikt izsmelts laikā līdz 2020. gadam. </w:t>
      </w:r>
    </w:p>
    <w:p w:rsidR="00EE6FCD" w:rsidRPr="001D4587" w:rsidRDefault="00EE6FCD" w:rsidP="003D627E">
      <w:pPr>
        <w:pStyle w:val="a3520normalp8"/>
        <w:shd w:val="clear" w:color="auto" w:fill="FFFFFF" w:themeFill="background1"/>
        <w:spacing w:before="0" w:after="0"/>
        <w:ind w:firstLine="567"/>
        <w:rPr>
          <w:sz w:val="24"/>
        </w:rPr>
      </w:pPr>
      <w:r w:rsidRPr="001D4587">
        <w:rPr>
          <w:sz w:val="24"/>
        </w:rPr>
        <w:t>Latvija uzskata, ka ir jāsāk diskusija par valsts AE atbalsta shēmu harmonizēšanu ES, lai nodrošinātu ES iekšējās konkurences nekropļošanu un vienādus (vai vismaz līdzīgus) nosacījumus vienas nozares uzņēmumiem visā ES.</w:t>
      </w:r>
    </w:p>
    <w:p w:rsidR="00EE6FCD" w:rsidRPr="001D4587" w:rsidRDefault="00EE6FCD" w:rsidP="003D627E">
      <w:pPr>
        <w:pStyle w:val="a3520normalp8"/>
        <w:shd w:val="clear" w:color="auto" w:fill="FFFFFF" w:themeFill="background1"/>
        <w:spacing w:before="0" w:after="0"/>
        <w:ind w:firstLine="567"/>
        <w:rPr>
          <w:sz w:val="24"/>
        </w:rPr>
      </w:pPr>
      <w:r w:rsidRPr="001D4587">
        <w:rPr>
          <w:sz w:val="24"/>
        </w:rPr>
        <w:t xml:space="preserve">Latvija uzskata, ka </w:t>
      </w:r>
      <w:r w:rsidRPr="001D4587">
        <w:rPr>
          <w:sz w:val="24"/>
          <w:u w:val="single"/>
        </w:rPr>
        <w:t>energoefektivitātes mērķa noteikšanas diskusija jāsaista ar rezultātiem, ko dos Energoefektivitātes direktīvā noteikto mērķu sasniegšanas izvērtējums</w:t>
      </w:r>
      <w:r w:rsidRPr="001D4587">
        <w:rPr>
          <w:sz w:val="24"/>
        </w:rPr>
        <w:t>. Diskusijā jāņem vērā dalībvalstu ekonomiskā situācija un finanšu instrumentu pieejamība.</w:t>
      </w:r>
    </w:p>
    <w:p w:rsidR="00D91C8E" w:rsidRPr="001D4587" w:rsidRDefault="00D91C8E" w:rsidP="003D627E">
      <w:pPr>
        <w:ind w:firstLine="567"/>
        <w:jc w:val="both"/>
        <w:rPr>
          <w:i/>
        </w:rPr>
      </w:pPr>
    </w:p>
    <w:p w:rsidR="00D91C8E" w:rsidRPr="001D4587" w:rsidRDefault="00A10868" w:rsidP="003D627E">
      <w:pPr>
        <w:ind w:firstLine="567"/>
        <w:jc w:val="both"/>
        <w:rPr>
          <w:i/>
        </w:rPr>
      </w:pPr>
      <w:r w:rsidRPr="001D4587">
        <w:rPr>
          <w:i/>
        </w:rPr>
        <w:t xml:space="preserve">2) </w:t>
      </w:r>
      <w:r w:rsidR="00D91C8E" w:rsidRPr="001D4587">
        <w:rPr>
          <w:i/>
        </w:rPr>
        <w:t xml:space="preserve">Vai SEG emisiju samazināšanas mērķi / iespējas ne-ETS sektoriem ir jābūt balstītiem uz </w:t>
      </w:r>
      <w:proofErr w:type="spellStart"/>
      <w:r w:rsidR="00D91C8E" w:rsidRPr="001D4587">
        <w:rPr>
          <w:i/>
        </w:rPr>
        <w:t>multi-kritēriju</w:t>
      </w:r>
      <w:proofErr w:type="spellEnd"/>
      <w:r w:rsidR="00D91C8E" w:rsidRPr="001D4587">
        <w:rPr>
          <w:i/>
        </w:rPr>
        <w:t xml:space="preserve"> pieeju? Ja </w:t>
      </w:r>
      <w:r w:rsidR="001014CB" w:rsidRPr="001D4587">
        <w:rPr>
          <w:i/>
        </w:rPr>
        <w:t>jā</w:t>
      </w:r>
      <w:r w:rsidR="00D91C8E" w:rsidRPr="001D4587">
        <w:rPr>
          <w:i/>
        </w:rPr>
        <w:t>, kādiem ir jābūt galvenajiem kritērijiem, kurus ņemt vērā, izstrādājot šādu pieeju?</w:t>
      </w:r>
    </w:p>
    <w:p w:rsidR="000D2D6F" w:rsidRPr="001D4587" w:rsidRDefault="000D2D6F" w:rsidP="003D627E">
      <w:pPr>
        <w:pStyle w:val="ListParagraph"/>
        <w:ind w:left="0" w:firstLine="567"/>
        <w:contextualSpacing w:val="0"/>
        <w:jc w:val="both"/>
      </w:pPr>
      <w:r w:rsidRPr="001D4587">
        <w:t>Latvija uzskata, ka katras dalībvalsts saistības</w:t>
      </w:r>
      <w:r w:rsidR="00260133" w:rsidRPr="001D4587">
        <w:t xml:space="preserve"> SEG emisiju samazināšanas mērķu izpildē </w:t>
      </w:r>
      <w:r w:rsidRPr="001D4587">
        <w:t>ir jānosaka, ņemot vērā šādus kritērijus:</w:t>
      </w:r>
    </w:p>
    <w:p w:rsidR="000D2D6F" w:rsidRPr="001D4587" w:rsidRDefault="0001643C" w:rsidP="003D627E">
      <w:pPr>
        <w:ind w:firstLine="567"/>
        <w:jc w:val="both"/>
      </w:pPr>
      <w:r w:rsidRPr="001D4587">
        <w:t xml:space="preserve">- </w:t>
      </w:r>
      <w:r w:rsidR="000D2D6F" w:rsidRPr="001D4587">
        <w:t>Dalībvalstij noteiktās SEG emisiju samazināšanas saistības 2020.gadam</w:t>
      </w:r>
      <w:r w:rsidRPr="001D4587">
        <w:t xml:space="preserve">. </w:t>
      </w:r>
      <w:r w:rsidR="00260133" w:rsidRPr="001D4587">
        <w:t xml:space="preserve">Latvija uzskata, ka, ja dalībvalstij 2020.gadā tika pieļauts emisiju palielinājums, tad nosakot mērķi 2030.gadām, aprēķinot SEG emisiju samazināšanas trajektoriju tas jāņem vērā. Pretējā gadījumā </w:t>
      </w:r>
      <w:r w:rsidR="000D2D6F" w:rsidRPr="001D4587">
        <w:t>dalībvalst</w:t>
      </w:r>
      <w:r w:rsidR="00260133" w:rsidRPr="001D4587">
        <w:t>īm</w:t>
      </w:r>
      <w:r w:rsidR="000D2D6F" w:rsidRPr="001D4587">
        <w:t>, kur</w:t>
      </w:r>
      <w:r w:rsidR="00260133" w:rsidRPr="001D4587">
        <w:t>ām</w:t>
      </w:r>
      <w:r w:rsidR="000D2D6F" w:rsidRPr="001D4587">
        <w:t xml:space="preserve"> uz 2020.gadu kopīgo saistību izpildes ietvaros ir pieļauts SEG emisiju palielinājums 2030.gadam tik</w:t>
      </w:r>
      <w:r w:rsidR="00260133" w:rsidRPr="001D4587">
        <w:t>tu</w:t>
      </w:r>
      <w:r w:rsidR="000D2D6F" w:rsidRPr="001D4587">
        <w:t xml:space="preserve"> </w:t>
      </w:r>
      <w:r w:rsidR="00260133" w:rsidRPr="001D4587">
        <w:t xml:space="preserve">noteikta </w:t>
      </w:r>
      <w:r w:rsidR="000D2D6F" w:rsidRPr="001D4587">
        <w:t>dubult</w:t>
      </w:r>
      <w:r w:rsidR="00260133" w:rsidRPr="001D4587">
        <w:t>a</w:t>
      </w:r>
      <w:r w:rsidR="000D2D6F" w:rsidRPr="001D4587">
        <w:t xml:space="preserve"> SEG emisiju samazinājum</w:t>
      </w:r>
      <w:r w:rsidR="00260133" w:rsidRPr="001D4587">
        <w:t>a prasība</w:t>
      </w:r>
      <w:r w:rsidR="000D2D6F" w:rsidRPr="001D4587">
        <w:t xml:space="preserve">, piemēram, ja valstij uz 2020.gadu ir pieļauts 10% palielinājums attiecībā pret 2005.gada SEG emisijām, bet uz 2030.gadu tiks noteikts 10% samazinājums attiecībā pret 2005.gadu, tad </w:t>
      </w:r>
      <w:r w:rsidR="00260133" w:rsidRPr="001D4587">
        <w:t xml:space="preserve">šai </w:t>
      </w:r>
      <w:r w:rsidR="000D2D6F" w:rsidRPr="001D4587">
        <w:t>dalībvalstij SEG emisijas īsā laika periodā būs jāsamazina 20% apjomā.</w:t>
      </w:r>
    </w:p>
    <w:p w:rsidR="00AF0C7F" w:rsidRPr="001D4587" w:rsidRDefault="00E65BA2" w:rsidP="003D627E">
      <w:pPr>
        <w:pStyle w:val="ListParagraph"/>
        <w:numPr>
          <w:ilvl w:val="0"/>
          <w:numId w:val="37"/>
        </w:numPr>
        <w:ind w:left="0" w:firstLine="567"/>
        <w:jc w:val="both"/>
      </w:pPr>
      <w:r w:rsidRPr="001D4587">
        <w:lastRenderedPageBreak/>
        <w:t>Vēsturiskie emisiju samazināšanas sasniegumi</w:t>
      </w:r>
      <w:r w:rsidR="0001643C" w:rsidRPr="001D4587">
        <w:t xml:space="preserve">. </w:t>
      </w:r>
      <w:r w:rsidRPr="001D4587">
        <w:t>Latvija uzskata, ka tām dalībvalstīm, kuras vēsturiski ir nodrošinājušas lielu SEG emisiju samazinājumu, nevajadzētu noteikt ļoti ambiciozu SEG emisiju samazināšanas nepieciešamību.</w:t>
      </w:r>
    </w:p>
    <w:p w:rsidR="00AF0C7F" w:rsidRPr="001D4587" w:rsidRDefault="00E65BA2" w:rsidP="003D627E">
      <w:pPr>
        <w:pStyle w:val="ListParagraph"/>
        <w:numPr>
          <w:ilvl w:val="0"/>
          <w:numId w:val="37"/>
        </w:numPr>
        <w:ind w:left="0" w:firstLine="567"/>
        <w:jc w:val="both"/>
      </w:pPr>
      <w:r w:rsidRPr="001D4587">
        <w:t>ETS un ne-ETS nozaru attiecība</w:t>
      </w:r>
      <w:r w:rsidR="0001643C" w:rsidRPr="001D4587">
        <w:t xml:space="preserve">. </w:t>
      </w:r>
      <w:r w:rsidRPr="001D4587">
        <w:t>Latvija uzskata, ka tām valstīm, kurām ETS īpatsvars kopējās valsts SEG emisijās ir neliels, būs grūtāk un dārgāk nodrošināt SEG emisiju samazināšanas mērķus ne-ETS sektoram, jo šī samazināšana ir tikai dalībvalstu atbildība un nosacījumi nav noteikti harmonizētā veidā, kā tas ir noteikts ETS sektoram.</w:t>
      </w:r>
    </w:p>
    <w:p w:rsidR="001B201B" w:rsidRPr="001D4587" w:rsidRDefault="000D2D6F" w:rsidP="003D627E">
      <w:pPr>
        <w:pStyle w:val="ListParagraph"/>
        <w:numPr>
          <w:ilvl w:val="0"/>
          <w:numId w:val="37"/>
        </w:numPr>
        <w:ind w:left="0" w:firstLine="567"/>
        <w:jc w:val="both"/>
      </w:pPr>
      <w:r w:rsidRPr="001D4587">
        <w:t>Enerģētiskās neatkarības nodrošināšana</w:t>
      </w:r>
      <w:r w:rsidR="00260133" w:rsidRPr="001D4587">
        <w:t>s nepieciešamība un iespējas</w:t>
      </w:r>
      <w:r w:rsidR="00157186" w:rsidRPr="001D4587">
        <w:t>.</w:t>
      </w:r>
      <w:r w:rsidR="0001643C" w:rsidRPr="001D4587">
        <w:t xml:space="preserve"> </w:t>
      </w:r>
      <w:r w:rsidR="00260133" w:rsidRPr="001D4587">
        <w:t>Ņemot vērā starptautisko kontekstu, n</w:t>
      </w:r>
      <w:r w:rsidRPr="001D4587">
        <w:t xml:space="preserve">osakot dalībvalsts SEG emisiju samazināšanas mērķis ir jāņem vērā </w:t>
      </w:r>
      <w:r w:rsidR="00260133" w:rsidRPr="001D4587">
        <w:t xml:space="preserve">ne vien </w:t>
      </w:r>
      <w:r w:rsidRPr="001D4587">
        <w:t xml:space="preserve">katras dalībvalsts </w:t>
      </w:r>
      <w:r w:rsidR="00260133" w:rsidRPr="001D4587">
        <w:t xml:space="preserve">SEG samazināšanas </w:t>
      </w:r>
      <w:r w:rsidRPr="001D4587">
        <w:t>iespējas</w:t>
      </w:r>
      <w:r w:rsidR="00260133" w:rsidRPr="001D4587">
        <w:t>, bet arī tas, vai šo SEG samazināšanas pasākumu īstenošanas rezultātā ir iespējams uzlabot enerģētisko neatkarību.</w:t>
      </w:r>
      <w:r w:rsidRPr="001D4587">
        <w:t xml:space="preserve"> </w:t>
      </w:r>
      <w:r w:rsidR="00260133" w:rsidRPr="001D4587">
        <w:t>Svarīgi radīt apstākļus tam, lai</w:t>
      </w:r>
      <w:r w:rsidR="001B201B" w:rsidRPr="001D4587">
        <w:t xml:space="preserve"> valstīm, kurām ir iespējas attīstīt savu vietējo </w:t>
      </w:r>
      <w:r w:rsidR="00260133" w:rsidRPr="001D4587">
        <w:t>energoresursu izmantošanu</w:t>
      </w:r>
      <w:r w:rsidR="001B201B" w:rsidRPr="001D4587">
        <w:t xml:space="preserve">, </w:t>
      </w:r>
      <w:r w:rsidR="00260133" w:rsidRPr="001D4587">
        <w:t xml:space="preserve">būtu iespējams </w:t>
      </w:r>
      <w:r w:rsidR="001B201B" w:rsidRPr="001D4587">
        <w:t>samazin</w:t>
      </w:r>
      <w:r w:rsidR="00260133" w:rsidRPr="001D4587">
        <w:t>ā</w:t>
      </w:r>
      <w:r w:rsidR="001B201B" w:rsidRPr="001D4587">
        <w:t>t energoresursu importu</w:t>
      </w:r>
      <w:r w:rsidR="00157186" w:rsidRPr="001D4587">
        <w:t>.</w:t>
      </w:r>
    </w:p>
    <w:p w:rsidR="00FE57F6" w:rsidRPr="001D4587" w:rsidRDefault="00FE57F6" w:rsidP="003D627E">
      <w:pPr>
        <w:pStyle w:val="NormalWeb"/>
        <w:spacing w:before="0" w:after="0"/>
        <w:ind w:left="0" w:right="-1" w:firstLine="567"/>
        <w:jc w:val="both"/>
        <w:rPr>
          <w:sz w:val="24"/>
          <w:szCs w:val="24"/>
        </w:rPr>
      </w:pPr>
    </w:p>
    <w:p w:rsidR="0074027D" w:rsidRPr="001D4587" w:rsidRDefault="0074027D" w:rsidP="003D627E">
      <w:pPr>
        <w:pStyle w:val="NormalWeb"/>
        <w:spacing w:before="0" w:after="0"/>
        <w:ind w:left="0" w:right="-1" w:firstLine="567"/>
        <w:jc w:val="both"/>
        <w:rPr>
          <w:sz w:val="24"/>
          <w:szCs w:val="24"/>
        </w:rPr>
      </w:pPr>
      <w:r w:rsidRPr="001D4587">
        <w:rPr>
          <w:sz w:val="24"/>
          <w:szCs w:val="24"/>
        </w:rPr>
        <w:t>Pusdienu tēm</w:t>
      </w:r>
      <w:r w:rsidR="00555CBF" w:rsidRPr="001D4587">
        <w:rPr>
          <w:sz w:val="24"/>
          <w:szCs w:val="24"/>
        </w:rPr>
        <w:t>a</w:t>
      </w:r>
      <w:r w:rsidRPr="001D4587">
        <w:rPr>
          <w:sz w:val="24"/>
          <w:szCs w:val="24"/>
        </w:rPr>
        <w:t xml:space="preserve">. </w:t>
      </w:r>
      <w:r w:rsidR="003F2DAB" w:rsidRPr="001D4587">
        <w:rPr>
          <w:sz w:val="24"/>
          <w:szCs w:val="24"/>
        </w:rPr>
        <w:t xml:space="preserve">Neformālās vides ministru padomes pusdienās paredzēta Apvienoto Nāciju </w:t>
      </w:r>
      <w:r w:rsidR="00294592" w:rsidRPr="001D4587">
        <w:rPr>
          <w:sz w:val="24"/>
          <w:szCs w:val="24"/>
        </w:rPr>
        <w:t xml:space="preserve">Organizācijas </w:t>
      </w:r>
      <w:r w:rsidR="003F2DAB" w:rsidRPr="001D4587">
        <w:rPr>
          <w:sz w:val="24"/>
          <w:szCs w:val="24"/>
        </w:rPr>
        <w:t xml:space="preserve">vides programmas (UNEP) vadītāja </w:t>
      </w:r>
      <w:proofErr w:type="spellStart"/>
      <w:r w:rsidR="003F2DAB" w:rsidRPr="001D4587">
        <w:rPr>
          <w:sz w:val="24"/>
          <w:szCs w:val="24"/>
        </w:rPr>
        <w:t>A.Štainera</w:t>
      </w:r>
      <w:proofErr w:type="spellEnd"/>
      <w:r w:rsidR="003F2DAB" w:rsidRPr="001D4587">
        <w:rPr>
          <w:sz w:val="24"/>
          <w:szCs w:val="24"/>
        </w:rPr>
        <w:t xml:space="preserve"> uzstāšanās sakarā ar šī gada 23.-27.jūnijā plānoto pirmo Apvienoto Nāciju vides asambleju (UNEA) un tajā izvirzītajiem diskusiju jautājumiem par vides aspektu iekļaušanu jaunajos ilgtspējīgas attīstības mērķos pēc 2015.gada, kā arī nelegālas tirdzniecības ar apdraudētajām savvaļas sugām izskaušanu</w:t>
      </w:r>
      <w:r w:rsidR="003F2DAB" w:rsidRPr="001D4587">
        <w:rPr>
          <w:rStyle w:val="FootnoteReference"/>
          <w:sz w:val="24"/>
          <w:szCs w:val="24"/>
        </w:rPr>
        <w:footnoteReference w:id="11"/>
      </w:r>
      <w:r w:rsidR="003F2DAB" w:rsidRPr="001D4587">
        <w:rPr>
          <w:sz w:val="24"/>
          <w:szCs w:val="24"/>
        </w:rPr>
        <w:t>. Tāpat ministriem būs iespēja paust viedokli par to, kāds rezultāts tiek sagaidīts no UNEA. Līdzšinējās ES dalībvalstu diskusijas liecina par to, ka UNEP vadītājs tiks aicināts sagatavot kā UNEA noslēguma dokumentu īsu politisku un kodolīgu pasaules valstu vides ministru deklarāciju, kas kalpotu kā ieguldījums sarunās par jaunajiem ilgtspējīgas attīstības mērķiem pēc 2015.gada un vides dimensij</w:t>
      </w:r>
      <w:r w:rsidR="0029260E" w:rsidRPr="001D4587">
        <w:rPr>
          <w:sz w:val="24"/>
          <w:szCs w:val="24"/>
        </w:rPr>
        <w:t>u</w:t>
      </w:r>
      <w:r w:rsidRPr="001D4587">
        <w:rPr>
          <w:sz w:val="24"/>
          <w:szCs w:val="24"/>
        </w:rPr>
        <w:t xml:space="preserve">. </w:t>
      </w:r>
    </w:p>
    <w:p w:rsidR="002E6763" w:rsidRPr="001D4587" w:rsidRDefault="002E6763" w:rsidP="003D627E">
      <w:pPr>
        <w:ind w:firstLine="567"/>
        <w:jc w:val="both"/>
        <w:rPr>
          <w:b/>
        </w:rPr>
      </w:pPr>
    </w:p>
    <w:p w:rsidR="008E02A7" w:rsidRPr="001D4587" w:rsidRDefault="008E02A7" w:rsidP="003D627E">
      <w:pPr>
        <w:ind w:firstLine="567"/>
        <w:jc w:val="both"/>
      </w:pPr>
      <w:r w:rsidRPr="001D4587">
        <w:rPr>
          <w:b/>
        </w:rPr>
        <w:t>Latvijas delegācija</w:t>
      </w:r>
      <w:r w:rsidRPr="001D4587">
        <w:t>:</w:t>
      </w:r>
    </w:p>
    <w:p w:rsidR="008E02A7" w:rsidRPr="001D4587" w:rsidRDefault="008E02A7" w:rsidP="003D627E">
      <w:pPr>
        <w:tabs>
          <w:tab w:val="left" w:pos="2835"/>
        </w:tabs>
        <w:ind w:firstLine="567"/>
        <w:jc w:val="both"/>
      </w:pPr>
      <w:r w:rsidRPr="001D4587">
        <w:t xml:space="preserve">Delegācijas vadītāji - </w:t>
      </w:r>
      <w:r w:rsidRPr="001D4587">
        <w:tab/>
      </w:r>
      <w:r w:rsidR="005B5A8B" w:rsidRPr="001D4587">
        <w:rPr>
          <w:b/>
        </w:rPr>
        <w:t>Guntis Puķītis</w:t>
      </w:r>
      <w:r w:rsidRPr="001D4587">
        <w:t xml:space="preserve">, vides aizsardzības un reģionālās attīstības </w:t>
      </w:r>
      <w:r w:rsidR="005B5A8B" w:rsidRPr="001D4587">
        <w:tab/>
      </w:r>
      <w:r w:rsidRPr="001D4587">
        <w:t>ministrijas valsts sekretār</w:t>
      </w:r>
      <w:r w:rsidR="005B5A8B" w:rsidRPr="001D4587">
        <w:t>s</w:t>
      </w:r>
      <w:r w:rsidR="00F92A74" w:rsidRPr="001D4587">
        <w:t>;</w:t>
      </w:r>
      <w:r w:rsidRPr="001D4587">
        <w:t xml:space="preserve"> </w:t>
      </w:r>
    </w:p>
    <w:p w:rsidR="008E02A7" w:rsidRPr="001D4587" w:rsidRDefault="008E02A7" w:rsidP="003D627E">
      <w:pPr>
        <w:ind w:firstLine="567"/>
        <w:jc w:val="both"/>
      </w:pPr>
      <w:r w:rsidRPr="001D4587">
        <w:t>Delegācijas dalībnieki -</w:t>
      </w:r>
      <w:r w:rsidRPr="001D4587">
        <w:tab/>
      </w:r>
      <w:r w:rsidRPr="001D4587">
        <w:rPr>
          <w:b/>
        </w:rPr>
        <w:t>Alda Ozola</w:t>
      </w:r>
      <w:r w:rsidRPr="001D4587">
        <w:t xml:space="preserve">, Vides aizsardzības un reģionālās attīstības </w:t>
      </w:r>
      <w:r w:rsidRPr="001D4587">
        <w:tab/>
      </w:r>
      <w:r w:rsidRPr="001D4587">
        <w:tab/>
      </w:r>
      <w:r w:rsidRPr="001D4587">
        <w:tab/>
      </w:r>
      <w:r w:rsidRPr="001D4587">
        <w:tab/>
      </w:r>
      <w:r w:rsidRPr="001D4587">
        <w:tab/>
        <w:t xml:space="preserve">ministrijas valsts sekretāra vietniece vides aizsardzības </w:t>
      </w:r>
      <w:r w:rsidRPr="001D4587">
        <w:tab/>
      </w:r>
      <w:r w:rsidRPr="001D4587">
        <w:tab/>
      </w:r>
      <w:r w:rsidRPr="001D4587">
        <w:tab/>
      </w:r>
      <w:r w:rsidRPr="001D4587">
        <w:tab/>
      </w:r>
      <w:r w:rsidRPr="001D4587">
        <w:tab/>
        <w:t>jautājumos;</w:t>
      </w:r>
    </w:p>
    <w:p w:rsidR="008E02A7" w:rsidRPr="001D4587" w:rsidRDefault="008E02A7" w:rsidP="003D627E">
      <w:pPr>
        <w:ind w:firstLine="567"/>
        <w:jc w:val="both"/>
      </w:pPr>
      <w:r w:rsidRPr="001D4587">
        <w:rPr>
          <w:b/>
        </w:rPr>
        <w:tab/>
      </w:r>
      <w:r w:rsidRPr="001D4587">
        <w:rPr>
          <w:b/>
        </w:rPr>
        <w:tab/>
      </w:r>
      <w:r w:rsidRPr="001D4587">
        <w:rPr>
          <w:b/>
        </w:rPr>
        <w:tab/>
      </w:r>
      <w:r w:rsidRPr="001D4587">
        <w:rPr>
          <w:b/>
        </w:rPr>
        <w:tab/>
        <w:t>Linda Leja</w:t>
      </w:r>
      <w:r w:rsidRPr="001D4587">
        <w:t xml:space="preserve">, </w:t>
      </w:r>
      <w:r w:rsidR="00612B8F" w:rsidRPr="001D4587">
        <w:t xml:space="preserve">Vides aizsardzības un reģionālās attīstības </w:t>
      </w:r>
      <w:r w:rsidR="00612B8F" w:rsidRPr="001D4587">
        <w:tab/>
      </w:r>
      <w:r w:rsidR="00612B8F" w:rsidRPr="001D4587">
        <w:tab/>
      </w:r>
      <w:r w:rsidR="00612B8F" w:rsidRPr="001D4587">
        <w:tab/>
      </w:r>
      <w:r w:rsidR="00612B8F" w:rsidRPr="001D4587">
        <w:tab/>
      </w:r>
      <w:r w:rsidR="00612B8F" w:rsidRPr="001D4587">
        <w:tab/>
        <w:t>ministrijas nozares padomniece.</w:t>
      </w:r>
    </w:p>
    <w:p w:rsidR="000E4B69" w:rsidRPr="001D4587" w:rsidRDefault="008E02A7" w:rsidP="003D627E">
      <w:pPr>
        <w:ind w:firstLine="567"/>
        <w:jc w:val="both"/>
      </w:pPr>
      <w:r w:rsidRPr="001D4587">
        <w:tab/>
      </w:r>
      <w:r w:rsidRPr="001D4587">
        <w:tab/>
      </w:r>
      <w:r w:rsidRPr="001D4587">
        <w:tab/>
      </w:r>
      <w:r w:rsidRPr="001D4587">
        <w:tab/>
      </w:r>
    </w:p>
    <w:p w:rsidR="00871227" w:rsidRPr="001D4587" w:rsidRDefault="00871227" w:rsidP="003D627E">
      <w:pPr>
        <w:ind w:firstLine="567"/>
        <w:jc w:val="both"/>
      </w:pPr>
      <w:r w:rsidRPr="001D4587">
        <w:t xml:space="preserve">Vides aizsardzības un reģionālās attīstības ministra </w:t>
      </w:r>
      <w:r w:rsidRPr="001D4587">
        <w:tab/>
      </w:r>
      <w:proofErr w:type="spellStart"/>
      <w:r w:rsidRPr="001D4587">
        <w:t>p.i</w:t>
      </w:r>
      <w:proofErr w:type="spellEnd"/>
      <w:r w:rsidRPr="001D4587">
        <w:t>.</w:t>
      </w:r>
    </w:p>
    <w:p w:rsidR="00362B2A" w:rsidRPr="001D4587" w:rsidRDefault="00E21598" w:rsidP="003D627E">
      <w:pPr>
        <w:ind w:firstLine="567"/>
        <w:jc w:val="both"/>
      </w:pPr>
      <w:r w:rsidRPr="001D4587">
        <w:t>Zemkopības ministrs</w:t>
      </w:r>
      <w:r w:rsidR="00871227" w:rsidRPr="001D4587">
        <w:tab/>
      </w:r>
      <w:r w:rsidR="00871227" w:rsidRPr="001D4587">
        <w:tab/>
      </w:r>
      <w:r w:rsidR="00871227" w:rsidRPr="001D4587">
        <w:tab/>
      </w:r>
      <w:r w:rsidR="00871227" w:rsidRPr="001D4587">
        <w:tab/>
      </w:r>
      <w:r w:rsidR="00871227" w:rsidRPr="001D4587">
        <w:tab/>
      </w:r>
      <w:r w:rsidR="00871227" w:rsidRPr="001D4587">
        <w:tab/>
      </w:r>
      <w:r w:rsidR="00871227" w:rsidRPr="001D4587">
        <w:tab/>
      </w:r>
      <w:r w:rsidR="00871227" w:rsidRPr="001D4587">
        <w:tab/>
      </w:r>
      <w:proofErr w:type="spellStart"/>
      <w:r w:rsidRPr="001D4587">
        <w:t>J.Dūklavs</w:t>
      </w:r>
      <w:proofErr w:type="spellEnd"/>
    </w:p>
    <w:p w:rsidR="0029260E" w:rsidRPr="001D4587" w:rsidRDefault="0029260E" w:rsidP="003D627E">
      <w:pPr>
        <w:ind w:firstLine="567"/>
        <w:jc w:val="both"/>
      </w:pPr>
    </w:p>
    <w:p w:rsidR="00140408" w:rsidRPr="001D4587" w:rsidRDefault="00140408" w:rsidP="003D627E">
      <w:pPr>
        <w:ind w:firstLine="567"/>
        <w:jc w:val="both"/>
      </w:pPr>
      <w:r w:rsidRPr="001D4587">
        <w:t>Vīza:</w:t>
      </w:r>
    </w:p>
    <w:p w:rsidR="00825F1B" w:rsidRPr="001D4587" w:rsidRDefault="00825F1B" w:rsidP="003D627E">
      <w:pPr>
        <w:ind w:firstLine="567"/>
        <w:jc w:val="both"/>
      </w:pPr>
      <w:r w:rsidRPr="001D4587">
        <w:t>Vides aizsardzības un</w:t>
      </w:r>
    </w:p>
    <w:p w:rsidR="00140408" w:rsidRPr="001D4587" w:rsidRDefault="00825F1B" w:rsidP="003D627E">
      <w:pPr>
        <w:ind w:firstLine="567"/>
        <w:jc w:val="both"/>
      </w:pPr>
      <w:r w:rsidRPr="001D4587">
        <w:t>reģionālās attīstības ministrijas v</w:t>
      </w:r>
      <w:r w:rsidR="00242BC6" w:rsidRPr="001D4587">
        <w:t>alsts sekretār</w:t>
      </w:r>
      <w:r w:rsidR="004A2845" w:rsidRPr="001D4587">
        <w:t xml:space="preserve">s </w:t>
      </w:r>
      <w:r w:rsidR="004A2845" w:rsidRPr="001D4587">
        <w:tab/>
      </w:r>
      <w:r w:rsidR="004A2845" w:rsidRPr="001D4587">
        <w:tab/>
      </w:r>
      <w:r w:rsidR="004A2845" w:rsidRPr="001D4587">
        <w:tab/>
      </w:r>
      <w:r w:rsidR="004A2845" w:rsidRPr="001D4587">
        <w:tab/>
      </w:r>
      <w:r w:rsidR="008E02A7" w:rsidRPr="001D4587">
        <w:t>G.Puķītis</w:t>
      </w:r>
    </w:p>
    <w:p w:rsidR="00D42625" w:rsidRPr="001D4587" w:rsidRDefault="00D42625" w:rsidP="003D627E">
      <w:pPr>
        <w:tabs>
          <w:tab w:val="right" w:pos="9072"/>
        </w:tabs>
        <w:ind w:firstLine="567"/>
        <w:jc w:val="both"/>
      </w:pPr>
    </w:p>
    <w:p w:rsidR="00452D3D" w:rsidRPr="001D4587" w:rsidRDefault="007F31C6" w:rsidP="003D627E">
      <w:pPr>
        <w:ind w:firstLine="567"/>
        <w:jc w:val="both"/>
      </w:pPr>
      <w:r w:rsidRPr="001D4587">
        <w:fldChar w:fldCharType="begin"/>
      </w:r>
      <w:r w:rsidR="00342A14" w:rsidRPr="001D4587">
        <w:instrText xml:space="preserve"> SAVEDATE  \@ "dd.MM.yyyy. H:mm"  \* MERGEFORMAT </w:instrText>
      </w:r>
      <w:r w:rsidRPr="001D4587">
        <w:fldChar w:fldCharType="separate"/>
      </w:r>
      <w:r w:rsidR="005C49AD">
        <w:rPr>
          <w:noProof/>
        </w:rPr>
        <w:t>10.05.2014. 8:45</w:t>
      </w:r>
      <w:r w:rsidRPr="001D4587">
        <w:rPr>
          <w:noProof/>
        </w:rPr>
        <w:fldChar w:fldCharType="end"/>
      </w:r>
    </w:p>
    <w:p w:rsidR="00452D3D" w:rsidRPr="001D4587" w:rsidRDefault="007F31C6" w:rsidP="003D627E">
      <w:pPr>
        <w:tabs>
          <w:tab w:val="left" w:pos="3695"/>
        </w:tabs>
        <w:ind w:firstLine="567"/>
        <w:jc w:val="both"/>
      </w:pPr>
      <w:fldSimple w:instr=" NUMWORDS   \* MERGEFORMAT ">
        <w:r w:rsidR="005C49AD">
          <w:rPr>
            <w:noProof/>
          </w:rPr>
          <w:t>4379</w:t>
        </w:r>
      </w:fldSimple>
      <w:r w:rsidR="00452D3D" w:rsidRPr="001D4587">
        <w:tab/>
      </w:r>
    </w:p>
    <w:p w:rsidR="00452D3D" w:rsidRPr="001D4587" w:rsidRDefault="00452D3D" w:rsidP="003D627E">
      <w:pPr>
        <w:ind w:firstLine="567"/>
        <w:jc w:val="both"/>
      </w:pPr>
      <w:r w:rsidRPr="001D4587">
        <w:t>Vonda</w:t>
      </w:r>
    </w:p>
    <w:p w:rsidR="00140408" w:rsidRPr="001D4587" w:rsidRDefault="00452D3D" w:rsidP="003D627E">
      <w:pPr>
        <w:ind w:firstLine="567"/>
        <w:jc w:val="both"/>
      </w:pPr>
      <w:r w:rsidRPr="001D4587">
        <w:t xml:space="preserve">67026554, </w:t>
      </w:r>
      <w:hyperlink r:id="rId8" w:history="1">
        <w:r w:rsidRPr="001D4587">
          <w:rPr>
            <w:rStyle w:val="Hyperlink"/>
            <w:color w:val="auto"/>
          </w:rPr>
          <w:t>ilze.vonda@varam.gov.lv</w:t>
        </w:r>
      </w:hyperlink>
    </w:p>
    <w:sectPr w:rsidR="00140408" w:rsidRPr="001D4587" w:rsidSect="0019130F">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1B" w:rsidRDefault="00E0031B" w:rsidP="00AE6879">
      <w:r>
        <w:separator/>
      </w:r>
    </w:p>
  </w:endnote>
  <w:endnote w:type="continuationSeparator" w:id="0">
    <w:p w:rsidR="00E0031B" w:rsidRDefault="00E0031B"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1B" w:rsidRPr="00A96EC0" w:rsidRDefault="00E0031B" w:rsidP="000823F3">
    <w:pPr>
      <w:pStyle w:val="Footer"/>
      <w:ind w:right="360"/>
      <w:jc w:val="both"/>
      <w:rPr>
        <w:sz w:val="8"/>
        <w:szCs w:val="8"/>
      </w:rPr>
    </w:pPr>
  </w:p>
  <w:p w:rsidR="00E0031B" w:rsidRPr="00A96EC0" w:rsidRDefault="007F31C6" w:rsidP="002827E5">
    <w:pPr>
      <w:pStyle w:val="Footer"/>
      <w:ind w:right="360"/>
      <w:jc w:val="both"/>
      <w:rPr>
        <w:sz w:val="20"/>
        <w:szCs w:val="20"/>
      </w:rPr>
    </w:pPr>
    <w:r w:rsidRPr="00A96EC0">
      <w:rPr>
        <w:sz w:val="20"/>
        <w:szCs w:val="20"/>
      </w:rPr>
      <w:fldChar w:fldCharType="begin"/>
    </w:r>
    <w:r w:rsidR="00E0031B" w:rsidRPr="00A96EC0">
      <w:rPr>
        <w:sz w:val="20"/>
        <w:szCs w:val="20"/>
      </w:rPr>
      <w:instrText xml:space="preserve"> FILENAME </w:instrText>
    </w:r>
    <w:r w:rsidRPr="00A96EC0">
      <w:rPr>
        <w:sz w:val="20"/>
        <w:szCs w:val="20"/>
      </w:rPr>
      <w:fldChar w:fldCharType="separate"/>
    </w:r>
    <w:r w:rsidR="00E0031B" w:rsidRPr="00A96EC0">
      <w:rPr>
        <w:noProof/>
        <w:sz w:val="20"/>
        <w:szCs w:val="20"/>
      </w:rPr>
      <w:t>VARAMzino_</w:t>
    </w:r>
    <w:r w:rsidR="00E0031B">
      <w:rPr>
        <w:noProof/>
        <w:sz w:val="20"/>
        <w:szCs w:val="20"/>
      </w:rPr>
      <w:t>10</w:t>
    </w:r>
    <w:r w:rsidR="00E0031B" w:rsidRPr="00A96EC0">
      <w:rPr>
        <w:noProof/>
        <w:sz w:val="20"/>
        <w:szCs w:val="20"/>
      </w:rPr>
      <w:t>0514_informal</w:t>
    </w:r>
    <w:r w:rsidRPr="00A96EC0">
      <w:rPr>
        <w:sz w:val="20"/>
        <w:szCs w:val="20"/>
      </w:rPr>
      <w:fldChar w:fldCharType="end"/>
    </w:r>
    <w:r w:rsidR="00E0031B" w:rsidRPr="00A96EC0">
      <w:rPr>
        <w:sz w:val="20"/>
        <w:szCs w:val="20"/>
      </w:rPr>
      <w:t>; Informatīvais ziņojums „Par 2014.gada 14.maijā neformālajā Eiropas Savienības Vides ministru padomē izskatāmajiem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1B" w:rsidRPr="00A96EC0" w:rsidRDefault="00E0031B" w:rsidP="00A96EC0">
    <w:pPr>
      <w:pStyle w:val="Footer"/>
      <w:ind w:right="360"/>
      <w:jc w:val="both"/>
      <w:rPr>
        <w:sz w:val="8"/>
        <w:szCs w:val="8"/>
      </w:rPr>
    </w:pPr>
  </w:p>
  <w:p w:rsidR="00E0031B" w:rsidRPr="00A96EC0" w:rsidRDefault="007F31C6" w:rsidP="00A96EC0">
    <w:pPr>
      <w:pStyle w:val="Footer"/>
      <w:ind w:right="360"/>
      <w:jc w:val="both"/>
      <w:rPr>
        <w:sz w:val="20"/>
        <w:szCs w:val="20"/>
      </w:rPr>
    </w:pPr>
    <w:r w:rsidRPr="00A96EC0">
      <w:rPr>
        <w:sz w:val="20"/>
        <w:szCs w:val="20"/>
      </w:rPr>
      <w:fldChar w:fldCharType="begin"/>
    </w:r>
    <w:r w:rsidR="00E0031B" w:rsidRPr="00A96EC0">
      <w:rPr>
        <w:sz w:val="20"/>
        <w:szCs w:val="20"/>
      </w:rPr>
      <w:instrText xml:space="preserve"> FILENAME </w:instrText>
    </w:r>
    <w:r w:rsidRPr="00A96EC0">
      <w:rPr>
        <w:sz w:val="20"/>
        <w:szCs w:val="20"/>
      </w:rPr>
      <w:fldChar w:fldCharType="separate"/>
    </w:r>
    <w:r w:rsidR="00E0031B" w:rsidRPr="00A96EC0">
      <w:rPr>
        <w:noProof/>
        <w:sz w:val="20"/>
        <w:szCs w:val="20"/>
      </w:rPr>
      <w:t>VARAMzino_</w:t>
    </w:r>
    <w:r w:rsidR="00E0031B">
      <w:rPr>
        <w:noProof/>
        <w:sz w:val="20"/>
        <w:szCs w:val="20"/>
      </w:rPr>
      <w:t>10</w:t>
    </w:r>
    <w:r w:rsidR="00E0031B" w:rsidRPr="00A96EC0">
      <w:rPr>
        <w:noProof/>
        <w:sz w:val="20"/>
        <w:szCs w:val="20"/>
      </w:rPr>
      <w:t>0514_informal</w:t>
    </w:r>
    <w:r w:rsidRPr="00A96EC0">
      <w:rPr>
        <w:sz w:val="20"/>
        <w:szCs w:val="20"/>
      </w:rPr>
      <w:fldChar w:fldCharType="end"/>
    </w:r>
    <w:r w:rsidR="00E0031B" w:rsidRPr="00A96EC0">
      <w:rPr>
        <w:sz w:val="20"/>
        <w:szCs w:val="20"/>
      </w:rPr>
      <w:t xml:space="preserve">; </w:t>
    </w:r>
    <w:bookmarkStart w:id="2" w:name="OLE_LINK3"/>
    <w:bookmarkStart w:id="3" w:name="OLE_LINK4"/>
    <w:r w:rsidR="00E0031B" w:rsidRPr="00A96EC0">
      <w:rPr>
        <w:sz w:val="20"/>
        <w:szCs w:val="20"/>
      </w:rPr>
      <w:t>Informatīvais ziņojums „Par 2014.gada 14.maijā neformālajā Eiropas Savienības Vides ministru padomē izskatāmajiem jautājumiem”</w:t>
    </w:r>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1B" w:rsidRDefault="00E0031B" w:rsidP="00AE6879">
      <w:r>
        <w:separator/>
      </w:r>
    </w:p>
  </w:footnote>
  <w:footnote w:type="continuationSeparator" w:id="0">
    <w:p w:rsidR="00E0031B" w:rsidRDefault="00E0031B" w:rsidP="00AE6879">
      <w:r>
        <w:continuationSeparator/>
      </w:r>
    </w:p>
  </w:footnote>
  <w:footnote w:id="1">
    <w:p w:rsidR="00E0031B" w:rsidRPr="0029260E" w:rsidRDefault="00E0031B" w:rsidP="00910645">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Eiropas Parlamenta un Padomes</w:t>
      </w:r>
      <w:r w:rsidRPr="0029260E">
        <w:rPr>
          <w:rFonts w:ascii="Times New Roman" w:hAnsi="Times New Roman" w:cs="Times New Roman"/>
          <w:b/>
          <w:sz w:val="18"/>
          <w:szCs w:val="18"/>
        </w:rPr>
        <w:t xml:space="preserve"> </w:t>
      </w:r>
      <w:r w:rsidRPr="0029260E">
        <w:rPr>
          <w:rFonts w:ascii="Times New Roman" w:hAnsi="Times New Roman" w:cs="Times New Roman"/>
          <w:sz w:val="18"/>
          <w:szCs w:val="18"/>
        </w:rPr>
        <w:t xml:space="preserve">2008. gada 17. jūnija Direktīvas 2008/56/EK, ar ko izveido sistēmu Kopienas rīcībai jūras vides politikas jomā </w:t>
      </w:r>
    </w:p>
  </w:footnote>
  <w:footnote w:id="2">
    <w:p w:rsidR="00E0031B" w:rsidRPr="0029260E" w:rsidRDefault="00E0031B" w:rsidP="005767C1">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Jūras vides stāvokļa sākotnējais novērtējums. LHEI, 2012. Pieejams: </w:t>
      </w:r>
      <w:r w:rsidRPr="0029260E">
        <w:rPr>
          <w:rFonts w:ascii="Times New Roman" w:hAnsi="Times New Roman" w:cs="Times New Roman"/>
          <w:i/>
          <w:sz w:val="18"/>
          <w:szCs w:val="18"/>
        </w:rPr>
        <w:t>http://www.lhei.lv/lv/jurasdirektiva.php</w:t>
      </w:r>
    </w:p>
  </w:footnote>
  <w:footnote w:id="3">
    <w:p w:rsidR="00E0031B" w:rsidRPr="0029260E" w:rsidRDefault="00E0031B" w:rsidP="0029260E">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The</w:t>
      </w:r>
      <w:proofErr w:type="spellEnd"/>
      <w:r w:rsidRPr="0029260E">
        <w:rPr>
          <w:rFonts w:ascii="Times New Roman" w:hAnsi="Times New Roman" w:cs="Times New Roman"/>
          <w:sz w:val="18"/>
          <w:szCs w:val="18"/>
        </w:rPr>
        <w:t xml:space="preserve"> first </w:t>
      </w:r>
      <w:proofErr w:type="spellStart"/>
      <w:r w:rsidRPr="0029260E">
        <w:rPr>
          <w:rFonts w:ascii="Times New Roman" w:hAnsi="Times New Roman" w:cs="Times New Roman"/>
          <w:sz w:val="18"/>
          <w:szCs w:val="18"/>
        </w:rPr>
        <w:t>phase</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of</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implementation</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of</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the</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Marine</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Strategy</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Framework</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Directive</w:t>
      </w:r>
      <w:proofErr w:type="spellEnd"/>
      <w:r w:rsidRPr="0029260E">
        <w:rPr>
          <w:rFonts w:ascii="Times New Roman" w:hAnsi="Times New Roman" w:cs="Times New Roman"/>
          <w:sz w:val="18"/>
          <w:szCs w:val="18"/>
        </w:rPr>
        <w:t xml:space="preserve"> (2008/56/EC) (COM(2014) 97 </w:t>
      </w:r>
      <w:proofErr w:type="spellStart"/>
      <w:r w:rsidRPr="0029260E">
        <w:rPr>
          <w:rFonts w:ascii="Times New Roman" w:hAnsi="Times New Roman" w:cs="Times New Roman"/>
          <w:sz w:val="18"/>
          <w:szCs w:val="18"/>
        </w:rPr>
        <w:t>final</w:t>
      </w:r>
      <w:proofErr w:type="spellEnd"/>
      <w:r w:rsidRPr="0029260E">
        <w:rPr>
          <w:rFonts w:ascii="Times New Roman" w:hAnsi="Times New Roman" w:cs="Times New Roman"/>
          <w:sz w:val="18"/>
          <w:szCs w:val="18"/>
        </w:rPr>
        <w:t>). Pieejams: http://ec.europa.eu/transparency/regdoc/rep/1/2014/EN/1-2014-97-EN-F1-1.Pdf</w:t>
      </w:r>
    </w:p>
  </w:footnote>
  <w:footnote w:id="4">
    <w:p w:rsidR="00E0031B" w:rsidRPr="0029260E" w:rsidRDefault="00E0031B" w:rsidP="0029260E">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Marine</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messages</w:t>
      </w:r>
      <w:proofErr w:type="spellEnd"/>
      <w:r w:rsidRPr="0029260E">
        <w:rPr>
          <w:rFonts w:ascii="Times New Roman" w:hAnsi="Times New Roman" w:cs="Times New Roman"/>
          <w:sz w:val="18"/>
          <w:szCs w:val="18"/>
        </w:rPr>
        <w:t xml:space="preserve">. EEA, 2014. Pieejams: </w:t>
      </w:r>
      <w:hyperlink r:id="rId1" w:history="1">
        <w:r w:rsidRPr="0029260E">
          <w:rPr>
            <w:rStyle w:val="Hyperlink"/>
            <w:rFonts w:ascii="Times New Roman" w:hAnsi="Times New Roman" w:cs="Times New Roman"/>
            <w:sz w:val="18"/>
            <w:szCs w:val="18"/>
          </w:rPr>
          <w:t>http://www.eea.europa.eu/publications/marine-messages</w:t>
        </w:r>
      </w:hyperlink>
      <w:r w:rsidRPr="0029260E">
        <w:rPr>
          <w:rFonts w:ascii="Times New Roman" w:hAnsi="Times New Roman" w:cs="Times New Roman"/>
          <w:sz w:val="18"/>
          <w:szCs w:val="18"/>
        </w:rPr>
        <w:t xml:space="preserve"> </w:t>
      </w:r>
    </w:p>
  </w:footnote>
  <w:footnote w:id="5">
    <w:p w:rsidR="00E0031B" w:rsidRPr="0029260E" w:rsidRDefault="00E0031B" w:rsidP="0029260E">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http://www.europarl.europa.eu/sides/getDoc.do?pubRef=-//EP//TEXT+REPORT+A7-2013-0379+0+DOC+XML+V0//LV</w:t>
      </w:r>
    </w:p>
  </w:footnote>
  <w:footnote w:id="6">
    <w:p w:rsidR="00E0031B" w:rsidRPr="00FC0885" w:rsidRDefault="00E0031B" w:rsidP="0029260E">
      <w:pPr>
        <w:pStyle w:val="FootnoteText"/>
        <w:spacing w:after="0" w:line="240" w:lineRule="auto"/>
        <w:rPr>
          <w:rFonts w:ascii="Times New Roman" w:hAnsi="Times New Roman" w:cs="Times New Roman"/>
          <w:sz w:val="18"/>
          <w:szCs w:val="18"/>
        </w:rPr>
      </w:pPr>
      <w:r w:rsidRPr="00FC0885">
        <w:rPr>
          <w:rStyle w:val="FootnoteReference"/>
          <w:rFonts w:ascii="Times New Roman" w:hAnsi="Times New Roman" w:cs="Times New Roman"/>
          <w:sz w:val="18"/>
          <w:szCs w:val="18"/>
        </w:rPr>
        <w:footnoteRef/>
      </w:r>
      <w:r w:rsidRPr="00FC0885">
        <w:rPr>
          <w:rFonts w:ascii="Times New Roman" w:hAnsi="Times New Roman" w:cs="Times New Roman"/>
          <w:sz w:val="18"/>
          <w:szCs w:val="18"/>
        </w:rPr>
        <w:t xml:space="preserve"> 2012. gada 28. augusta Eiropas Komisijas Zaļā grāmata „Zināšanas par jūru 2020 – no jūras dibena kartēšanas līdz prognozēm par turpmākajām norisēm jūrā” (COM(2012) 473).</w:t>
      </w:r>
    </w:p>
  </w:footnote>
  <w:footnote w:id="7">
    <w:p w:rsidR="00E0031B" w:rsidRPr="0029260E" w:rsidRDefault="00E0031B" w:rsidP="0029260E">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Konvencijas par bioloģisko daudzveidību pušu konferencē apstiprinātie stratēģiskie mērķi bioloģiskās daudzveidības samazināšanās apturēšanai</w:t>
      </w:r>
    </w:p>
  </w:footnote>
  <w:footnote w:id="8">
    <w:p w:rsidR="00E0031B" w:rsidRPr="0029260E" w:rsidRDefault="00E0031B" w:rsidP="0029260E">
      <w:pPr>
        <w:pStyle w:val="FootnoteText"/>
        <w:spacing w:after="0" w:line="240" w:lineRule="auto"/>
        <w:rPr>
          <w:rFonts w:ascii="Times New Roman" w:hAnsi="Times New Roman" w:cs="Times New Roman"/>
          <w:sz w:val="18"/>
          <w:szCs w:val="18"/>
        </w:rPr>
      </w:pPr>
      <w:r w:rsidRPr="0029260E">
        <w:rPr>
          <w:rStyle w:val="FootnoteReference"/>
          <w:rFonts w:ascii="Times New Roman" w:hAnsi="Times New Roman" w:cs="Times New Roman"/>
          <w:sz w:val="18"/>
          <w:szCs w:val="18"/>
        </w:rPr>
        <w:footnoteRef/>
      </w:r>
      <w:r w:rsidRPr="0029260E">
        <w:rPr>
          <w:rFonts w:ascii="Times New Roman" w:hAnsi="Times New Roman" w:cs="Times New Roman"/>
          <w:sz w:val="18"/>
          <w:szCs w:val="18"/>
        </w:rPr>
        <w:t xml:space="preserve"> QELRC - kvantitatīvas emisiju ierobežošanas vai samazināšanas saistības; </w:t>
      </w:r>
      <w:proofErr w:type="spellStart"/>
      <w:r w:rsidRPr="0029260E">
        <w:rPr>
          <w:rFonts w:ascii="Times New Roman" w:hAnsi="Times New Roman" w:cs="Times New Roman"/>
          <w:sz w:val="18"/>
          <w:szCs w:val="18"/>
        </w:rPr>
        <w:t>quantified</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emission</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limitation</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or</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reduction</w:t>
      </w:r>
      <w:proofErr w:type="spellEnd"/>
      <w:r w:rsidRPr="0029260E">
        <w:rPr>
          <w:rFonts w:ascii="Times New Roman" w:hAnsi="Times New Roman" w:cs="Times New Roman"/>
          <w:sz w:val="18"/>
          <w:szCs w:val="18"/>
        </w:rPr>
        <w:t xml:space="preserve"> </w:t>
      </w:r>
      <w:proofErr w:type="spellStart"/>
      <w:r w:rsidRPr="0029260E">
        <w:rPr>
          <w:rFonts w:ascii="Times New Roman" w:hAnsi="Times New Roman" w:cs="Times New Roman"/>
          <w:sz w:val="18"/>
          <w:szCs w:val="18"/>
        </w:rPr>
        <w:t>commitment</w:t>
      </w:r>
      <w:proofErr w:type="spellEnd"/>
    </w:p>
  </w:footnote>
  <w:footnote w:id="9">
    <w:p w:rsidR="00E0031B" w:rsidRPr="00C30AD4" w:rsidRDefault="00E0031B" w:rsidP="00EE6FCD">
      <w:pPr>
        <w:pStyle w:val="FootnoteText"/>
        <w:spacing w:after="0"/>
        <w:rPr>
          <w:rFonts w:ascii="Times New Roman" w:hAnsi="Times New Roman" w:cs="Times New Roman"/>
          <w:sz w:val="16"/>
          <w:szCs w:val="16"/>
        </w:rPr>
      </w:pPr>
      <w:r w:rsidRPr="00C30AD4">
        <w:rPr>
          <w:rStyle w:val="FootnoteReference"/>
          <w:rFonts w:ascii="Times New Roman" w:hAnsi="Times New Roman" w:cs="Times New Roman"/>
          <w:sz w:val="16"/>
          <w:szCs w:val="16"/>
        </w:rPr>
        <w:footnoteRef/>
      </w:r>
      <w:r w:rsidRPr="00C30AD4">
        <w:rPr>
          <w:rFonts w:ascii="Times New Roman" w:hAnsi="Times New Roman" w:cs="Times New Roman"/>
          <w:sz w:val="16"/>
          <w:szCs w:val="16"/>
        </w:rPr>
        <w:t xml:space="preserve"> Eiropas Parlamenta un Padomes lēmums Nr. 529/2013/ES (2013. gada 21. maijs) par uzskaites noteikumiem attiecībā uz siltumnīcefekta gāzu emisijām un piesaisti, kas rodas darbībās, kuras saistītas ar zemes izmantošanu, zemes izmantošanas maiņu un mežsaimniecību, un par informāciju par rīcību, kas saistīta ar šīm darbībām</w:t>
      </w:r>
    </w:p>
  </w:footnote>
  <w:footnote w:id="10">
    <w:p w:rsidR="00E0031B" w:rsidRPr="00C30AD4" w:rsidRDefault="00E0031B" w:rsidP="00EE6FCD">
      <w:pPr>
        <w:overflowPunct w:val="0"/>
        <w:jc w:val="both"/>
        <w:textAlignment w:val="baseline"/>
        <w:rPr>
          <w:sz w:val="16"/>
          <w:szCs w:val="16"/>
        </w:rPr>
      </w:pPr>
      <w:r w:rsidRPr="00C30AD4">
        <w:rPr>
          <w:rStyle w:val="FootnoteReference"/>
          <w:sz w:val="16"/>
          <w:szCs w:val="16"/>
        </w:rPr>
        <w:footnoteRef/>
      </w:r>
      <w:r w:rsidRPr="00C30AD4">
        <w:rPr>
          <w:sz w:val="16"/>
          <w:szCs w:val="16"/>
        </w:rPr>
        <w:t xml:space="preserve"> </w:t>
      </w:r>
      <w:r w:rsidRPr="00C30AD4">
        <w:rPr>
          <w:rFonts w:eastAsia="Calibri"/>
          <w:bCs/>
          <w:sz w:val="16"/>
          <w:szCs w:val="16"/>
        </w:rPr>
        <w:t>Meža apsaimniekošanas references līmenis</w:t>
      </w:r>
      <w:r w:rsidRPr="00C30AD4">
        <w:rPr>
          <w:rFonts w:eastAsia="Calibri"/>
          <w:sz w:val="16"/>
          <w:szCs w:val="16"/>
        </w:rPr>
        <w:t xml:space="preserve"> ir pēc noteiktas metodikas noteikta </w:t>
      </w:r>
      <w:r w:rsidRPr="00C30AD4">
        <w:rPr>
          <w:rFonts w:eastAsia="Calibri"/>
          <w:bCs/>
          <w:sz w:val="16"/>
          <w:szCs w:val="16"/>
        </w:rPr>
        <w:t>prognozēta</w:t>
      </w:r>
      <w:r w:rsidRPr="00C30AD4">
        <w:rPr>
          <w:rFonts w:eastAsia="Calibri"/>
          <w:sz w:val="16"/>
          <w:szCs w:val="16"/>
        </w:rPr>
        <w:t xml:space="preserve"> aplēse </w:t>
      </w:r>
      <w:r w:rsidRPr="00C30AD4">
        <w:rPr>
          <w:rFonts w:eastAsia="Calibri"/>
          <w:bCs/>
          <w:sz w:val="16"/>
          <w:szCs w:val="16"/>
        </w:rPr>
        <w:t>par 2013.-2020.gadu perioda vidējo</w:t>
      </w:r>
      <w:r w:rsidRPr="00C30AD4">
        <w:rPr>
          <w:rFonts w:eastAsia="Calibri"/>
          <w:sz w:val="16"/>
          <w:szCs w:val="16"/>
        </w:rPr>
        <w:t xml:space="preserve"> SEG emisiju un to piesaistes apjomu, kas meža apsaimniekošanas rezultātā rodas valsts teritorijā</w:t>
      </w:r>
    </w:p>
  </w:footnote>
  <w:footnote w:id="11">
    <w:p w:rsidR="00E0031B" w:rsidRPr="0001500E" w:rsidRDefault="00E0031B" w:rsidP="0001500E">
      <w:pPr>
        <w:pStyle w:val="FootnoteText"/>
        <w:jc w:val="both"/>
        <w:rPr>
          <w:rFonts w:ascii="Times New Roman" w:hAnsi="Times New Roman" w:cs="Times New Roman"/>
          <w:sz w:val="16"/>
          <w:szCs w:val="16"/>
        </w:rPr>
      </w:pPr>
      <w:r>
        <w:rPr>
          <w:rStyle w:val="FootnoteReference"/>
        </w:rPr>
        <w:footnoteRef/>
      </w:r>
      <w:r>
        <w:t xml:space="preserve">  </w:t>
      </w:r>
      <w:r w:rsidRPr="0001500E">
        <w:rPr>
          <w:rFonts w:ascii="Times New Roman" w:hAnsi="Times New Roman" w:cs="Times New Roman"/>
          <w:noProof/>
          <w:sz w:val="16"/>
          <w:szCs w:val="16"/>
        </w:rPr>
        <w:t>Nesenā ANO rezolūcijā tika atzīts, ka dzīvnieku un augu nelikumīga tirdzniecība ir "smaga organizētās noziedzības forma".</w:t>
      </w:r>
      <w:r w:rsidRPr="0001500E">
        <w:rPr>
          <w:rFonts w:ascii="Times New Roman" w:hAnsi="Times New Roman" w:cs="Times New Roman"/>
          <w:sz w:val="16"/>
          <w:szCs w:val="16"/>
        </w:rPr>
        <w:t xml:space="preserve"> Problēmas risināšana starptautiskā līmenī uzsākta 1973.gadā, pieņemot Vašingtonas Konvenciju par starptautisko tirdzniecību ar apdraudētajām savvaļas dzīvnieku un augu sugām</w:t>
      </w:r>
      <w:r w:rsidRPr="0001500E">
        <w:rPr>
          <w:rStyle w:val="FootnoteReference"/>
          <w:rFonts w:ascii="Times New Roman" w:hAnsi="Times New Roman" w:cs="Times New Roman"/>
          <w:sz w:val="16"/>
          <w:szCs w:val="16"/>
        </w:rPr>
        <w:footnoteRef/>
      </w:r>
      <w:r w:rsidRPr="0001500E">
        <w:rPr>
          <w:rFonts w:ascii="Times New Roman" w:hAnsi="Times New Roman" w:cs="Times New Roman"/>
          <w:sz w:val="16"/>
          <w:szCs w:val="16"/>
        </w:rPr>
        <w:t>.</w:t>
      </w:r>
      <w:proofErr w:type="gramStart"/>
      <w:r w:rsidRPr="0001500E">
        <w:rPr>
          <w:rFonts w:ascii="Times New Roman" w:hAnsi="Times New Roman" w:cs="Times New Roman"/>
          <w:sz w:val="16"/>
          <w:szCs w:val="16"/>
        </w:rPr>
        <w:t xml:space="preserve">  </w:t>
      </w:r>
      <w:proofErr w:type="gramEnd"/>
      <w:r w:rsidR="0029260E">
        <w:rPr>
          <w:rFonts w:ascii="Times New Roman" w:hAnsi="Times New Roman" w:cs="Times New Roman"/>
          <w:sz w:val="16"/>
          <w:szCs w:val="16"/>
        </w:rPr>
        <w:t>Šīs</w:t>
      </w:r>
      <w:r w:rsidRPr="0001500E">
        <w:rPr>
          <w:rFonts w:ascii="Times New Roman" w:hAnsi="Times New Roman" w:cs="Times New Roman"/>
          <w:sz w:val="16"/>
          <w:szCs w:val="16"/>
        </w:rPr>
        <w:t xml:space="preserve">  konvencijas dalībvalstis ar īpašu atļauju sistēmas palīdzību regulē un seko līdzi tirdzniecībai ar vairāk nekā 30 000 savvaļas augu un dzīvnieku un no tiem gatavotiem izstrādājumiem.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1B" w:rsidRDefault="007F31C6" w:rsidP="00B7472F">
    <w:pPr>
      <w:pStyle w:val="Header"/>
      <w:framePr w:wrap="around" w:vAnchor="text" w:hAnchor="margin" w:xAlign="center" w:y="1"/>
      <w:rPr>
        <w:rStyle w:val="PageNumber"/>
      </w:rPr>
    </w:pPr>
    <w:r>
      <w:rPr>
        <w:rStyle w:val="PageNumber"/>
      </w:rPr>
      <w:fldChar w:fldCharType="begin"/>
    </w:r>
    <w:r w:rsidR="00E0031B">
      <w:rPr>
        <w:rStyle w:val="PageNumber"/>
      </w:rPr>
      <w:instrText xml:space="preserve">PAGE  </w:instrText>
    </w:r>
    <w:r>
      <w:rPr>
        <w:rStyle w:val="PageNumber"/>
      </w:rPr>
      <w:fldChar w:fldCharType="end"/>
    </w:r>
  </w:p>
  <w:p w:rsidR="00E0031B" w:rsidRDefault="00E00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1B" w:rsidRDefault="007F31C6" w:rsidP="00B7472F">
    <w:pPr>
      <w:pStyle w:val="Header"/>
      <w:framePr w:wrap="around" w:vAnchor="text" w:hAnchor="margin" w:xAlign="center" w:y="1"/>
      <w:rPr>
        <w:rStyle w:val="PageNumber"/>
      </w:rPr>
    </w:pPr>
    <w:r>
      <w:rPr>
        <w:rStyle w:val="PageNumber"/>
      </w:rPr>
      <w:fldChar w:fldCharType="begin"/>
    </w:r>
    <w:r w:rsidR="00E0031B">
      <w:rPr>
        <w:rStyle w:val="PageNumber"/>
      </w:rPr>
      <w:instrText xml:space="preserve">PAGE  </w:instrText>
    </w:r>
    <w:r>
      <w:rPr>
        <w:rStyle w:val="PageNumber"/>
      </w:rPr>
      <w:fldChar w:fldCharType="separate"/>
    </w:r>
    <w:r w:rsidR="005C49AD">
      <w:rPr>
        <w:rStyle w:val="PageNumber"/>
        <w:noProof/>
      </w:rPr>
      <w:t>10</w:t>
    </w:r>
    <w:r>
      <w:rPr>
        <w:rStyle w:val="PageNumber"/>
      </w:rPr>
      <w:fldChar w:fldCharType="end"/>
    </w:r>
  </w:p>
  <w:p w:rsidR="00E0031B" w:rsidRDefault="00E0031B">
    <w:pPr>
      <w:pStyle w:val="Header"/>
    </w:pPr>
  </w:p>
  <w:p w:rsidR="00E0031B" w:rsidRDefault="00E0031B" w:rsidP="00B7472F">
    <w:pPr>
      <w:pStyle w:val="Header"/>
      <w:jc w:val="center"/>
    </w:pPr>
  </w:p>
  <w:p w:rsidR="00E0031B" w:rsidRDefault="00E0031B"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1B" w:rsidRDefault="00E0031B"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299"/>
    <w:multiLevelType w:val="hybridMultilevel"/>
    <w:tmpl w:val="F31E8480"/>
    <w:lvl w:ilvl="0" w:tplc="C2802B70">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AF7ECB"/>
    <w:multiLevelType w:val="hybridMultilevel"/>
    <w:tmpl w:val="16F2A4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316E99"/>
    <w:multiLevelType w:val="hybridMultilevel"/>
    <w:tmpl w:val="760AC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09562A"/>
    <w:multiLevelType w:val="hybridMultilevel"/>
    <w:tmpl w:val="972AA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89544A"/>
    <w:multiLevelType w:val="hybridMultilevel"/>
    <w:tmpl w:val="3D6CD270"/>
    <w:lvl w:ilvl="0" w:tplc="0C3A8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97B2833"/>
    <w:multiLevelType w:val="hybridMultilevel"/>
    <w:tmpl w:val="900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B30038"/>
    <w:multiLevelType w:val="hybridMultilevel"/>
    <w:tmpl w:val="1120410A"/>
    <w:lvl w:ilvl="0" w:tplc="D53882E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27CF778A"/>
    <w:multiLevelType w:val="hybridMultilevel"/>
    <w:tmpl w:val="7DFC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4472E1"/>
    <w:multiLevelType w:val="hybridMultilevel"/>
    <w:tmpl w:val="CEB2290E"/>
    <w:lvl w:ilvl="0" w:tplc="5052CFCE">
      <w:start w:val="201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5534AB"/>
    <w:multiLevelType w:val="hybridMultilevel"/>
    <w:tmpl w:val="D06C574C"/>
    <w:lvl w:ilvl="0" w:tplc="D90061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3CF3DA8"/>
    <w:multiLevelType w:val="hybridMultilevel"/>
    <w:tmpl w:val="3D6E16A4"/>
    <w:lvl w:ilvl="0" w:tplc="F1D0504E">
      <w:start w:val="2"/>
      <w:numFmt w:val="decimal"/>
      <w:lvlText w:val="%1."/>
      <w:lvlJc w:val="left"/>
      <w:pPr>
        <w:ind w:left="1080" w:hanging="360"/>
      </w:pPr>
      <w:rPr>
        <w:rFonts w:hint="default"/>
        <w:sz w:val="1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3FC0CA8"/>
    <w:multiLevelType w:val="hybridMultilevel"/>
    <w:tmpl w:val="EA380A52"/>
    <w:lvl w:ilvl="0" w:tplc="9154C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96F09D1"/>
    <w:multiLevelType w:val="hybridMultilevel"/>
    <w:tmpl w:val="BB8A126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3A3643"/>
    <w:multiLevelType w:val="hybridMultilevel"/>
    <w:tmpl w:val="900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131BAF"/>
    <w:multiLevelType w:val="hybridMultilevel"/>
    <w:tmpl w:val="53C41848"/>
    <w:lvl w:ilvl="0" w:tplc="885EDF7C">
      <w:numFmt w:val="bullet"/>
      <w:lvlText w:val="•"/>
      <w:lvlJc w:val="left"/>
      <w:pPr>
        <w:ind w:left="1962" w:hanging="1395"/>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3E0DD0"/>
    <w:multiLevelType w:val="hybridMultilevel"/>
    <w:tmpl w:val="FA10F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AF699C"/>
    <w:multiLevelType w:val="hybridMultilevel"/>
    <w:tmpl w:val="3A80AEE4"/>
    <w:lvl w:ilvl="0" w:tplc="A6B2892E">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9903C3"/>
    <w:multiLevelType w:val="hybridMultilevel"/>
    <w:tmpl w:val="0136B96A"/>
    <w:lvl w:ilvl="0" w:tplc="3ED6F1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676199"/>
    <w:multiLevelType w:val="hybridMultilevel"/>
    <w:tmpl w:val="D2AEFF2C"/>
    <w:lvl w:ilvl="0" w:tplc="5FA47F44">
      <w:start w:val="5"/>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1">
    <w:nsid w:val="4C3A24E9"/>
    <w:multiLevelType w:val="hybridMultilevel"/>
    <w:tmpl w:val="728285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CE81C1D"/>
    <w:multiLevelType w:val="hybridMultilevel"/>
    <w:tmpl w:val="8FB0C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FB18E0"/>
    <w:multiLevelType w:val="hybridMultilevel"/>
    <w:tmpl w:val="FF26E0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nsid w:val="51DA4BE6"/>
    <w:multiLevelType w:val="hybridMultilevel"/>
    <w:tmpl w:val="8BE45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2B65076"/>
    <w:multiLevelType w:val="hybridMultilevel"/>
    <w:tmpl w:val="5D7257DE"/>
    <w:lvl w:ilvl="0" w:tplc="117E73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AF0051"/>
    <w:multiLevelType w:val="hybridMultilevel"/>
    <w:tmpl w:val="A384843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nsid w:val="57F631DA"/>
    <w:multiLevelType w:val="hybridMultilevel"/>
    <w:tmpl w:val="D4C04F84"/>
    <w:lvl w:ilvl="0" w:tplc="4FBEC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8C07C35"/>
    <w:multiLevelType w:val="hybridMultilevel"/>
    <w:tmpl w:val="B3C64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9903AD4"/>
    <w:multiLevelType w:val="multilevel"/>
    <w:tmpl w:val="426A49F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BB90647"/>
    <w:multiLevelType w:val="multilevel"/>
    <w:tmpl w:val="057E21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045486"/>
    <w:multiLevelType w:val="hybridMultilevel"/>
    <w:tmpl w:val="CE121C08"/>
    <w:lvl w:ilvl="0" w:tplc="3ED6F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FF57C1"/>
    <w:multiLevelType w:val="hybridMultilevel"/>
    <w:tmpl w:val="900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EF68D9"/>
    <w:multiLevelType w:val="multilevel"/>
    <w:tmpl w:val="76D8A166"/>
    <w:lvl w:ilvl="0">
      <w:start w:val="1"/>
      <w:numFmt w:val="decimal"/>
      <w:lvlText w:val="%1."/>
      <w:lvlJc w:val="left"/>
      <w:pPr>
        <w:ind w:left="752"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78"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82" w:hanging="108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768" w:hanging="1800"/>
      </w:pPr>
      <w:rPr>
        <w:rFonts w:hint="default"/>
      </w:rPr>
    </w:lvl>
  </w:abstractNum>
  <w:abstractNum w:abstractNumId="35">
    <w:nsid w:val="63B2758E"/>
    <w:multiLevelType w:val="hybridMultilevel"/>
    <w:tmpl w:val="A746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46667D9"/>
    <w:multiLevelType w:val="hybridMultilevel"/>
    <w:tmpl w:val="3A8C6CCC"/>
    <w:lvl w:ilvl="0" w:tplc="F522C21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4D345B2"/>
    <w:multiLevelType w:val="hybridMultilevel"/>
    <w:tmpl w:val="2E1E9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6632A9D"/>
    <w:multiLevelType w:val="hybridMultilevel"/>
    <w:tmpl w:val="655A8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6A92FB8"/>
    <w:multiLevelType w:val="hybridMultilevel"/>
    <w:tmpl w:val="E9F8644A"/>
    <w:lvl w:ilvl="0" w:tplc="BD0CEB9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C112329"/>
    <w:multiLevelType w:val="hybridMultilevel"/>
    <w:tmpl w:val="4EC2E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C3B5CC3"/>
    <w:multiLevelType w:val="hybridMultilevel"/>
    <w:tmpl w:val="4262F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EE75B3F"/>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1161EE3"/>
    <w:multiLevelType w:val="hybridMultilevel"/>
    <w:tmpl w:val="BB44A45E"/>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28536E1"/>
    <w:multiLevelType w:val="multilevel"/>
    <w:tmpl w:val="3510285A"/>
    <w:lvl w:ilvl="0">
      <w:start w:val="1"/>
      <w:numFmt w:val="decimal"/>
      <w:lvlText w:val="%1."/>
      <w:lvlJc w:val="left"/>
      <w:pPr>
        <w:ind w:left="752" w:hanging="360"/>
      </w:pPr>
      <w:rPr>
        <w:rFonts w:hint="default"/>
      </w:rPr>
    </w:lvl>
    <w:lvl w:ilvl="1">
      <w:start w:val="1"/>
      <w:numFmt w:val="bullet"/>
      <w:lvlText w:val=""/>
      <w:lvlJc w:val="left"/>
      <w:pPr>
        <w:ind w:left="1074" w:hanging="360"/>
      </w:pPr>
      <w:rPr>
        <w:rFonts w:ascii="Symbol" w:hAnsi="Symbol"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78"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82" w:hanging="108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768" w:hanging="1800"/>
      </w:pPr>
      <w:rPr>
        <w:rFonts w:hint="default"/>
      </w:rPr>
    </w:lvl>
  </w:abstractNum>
  <w:abstractNum w:abstractNumId="45">
    <w:nsid w:val="72AB5879"/>
    <w:multiLevelType w:val="multilevel"/>
    <w:tmpl w:val="7AD23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8A4246"/>
    <w:multiLevelType w:val="hybridMultilevel"/>
    <w:tmpl w:val="BC689C02"/>
    <w:lvl w:ilvl="0" w:tplc="C8C00122">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D26781B"/>
    <w:multiLevelType w:val="hybridMultilevel"/>
    <w:tmpl w:val="6BECDD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2"/>
  </w:num>
  <w:num w:numId="8">
    <w:abstractNumId w:val="41"/>
  </w:num>
  <w:num w:numId="9">
    <w:abstractNumId w:val="12"/>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6"/>
  </w:num>
  <w:num w:numId="16">
    <w:abstractNumId w:val="0"/>
  </w:num>
  <w:num w:numId="17">
    <w:abstractNumId w:val="18"/>
  </w:num>
  <w:num w:numId="18">
    <w:abstractNumId w:val="17"/>
  </w:num>
  <w:num w:numId="19">
    <w:abstractNumId w:val="1"/>
  </w:num>
  <w:num w:numId="20">
    <w:abstractNumId w:val="32"/>
  </w:num>
  <w:num w:numId="21">
    <w:abstractNumId w:val="19"/>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14"/>
  </w:num>
  <w:num w:numId="27">
    <w:abstractNumId w:val="31"/>
  </w:num>
  <w:num w:numId="28">
    <w:abstractNumId w:val="4"/>
  </w:num>
  <w:num w:numId="29">
    <w:abstractNumId w:val="38"/>
  </w:num>
  <w:num w:numId="30">
    <w:abstractNumId w:val="37"/>
  </w:num>
  <w:num w:numId="31">
    <w:abstractNumId w:val="22"/>
  </w:num>
  <w:num w:numId="32">
    <w:abstractNumId w:val="2"/>
  </w:num>
  <w:num w:numId="33">
    <w:abstractNumId w:val="24"/>
  </w:num>
  <w:num w:numId="34">
    <w:abstractNumId w:val="29"/>
  </w:num>
  <w:num w:numId="35">
    <w:abstractNumId w:val="5"/>
  </w:num>
  <w:num w:numId="36">
    <w:abstractNumId w:val="45"/>
  </w:num>
  <w:num w:numId="37">
    <w:abstractNumId w:val="39"/>
  </w:num>
  <w:num w:numId="38">
    <w:abstractNumId w:val="3"/>
  </w:num>
  <w:num w:numId="39">
    <w:abstractNumId w:val="35"/>
  </w:num>
  <w:num w:numId="40">
    <w:abstractNumId w:val="20"/>
  </w:num>
  <w:num w:numId="41">
    <w:abstractNumId w:val="13"/>
  </w:num>
  <w:num w:numId="42">
    <w:abstractNumId w:val="47"/>
  </w:num>
  <w:num w:numId="43">
    <w:abstractNumId w:val="9"/>
  </w:num>
  <w:num w:numId="44">
    <w:abstractNumId w:val="40"/>
  </w:num>
  <w:num w:numId="45">
    <w:abstractNumId w:val="11"/>
  </w:num>
  <w:num w:numId="46">
    <w:abstractNumId w:val="34"/>
  </w:num>
  <w:num w:numId="47">
    <w:abstractNumId w:val="44"/>
  </w:num>
  <w:num w:numId="48">
    <w:abstractNumId w:val="6"/>
  </w:num>
  <w:num w:numId="49">
    <w:abstractNumId w:val="1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rsids>
    <w:rsidRoot w:val="00D23877"/>
    <w:rsid w:val="00001836"/>
    <w:rsid w:val="00006009"/>
    <w:rsid w:val="00010BAC"/>
    <w:rsid w:val="00014696"/>
    <w:rsid w:val="0001500E"/>
    <w:rsid w:val="0001643C"/>
    <w:rsid w:val="00023147"/>
    <w:rsid w:val="0002530B"/>
    <w:rsid w:val="000263A3"/>
    <w:rsid w:val="0003192C"/>
    <w:rsid w:val="00037722"/>
    <w:rsid w:val="00040FA6"/>
    <w:rsid w:val="000418C2"/>
    <w:rsid w:val="00041C8E"/>
    <w:rsid w:val="000423C7"/>
    <w:rsid w:val="000465FB"/>
    <w:rsid w:val="00050876"/>
    <w:rsid w:val="00054C24"/>
    <w:rsid w:val="000554D6"/>
    <w:rsid w:val="000624D3"/>
    <w:rsid w:val="00063806"/>
    <w:rsid w:val="00066F55"/>
    <w:rsid w:val="00070954"/>
    <w:rsid w:val="00073CF5"/>
    <w:rsid w:val="000809F4"/>
    <w:rsid w:val="000823F3"/>
    <w:rsid w:val="0009606E"/>
    <w:rsid w:val="00096389"/>
    <w:rsid w:val="000B1949"/>
    <w:rsid w:val="000C35D1"/>
    <w:rsid w:val="000C5D68"/>
    <w:rsid w:val="000D12B3"/>
    <w:rsid w:val="000D2D6F"/>
    <w:rsid w:val="000E06FD"/>
    <w:rsid w:val="000E18F7"/>
    <w:rsid w:val="000E4B69"/>
    <w:rsid w:val="00100CCC"/>
    <w:rsid w:val="001014CB"/>
    <w:rsid w:val="0010357E"/>
    <w:rsid w:val="00106B73"/>
    <w:rsid w:val="00110C18"/>
    <w:rsid w:val="00114C33"/>
    <w:rsid w:val="0011554A"/>
    <w:rsid w:val="00130637"/>
    <w:rsid w:val="00136CC2"/>
    <w:rsid w:val="00140408"/>
    <w:rsid w:val="00142D4A"/>
    <w:rsid w:val="001500F9"/>
    <w:rsid w:val="0015025C"/>
    <w:rsid w:val="00151D32"/>
    <w:rsid w:val="00152835"/>
    <w:rsid w:val="00157186"/>
    <w:rsid w:val="001604B8"/>
    <w:rsid w:val="00161067"/>
    <w:rsid w:val="00183F17"/>
    <w:rsid w:val="0018726C"/>
    <w:rsid w:val="0019070E"/>
    <w:rsid w:val="0019130F"/>
    <w:rsid w:val="00191C10"/>
    <w:rsid w:val="00195426"/>
    <w:rsid w:val="00196FFF"/>
    <w:rsid w:val="001A125F"/>
    <w:rsid w:val="001A2F65"/>
    <w:rsid w:val="001A7C05"/>
    <w:rsid w:val="001B00BB"/>
    <w:rsid w:val="001B201B"/>
    <w:rsid w:val="001C64FB"/>
    <w:rsid w:val="001D2C00"/>
    <w:rsid w:val="001D4587"/>
    <w:rsid w:val="001E0611"/>
    <w:rsid w:val="001E1A2A"/>
    <w:rsid w:val="001E2297"/>
    <w:rsid w:val="001E4454"/>
    <w:rsid w:val="001F1502"/>
    <w:rsid w:val="001F1BE7"/>
    <w:rsid w:val="001F3612"/>
    <w:rsid w:val="001F3DE8"/>
    <w:rsid w:val="0020742E"/>
    <w:rsid w:val="00223A0A"/>
    <w:rsid w:val="00225058"/>
    <w:rsid w:val="002253BE"/>
    <w:rsid w:val="00225FAF"/>
    <w:rsid w:val="00226C5D"/>
    <w:rsid w:val="00234ACB"/>
    <w:rsid w:val="00235DDD"/>
    <w:rsid w:val="0023719E"/>
    <w:rsid w:val="00237FCF"/>
    <w:rsid w:val="00242BC6"/>
    <w:rsid w:val="00246557"/>
    <w:rsid w:val="00251E57"/>
    <w:rsid w:val="00252996"/>
    <w:rsid w:val="0025595A"/>
    <w:rsid w:val="00260133"/>
    <w:rsid w:val="002620D0"/>
    <w:rsid w:val="002628CC"/>
    <w:rsid w:val="00266A03"/>
    <w:rsid w:val="002700E7"/>
    <w:rsid w:val="00273498"/>
    <w:rsid w:val="002808C2"/>
    <w:rsid w:val="00280A6E"/>
    <w:rsid w:val="002827E5"/>
    <w:rsid w:val="00283C60"/>
    <w:rsid w:val="00284162"/>
    <w:rsid w:val="00285A15"/>
    <w:rsid w:val="0028652C"/>
    <w:rsid w:val="0029260E"/>
    <w:rsid w:val="00293098"/>
    <w:rsid w:val="00293E75"/>
    <w:rsid w:val="00294592"/>
    <w:rsid w:val="002A1668"/>
    <w:rsid w:val="002A3263"/>
    <w:rsid w:val="002B0231"/>
    <w:rsid w:val="002B0771"/>
    <w:rsid w:val="002B1427"/>
    <w:rsid w:val="002B4138"/>
    <w:rsid w:val="002B6FEB"/>
    <w:rsid w:val="002C291E"/>
    <w:rsid w:val="002C2DE6"/>
    <w:rsid w:val="002D0B77"/>
    <w:rsid w:val="002E613F"/>
    <w:rsid w:val="002E6668"/>
    <w:rsid w:val="002E6763"/>
    <w:rsid w:val="002F1A3F"/>
    <w:rsid w:val="002F3049"/>
    <w:rsid w:val="002F648E"/>
    <w:rsid w:val="003028E8"/>
    <w:rsid w:val="00304B9E"/>
    <w:rsid w:val="003060E9"/>
    <w:rsid w:val="00310C04"/>
    <w:rsid w:val="003130BA"/>
    <w:rsid w:val="003147AD"/>
    <w:rsid w:val="00317213"/>
    <w:rsid w:val="00320FF7"/>
    <w:rsid w:val="00334FCE"/>
    <w:rsid w:val="0034006C"/>
    <w:rsid w:val="00341220"/>
    <w:rsid w:val="00341E98"/>
    <w:rsid w:val="00342A14"/>
    <w:rsid w:val="00342E1E"/>
    <w:rsid w:val="003458AC"/>
    <w:rsid w:val="003473B3"/>
    <w:rsid w:val="00351715"/>
    <w:rsid w:val="00356633"/>
    <w:rsid w:val="00362B2A"/>
    <w:rsid w:val="003632CD"/>
    <w:rsid w:val="00364CEE"/>
    <w:rsid w:val="0037362F"/>
    <w:rsid w:val="003772F2"/>
    <w:rsid w:val="00377DE2"/>
    <w:rsid w:val="00392A73"/>
    <w:rsid w:val="003968DC"/>
    <w:rsid w:val="003B0ED4"/>
    <w:rsid w:val="003B43B9"/>
    <w:rsid w:val="003C35D3"/>
    <w:rsid w:val="003C3D20"/>
    <w:rsid w:val="003C5BF3"/>
    <w:rsid w:val="003D252D"/>
    <w:rsid w:val="003D627E"/>
    <w:rsid w:val="003D62BF"/>
    <w:rsid w:val="003E2AC5"/>
    <w:rsid w:val="003E33CC"/>
    <w:rsid w:val="003E443D"/>
    <w:rsid w:val="003E5408"/>
    <w:rsid w:val="003E72A8"/>
    <w:rsid w:val="003F2DAB"/>
    <w:rsid w:val="00404E96"/>
    <w:rsid w:val="004058D2"/>
    <w:rsid w:val="00407037"/>
    <w:rsid w:val="00414D62"/>
    <w:rsid w:val="00415825"/>
    <w:rsid w:val="00423468"/>
    <w:rsid w:val="00423DF1"/>
    <w:rsid w:val="004310CF"/>
    <w:rsid w:val="00433DE3"/>
    <w:rsid w:val="00436ED5"/>
    <w:rsid w:val="0044206D"/>
    <w:rsid w:val="004500B6"/>
    <w:rsid w:val="00452899"/>
    <w:rsid w:val="00452D3D"/>
    <w:rsid w:val="0045406B"/>
    <w:rsid w:val="00455753"/>
    <w:rsid w:val="00460860"/>
    <w:rsid w:val="00460FB9"/>
    <w:rsid w:val="0046320D"/>
    <w:rsid w:val="0046550E"/>
    <w:rsid w:val="00466939"/>
    <w:rsid w:val="00466D54"/>
    <w:rsid w:val="00471CC1"/>
    <w:rsid w:val="00472EB0"/>
    <w:rsid w:val="00475191"/>
    <w:rsid w:val="00494EE2"/>
    <w:rsid w:val="00496221"/>
    <w:rsid w:val="004A2845"/>
    <w:rsid w:val="004B4D8B"/>
    <w:rsid w:val="004B7424"/>
    <w:rsid w:val="004C03AF"/>
    <w:rsid w:val="004C12FA"/>
    <w:rsid w:val="004C1748"/>
    <w:rsid w:val="004C494D"/>
    <w:rsid w:val="004C6576"/>
    <w:rsid w:val="004C6A01"/>
    <w:rsid w:val="004D4B05"/>
    <w:rsid w:val="004D6851"/>
    <w:rsid w:val="004D7B75"/>
    <w:rsid w:val="004E2037"/>
    <w:rsid w:val="004E3F4C"/>
    <w:rsid w:val="004E6076"/>
    <w:rsid w:val="004E6A71"/>
    <w:rsid w:val="004F2540"/>
    <w:rsid w:val="004F3075"/>
    <w:rsid w:val="004F5661"/>
    <w:rsid w:val="004F7352"/>
    <w:rsid w:val="00505ABE"/>
    <w:rsid w:val="00507CBC"/>
    <w:rsid w:val="00513F70"/>
    <w:rsid w:val="0052541D"/>
    <w:rsid w:val="00525A9A"/>
    <w:rsid w:val="0052692D"/>
    <w:rsid w:val="00527F4B"/>
    <w:rsid w:val="00531AFC"/>
    <w:rsid w:val="00543BF8"/>
    <w:rsid w:val="00550D46"/>
    <w:rsid w:val="00552058"/>
    <w:rsid w:val="005520E0"/>
    <w:rsid w:val="0055327F"/>
    <w:rsid w:val="005545F0"/>
    <w:rsid w:val="00554B70"/>
    <w:rsid w:val="00555CBF"/>
    <w:rsid w:val="00557512"/>
    <w:rsid w:val="00557FF0"/>
    <w:rsid w:val="005626CD"/>
    <w:rsid w:val="0057554A"/>
    <w:rsid w:val="005763BC"/>
    <w:rsid w:val="005767C1"/>
    <w:rsid w:val="00584AF5"/>
    <w:rsid w:val="0058650D"/>
    <w:rsid w:val="00587B09"/>
    <w:rsid w:val="00592756"/>
    <w:rsid w:val="00592BA0"/>
    <w:rsid w:val="005A6446"/>
    <w:rsid w:val="005B5A8B"/>
    <w:rsid w:val="005B64F0"/>
    <w:rsid w:val="005C2437"/>
    <w:rsid w:val="005C49AD"/>
    <w:rsid w:val="005D37B2"/>
    <w:rsid w:val="005D5A1D"/>
    <w:rsid w:val="005D5D48"/>
    <w:rsid w:val="005E652A"/>
    <w:rsid w:val="005F5A6B"/>
    <w:rsid w:val="005F6491"/>
    <w:rsid w:val="005F6569"/>
    <w:rsid w:val="006002A8"/>
    <w:rsid w:val="00610C03"/>
    <w:rsid w:val="00612B8F"/>
    <w:rsid w:val="0062593C"/>
    <w:rsid w:val="0062615E"/>
    <w:rsid w:val="00630378"/>
    <w:rsid w:val="00630D14"/>
    <w:rsid w:val="006313B3"/>
    <w:rsid w:val="00633933"/>
    <w:rsid w:val="00633BAD"/>
    <w:rsid w:val="006349A4"/>
    <w:rsid w:val="0063760C"/>
    <w:rsid w:val="00641B04"/>
    <w:rsid w:val="00641F54"/>
    <w:rsid w:val="006547E9"/>
    <w:rsid w:val="0065786D"/>
    <w:rsid w:val="00660DB8"/>
    <w:rsid w:val="0066118E"/>
    <w:rsid w:val="00663F16"/>
    <w:rsid w:val="00667CFD"/>
    <w:rsid w:val="00672203"/>
    <w:rsid w:val="00675220"/>
    <w:rsid w:val="006755C4"/>
    <w:rsid w:val="00677968"/>
    <w:rsid w:val="00681F2B"/>
    <w:rsid w:val="00692AEE"/>
    <w:rsid w:val="00695ABA"/>
    <w:rsid w:val="00696244"/>
    <w:rsid w:val="006A1E64"/>
    <w:rsid w:val="006A3161"/>
    <w:rsid w:val="006A51FB"/>
    <w:rsid w:val="006A5748"/>
    <w:rsid w:val="006A631B"/>
    <w:rsid w:val="006A6C33"/>
    <w:rsid w:val="006B0852"/>
    <w:rsid w:val="006D38BD"/>
    <w:rsid w:val="006D4BA1"/>
    <w:rsid w:val="006E2C1D"/>
    <w:rsid w:val="006E707D"/>
    <w:rsid w:val="006F6AA2"/>
    <w:rsid w:val="007024BF"/>
    <w:rsid w:val="007030B9"/>
    <w:rsid w:val="00707209"/>
    <w:rsid w:val="0071253F"/>
    <w:rsid w:val="00712A40"/>
    <w:rsid w:val="00716AEA"/>
    <w:rsid w:val="00717C52"/>
    <w:rsid w:val="0072158E"/>
    <w:rsid w:val="00725634"/>
    <w:rsid w:val="007320B8"/>
    <w:rsid w:val="00734575"/>
    <w:rsid w:val="007401E0"/>
    <w:rsid w:val="0074027D"/>
    <w:rsid w:val="007554E6"/>
    <w:rsid w:val="00762FA3"/>
    <w:rsid w:val="00764DEE"/>
    <w:rsid w:val="00765918"/>
    <w:rsid w:val="00765DAF"/>
    <w:rsid w:val="0078215E"/>
    <w:rsid w:val="00784403"/>
    <w:rsid w:val="00786BAF"/>
    <w:rsid w:val="007870E9"/>
    <w:rsid w:val="00797523"/>
    <w:rsid w:val="007A07AD"/>
    <w:rsid w:val="007A07C8"/>
    <w:rsid w:val="007A5045"/>
    <w:rsid w:val="007A5674"/>
    <w:rsid w:val="007B12F8"/>
    <w:rsid w:val="007B2E76"/>
    <w:rsid w:val="007C1FE3"/>
    <w:rsid w:val="007C308B"/>
    <w:rsid w:val="007C3BEE"/>
    <w:rsid w:val="007D4DDE"/>
    <w:rsid w:val="007D509A"/>
    <w:rsid w:val="007D6686"/>
    <w:rsid w:val="007E0A56"/>
    <w:rsid w:val="007E2C96"/>
    <w:rsid w:val="007E2D69"/>
    <w:rsid w:val="007E6BC5"/>
    <w:rsid w:val="007F31C6"/>
    <w:rsid w:val="00802244"/>
    <w:rsid w:val="00806976"/>
    <w:rsid w:val="00814D32"/>
    <w:rsid w:val="00822185"/>
    <w:rsid w:val="00825F1B"/>
    <w:rsid w:val="00826F03"/>
    <w:rsid w:val="008317D6"/>
    <w:rsid w:val="008331FE"/>
    <w:rsid w:val="0083413B"/>
    <w:rsid w:val="00837F4F"/>
    <w:rsid w:val="00840E51"/>
    <w:rsid w:val="008455C1"/>
    <w:rsid w:val="00851931"/>
    <w:rsid w:val="00854BB0"/>
    <w:rsid w:val="0085658D"/>
    <w:rsid w:val="00856B20"/>
    <w:rsid w:val="00865E8A"/>
    <w:rsid w:val="00865EDD"/>
    <w:rsid w:val="0086760A"/>
    <w:rsid w:val="00871227"/>
    <w:rsid w:val="008777B3"/>
    <w:rsid w:val="00883CA9"/>
    <w:rsid w:val="00886F53"/>
    <w:rsid w:val="00892925"/>
    <w:rsid w:val="00894E8A"/>
    <w:rsid w:val="008A5761"/>
    <w:rsid w:val="008A5C3A"/>
    <w:rsid w:val="008B1D44"/>
    <w:rsid w:val="008B71EC"/>
    <w:rsid w:val="008B7301"/>
    <w:rsid w:val="008C48DB"/>
    <w:rsid w:val="008D3B9B"/>
    <w:rsid w:val="008D7712"/>
    <w:rsid w:val="008E02A7"/>
    <w:rsid w:val="008E4F23"/>
    <w:rsid w:val="008F3FA3"/>
    <w:rsid w:val="008F5D7F"/>
    <w:rsid w:val="008F7903"/>
    <w:rsid w:val="009011FE"/>
    <w:rsid w:val="009034DC"/>
    <w:rsid w:val="009034DD"/>
    <w:rsid w:val="00903DA9"/>
    <w:rsid w:val="00904529"/>
    <w:rsid w:val="00910645"/>
    <w:rsid w:val="0091585F"/>
    <w:rsid w:val="009160B8"/>
    <w:rsid w:val="00917E59"/>
    <w:rsid w:val="0092621C"/>
    <w:rsid w:val="0093267F"/>
    <w:rsid w:val="0093413D"/>
    <w:rsid w:val="00934A4A"/>
    <w:rsid w:val="00935DF3"/>
    <w:rsid w:val="00935F9A"/>
    <w:rsid w:val="009409FC"/>
    <w:rsid w:val="0094499D"/>
    <w:rsid w:val="00951387"/>
    <w:rsid w:val="0095278B"/>
    <w:rsid w:val="00952AFA"/>
    <w:rsid w:val="00962455"/>
    <w:rsid w:val="00964D3E"/>
    <w:rsid w:val="009658F2"/>
    <w:rsid w:val="00973D6A"/>
    <w:rsid w:val="009772E2"/>
    <w:rsid w:val="00993639"/>
    <w:rsid w:val="009965BE"/>
    <w:rsid w:val="009A227A"/>
    <w:rsid w:val="009A27F6"/>
    <w:rsid w:val="009A7008"/>
    <w:rsid w:val="009B3924"/>
    <w:rsid w:val="009B58C6"/>
    <w:rsid w:val="009B6B55"/>
    <w:rsid w:val="009C221E"/>
    <w:rsid w:val="009C5A4E"/>
    <w:rsid w:val="009C6E3F"/>
    <w:rsid w:val="009C6EA7"/>
    <w:rsid w:val="009C7683"/>
    <w:rsid w:val="009D056B"/>
    <w:rsid w:val="009D365F"/>
    <w:rsid w:val="009D463D"/>
    <w:rsid w:val="009D79B3"/>
    <w:rsid w:val="009E6386"/>
    <w:rsid w:val="009E6FC3"/>
    <w:rsid w:val="009E7D9E"/>
    <w:rsid w:val="009F49E0"/>
    <w:rsid w:val="00A03229"/>
    <w:rsid w:val="00A0537B"/>
    <w:rsid w:val="00A056C0"/>
    <w:rsid w:val="00A05F3C"/>
    <w:rsid w:val="00A06159"/>
    <w:rsid w:val="00A10868"/>
    <w:rsid w:val="00A1173C"/>
    <w:rsid w:val="00A147A1"/>
    <w:rsid w:val="00A17452"/>
    <w:rsid w:val="00A17B66"/>
    <w:rsid w:val="00A20C37"/>
    <w:rsid w:val="00A236C4"/>
    <w:rsid w:val="00A30B2A"/>
    <w:rsid w:val="00A330E0"/>
    <w:rsid w:val="00A3493F"/>
    <w:rsid w:val="00A40853"/>
    <w:rsid w:val="00A476C1"/>
    <w:rsid w:val="00A47C07"/>
    <w:rsid w:val="00A52A93"/>
    <w:rsid w:val="00A54A7B"/>
    <w:rsid w:val="00A54E53"/>
    <w:rsid w:val="00A60EBA"/>
    <w:rsid w:val="00A626C6"/>
    <w:rsid w:val="00A676BD"/>
    <w:rsid w:val="00A85D16"/>
    <w:rsid w:val="00A86D9A"/>
    <w:rsid w:val="00A958B7"/>
    <w:rsid w:val="00A96EC0"/>
    <w:rsid w:val="00AA450A"/>
    <w:rsid w:val="00AA7AF1"/>
    <w:rsid w:val="00AB024B"/>
    <w:rsid w:val="00AB2C79"/>
    <w:rsid w:val="00AB7C1B"/>
    <w:rsid w:val="00AC1235"/>
    <w:rsid w:val="00AC71C8"/>
    <w:rsid w:val="00AD2FD7"/>
    <w:rsid w:val="00AD447A"/>
    <w:rsid w:val="00AD6D1A"/>
    <w:rsid w:val="00AE6879"/>
    <w:rsid w:val="00AF0B90"/>
    <w:rsid w:val="00AF0C7F"/>
    <w:rsid w:val="00AF121B"/>
    <w:rsid w:val="00AF6781"/>
    <w:rsid w:val="00B045B6"/>
    <w:rsid w:val="00B05309"/>
    <w:rsid w:val="00B12F9C"/>
    <w:rsid w:val="00B30DE9"/>
    <w:rsid w:val="00B34743"/>
    <w:rsid w:val="00B36575"/>
    <w:rsid w:val="00B37A3A"/>
    <w:rsid w:val="00B37BBE"/>
    <w:rsid w:val="00B37F66"/>
    <w:rsid w:val="00B43543"/>
    <w:rsid w:val="00B60089"/>
    <w:rsid w:val="00B635E0"/>
    <w:rsid w:val="00B6383C"/>
    <w:rsid w:val="00B66F17"/>
    <w:rsid w:val="00B67FC6"/>
    <w:rsid w:val="00B70F5B"/>
    <w:rsid w:val="00B70F98"/>
    <w:rsid w:val="00B73D53"/>
    <w:rsid w:val="00B7472F"/>
    <w:rsid w:val="00B758F6"/>
    <w:rsid w:val="00B83172"/>
    <w:rsid w:val="00B855AD"/>
    <w:rsid w:val="00B85C69"/>
    <w:rsid w:val="00B90DAB"/>
    <w:rsid w:val="00B961C8"/>
    <w:rsid w:val="00BA0772"/>
    <w:rsid w:val="00BA17A7"/>
    <w:rsid w:val="00BA2A9A"/>
    <w:rsid w:val="00BA2EEA"/>
    <w:rsid w:val="00BA3758"/>
    <w:rsid w:val="00BA5305"/>
    <w:rsid w:val="00BA781E"/>
    <w:rsid w:val="00BB1913"/>
    <w:rsid w:val="00BB4FF6"/>
    <w:rsid w:val="00BC2EEA"/>
    <w:rsid w:val="00BD3034"/>
    <w:rsid w:val="00BD6F39"/>
    <w:rsid w:val="00BD71DE"/>
    <w:rsid w:val="00BE2319"/>
    <w:rsid w:val="00BE6EF7"/>
    <w:rsid w:val="00BF4711"/>
    <w:rsid w:val="00BF6C82"/>
    <w:rsid w:val="00C03795"/>
    <w:rsid w:val="00C03FBC"/>
    <w:rsid w:val="00C055E9"/>
    <w:rsid w:val="00C056E1"/>
    <w:rsid w:val="00C13911"/>
    <w:rsid w:val="00C1750D"/>
    <w:rsid w:val="00C218D8"/>
    <w:rsid w:val="00C30AD4"/>
    <w:rsid w:val="00C30F73"/>
    <w:rsid w:val="00C35017"/>
    <w:rsid w:val="00C4417E"/>
    <w:rsid w:val="00C444E3"/>
    <w:rsid w:val="00C4595C"/>
    <w:rsid w:val="00C504AE"/>
    <w:rsid w:val="00C55C9D"/>
    <w:rsid w:val="00C70415"/>
    <w:rsid w:val="00C73079"/>
    <w:rsid w:val="00C7426C"/>
    <w:rsid w:val="00C82D99"/>
    <w:rsid w:val="00C830C9"/>
    <w:rsid w:val="00C83A34"/>
    <w:rsid w:val="00C847B7"/>
    <w:rsid w:val="00C87E08"/>
    <w:rsid w:val="00C90189"/>
    <w:rsid w:val="00C90DBA"/>
    <w:rsid w:val="00C91206"/>
    <w:rsid w:val="00C97150"/>
    <w:rsid w:val="00C97713"/>
    <w:rsid w:val="00CA3852"/>
    <w:rsid w:val="00CA5C0C"/>
    <w:rsid w:val="00CA615B"/>
    <w:rsid w:val="00CA69E3"/>
    <w:rsid w:val="00CA6ACD"/>
    <w:rsid w:val="00CA6D89"/>
    <w:rsid w:val="00CA6DA9"/>
    <w:rsid w:val="00CD3927"/>
    <w:rsid w:val="00CD4A06"/>
    <w:rsid w:val="00CE3275"/>
    <w:rsid w:val="00CE67B8"/>
    <w:rsid w:val="00CE6FD5"/>
    <w:rsid w:val="00CF1E05"/>
    <w:rsid w:val="00CF52C0"/>
    <w:rsid w:val="00CF619F"/>
    <w:rsid w:val="00CF66A1"/>
    <w:rsid w:val="00D064B5"/>
    <w:rsid w:val="00D145F5"/>
    <w:rsid w:val="00D21D8A"/>
    <w:rsid w:val="00D23877"/>
    <w:rsid w:val="00D24B09"/>
    <w:rsid w:val="00D32A90"/>
    <w:rsid w:val="00D372A9"/>
    <w:rsid w:val="00D40C2B"/>
    <w:rsid w:val="00D42625"/>
    <w:rsid w:val="00D42C24"/>
    <w:rsid w:val="00D50422"/>
    <w:rsid w:val="00D52F9E"/>
    <w:rsid w:val="00D551E8"/>
    <w:rsid w:val="00D57096"/>
    <w:rsid w:val="00D57BA3"/>
    <w:rsid w:val="00D61EBF"/>
    <w:rsid w:val="00D656BA"/>
    <w:rsid w:val="00D713B8"/>
    <w:rsid w:val="00D721B3"/>
    <w:rsid w:val="00D807C9"/>
    <w:rsid w:val="00D823C3"/>
    <w:rsid w:val="00D833F7"/>
    <w:rsid w:val="00D8698A"/>
    <w:rsid w:val="00D91C8E"/>
    <w:rsid w:val="00D967EB"/>
    <w:rsid w:val="00DA04E1"/>
    <w:rsid w:val="00DA08D4"/>
    <w:rsid w:val="00DC49E3"/>
    <w:rsid w:val="00DC69E2"/>
    <w:rsid w:val="00DD092A"/>
    <w:rsid w:val="00DD1052"/>
    <w:rsid w:val="00DD5737"/>
    <w:rsid w:val="00DE0E3C"/>
    <w:rsid w:val="00DE23A1"/>
    <w:rsid w:val="00DE4925"/>
    <w:rsid w:val="00DE78EE"/>
    <w:rsid w:val="00DF04CF"/>
    <w:rsid w:val="00DF56B7"/>
    <w:rsid w:val="00E0031B"/>
    <w:rsid w:val="00E0456E"/>
    <w:rsid w:val="00E14CFC"/>
    <w:rsid w:val="00E21598"/>
    <w:rsid w:val="00E21848"/>
    <w:rsid w:val="00E222E4"/>
    <w:rsid w:val="00E25A00"/>
    <w:rsid w:val="00E26580"/>
    <w:rsid w:val="00E33955"/>
    <w:rsid w:val="00E35CF5"/>
    <w:rsid w:val="00E4113B"/>
    <w:rsid w:val="00E4195D"/>
    <w:rsid w:val="00E46594"/>
    <w:rsid w:val="00E51CE5"/>
    <w:rsid w:val="00E51D2D"/>
    <w:rsid w:val="00E51F8D"/>
    <w:rsid w:val="00E54540"/>
    <w:rsid w:val="00E5462B"/>
    <w:rsid w:val="00E6041B"/>
    <w:rsid w:val="00E61476"/>
    <w:rsid w:val="00E61538"/>
    <w:rsid w:val="00E63AA4"/>
    <w:rsid w:val="00E6598A"/>
    <w:rsid w:val="00E65BA2"/>
    <w:rsid w:val="00E65E58"/>
    <w:rsid w:val="00E672DA"/>
    <w:rsid w:val="00E736F4"/>
    <w:rsid w:val="00E7488C"/>
    <w:rsid w:val="00E74C35"/>
    <w:rsid w:val="00E75EE3"/>
    <w:rsid w:val="00E825F7"/>
    <w:rsid w:val="00E84F61"/>
    <w:rsid w:val="00E87214"/>
    <w:rsid w:val="00E942FF"/>
    <w:rsid w:val="00EA4BCC"/>
    <w:rsid w:val="00EA7C9E"/>
    <w:rsid w:val="00EB73B7"/>
    <w:rsid w:val="00EC3B8A"/>
    <w:rsid w:val="00EC3C18"/>
    <w:rsid w:val="00EC73EF"/>
    <w:rsid w:val="00ED0495"/>
    <w:rsid w:val="00ED2DB7"/>
    <w:rsid w:val="00EE18F6"/>
    <w:rsid w:val="00EE5153"/>
    <w:rsid w:val="00EE6FCD"/>
    <w:rsid w:val="00EF3586"/>
    <w:rsid w:val="00F043DE"/>
    <w:rsid w:val="00F12098"/>
    <w:rsid w:val="00F12D91"/>
    <w:rsid w:val="00F135C2"/>
    <w:rsid w:val="00F14467"/>
    <w:rsid w:val="00F239A7"/>
    <w:rsid w:val="00F33FF3"/>
    <w:rsid w:val="00F44075"/>
    <w:rsid w:val="00F47B41"/>
    <w:rsid w:val="00F51C0E"/>
    <w:rsid w:val="00F52903"/>
    <w:rsid w:val="00F54973"/>
    <w:rsid w:val="00F57076"/>
    <w:rsid w:val="00F57B52"/>
    <w:rsid w:val="00F57D67"/>
    <w:rsid w:val="00F66327"/>
    <w:rsid w:val="00F6774F"/>
    <w:rsid w:val="00F67897"/>
    <w:rsid w:val="00F71827"/>
    <w:rsid w:val="00F75078"/>
    <w:rsid w:val="00F7525A"/>
    <w:rsid w:val="00F82B1C"/>
    <w:rsid w:val="00F86A6A"/>
    <w:rsid w:val="00F91A8E"/>
    <w:rsid w:val="00F92A74"/>
    <w:rsid w:val="00F961A6"/>
    <w:rsid w:val="00F96F11"/>
    <w:rsid w:val="00FA16B1"/>
    <w:rsid w:val="00FB1CF1"/>
    <w:rsid w:val="00FB70D1"/>
    <w:rsid w:val="00FB7683"/>
    <w:rsid w:val="00FB7C27"/>
    <w:rsid w:val="00FC0885"/>
    <w:rsid w:val="00FD684B"/>
    <w:rsid w:val="00FD6E23"/>
    <w:rsid w:val="00FE02CF"/>
    <w:rsid w:val="00FE57F6"/>
    <w:rsid w:val="00FE7EDA"/>
    <w:rsid w:val="00FF25E5"/>
    <w:rsid w:val="00FF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uiPriority w:val="99"/>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nhideWhenUsed/>
    <w:rsid w:val="00452D3D"/>
    <w:rPr>
      <w:color w:val="0000FF"/>
      <w:u w:val="singl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rsid w:val="00883CA9"/>
    <w:rPr>
      <w:rFonts w:ascii="Calibri" w:hAnsi="Calibri" w:cs="Calibri"/>
      <w:sz w:val="20"/>
      <w:szCs w:val="20"/>
      <w:lang w:eastAsia="lv-LV"/>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Default">
    <w:name w:val="Default"/>
    <w:basedOn w:val="Normal"/>
    <w:uiPriority w:val="99"/>
    <w:rsid w:val="00592BA0"/>
    <w:pPr>
      <w:autoSpaceDE w:val="0"/>
      <w:autoSpaceDN w:val="0"/>
    </w:pPr>
    <w:rPr>
      <w:rFonts w:ascii="Arial" w:eastAsiaTheme="minorHAnsi" w:hAnsi="Arial" w:cs="Arial"/>
      <w:color w:val="000000"/>
    </w:rPr>
  </w:style>
  <w:style w:type="character" w:styleId="Emphasis">
    <w:name w:val="Emphasis"/>
    <w:basedOn w:val="DefaultParagraphFont"/>
    <w:uiPriority w:val="99"/>
    <w:qFormat/>
    <w:rsid w:val="006349A4"/>
    <w:rPr>
      <w:b/>
      <w:bCs/>
      <w:i w:val="0"/>
      <w:iCs w:val="0"/>
    </w:rPr>
  </w:style>
  <w:style w:type="character" w:customStyle="1" w:styleId="st1">
    <w:name w:val="st1"/>
    <w:basedOn w:val="DefaultParagraphFont"/>
    <w:uiPriority w:val="99"/>
    <w:rsid w:val="006349A4"/>
  </w:style>
  <w:style w:type="paragraph" w:customStyle="1" w:styleId="Pa19">
    <w:name w:val="Pa19"/>
    <w:basedOn w:val="Normal"/>
    <w:next w:val="Normal"/>
    <w:rsid w:val="00B05309"/>
    <w:pPr>
      <w:autoSpaceDE w:val="0"/>
      <w:autoSpaceDN w:val="0"/>
      <w:adjustRightInd w:val="0"/>
      <w:spacing w:line="161" w:lineRule="atLeast"/>
    </w:pPr>
    <w:rPr>
      <w:rFonts w:ascii="Verdana" w:hAnsi="Verdana"/>
    </w:rPr>
  </w:style>
  <w:style w:type="paragraph" w:styleId="BodyText">
    <w:name w:val="Body Text"/>
    <w:basedOn w:val="Normal"/>
    <w:link w:val="BodyTextChar"/>
    <w:uiPriority w:val="99"/>
    <w:unhideWhenUsed/>
    <w:rsid w:val="0037362F"/>
    <w:pPr>
      <w:spacing w:after="120"/>
    </w:pPr>
    <w:rPr>
      <w:lang w:eastAsia="en-US"/>
    </w:rPr>
  </w:style>
  <w:style w:type="character" w:customStyle="1" w:styleId="BodyTextChar">
    <w:name w:val="Body Text Char"/>
    <w:basedOn w:val="DefaultParagraphFont"/>
    <w:link w:val="BodyText"/>
    <w:uiPriority w:val="99"/>
    <w:rsid w:val="0037362F"/>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5408"/>
  </w:style>
  <w:style w:type="paragraph" w:customStyle="1" w:styleId="a3520normalp8">
    <w:name w:val="a__35__20_normal_p8"/>
    <w:basedOn w:val="Normal"/>
    <w:uiPriority w:val="99"/>
    <w:rsid w:val="00EE6FCD"/>
    <w:pPr>
      <w:spacing w:before="120" w:after="120"/>
      <w:ind w:right="57"/>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nhideWhenUsed/>
    <w:rsid w:val="00452D3D"/>
    <w:rPr>
      <w:color w:val="0000FF"/>
      <w:u w:val="singl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rsid w:val="00883CA9"/>
    <w:rPr>
      <w:rFonts w:ascii="Calibri" w:hAnsi="Calibri" w:cs="Calibri"/>
      <w:sz w:val="20"/>
      <w:szCs w:val="20"/>
      <w:lang w:eastAsia="lv-LV"/>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Default">
    <w:name w:val="Default"/>
    <w:basedOn w:val="Normal"/>
    <w:uiPriority w:val="99"/>
    <w:rsid w:val="00592BA0"/>
    <w:pPr>
      <w:autoSpaceDE w:val="0"/>
      <w:autoSpaceDN w:val="0"/>
    </w:pPr>
    <w:rPr>
      <w:rFonts w:ascii="Arial" w:eastAsiaTheme="minorHAnsi" w:hAnsi="Arial" w:cs="Arial"/>
      <w:color w:val="000000"/>
    </w:rPr>
  </w:style>
  <w:style w:type="character" w:styleId="Emphasis">
    <w:name w:val="Emphasis"/>
    <w:basedOn w:val="DefaultParagraphFont"/>
    <w:uiPriority w:val="99"/>
    <w:qFormat/>
    <w:rsid w:val="006349A4"/>
    <w:rPr>
      <w:b/>
      <w:bCs/>
      <w:i w:val="0"/>
      <w:iCs w:val="0"/>
    </w:rPr>
  </w:style>
  <w:style w:type="character" w:customStyle="1" w:styleId="st1">
    <w:name w:val="st1"/>
    <w:basedOn w:val="DefaultParagraphFont"/>
    <w:uiPriority w:val="99"/>
    <w:rsid w:val="006349A4"/>
  </w:style>
  <w:style w:type="paragraph" w:customStyle="1" w:styleId="Pa19">
    <w:name w:val="Pa19"/>
    <w:basedOn w:val="Normal"/>
    <w:next w:val="Normal"/>
    <w:rsid w:val="00B05309"/>
    <w:pPr>
      <w:autoSpaceDE w:val="0"/>
      <w:autoSpaceDN w:val="0"/>
      <w:adjustRightInd w:val="0"/>
      <w:spacing w:line="161" w:lineRule="atLeast"/>
    </w:pPr>
    <w:rPr>
      <w:rFonts w:ascii="Verdana" w:hAnsi="Verdana"/>
    </w:rPr>
  </w:style>
</w:styles>
</file>

<file path=word/webSettings.xml><?xml version="1.0" encoding="utf-8"?>
<w:webSettings xmlns:r="http://schemas.openxmlformats.org/officeDocument/2006/relationships" xmlns:w="http://schemas.openxmlformats.org/wordprocessingml/2006/main">
  <w:divs>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4497267">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127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marine-mess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16CC-1AF6-4365-A676-31EE9AF1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4406</Words>
  <Characters>30800</Characters>
  <Application>Microsoft Office Word</Application>
  <DocSecurity>0</DocSecurity>
  <Lines>473</Lines>
  <Paragraphs>121</Paragraphs>
  <ScaleCrop>false</ScaleCrop>
  <HeadingPairs>
    <vt:vector size="2" baseType="variant">
      <vt:variant>
        <vt:lpstr>Title</vt:lpstr>
      </vt:variant>
      <vt:variant>
        <vt:i4>1</vt:i4>
      </vt:variant>
    </vt:vector>
  </HeadingPairs>
  <TitlesOfParts>
    <vt:vector size="1" baseType="lpstr">
      <vt:lpstr>Informatīvais ziņojums „Par 2014.gada 14.maijā neformālajā Eiropas Savienības Vides ministru padomē izskatāmajiem jautājumiem”</vt:lpstr>
    </vt:vector>
  </TitlesOfParts>
  <Company>HP</Company>
  <LinksUpToDate>false</LinksUpToDate>
  <CharactersWithSpaces>35085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2014.gada 14.maijā neformālajā Eiropas Savienības Vides ministru padomē izskatāmajiem jautājumiem”</dc:title>
  <dc:subject>Informatīvais ziņojums</dc:subject>
  <dc:creator>Ilze Vonda</dc:creator>
  <dc:description>67026554, ilze.vonda@varam.gov.lv</dc:description>
  <cp:lastModifiedBy>ilzev</cp:lastModifiedBy>
  <cp:revision>56</cp:revision>
  <cp:lastPrinted>2013-04-11T10:37:00Z</cp:lastPrinted>
  <dcterms:created xsi:type="dcterms:W3CDTF">2014-05-09T10:15:00Z</dcterms:created>
  <dcterms:modified xsi:type="dcterms:W3CDTF">2014-05-10T06:00:00Z</dcterms:modified>
</cp:coreProperties>
</file>