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13" w:rsidRPr="00F744F5" w:rsidRDefault="00987913" w:rsidP="00987913">
      <w:pPr>
        <w:jc w:val="center"/>
        <w:rPr>
          <w:b/>
        </w:rPr>
      </w:pPr>
      <w:r w:rsidRPr="0014782C">
        <w:rPr>
          <w:b/>
          <w:sz w:val="28"/>
          <w:szCs w:val="28"/>
        </w:rPr>
        <w:t xml:space="preserve">Ministru kabineta </w:t>
      </w:r>
      <w:r>
        <w:rPr>
          <w:b/>
          <w:sz w:val="28"/>
          <w:szCs w:val="28"/>
        </w:rPr>
        <w:t>noteikumu</w:t>
      </w:r>
      <w:r w:rsidRPr="0014782C">
        <w:rPr>
          <w:b/>
          <w:sz w:val="28"/>
          <w:szCs w:val="28"/>
        </w:rPr>
        <w:t xml:space="preserve"> projekta „</w:t>
      </w:r>
      <w:r w:rsidRPr="00577386">
        <w:rPr>
          <w:b/>
          <w:sz w:val="28"/>
          <w:szCs w:val="28"/>
        </w:rPr>
        <w:t>Grozījumi Ministru kabineta 2009.gada 20.janvāra noteikumos Nr.60 "Noteikumi par obligātajām prasībām ārstniecības iestādēm un to struktūrvienībām</w:t>
      </w:r>
      <w:r w:rsidRPr="0014782C">
        <w:rPr>
          <w:b/>
          <w:bCs/>
          <w:color w:val="000000" w:themeColor="text1"/>
          <w:sz w:val="28"/>
          <w:szCs w:val="28"/>
        </w:rPr>
        <w:t>”</w:t>
      </w:r>
      <w:r w:rsidRPr="0014782C">
        <w:rPr>
          <w:b/>
          <w:sz w:val="28"/>
          <w:szCs w:val="28"/>
        </w:rPr>
        <w:t xml:space="preserve">” </w:t>
      </w:r>
    </w:p>
    <w:p w:rsidR="00F744F5" w:rsidRPr="00F744F5" w:rsidRDefault="00987913" w:rsidP="00987913">
      <w:pPr>
        <w:jc w:val="center"/>
        <w:rPr>
          <w:b/>
        </w:rPr>
      </w:pPr>
      <w:r w:rsidRPr="0014782C">
        <w:rPr>
          <w:b/>
          <w:sz w:val="28"/>
          <w:szCs w:val="28"/>
        </w:rPr>
        <w:t xml:space="preserve">sākotnējās ietekmes novērtējuma </w:t>
      </w:r>
      <w:smartTag w:uri="schemas-tilde-lv/tildestengine" w:element="veidnes">
        <w:smartTagPr>
          <w:attr w:name="text" w:val="ziņojums"/>
          <w:attr w:name="id" w:val="-1"/>
          <w:attr w:name="baseform" w:val="ziņojum|s"/>
        </w:smartTagPr>
        <w:r w:rsidRPr="0014782C">
          <w:rPr>
            <w:b/>
            <w:sz w:val="28"/>
            <w:szCs w:val="28"/>
          </w:rPr>
          <w:t>ziņojums</w:t>
        </w:r>
      </w:smartTag>
      <w:r w:rsidRPr="0014782C">
        <w:rPr>
          <w:b/>
          <w:sz w:val="28"/>
          <w:szCs w:val="28"/>
        </w:rPr>
        <w:t xml:space="preserve"> (anotācija)</w:t>
      </w:r>
    </w:p>
    <w:p w:rsidR="00771C3C" w:rsidRPr="00A21465" w:rsidRDefault="00771C3C" w:rsidP="00F744F5">
      <w:pPr>
        <w:jc w:val="center"/>
        <w:rPr>
          <w:b/>
          <w:bCs/>
        </w:rPr>
      </w:pPr>
    </w:p>
    <w:p w:rsidR="00771C3C" w:rsidRPr="00A21465" w:rsidRDefault="00771C3C" w:rsidP="00575B7F">
      <w:pPr>
        <w:pStyle w:val="naisc"/>
        <w:spacing w:before="0" w:after="0"/>
        <w:rPr>
          <w:b/>
          <w:bCs/>
        </w:rPr>
      </w:pPr>
    </w:p>
    <w:tbl>
      <w:tblPr>
        <w:tblStyle w:val="TableGrid"/>
        <w:tblW w:w="0" w:type="auto"/>
        <w:tblLook w:val="0000"/>
      </w:tblPr>
      <w:tblGrid>
        <w:gridCol w:w="528"/>
        <w:gridCol w:w="2181"/>
        <w:gridCol w:w="6392"/>
      </w:tblGrid>
      <w:tr w:rsidR="00771C3C" w:rsidRPr="00987913" w:rsidTr="006B33B4">
        <w:tc>
          <w:tcPr>
            <w:tcW w:w="9101" w:type="dxa"/>
            <w:gridSpan w:val="3"/>
          </w:tcPr>
          <w:p w:rsidR="00771C3C" w:rsidRPr="00987913" w:rsidRDefault="00771C3C" w:rsidP="0073447B">
            <w:pPr>
              <w:pStyle w:val="naisc"/>
              <w:spacing w:before="20" w:after="20"/>
              <w:rPr>
                <w:sz w:val="28"/>
                <w:szCs w:val="28"/>
              </w:rPr>
            </w:pPr>
            <w:r w:rsidRPr="00987913">
              <w:rPr>
                <w:b/>
                <w:bCs/>
                <w:sz w:val="28"/>
                <w:szCs w:val="28"/>
              </w:rPr>
              <w:t> I. Tiesību akta projekta izstrādes nepieciešamība</w:t>
            </w:r>
          </w:p>
        </w:tc>
      </w:tr>
      <w:tr w:rsidR="00771C3C" w:rsidRPr="00987913" w:rsidTr="006B33B4">
        <w:trPr>
          <w:trHeight w:val="464"/>
        </w:trPr>
        <w:tc>
          <w:tcPr>
            <w:tcW w:w="528" w:type="dxa"/>
          </w:tcPr>
          <w:p w:rsidR="00771C3C" w:rsidRPr="00987913" w:rsidRDefault="00771C3C" w:rsidP="0073447B">
            <w:pPr>
              <w:pStyle w:val="naiskr"/>
              <w:spacing w:before="20" w:after="20"/>
              <w:jc w:val="center"/>
              <w:rPr>
                <w:sz w:val="28"/>
                <w:szCs w:val="28"/>
              </w:rPr>
            </w:pPr>
            <w:r w:rsidRPr="00987913">
              <w:rPr>
                <w:sz w:val="28"/>
                <w:szCs w:val="28"/>
              </w:rPr>
              <w:t>1.</w:t>
            </w:r>
          </w:p>
        </w:tc>
        <w:tc>
          <w:tcPr>
            <w:tcW w:w="2181" w:type="dxa"/>
          </w:tcPr>
          <w:p w:rsidR="00771C3C" w:rsidRPr="00987913" w:rsidRDefault="00771C3C" w:rsidP="0073447B">
            <w:pPr>
              <w:pStyle w:val="naislab"/>
              <w:spacing w:before="20" w:after="20"/>
              <w:jc w:val="left"/>
              <w:rPr>
                <w:sz w:val="28"/>
                <w:szCs w:val="28"/>
              </w:rPr>
            </w:pPr>
            <w:r w:rsidRPr="00987913">
              <w:rPr>
                <w:sz w:val="28"/>
                <w:szCs w:val="28"/>
              </w:rPr>
              <w:t>Pamatojums</w:t>
            </w:r>
          </w:p>
        </w:tc>
        <w:tc>
          <w:tcPr>
            <w:tcW w:w="6392" w:type="dxa"/>
          </w:tcPr>
          <w:p w:rsidR="00F217E2" w:rsidRPr="00987913" w:rsidRDefault="000C240E" w:rsidP="00127E24">
            <w:pPr>
              <w:pStyle w:val="naiskr"/>
              <w:spacing w:before="20" w:after="20"/>
              <w:jc w:val="both"/>
              <w:rPr>
                <w:sz w:val="28"/>
                <w:szCs w:val="28"/>
              </w:rPr>
            </w:pPr>
            <w:r w:rsidRPr="00987913">
              <w:rPr>
                <w:sz w:val="28"/>
                <w:szCs w:val="28"/>
              </w:rPr>
              <w:t xml:space="preserve">Saskaņā ar „Valdības izvirzītās darbības prioritātes 2014. </w:t>
            </w:r>
            <w:r w:rsidR="00C5587A">
              <w:rPr>
                <w:sz w:val="28"/>
                <w:szCs w:val="28"/>
              </w:rPr>
              <w:t>g</w:t>
            </w:r>
            <w:r w:rsidRPr="00987913">
              <w:rPr>
                <w:sz w:val="28"/>
                <w:szCs w:val="28"/>
              </w:rPr>
              <w:t>adā</w:t>
            </w:r>
            <w:r w:rsidR="00C5587A">
              <w:rPr>
                <w:sz w:val="28"/>
                <w:szCs w:val="28"/>
              </w:rPr>
              <w:t xml:space="preserve"> </w:t>
            </w:r>
            <w:r w:rsidRPr="00987913">
              <w:rPr>
                <w:sz w:val="28"/>
                <w:szCs w:val="28"/>
              </w:rPr>
              <w:t xml:space="preserve">un to īstenošanai plānotie pasākumi” </w:t>
            </w:r>
            <w:r w:rsidR="00FB3614">
              <w:rPr>
                <w:sz w:val="28"/>
                <w:szCs w:val="28"/>
              </w:rPr>
              <w:t xml:space="preserve">1.pielikuma </w:t>
            </w:r>
            <w:r w:rsidRPr="00987913">
              <w:rPr>
                <w:sz w:val="28"/>
                <w:szCs w:val="28"/>
              </w:rPr>
              <w:t>11.punkta 4.apakšpunktu</w:t>
            </w:r>
            <w:r w:rsidR="00F217E2" w:rsidRPr="00987913">
              <w:rPr>
                <w:sz w:val="28"/>
                <w:szCs w:val="28"/>
              </w:rPr>
              <w:t>,</w:t>
            </w:r>
            <w:r w:rsidR="00127E24" w:rsidRPr="00987913">
              <w:rPr>
                <w:sz w:val="28"/>
                <w:szCs w:val="28"/>
              </w:rPr>
              <w:t xml:space="preserve"> </w:t>
            </w:r>
            <w:r w:rsidR="00F217E2" w:rsidRPr="00987913">
              <w:rPr>
                <w:sz w:val="28"/>
                <w:szCs w:val="28"/>
              </w:rPr>
              <w:t>kas paredz</w:t>
            </w:r>
            <w:r w:rsidR="00127E24" w:rsidRPr="00987913">
              <w:rPr>
                <w:sz w:val="28"/>
                <w:szCs w:val="28"/>
              </w:rPr>
              <w:t xml:space="preserve"> veselības aizsardzības nozares gatavības paaugstināšanu ārkārtas situācijās</w:t>
            </w:r>
            <w:r w:rsidR="00F217E2" w:rsidRPr="00987913">
              <w:rPr>
                <w:sz w:val="28"/>
                <w:szCs w:val="28"/>
              </w:rPr>
              <w:t xml:space="preserve"> un katastrofu</w:t>
            </w:r>
            <w:r w:rsidR="00127E24" w:rsidRPr="00987913">
              <w:rPr>
                <w:sz w:val="28"/>
                <w:szCs w:val="28"/>
              </w:rPr>
              <w:t xml:space="preserve"> seku novēršanā. </w:t>
            </w:r>
          </w:p>
        </w:tc>
      </w:tr>
      <w:tr w:rsidR="00771C3C" w:rsidRPr="00987913" w:rsidTr="006B33B4">
        <w:trPr>
          <w:trHeight w:val="1269"/>
        </w:trPr>
        <w:tc>
          <w:tcPr>
            <w:tcW w:w="528" w:type="dxa"/>
          </w:tcPr>
          <w:p w:rsidR="00771C3C" w:rsidRPr="00987913" w:rsidRDefault="00771C3C" w:rsidP="0073447B">
            <w:pPr>
              <w:pStyle w:val="naiskr"/>
              <w:spacing w:before="20" w:after="20"/>
              <w:jc w:val="center"/>
              <w:rPr>
                <w:sz w:val="28"/>
                <w:szCs w:val="28"/>
              </w:rPr>
            </w:pPr>
            <w:r w:rsidRPr="00987913">
              <w:rPr>
                <w:sz w:val="28"/>
                <w:szCs w:val="28"/>
              </w:rPr>
              <w:t>2.</w:t>
            </w:r>
          </w:p>
        </w:tc>
        <w:tc>
          <w:tcPr>
            <w:tcW w:w="2181" w:type="dxa"/>
          </w:tcPr>
          <w:p w:rsidR="00771C3C" w:rsidRPr="00987913" w:rsidRDefault="008F13D6" w:rsidP="0073447B">
            <w:pPr>
              <w:pStyle w:val="naiskr"/>
              <w:spacing w:before="20" w:after="20"/>
              <w:rPr>
                <w:sz w:val="28"/>
                <w:szCs w:val="28"/>
              </w:rPr>
            </w:pPr>
            <w:r w:rsidRPr="00987913">
              <w:rPr>
                <w:sz w:val="28"/>
                <w:szCs w:val="28"/>
              </w:rPr>
              <w:t>Pašreizējā situācija un problēmas, kuru risināšanai tiesību akta projekts izstrādāts, tiesiskā regulējuma mērķis un būtība</w:t>
            </w:r>
          </w:p>
        </w:tc>
        <w:tc>
          <w:tcPr>
            <w:tcW w:w="6392" w:type="dxa"/>
          </w:tcPr>
          <w:p w:rsidR="008F3563" w:rsidRPr="00987913" w:rsidRDefault="00995527" w:rsidP="00C5587A">
            <w:pPr>
              <w:jc w:val="both"/>
              <w:rPr>
                <w:sz w:val="28"/>
                <w:szCs w:val="28"/>
              </w:rPr>
            </w:pPr>
            <w:r w:rsidRPr="00987913">
              <w:rPr>
                <w:sz w:val="28"/>
                <w:szCs w:val="28"/>
              </w:rPr>
              <w:t>Ministru kabineta 2009.gada 20.janvāra noteikumu Nr.60 „Noteikumi par obligātajām prasībām ārstniecības iestādēm un to struktūrvienībām” (turpmāk - Noteikumi)</w:t>
            </w:r>
            <w:r w:rsidR="008F3563" w:rsidRPr="00987913">
              <w:rPr>
                <w:sz w:val="28"/>
                <w:szCs w:val="28"/>
              </w:rPr>
              <w:t xml:space="preserve"> 81.punkts nosaka, ka</w:t>
            </w:r>
            <w:r w:rsidR="00A66324" w:rsidRPr="00987913">
              <w:rPr>
                <w:sz w:val="28"/>
                <w:szCs w:val="28"/>
              </w:rPr>
              <w:t xml:space="preserve"> Operatīvais medicīniskais transportlīdzeklis ir atbilstoši prasībām marķēts un aprīkots transportlīdzeklis, ko izmanto neatliekamās medicīniskās palīdzības izsaukumu izpildei, kā arī tādu pacientu pārvietošanai, kuriem transportēšanas laikā var būt nepieciešama neatliekamā medicīniskā palīdzība.</w:t>
            </w:r>
          </w:p>
          <w:p w:rsidR="00995527" w:rsidRPr="00987913" w:rsidRDefault="00995527" w:rsidP="00995527">
            <w:pPr>
              <w:spacing w:before="120"/>
              <w:jc w:val="both"/>
              <w:rPr>
                <w:sz w:val="28"/>
                <w:szCs w:val="28"/>
              </w:rPr>
            </w:pPr>
            <w:r w:rsidRPr="00987913">
              <w:rPr>
                <w:sz w:val="28"/>
                <w:szCs w:val="28"/>
              </w:rPr>
              <w:t xml:space="preserve"> 82.punkts nosaka, ka operatīvajā me</w:t>
            </w:r>
            <w:r w:rsidR="003F14AF" w:rsidRPr="00987913">
              <w:rPr>
                <w:sz w:val="28"/>
                <w:szCs w:val="28"/>
              </w:rPr>
              <w:t>dicīniskajā transportlīdzeklī</w:t>
            </w:r>
            <w:r w:rsidRPr="00987913">
              <w:rPr>
                <w:sz w:val="28"/>
                <w:szCs w:val="28"/>
              </w:rPr>
              <w:t>:</w:t>
            </w:r>
          </w:p>
          <w:p w:rsidR="00995527" w:rsidRPr="00987913" w:rsidRDefault="003F14AF" w:rsidP="00995527">
            <w:pPr>
              <w:numPr>
                <w:ilvl w:val="0"/>
                <w:numId w:val="11"/>
              </w:numPr>
              <w:spacing w:before="120"/>
              <w:jc w:val="both"/>
              <w:rPr>
                <w:sz w:val="28"/>
                <w:szCs w:val="28"/>
              </w:rPr>
            </w:pPr>
            <w:r w:rsidRPr="00987913">
              <w:rPr>
                <w:sz w:val="28"/>
                <w:szCs w:val="28"/>
              </w:rPr>
              <w:t xml:space="preserve">ir </w:t>
            </w:r>
            <w:r w:rsidR="00995527" w:rsidRPr="00987913">
              <w:rPr>
                <w:sz w:val="28"/>
                <w:szCs w:val="28"/>
              </w:rPr>
              <w:t>mobilo radiosakaru iekārta, kas ir sertificēta un reģistrēta atbilstoši normatīvajiem aktiem par radioiekārtu un elektronisko sakaru tīkla galiekārtu atbilstības novērtēšanas, izplatīšanas un lietošanas kārtību;</w:t>
            </w:r>
          </w:p>
          <w:p w:rsidR="00995527" w:rsidRPr="00987913" w:rsidRDefault="003F14AF" w:rsidP="00995527">
            <w:pPr>
              <w:numPr>
                <w:ilvl w:val="0"/>
                <w:numId w:val="11"/>
              </w:numPr>
              <w:spacing w:before="120"/>
              <w:jc w:val="both"/>
              <w:rPr>
                <w:sz w:val="28"/>
                <w:szCs w:val="28"/>
              </w:rPr>
            </w:pPr>
            <w:r w:rsidRPr="00987913">
              <w:rPr>
                <w:sz w:val="28"/>
                <w:szCs w:val="28"/>
              </w:rPr>
              <w:t xml:space="preserve">ir </w:t>
            </w:r>
            <w:r w:rsidR="00995527" w:rsidRPr="00987913">
              <w:rPr>
                <w:sz w:val="28"/>
                <w:szCs w:val="28"/>
              </w:rPr>
              <w:t>medicīniskās aparatūras darbības instrukcijas, ekspluatācijas noteikumi un norādījumi par to apkopi (minētie dokumenti ir valsts valodā);</w:t>
            </w:r>
          </w:p>
          <w:p w:rsidR="00995527" w:rsidRPr="00987913" w:rsidRDefault="00995527" w:rsidP="00995527">
            <w:pPr>
              <w:numPr>
                <w:ilvl w:val="0"/>
                <w:numId w:val="11"/>
              </w:numPr>
              <w:spacing w:before="120"/>
              <w:jc w:val="both"/>
              <w:rPr>
                <w:sz w:val="28"/>
                <w:szCs w:val="28"/>
              </w:rPr>
            </w:pPr>
            <w:r w:rsidRPr="00987913">
              <w:rPr>
                <w:sz w:val="28"/>
                <w:szCs w:val="28"/>
              </w:rPr>
              <w:t>aprīkojums ir novietots un nostiprināts tā, lai braukšanas laikā tas netiktu bojāts un neapd</w:t>
            </w:r>
            <w:r w:rsidR="0027553F" w:rsidRPr="00987913">
              <w:rPr>
                <w:sz w:val="28"/>
                <w:szCs w:val="28"/>
              </w:rPr>
              <w:t>r</w:t>
            </w:r>
            <w:r w:rsidRPr="00987913">
              <w:rPr>
                <w:sz w:val="28"/>
                <w:szCs w:val="28"/>
              </w:rPr>
              <w:t>audētu transportlīdzekļa salonā esošo cilvēku drošību;</w:t>
            </w:r>
          </w:p>
          <w:p w:rsidR="00995527" w:rsidRPr="00987913" w:rsidRDefault="00995527" w:rsidP="00995527">
            <w:pPr>
              <w:numPr>
                <w:ilvl w:val="0"/>
                <w:numId w:val="11"/>
              </w:numPr>
              <w:spacing w:before="120"/>
              <w:jc w:val="both"/>
              <w:rPr>
                <w:sz w:val="28"/>
                <w:szCs w:val="28"/>
              </w:rPr>
            </w:pPr>
            <w:r w:rsidRPr="00987913">
              <w:rPr>
                <w:sz w:val="28"/>
                <w:szCs w:val="28"/>
              </w:rPr>
              <w:t>grīdas pārsegums ir izturīgs un viegli tīrāms;</w:t>
            </w:r>
          </w:p>
          <w:p w:rsidR="00995527" w:rsidRPr="00987913" w:rsidRDefault="00995527" w:rsidP="00995527">
            <w:pPr>
              <w:numPr>
                <w:ilvl w:val="0"/>
                <w:numId w:val="11"/>
              </w:numPr>
              <w:spacing w:before="120"/>
              <w:jc w:val="both"/>
              <w:rPr>
                <w:sz w:val="28"/>
                <w:szCs w:val="28"/>
              </w:rPr>
            </w:pPr>
            <w:r w:rsidRPr="00987913">
              <w:rPr>
                <w:sz w:val="28"/>
                <w:szCs w:val="28"/>
              </w:rPr>
              <w:t>salonā ir ar drošības atslēgu aizslēdzams medikamentu nodalījums;</w:t>
            </w:r>
          </w:p>
          <w:p w:rsidR="00995527" w:rsidRPr="00987913" w:rsidRDefault="00995527" w:rsidP="00995527">
            <w:pPr>
              <w:numPr>
                <w:ilvl w:val="0"/>
                <w:numId w:val="11"/>
              </w:numPr>
              <w:spacing w:before="120"/>
              <w:jc w:val="both"/>
              <w:rPr>
                <w:sz w:val="28"/>
                <w:szCs w:val="28"/>
              </w:rPr>
            </w:pPr>
            <w:r w:rsidRPr="00987913">
              <w:rPr>
                <w:sz w:val="28"/>
                <w:szCs w:val="28"/>
              </w:rPr>
              <w:lastRenderedPageBreak/>
              <w:t>visas salona durvis atvērtā stāvoklī ir fiksējamas un aprīkotas ar slēdzenēm, lai tās bez atslēgas varētu aizslēgt un atslēgt no salona iekšpuses, ar atslēgu aizslēgt no ārpuses, kā arī ar atslēgu atslēgt no ārpuses, ja tās ir aizslēgtas no iekšpuses. Transportlīdzekļa vadītājs saņem skaņas vai vizuālos signālus par to, ka transportlīdzekļa kustības laikā kādas no durvīm nav pilnībā aizvērtas;</w:t>
            </w:r>
          </w:p>
          <w:p w:rsidR="00995527" w:rsidRPr="00987913" w:rsidRDefault="00995527" w:rsidP="00995527">
            <w:pPr>
              <w:numPr>
                <w:ilvl w:val="0"/>
                <w:numId w:val="11"/>
              </w:numPr>
              <w:spacing w:before="120"/>
              <w:jc w:val="both"/>
              <w:rPr>
                <w:sz w:val="28"/>
                <w:szCs w:val="28"/>
              </w:rPr>
            </w:pPr>
            <w:r w:rsidRPr="00987913">
              <w:rPr>
                <w:sz w:val="28"/>
                <w:szCs w:val="28"/>
              </w:rPr>
              <w:t>salona aizmugurējā daļā ir novietots vismaz viens skābekļa balons, kura tilpums nav mazāks par 10 litriem;</w:t>
            </w:r>
          </w:p>
          <w:p w:rsidR="00995527" w:rsidRPr="00987913" w:rsidRDefault="00995527" w:rsidP="00995527">
            <w:pPr>
              <w:numPr>
                <w:ilvl w:val="0"/>
                <w:numId w:val="11"/>
              </w:numPr>
              <w:spacing w:before="120"/>
              <w:jc w:val="both"/>
              <w:rPr>
                <w:sz w:val="28"/>
                <w:szCs w:val="28"/>
              </w:rPr>
            </w:pPr>
            <w:r w:rsidRPr="00987913">
              <w:rPr>
                <w:sz w:val="28"/>
                <w:szCs w:val="28"/>
              </w:rPr>
              <w:t>pie griestiem ir infūzijas maisu turētāji, kas nodrošina minimālo infūziju kapacitāti 5 kg un iespēju uzkārt neatkarīgi vienu no otra divus infūziju maisus ar standarta infūzijas sistēmu, nodrošinot piekļūšanu pie pacienta atslēgas kaula, elkoņa un pēdas locītavas zonām;</w:t>
            </w:r>
          </w:p>
          <w:p w:rsidR="00995527" w:rsidRPr="00987913" w:rsidRDefault="00995527" w:rsidP="00995527">
            <w:pPr>
              <w:numPr>
                <w:ilvl w:val="0"/>
                <w:numId w:val="11"/>
              </w:numPr>
              <w:spacing w:before="120"/>
              <w:jc w:val="both"/>
              <w:rPr>
                <w:sz w:val="28"/>
                <w:szCs w:val="28"/>
              </w:rPr>
            </w:pPr>
            <w:r w:rsidRPr="00987913">
              <w:rPr>
                <w:sz w:val="28"/>
                <w:szCs w:val="28"/>
              </w:rPr>
              <w:t>visi krēsli ir aprīkoti ar drošības jostām un pagalvjiem.</w:t>
            </w:r>
          </w:p>
          <w:p w:rsidR="009D788A" w:rsidRPr="00987913" w:rsidRDefault="0047170B" w:rsidP="00C5587A">
            <w:pPr>
              <w:ind w:firstLine="410"/>
              <w:jc w:val="both"/>
              <w:rPr>
                <w:sz w:val="28"/>
                <w:szCs w:val="28"/>
              </w:rPr>
            </w:pPr>
            <w:r w:rsidRPr="00987913">
              <w:rPr>
                <w:sz w:val="28"/>
                <w:szCs w:val="28"/>
              </w:rPr>
              <w:t>Neatliekamās medicīniskās palīdzības dienests ir valsts pārvaldes iestāde,</w:t>
            </w:r>
            <w:r w:rsidR="00C36557" w:rsidRPr="00987913">
              <w:rPr>
                <w:sz w:val="28"/>
                <w:szCs w:val="28"/>
              </w:rPr>
              <w:t xml:space="preserve"> kura darbojas pamatojoties uz 2009.gada 15.decembra Ministru kabineta noteikumiem Nr.1480 „Neatliekamās medicīniskās palīdzības dienesta nolikums”. Neatliekamās medicīniskās palīdzības dienestam </w:t>
            </w:r>
            <w:r w:rsidRPr="00987913">
              <w:rPr>
                <w:sz w:val="28"/>
                <w:szCs w:val="28"/>
              </w:rPr>
              <w:t xml:space="preserve">valsts deleģējusi </w:t>
            </w:r>
            <w:r w:rsidR="008D5B98" w:rsidRPr="00987913">
              <w:rPr>
                <w:sz w:val="28"/>
                <w:szCs w:val="28"/>
              </w:rPr>
              <w:t>īstenot vienotu valsts politiku neatliekamās medicīniskās palīdzības un katastrofu medicīnas jomā, tai skaitā</w:t>
            </w:r>
            <w:r w:rsidR="00C530DB" w:rsidRPr="00987913">
              <w:rPr>
                <w:sz w:val="28"/>
                <w:szCs w:val="28"/>
              </w:rPr>
              <w:t xml:space="preserve"> gan</w:t>
            </w:r>
            <w:r w:rsidR="008D5B98" w:rsidRPr="00987913">
              <w:rPr>
                <w:sz w:val="28"/>
                <w:szCs w:val="28"/>
              </w:rPr>
              <w:t xml:space="preserve"> nodrošin</w:t>
            </w:r>
            <w:r w:rsidR="00C530DB" w:rsidRPr="00987913">
              <w:rPr>
                <w:sz w:val="28"/>
                <w:szCs w:val="28"/>
              </w:rPr>
              <w:t>ā</w:t>
            </w:r>
            <w:r w:rsidR="008D5B98" w:rsidRPr="00987913">
              <w:rPr>
                <w:sz w:val="28"/>
                <w:szCs w:val="28"/>
              </w:rPr>
              <w:t xml:space="preserve">t neatliekamās medicīniskās palīdzības sniegšanu iedzīvotājiem ikdienā, gan nodrošināt neatliekamo medicīnisko palīdzību ārkārtas medicīniskajās situācijās un katastrofās, kā arī gadījumā, ja nepieciešamais medicīniskās palīdzības apjoms pārsniedz ārstniecības iestādes resursu iespējas. </w:t>
            </w:r>
          </w:p>
          <w:p w:rsidR="00914BF3" w:rsidRPr="00914BF3" w:rsidRDefault="00914BF3" w:rsidP="00914BF3">
            <w:pPr>
              <w:ind w:firstLine="410"/>
              <w:jc w:val="both"/>
              <w:rPr>
                <w:sz w:val="28"/>
                <w:szCs w:val="28"/>
              </w:rPr>
            </w:pPr>
            <w:r w:rsidRPr="00914BF3">
              <w:rPr>
                <w:sz w:val="28"/>
                <w:szCs w:val="28"/>
              </w:rPr>
              <w:t xml:space="preserve">Nodrošinot augstāk minēto funkciju izpildi un izvērtējot ikdienas darba pieredzi, kā arī pašreizējo operatīvā medicīniskā transporta nodrošinājumu, nepieciešams paredzēt, ka NMP dienesta rīcībā var būt arī operatīvie medicīniskie transportlīdzekļi, kuru aprīkojums atšķiras no šo noteikumu 82.punktā noteiktā un kas ir izmantojami neatliekamās </w:t>
            </w:r>
            <w:r w:rsidRPr="00914BF3">
              <w:rPr>
                <w:sz w:val="28"/>
                <w:szCs w:val="28"/>
              </w:rPr>
              <w:lastRenderedPageBreak/>
              <w:t xml:space="preserve">medicīniskās palīdzības </w:t>
            </w:r>
            <w:r w:rsidR="00512315">
              <w:rPr>
                <w:sz w:val="28"/>
                <w:szCs w:val="28"/>
              </w:rPr>
              <w:t xml:space="preserve">brigādes atbalsta nodrošināšanai </w:t>
            </w:r>
            <w:r w:rsidRPr="00914BF3">
              <w:rPr>
                <w:sz w:val="28"/>
                <w:szCs w:val="28"/>
              </w:rPr>
              <w:t>(piem., ārstu-speciālistu transportlīdzekļi, kas nepieciešami medicīniskā atbalsta nodrošināšanai NMP brigādēm, tehniskā nodrošinājuma transportlīdzekļi, kas nepieciešami ārkārtas medicīnisko rezervju aprīkojuma operatīvai piegādei, transportlīdzekļi operatīvās vadības</w:t>
            </w:r>
            <w:r w:rsidR="00512315">
              <w:rPr>
                <w:sz w:val="28"/>
                <w:szCs w:val="28"/>
              </w:rPr>
              <w:t xml:space="preserve"> nodrošināšanai notikuma vietā </w:t>
            </w:r>
            <w:r w:rsidRPr="00914BF3">
              <w:rPr>
                <w:sz w:val="28"/>
                <w:szCs w:val="28"/>
              </w:rPr>
              <w:t xml:space="preserve">u.tml.). </w:t>
            </w:r>
          </w:p>
          <w:p w:rsidR="00914BF3" w:rsidRPr="00914BF3" w:rsidRDefault="00914BF3" w:rsidP="00E41EF4">
            <w:pPr>
              <w:ind w:firstLine="410"/>
              <w:jc w:val="both"/>
              <w:rPr>
                <w:sz w:val="28"/>
                <w:szCs w:val="28"/>
              </w:rPr>
            </w:pPr>
            <w:r w:rsidRPr="00914BF3">
              <w:rPr>
                <w:sz w:val="28"/>
                <w:szCs w:val="28"/>
              </w:rPr>
              <w:t>Turklāt, ņemot vērā to, ka atbilstoši šo noteikumu 82.punktā noteiktajam pilnībā aprīkota operatīvā medicīniskā transportlīdzekļa iegādes izmaksas ir ļoti augstas, šādu specializētu, bet atšķirīgi aprīkotu operatīvo medicīnisko transportlīdzekļu izveide ļaus samazināt izdevumus NMP dienesta autoparka pilnveidošanai, kā arī izvēlēties un piemērot attiecīgajam neatliekamās medicīniskās palīdzības sniegšanas gadījumam vai ārkārtas situācijai racionālāko transportlīdzekļa aprīkojuma līmeni un iekārtojumu, tādejādi racionāli izmantojot finanšu līdzekļus.</w:t>
            </w:r>
          </w:p>
          <w:p w:rsidR="007050D7" w:rsidRDefault="00914BF3" w:rsidP="00914BF3">
            <w:pPr>
              <w:ind w:firstLine="410"/>
              <w:jc w:val="both"/>
              <w:rPr>
                <w:sz w:val="28"/>
                <w:szCs w:val="28"/>
              </w:rPr>
            </w:pPr>
            <w:r w:rsidRPr="00914BF3">
              <w:rPr>
                <w:sz w:val="28"/>
                <w:szCs w:val="28"/>
              </w:rPr>
              <w:t>Grozījumi nosaka izņēmuma situāciju tikai attiecībā uz NMP dienesta operatīvo medicīnisko transportlīdzekļu aprīkojumu, ievērojot NMP dienesta kā valsts pārvaldes iestādes funkcijas un uzdevumus neatliekamās medicīniskās palīdzības nodrošināšanā un organizēšanā, nodrošinot neatliekamo medicīnisko palīdzību ārkārtas medicīniskajās situācijās un katastrofās, kā arī gadījumā, ja nepieciešamais medicīniskās palīdzības apjoms pārsniedz ārstniecības iestādes resursu iespējas.</w:t>
            </w:r>
          </w:p>
          <w:p w:rsidR="007F698E" w:rsidRPr="00987913" w:rsidRDefault="007F698E" w:rsidP="00DA3071">
            <w:pPr>
              <w:ind w:firstLine="410"/>
              <w:jc w:val="both"/>
              <w:rPr>
                <w:sz w:val="28"/>
                <w:szCs w:val="28"/>
              </w:rPr>
            </w:pPr>
            <w:r>
              <w:rPr>
                <w:sz w:val="28"/>
                <w:szCs w:val="28"/>
              </w:rPr>
              <w:t>Noteikumu 63.</w:t>
            </w:r>
            <w:r>
              <w:rPr>
                <w:sz w:val="28"/>
                <w:szCs w:val="28"/>
                <w:vertAlign w:val="superscript"/>
              </w:rPr>
              <w:t>46</w:t>
            </w:r>
            <w:r>
              <w:rPr>
                <w:sz w:val="28"/>
                <w:szCs w:val="28"/>
              </w:rPr>
              <w:t xml:space="preserve"> punktā veikts tehnisks </w:t>
            </w:r>
            <w:r w:rsidR="00DA3071">
              <w:rPr>
                <w:sz w:val="28"/>
                <w:szCs w:val="28"/>
              </w:rPr>
              <w:t xml:space="preserve">labojums, </w:t>
            </w:r>
            <w:r w:rsidR="009A5FC0">
              <w:rPr>
                <w:sz w:val="28"/>
                <w:szCs w:val="28"/>
              </w:rPr>
              <w:t>precizē</w:t>
            </w:r>
            <w:r w:rsidR="00DA3071">
              <w:rPr>
                <w:sz w:val="28"/>
                <w:szCs w:val="28"/>
              </w:rPr>
              <w:t>jot</w:t>
            </w:r>
            <w:r w:rsidR="009A5FC0">
              <w:rPr>
                <w:sz w:val="28"/>
                <w:szCs w:val="28"/>
              </w:rPr>
              <w:t xml:space="preserve"> atsauce</w:t>
            </w:r>
            <w:r w:rsidR="00DA3071">
              <w:rPr>
                <w:sz w:val="28"/>
                <w:szCs w:val="28"/>
              </w:rPr>
              <w:t>s</w:t>
            </w:r>
            <w:r w:rsidR="009A5FC0">
              <w:rPr>
                <w:sz w:val="28"/>
                <w:szCs w:val="28"/>
              </w:rPr>
              <w:t xml:space="preserve"> uz punktiem.</w:t>
            </w:r>
          </w:p>
        </w:tc>
      </w:tr>
      <w:tr w:rsidR="00771C3C" w:rsidRPr="00987913" w:rsidTr="006B33B4">
        <w:trPr>
          <w:trHeight w:val="650"/>
        </w:trPr>
        <w:tc>
          <w:tcPr>
            <w:tcW w:w="528" w:type="dxa"/>
          </w:tcPr>
          <w:p w:rsidR="00771C3C" w:rsidRPr="00987913" w:rsidRDefault="00771C3C" w:rsidP="0073447B">
            <w:pPr>
              <w:pStyle w:val="naiskr"/>
              <w:spacing w:before="20" w:after="20"/>
              <w:jc w:val="center"/>
              <w:rPr>
                <w:sz w:val="28"/>
                <w:szCs w:val="28"/>
              </w:rPr>
            </w:pPr>
            <w:r w:rsidRPr="00987913">
              <w:rPr>
                <w:sz w:val="28"/>
                <w:szCs w:val="28"/>
              </w:rPr>
              <w:lastRenderedPageBreak/>
              <w:t>3.</w:t>
            </w:r>
          </w:p>
        </w:tc>
        <w:tc>
          <w:tcPr>
            <w:tcW w:w="2181" w:type="dxa"/>
          </w:tcPr>
          <w:p w:rsidR="00771C3C" w:rsidRPr="00987913" w:rsidRDefault="00EE53E8" w:rsidP="0073447B">
            <w:pPr>
              <w:pStyle w:val="naiskr"/>
              <w:spacing w:before="20" w:after="20"/>
              <w:rPr>
                <w:sz w:val="28"/>
                <w:szCs w:val="28"/>
              </w:rPr>
            </w:pPr>
            <w:r w:rsidRPr="00987913">
              <w:rPr>
                <w:sz w:val="28"/>
                <w:szCs w:val="28"/>
              </w:rPr>
              <w:t>Projekta izstrādē iesaistītās institūcijas</w:t>
            </w:r>
          </w:p>
        </w:tc>
        <w:tc>
          <w:tcPr>
            <w:tcW w:w="6392" w:type="dxa"/>
          </w:tcPr>
          <w:p w:rsidR="00771C3C" w:rsidRPr="00987913" w:rsidRDefault="00987913" w:rsidP="00512315">
            <w:pPr>
              <w:pStyle w:val="naiskr"/>
              <w:spacing w:before="20" w:after="20"/>
              <w:rPr>
                <w:sz w:val="28"/>
                <w:szCs w:val="28"/>
              </w:rPr>
            </w:pPr>
            <w:r>
              <w:rPr>
                <w:sz w:val="28"/>
                <w:szCs w:val="28"/>
              </w:rPr>
              <w:t xml:space="preserve">Neatliekamās </w:t>
            </w:r>
            <w:r w:rsidR="00512315">
              <w:rPr>
                <w:sz w:val="28"/>
                <w:szCs w:val="28"/>
              </w:rPr>
              <w:t xml:space="preserve">medicīniskās </w:t>
            </w:r>
            <w:r>
              <w:rPr>
                <w:sz w:val="28"/>
                <w:szCs w:val="28"/>
              </w:rPr>
              <w:t>palīdzības dienests</w:t>
            </w:r>
            <w:r w:rsidR="00512315">
              <w:rPr>
                <w:sz w:val="28"/>
                <w:szCs w:val="28"/>
              </w:rPr>
              <w:t>.</w:t>
            </w:r>
          </w:p>
        </w:tc>
      </w:tr>
      <w:tr w:rsidR="00771C3C" w:rsidRPr="00987913" w:rsidTr="006B33B4">
        <w:tc>
          <w:tcPr>
            <w:tcW w:w="528" w:type="dxa"/>
          </w:tcPr>
          <w:p w:rsidR="00771C3C" w:rsidRPr="00987913" w:rsidRDefault="00331B42" w:rsidP="0073447B">
            <w:pPr>
              <w:pStyle w:val="naiskr"/>
              <w:spacing w:before="20" w:after="20"/>
              <w:jc w:val="center"/>
              <w:rPr>
                <w:sz w:val="28"/>
                <w:szCs w:val="28"/>
              </w:rPr>
            </w:pPr>
            <w:r w:rsidRPr="00987913">
              <w:rPr>
                <w:sz w:val="28"/>
                <w:szCs w:val="28"/>
              </w:rPr>
              <w:t>4</w:t>
            </w:r>
            <w:r w:rsidR="00771C3C" w:rsidRPr="00987913">
              <w:rPr>
                <w:sz w:val="28"/>
                <w:szCs w:val="28"/>
              </w:rPr>
              <w:t>.</w:t>
            </w:r>
          </w:p>
        </w:tc>
        <w:tc>
          <w:tcPr>
            <w:tcW w:w="2181" w:type="dxa"/>
          </w:tcPr>
          <w:p w:rsidR="00771C3C" w:rsidRPr="00987913" w:rsidRDefault="00771C3C" w:rsidP="0073447B">
            <w:pPr>
              <w:pStyle w:val="naiskr"/>
              <w:spacing w:before="20" w:after="20"/>
              <w:rPr>
                <w:sz w:val="28"/>
                <w:szCs w:val="28"/>
              </w:rPr>
            </w:pPr>
            <w:r w:rsidRPr="00987913">
              <w:rPr>
                <w:sz w:val="28"/>
                <w:szCs w:val="28"/>
              </w:rPr>
              <w:t> Cita informācija</w:t>
            </w:r>
          </w:p>
        </w:tc>
        <w:tc>
          <w:tcPr>
            <w:tcW w:w="6392" w:type="dxa"/>
          </w:tcPr>
          <w:p w:rsidR="00771C3C" w:rsidRPr="00987913" w:rsidRDefault="00512315" w:rsidP="001D12C7">
            <w:pPr>
              <w:pStyle w:val="naiskr"/>
              <w:spacing w:before="20" w:after="20"/>
              <w:rPr>
                <w:sz w:val="28"/>
                <w:szCs w:val="28"/>
              </w:rPr>
            </w:pPr>
            <w:r>
              <w:rPr>
                <w:sz w:val="28"/>
                <w:szCs w:val="28"/>
              </w:rPr>
              <w:t>Projekts attiecināms uz Neatliekamās medicīniskās palīdzības dienesta tehnisko nodrošinājumu.</w:t>
            </w:r>
          </w:p>
        </w:tc>
      </w:tr>
    </w:tbl>
    <w:p w:rsidR="009A2357" w:rsidRDefault="009A2357" w:rsidP="009A2357">
      <w:pPr>
        <w:pStyle w:val="naisf"/>
        <w:jc w:val="center"/>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831"/>
        <w:gridCol w:w="5844"/>
      </w:tblGrid>
      <w:tr w:rsidR="006B33B4" w:rsidRPr="006B33B4" w:rsidTr="006B33B4">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3B4" w:rsidRPr="006B33B4" w:rsidRDefault="006B33B4" w:rsidP="006B33B4">
            <w:pPr>
              <w:spacing w:before="100" w:beforeAutospacing="1" w:after="100" w:afterAutospacing="1" w:line="285" w:lineRule="atLeast"/>
              <w:jc w:val="center"/>
              <w:rPr>
                <w:b/>
                <w:bCs/>
                <w:sz w:val="28"/>
                <w:szCs w:val="28"/>
              </w:rPr>
            </w:pPr>
            <w:r w:rsidRPr="006B33B4">
              <w:rPr>
                <w:rFonts w:ascii="Arial" w:hAnsi="Arial" w:cs="Arial"/>
                <w:color w:val="414142"/>
                <w:sz w:val="19"/>
                <w:szCs w:val="19"/>
              </w:rPr>
              <w:t> </w:t>
            </w:r>
            <w:r w:rsidRPr="006B33B4">
              <w:rPr>
                <w:b/>
                <w:bCs/>
                <w:sz w:val="28"/>
                <w:szCs w:val="28"/>
              </w:rPr>
              <w:t>II. Tiesību akta projekta ietekme uz sabiedrību, tautsaimniecības attīstību un administratīvo slogu</w:t>
            </w:r>
          </w:p>
        </w:tc>
      </w:tr>
      <w:tr w:rsidR="006B33B4" w:rsidRPr="006B33B4" w:rsidTr="006B33B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6B33B4" w:rsidP="006B33B4">
            <w:pPr>
              <w:rPr>
                <w:sz w:val="28"/>
                <w:szCs w:val="28"/>
              </w:rPr>
            </w:pPr>
            <w:r w:rsidRPr="006B33B4">
              <w:rPr>
                <w:sz w:val="28"/>
                <w:szCs w:val="28"/>
              </w:rPr>
              <w:lastRenderedPageBreak/>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6B33B4" w:rsidP="006B33B4">
            <w:pPr>
              <w:rPr>
                <w:sz w:val="28"/>
                <w:szCs w:val="28"/>
              </w:rPr>
            </w:pPr>
            <w:r w:rsidRPr="006B33B4">
              <w:rPr>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1D12C7" w:rsidP="006B33B4">
            <w:pPr>
              <w:rPr>
                <w:sz w:val="28"/>
                <w:szCs w:val="28"/>
              </w:rPr>
            </w:pPr>
            <w:r>
              <w:rPr>
                <w:sz w:val="28"/>
                <w:szCs w:val="28"/>
              </w:rPr>
              <w:t>Latvijas iedzīvotājiem medicīniskā neatliekamā palīdzība tiks sniegta kvalitatīvāk un atbilstošāk katrā konkrētā situācijā.</w:t>
            </w:r>
          </w:p>
        </w:tc>
      </w:tr>
      <w:tr w:rsidR="006B33B4" w:rsidRPr="006B33B4" w:rsidTr="006B33B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6B33B4" w:rsidP="006B33B4">
            <w:pPr>
              <w:rPr>
                <w:sz w:val="28"/>
                <w:szCs w:val="28"/>
              </w:rPr>
            </w:pPr>
            <w:r w:rsidRPr="006B33B4">
              <w:rPr>
                <w:sz w:val="28"/>
                <w:szCs w:val="28"/>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6B33B4" w:rsidP="006B33B4">
            <w:pPr>
              <w:rPr>
                <w:sz w:val="28"/>
                <w:szCs w:val="28"/>
              </w:rPr>
            </w:pPr>
            <w:r w:rsidRPr="006B33B4">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1D12C7" w:rsidP="001D12C7">
            <w:pPr>
              <w:rPr>
                <w:sz w:val="28"/>
                <w:szCs w:val="28"/>
              </w:rPr>
            </w:pPr>
            <w:r>
              <w:rPr>
                <w:sz w:val="28"/>
                <w:szCs w:val="28"/>
              </w:rPr>
              <w:t>Projekta tiesiskais regulējums  nemaina tiesības un pienākumus, kā arī veicamās darbības.</w:t>
            </w:r>
          </w:p>
        </w:tc>
      </w:tr>
      <w:tr w:rsidR="006B33B4" w:rsidRPr="006B33B4" w:rsidTr="006B33B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6B33B4" w:rsidP="006B33B4">
            <w:pPr>
              <w:rPr>
                <w:sz w:val="28"/>
                <w:szCs w:val="28"/>
              </w:rPr>
            </w:pPr>
            <w:r w:rsidRPr="006B33B4">
              <w:rPr>
                <w:sz w:val="28"/>
                <w:szCs w:val="28"/>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6B33B4" w:rsidP="006B33B4">
            <w:pPr>
              <w:rPr>
                <w:sz w:val="28"/>
                <w:szCs w:val="28"/>
              </w:rPr>
            </w:pPr>
            <w:r w:rsidRPr="006B33B4">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1D12C7" w:rsidP="006B33B4">
            <w:pPr>
              <w:rPr>
                <w:sz w:val="28"/>
                <w:szCs w:val="28"/>
              </w:rPr>
            </w:pPr>
            <w:r>
              <w:rPr>
                <w:sz w:val="28"/>
                <w:szCs w:val="28"/>
              </w:rPr>
              <w:t>Nav</w:t>
            </w:r>
          </w:p>
        </w:tc>
      </w:tr>
      <w:tr w:rsidR="006B33B4" w:rsidRPr="006B33B4" w:rsidTr="006B33B4">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6B33B4" w:rsidP="006B33B4">
            <w:pPr>
              <w:rPr>
                <w:sz w:val="28"/>
                <w:szCs w:val="28"/>
              </w:rPr>
            </w:pPr>
            <w:r w:rsidRPr="006B33B4">
              <w:rPr>
                <w:sz w:val="28"/>
                <w:szCs w:val="28"/>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6B33B4" w:rsidP="006B33B4">
            <w:pPr>
              <w:rPr>
                <w:sz w:val="28"/>
                <w:szCs w:val="28"/>
              </w:rPr>
            </w:pPr>
            <w:r w:rsidRPr="006B33B4">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6B33B4" w:rsidRPr="006B33B4" w:rsidRDefault="001D12C7" w:rsidP="006B33B4">
            <w:pPr>
              <w:spacing w:before="100" w:beforeAutospacing="1" w:after="100" w:afterAutospacing="1" w:line="285" w:lineRule="atLeast"/>
              <w:rPr>
                <w:sz w:val="28"/>
                <w:szCs w:val="28"/>
              </w:rPr>
            </w:pPr>
            <w:r>
              <w:rPr>
                <w:sz w:val="28"/>
                <w:szCs w:val="28"/>
              </w:rPr>
              <w:t>Nav</w:t>
            </w:r>
          </w:p>
        </w:tc>
      </w:tr>
    </w:tbl>
    <w:p w:rsidR="006B33B4" w:rsidRPr="006B33B4" w:rsidRDefault="006B33B4" w:rsidP="006B33B4">
      <w:pPr>
        <w:shd w:val="clear" w:color="auto" w:fill="FFFFFF"/>
        <w:spacing w:before="100" w:beforeAutospacing="1" w:after="100" w:afterAutospacing="1" w:line="285" w:lineRule="atLeast"/>
        <w:ind w:firstLine="272"/>
        <w:rPr>
          <w:rFonts w:ascii="Arial" w:hAnsi="Arial" w:cs="Arial"/>
          <w:color w:val="414142"/>
          <w:sz w:val="19"/>
          <w:szCs w:val="19"/>
        </w:rPr>
      </w:pPr>
      <w:r w:rsidRPr="006B33B4">
        <w:rPr>
          <w:rFonts w:ascii="Arial" w:hAnsi="Arial" w:cs="Arial"/>
          <w:color w:val="414142"/>
          <w:sz w:val="19"/>
          <w:szCs w:val="19"/>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6B33B4" w:rsidRPr="006B33B4" w:rsidTr="006B33B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B33B4" w:rsidRPr="006B33B4" w:rsidRDefault="006B33B4" w:rsidP="006B33B4">
            <w:pPr>
              <w:spacing w:before="100" w:beforeAutospacing="1" w:after="100" w:afterAutospacing="1" w:line="285" w:lineRule="atLeast"/>
              <w:jc w:val="center"/>
              <w:rPr>
                <w:b/>
                <w:bCs/>
                <w:sz w:val="28"/>
                <w:szCs w:val="28"/>
              </w:rPr>
            </w:pPr>
            <w:r w:rsidRPr="006B33B4">
              <w:rPr>
                <w:b/>
                <w:bCs/>
                <w:sz w:val="28"/>
                <w:szCs w:val="28"/>
              </w:rPr>
              <w:t>VII. Tiesību akta projekta izpildes nodrošināšana un tās ietekme uz institūcijām</w:t>
            </w:r>
          </w:p>
        </w:tc>
      </w:tr>
      <w:tr w:rsidR="006B33B4" w:rsidRPr="006B33B4" w:rsidTr="006B33B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6B33B4" w:rsidRPr="006B33B4" w:rsidRDefault="006B33B4" w:rsidP="006B33B4">
            <w:pPr>
              <w:rPr>
                <w:sz w:val="28"/>
                <w:szCs w:val="28"/>
              </w:rPr>
            </w:pPr>
            <w:r w:rsidRPr="006B33B4">
              <w:rPr>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6B33B4" w:rsidRPr="006B33B4" w:rsidRDefault="006B33B4" w:rsidP="006B33B4">
            <w:pPr>
              <w:rPr>
                <w:sz w:val="28"/>
                <w:szCs w:val="28"/>
              </w:rPr>
            </w:pPr>
            <w:r w:rsidRPr="006B33B4">
              <w:rPr>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6B33B4" w:rsidRPr="006B33B4" w:rsidRDefault="001D12C7" w:rsidP="00512315">
            <w:pPr>
              <w:rPr>
                <w:sz w:val="28"/>
                <w:szCs w:val="28"/>
              </w:rPr>
            </w:pPr>
            <w:r>
              <w:rPr>
                <w:sz w:val="28"/>
                <w:szCs w:val="28"/>
              </w:rPr>
              <w:t xml:space="preserve">Neatliekamās </w:t>
            </w:r>
            <w:r w:rsidR="00512315">
              <w:rPr>
                <w:sz w:val="28"/>
                <w:szCs w:val="28"/>
              </w:rPr>
              <w:t xml:space="preserve">medicīniskās </w:t>
            </w:r>
            <w:r>
              <w:rPr>
                <w:sz w:val="28"/>
                <w:szCs w:val="28"/>
              </w:rPr>
              <w:t>palīdzības dienests</w:t>
            </w:r>
          </w:p>
        </w:tc>
      </w:tr>
      <w:tr w:rsidR="006B33B4" w:rsidRPr="006B33B4" w:rsidTr="006B33B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6B33B4" w:rsidRPr="006B33B4" w:rsidRDefault="006B33B4" w:rsidP="006B33B4">
            <w:pPr>
              <w:rPr>
                <w:sz w:val="28"/>
                <w:szCs w:val="28"/>
              </w:rPr>
            </w:pPr>
            <w:r w:rsidRPr="006B33B4">
              <w:rPr>
                <w:sz w:val="28"/>
                <w:szCs w:val="28"/>
              </w:rPr>
              <w:t>2.</w:t>
            </w:r>
          </w:p>
        </w:tc>
        <w:tc>
          <w:tcPr>
            <w:tcW w:w="1900" w:type="pct"/>
            <w:tcBorders>
              <w:top w:val="outset" w:sz="6" w:space="0" w:color="414142"/>
              <w:left w:val="outset" w:sz="6" w:space="0" w:color="414142"/>
              <w:bottom w:val="outset" w:sz="6" w:space="0" w:color="414142"/>
              <w:right w:val="outset" w:sz="6" w:space="0" w:color="414142"/>
            </w:tcBorders>
            <w:hideMark/>
          </w:tcPr>
          <w:p w:rsidR="006B33B4" w:rsidRPr="006B33B4" w:rsidRDefault="006B33B4" w:rsidP="006B33B4">
            <w:pPr>
              <w:rPr>
                <w:sz w:val="28"/>
                <w:szCs w:val="28"/>
              </w:rPr>
            </w:pPr>
            <w:r w:rsidRPr="006B33B4">
              <w:rPr>
                <w:sz w:val="28"/>
                <w:szCs w:val="28"/>
              </w:rPr>
              <w:t>Projekta izpildes ietekme uz pārvaldes funkcijām un institucionālo struktūru.</w:t>
            </w:r>
          </w:p>
          <w:p w:rsidR="006B33B4" w:rsidRPr="006B33B4" w:rsidRDefault="006B33B4" w:rsidP="006B33B4">
            <w:pPr>
              <w:spacing w:before="100" w:beforeAutospacing="1" w:after="100" w:afterAutospacing="1" w:line="285" w:lineRule="atLeast"/>
              <w:rPr>
                <w:sz w:val="28"/>
                <w:szCs w:val="28"/>
              </w:rPr>
            </w:pPr>
            <w:r w:rsidRPr="006B33B4">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6B33B4" w:rsidRPr="006B33B4" w:rsidRDefault="00512315" w:rsidP="006B33B4">
            <w:pPr>
              <w:rPr>
                <w:sz w:val="28"/>
                <w:szCs w:val="28"/>
              </w:rPr>
            </w:pPr>
            <w:r>
              <w:rPr>
                <w:sz w:val="28"/>
                <w:szCs w:val="28"/>
              </w:rPr>
              <w:t>Neatliekamās medicīniskās palīdzības dienesta struktūru neietekmē.</w:t>
            </w:r>
          </w:p>
        </w:tc>
      </w:tr>
      <w:tr w:rsidR="006B33B4" w:rsidRPr="006B33B4" w:rsidTr="006B33B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6B33B4" w:rsidRPr="006B33B4" w:rsidRDefault="006B33B4" w:rsidP="006B33B4">
            <w:pPr>
              <w:rPr>
                <w:sz w:val="28"/>
                <w:szCs w:val="28"/>
              </w:rPr>
            </w:pPr>
            <w:r w:rsidRPr="006B33B4">
              <w:rPr>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6B33B4" w:rsidRPr="006B33B4" w:rsidRDefault="006B33B4" w:rsidP="006B33B4">
            <w:pPr>
              <w:rPr>
                <w:sz w:val="28"/>
                <w:szCs w:val="28"/>
              </w:rPr>
            </w:pPr>
            <w:r w:rsidRPr="006B33B4">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B33B4" w:rsidRPr="006B33B4" w:rsidRDefault="00512315" w:rsidP="006B33B4">
            <w:pPr>
              <w:spacing w:before="100" w:beforeAutospacing="1" w:after="100" w:afterAutospacing="1" w:line="285" w:lineRule="atLeast"/>
              <w:rPr>
                <w:sz w:val="28"/>
                <w:szCs w:val="28"/>
              </w:rPr>
            </w:pPr>
            <w:r>
              <w:rPr>
                <w:sz w:val="28"/>
                <w:szCs w:val="28"/>
              </w:rPr>
              <w:t>Nav</w:t>
            </w:r>
          </w:p>
        </w:tc>
      </w:tr>
    </w:tbl>
    <w:p w:rsidR="009A2357" w:rsidRDefault="009A2357" w:rsidP="006B33B4">
      <w:pPr>
        <w:shd w:val="clear" w:color="auto" w:fill="FFFFFF"/>
        <w:spacing w:before="100" w:beforeAutospacing="1" w:after="100" w:afterAutospacing="1" w:line="285" w:lineRule="atLeast"/>
        <w:ind w:firstLine="272"/>
      </w:pPr>
    </w:p>
    <w:p w:rsidR="00926DEE" w:rsidRDefault="00926DEE" w:rsidP="00B95D98">
      <w:pPr>
        <w:jc w:val="both"/>
        <w:rPr>
          <w:b/>
          <w:sz w:val="28"/>
          <w:szCs w:val="28"/>
        </w:rPr>
      </w:pPr>
    </w:p>
    <w:p w:rsidR="00B95D98" w:rsidRPr="00987913" w:rsidRDefault="00B95D98" w:rsidP="00B95D98">
      <w:pPr>
        <w:jc w:val="both"/>
        <w:rPr>
          <w:b/>
          <w:sz w:val="28"/>
          <w:szCs w:val="28"/>
        </w:rPr>
      </w:pPr>
      <w:r w:rsidRPr="00987913">
        <w:rPr>
          <w:b/>
          <w:sz w:val="28"/>
          <w:szCs w:val="28"/>
        </w:rPr>
        <w:t xml:space="preserve">Anotācijas </w:t>
      </w:r>
      <w:r w:rsidR="006B33B4">
        <w:rPr>
          <w:b/>
          <w:sz w:val="28"/>
          <w:szCs w:val="28"/>
        </w:rPr>
        <w:t>III, IV</w:t>
      </w:r>
      <w:r w:rsidR="001D12C7">
        <w:rPr>
          <w:b/>
          <w:sz w:val="28"/>
          <w:szCs w:val="28"/>
        </w:rPr>
        <w:t>,</w:t>
      </w:r>
      <w:r w:rsidR="006B33B4">
        <w:rPr>
          <w:b/>
          <w:sz w:val="28"/>
          <w:szCs w:val="28"/>
        </w:rPr>
        <w:t xml:space="preserve"> </w:t>
      </w:r>
      <w:r w:rsidR="00CB3558" w:rsidRPr="00987913">
        <w:rPr>
          <w:b/>
          <w:sz w:val="28"/>
          <w:szCs w:val="28"/>
        </w:rPr>
        <w:t>V</w:t>
      </w:r>
      <w:r w:rsidR="001D12C7">
        <w:rPr>
          <w:b/>
          <w:sz w:val="28"/>
          <w:szCs w:val="28"/>
        </w:rPr>
        <w:t xml:space="preserve"> un VI </w:t>
      </w:r>
      <w:r w:rsidRPr="00987913">
        <w:rPr>
          <w:b/>
          <w:sz w:val="28"/>
          <w:szCs w:val="28"/>
        </w:rPr>
        <w:t xml:space="preserve"> sadaļa – </w:t>
      </w:r>
      <w:r w:rsidR="00C6758B" w:rsidRPr="00987913">
        <w:rPr>
          <w:b/>
          <w:sz w:val="28"/>
          <w:szCs w:val="28"/>
        </w:rPr>
        <w:t>projekts šīs jomas neskar</w:t>
      </w:r>
      <w:r w:rsidRPr="00987913">
        <w:rPr>
          <w:b/>
          <w:sz w:val="28"/>
          <w:szCs w:val="28"/>
        </w:rPr>
        <w:t>.</w:t>
      </w:r>
    </w:p>
    <w:p w:rsidR="00C6758B" w:rsidRDefault="00C6758B" w:rsidP="00B95D98">
      <w:pPr>
        <w:jc w:val="both"/>
        <w:rPr>
          <w:b/>
        </w:rPr>
      </w:pPr>
    </w:p>
    <w:p w:rsidR="00987913" w:rsidRDefault="00987913" w:rsidP="00B95D98">
      <w:pPr>
        <w:jc w:val="both"/>
        <w:rPr>
          <w:b/>
        </w:rPr>
      </w:pPr>
    </w:p>
    <w:p w:rsidR="00987913" w:rsidRDefault="00987913" w:rsidP="00B95D98">
      <w:pPr>
        <w:jc w:val="both"/>
        <w:rPr>
          <w:b/>
        </w:rPr>
      </w:pPr>
    </w:p>
    <w:p w:rsidR="00C6758B" w:rsidRDefault="00C6758B" w:rsidP="00B95D98">
      <w:pPr>
        <w:jc w:val="both"/>
        <w:rPr>
          <w:b/>
        </w:rPr>
      </w:pPr>
    </w:p>
    <w:p w:rsidR="00D852D9" w:rsidRDefault="00987913" w:rsidP="00A1147A">
      <w:pPr>
        <w:autoSpaceDE w:val="0"/>
        <w:autoSpaceDN w:val="0"/>
        <w:adjustRightInd w:val="0"/>
        <w:rPr>
          <w:color w:val="000000"/>
          <w:sz w:val="28"/>
          <w:szCs w:val="28"/>
        </w:rPr>
      </w:pPr>
      <w:r>
        <w:rPr>
          <w:color w:val="000000"/>
          <w:sz w:val="28"/>
          <w:szCs w:val="28"/>
        </w:rPr>
        <w:t>Veselības ministr</w:t>
      </w:r>
      <w:r w:rsidR="00D852D9">
        <w:rPr>
          <w:color w:val="000000"/>
          <w:sz w:val="28"/>
          <w:szCs w:val="28"/>
        </w:rPr>
        <w:t>a vietā</w:t>
      </w:r>
    </w:p>
    <w:p w:rsidR="00D852D9" w:rsidRPr="00DB2863" w:rsidRDefault="00D852D9" w:rsidP="00D852D9">
      <w:pPr>
        <w:autoSpaceDE w:val="0"/>
        <w:autoSpaceDN w:val="0"/>
        <w:adjustRightInd w:val="0"/>
        <w:rPr>
          <w:color w:val="000000"/>
          <w:sz w:val="28"/>
          <w:szCs w:val="28"/>
        </w:rPr>
      </w:pPr>
      <w:r>
        <w:rPr>
          <w:color w:val="000000"/>
          <w:sz w:val="28"/>
          <w:szCs w:val="28"/>
        </w:rPr>
        <w:t>Ministru prezidente</w:t>
      </w:r>
      <w:r w:rsidRPr="00DB2863">
        <w:rPr>
          <w:color w:val="000000"/>
          <w:sz w:val="28"/>
          <w:szCs w:val="28"/>
        </w:rPr>
        <w:t xml:space="preserve">                                                                        </w:t>
      </w:r>
      <w:r>
        <w:rPr>
          <w:color w:val="000000"/>
          <w:sz w:val="28"/>
          <w:szCs w:val="28"/>
        </w:rPr>
        <w:t xml:space="preserve"> L.Straujuma</w:t>
      </w:r>
    </w:p>
    <w:p w:rsidR="00D852D9" w:rsidRDefault="00D852D9" w:rsidP="00A1147A">
      <w:pPr>
        <w:autoSpaceDE w:val="0"/>
        <w:autoSpaceDN w:val="0"/>
        <w:adjustRightInd w:val="0"/>
        <w:rPr>
          <w:color w:val="000000"/>
          <w:sz w:val="28"/>
          <w:szCs w:val="28"/>
        </w:rPr>
      </w:pPr>
    </w:p>
    <w:p w:rsidR="00987913" w:rsidRDefault="00987913" w:rsidP="00A1147A">
      <w:pPr>
        <w:autoSpaceDE w:val="0"/>
        <w:autoSpaceDN w:val="0"/>
        <w:adjustRightInd w:val="0"/>
        <w:rPr>
          <w:color w:val="000000"/>
          <w:sz w:val="28"/>
          <w:szCs w:val="28"/>
        </w:rPr>
      </w:pPr>
      <w:r>
        <w:rPr>
          <w:color w:val="000000"/>
          <w:sz w:val="28"/>
          <w:szCs w:val="28"/>
        </w:rPr>
        <w:t xml:space="preserve">                        </w:t>
      </w:r>
      <w:r w:rsidR="001F1BDF">
        <w:rPr>
          <w:color w:val="000000"/>
          <w:sz w:val="28"/>
          <w:szCs w:val="28"/>
        </w:rPr>
        <w:t xml:space="preserve">                   </w:t>
      </w:r>
    </w:p>
    <w:p w:rsidR="000C1B85" w:rsidRPr="00FA2AAC" w:rsidRDefault="00307680" w:rsidP="000C1B85">
      <w:pPr>
        <w:pStyle w:val="naisf"/>
        <w:spacing w:before="0" w:after="0"/>
        <w:ind w:firstLine="0"/>
        <w:rPr>
          <w:noProof/>
          <w:sz w:val="20"/>
          <w:szCs w:val="20"/>
        </w:rPr>
      </w:pPr>
      <w:r>
        <w:rPr>
          <w:noProof/>
          <w:sz w:val="20"/>
          <w:szCs w:val="20"/>
        </w:rPr>
        <w:t>02</w:t>
      </w:r>
      <w:r w:rsidR="000C1B85" w:rsidRPr="00FA2AAC">
        <w:rPr>
          <w:noProof/>
          <w:sz w:val="20"/>
          <w:szCs w:val="20"/>
        </w:rPr>
        <w:t>.0</w:t>
      </w:r>
      <w:r>
        <w:rPr>
          <w:noProof/>
          <w:sz w:val="20"/>
          <w:szCs w:val="20"/>
        </w:rPr>
        <w:t>6</w:t>
      </w:r>
      <w:r w:rsidR="000C1B85" w:rsidRPr="00FA2AAC">
        <w:rPr>
          <w:noProof/>
          <w:sz w:val="20"/>
          <w:szCs w:val="20"/>
        </w:rPr>
        <w:t xml:space="preserve">.2014. </w:t>
      </w:r>
      <w:r w:rsidR="003338CC">
        <w:rPr>
          <w:noProof/>
          <w:sz w:val="20"/>
          <w:szCs w:val="20"/>
        </w:rPr>
        <w:t>09</w:t>
      </w:r>
      <w:r w:rsidR="000C1B85" w:rsidRPr="00FA2AAC">
        <w:rPr>
          <w:noProof/>
          <w:sz w:val="20"/>
          <w:szCs w:val="20"/>
        </w:rPr>
        <w:t>:</w:t>
      </w:r>
      <w:r w:rsidR="003338CC">
        <w:rPr>
          <w:noProof/>
          <w:sz w:val="20"/>
          <w:szCs w:val="20"/>
        </w:rPr>
        <w:t>47</w:t>
      </w:r>
    </w:p>
    <w:p w:rsidR="000C1B85" w:rsidRPr="00FA2AAC" w:rsidRDefault="001F1BDF" w:rsidP="000C1B85">
      <w:pPr>
        <w:pStyle w:val="naisf"/>
        <w:spacing w:before="0" w:after="0"/>
        <w:ind w:firstLine="0"/>
        <w:rPr>
          <w:noProof/>
          <w:sz w:val="20"/>
          <w:szCs w:val="20"/>
        </w:rPr>
      </w:pPr>
      <w:r>
        <w:rPr>
          <w:noProof/>
          <w:sz w:val="20"/>
          <w:szCs w:val="20"/>
        </w:rPr>
        <w:t>7</w:t>
      </w:r>
      <w:r w:rsidR="003C52E2">
        <w:rPr>
          <w:noProof/>
          <w:sz w:val="20"/>
          <w:szCs w:val="20"/>
        </w:rPr>
        <w:t>75</w:t>
      </w:r>
    </w:p>
    <w:p w:rsidR="000C1B85" w:rsidRPr="00FA2AAC" w:rsidRDefault="000C1B85" w:rsidP="000C1B85">
      <w:pPr>
        <w:rPr>
          <w:sz w:val="20"/>
          <w:szCs w:val="20"/>
        </w:rPr>
      </w:pPr>
      <w:r w:rsidRPr="00FA2AAC">
        <w:rPr>
          <w:sz w:val="20"/>
          <w:szCs w:val="20"/>
        </w:rPr>
        <w:lastRenderedPageBreak/>
        <w:t>D.Roga</w:t>
      </w:r>
    </w:p>
    <w:p w:rsidR="00987913" w:rsidRDefault="000C1B85" w:rsidP="00307680">
      <w:pPr>
        <w:rPr>
          <w:b/>
        </w:rPr>
      </w:pPr>
      <w:r w:rsidRPr="00FA2AAC">
        <w:rPr>
          <w:sz w:val="20"/>
          <w:szCs w:val="20"/>
        </w:rPr>
        <w:t>67876093, Dace.roga@vm.gov.lv</w:t>
      </w:r>
    </w:p>
    <w:sectPr w:rsidR="00987913" w:rsidSect="009E6CB2">
      <w:headerReference w:type="even" r:id="rId8"/>
      <w:headerReference w:type="default" r:id="rId9"/>
      <w:footerReference w:type="default" r:id="rId10"/>
      <w:footerReference w:type="first" r:id="rId11"/>
      <w:pgSz w:w="11906" w:h="16838"/>
      <w:pgMar w:top="1134" w:right="1134"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C08" w:rsidRDefault="00910C08">
      <w:r>
        <w:separator/>
      </w:r>
    </w:p>
  </w:endnote>
  <w:endnote w:type="continuationSeparator" w:id="0">
    <w:p w:rsidR="00910C08" w:rsidRDefault="0091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08" w:rsidRPr="00955F2E" w:rsidRDefault="00910C08" w:rsidP="00955F2E">
    <w:pPr>
      <w:jc w:val="both"/>
      <w:rPr>
        <w:sz w:val="20"/>
        <w:szCs w:val="20"/>
      </w:rPr>
    </w:pPr>
    <w:r>
      <w:rPr>
        <w:sz w:val="20"/>
        <w:szCs w:val="20"/>
      </w:rPr>
      <w:t>VMAnot_</w:t>
    </w:r>
    <w:r w:rsidR="009A5FC0">
      <w:rPr>
        <w:sz w:val="20"/>
        <w:szCs w:val="20"/>
      </w:rPr>
      <w:t>0206</w:t>
    </w:r>
    <w:r>
      <w:rPr>
        <w:sz w:val="20"/>
        <w:szCs w:val="20"/>
      </w:rPr>
      <w:t>14</w:t>
    </w:r>
    <w:r w:rsidRPr="006F240A">
      <w:rPr>
        <w:sz w:val="20"/>
        <w:szCs w:val="20"/>
      </w:rPr>
      <w:t xml:space="preserve">; </w:t>
    </w:r>
    <w:r w:rsidRPr="00955F2E">
      <w:rPr>
        <w:sz w:val="20"/>
        <w:szCs w:val="20"/>
      </w:rPr>
      <w:t>Ministru kabineta noteikumu projekta „Grozījumi Ministru kabineta 2009.gada 20.janvāra noteikumos Nr.60 "Noteikumi par obligātajām prasībām ārstniecības iestādēm un to struktūrvienībām</w:t>
    </w:r>
    <w:r w:rsidRPr="00955F2E">
      <w:rPr>
        <w:bCs/>
        <w:color w:val="000000" w:themeColor="text1"/>
        <w:sz w:val="20"/>
        <w:szCs w:val="20"/>
      </w:rPr>
      <w:t>”</w:t>
    </w:r>
    <w:r w:rsidRPr="00955F2E">
      <w:rPr>
        <w:sz w:val="20"/>
        <w:szCs w:val="20"/>
      </w:rPr>
      <w:t xml:space="preserve">” </w:t>
    </w:r>
  </w:p>
  <w:p w:rsidR="00910C08" w:rsidRPr="00955F2E" w:rsidRDefault="00910C08" w:rsidP="00955F2E">
    <w:pPr>
      <w:jc w:val="both"/>
      <w:rPr>
        <w:bCs/>
        <w:sz w:val="20"/>
        <w:szCs w:val="20"/>
      </w:rPr>
    </w:pPr>
    <w:r w:rsidRPr="00955F2E">
      <w:rPr>
        <w:sz w:val="20"/>
        <w:szCs w:val="20"/>
      </w:rPr>
      <w:t xml:space="preserve">sākotnējās ietekmes novērtējuma </w:t>
    </w:r>
    <w:smartTag w:uri="schemas-tilde-lv/tildestengine" w:element="veidnes">
      <w:smartTagPr>
        <w:attr w:name="text" w:val="ziņojums"/>
        <w:attr w:name="id" w:val="-1"/>
        <w:attr w:name="baseform" w:val="ziņojum|s"/>
      </w:smartTagPr>
      <w:r w:rsidRPr="00955F2E">
        <w:rPr>
          <w:sz w:val="20"/>
          <w:szCs w:val="20"/>
        </w:rPr>
        <w:t>ziņojums</w:t>
      </w:r>
    </w:smartTag>
    <w:r w:rsidRPr="00955F2E">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08" w:rsidRPr="00955F2E" w:rsidRDefault="00910C08" w:rsidP="00955F2E">
    <w:pPr>
      <w:jc w:val="both"/>
      <w:rPr>
        <w:sz w:val="20"/>
        <w:szCs w:val="20"/>
      </w:rPr>
    </w:pPr>
    <w:r>
      <w:rPr>
        <w:sz w:val="20"/>
        <w:szCs w:val="20"/>
      </w:rPr>
      <w:t>VM</w:t>
    </w:r>
    <w:r w:rsidRPr="006F240A">
      <w:rPr>
        <w:sz w:val="20"/>
        <w:szCs w:val="20"/>
      </w:rPr>
      <w:t>Anot_</w:t>
    </w:r>
    <w:r w:rsidR="009A5FC0">
      <w:rPr>
        <w:sz w:val="20"/>
        <w:szCs w:val="20"/>
      </w:rPr>
      <w:t>0206</w:t>
    </w:r>
    <w:r>
      <w:rPr>
        <w:sz w:val="20"/>
        <w:szCs w:val="20"/>
      </w:rPr>
      <w:t>14</w:t>
    </w:r>
    <w:r w:rsidRPr="006F240A">
      <w:rPr>
        <w:sz w:val="20"/>
        <w:szCs w:val="20"/>
      </w:rPr>
      <w:t xml:space="preserve">; </w:t>
    </w:r>
    <w:r w:rsidRPr="00955F2E">
      <w:rPr>
        <w:sz w:val="20"/>
        <w:szCs w:val="20"/>
      </w:rPr>
      <w:t>Ministru kabineta noteikumu projekta „Grozījumi Ministru kabineta 2009.gada 20.janvāra noteikumos Nr.60 "Noteikumi par obligātajām prasībām ārstniecības iestādēm un to struktūrvienībām</w:t>
    </w:r>
    <w:r w:rsidRPr="00955F2E">
      <w:rPr>
        <w:bCs/>
        <w:color w:val="000000" w:themeColor="text1"/>
        <w:sz w:val="20"/>
        <w:szCs w:val="20"/>
      </w:rPr>
      <w:t>”</w:t>
    </w:r>
    <w:r w:rsidRPr="00955F2E">
      <w:rPr>
        <w:sz w:val="20"/>
        <w:szCs w:val="20"/>
      </w:rPr>
      <w:t xml:space="preserve">” </w:t>
    </w:r>
  </w:p>
  <w:p w:rsidR="00910C08" w:rsidRPr="00955F2E" w:rsidRDefault="00910C08" w:rsidP="00955F2E">
    <w:pPr>
      <w:jc w:val="both"/>
      <w:rPr>
        <w:bCs/>
        <w:sz w:val="20"/>
        <w:szCs w:val="20"/>
      </w:rPr>
    </w:pPr>
    <w:r w:rsidRPr="00955F2E">
      <w:rPr>
        <w:sz w:val="20"/>
        <w:szCs w:val="20"/>
      </w:rPr>
      <w:t xml:space="preserve">sākotnējās ietekmes novērtējuma </w:t>
    </w:r>
    <w:smartTag w:uri="schemas-tilde-lv/tildestengine" w:element="veidnes">
      <w:smartTagPr>
        <w:attr w:name="text" w:val="ziņojums"/>
        <w:attr w:name="id" w:val="-1"/>
        <w:attr w:name="baseform" w:val="ziņojum|s"/>
      </w:smartTagPr>
      <w:r w:rsidRPr="00955F2E">
        <w:rPr>
          <w:sz w:val="20"/>
          <w:szCs w:val="20"/>
        </w:rPr>
        <w:t>ziņojums</w:t>
      </w:r>
    </w:smartTag>
    <w:r w:rsidRPr="00955F2E">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C08" w:rsidRDefault="00910C08">
      <w:r>
        <w:separator/>
      </w:r>
    </w:p>
  </w:footnote>
  <w:footnote w:type="continuationSeparator" w:id="0">
    <w:p w:rsidR="00910C08" w:rsidRDefault="00910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08" w:rsidRDefault="00766B35" w:rsidP="007F59CB">
    <w:pPr>
      <w:pStyle w:val="Header"/>
      <w:framePr w:wrap="around" w:vAnchor="text" w:hAnchor="margin" w:xAlign="center" w:y="1"/>
      <w:rPr>
        <w:rStyle w:val="PageNumber"/>
      </w:rPr>
    </w:pPr>
    <w:r>
      <w:rPr>
        <w:rStyle w:val="PageNumber"/>
      </w:rPr>
      <w:fldChar w:fldCharType="begin"/>
    </w:r>
    <w:r w:rsidR="00910C08">
      <w:rPr>
        <w:rStyle w:val="PageNumber"/>
      </w:rPr>
      <w:instrText xml:space="preserve">PAGE  </w:instrText>
    </w:r>
    <w:r>
      <w:rPr>
        <w:rStyle w:val="PageNumber"/>
      </w:rPr>
      <w:fldChar w:fldCharType="end"/>
    </w:r>
  </w:p>
  <w:p w:rsidR="00910C08" w:rsidRDefault="00910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08" w:rsidRDefault="00766B35" w:rsidP="007F59CB">
    <w:pPr>
      <w:pStyle w:val="Header"/>
      <w:framePr w:wrap="around" w:vAnchor="text" w:hAnchor="margin" w:xAlign="center" w:y="1"/>
      <w:rPr>
        <w:rStyle w:val="PageNumber"/>
      </w:rPr>
    </w:pPr>
    <w:r>
      <w:rPr>
        <w:rStyle w:val="PageNumber"/>
      </w:rPr>
      <w:fldChar w:fldCharType="begin"/>
    </w:r>
    <w:r w:rsidR="00910C08">
      <w:rPr>
        <w:rStyle w:val="PageNumber"/>
      </w:rPr>
      <w:instrText xml:space="preserve">PAGE  </w:instrText>
    </w:r>
    <w:r>
      <w:rPr>
        <w:rStyle w:val="PageNumber"/>
      </w:rPr>
      <w:fldChar w:fldCharType="separate"/>
    </w:r>
    <w:r w:rsidR="003338CC">
      <w:rPr>
        <w:rStyle w:val="PageNumber"/>
        <w:noProof/>
      </w:rPr>
      <w:t>4</w:t>
    </w:r>
    <w:r>
      <w:rPr>
        <w:rStyle w:val="PageNumber"/>
      </w:rPr>
      <w:fldChar w:fldCharType="end"/>
    </w:r>
  </w:p>
  <w:p w:rsidR="00910C08" w:rsidRDefault="00910C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4">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893005"/>
    <w:multiLevelType w:val="hybridMultilevel"/>
    <w:tmpl w:val="0E18EDC0"/>
    <w:lvl w:ilvl="0" w:tplc="328C746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9">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7"/>
  </w:num>
  <w:num w:numId="6">
    <w:abstractNumId w:val="2"/>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75B7F"/>
    <w:rsid w:val="000023DC"/>
    <w:rsid w:val="00013BC0"/>
    <w:rsid w:val="000172AF"/>
    <w:rsid w:val="00017779"/>
    <w:rsid w:val="00021498"/>
    <w:rsid w:val="000245E5"/>
    <w:rsid w:val="000254FA"/>
    <w:rsid w:val="00030ABB"/>
    <w:rsid w:val="00031C78"/>
    <w:rsid w:val="00034357"/>
    <w:rsid w:val="00040228"/>
    <w:rsid w:val="00042B6F"/>
    <w:rsid w:val="00043575"/>
    <w:rsid w:val="00043E73"/>
    <w:rsid w:val="000465BB"/>
    <w:rsid w:val="000524C2"/>
    <w:rsid w:val="000561E6"/>
    <w:rsid w:val="000579D6"/>
    <w:rsid w:val="00076197"/>
    <w:rsid w:val="0007701E"/>
    <w:rsid w:val="00080AD4"/>
    <w:rsid w:val="000830F9"/>
    <w:rsid w:val="00087590"/>
    <w:rsid w:val="000931A6"/>
    <w:rsid w:val="00093DD1"/>
    <w:rsid w:val="00095181"/>
    <w:rsid w:val="000A0639"/>
    <w:rsid w:val="000B181F"/>
    <w:rsid w:val="000B251A"/>
    <w:rsid w:val="000B2728"/>
    <w:rsid w:val="000B276A"/>
    <w:rsid w:val="000B406A"/>
    <w:rsid w:val="000B4CB6"/>
    <w:rsid w:val="000B7202"/>
    <w:rsid w:val="000C1B85"/>
    <w:rsid w:val="000C240E"/>
    <w:rsid w:val="000C68EE"/>
    <w:rsid w:val="000C75C7"/>
    <w:rsid w:val="000D453D"/>
    <w:rsid w:val="000D571E"/>
    <w:rsid w:val="000E2594"/>
    <w:rsid w:val="000E4031"/>
    <w:rsid w:val="000F7CE7"/>
    <w:rsid w:val="00101A0B"/>
    <w:rsid w:val="001037F2"/>
    <w:rsid w:val="00111051"/>
    <w:rsid w:val="00111C1F"/>
    <w:rsid w:val="00113901"/>
    <w:rsid w:val="00113AD1"/>
    <w:rsid w:val="00117784"/>
    <w:rsid w:val="00122A9A"/>
    <w:rsid w:val="00124123"/>
    <w:rsid w:val="00124AC1"/>
    <w:rsid w:val="001265EB"/>
    <w:rsid w:val="0012760C"/>
    <w:rsid w:val="00127E24"/>
    <w:rsid w:val="00127FE7"/>
    <w:rsid w:val="00134FFA"/>
    <w:rsid w:val="00136D08"/>
    <w:rsid w:val="00141AD1"/>
    <w:rsid w:val="0014456A"/>
    <w:rsid w:val="001534B5"/>
    <w:rsid w:val="001545FA"/>
    <w:rsid w:val="0015777E"/>
    <w:rsid w:val="00160811"/>
    <w:rsid w:val="0016196C"/>
    <w:rsid w:val="00163018"/>
    <w:rsid w:val="001656C8"/>
    <w:rsid w:val="00167EC1"/>
    <w:rsid w:val="001802EA"/>
    <w:rsid w:val="00186BCC"/>
    <w:rsid w:val="001912FA"/>
    <w:rsid w:val="001913DD"/>
    <w:rsid w:val="001931C2"/>
    <w:rsid w:val="00194515"/>
    <w:rsid w:val="001A1DB8"/>
    <w:rsid w:val="001A54C4"/>
    <w:rsid w:val="001A5E15"/>
    <w:rsid w:val="001A69CE"/>
    <w:rsid w:val="001A6E00"/>
    <w:rsid w:val="001B2BDB"/>
    <w:rsid w:val="001B4F98"/>
    <w:rsid w:val="001D02F7"/>
    <w:rsid w:val="001D0852"/>
    <w:rsid w:val="001D12C7"/>
    <w:rsid w:val="001E670D"/>
    <w:rsid w:val="001F1BDF"/>
    <w:rsid w:val="001F61B2"/>
    <w:rsid w:val="00201594"/>
    <w:rsid w:val="00201766"/>
    <w:rsid w:val="0020523F"/>
    <w:rsid w:val="00205F02"/>
    <w:rsid w:val="00206B32"/>
    <w:rsid w:val="00207015"/>
    <w:rsid w:val="00207FE0"/>
    <w:rsid w:val="0021047A"/>
    <w:rsid w:val="002118D7"/>
    <w:rsid w:val="00217A0E"/>
    <w:rsid w:val="0023250C"/>
    <w:rsid w:val="002325B8"/>
    <w:rsid w:val="00234889"/>
    <w:rsid w:val="00234F9F"/>
    <w:rsid w:val="00235574"/>
    <w:rsid w:val="00236BC3"/>
    <w:rsid w:val="002406D4"/>
    <w:rsid w:val="00240F58"/>
    <w:rsid w:val="00244990"/>
    <w:rsid w:val="0025012E"/>
    <w:rsid w:val="002513E8"/>
    <w:rsid w:val="00253C2D"/>
    <w:rsid w:val="002660C2"/>
    <w:rsid w:val="002662A3"/>
    <w:rsid w:val="00267D74"/>
    <w:rsid w:val="0027553F"/>
    <w:rsid w:val="00280A8C"/>
    <w:rsid w:val="0028487C"/>
    <w:rsid w:val="00284E72"/>
    <w:rsid w:val="0028539B"/>
    <w:rsid w:val="002916BA"/>
    <w:rsid w:val="002A511F"/>
    <w:rsid w:val="002A5A9B"/>
    <w:rsid w:val="002A66CE"/>
    <w:rsid w:val="002B0261"/>
    <w:rsid w:val="002B22F4"/>
    <w:rsid w:val="002B3DC1"/>
    <w:rsid w:val="002B3F99"/>
    <w:rsid w:val="002B69A0"/>
    <w:rsid w:val="002C0145"/>
    <w:rsid w:val="002C07F9"/>
    <w:rsid w:val="002C1B0E"/>
    <w:rsid w:val="002C2EF2"/>
    <w:rsid w:val="002D0B3E"/>
    <w:rsid w:val="002E0790"/>
    <w:rsid w:val="002E4D3B"/>
    <w:rsid w:val="002F0785"/>
    <w:rsid w:val="002F13CB"/>
    <w:rsid w:val="0030185E"/>
    <w:rsid w:val="003026A9"/>
    <w:rsid w:val="003048BA"/>
    <w:rsid w:val="00304AFF"/>
    <w:rsid w:val="00304FBB"/>
    <w:rsid w:val="00307680"/>
    <w:rsid w:val="003118DD"/>
    <w:rsid w:val="00315FD8"/>
    <w:rsid w:val="00316763"/>
    <w:rsid w:val="003235E3"/>
    <w:rsid w:val="0032406D"/>
    <w:rsid w:val="003246A0"/>
    <w:rsid w:val="00331B42"/>
    <w:rsid w:val="00332480"/>
    <w:rsid w:val="0033295B"/>
    <w:rsid w:val="00332E39"/>
    <w:rsid w:val="0033304E"/>
    <w:rsid w:val="003338CC"/>
    <w:rsid w:val="00341025"/>
    <w:rsid w:val="003419FA"/>
    <w:rsid w:val="00345FBB"/>
    <w:rsid w:val="00346DCA"/>
    <w:rsid w:val="00347011"/>
    <w:rsid w:val="00347B5B"/>
    <w:rsid w:val="00350B4F"/>
    <w:rsid w:val="003542ED"/>
    <w:rsid w:val="003555CB"/>
    <w:rsid w:val="0035700A"/>
    <w:rsid w:val="0036478C"/>
    <w:rsid w:val="003729DA"/>
    <w:rsid w:val="00373AD6"/>
    <w:rsid w:val="00374EF3"/>
    <w:rsid w:val="00377500"/>
    <w:rsid w:val="00380199"/>
    <w:rsid w:val="003861EF"/>
    <w:rsid w:val="0038683C"/>
    <w:rsid w:val="003868CE"/>
    <w:rsid w:val="0039227B"/>
    <w:rsid w:val="003942BD"/>
    <w:rsid w:val="003A2E66"/>
    <w:rsid w:val="003A61D8"/>
    <w:rsid w:val="003B6569"/>
    <w:rsid w:val="003B7687"/>
    <w:rsid w:val="003C52E2"/>
    <w:rsid w:val="003C5B94"/>
    <w:rsid w:val="003C7321"/>
    <w:rsid w:val="003D6A2E"/>
    <w:rsid w:val="003D766A"/>
    <w:rsid w:val="003E2E1F"/>
    <w:rsid w:val="003F14AF"/>
    <w:rsid w:val="003F24EB"/>
    <w:rsid w:val="00402052"/>
    <w:rsid w:val="004026ED"/>
    <w:rsid w:val="004100DD"/>
    <w:rsid w:val="00413A82"/>
    <w:rsid w:val="004141EC"/>
    <w:rsid w:val="00417457"/>
    <w:rsid w:val="004236B9"/>
    <w:rsid w:val="004258AE"/>
    <w:rsid w:val="0042715D"/>
    <w:rsid w:val="00427178"/>
    <w:rsid w:val="00431188"/>
    <w:rsid w:val="0043384F"/>
    <w:rsid w:val="00433A22"/>
    <w:rsid w:val="00437FF5"/>
    <w:rsid w:val="00442222"/>
    <w:rsid w:val="00442653"/>
    <w:rsid w:val="004432B3"/>
    <w:rsid w:val="004469EF"/>
    <w:rsid w:val="00450615"/>
    <w:rsid w:val="0045090E"/>
    <w:rsid w:val="004516A0"/>
    <w:rsid w:val="0045254B"/>
    <w:rsid w:val="00452A8B"/>
    <w:rsid w:val="00454FF6"/>
    <w:rsid w:val="004601AA"/>
    <w:rsid w:val="004654B9"/>
    <w:rsid w:val="00466975"/>
    <w:rsid w:val="00470590"/>
    <w:rsid w:val="0047170B"/>
    <w:rsid w:val="0047171E"/>
    <w:rsid w:val="004726BE"/>
    <w:rsid w:val="004731C6"/>
    <w:rsid w:val="00473B51"/>
    <w:rsid w:val="004777A2"/>
    <w:rsid w:val="004809F5"/>
    <w:rsid w:val="004845A7"/>
    <w:rsid w:val="0049443A"/>
    <w:rsid w:val="00494DAA"/>
    <w:rsid w:val="004A1975"/>
    <w:rsid w:val="004A1AF9"/>
    <w:rsid w:val="004A3021"/>
    <w:rsid w:val="004B47AD"/>
    <w:rsid w:val="004C1707"/>
    <w:rsid w:val="004C1A08"/>
    <w:rsid w:val="004C46BF"/>
    <w:rsid w:val="004C4809"/>
    <w:rsid w:val="004C51A8"/>
    <w:rsid w:val="004D1AFC"/>
    <w:rsid w:val="004D1F9A"/>
    <w:rsid w:val="004D20C9"/>
    <w:rsid w:val="004D322A"/>
    <w:rsid w:val="004D60F9"/>
    <w:rsid w:val="004D694B"/>
    <w:rsid w:val="004E0646"/>
    <w:rsid w:val="004E235D"/>
    <w:rsid w:val="004F7F05"/>
    <w:rsid w:val="005026F4"/>
    <w:rsid w:val="00512315"/>
    <w:rsid w:val="0051443D"/>
    <w:rsid w:val="00515383"/>
    <w:rsid w:val="00515A37"/>
    <w:rsid w:val="00517F53"/>
    <w:rsid w:val="00521239"/>
    <w:rsid w:val="00522184"/>
    <w:rsid w:val="005226A3"/>
    <w:rsid w:val="00524E0A"/>
    <w:rsid w:val="00525077"/>
    <w:rsid w:val="00532E2C"/>
    <w:rsid w:val="00537E88"/>
    <w:rsid w:val="00540A89"/>
    <w:rsid w:val="0054329E"/>
    <w:rsid w:val="00546610"/>
    <w:rsid w:val="005513FC"/>
    <w:rsid w:val="00563B1F"/>
    <w:rsid w:val="00563F77"/>
    <w:rsid w:val="00571589"/>
    <w:rsid w:val="00575B7F"/>
    <w:rsid w:val="00580ACF"/>
    <w:rsid w:val="005824AA"/>
    <w:rsid w:val="00590CAF"/>
    <w:rsid w:val="00592438"/>
    <w:rsid w:val="0059678B"/>
    <w:rsid w:val="005A1FB9"/>
    <w:rsid w:val="005A201A"/>
    <w:rsid w:val="005A686A"/>
    <w:rsid w:val="005A719A"/>
    <w:rsid w:val="005B064B"/>
    <w:rsid w:val="005B3AE8"/>
    <w:rsid w:val="005C3AFC"/>
    <w:rsid w:val="005C43D2"/>
    <w:rsid w:val="005C5288"/>
    <w:rsid w:val="005C75D7"/>
    <w:rsid w:val="005D1063"/>
    <w:rsid w:val="005D4B4E"/>
    <w:rsid w:val="005E3D6A"/>
    <w:rsid w:val="005E5FE6"/>
    <w:rsid w:val="005E72BB"/>
    <w:rsid w:val="005F1EE0"/>
    <w:rsid w:val="005F6D99"/>
    <w:rsid w:val="005F7ED6"/>
    <w:rsid w:val="00601B38"/>
    <w:rsid w:val="00603944"/>
    <w:rsid w:val="0060552E"/>
    <w:rsid w:val="0060650F"/>
    <w:rsid w:val="00607FE3"/>
    <w:rsid w:val="00611047"/>
    <w:rsid w:val="00621176"/>
    <w:rsid w:val="006214CF"/>
    <w:rsid w:val="006229AE"/>
    <w:rsid w:val="0062351F"/>
    <w:rsid w:val="00626130"/>
    <w:rsid w:val="00627135"/>
    <w:rsid w:val="00630F07"/>
    <w:rsid w:val="00633B7F"/>
    <w:rsid w:val="00640623"/>
    <w:rsid w:val="00640702"/>
    <w:rsid w:val="0064115C"/>
    <w:rsid w:val="0064347E"/>
    <w:rsid w:val="00643B96"/>
    <w:rsid w:val="00647C1E"/>
    <w:rsid w:val="0065041B"/>
    <w:rsid w:val="00651F2C"/>
    <w:rsid w:val="00655B00"/>
    <w:rsid w:val="006578DA"/>
    <w:rsid w:val="0066403E"/>
    <w:rsid w:val="00665EED"/>
    <w:rsid w:val="0067019E"/>
    <w:rsid w:val="0067484B"/>
    <w:rsid w:val="00674D22"/>
    <w:rsid w:val="0068323F"/>
    <w:rsid w:val="006833DE"/>
    <w:rsid w:val="006911D3"/>
    <w:rsid w:val="006A2892"/>
    <w:rsid w:val="006A2B6F"/>
    <w:rsid w:val="006A59C7"/>
    <w:rsid w:val="006A64D9"/>
    <w:rsid w:val="006B1942"/>
    <w:rsid w:val="006B243C"/>
    <w:rsid w:val="006B33B4"/>
    <w:rsid w:val="006B3BCC"/>
    <w:rsid w:val="006B66AE"/>
    <w:rsid w:val="006B73A8"/>
    <w:rsid w:val="006C4E9E"/>
    <w:rsid w:val="006C5464"/>
    <w:rsid w:val="006C6BD9"/>
    <w:rsid w:val="006C75CB"/>
    <w:rsid w:val="006C778E"/>
    <w:rsid w:val="006D0519"/>
    <w:rsid w:val="006D4DBA"/>
    <w:rsid w:val="006D676C"/>
    <w:rsid w:val="006E669B"/>
    <w:rsid w:val="006F240A"/>
    <w:rsid w:val="006F316E"/>
    <w:rsid w:val="006F6B57"/>
    <w:rsid w:val="007042B7"/>
    <w:rsid w:val="007050D7"/>
    <w:rsid w:val="00712225"/>
    <w:rsid w:val="00713C69"/>
    <w:rsid w:val="00716D8E"/>
    <w:rsid w:val="00721E21"/>
    <w:rsid w:val="00731036"/>
    <w:rsid w:val="0073447B"/>
    <w:rsid w:val="007512BA"/>
    <w:rsid w:val="00751FA7"/>
    <w:rsid w:val="00752E17"/>
    <w:rsid w:val="0075470F"/>
    <w:rsid w:val="00757F79"/>
    <w:rsid w:val="00760B58"/>
    <w:rsid w:val="0076248D"/>
    <w:rsid w:val="007630E9"/>
    <w:rsid w:val="0076338E"/>
    <w:rsid w:val="00765223"/>
    <w:rsid w:val="00766B35"/>
    <w:rsid w:val="00771C3C"/>
    <w:rsid w:val="0078257B"/>
    <w:rsid w:val="00786120"/>
    <w:rsid w:val="007874EA"/>
    <w:rsid w:val="007A0DA1"/>
    <w:rsid w:val="007B08D7"/>
    <w:rsid w:val="007B645B"/>
    <w:rsid w:val="007C0DCD"/>
    <w:rsid w:val="007C2FFD"/>
    <w:rsid w:val="007C5AD1"/>
    <w:rsid w:val="007D1652"/>
    <w:rsid w:val="007D51B2"/>
    <w:rsid w:val="007D5400"/>
    <w:rsid w:val="007D7AEE"/>
    <w:rsid w:val="007E211D"/>
    <w:rsid w:val="007E5814"/>
    <w:rsid w:val="007F59CB"/>
    <w:rsid w:val="007F5BD3"/>
    <w:rsid w:val="007F698E"/>
    <w:rsid w:val="007F6F8A"/>
    <w:rsid w:val="0080153B"/>
    <w:rsid w:val="008039C4"/>
    <w:rsid w:val="008054B8"/>
    <w:rsid w:val="00826165"/>
    <w:rsid w:val="008264D3"/>
    <w:rsid w:val="00840275"/>
    <w:rsid w:val="00840543"/>
    <w:rsid w:val="008410FE"/>
    <w:rsid w:val="0085378F"/>
    <w:rsid w:val="00874764"/>
    <w:rsid w:val="008774C3"/>
    <w:rsid w:val="00877F17"/>
    <w:rsid w:val="00885BB3"/>
    <w:rsid w:val="0088600B"/>
    <w:rsid w:val="00887979"/>
    <w:rsid w:val="008906B7"/>
    <w:rsid w:val="0089236B"/>
    <w:rsid w:val="0089250D"/>
    <w:rsid w:val="00893B20"/>
    <w:rsid w:val="008A4BC9"/>
    <w:rsid w:val="008B2D51"/>
    <w:rsid w:val="008C357E"/>
    <w:rsid w:val="008C49B4"/>
    <w:rsid w:val="008D1173"/>
    <w:rsid w:val="008D5B98"/>
    <w:rsid w:val="008D6B73"/>
    <w:rsid w:val="008D7B99"/>
    <w:rsid w:val="008E2D1F"/>
    <w:rsid w:val="008E3E9C"/>
    <w:rsid w:val="008E5839"/>
    <w:rsid w:val="008F13D6"/>
    <w:rsid w:val="008F2E5C"/>
    <w:rsid w:val="008F3563"/>
    <w:rsid w:val="008F5717"/>
    <w:rsid w:val="008F732C"/>
    <w:rsid w:val="008F79C3"/>
    <w:rsid w:val="009027D5"/>
    <w:rsid w:val="00903885"/>
    <w:rsid w:val="009100E7"/>
    <w:rsid w:val="00910C08"/>
    <w:rsid w:val="00911003"/>
    <w:rsid w:val="0091297A"/>
    <w:rsid w:val="00914BF3"/>
    <w:rsid w:val="0091535D"/>
    <w:rsid w:val="009163C0"/>
    <w:rsid w:val="00916F98"/>
    <w:rsid w:val="009172F3"/>
    <w:rsid w:val="0092530C"/>
    <w:rsid w:val="00926DEE"/>
    <w:rsid w:val="009304AA"/>
    <w:rsid w:val="0093340F"/>
    <w:rsid w:val="00933715"/>
    <w:rsid w:val="0093397C"/>
    <w:rsid w:val="00934C3F"/>
    <w:rsid w:val="00935064"/>
    <w:rsid w:val="00947153"/>
    <w:rsid w:val="00950A41"/>
    <w:rsid w:val="00955F2E"/>
    <w:rsid w:val="0096385C"/>
    <w:rsid w:val="00965B17"/>
    <w:rsid w:val="00966610"/>
    <w:rsid w:val="00967730"/>
    <w:rsid w:val="00967C51"/>
    <w:rsid w:val="0097194A"/>
    <w:rsid w:val="009733FE"/>
    <w:rsid w:val="0097370A"/>
    <w:rsid w:val="009761C8"/>
    <w:rsid w:val="00976891"/>
    <w:rsid w:val="00986C82"/>
    <w:rsid w:val="00986CD4"/>
    <w:rsid w:val="00986F0B"/>
    <w:rsid w:val="009873DF"/>
    <w:rsid w:val="00987913"/>
    <w:rsid w:val="00991B19"/>
    <w:rsid w:val="0099262F"/>
    <w:rsid w:val="00992871"/>
    <w:rsid w:val="009932A3"/>
    <w:rsid w:val="00993B34"/>
    <w:rsid w:val="00995527"/>
    <w:rsid w:val="009A2357"/>
    <w:rsid w:val="009A54C7"/>
    <w:rsid w:val="009A5FC0"/>
    <w:rsid w:val="009B1173"/>
    <w:rsid w:val="009B187D"/>
    <w:rsid w:val="009B2B6E"/>
    <w:rsid w:val="009B362D"/>
    <w:rsid w:val="009B58F4"/>
    <w:rsid w:val="009B591F"/>
    <w:rsid w:val="009C1172"/>
    <w:rsid w:val="009C2C88"/>
    <w:rsid w:val="009C459A"/>
    <w:rsid w:val="009C483D"/>
    <w:rsid w:val="009C5CC3"/>
    <w:rsid w:val="009C74FB"/>
    <w:rsid w:val="009C7A52"/>
    <w:rsid w:val="009D1680"/>
    <w:rsid w:val="009D5CE3"/>
    <w:rsid w:val="009D6719"/>
    <w:rsid w:val="009D788A"/>
    <w:rsid w:val="009E2661"/>
    <w:rsid w:val="009E2DCD"/>
    <w:rsid w:val="009E37B5"/>
    <w:rsid w:val="009E40B0"/>
    <w:rsid w:val="009E6CB2"/>
    <w:rsid w:val="009F1CB7"/>
    <w:rsid w:val="009F4B8F"/>
    <w:rsid w:val="00A0015B"/>
    <w:rsid w:val="00A0344D"/>
    <w:rsid w:val="00A050DA"/>
    <w:rsid w:val="00A07392"/>
    <w:rsid w:val="00A1147A"/>
    <w:rsid w:val="00A12DA6"/>
    <w:rsid w:val="00A14556"/>
    <w:rsid w:val="00A15819"/>
    <w:rsid w:val="00A21465"/>
    <w:rsid w:val="00A26F24"/>
    <w:rsid w:val="00A27FB2"/>
    <w:rsid w:val="00A30D84"/>
    <w:rsid w:val="00A330AB"/>
    <w:rsid w:val="00A46BA7"/>
    <w:rsid w:val="00A50053"/>
    <w:rsid w:val="00A55286"/>
    <w:rsid w:val="00A555B6"/>
    <w:rsid w:val="00A61A7A"/>
    <w:rsid w:val="00A64B50"/>
    <w:rsid w:val="00A64C98"/>
    <w:rsid w:val="00A66324"/>
    <w:rsid w:val="00A67CEE"/>
    <w:rsid w:val="00A7101B"/>
    <w:rsid w:val="00A720EA"/>
    <w:rsid w:val="00A817BB"/>
    <w:rsid w:val="00A81BF7"/>
    <w:rsid w:val="00A82BBF"/>
    <w:rsid w:val="00A83E37"/>
    <w:rsid w:val="00A932A9"/>
    <w:rsid w:val="00A93BEF"/>
    <w:rsid w:val="00A95D05"/>
    <w:rsid w:val="00A9725C"/>
    <w:rsid w:val="00AA0446"/>
    <w:rsid w:val="00AA39E2"/>
    <w:rsid w:val="00AA72F7"/>
    <w:rsid w:val="00AB1699"/>
    <w:rsid w:val="00AB3340"/>
    <w:rsid w:val="00AC0338"/>
    <w:rsid w:val="00AC6B1F"/>
    <w:rsid w:val="00AD0697"/>
    <w:rsid w:val="00AD0E97"/>
    <w:rsid w:val="00AD20E7"/>
    <w:rsid w:val="00AE348F"/>
    <w:rsid w:val="00AE5EEF"/>
    <w:rsid w:val="00AF2026"/>
    <w:rsid w:val="00AF46AA"/>
    <w:rsid w:val="00AF4D8A"/>
    <w:rsid w:val="00AF5548"/>
    <w:rsid w:val="00AF5D4C"/>
    <w:rsid w:val="00B010BE"/>
    <w:rsid w:val="00B06314"/>
    <w:rsid w:val="00B06B92"/>
    <w:rsid w:val="00B07458"/>
    <w:rsid w:val="00B129D9"/>
    <w:rsid w:val="00B13CE2"/>
    <w:rsid w:val="00B15F49"/>
    <w:rsid w:val="00B1765C"/>
    <w:rsid w:val="00B26AE4"/>
    <w:rsid w:val="00B32D16"/>
    <w:rsid w:val="00B336BD"/>
    <w:rsid w:val="00B345D6"/>
    <w:rsid w:val="00B3671E"/>
    <w:rsid w:val="00B40740"/>
    <w:rsid w:val="00B40CD8"/>
    <w:rsid w:val="00B44720"/>
    <w:rsid w:val="00B51674"/>
    <w:rsid w:val="00B52A1D"/>
    <w:rsid w:val="00B52E81"/>
    <w:rsid w:val="00B550E4"/>
    <w:rsid w:val="00B55B03"/>
    <w:rsid w:val="00B604EE"/>
    <w:rsid w:val="00B61252"/>
    <w:rsid w:val="00B6283B"/>
    <w:rsid w:val="00B63102"/>
    <w:rsid w:val="00B6327E"/>
    <w:rsid w:val="00B73D3D"/>
    <w:rsid w:val="00B7449E"/>
    <w:rsid w:val="00B74886"/>
    <w:rsid w:val="00B7614C"/>
    <w:rsid w:val="00B801C2"/>
    <w:rsid w:val="00B80CCB"/>
    <w:rsid w:val="00B869AB"/>
    <w:rsid w:val="00B8748E"/>
    <w:rsid w:val="00B90EDE"/>
    <w:rsid w:val="00B93F77"/>
    <w:rsid w:val="00B95D98"/>
    <w:rsid w:val="00BA2F4C"/>
    <w:rsid w:val="00BA5C6E"/>
    <w:rsid w:val="00BB3510"/>
    <w:rsid w:val="00BB3A6C"/>
    <w:rsid w:val="00BB7C93"/>
    <w:rsid w:val="00BB7E28"/>
    <w:rsid w:val="00BC33AD"/>
    <w:rsid w:val="00BC34F1"/>
    <w:rsid w:val="00BC4498"/>
    <w:rsid w:val="00BD1A67"/>
    <w:rsid w:val="00BD42DF"/>
    <w:rsid w:val="00BD7A4E"/>
    <w:rsid w:val="00BD7C3E"/>
    <w:rsid w:val="00BE058B"/>
    <w:rsid w:val="00BE0FCB"/>
    <w:rsid w:val="00BE33A3"/>
    <w:rsid w:val="00BE3E71"/>
    <w:rsid w:val="00BE42D5"/>
    <w:rsid w:val="00BE508E"/>
    <w:rsid w:val="00BF0E25"/>
    <w:rsid w:val="00BF29FC"/>
    <w:rsid w:val="00BF4376"/>
    <w:rsid w:val="00C034DC"/>
    <w:rsid w:val="00C03E2E"/>
    <w:rsid w:val="00C06B1E"/>
    <w:rsid w:val="00C0748C"/>
    <w:rsid w:val="00C10DBF"/>
    <w:rsid w:val="00C13543"/>
    <w:rsid w:val="00C1429D"/>
    <w:rsid w:val="00C2347B"/>
    <w:rsid w:val="00C235D7"/>
    <w:rsid w:val="00C257D8"/>
    <w:rsid w:val="00C2709D"/>
    <w:rsid w:val="00C332B6"/>
    <w:rsid w:val="00C346EF"/>
    <w:rsid w:val="00C351BE"/>
    <w:rsid w:val="00C36557"/>
    <w:rsid w:val="00C37B9E"/>
    <w:rsid w:val="00C41336"/>
    <w:rsid w:val="00C41DA7"/>
    <w:rsid w:val="00C424C3"/>
    <w:rsid w:val="00C44026"/>
    <w:rsid w:val="00C4796E"/>
    <w:rsid w:val="00C5141D"/>
    <w:rsid w:val="00C530DB"/>
    <w:rsid w:val="00C5587A"/>
    <w:rsid w:val="00C61F49"/>
    <w:rsid w:val="00C6269B"/>
    <w:rsid w:val="00C62EDE"/>
    <w:rsid w:val="00C630B9"/>
    <w:rsid w:val="00C6758B"/>
    <w:rsid w:val="00C70385"/>
    <w:rsid w:val="00C74AE6"/>
    <w:rsid w:val="00C76F22"/>
    <w:rsid w:val="00C77B21"/>
    <w:rsid w:val="00C82302"/>
    <w:rsid w:val="00C90BB1"/>
    <w:rsid w:val="00C97B32"/>
    <w:rsid w:val="00CA2D94"/>
    <w:rsid w:val="00CB15E9"/>
    <w:rsid w:val="00CB2055"/>
    <w:rsid w:val="00CB3558"/>
    <w:rsid w:val="00CB5CC0"/>
    <w:rsid w:val="00CB640A"/>
    <w:rsid w:val="00CC459A"/>
    <w:rsid w:val="00CC6CB2"/>
    <w:rsid w:val="00CC6D83"/>
    <w:rsid w:val="00CD0E31"/>
    <w:rsid w:val="00CD1774"/>
    <w:rsid w:val="00CD7668"/>
    <w:rsid w:val="00CE086A"/>
    <w:rsid w:val="00CE0E26"/>
    <w:rsid w:val="00CE3B7C"/>
    <w:rsid w:val="00CE3D76"/>
    <w:rsid w:val="00CE63D3"/>
    <w:rsid w:val="00CE700B"/>
    <w:rsid w:val="00CE7830"/>
    <w:rsid w:val="00D002CB"/>
    <w:rsid w:val="00D02B3A"/>
    <w:rsid w:val="00D07F9B"/>
    <w:rsid w:val="00D107BE"/>
    <w:rsid w:val="00D13C58"/>
    <w:rsid w:val="00D14125"/>
    <w:rsid w:val="00D26272"/>
    <w:rsid w:val="00D31C54"/>
    <w:rsid w:val="00D33720"/>
    <w:rsid w:val="00D467D4"/>
    <w:rsid w:val="00D47B38"/>
    <w:rsid w:val="00D54E5F"/>
    <w:rsid w:val="00D55DF5"/>
    <w:rsid w:val="00D55F42"/>
    <w:rsid w:val="00D574C2"/>
    <w:rsid w:val="00D61900"/>
    <w:rsid w:val="00D61DDC"/>
    <w:rsid w:val="00D628FC"/>
    <w:rsid w:val="00D65B00"/>
    <w:rsid w:val="00D66089"/>
    <w:rsid w:val="00D673A9"/>
    <w:rsid w:val="00D70377"/>
    <w:rsid w:val="00D738F7"/>
    <w:rsid w:val="00D752B7"/>
    <w:rsid w:val="00D8055F"/>
    <w:rsid w:val="00D80FFE"/>
    <w:rsid w:val="00D85235"/>
    <w:rsid w:val="00D852D9"/>
    <w:rsid w:val="00D85BB9"/>
    <w:rsid w:val="00D90575"/>
    <w:rsid w:val="00DA2F45"/>
    <w:rsid w:val="00DA3071"/>
    <w:rsid w:val="00DA3F60"/>
    <w:rsid w:val="00DA6D13"/>
    <w:rsid w:val="00DA78BB"/>
    <w:rsid w:val="00DB2D65"/>
    <w:rsid w:val="00DB65C5"/>
    <w:rsid w:val="00DB6B01"/>
    <w:rsid w:val="00DC681A"/>
    <w:rsid w:val="00DD2DCB"/>
    <w:rsid w:val="00DD7D02"/>
    <w:rsid w:val="00DE2911"/>
    <w:rsid w:val="00DE393A"/>
    <w:rsid w:val="00DE4AF8"/>
    <w:rsid w:val="00DE765A"/>
    <w:rsid w:val="00DF011B"/>
    <w:rsid w:val="00DF74FE"/>
    <w:rsid w:val="00E073E9"/>
    <w:rsid w:val="00E17C3F"/>
    <w:rsid w:val="00E17D1D"/>
    <w:rsid w:val="00E2417D"/>
    <w:rsid w:val="00E24D38"/>
    <w:rsid w:val="00E319C6"/>
    <w:rsid w:val="00E33FBD"/>
    <w:rsid w:val="00E41343"/>
    <w:rsid w:val="00E41EF4"/>
    <w:rsid w:val="00E421A6"/>
    <w:rsid w:val="00E520D6"/>
    <w:rsid w:val="00E5692F"/>
    <w:rsid w:val="00E572A8"/>
    <w:rsid w:val="00E604CD"/>
    <w:rsid w:val="00E62A7C"/>
    <w:rsid w:val="00E705A5"/>
    <w:rsid w:val="00E70D9D"/>
    <w:rsid w:val="00E71946"/>
    <w:rsid w:val="00E727BF"/>
    <w:rsid w:val="00E7527F"/>
    <w:rsid w:val="00E75E0C"/>
    <w:rsid w:val="00E77D7E"/>
    <w:rsid w:val="00E82D42"/>
    <w:rsid w:val="00E9020B"/>
    <w:rsid w:val="00EA2412"/>
    <w:rsid w:val="00EA4B14"/>
    <w:rsid w:val="00EB63B6"/>
    <w:rsid w:val="00EB6CDD"/>
    <w:rsid w:val="00EC630D"/>
    <w:rsid w:val="00ED127D"/>
    <w:rsid w:val="00ED2CFA"/>
    <w:rsid w:val="00ED339E"/>
    <w:rsid w:val="00ED7B4F"/>
    <w:rsid w:val="00EE53E8"/>
    <w:rsid w:val="00EF20D0"/>
    <w:rsid w:val="00F01AA0"/>
    <w:rsid w:val="00F03129"/>
    <w:rsid w:val="00F0379E"/>
    <w:rsid w:val="00F056DD"/>
    <w:rsid w:val="00F06995"/>
    <w:rsid w:val="00F06D87"/>
    <w:rsid w:val="00F07165"/>
    <w:rsid w:val="00F10940"/>
    <w:rsid w:val="00F11919"/>
    <w:rsid w:val="00F2166D"/>
    <w:rsid w:val="00F217E2"/>
    <w:rsid w:val="00F23232"/>
    <w:rsid w:val="00F2351F"/>
    <w:rsid w:val="00F30570"/>
    <w:rsid w:val="00F3452A"/>
    <w:rsid w:val="00F3575D"/>
    <w:rsid w:val="00F40805"/>
    <w:rsid w:val="00F5241A"/>
    <w:rsid w:val="00F54B02"/>
    <w:rsid w:val="00F552C2"/>
    <w:rsid w:val="00F56D24"/>
    <w:rsid w:val="00F579EF"/>
    <w:rsid w:val="00F62A72"/>
    <w:rsid w:val="00F70483"/>
    <w:rsid w:val="00F73E11"/>
    <w:rsid w:val="00F744F5"/>
    <w:rsid w:val="00F76661"/>
    <w:rsid w:val="00F83ABC"/>
    <w:rsid w:val="00F95A0F"/>
    <w:rsid w:val="00FA2AAC"/>
    <w:rsid w:val="00FA4FA1"/>
    <w:rsid w:val="00FA6861"/>
    <w:rsid w:val="00FB0DBF"/>
    <w:rsid w:val="00FB3602"/>
    <w:rsid w:val="00FB3614"/>
    <w:rsid w:val="00FC047C"/>
    <w:rsid w:val="00FC0491"/>
    <w:rsid w:val="00FC0F00"/>
    <w:rsid w:val="00FC36FB"/>
    <w:rsid w:val="00FC7587"/>
    <w:rsid w:val="00FC7F22"/>
    <w:rsid w:val="00FD551F"/>
    <w:rsid w:val="00FE522B"/>
    <w:rsid w:val="00FE535E"/>
    <w:rsid w:val="00FE688A"/>
    <w:rsid w:val="00FF17F8"/>
    <w:rsid w:val="00FF38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6B3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763259398">
      <w:bodyDiv w:val="1"/>
      <w:marLeft w:val="0"/>
      <w:marRight w:val="0"/>
      <w:marTop w:val="0"/>
      <w:marBottom w:val="0"/>
      <w:divBdr>
        <w:top w:val="none" w:sz="0" w:space="0" w:color="auto"/>
        <w:left w:val="none" w:sz="0" w:space="0" w:color="auto"/>
        <w:bottom w:val="none" w:sz="0" w:space="0" w:color="auto"/>
        <w:right w:val="none" w:sz="0" w:space="0" w:color="auto"/>
      </w:divBdr>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10678104">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F8F7-A51D-41AB-A04C-8AFE83C9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775</Words>
  <Characters>5975</Characters>
  <Application>Microsoft Office Word</Application>
  <DocSecurity>0</DocSecurity>
  <Lines>206</Lines>
  <Paragraphs>70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20.janvāra noteikumos Nr.60 "Noteikumi par obligātajām prasībām ārstniecības iestādēm un to struktūrvienībām”” </vt:lpstr>
    </vt:vector>
  </TitlesOfParts>
  <Company>Veselības ministrija</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20.janvāra noteikumos Nr.60 "Noteikumi par obligātajām prasībām ārstniecības iestādēm un to struktūrvienībām”” </dc:title>
  <dc:subject>Anotācija</dc:subject>
  <dc:creator>Dace Roga</dc:creator>
  <dc:description>Dace.Roga@vm.gov.lv tālr. 67876093_x000d_
</dc:description>
  <cp:lastModifiedBy>droga</cp:lastModifiedBy>
  <cp:revision>34</cp:revision>
  <cp:lastPrinted>2014-06-02T06:44:00Z</cp:lastPrinted>
  <dcterms:created xsi:type="dcterms:W3CDTF">2014-04-28T05:45:00Z</dcterms:created>
  <dcterms:modified xsi:type="dcterms:W3CDTF">2014-06-02T06:47:00Z</dcterms:modified>
</cp:coreProperties>
</file>