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12" w:rsidRPr="0092217C" w:rsidRDefault="00C83412" w:rsidP="00C83412">
      <w:pPr>
        <w:pStyle w:val="NormalWeb"/>
        <w:spacing w:before="0" w:beforeAutospacing="0" w:after="0" w:afterAutospacing="0"/>
        <w:jc w:val="center"/>
        <w:rPr>
          <w:b/>
          <w:bCs/>
          <w:sz w:val="28"/>
          <w:szCs w:val="28"/>
        </w:rPr>
      </w:pPr>
      <w:r w:rsidRPr="0092217C">
        <w:rPr>
          <w:b/>
          <w:bCs/>
          <w:sz w:val="28"/>
          <w:szCs w:val="28"/>
        </w:rPr>
        <w:t>Ministru kabineta rīkojuma projekta „Par finanšu līdzekļu</w:t>
      </w:r>
    </w:p>
    <w:p w:rsidR="00C83412" w:rsidRPr="0092217C" w:rsidRDefault="00C83412" w:rsidP="00C83412">
      <w:pPr>
        <w:pStyle w:val="NormalWeb"/>
        <w:spacing w:before="0" w:beforeAutospacing="0" w:after="0" w:afterAutospacing="0"/>
        <w:jc w:val="center"/>
        <w:rPr>
          <w:b/>
          <w:bCs/>
          <w:sz w:val="28"/>
          <w:szCs w:val="28"/>
        </w:rPr>
      </w:pPr>
      <w:r w:rsidRPr="0092217C">
        <w:rPr>
          <w:b/>
          <w:bCs/>
          <w:sz w:val="28"/>
          <w:szCs w:val="28"/>
        </w:rPr>
        <w:t>piešķiršanu no valsts budžeta programmas „Līdzekļi neparedzētiem</w:t>
      </w:r>
    </w:p>
    <w:p w:rsidR="00C83412" w:rsidRPr="0092217C" w:rsidRDefault="00C83412" w:rsidP="00C83412">
      <w:pPr>
        <w:pStyle w:val="NormalWeb"/>
        <w:spacing w:before="0" w:beforeAutospacing="0" w:after="0" w:afterAutospacing="0"/>
        <w:jc w:val="center"/>
        <w:rPr>
          <w:b/>
          <w:bCs/>
          <w:sz w:val="28"/>
          <w:szCs w:val="28"/>
        </w:rPr>
      </w:pPr>
      <w:r w:rsidRPr="0092217C">
        <w:rPr>
          <w:b/>
          <w:bCs/>
          <w:sz w:val="28"/>
          <w:szCs w:val="28"/>
        </w:rPr>
        <w:t>gadījumiem”” sākotnējās ietekmes novērtējuma ziņojums (anotācija)</w:t>
      </w:r>
    </w:p>
    <w:p w:rsidR="008C5649" w:rsidRPr="00CB2B21" w:rsidRDefault="008C5649" w:rsidP="00C83412">
      <w:pPr>
        <w:pStyle w:val="naislab"/>
        <w:spacing w:before="0" w:after="0"/>
        <w:jc w:val="center"/>
        <w:outlineLvl w:val="0"/>
        <w:rPr>
          <w:b/>
          <w:sz w:val="20"/>
          <w:szCs w:val="20"/>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2721"/>
        <w:gridCol w:w="6090"/>
      </w:tblGrid>
      <w:tr w:rsidR="00852042" w:rsidRPr="0092217C" w:rsidTr="006C418A">
        <w:tc>
          <w:tcPr>
            <w:tcW w:w="9214" w:type="dxa"/>
            <w:gridSpan w:val="3"/>
            <w:vAlign w:val="center"/>
          </w:tcPr>
          <w:p w:rsidR="00852042" w:rsidRPr="0092217C" w:rsidRDefault="00852042" w:rsidP="006C4607">
            <w:pPr>
              <w:pStyle w:val="naisnod"/>
              <w:spacing w:before="0" w:after="0"/>
              <w:rPr>
                <w:sz w:val="28"/>
                <w:szCs w:val="28"/>
              </w:rPr>
            </w:pPr>
            <w:r w:rsidRPr="0092217C">
              <w:rPr>
                <w:sz w:val="28"/>
                <w:szCs w:val="28"/>
              </w:rPr>
              <w:t>I</w:t>
            </w:r>
            <w:r w:rsidR="000941C5" w:rsidRPr="0092217C">
              <w:rPr>
                <w:sz w:val="28"/>
                <w:szCs w:val="28"/>
              </w:rPr>
              <w:t>.</w:t>
            </w:r>
            <w:r w:rsidRPr="0092217C">
              <w:rPr>
                <w:sz w:val="28"/>
                <w:szCs w:val="28"/>
              </w:rPr>
              <w:t xml:space="preserve"> Tiesību akta </w:t>
            </w:r>
            <w:r w:rsidR="002E3FF4" w:rsidRPr="0092217C">
              <w:rPr>
                <w:sz w:val="28"/>
                <w:szCs w:val="28"/>
              </w:rPr>
              <w:t xml:space="preserve">projekta </w:t>
            </w:r>
            <w:r w:rsidRPr="0092217C">
              <w:rPr>
                <w:sz w:val="28"/>
                <w:szCs w:val="28"/>
              </w:rPr>
              <w:t>izstrādes nepieciešamība</w:t>
            </w:r>
          </w:p>
        </w:tc>
      </w:tr>
      <w:tr w:rsidR="00262E2B" w:rsidRPr="00BF0547" w:rsidTr="00F931B1">
        <w:trPr>
          <w:trHeight w:val="630"/>
        </w:trPr>
        <w:tc>
          <w:tcPr>
            <w:tcW w:w="403" w:type="dxa"/>
          </w:tcPr>
          <w:p w:rsidR="00262E2B" w:rsidRPr="00BF0547" w:rsidRDefault="00262E2B" w:rsidP="006C4607">
            <w:pPr>
              <w:pStyle w:val="naiskr"/>
              <w:spacing w:before="0" w:after="0"/>
              <w:rPr>
                <w:sz w:val="28"/>
                <w:szCs w:val="28"/>
              </w:rPr>
            </w:pPr>
            <w:r w:rsidRPr="00BF0547">
              <w:rPr>
                <w:sz w:val="28"/>
                <w:szCs w:val="28"/>
              </w:rPr>
              <w:t>1.</w:t>
            </w:r>
          </w:p>
        </w:tc>
        <w:tc>
          <w:tcPr>
            <w:tcW w:w="2721" w:type="dxa"/>
          </w:tcPr>
          <w:p w:rsidR="00262E2B" w:rsidRPr="00BF0547" w:rsidRDefault="002D7F54" w:rsidP="006C4607">
            <w:pPr>
              <w:pStyle w:val="naiskr"/>
              <w:spacing w:before="0" w:after="0"/>
              <w:ind w:hanging="10"/>
              <w:rPr>
                <w:sz w:val="28"/>
                <w:szCs w:val="28"/>
              </w:rPr>
            </w:pPr>
            <w:r w:rsidRPr="00BF0547">
              <w:rPr>
                <w:sz w:val="28"/>
                <w:szCs w:val="28"/>
              </w:rPr>
              <w:t>Pamatojums</w:t>
            </w:r>
          </w:p>
        </w:tc>
        <w:tc>
          <w:tcPr>
            <w:tcW w:w="6090" w:type="dxa"/>
          </w:tcPr>
          <w:p w:rsidR="000F6B39" w:rsidRPr="00BF0547" w:rsidRDefault="00243069" w:rsidP="00470013">
            <w:pPr>
              <w:pStyle w:val="naiskr"/>
              <w:tabs>
                <w:tab w:val="left" w:pos="390"/>
              </w:tabs>
              <w:spacing w:before="0" w:after="0"/>
              <w:jc w:val="both"/>
              <w:rPr>
                <w:sz w:val="28"/>
                <w:szCs w:val="28"/>
              </w:rPr>
            </w:pPr>
            <w:r w:rsidRPr="00BF0547">
              <w:rPr>
                <w:sz w:val="28"/>
                <w:szCs w:val="28"/>
              </w:rPr>
              <w:t>Ministru kabineta 2009.gada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rsidR="00031FA2" w:rsidRPr="00BF0547" w:rsidRDefault="00031FA2" w:rsidP="00470013">
            <w:pPr>
              <w:pStyle w:val="naiskr"/>
              <w:tabs>
                <w:tab w:val="left" w:pos="390"/>
              </w:tabs>
              <w:spacing w:before="0" w:after="0"/>
              <w:jc w:val="both"/>
              <w:rPr>
                <w:sz w:val="28"/>
                <w:szCs w:val="28"/>
              </w:rPr>
            </w:pPr>
            <w:r w:rsidRPr="00BF0547">
              <w:rPr>
                <w:sz w:val="28"/>
                <w:szCs w:val="28"/>
              </w:rPr>
              <w:t>Ministru kabineta 2013.gada 22.novembra ārkārtas sēdes protokols Nr.62 1</w:t>
            </w:r>
            <w:r w:rsidR="00835D6B" w:rsidRPr="00BF0547">
              <w:rPr>
                <w:sz w:val="28"/>
                <w:szCs w:val="28"/>
              </w:rPr>
              <w:t>.</w:t>
            </w:r>
            <w:r w:rsidRPr="00BF0547">
              <w:rPr>
                <w:sz w:val="28"/>
                <w:szCs w:val="28"/>
              </w:rPr>
              <w:t>§ „Par situāciju saistībā ar traģēdiju tirdzniecības centrā Priedaines ielā 20, Rīgā un veicamajiem pasākumiem traģēdijas seku novēršanai” TA-3439.</w:t>
            </w:r>
          </w:p>
          <w:p w:rsidR="00BE2DCE" w:rsidRPr="00BF0547" w:rsidRDefault="0076757D" w:rsidP="00AA57DB">
            <w:pPr>
              <w:pStyle w:val="naiskr"/>
              <w:tabs>
                <w:tab w:val="left" w:pos="390"/>
              </w:tabs>
              <w:spacing w:before="0" w:after="0"/>
              <w:jc w:val="both"/>
              <w:rPr>
                <w:sz w:val="28"/>
                <w:szCs w:val="28"/>
              </w:rPr>
            </w:pPr>
            <w:r w:rsidRPr="001B7407">
              <w:rPr>
                <w:sz w:val="28"/>
                <w:szCs w:val="28"/>
              </w:rPr>
              <w:t xml:space="preserve">Ministru kabineta 2013.gada </w:t>
            </w:r>
            <w:r w:rsidR="00AA57DB" w:rsidRPr="001B7407">
              <w:rPr>
                <w:sz w:val="28"/>
                <w:szCs w:val="28"/>
              </w:rPr>
              <w:t>4</w:t>
            </w:r>
            <w:r w:rsidRPr="001B7407">
              <w:rPr>
                <w:sz w:val="28"/>
                <w:szCs w:val="28"/>
              </w:rPr>
              <w:t>.decembra rīkojums</w:t>
            </w:r>
            <w:r w:rsidRPr="00BF0547">
              <w:rPr>
                <w:sz w:val="28"/>
                <w:szCs w:val="28"/>
              </w:rPr>
              <w:t xml:space="preserve"> Nr.590 „Par atbalsta pasākumiem traģēdijā Priedaines ielā 20, Rīgā, cietušajiem un seku novēršanā iesaistītajām personām”.</w:t>
            </w:r>
          </w:p>
        </w:tc>
      </w:tr>
      <w:tr w:rsidR="00262E2B" w:rsidRPr="00BF0547" w:rsidTr="00F931B1">
        <w:trPr>
          <w:trHeight w:val="472"/>
        </w:trPr>
        <w:tc>
          <w:tcPr>
            <w:tcW w:w="403" w:type="dxa"/>
          </w:tcPr>
          <w:p w:rsidR="00262E2B" w:rsidRPr="00BF0547" w:rsidRDefault="00262E2B" w:rsidP="006C4607">
            <w:pPr>
              <w:pStyle w:val="naiskr"/>
              <w:spacing w:before="0" w:after="0"/>
              <w:rPr>
                <w:sz w:val="28"/>
                <w:szCs w:val="28"/>
              </w:rPr>
            </w:pPr>
            <w:r w:rsidRPr="00BF0547">
              <w:rPr>
                <w:sz w:val="28"/>
                <w:szCs w:val="28"/>
              </w:rPr>
              <w:t>2.</w:t>
            </w:r>
          </w:p>
        </w:tc>
        <w:tc>
          <w:tcPr>
            <w:tcW w:w="2721" w:type="dxa"/>
          </w:tcPr>
          <w:p w:rsidR="00262E2B" w:rsidRPr="00BF0547" w:rsidRDefault="00262E2B" w:rsidP="006C4607">
            <w:pPr>
              <w:pStyle w:val="naiskr"/>
              <w:tabs>
                <w:tab w:val="left" w:pos="170"/>
              </w:tabs>
              <w:spacing w:before="0" w:after="0"/>
              <w:rPr>
                <w:sz w:val="28"/>
                <w:szCs w:val="28"/>
              </w:rPr>
            </w:pPr>
            <w:r w:rsidRPr="00BF0547">
              <w:rPr>
                <w:sz w:val="28"/>
                <w:szCs w:val="28"/>
              </w:rPr>
              <w:t>Pašreizējā situācija</w:t>
            </w:r>
            <w:r w:rsidR="001F5CD6" w:rsidRPr="00BF0547">
              <w:rPr>
                <w:sz w:val="28"/>
                <w:szCs w:val="28"/>
              </w:rPr>
              <w:t xml:space="preserve"> un problēmas</w:t>
            </w:r>
            <w:r w:rsidR="006E626B" w:rsidRPr="00BF0547">
              <w:rPr>
                <w:sz w:val="28"/>
                <w:szCs w:val="28"/>
              </w:rPr>
              <w:t>, kuru risināšanai tiesību akta projekts izstrādāts,  tiesiskā regulējuma mērķis un būtība</w:t>
            </w:r>
          </w:p>
        </w:tc>
        <w:tc>
          <w:tcPr>
            <w:tcW w:w="6090" w:type="dxa"/>
          </w:tcPr>
          <w:p w:rsidR="00CB2B21" w:rsidRPr="00BF0547" w:rsidRDefault="00ED074C" w:rsidP="00CB2B21">
            <w:pPr>
              <w:pStyle w:val="tv213"/>
              <w:jc w:val="both"/>
              <w:rPr>
                <w:sz w:val="28"/>
                <w:szCs w:val="28"/>
              </w:rPr>
            </w:pPr>
            <w:r w:rsidRPr="00BF0547">
              <w:rPr>
                <w:sz w:val="28"/>
                <w:szCs w:val="28"/>
              </w:rPr>
              <w:t>2013.gada 21</w:t>
            </w:r>
            <w:r w:rsidR="00C83412" w:rsidRPr="00BF0547">
              <w:rPr>
                <w:sz w:val="28"/>
                <w:szCs w:val="28"/>
              </w:rPr>
              <w:t>.</w:t>
            </w:r>
            <w:r w:rsidRPr="00BF0547">
              <w:rPr>
                <w:sz w:val="28"/>
                <w:szCs w:val="28"/>
              </w:rPr>
              <w:t>novembr</w:t>
            </w:r>
            <w:r w:rsidR="00720B2E" w:rsidRPr="00BF0547">
              <w:rPr>
                <w:sz w:val="28"/>
                <w:szCs w:val="28"/>
              </w:rPr>
              <w:t>a</w:t>
            </w:r>
            <w:r w:rsidRPr="00BF0547">
              <w:rPr>
                <w:sz w:val="28"/>
                <w:szCs w:val="28"/>
              </w:rPr>
              <w:t xml:space="preserve"> </w:t>
            </w:r>
            <w:r w:rsidR="00720B2E" w:rsidRPr="00BF0547">
              <w:rPr>
                <w:sz w:val="28"/>
                <w:szCs w:val="28"/>
              </w:rPr>
              <w:t>vakarā</w:t>
            </w:r>
            <w:r w:rsidR="00920796" w:rsidRPr="00BF0547">
              <w:rPr>
                <w:sz w:val="28"/>
                <w:szCs w:val="28"/>
              </w:rPr>
              <w:t xml:space="preserve"> Rīgā, Priedaines ielā 20</w:t>
            </w:r>
            <w:r w:rsidR="00720B2E" w:rsidRPr="00BF0547">
              <w:rPr>
                <w:sz w:val="28"/>
                <w:szCs w:val="28"/>
              </w:rPr>
              <w:t>,</w:t>
            </w:r>
            <w:r w:rsidR="00920796" w:rsidRPr="00BF0547">
              <w:rPr>
                <w:sz w:val="28"/>
                <w:szCs w:val="28"/>
              </w:rPr>
              <w:t xml:space="preserve"> iebruka </w:t>
            </w:r>
            <w:r w:rsidRPr="00BF0547">
              <w:rPr>
                <w:sz w:val="28"/>
                <w:szCs w:val="28"/>
              </w:rPr>
              <w:t>tirdzniecības centr</w:t>
            </w:r>
            <w:r w:rsidR="00920796" w:rsidRPr="00BF0547">
              <w:rPr>
                <w:sz w:val="28"/>
                <w:szCs w:val="28"/>
              </w:rPr>
              <w:t>a</w:t>
            </w:r>
            <w:r w:rsidR="00720B2E" w:rsidRPr="00BF0547">
              <w:rPr>
                <w:sz w:val="28"/>
                <w:szCs w:val="28"/>
              </w:rPr>
              <w:t xml:space="preserve"> „</w:t>
            </w:r>
            <w:proofErr w:type="spellStart"/>
            <w:r w:rsidR="00720B2E" w:rsidRPr="00BF0547">
              <w:rPr>
                <w:sz w:val="28"/>
                <w:szCs w:val="28"/>
              </w:rPr>
              <w:t>Maxima</w:t>
            </w:r>
            <w:proofErr w:type="spellEnd"/>
            <w:r w:rsidR="00720B2E" w:rsidRPr="00BF0547">
              <w:rPr>
                <w:sz w:val="28"/>
                <w:szCs w:val="28"/>
              </w:rPr>
              <w:t>”</w:t>
            </w:r>
            <w:r w:rsidRPr="00BF0547">
              <w:rPr>
                <w:sz w:val="28"/>
                <w:szCs w:val="28"/>
              </w:rPr>
              <w:t xml:space="preserve"> jumts.</w:t>
            </w:r>
            <w:r w:rsidR="00720B2E" w:rsidRPr="00BF0547">
              <w:rPr>
                <w:sz w:val="28"/>
                <w:szCs w:val="28"/>
              </w:rPr>
              <w:t xml:space="preserve"> </w:t>
            </w:r>
          </w:p>
          <w:p w:rsidR="0048779B" w:rsidRPr="00BF0547" w:rsidRDefault="0048779B" w:rsidP="0048779B">
            <w:pPr>
              <w:pStyle w:val="tv213"/>
              <w:spacing w:before="0" w:beforeAutospacing="0" w:after="0" w:afterAutospacing="0"/>
              <w:jc w:val="both"/>
              <w:rPr>
                <w:sz w:val="28"/>
                <w:szCs w:val="28"/>
              </w:rPr>
            </w:pPr>
            <w:r w:rsidRPr="00BF0547">
              <w:rPr>
                <w:sz w:val="28"/>
                <w:szCs w:val="28"/>
              </w:rPr>
              <w:t xml:space="preserve">Saskaņā ar Ministru kabineta 2013.gada 22.novembra ārkārtas sēdes protokola Nr.62 1§ („Par situāciju saistībā ar traģēdiju tirdzniecības centrā Priedaines ielā 20, Rīgā un veicamajiem pasākumiem traģēdijas seku novēršanai” TA-3439) 6.punktā Veselības ministrijai doto uzdevumu 2013.gada 27.novembrī tika izdots Veselības ministrijas rīkojums Nr.222 „Par veicamajiem pasākumiem saistībā ar traģēdiju tirdzniecības centrā Priedaines ielā 20, Rīgā”, kur tika uzdots NVD nodrošināt, ka ārstniecības iestādes apkopo rēķinus, bet neiekasē tiesību aktos noteiktās pacienta iemaksas un </w:t>
            </w:r>
            <w:proofErr w:type="spellStart"/>
            <w:r w:rsidRPr="00BF0547">
              <w:rPr>
                <w:sz w:val="28"/>
                <w:szCs w:val="28"/>
              </w:rPr>
              <w:t>līdzmaksājumus</w:t>
            </w:r>
            <w:proofErr w:type="spellEnd"/>
            <w:r w:rsidRPr="00BF0547">
              <w:rPr>
                <w:sz w:val="28"/>
                <w:szCs w:val="28"/>
              </w:rPr>
              <w:t xml:space="preserve"> no traģēdijā cietušajiem, apkopot informāciju par izdevumiem saistībā ar traģēdijā cietušajiem sniegto medicīnisko </w:t>
            </w:r>
            <w:r w:rsidRPr="00BF0547">
              <w:rPr>
                <w:sz w:val="28"/>
                <w:szCs w:val="28"/>
              </w:rPr>
              <w:lastRenderedPageBreak/>
              <w:t xml:space="preserve">palīdzību no ārstniecības iestādēm  un nodrošināt, ka ārstniecības iestādes atmaksā no traģēdijā cietušajiem līdz šim iekasētās pacienta iemaksas un </w:t>
            </w:r>
            <w:proofErr w:type="spellStart"/>
            <w:r w:rsidRPr="00BF0547">
              <w:rPr>
                <w:sz w:val="28"/>
                <w:szCs w:val="28"/>
              </w:rPr>
              <w:t>līdzmaksājumus</w:t>
            </w:r>
            <w:proofErr w:type="spellEnd"/>
            <w:r w:rsidRPr="00BF0547">
              <w:rPr>
                <w:sz w:val="28"/>
                <w:szCs w:val="28"/>
              </w:rPr>
              <w:t>. Kā rezultātā  ārstniecības iestādēm,  kuras sniegušas ambulatoros un stacionāros veselības aprūpes pakalpojumus tirdzniecības centra „</w:t>
            </w:r>
            <w:proofErr w:type="spellStart"/>
            <w:r w:rsidRPr="00BF0547">
              <w:rPr>
                <w:sz w:val="28"/>
                <w:szCs w:val="28"/>
              </w:rPr>
              <w:t>Maxima</w:t>
            </w:r>
            <w:proofErr w:type="spellEnd"/>
            <w:r w:rsidRPr="00BF0547">
              <w:rPr>
                <w:sz w:val="28"/>
                <w:szCs w:val="28"/>
              </w:rPr>
              <w:t>” traģēdijas cietušajiem</w:t>
            </w:r>
            <w:r w:rsidR="00F2310B">
              <w:rPr>
                <w:sz w:val="28"/>
                <w:szCs w:val="28"/>
              </w:rPr>
              <w:t>,</w:t>
            </w:r>
            <w:r w:rsidRPr="00BF0547">
              <w:rPr>
                <w:sz w:val="28"/>
                <w:szCs w:val="28"/>
              </w:rPr>
              <w:t xml:space="preserve"> radušies papildus izdevumi, kurus ir nepieciešamas kompensēt atbilstoši</w:t>
            </w:r>
            <w:r w:rsidR="00F2310B">
              <w:rPr>
                <w:sz w:val="28"/>
                <w:szCs w:val="28"/>
              </w:rPr>
              <w:t xml:space="preserve"> Ministru kabineta2013.gada 22.novembra ārkārtas sēdes protokola Nr.62 1.§ 6.4.punktam un</w:t>
            </w:r>
            <w:r w:rsidRPr="00BF0547">
              <w:rPr>
                <w:sz w:val="28"/>
                <w:szCs w:val="28"/>
              </w:rPr>
              <w:t xml:space="preserve"> Ministru kabineta 2013.gada 19.decembra rīkojumam Nr.590 „Par atbalsta pasākumiem traģēdijā Priedaines ielā 20, Rīgā, cietušajiem un seku novēršanā iesaistītajām personām”. </w:t>
            </w:r>
          </w:p>
          <w:p w:rsidR="0048779B" w:rsidRPr="00BF0547" w:rsidRDefault="0048779B" w:rsidP="0048779B">
            <w:pPr>
              <w:pStyle w:val="tv213"/>
              <w:spacing w:before="0" w:beforeAutospacing="0" w:after="0" w:afterAutospacing="0"/>
              <w:jc w:val="both"/>
              <w:rPr>
                <w:sz w:val="28"/>
                <w:szCs w:val="28"/>
              </w:rPr>
            </w:pPr>
          </w:p>
          <w:p w:rsidR="0048779B" w:rsidRPr="00BF0547" w:rsidRDefault="0048779B" w:rsidP="0048779B">
            <w:pPr>
              <w:pStyle w:val="tv213"/>
              <w:spacing w:before="0" w:beforeAutospacing="0" w:after="0" w:afterAutospacing="0"/>
              <w:jc w:val="both"/>
              <w:rPr>
                <w:sz w:val="28"/>
                <w:szCs w:val="28"/>
              </w:rPr>
            </w:pPr>
            <w:r w:rsidRPr="00BF0547">
              <w:rPr>
                <w:sz w:val="28"/>
                <w:szCs w:val="28"/>
              </w:rPr>
              <w:t>Saistībā ar tirdzniecības centra „</w:t>
            </w:r>
            <w:proofErr w:type="spellStart"/>
            <w:r w:rsidRPr="00BF0547">
              <w:rPr>
                <w:sz w:val="28"/>
                <w:szCs w:val="28"/>
              </w:rPr>
              <w:t>Maxima</w:t>
            </w:r>
            <w:proofErr w:type="spellEnd"/>
            <w:r w:rsidRPr="00BF0547">
              <w:rPr>
                <w:sz w:val="28"/>
                <w:szCs w:val="28"/>
              </w:rPr>
              <w:t xml:space="preserve">” traģēdiju </w:t>
            </w:r>
            <w:r w:rsidR="00B07A6C" w:rsidRPr="00BF0547">
              <w:rPr>
                <w:sz w:val="28"/>
                <w:szCs w:val="28"/>
              </w:rPr>
              <w:t xml:space="preserve">Valsts tiesu medicīnas ekspertīzes centram (turpmāk  - </w:t>
            </w:r>
            <w:r w:rsidRPr="00BF0547">
              <w:rPr>
                <w:sz w:val="28"/>
                <w:szCs w:val="28"/>
              </w:rPr>
              <w:t>VTMEC</w:t>
            </w:r>
            <w:r w:rsidR="00B07A6C" w:rsidRPr="00BF0547">
              <w:rPr>
                <w:sz w:val="28"/>
                <w:szCs w:val="28"/>
              </w:rPr>
              <w:t>)</w:t>
            </w:r>
            <w:r w:rsidRPr="00BF0547">
              <w:rPr>
                <w:sz w:val="28"/>
                <w:szCs w:val="28"/>
              </w:rPr>
              <w:t xml:space="preserve"> ir radušies papildus izdevumi veicot tiesu medicīniskās ekspertīzes bojā gājušajiem</w:t>
            </w:r>
            <w:r w:rsidR="00F2310B">
              <w:rPr>
                <w:sz w:val="28"/>
                <w:szCs w:val="28"/>
              </w:rPr>
              <w:t>, kā arī</w:t>
            </w:r>
            <w:r w:rsidRPr="00BF0547">
              <w:rPr>
                <w:sz w:val="28"/>
                <w:szCs w:val="28"/>
              </w:rPr>
              <w:t xml:space="preserve"> veicot bojā gājušo atpazīšanu, kurus ir nepieciešamas kompensēt.</w:t>
            </w:r>
          </w:p>
          <w:p w:rsidR="0048779B" w:rsidRPr="00BF0547" w:rsidRDefault="0048779B" w:rsidP="0048779B">
            <w:pPr>
              <w:jc w:val="both"/>
              <w:rPr>
                <w:sz w:val="28"/>
                <w:szCs w:val="28"/>
              </w:rPr>
            </w:pPr>
            <w:r w:rsidRPr="00BF0547">
              <w:rPr>
                <w:sz w:val="28"/>
                <w:szCs w:val="28"/>
              </w:rPr>
              <w:t xml:space="preserve">Valsts tiesu medicīnas ekspertīzes centrs veica bojā gājušo personu </w:t>
            </w:r>
            <w:proofErr w:type="spellStart"/>
            <w:r w:rsidRPr="00BF0547">
              <w:rPr>
                <w:sz w:val="28"/>
                <w:szCs w:val="28"/>
              </w:rPr>
              <w:t>tiesmedicīniskās</w:t>
            </w:r>
            <w:proofErr w:type="spellEnd"/>
            <w:r w:rsidRPr="00BF0547">
              <w:rPr>
                <w:sz w:val="28"/>
                <w:szCs w:val="28"/>
              </w:rPr>
              <w:t xml:space="preserve"> ekspertīzes pamatojoties uz Valsts policijas Galvenās kriminālpolicijas pārvaldes Kriminālizmeklēšanas pārvaldes teritoriālās 2.nodaļas Lēmumiem krimināllietā Nr.11511002713, Tiesu eksperta likuma 3.panta pirmo daļu, 12.panta pirmo daļu, Ministru kabineta 2004.gada 7.septembra noteikumu Nr.776 „Valsts tiesu medicīnas ekspertīzes centr</w:t>
            </w:r>
            <w:r w:rsidR="00F2310B">
              <w:rPr>
                <w:sz w:val="28"/>
                <w:szCs w:val="28"/>
              </w:rPr>
              <w:t>a nolikums</w:t>
            </w:r>
            <w:r w:rsidRPr="00BF0547">
              <w:rPr>
                <w:sz w:val="28"/>
                <w:szCs w:val="28"/>
              </w:rPr>
              <w:t xml:space="preserve">” </w:t>
            </w:r>
            <w:r w:rsidRPr="001B7407">
              <w:rPr>
                <w:sz w:val="28"/>
                <w:szCs w:val="28"/>
              </w:rPr>
              <w:t>3.</w:t>
            </w:r>
            <w:r w:rsidR="00F2310B" w:rsidRPr="001B7407">
              <w:rPr>
                <w:sz w:val="28"/>
                <w:szCs w:val="28"/>
              </w:rPr>
              <w:t>1.</w:t>
            </w:r>
            <w:r w:rsidRPr="001B7407">
              <w:rPr>
                <w:sz w:val="28"/>
                <w:szCs w:val="28"/>
              </w:rPr>
              <w:t xml:space="preserve"> un 4.</w:t>
            </w:r>
            <w:r w:rsidR="00F2310B" w:rsidRPr="001B7407">
              <w:rPr>
                <w:sz w:val="28"/>
                <w:szCs w:val="28"/>
              </w:rPr>
              <w:t>1.</w:t>
            </w:r>
            <w:r w:rsidRPr="001B7407">
              <w:rPr>
                <w:sz w:val="28"/>
                <w:szCs w:val="28"/>
              </w:rPr>
              <w:t>punktu,</w:t>
            </w:r>
            <w:r w:rsidRPr="00BF0547">
              <w:rPr>
                <w:sz w:val="28"/>
                <w:szCs w:val="28"/>
              </w:rPr>
              <w:t xml:space="preserve"> Ministru kabineta 2001.gada 6.februāra noteikumu Nr.51 „</w:t>
            </w:r>
            <w:proofErr w:type="spellStart"/>
            <w:r w:rsidRPr="00BF0547">
              <w:rPr>
                <w:sz w:val="28"/>
                <w:szCs w:val="28"/>
              </w:rPr>
              <w:t>Tiesmedicīniskās</w:t>
            </w:r>
            <w:proofErr w:type="spellEnd"/>
            <w:r w:rsidRPr="00BF0547">
              <w:rPr>
                <w:sz w:val="28"/>
                <w:szCs w:val="28"/>
              </w:rPr>
              <w:t xml:space="preserve"> ekspertīzes veikšanas kārtība” 2., 4., 5., 19. un 20.punktu, Kriminālprocesa likuma 27.panta otro daļu un 193.pantu.</w:t>
            </w:r>
          </w:p>
          <w:p w:rsidR="0048779B" w:rsidRPr="00BF0547" w:rsidRDefault="0048779B" w:rsidP="0048779B">
            <w:pPr>
              <w:pStyle w:val="tv213"/>
              <w:spacing w:before="0" w:beforeAutospacing="0" w:after="0" w:afterAutospacing="0"/>
              <w:jc w:val="both"/>
              <w:rPr>
                <w:sz w:val="28"/>
                <w:szCs w:val="28"/>
              </w:rPr>
            </w:pPr>
          </w:p>
          <w:p w:rsidR="0048779B" w:rsidRPr="00BF0547" w:rsidRDefault="0048779B" w:rsidP="0048779B">
            <w:pPr>
              <w:pStyle w:val="tv213"/>
              <w:spacing w:before="0" w:beforeAutospacing="0" w:after="0" w:afterAutospacing="0"/>
              <w:jc w:val="both"/>
              <w:rPr>
                <w:sz w:val="28"/>
                <w:szCs w:val="28"/>
              </w:rPr>
            </w:pPr>
            <w:r w:rsidRPr="00BF0547">
              <w:rPr>
                <w:sz w:val="28"/>
                <w:szCs w:val="28"/>
              </w:rPr>
              <w:t>Saistībā ar tirdzniecības centra „</w:t>
            </w:r>
            <w:proofErr w:type="spellStart"/>
            <w:r w:rsidRPr="00BF0547">
              <w:rPr>
                <w:sz w:val="28"/>
                <w:szCs w:val="28"/>
              </w:rPr>
              <w:t>Maxima</w:t>
            </w:r>
            <w:proofErr w:type="spellEnd"/>
            <w:r w:rsidRPr="00BF0547">
              <w:rPr>
                <w:sz w:val="28"/>
                <w:szCs w:val="28"/>
              </w:rPr>
              <w:t xml:space="preserve">” traģēdijas seku likvidāciju </w:t>
            </w:r>
            <w:r w:rsidR="00B07A6C" w:rsidRPr="00BF0547">
              <w:rPr>
                <w:sz w:val="28"/>
                <w:szCs w:val="28"/>
              </w:rPr>
              <w:t xml:space="preserve">Valsts asinsdonoru centram (turpmāk – </w:t>
            </w:r>
            <w:r w:rsidRPr="00BF0547">
              <w:rPr>
                <w:sz w:val="28"/>
                <w:szCs w:val="28"/>
              </w:rPr>
              <w:t>VADC</w:t>
            </w:r>
            <w:r w:rsidR="00B07A6C" w:rsidRPr="00BF0547">
              <w:rPr>
                <w:sz w:val="28"/>
                <w:szCs w:val="28"/>
              </w:rPr>
              <w:t>)</w:t>
            </w:r>
            <w:r w:rsidRPr="00BF0547">
              <w:rPr>
                <w:sz w:val="28"/>
                <w:szCs w:val="28"/>
              </w:rPr>
              <w:t xml:space="preserve"> ir radušies papildus izdevumi sagatavojot donoru asinis virs plāna, kurus ir nepieciešamas kompensēt.</w:t>
            </w:r>
          </w:p>
          <w:p w:rsidR="0048779B" w:rsidRPr="00BF0547" w:rsidRDefault="0048779B" w:rsidP="0048779B">
            <w:pPr>
              <w:pStyle w:val="tv213"/>
              <w:spacing w:before="0" w:beforeAutospacing="0" w:after="0" w:afterAutospacing="0"/>
              <w:jc w:val="both"/>
              <w:rPr>
                <w:sz w:val="28"/>
                <w:szCs w:val="28"/>
              </w:rPr>
            </w:pPr>
          </w:p>
          <w:p w:rsidR="0048779B" w:rsidRPr="00BF0547" w:rsidRDefault="002C229B" w:rsidP="0048779B">
            <w:pPr>
              <w:pStyle w:val="tv213"/>
              <w:spacing w:before="0" w:beforeAutospacing="0" w:after="0" w:afterAutospacing="0"/>
              <w:jc w:val="both"/>
              <w:rPr>
                <w:sz w:val="28"/>
                <w:szCs w:val="28"/>
              </w:rPr>
            </w:pPr>
            <w:r w:rsidRPr="00BF0547">
              <w:rPr>
                <w:sz w:val="28"/>
                <w:szCs w:val="28"/>
              </w:rPr>
              <w:t xml:space="preserve">Neatliekamās medicīniskās palīdzības dienests (turpmāk – NMPD) kopā ar citiem valsts dienestiem </w:t>
            </w:r>
            <w:r w:rsidRPr="00BF0547">
              <w:rPr>
                <w:sz w:val="28"/>
                <w:szCs w:val="28"/>
              </w:rPr>
              <w:lastRenderedPageBreak/>
              <w:t>piedalījās tirdzniecības centra „</w:t>
            </w:r>
            <w:proofErr w:type="spellStart"/>
            <w:r w:rsidRPr="00BF0547">
              <w:rPr>
                <w:sz w:val="28"/>
                <w:szCs w:val="28"/>
              </w:rPr>
              <w:t>Maxi</w:t>
            </w:r>
            <w:r w:rsidR="00B63AC8" w:rsidRPr="00BF0547">
              <w:rPr>
                <w:sz w:val="28"/>
                <w:szCs w:val="28"/>
              </w:rPr>
              <w:t>ma</w:t>
            </w:r>
            <w:proofErr w:type="spellEnd"/>
            <w:r w:rsidR="00B63AC8" w:rsidRPr="00BF0547">
              <w:rPr>
                <w:sz w:val="28"/>
                <w:szCs w:val="28"/>
              </w:rPr>
              <w:t>” traģēdijas seku likvidācijā</w:t>
            </w:r>
            <w:r w:rsidR="008D280F" w:rsidRPr="00BF0547">
              <w:rPr>
                <w:sz w:val="28"/>
                <w:szCs w:val="28"/>
              </w:rPr>
              <w:t>.</w:t>
            </w:r>
            <w:r w:rsidR="00B63AC8" w:rsidRPr="00BF0547">
              <w:rPr>
                <w:sz w:val="28"/>
                <w:szCs w:val="28"/>
              </w:rPr>
              <w:t xml:space="preserve"> </w:t>
            </w:r>
          </w:p>
          <w:p w:rsidR="000C6994" w:rsidRPr="00BF0547" w:rsidRDefault="000C6994" w:rsidP="0048779B">
            <w:pPr>
              <w:pStyle w:val="tv213"/>
              <w:spacing w:before="0" w:beforeAutospacing="0" w:after="0" w:afterAutospacing="0"/>
              <w:jc w:val="both"/>
              <w:rPr>
                <w:sz w:val="28"/>
                <w:szCs w:val="28"/>
              </w:rPr>
            </w:pPr>
            <w:r w:rsidRPr="00BF0547">
              <w:rPr>
                <w:sz w:val="28"/>
                <w:szCs w:val="28"/>
              </w:rPr>
              <w:t>Saskaņā ar Ministru kabineta 2013.gada 22.novembra ārkārtas sēdes protokola Nr.62 1§ („Par situāciju saistībā ar traģēdiju tirdzniecības centrā Priedaines ielā 20, Rīgā un veicamajiem pasākumiem traģēdijas seku novēršanai” TA-3439) 6.punktā Veselības ministrijai doto uzdevumu, NMPD ir apkopojis  saistībā ar tirdzniecības centra „</w:t>
            </w:r>
            <w:proofErr w:type="spellStart"/>
            <w:r w:rsidRPr="00BF0547">
              <w:rPr>
                <w:sz w:val="28"/>
                <w:szCs w:val="28"/>
              </w:rPr>
              <w:t>Maxima</w:t>
            </w:r>
            <w:proofErr w:type="spellEnd"/>
            <w:r w:rsidRPr="00BF0547">
              <w:rPr>
                <w:sz w:val="28"/>
                <w:szCs w:val="28"/>
              </w:rPr>
              <w:t xml:space="preserve">” traģēdijas seku radušos papildus izdevumus (operatīvā medicīniskā transporta un medicīnisko resursu nodrošinājums, kā arī medicīniskās telts specializētā mazgāšana un dezinficēšana ar speclīdzekļiem), kurus ir nepieciešamas kompensēt. </w:t>
            </w:r>
          </w:p>
          <w:p w:rsidR="0096630A" w:rsidRPr="00BF0547" w:rsidRDefault="001B646C" w:rsidP="0048779B">
            <w:pPr>
              <w:jc w:val="both"/>
              <w:rPr>
                <w:sz w:val="28"/>
                <w:szCs w:val="28"/>
              </w:rPr>
            </w:pPr>
            <w:r w:rsidRPr="00BF0547">
              <w:rPr>
                <w:sz w:val="28"/>
                <w:szCs w:val="28"/>
              </w:rPr>
              <w:t>NMPD ir noslēgts līgums ar SIA „</w:t>
            </w:r>
            <w:r w:rsidR="0096630A" w:rsidRPr="00BF0547">
              <w:rPr>
                <w:sz w:val="28"/>
                <w:szCs w:val="28"/>
              </w:rPr>
              <w:t>Rīgas sanitārā transporta autobāze” (2010.gada 29.aprīlī Nr.8.1-7/60-2, spēkā līdz 2015.gada 28.aprīlim) par neatliekamās medicīniskās palīdzības transportlīdzekļu ar specializēto aprīkojumu un autovadītāju pakalpojuma nodrošināšanu Neatliekamās medicīniskās palīdzības dienesta Rīgas reģionālajam centram. Līdz ar to, n</w:t>
            </w:r>
            <w:r w:rsidR="004E0BC4" w:rsidRPr="00BF0547">
              <w:rPr>
                <w:sz w:val="28"/>
                <w:szCs w:val="28"/>
              </w:rPr>
              <w:t xml:space="preserve">odrošinot Zolitūdes traģēdijas seku likvidēšanu, SIA </w:t>
            </w:r>
            <w:r w:rsidR="0096630A" w:rsidRPr="00BF0547">
              <w:rPr>
                <w:sz w:val="28"/>
                <w:szCs w:val="28"/>
              </w:rPr>
              <w:t>„</w:t>
            </w:r>
            <w:r w:rsidR="004E0BC4" w:rsidRPr="00BF0547">
              <w:rPr>
                <w:sz w:val="28"/>
                <w:szCs w:val="28"/>
              </w:rPr>
              <w:t xml:space="preserve">Rīgas sanitārā transporta autobāze” </w:t>
            </w:r>
            <w:r w:rsidR="0096630A" w:rsidRPr="00BF0547">
              <w:rPr>
                <w:sz w:val="28"/>
                <w:szCs w:val="28"/>
              </w:rPr>
              <w:t xml:space="preserve">operatīvā medicīniskā transporta (turpmāk – </w:t>
            </w:r>
            <w:r w:rsidR="004E0BC4" w:rsidRPr="00BF0547">
              <w:rPr>
                <w:sz w:val="28"/>
                <w:szCs w:val="28"/>
              </w:rPr>
              <w:t>OMT</w:t>
            </w:r>
            <w:r w:rsidR="0096630A" w:rsidRPr="00BF0547">
              <w:rPr>
                <w:sz w:val="28"/>
                <w:szCs w:val="28"/>
              </w:rPr>
              <w:t>)</w:t>
            </w:r>
            <w:r w:rsidR="004E0BC4" w:rsidRPr="00BF0547">
              <w:rPr>
                <w:sz w:val="28"/>
                <w:szCs w:val="28"/>
              </w:rPr>
              <w:t xml:space="preserve"> vadītāji piedalījās palīdzības sniegšanā cietušajiem kā pilnvērtīgi konkrētās NMP</w:t>
            </w:r>
            <w:r w:rsidR="0096630A" w:rsidRPr="00BF0547">
              <w:rPr>
                <w:sz w:val="28"/>
                <w:szCs w:val="28"/>
              </w:rPr>
              <w:t>D</w:t>
            </w:r>
            <w:r w:rsidR="004E0BC4" w:rsidRPr="00BF0547">
              <w:rPr>
                <w:sz w:val="28"/>
                <w:szCs w:val="28"/>
              </w:rPr>
              <w:t xml:space="preserve"> brigādes dalībnieki, tātad kā vienota komanda. Kopumā ārkārtas situācijas seku likvidēšanā piedalījās 26 NMPD brigādes, tai skaitā 23 brigādes no Rīgas reģionālā centra, kur OMT pakalpojumu nodrošina ārpakalpojuma sniedzējs SIA „Rīgas sanitārā transporta autobāze”.</w:t>
            </w:r>
          </w:p>
          <w:p w:rsidR="004E0BC4" w:rsidRPr="00BF0547" w:rsidRDefault="004E0BC4" w:rsidP="0048779B">
            <w:pPr>
              <w:jc w:val="both"/>
              <w:rPr>
                <w:sz w:val="28"/>
                <w:szCs w:val="28"/>
              </w:rPr>
            </w:pPr>
            <w:r w:rsidRPr="00BF0547">
              <w:rPr>
                <w:sz w:val="28"/>
                <w:szCs w:val="28"/>
              </w:rPr>
              <w:t xml:space="preserve">OMT vadītāji veica cietušo </w:t>
            </w:r>
            <w:r w:rsidR="0096630A" w:rsidRPr="00BF0547">
              <w:rPr>
                <w:sz w:val="28"/>
                <w:szCs w:val="28"/>
              </w:rPr>
              <w:t xml:space="preserve">pārvietošanu </w:t>
            </w:r>
            <w:r w:rsidRPr="00BF0547">
              <w:rPr>
                <w:sz w:val="28"/>
                <w:szCs w:val="28"/>
              </w:rPr>
              <w:t xml:space="preserve">uz OMT, ievietošanu OMT un transportēšanu uz slimnīcām, medicīniskās aparatūras un imobilizācijas līdzekļu pārvietošanu, kā arī bojāgājušo nogādāšanu teltī. </w:t>
            </w:r>
          </w:p>
          <w:p w:rsidR="00D920EC" w:rsidRPr="00BF0547" w:rsidRDefault="004E0BC4" w:rsidP="00D920EC">
            <w:pPr>
              <w:jc w:val="both"/>
              <w:rPr>
                <w:sz w:val="28"/>
                <w:szCs w:val="28"/>
              </w:rPr>
            </w:pPr>
            <w:r w:rsidRPr="00BF0547">
              <w:rPr>
                <w:sz w:val="28"/>
                <w:szCs w:val="28"/>
              </w:rPr>
              <w:t>Savukārt 22.novembrī Zolitūdes traģēdijas seku likvidēšanā piedalījās 7 NMPD brigādes un arī šo brigāžu OMT vadītāji bija pilnvērtīgi brigāžu darbinieki, kas darbojās kopā ar NMP</w:t>
            </w:r>
            <w:r w:rsidR="0096630A" w:rsidRPr="00BF0547">
              <w:rPr>
                <w:sz w:val="28"/>
                <w:szCs w:val="28"/>
              </w:rPr>
              <w:t>D</w:t>
            </w:r>
            <w:r w:rsidR="00306852" w:rsidRPr="00BF0547">
              <w:rPr>
                <w:sz w:val="28"/>
                <w:szCs w:val="28"/>
              </w:rPr>
              <w:t xml:space="preserve"> brigāžu</w:t>
            </w:r>
            <w:r w:rsidRPr="00BF0547">
              <w:rPr>
                <w:sz w:val="28"/>
                <w:szCs w:val="28"/>
              </w:rPr>
              <w:t xml:space="preserve"> ārstniecības personām.</w:t>
            </w:r>
          </w:p>
          <w:p w:rsidR="00D920EC" w:rsidRPr="00BF0547" w:rsidRDefault="008D280F" w:rsidP="00D920EC">
            <w:pPr>
              <w:jc w:val="both"/>
              <w:rPr>
                <w:sz w:val="28"/>
                <w:szCs w:val="28"/>
              </w:rPr>
            </w:pPr>
            <w:r w:rsidRPr="00BF0547">
              <w:rPr>
                <w:sz w:val="28"/>
                <w:szCs w:val="28"/>
              </w:rPr>
              <w:t>N</w:t>
            </w:r>
            <w:r w:rsidR="002C229B" w:rsidRPr="00BF0547">
              <w:rPr>
                <w:sz w:val="28"/>
                <w:szCs w:val="28"/>
              </w:rPr>
              <w:t xml:space="preserve">otikuma vietā 2013.gada </w:t>
            </w:r>
            <w:r w:rsidRPr="00BF0547">
              <w:rPr>
                <w:sz w:val="28"/>
                <w:szCs w:val="28"/>
              </w:rPr>
              <w:t xml:space="preserve"> </w:t>
            </w:r>
            <w:r w:rsidR="002C229B" w:rsidRPr="00BF0547">
              <w:rPr>
                <w:sz w:val="28"/>
                <w:szCs w:val="28"/>
              </w:rPr>
              <w:t xml:space="preserve">21. un 22.novembrī uz vietas strādāja 75 NMPD brigāžu darbinieki, kā arī iesaistījās 11 dispečeru dienesta darbinieki, </w:t>
            </w:r>
            <w:r w:rsidR="008E6A76" w:rsidRPr="00BF0547">
              <w:rPr>
                <w:sz w:val="28"/>
                <w:szCs w:val="28"/>
              </w:rPr>
              <w:t xml:space="preserve">5 </w:t>
            </w:r>
            <w:r w:rsidR="008E6A76" w:rsidRPr="00BF0547">
              <w:rPr>
                <w:sz w:val="28"/>
                <w:szCs w:val="28"/>
              </w:rPr>
              <w:lastRenderedPageBreak/>
              <w:t>operatīvās vadības darbinieki (</w:t>
            </w:r>
            <w:r w:rsidR="002C229B" w:rsidRPr="00BF0547">
              <w:rPr>
                <w:sz w:val="28"/>
                <w:szCs w:val="28"/>
              </w:rPr>
              <w:t>tai skaitā komunikācijas speciālists</w:t>
            </w:r>
            <w:r w:rsidR="008E6A76" w:rsidRPr="00BF0547">
              <w:rPr>
                <w:sz w:val="28"/>
                <w:szCs w:val="28"/>
              </w:rPr>
              <w:t>)</w:t>
            </w:r>
            <w:r w:rsidR="002C229B" w:rsidRPr="00BF0547">
              <w:rPr>
                <w:sz w:val="28"/>
                <w:szCs w:val="28"/>
              </w:rPr>
              <w:t xml:space="preserve"> un vēl 5 darbinieki kā atbalsta personāls medicīniskās telts izvēršanai un darbības nodrošināšanai tajā. </w:t>
            </w:r>
            <w:r w:rsidR="008E6A76" w:rsidRPr="00BF0547">
              <w:rPr>
                <w:sz w:val="28"/>
                <w:szCs w:val="28"/>
              </w:rPr>
              <w:t>Šīs divas dienas NMPD darbiniekiem bija kritiskākās dienas un  tirdzniecības centra „</w:t>
            </w:r>
            <w:proofErr w:type="spellStart"/>
            <w:r w:rsidR="008E6A76" w:rsidRPr="00BF0547">
              <w:rPr>
                <w:sz w:val="28"/>
                <w:szCs w:val="28"/>
              </w:rPr>
              <w:t>Maxima</w:t>
            </w:r>
            <w:proofErr w:type="spellEnd"/>
            <w:r w:rsidR="008E6A76" w:rsidRPr="00BF0547">
              <w:rPr>
                <w:sz w:val="28"/>
                <w:szCs w:val="28"/>
              </w:rPr>
              <w:t>” traģēdijas seku likvid</w:t>
            </w:r>
            <w:r w:rsidR="00156D77" w:rsidRPr="00BF0547">
              <w:rPr>
                <w:sz w:val="28"/>
                <w:szCs w:val="28"/>
              </w:rPr>
              <w:t xml:space="preserve">ācijā piedalījās 96 darbinieki. Pamatojoties uz 2013.gada 13.decembra Ministru kabineta rīkojumu Nr.628 „Par finanšu līdzekļu piešķiršanu no valsts budžeta programmas „Līdzekļi neparedzētajiem gadījumiem”” NMPD tika piešķirti līdzekļi no budžeta programmas 02.00.00 „Līdzekļi neparedzētajiem gadījumiem”, lai nodrošinātu iepriekš minētajiem darbiniekiem atlīdzības izmaksu (vienreizējo prēmiju 702 latu apmērā, samaksu par virsstundu darbu un piemaksu par nakts darbu). </w:t>
            </w:r>
          </w:p>
          <w:p w:rsidR="008E6A76" w:rsidRPr="00BF0547" w:rsidRDefault="00156D77" w:rsidP="00D920EC">
            <w:pPr>
              <w:jc w:val="both"/>
              <w:rPr>
                <w:sz w:val="28"/>
                <w:szCs w:val="28"/>
              </w:rPr>
            </w:pPr>
            <w:r w:rsidRPr="00BF0547">
              <w:rPr>
                <w:sz w:val="28"/>
                <w:szCs w:val="28"/>
              </w:rPr>
              <w:t xml:space="preserve"> </w:t>
            </w:r>
            <w:r w:rsidR="00D920EC" w:rsidRPr="00BF0547">
              <w:rPr>
                <w:sz w:val="28"/>
                <w:szCs w:val="28"/>
              </w:rPr>
              <w:t>SIA „Rīgas sanitārā transporta autobāze” OMT vadītāji piedalījās tirdzniecības centra „</w:t>
            </w:r>
            <w:proofErr w:type="spellStart"/>
            <w:r w:rsidR="00D920EC" w:rsidRPr="00BF0547">
              <w:rPr>
                <w:sz w:val="28"/>
                <w:szCs w:val="28"/>
              </w:rPr>
              <w:t>Maxima</w:t>
            </w:r>
            <w:proofErr w:type="spellEnd"/>
            <w:r w:rsidR="00D920EC" w:rsidRPr="00BF0547">
              <w:rPr>
                <w:sz w:val="28"/>
                <w:szCs w:val="28"/>
              </w:rPr>
              <w:t xml:space="preserve">” traģēdijas seku likvidācijā līdzvērtīgi kā NMPD brigāžu darbinieki un līdz ar to ir nepieciešams finansējums šo OMT vadītāju vienreizējai prēmēšanai 999 </w:t>
            </w:r>
            <w:proofErr w:type="spellStart"/>
            <w:r w:rsidR="00D920EC" w:rsidRPr="00BF0547">
              <w:rPr>
                <w:i/>
                <w:sz w:val="28"/>
                <w:szCs w:val="28"/>
              </w:rPr>
              <w:t>euro</w:t>
            </w:r>
            <w:proofErr w:type="spellEnd"/>
            <w:r w:rsidR="00D920EC" w:rsidRPr="00BF0547">
              <w:rPr>
                <w:sz w:val="28"/>
                <w:szCs w:val="28"/>
              </w:rPr>
              <w:t xml:space="preserve"> apmērā (702 latu apmērā)</w:t>
            </w:r>
            <w:r w:rsidR="00961148" w:rsidRPr="00BF0547">
              <w:rPr>
                <w:sz w:val="28"/>
                <w:szCs w:val="28"/>
              </w:rPr>
              <w:t xml:space="preserve">. Papildus finansējums ir nepieciešams NMPD (Preces un pakalpojumi EKK 2000), lai varētu veikt papildus pārskaitījumu SIA „Rīgas sanitārās transporta autobāzes” OMT vadītāju vienreizējai prēmēšanai 999 </w:t>
            </w:r>
            <w:proofErr w:type="spellStart"/>
            <w:r w:rsidR="00961148" w:rsidRPr="00BF0547">
              <w:rPr>
                <w:i/>
                <w:sz w:val="28"/>
                <w:szCs w:val="28"/>
              </w:rPr>
              <w:t>euro</w:t>
            </w:r>
            <w:proofErr w:type="spellEnd"/>
            <w:r w:rsidR="00961148" w:rsidRPr="00BF0547">
              <w:rPr>
                <w:sz w:val="28"/>
                <w:szCs w:val="28"/>
              </w:rPr>
              <w:t xml:space="preserve"> apmērā.</w:t>
            </w:r>
          </w:p>
          <w:p w:rsidR="00307A97" w:rsidRPr="00BF0547" w:rsidRDefault="000147A7" w:rsidP="00A23E46">
            <w:pPr>
              <w:pStyle w:val="tv213"/>
              <w:jc w:val="both"/>
              <w:rPr>
                <w:sz w:val="28"/>
                <w:szCs w:val="28"/>
              </w:rPr>
            </w:pPr>
            <w:r>
              <w:rPr>
                <w:sz w:val="28"/>
                <w:szCs w:val="28"/>
              </w:rPr>
              <w:t>VSIA „</w:t>
            </w:r>
            <w:r w:rsidR="00867017" w:rsidRPr="00BF0547">
              <w:rPr>
                <w:sz w:val="28"/>
                <w:szCs w:val="28"/>
              </w:rPr>
              <w:t>Paula Stradiņa klīniskā universitātes slimnīc</w:t>
            </w:r>
            <w:r>
              <w:rPr>
                <w:sz w:val="28"/>
                <w:szCs w:val="28"/>
              </w:rPr>
              <w:t>a”</w:t>
            </w:r>
            <w:r w:rsidR="00867017" w:rsidRPr="00BF0547">
              <w:rPr>
                <w:sz w:val="28"/>
                <w:szCs w:val="28"/>
              </w:rPr>
              <w:t xml:space="preserve">, </w:t>
            </w:r>
            <w:r>
              <w:rPr>
                <w:sz w:val="28"/>
                <w:szCs w:val="28"/>
              </w:rPr>
              <w:t>SIA „</w:t>
            </w:r>
            <w:r w:rsidR="00867017" w:rsidRPr="00BF0547">
              <w:rPr>
                <w:sz w:val="28"/>
                <w:szCs w:val="28"/>
              </w:rPr>
              <w:t>Rīgas Austrumu klīniskā universitātes slimnīc</w:t>
            </w:r>
            <w:r>
              <w:rPr>
                <w:sz w:val="28"/>
                <w:szCs w:val="28"/>
              </w:rPr>
              <w:t>a”</w:t>
            </w:r>
            <w:r w:rsidR="00867017" w:rsidRPr="00BF0547">
              <w:rPr>
                <w:sz w:val="28"/>
                <w:szCs w:val="28"/>
              </w:rPr>
              <w:t xml:space="preserve"> un </w:t>
            </w:r>
            <w:r>
              <w:rPr>
                <w:sz w:val="28"/>
                <w:szCs w:val="28"/>
              </w:rPr>
              <w:t>Rīgas pašvaldības SIA „</w:t>
            </w:r>
            <w:r w:rsidR="00867017" w:rsidRPr="00BF0547">
              <w:rPr>
                <w:sz w:val="28"/>
                <w:szCs w:val="28"/>
              </w:rPr>
              <w:t>Rīgas 2.slimnīc</w:t>
            </w:r>
            <w:r>
              <w:rPr>
                <w:sz w:val="28"/>
                <w:szCs w:val="28"/>
              </w:rPr>
              <w:t>a”</w:t>
            </w:r>
            <w:r w:rsidR="00867017" w:rsidRPr="00BF0547">
              <w:rPr>
                <w:sz w:val="28"/>
                <w:szCs w:val="28"/>
              </w:rPr>
              <w:t xml:space="preserve"> pēc 2013.gada 21.novembra traģēdijas tirdzniecības centrā Priedaines ielā 20, Rīgā, tika nogādāti </w:t>
            </w:r>
            <w:r w:rsidR="007C24AD" w:rsidRPr="00BF0547">
              <w:rPr>
                <w:sz w:val="28"/>
                <w:szCs w:val="28"/>
              </w:rPr>
              <w:t xml:space="preserve">traģēdijā cietušie, kuriem tika sniegta medicīniskā palīdzība. </w:t>
            </w:r>
            <w:r w:rsidR="002C229B" w:rsidRPr="00BF0547">
              <w:rPr>
                <w:sz w:val="28"/>
                <w:szCs w:val="28"/>
              </w:rPr>
              <w:t xml:space="preserve">Darbs šādos ārkārtējos apstākļos </w:t>
            </w:r>
            <w:r w:rsidR="007C24AD" w:rsidRPr="00BF0547">
              <w:rPr>
                <w:sz w:val="28"/>
                <w:szCs w:val="28"/>
              </w:rPr>
              <w:t xml:space="preserve">ārstniecības iestāžu </w:t>
            </w:r>
            <w:r w:rsidR="002C229B" w:rsidRPr="00BF0547">
              <w:rPr>
                <w:sz w:val="28"/>
                <w:szCs w:val="28"/>
              </w:rPr>
              <w:t xml:space="preserve">mediķiem prasa maksimālu koncentrēšanos, augstu profesionalitāti un  spēju mobilizēties palīdzības sniegšanai cietušajiem un ievainotajiem. </w:t>
            </w:r>
            <w:r w:rsidR="007C24AD" w:rsidRPr="00BF0547">
              <w:rPr>
                <w:sz w:val="28"/>
                <w:szCs w:val="28"/>
              </w:rPr>
              <w:t>Iesaistīti tika ārstniecības iestāžu personāls (ārsti un funkcionālie speciālisti,  ārstniecības un pacientu aprūpes person</w:t>
            </w:r>
            <w:r>
              <w:rPr>
                <w:sz w:val="28"/>
                <w:szCs w:val="28"/>
              </w:rPr>
              <w:t>as</w:t>
            </w:r>
            <w:r w:rsidR="007C24AD" w:rsidRPr="00BF0547">
              <w:rPr>
                <w:sz w:val="28"/>
                <w:szCs w:val="28"/>
              </w:rPr>
              <w:t xml:space="preserve"> un funkcionālo speciālistu asistent</w:t>
            </w:r>
            <w:r w:rsidR="00025552" w:rsidRPr="00BF0547">
              <w:rPr>
                <w:sz w:val="28"/>
                <w:szCs w:val="28"/>
              </w:rPr>
              <w:t>i</w:t>
            </w:r>
            <w:r w:rsidR="007C24AD" w:rsidRPr="00BF0547">
              <w:rPr>
                <w:sz w:val="28"/>
                <w:szCs w:val="28"/>
              </w:rPr>
              <w:t>, kā arī  ārstniecības un pacientu aprūpes atbalsta personas), k</w:t>
            </w:r>
            <w:r w:rsidR="00D920EC" w:rsidRPr="00BF0547">
              <w:rPr>
                <w:sz w:val="28"/>
                <w:szCs w:val="28"/>
              </w:rPr>
              <w:t>ur</w:t>
            </w:r>
            <w:r w:rsidR="00641F82">
              <w:rPr>
                <w:sz w:val="28"/>
                <w:szCs w:val="28"/>
              </w:rPr>
              <w:t>š</w:t>
            </w:r>
            <w:r w:rsidR="007C24AD" w:rsidRPr="00BF0547">
              <w:rPr>
                <w:sz w:val="28"/>
                <w:szCs w:val="28"/>
              </w:rPr>
              <w:t xml:space="preserve"> veica cietušo ārstēšanu un aprūpi.</w:t>
            </w:r>
            <w:r w:rsidR="00307A97" w:rsidRPr="00BF0547">
              <w:rPr>
                <w:sz w:val="28"/>
                <w:szCs w:val="28"/>
              </w:rPr>
              <w:t xml:space="preserve"> Papildus </w:t>
            </w:r>
            <w:r w:rsidR="00307A97" w:rsidRPr="00BF0547">
              <w:rPr>
                <w:sz w:val="28"/>
                <w:szCs w:val="28"/>
              </w:rPr>
              <w:lastRenderedPageBreak/>
              <w:t xml:space="preserve">finansējums ir nepieciešams </w:t>
            </w:r>
            <w:r w:rsidR="00641F82">
              <w:rPr>
                <w:sz w:val="28"/>
                <w:szCs w:val="28"/>
              </w:rPr>
              <w:t>VSIA „</w:t>
            </w:r>
            <w:r w:rsidR="00307A97" w:rsidRPr="00BF0547">
              <w:rPr>
                <w:sz w:val="28"/>
                <w:szCs w:val="28"/>
              </w:rPr>
              <w:t>Paula Stradiņa klīniskā universitātes slimnīca</w:t>
            </w:r>
            <w:r w:rsidR="00641F82">
              <w:rPr>
                <w:sz w:val="28"/>
                <w:szCs w:val="28"/>
              </w:rPr>
              <w:t>”</w:t>
            </w:r>
            <w:r w:rsidR="00307A97" w:rsidRPr="00BF0547">
              <w:rPr>
                <w:sz w:val="28"/>
                <w:szCs w:val="28"/>
              </w:rPr>
              <w:t xml:space="preserve">, </w:t>
            </w:r>
            <w:r w:rsidR="00641F82">
              <w:rPr>
                <w:sz w:val="28"/>
                <w:szCs w:val="28"/>
              </w:rPr>
              <w:t>SIA „</w:t>
            </w:r>
            <w:r w:rsidR="00307A97" w:rsidRPr="00BF0547">
              <w:rPr>
                <w:sz w:val="28"/>
                <w:szCs w:val="28"/>
              </w:rPr>
              <w:t>Rīgas Austrumu klīniskā universitātes slimnīca</w:t>
            </w:r>
            <w:r w:rsidR="00641F82">
              <w:rPr>
                <w:sz w:val="28"/>
                <w:szCs w:val="28"/>
              </w:rPr>
              <w:t>”</w:t>
            </w:r>
            <w:r w:rsidR="00307A97" w:rsidRPr="00BF0547">
              <w:rPr>
                <w:sz w:val="28"/>
                <w:szCs w:val="28"/>
              </w:rPr>
              <w:t xml:space="preserve"> un </w:t>
            </w:r>
            <w:r w:rsidR="00641F82">
              <w:rPr>
                <w:sz w:val="28"/>
                <w:szCs w:val="28"/>
              </w:rPr>
              <w:t>Rīgas pašvaldības SIA „</w:t>
            </w:r>
            <w:r w:rsidR="00307A97" w:rsidRPr="00BF0547">
              <w:rPr>
                <w:sz w:val="28"/>
                <w:szCs w:val="28"/>
              </w:rPr>
              <w:t>Rīgas 2.slimnīca</w:t>
            </w:r>
            <w:r w:rsidR="00641F82">
              <w:rPr>
                <w:sz w:val="28"/>
                <w:szCs w:val="28"/>
              </w:rPr>
              <w:t>”</w:t>
            </w:r>
            <w:r w:rsidR="00307A97" w:rsidRPr="00BF0547">
              <w:rPr>
                <w:sz w:val="28"/>
                <w:szCs w:val="28"/>
              </w:rPr>
              <w:t xml:space="preserve"> personāla (ārsti un funkcionālie speciālisti,  ārstniecības un pacientu aprūpes person</w:t>
            </w:r>
            <w:r w:rsidR="00641F82">
              <w:rPr>
                <w:sz w:val="28"/>
                <w:szCs w:val="28"/>
              </w:rPr>
              <w:t>as</w:t>
            </w:r>
            <w:r w:rsidR="00307A97" w:rsidRPr="00BF0547">
              <w:rPr>
                <w:sz w:val="28"/>
                <w:szCs w:val="28"/>
              </w:rPr>
              <w:t xml:space="preserve"> un funkcionālo speciālistu asistenti, kā arī  ārstniecības un pacientu aprūpes atbalsta personas), kur</w:t>
            </w:r>
            <w:r w:rsidR="00641F82">
              <w:rPr>
                <w:sz w:val="28"/>
                <w:szCs w:val="28"/>
              </w:rPr>
              <w:t>š</w:t>
            </w:r>
            <w:r w:rsidR="00307A97" w:rsidRPr="00BF0547">
              <w:rPr>
                <w:sz w:val="28"/>
                <w:szCs w:val="28"/>
              </w:rPr>
              <w:t xml:space="preserve"> tika iesaistīt</w:t>
            </w:r>
            <w:r w:rsidR="00641F82">
              <w:rPr>
                <w:sz w:val="28"/>
                <w:szCs w:val="28"/>
              </w:rPr>
              <w:t>s</w:t>
            </w:r>
            <w:r w:rsidR="00307A97" w:rsidRPr="00BF0547">
              <w:rPr>
                <w:sz w:val="28"/>
                <w:szCs w:val="28"/>
              </w:rPr>
              <w:t xml:space="preserve"> cietušo ārstēšanā un aprūpē</w:t>
            </w:r>
            <w:r w:rsidR="00641F82">
              <w:rPr>
                <w:sz w:val="28"/>
                <w:szCs w:val="28"/>
              </w:rPr>
              <w:t>,</w:t>
            </w:r>
            <w:r w:rsidR="00307A97" w:rsidRPr="00BF0547">
              <w:rPr>
                <w:sz w:val="28"/>
                <w:szCs w:val="28"/>
              </w:rPr>
              <w:t xml:space="preserve"> vienreizējai prēmēšanai 999 </w:t>
            </w:r>
            <w:proofErr w:type="spellStart"/>
            <w:r w:rsidR="00307A97" w:rsidRPr="00BF0547">
              <w:rPr>
                <w:i/>
                <w:sz w:val="28"/>
                <w:szCs w:val="28"/>
              </w:rPr>
              <w:t>euro</w:t>
            </w:r>
            <w:proofErr w:type="spellEnd"/>
            <w:r w:rsidR="00307A97" w:rsidRPr="00BF0547">
              <w:rPr>
                <w:sz w:val="28"/>
                <w:szCs w:val="28"/>
              </w:rPr>
              <w:t xml:space="preserve"> apmērā (702 latu apmērā).</w:t>
            </w:r>
          </w:p>
          <w:p w:rsidR="00AE7864" w:rsidRPr="00BF0547" w:rsidRDefault="006E626B" w:rsidP="00AE7864">
            <w:pPr>
              <w:pStyle w:val="tv213"/>
              <w:spacing w:before="0" w:beforeAutospacing="0" w:after="0" w:afterAutospacing="0"/>
              <w:jc w:val="both"/>
              <w:rPr>
                <w:sz w:val="28"/>
                <w:szCs w:val="28"/>
              </w:rPr>
            </w:pPr>
            <w:r w:rsidRPr="00BF0547">
              <w:rPr>
                <w:sz w:val="28"/>
                <w:szCs w:val="28"/>
              </w:rPr>
              <w:t xml:space="preserve">Rīkojuma projekts paredz piešķirt finanšu līdzekļus </w:t>
            </w:r>
            <w:r w:rsidR="00AE7864" w:rsidRPr="00BF0547">
              <w:rPr>
                <w:sz w:val="28"/>
                <w:szCs w:val="28"/>
              </w:rPr>
              <w:t xml:space="preserve">no valsts budžeta programmas </w:t>
            </w:r>
            <w:smartTag w:uri="schemas-tilde-lv/tildestengine" w:element="date">
              <w:smartTagPr>
                <w:attr w:name="Year" w:val="2001"/>
                <w:attr w:name="Month" w:val="11"/>
                <w:attr w:name="Day" w:val="30"/>
              </w:smartTagPr>
              <w:r w:rsidR="00AE7864" w:rsidRPr="00BF0547">
                <w:rPr>
                  <w:sz w:val="28"/>
                  <w:szCs w:val="28"/>
                </w:rPr>
                <w:t>02.00.00</w:t>
              </w:r>
            </w:smartTag>
            <w:r w:rsidR="00AE7864" w:rsidRPr="00BF0547">
              <w:rPr>
                <w:sz w:val="28"/>
                <w:szCs w:val="28"/>
              </w:rPr>
              <w:t xml:space="preserve"> „Līdzekļi neparedzētiem gadījumiem” Veselības ministrijai </w:t>
            </w:r>
            <w:r w:rsidR="00CA480E">
              <w:rPr>
                <w:sz w:val="28"/>
                <w:szCs w:val="28"/>
              </w:rPr>
              <w:t>373284</w:t>
            </w:r>
            <w:r w:rsidR="008F61AB">
              <w:rPr>
                <w:sz w:val="28"/>
                <w:szCs w:val="28"/>
              </w:rPr>
              <w:t xml:space="preserve"> </w:t>
            </w:r>
            <w:proofErr w:type="spellStart"/>
            <w:r w:rsidR="00AE7864" w:rsidRPr="00BF0547">
              <w:rPr>
                <w:i/>
                <w:sz w:val="28"/>
                <w:szCs w:val="28"/>
              </w:rPr>
              <w:t>euro</w:t>
            </w:r>
            <w:proofErr w:type="spellEnd"/>
            <w:r w:rsidR="00AE7864" w:rsidRPr="00BF0547">
              <w:rPr>
                <w:i/>
                <w:sz w:val="28"/>
                <w:szCs w:val="28"/>
              </w:rPr>
              <w:t xml:space="preserve"> </w:t>
            </w:r>
            <w:r w:rsidR="00AE7864" w:rsidRPr="00BF0547">
              <w:rPr>
                <w:sz w:val="28"/>
                <w:szCs w:val="28"/>
              </w:rPr>
              <w:t xml:space="preserve">(Nacionālajam veselības dienestam </w:t>
            </w:r>
            <w:r w:rsidR="00CA480E">
              <w:rPr>
                <w:sz w:val="28"/>
                <w:szCs w:val="28"/>
              </w:rPr>
              <w:t>310378</w:t>
            </w:r>
            <w:r w:rsidR="008F61AB">
              <w:rPr>
                <w:sz w:val="28"/>
                <w:szCs w:val="28"/>
              </w:rPr>
              <w:t xml:space="preserve"> </w:t>
            </w:r>
            <w:proofErr w:type="spellStart"/>
            <w:r w:rsidR="00AE7864" w:rsidRPr="00BF0547">
              <w:rPr>
                <w:i/>
                <w:sz w:val="28"/>
                <w:szCs w:val="28"/>
              </w:rPr>
              <w:t>euro</w:t>
            </w:r>
            <w:proofErr w:type="spellEnd"/>
            <w:r w:rsidR="00AE7864" w:rsidRPr="00BF0547">
              <w:rPr>
                <w:sz w:val="28"/>
                <w:szCs w:val="28"/>
              </w:rPr>
              <w:t xml:space="preserve">, Valsts tiesu </w:t>
            </w:r>
            <w:r w:rsidR="008977B0" w:rsidRPr="004D2D4B">
              <w:rPr>
                <w:sz w:val="28"/>
                <w:szCs w:val="28"/>
              </w:rPr>
              <w:t xml:space="preserve"> medicīn</w:t>
            </w:r>
            <w:r w:rsidR="008977B0">
              <w:rPr>
                <w:sz w:val="28"/>
                <w:szCs w:val="28"/>
              </w:rPr>
              <w:t>as</w:t>
            </w:r>
            <w:r w:rsidR="008977B0" w:rsidRPr="00BF0547">
              <w:rPr>
                <w:sz w:val="28"/>
                <w:szCs w:val="28"/>
              </w:rPr>
              <w:t xml:space="preserve"> </w:t>
            </w:r>
            <w:r w:rsidR="00AE7864" w:rsidRPr="00BF0547">
              <w:rPr>
                <w:sz w:val="28"/>
                <w:szCs w:val="28"/>
              </w:rPr>
              <w:t xml:space="preserve"> ekspertīzes centram 992 </w:t>
            </w:r>
            <w:proofErr w:type="spellStart"/>
            <w:r w:rsidR="00AE7864" w:rsidRPr="00BF0547">
              <w:rPr>
                <w:i/>
                <w:sz w:val="28"/>
                <w:szCs w:val="28"/>
              </w:rPr>
              <w:t>euro</w:t>
            </w:r>
            <w:proofErr w:type="spellEnd"/>
            <w:r w:rsidR="00AE7864" w:rsidRPr="00BF0547">
              <w:rPr>
                <w:sz w:val="28"/>
                <w:szCs w:val="28"/>
              </w:rPr>
              <w:t>, Valsts asinsdonoru centram</w:t>
            </w:r>
            <w:r w:rsidR="00F9646E" w:rsidRPr="00BF0547">
              <w:rPr>
                <w:sz w:val="28"/>
                <w:szCs w:val="28"/>
              </w:rPr>
              <w:t xml:space="preserve"> </w:t>
            </w:r>
            <w:r w:rsidR="001B7407">
              <w:rPr>
                <w:sz w:val="28"/>
                <w:szCs w:val="28"/>
              </w:rPr>
              <w:t>17 632</w:t>
            </w:r>
            <w:r w:rsidR="00AE7864" w:rsidRPr="00BF0547">
              <w:rPr>
                <w:sz w:val="28"/>
                <w:szCs w:val="28"/>
              </w:rPr>
              <w:t xml:space="preserve"> </w:t>
            </w:r>
            <w:proofErr w:type="spellStart"/>
            <w:r w:rsidR="00AE7864" w:rsidRPr="00BF0547">
              <w:rPr>
                <w:i/>
                <w:sz w:val="28"/>
                <w:szCs w:val="28"/>
              </w:rPr>
              <w:t>euro</w:t>
            </w:r>
            <w:proofErr w:type="spellEnd"/>
            <w:r w:rsidR="00AE7864" w:rsidRPr="00BF0547">
              <w:rPr>
                <w:i/>
                <w:sz w:val="28"/>
                <w:szCs w:val="28"/>
              </w:rPr>
              <w:t xml:space="preserve"> </w:t>
            </w:r>
            <w:r w:rsidR="00AE7864" w:rsidRPr="00BF0547">
              <w:rPr>
                <w:sz w:val="28"/>
                <w:szCs w:val="28"/>
              </w:rPr>
              <w:t xml:space="preserve">un Neatliekamās medicīniskās palīdzības  dienestam 44 282 </w:t>
            </w:r>
            <w:proofErr w:type="spellStart"/>
            <w:r w:rsidR="00AE7864" w:rsidRPr="00BF0547">
              <w:rPr>
                <w:i/>
                <w:sz w:val="28"/>
                <w:szCs w:val="28"/>
              </w:rPr>
              <w:t>euro</w:t>
            </w:r>
            <w:proofErr w:type="spellEnd"/>
            <w:r w:rsidR="00AE7864" w:rsidRPr="00BF0547">
              <w:rPr>
                <w:sz w:val="28"/>
                <w:szCs w:val="28"/>
              </w:rPr>
              <w:t>), lai pēc traģēdijas Rīgā, Priedaines ielā 20, nodrošinātu:</w:t>
            </w:r>
          </w:p>
          <w:p w:rsidR="00AE7864" w:rsidRPr="00BF0547" w:rsidRDefault="00AE7864" w:rsidP="00AE7864">
            <w:pPr>
              <w:pStyle w:val="ListParagraph"/>
              <w:numPr>
                <w:ilvl w:val="0"/>
                <w:numId w:val="15"/>
              </w:numPr>
              <w:tabs>
                <w:tab w:val="left" w:pos="284"/>
                <w:tab w:val="left" w:pos="425"/>
              </w:tabs>
              <w:ind w:left="142" w:firstLine="0"/>
              <w:jc w:val="both"/>
              <w:rPr>
                <w:sz w:val="28"/>
                <w:szCs w:val="28"/>
              </w:rPr>
            </w:pPr>
            <w:r w:rsidRPr="00BF0547">
              <w:rPr>
                <w:sz w:val="28"/>
                <w:szCs w:val="28"/>
              </w:rPr>
              <w:t>Ārstniecības iestā</w:t>
            </w:r>
            <w:r w:rsidR="00641F82">
              <w:rPr>
                <w:sz w:val="28"/>
                <w:szCs w:val="28"/>
              </w:rPr>
              <w:t>dēm</w:t>
            </w:r>
            <w:r w:rsidRPr="00BF0547">
              <w:rPr>
                <w:sz w:val="28"/>
                <w:szCs w:val="28"/>
              </w:rPr>
              <w:t xml:space="preserve"> radušos izdevumu kompensāciju </w:t>
            </w:r>
            <w:r w:rsidR="00CA480E">
              <w:rPr>
                <w:sz w:val="28"/>
                <w:szCs w:val="28"/>
              </w:rPr>
              <w:t>46 160</w:t>
            </w:r>
            <w:r w:rsidRPr="00BF0547">
              <w:rPr>
                <w:sz w:val="28"/>
                <w:szCs w:val="28"/>
              </w:rPr>
              <w:t xml:space="preserve"> </w:t>
            </w:r>
            <w:proofErr w:type="spellStart"/>
            <w:r w:rsidRPr="00BF0547">
              <w:rPr>
                <w:i/>
                <w:sz w:val="28"/>
                <w:szCs w:val="28"/>
              </w:rPr>
              <w:t>euro</w:t>
            </w:r>
            <w:proofErr w:type="spellEnd"/>
            <w:r w:rsidRPr="00BF0547">
              <w:rPr>
                <w:i/>
                <w:sz w:val="28"/>
                <w:szCs w:val="28"/>
              </w:rPr>
              <w:t xml:space="preserve"> </w:t>
            </w:r>
            <w:r w:rsidRPr="00BF0547">
              <w:rPr>
                <w:sz w:val="28"/>
                <w:szCs w:val="28"/>
              </w:rPr>
              <w:t xml:space="preserve">apmērā (Nacionālajam veselības dienestam); </w:t>
            </w:r>
          </w:p>
          <w:p w:rsidR="00AE7864" w:rsidRPr="00BF0547" w:rsidRDefault="00AE7864" w:rsidP="00AE7864">
            <w:pPr>
              <w:pStyle w:val="ListParagraph"/>
              <w:numPr>
                <w:ilvl w:val="0"/>
                <w:numId w:val="15"/>
              </w:numPr>
              <w:tabs>
                <w:tab w:val="left" w:pos="284"/>
                <w:tab w:val="left" w:pos="425"/>
              </w:tabs>
              <w:ind w:left="142" w:firstLine="0"/>
              <w:jc w:val="both"/>
              <w:rPr>
                <w:sz w:val="28"/>
                <w:szCs w:val="28"/>
              </w:rPr>
            </w:pPr>
            <w:r w:rsidRPr="00BF0547">
              <w:rPr>
                <w:sz w:val="28"/>
                <w:szCs w:val="28"/>
              </w:rPr>
              <w:t>Veselības ministrijas padotības iestā</w:t>
            </w:r>
            <w:r w:rsidR="00641F82">
              <w:rPr>
                <w:sz w:val="28"/>
                <w:szCs w:val="28"/>
              </w:rPr>
              <w:t>dēm</w:t>
            </w:r>
            <w:r w:rsidRPr="00BF0547">
              <w:rPr>
                <w:sz w:val="28"/>
                <w:szCs w:val="28"/>
              </w:rPr>
              <w:t xml:space="preserve"> radušos izdevumu kompensāciju </w:t>
            </w:r>
            <w:r w:rsidR="001B7407">
              <w:rPr>
                <w:sz w:val="28"/>
                <w:szCs w:val="28"/>
              </w:rPr>
              <w:t>25 866</w:t>
            </w:r>
            <w:r w:rsidRPr="00BF0547">
              <w:rPr>
                <w:sz w:val="28"/>
                <w:szCs w:val="28"/>
              </w:rPr>
              <w:t xml:space="preserve"> </w:t>
            </w:r>
            <w:proofErr w:type="spellStart"/>
            <w:r w:rsidRPr="00BF0547">
              <w:rPr>
                <w:i/>
                <w:sz w:val="28"/>
                <w:szCs w:val="28"/>
              </w:rPr>
              <w:t>euro</w:t>
            </w:r>
            <w:proofErr w:type="spellEnd"/>
            <w:r w:rsidRPr="00BF0547">
              <w:rPr>
                <w:i/>
                <w:sz w:val="28"/>
                <w:szCs w:val="28"/>
              </w:rPr>
              <w:t xml:space="preserve"> </w:t>
            </w:r>
            <w:r w:rsidRPr="00BF0547">
              <w:rPr>
                <w:sz w:val="28"/>
                <w:szCs w:val="28"/>
              </w:rPr>
              <w:t xml:space="preserve">apmērā (Valsts tiesu </w:t>
            </w:r>
            <w:r w:rsidR="008977B0" w:rsidRPr="004D2D4B">
              <w:rPr>
                <w:sz w:val="28"/>
                <w:szCs w:val="28"/>
              </w:rPr>
              <w:t xml:space="preserve"> medicīn</w:t>
            </w:r>
            <w:r w:rsidR="008977B0">
              <w:rPr>
                <w:sz w:val="28"/>
                <w:szCs w:val="28"/>
              </w:rPr>
              <w:t>as</w:t>
            </w:r>
            <w:r w:rsidRPr="00BF0547">
              <w:rPr>
                <w:sz w:val="28"/>
                <w:szCs w:val="28"/>
              </w:rPr>
              <w:t xml:space="preserve"> ekspertīzes centram – 992 </w:t>
            </w:r>
            <w:proofErr w:type="spellStart"/>
            <w:r w:rsidRPr="00BF0547">
              <w:rPr>
                <w:i/>
                <w:sz w:val="28"/>
                <w:szCs w:val="28"/>
              </w:rPr>
              <w:t>euro</w:t>
            </w:r>
            <w:proofErr w:type="spellEnd"/>
            <w:r w:rsidRPr="00BF0547">
              <w:rPr>
                <w:sz w:val="28"/>
                <w:szCs w:val="28"/>
              </w:rPr>
              <w:t xml:space="preserve">, Valsts asinsdonoru centram – </w:t>
            </w:r>
            <w:r w:rsidR="001B7407">
              <w:rPr>
                <w:sz w:val="28"/>
                <w:szCs w:val="28"/>
              </w:rPr>
              <w:t>17 632</w:t>
            </w:r>
            <w:r w:rsidRPr="00BF0547">
              <w:rPr>
                <w:sz w:val="28"/>
                <w:szCs w:val="28"/>
              </w:rPr>
              <w:t xml:space="preserve"> </w:t>
            </w:r>
            <w:proofErr w:type="spellStart"/>
            <w:r w:rsidRPr="00BF0547">
              <w:rPr>
                <w:i/>
                <w:sz w:val="28"/>
                <w:szCs w:val="28"/>
              </w:rPr>
              <w:t>euro</w:t>
            </w:r>
            <w:proofErr w:type="spellEnd"/>
            <w:r w:rsidRPr="00BF0547">
              <w:rPr>
                <w:sz w:val="28"/>
                <w:szCs w:val="28"/>
              </w:rPr>
              <w:t xml:space="preserve"> un Neatliekamās medicīniskās palīdzības  dienestam – 7 242 </w:t>
            </w:r>
            <w:proofErr w:type="spellStart"/>
            <w:r w:rsidRPr="00BF0547">
              <w:rPr>
                <w:i/>
                <w:sz w:val="28"/>
                <w:szCs w:val="28"/>
              </w:rPr>
              <w:t>euro</w:t>
            </w:r>
            <w:proofErr w:type="spellEnd"/>
            <w:r w:rsidRPr="00BF0547">
              <w:rPr>
                <w:sz w:val="28"/>
                <w:szCs w:val="28"/>
              </w:rPr>
              <w:t>);</w:t>
            </w:r>
          </w:p>
          <w:p w:rsidR="00AE7864" w:rsidRPr="00BF0547" w:rsidRDefault="00131CF5" w:rsidP="00AE7864">
            <w:pPr>
              <w:pStyle w:val="ListParagraph"/>
              <w:numPr>
                <w:ilvl w:val="0"/>
                <w:numId w:val="15"/>
              </w:numPr>
              <w:tabs>
                <w:tab w:val="left" w:pos="284"/>
                <w:tab w:val="left" w:pos="425"/>
              </w:tabs>
              <w:ind w:left="142" w:firstLine="0"/>
              <w:jc w:val="both"/>
              <w:rPr>
                <w:sz w:val="28"/>
                <w:szCs w:val="28"/>
              </w:rPr>
            </w:pPr>
            <w:r>
              <w:rPr>
                <w:sz w:val="28"/>
                <w:szCs w:val="28"/>
              </w:rPr>
              <w:t>V</w:t>
            </w:r>
            <w:r w:rsidR="00AE7864" w:rsidRPr="00BF0547">
              <w:rPr>
                <w:sz w:val="28"/>
                <w:szCs w:val="28"/>
              </w:rPr>
              <w:t xml:space="preserve">ienreizēju prēmiju </w:t>
            </w:r>
            <w:r w:rsidR="00641F82">
              <w:rPr>
                <w:sz w:val="28"/>
                <w:szCs w:val="28"/>
              </w:rPr>
              <w:t>VSIA „</w:t>
            </w:r>
            <w:r w:rsidR="00AE7864" w:rsidRPr="00BF0547">
              <w:rPr>
                <w:sz w:val="28"/>
                <w:szCs w:val="28"/>
              </w:rPr>
              <w:t>Paula Stradiņa klīniskā universitātes slimnīca</w:t>
            </w:r>
            <w:r w:rsidR="00641F82">
              <w:rPr>
                <w:sz w:val="28"/>
                <w:szCs w:val="28"/>
              </w:rPr>
              <w:t>”</w:t>
            </w:r>
            <w:r w:rsidR="00AE7864" w:rsidRPr="00BF0547">
              <w:rPr>
                <w:sz w:val="28"/>
                <w:szCs w:val="28"/>
              </w:rPr>
              <w:t xml:space="preserve">, </w:t>
            </w:r>
            <w:r w:rsidR="00641F82">
              <w:rPr>
                <w:sz w:val="28"/>
                <w:szCs w:val="28"/>
              </w:rPr>
              <w:t>SIA „</w:t>
            </w:r>
            <w:r w:rsidR="00AE7864" w:rsidRPr="00BF0547">
              <w:rPr>
                <w:sz w:val="28"/>
                <w:szCs w:val="28"/>
              </w:rPr>
              <w:t>Rīgas Austrumu klīniskā universitātes slimnīca</w:t>
            </w:r>
            <w:r w:rsidR="00641F82">
              <w:rPr>
                <w:sz w:val="28"/>
                <w:szCs w:val="28"/>
              </w:rPr>
              <w:t>”</w:t>
            </w:r>
            <w:r w:rsidR="00AE7864" w:rsidRPr="00BF0547">
              <w:rPr>
                <w:sz w:val="28"/>
                <w:szCs w:val="28"/>
              </w:rPr>
              <w:t xml:space="preserve"> un</w:t>
            </w:r>
            <w:r w:rsidR="00641F82">
              <w:rPr>
                <w:sz w:val="28"/>
                <w:szCs w:val="28"/>
              </w:rPr>
              <w:t xml:space="preserve"> Rīgas pašvaldības SIA</w:t>
            </w:r>
            <w:r w:rsidR="00AE7864" w:rsidRPr="00BF0547">
              <w:rPr>
                <w:sz w:val="28"/>
                <w:szCs w:val="28"/>
              </w:rPr>
              <w:t xml:space="preserve"> </w:t>
            </w:r>
            <w:r w:rsidR="00641F82">
              <w:rPr>
                <w:sz w:val="28"/>
                <w:szCs w:val="28"/>
              </w:rPr>
              <w:t>„</w:t>
            </w:r>
            <w:r w:rsidR="00AE7864" w:rsidRPr="00BF0547">
              <w:rPr>
                <w:sz w:val="28"/>
                <w:szCs w:val="28"/>
              </w:rPr>
              <w:t>Rīgas 2.slimnīca</w:t>
            </w:r>
            <w:r w:rsidR="00641F82">
              <w:rPr>
                <w:sz w:val="28"/>
                <w:szCs w:val="28"/>
              </w:rPr>
              <w:t>”</w:t>
            </w:r>
            <w:r w:rsidR="00AE7864" w:rsidRPr="00BF0547">
              <w:rPr>
                <w:sz w:val="28"/>
                <w:szCs w:val="28"/>
              </w:rPr>
              <w:t xml:space="preserve"> personālam (ārsti un funkcionālie speciālisti,  ārstniecības un pacientu aprūpes person</w:t>
            </w:r>
            <w:r w:rsidR="00641F82">
              <w:rPr>
                <w:sz w:val="28"/>
                <w:szCs w:val="28"/>
              </w:rPr>
              <w:t>as</w:t>
            </w:r>
            <w:r w:rsidR="00AE7864" w:rsidRPr="00BF0547">
              <w:rPr>
                <w:sz w:val="28"/>
                <w:szCs w:val="28"/>
              </w:rPr>
              <w:t xml:space="preserve"> un funkcionālo speciālistu asistenti, kā arī  ārstniecības un pacientu aprūpes atbalsta personas), kurš tika iesaistīts cietušo ārstēšanā un aprūpē, 999 </w:t>
            </w:r>
            <w:proofErr w:type="spellStart"/>
            <w:r w:rsidR="00AE7864" w:rsidRPr="00BF0547">
              <w:rPr>
                <w:i/>
                <w:sz w:val="28"/>
                <w:szCs w:val="28"/>
              </w:rPr>
              <w:t>euro</w:t>
            </w:r>
            <w:proofErr w:type="spellEnd"/>
            <w:r w:rsidR="00AE7864" w:rsidRPr="00BF0547">
              <w:rPr>
                <w:sz w:val="28"/>
                <w:szCs w:val="28"/>
              </w:rPr>
              <w:t xml:space="preserve"> apmērā (Nacionālajam veselības dienestam </w:t>
            </w:r>
            <w:r w:rsidR="008F61AB">
              <w:rPr>
                <w:sz w:val="28"/>
                <w:szCs w:val="28"/>
              </w:rPr>
              <w:t>264 218</w:t>
            </w:r>
            <w:r w:rsidR="00AE7864" w:rsidRPr="00BF0547">
              <w:rPr>
                <w:sz w:val="28"/>
                <w:szCs w:val="28"/>
              </w:rPr>
              <w:t xml:space="preserve"> </w:t>
            </w:r>
            <w:proofErr w:type="spellStart"/>
            <w:r w:rsidR="00AE7864" w:rsidRPr="00BF0547">
              <w:rPr>
                <w:i/>
                <w:sz w:val="28"/>
                <w:szCs w:val="28"/>
              </w:rPr>
              <w:t>euro</w:t>
            </w:r>
            <w:proofErr w:type="spellEnd"/>
            <w:r w:rsidR="00AE7864" w:rsidRPr="00BF0547">
              <w:rPr>
                <w:sz w:val="28"/>
                <w:szCs w:val="28"/>
              </w:rPr>
              <w:t>);</w:t>
            </w:r>
          </w:p>
          <w:p w:rsidR="00AE7864" w:rsidRPr="00BF0547" w:rsidRDefault="00131CF5" w:rsidP="00A21E38">
            <w:pPr>
              <w:pStyle w:val="ListParagraph"/>
              <w:numPr>
                <w:ilvl w:val="0"/>
                <w:numId w:val="15"/>
              </w:numPr>
              <w:tabs>
                <w:tab w:val="left" w:pos="284"/>
                <w:tab w:val="left" w:pos="425"/>
              </w:tabs>
              <w:ind w:left="142" w:firstLine="0"/>
              <w:jc w:val="both"/>
              <w:rPr>
                <w:sz w:val="28"/>
                <w:szCs w:val="28"/>
              </w:rPr>
            </w:pPr>
            <w:r>
              <w:rPr>
                <w:sz w:val="28"/>
                <w:szCs w:val="28"/>
              </w:rPr>
              <w:t>V</w:t>
            </w:r>
            <w:r w:rsidR="00AE7864" w:rsidRPr="00BF0547">
              <w:rPr>
                <w:sz w:val="28"/>
                <w:szCs w:val="28"/>
              </w:rPr>
              <w:t xml:space="preserve">ienreizēju prēmiju SIA „Rīgas sanitārā transporta autobāze” operatīvā medicīniskā transporta vadītājiem, kuri piedalījās palīdzības sniegšanā cietušajiem, 999 </w:t>
            </w:r>
            <w:proofErr w:type="spellStart"/>
            <w:r w:rsidR="00AE7864" w:rsidRPr="00BF0547">
              <w:rPr>
                <w:i/>
                <w:sz w:val="28"/>
                <w:szCs w:val="28"/>
              </w:rPr>
              <w:t>euro</w:t>
            </w:r>
            <w:proofErr w:type="spellEnd"/>
            <w:r w:rsidR="00AE7864" w:rsidRPr="00BF0547">
              <w:rPr>
                <w:sz w:val="28"/>
                <w:szCs w:val="28"/>
              </w:rPr>
              <w:t xml:space="preserve"> apmērā (Neatliekamās medicīniskās palīdzības  dienestam </w:t>
            </w:r>
            <w:r w:rsidR="00AE7864" w:rsidRPr="00BF0547">
              <w:rPr>
                <w:sz w:val="28"/>
                <w:szCs w:val="28"/>
              </w:rPr>
              <w:lastRenderedPageBreak/>
              <w:t xml:space="preserve">37 040 </w:t>
            </w:r>
            <w:proofErr w:type="spellStart"/>
            <w:r w:rsidR="00AE7864" w:rsidRPr="00BF0547">
              <w:rPr>
                <w:i/>
                <w:sz w:val="28"/>
                <w:szCs w:val="28"/>
              </w:rPr>
              <w:t>euro</w:t>
            </w:r>
            <w:proofErr w:type="spellEnd"/>
            <w:r w:rsidR="00AE7864" w:rsidRPr="00BF0547">
              <w:rPr>
                <w:sz w:val="28"/>
                <w:szCs w:val="28"/>
              </w:rPr>
              <w:t>).</w:t>
            </w:r>
          </w:p>
        </w:tc>
      </w:tr>
      <w:tr w:rsidR="00262E2B" w:rsidRPr="00BF0547" w:rsidTr="00F931B1">
        <w:trPr>
          <w:trHeight w:val="476"/>
        </w:trPr>
        <w:tc>
          <w:tcPr>
            <w:tcW w:w="403" w:type="dxa"/>
          </w:tcPr>
          <w:p w:rsidR="00262E2B" w:rsidRPr="00BF0547" w:rsidRDefault="006E626B" w:rsidP="006C4607">
            <w:pPr>
              <w:pStyle w:val="naiskr"/>
              <w:spacing w:before="0" w:after="0"/>
              <w:rPr>
                <w:sz w:val="28"/>
                <w:szCs w:val="28"/>
              </w:rPr>
            </w:pPr>
            <w:r w:rsidRPr="00BF0547">
              <w:rPr>
                <w:sz w:val="28"/>
                <w:szCs w:val="28"/>
              </w:rPr>
              <w:lastRenderedPageBreak/>
              <w:t>3</w:t>
            </w:r>
            <w:r w:rsidR="00262E2B" w:rsidRPr="00BF0547">
              <w:rPr>
                <w:sz w:val="28"/>
                <w:szCs w:val="28"/>
              </w:rPr>
              <w:t>.</w:t>
            </w:r>
          </w:p>
        </w:tc>
        <w:tc>
          <w:tcPr>
            <w:tcW w:w="2721" w:type="dxa"/>
          </w:tcPr>
          <w:p w:rsidR="00262E2B" w:rsidRPr="00BF0547" w:rsidRDefault="001A4066" w:rsidP="006C4607">
            <w:pPr>
              <w:pStyle w:val="naiskr"/>
              <w:spacing w:before="0" w:after="0"/>
              <w:rPr>
                <w:sz w:val="28"/>
                <w:szCs w:val="28"/>
              </w:rPr>
            </w:pPr>
            <w:r w:rsidRPr="00BF0547">
              <w:rPr>
                <w:sz w:val="28"/>
                <w:szCs w:val="28"/>
              </w:rPr>
              <w:t>Projekta i</w:t>
            </w:r>
            <w:r w:rsidR="00262E2B" w:rsidRPr="00BF0547">
              <w:rPr>
                <w:sz w:val="28"/>
                <w:szCs w:val="28"/>
              </w:rPr>
              <w:t>zstrād</w:t>
            </w:r>
            <w:r w:rsidR="00420870" w:rsidRPr="00BF0547">
              <w:rPr>
                <w:sz w:val="28"/>
                <w:szCs w:val="28"/>
              </w:rPr>
              <w:t xml:space="preserve">ē </w:t>
            </w:r>
            <w:r w:rsidR="00262E2B" w:rsidRPr="00BF0547">
              <w:rPr>
                <w:sz w:val="28"/>
                <w:szCs w:val="28"/>
              </w:rPr>
              <w:t>iesaistītās institūcijas</w:t>
            </w:r>
          </w:p>
        </w:tc>
        <w:tc>
          <w:tcPr>
            <w:tcW w:w="6090" w:type="dxa"/>
          </w:tcPr>
          <w:p w:rsidR="00262E2B" w:rsidRPr="00BF0547" w:rsidRDefault="00565694" w:rsidP="003D3158">
            <w:pPr>
              <w:pStyle w:val="naiskr"/>
              <w:spacing w:before="0" w:after="0"/>
              <w:jc w:val="both"/>
              <w:rPr>
                <w:sz w:val="28"/>
                <w:szCs w:val="28"/>
              </w:rPr>
            </w:pPr>
            <w:r w:rsidRPr="00BF0547">
              <w:rPr>
                <w:sz w:val="28"/>
                <w:szCs w:val="28"/>
              </w:rPr>
              <w:t>NMPD</w:t>
            </w:r>
            <w:r w:rsidR="003D3158" w:rsidRPr="00BF0547">
              <w:rPr>
                <w:sz w:val="28"/>
                <w:szCs w:val="28"/>
              </w:rPr>
              <w:t>,</w:t>
            </w:r>
            <w:r w:rsidRPr="00BF0547">
              <w:rPr>
                <w:sz w:val="28"/>
                <w:szCs w:val="28"/>
              </w:rPr>
              <w:t xml:space="preserve"> VTMEC</w:t>
            </w:r>
            <w:r w:rsidR="003D3158" w:rsidRPr="00BF0547">
              <w:rPr>
                <w:sz w:val="28"/>
                <w:szCs w:val="28"/>
              </w:rPr>
              <w:t>, VADC un NVD</w:t>
            </w:r>
            <w:r w:rsidR="00E9328B" w:rsidRPr="00BF0547">
              <w:rPr>
                <w:sz w:val="28"/>
                <w:szCs w:val="28"/>
              </w:rPr>
              <w:t>.</w:t>
            </w:r>
          </w:p>
        </w:tc>
      </w:tr>
      <w:tr w:rsidR="00262E2B" w:rsidRPr="00BF0547" w:rsidTr="00F931B1">
        <w:tc>
          <w:tcPr>
            <w:tcW w:w="403" w:type="dxa"/>
          </w:tcPr>
          <w:p w:rsidR="00262E2B" w:rsidRPr="00BF0547" w:rsidRDefault="006E626B" w:rsidP="006C4607">
            <w:pPr>
              <w:pStyle w:val="naiskr"/>
              <w:spacing w:before="0" w:after="0"/>
              <w:rPr>
                <w:sz w:val="28"/>
                <w:szCs w:val="28"/>
              </w:rPr>
            </w:pPr>
            <w:r w:rsidRPr="00BF0547">
              <w:rPr>
                <w:sz w:val="28"/>
                <w:szCs w:val="28"/>
              </w:rPr>
              <w:t>4</w:t>
            </w:r>
            <w:r w:rsidR="00262E2B" w:rsidRPr="00BF0547">
              <w:rPr>
                <w:sz w:val="28"/>
                <w:szCs w:val="28"/>
              </w:rPr>
              <w:t>.</w:t>
            </w:r>
          </w:p>
        </w:tc>
        <w:tc>
          <w:tcPr>
            <w:tcW w:w="2721" w:type="dxa"/>
          </w:tcPr>
          <w:p w:rsidR="00262E2B" w:rsidRPr="00BF0547" w:rsidRDefault="00262E2B" w:rsidP="006C4607">
            <w:pPr>
              <w:pStyle w:val="naiskr"/>
              <w:spacing w:before="0" w:after="0"/>
              <w:rPr>
                <w:sz w:val="28"/>
                <w:szCs w:val="28"/>
              </w:rPr>
            </w:pPr>
            <w:r w:rsidRPr="00BF0547">
              <w:rPr>
                <w:sz w:val="28"/>
                <w:szCs w:val="28"/>
              </w:rPr>
              <w:t>Cita informācija</w:t>
            </w:r>
          </w:p>
        </w:tc>
        <w:tc>
          <w:tcPr>
            <w:tcW w:w="6090" w:type="dxa"/>
          </w:tcPr>
          <w:p w:rsidR="00262E2B" w:rsidRPr="00BF0547" w:rsidRDefault="00571028" w:rsidP="006C4607">
            <w:pPr>
              <w:pStyle w:val="naiskr"/>
              <w:spacing w:before="0" w:after="0"/>
              <w:rPr>
                <w:sz w:val="28"/>
                <w:szCs w:val="28"/>
              </w:rPr>
            </w:pPr>
            <w:r w:rsidRPr="00BF0547">
              <w:rPr>
                <w:sz w:val="28"/>
                <w:szCs w:val="28"/>
              </w:rPr>
              <w:t>Nav</w:t>
            </w:r>
          </w:p>
        </w:tc>
      </w:tr>
    </w:tbl>
    <w:p w:rsidR="00852042" w:rsidRDefault="00852042" w:rsidP="006C4607">
      <w:pPr>
        <w:pStyle w:val="naisf"/>
        <w:spacing w:before="0" w:after="0"/>
        <w:rPr>
          <w:sz w:val="28"/>
          <w:szCs w:val="28"/>
        </w:rPr>
      </w:pPr>
    </w:p>
    <w:p w:rsidR="00197E0C" w:rsidRPr="00BF0547" w:rsidRDefault="00197E0C" w:rsidP="006C4607">
      <w:pPr>
        <w:pStyle w:val="naisf"/>
        <w:spacing w:before="0" w:after="0"/>
        <w:rPr>
          <w:sz w:val="28"/>
          <w:szCs w:val="28"/>
        </w:rPr>
      </w:pPr>
    </w:p>
    <w:tbl>
      <w:tblPr>
        <w:tblW w:w="9208"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220"/>
        <w:gridCol w:w="1509"/>
        <w:gridCol w:w="1452"/>
        <w:gridCol w:w="1424"/>
        <w:gridCol w:w="1455"/>
      </w:tblGrid>
      <w:tr w:rsidR="006C418A" w:rsidRPr="00BF0547" w:rsidTr="006C418A">
        <w:trPr>
          <w:jc w:val="center"/>
        </w:trPr>
        <w:tc>
          <w:tcPr>
            <w:tcW w:w="9208" w:type="dxa"/>
            <w:gridSpan w:val="6"/>
            <w:vAlign w:val="center"/>
          </w:tcPr>
          <w:p w:rsidR="006C418A" w:rsidRPr="00BF0547" w:rsidRDefault="006C418A" w:rsidP="00A20419">
            <w:pPr>
              <w:pStyle w:val="naisf"/>
              <w:spacing w:before="0" w:after="0"/>
              <w:ind w:firstLine="0"/>
              <w:jc w:val="center"/>
              <w:rPr>
                <w:b/>
                <w:sz w:val="28"/>
                <w:szCs w:val="28"/>
              </w:rPr>
            </w:pPr>
            <w:r w:rsidRPr="00BF0547">
              <w:rPr>
                <w:b/>
                <w:sz w:val="28"/>
                <w:szCs w:val="28"/>
              </w:rPr>
              <w:t>III. Tiesību akta projekta ietekme uz valsts budžetu un pašvaldību budžetiem</w:t>
            </w:r>
          </w:p>
        </w:tc>
      </w:tr>
      <w:tr w:rsidR="00571028" w:rsidRPr="00BF0547" w:rsidTr="006C418A">
        <w:trPr>
          <w:jc w:val="center"/>
        </w:trPr>
        <w:tc>
          <w:tcPr>
            <w:tcW w:w="2148" w:type="dxa"/>
            <w:vMerge w:val="restart"/>
            <w:vAlign w:val="center"/>
          </w:tcPr>
          <w:p w:rsidR="00571028" w:rsidRPr="00BF0547" w:rsidRDefault="00571028" w:rsidP="00A20419">
            <w:pPr>
              <w:pStyle w:val="naisf"/>
              <w:spacing w:before="0" w:after="0"/>
              <w:ind w:left="114" w:hanging="114"/>
              <w:jc w:val="center"/>
              <w:rPr>
                <w:b/>
                <w:sz w:val="28"/>
                <w:szCs w:val="28"/>
              </w:rPr>
            </w:pPr>
            <w:r w:rsidRPr="00BF0547">
              <w:rPr>
                <w:b/>
                <w:sz w:val="28"/>
                <w:szCs w:val="28"/>
              </w:rPr>
              <w:t>Rādītāji</w:t>
            </w:r>
          </w:p>
        </w:tc>
        <w:tc>
          <w:tcPr>
            <w:tcW w:w="2729" w:type="dxa"/>
            <w:gridSpan w:val="2"/>
            <w:vMerge w:val="restart"/>
            <w:vAlign w:val="center"/>
          </w:tcPr>
          <w:p w:rsidR="00571028" w:rsidRPr="00BF0547" w:rsidRDefault="004A05EF" w:rsidP="00A20419">
            <w:pPr>
              <w:pStyle w:val="naisf"/>
              <w:spacing w:before="0" w:after="0"/>
              <w:ind w:firstLine="0"/>
              <w:jc w:val="center"/>
              <w:rPr>
                <w:b/>
                <w:sz w:val="28"/>
                <w:szCs w:val="28"/>
              </w:rPr>
            </w:pPr>
            <w:r w:rsidRPr="00BF0547">
              <w:rPr>
                <w:b/>
                <w:sz w:val="28"/>
                <w:szCs w:val="28"/>
              </w:rPr>
              <w:t>2014</w:t>
            </w:r>
            <w:r w:rsidR="00571028" w:rsidRPr="00BF0547">
              <w:rPr>
                <w:b/>
                <w:sz w:val="28"/>
                <w:szCs w:val="28"/>
              </w:rPr>
              <w:t>.</w:t>
            </w:r>
            <w:r w:rsidR="00F46414" w:rsidRPr="00BF0547">
              <w:rPr>
                <w:b/>
                <w:sz w:val="28"/>
                <w:szCs w:val="28"/>
              </w:rPr>
              <w:t>gads</w:t>
            </w:r>
          </w:p>
        </w:tc>
        <w:tc>
          <w:tcPr>
            <w:tcW w:w="4331" w:type="dxa"/>
            <w:gridSpan w:val="3"/>
            <w:vAlign w:val="center"/>
          </w:tcPr>
          <w:p w:rsidR="00571028" w:rsidRPr="00BF0547" w:rsidRDefault="00571028" w:rsidP="004A05EF">
            <w:pPr>
              <w:pStyle w:val="naisf"/>
              <w:spacing w:before="0" w:after="0"/>
              <w:ind w:firstLine="0"/>
              <w:jc w:val="center"/>
              <w:rPr>
                <w:b/>
                <w:i/>
                <w:sz w:val="28"/>
                <w:szCs w:val="28"/>
              </w:rPr>
            </w:pPr>
            <w:r w:rsidRPr="00BF0547">
              <w:rPr>
                <w:sz w:val="28"/>
                <w:szCs w:val="28"/>
              </w:rPr>
              <w:t>Turpmākie trīs gadi (</w:t>
            </w:r>
            <w:proofErr w:type="spellStart"/>
            <w:r w:rsidR="004A05EF" w:rsidRPr="00BF0547">
              <w:rPr>
                <w:i/>
                <w:sz w:val="28"/>
                <w:szCs w:val="28"/>
              </w:rPr>
              <w:t>euro</w:t>
            </w:r>
            <w:proofErr w:type="spellEnd"/>
            <w:r w:rsidRPr="00BF0547">
              <w:rPr>
                <w:sz w:val="28"/>
                <w:szCs w:val="28"/>
              </w:rPr>
              <w:t>)</w:t>
            </w:r>
          </w:p>
        </w:tc>
      </w:tr>
      <w:tr w:rsidR="00571028" w:rsidRPr="00BF0547" w:rsidTr="006C418A">
        <w:trPr>
          <w:jc w:val="center"/>
        </w:trPr>
        <w:tc>
          <w:tcPr>
            <w:tcW w:w="2148" w:type="dxa"/>
            <w:vMerge/>
            <w:vAlign w:val="center"/>
          </w:tcPr>
          <w:p w:rsidR="00571028" w:rsidRPr="00BF0547" w:rsidRDefault="00571028" w:rsidP="00A20419">
            <w:pPr>
              <w:pStyle w:val="naisf"/>
              <w:spacing w:before="0" w:after="0"/>
              <w:ind w:firstLine="0"/>
              <w:jc w:val="center"/>
              <w:rPr>
                <w:b/>
                <w:i/>
                <w:sz w:val="28"/>
                <w:szCs w:val="28"/>
              </w:rPr>
            </w:pPr>
          </w:p>
        </w:tc>
        <w:tc>
          <w:tcPr>
            <w:tcW w:w="2729" w:type="dxa"/>
            <w:gridSpan w:val="2"/>
            <w:vMerge/>
            <w:vAlign w:val="center"/>
          </w:tcPr>
          <w:p w:rsidR="00571028" w:rsidRPr="00BF0547" w:rsidRDefault="00571028" w:rsidP="00A20419">
            <w:pPr>
              <w:pStyle w:val="naisf"/>
              <w:spacing w:before="0" w:after="0"/>
              <w:ind w:firstLine="0"/>
              <w:jc w:val="center"/>
              <w:rPr>
                <w:b/>
                <w:i/>
                <w:sz w:val="28"/>
                <w:szCs w:val="28"/>
              </w:rPr>
            </w:pPr>
          </w:p>
        </w:tc>
        <w:tc>
          <w:tcPr>
            <w:tcW w:w="1452" w:type="dxa"/>
            <w:vAlign w:val="center"/>
          </w:tcPr>
          <w:p w:rsidR="00571028" w:rsidRPr="00BF0547" w:rsidRDefault="004A05EF" w:rsidP="00A20419">
            <w:pPr>
              <w:pStyle w:val="naisf"/>
              <w:spacing w:before="0" w:after="0"/>
              <w:ind w:firstLine="0"/>
              <w:jc w:val="center"/>
              <w:rPr>
                <w:b/>
                <w:i/>
                <w:sz w:val="28"/>
                <w:szCs w:val="28"/>
              </w:rPr>
            </w:pPr>
            <w:r w:rsidRPr="00BF0547">
              <w:rPr>
                <w:b/>
                <w:bCs/>
                <w:sz w:val="28"/>
                <w:szCs w:val="28"/>
              </w:rPr>
              <w:t>2015</w:t>
            </w:r>
            <w:r w:rsidR="00571028" w:rsidRPr="00BF0547">
              <w:rPr>
                <w:b/>
                <w:bCs/>
                <w:sz w:val="28"/>
                <w:szCs w:val="28"/>
              </w:rPr>
              <w:t>.</w:t>
            </w:r>
            <w:r w:rsidR="00F46414" w:rsidRPr="00BF0547">
              <w:rPr>
                <w:b/>
                <w:bCs/>
                <w:sz w:val="28"/>
                <w:szCs w:val="28"/>
              </w:rPr>
              <w:t>gads</w:t>
            </w:r>
          </w:p>
        </w:tc>
        <w:tc>
          <w:tcPr>
            <w:tcW w:w="1424" w:type="dxa"/>
            <w:vAlign w:val="center"/>
          </w:tcPr>
          <w:p w:rsidR="00571028" w:rsidRPr="00BF0547" w:rsidRDefault="004A05EF" w:rsidP="00A20419">
            <w:pPr>
              <w:pStyle w:val="naisf"/>
              <w:spacing w:before="0" w:after="0"/>
              <w:ind w:firstLine="0"/>
              <w:jc w:val="center"/>
              <w:rPr>
                <w:b/>
                <w:i/>
                <w:sz w:val="28"/>
                <w:szCs w:val="28"/>
              </w:rPr>
            </w:pPr>
            <w:r w:rsidRPr="00BF0547">
              <w:rPr>
                <w:b/>
                <w:bCs/>
                <w:sz w:val="28"/>
                <w:szCs w:val="28"/>
              </w:rPr>
              <w:t>2016</w:t>
            </w:r>
            <w:r w:rsidR="00571028" w:rsidRPr="00BF0547">
              <w:rPr>
                <w:b/>
                <w:bCs/>
                <w:sz w:val="28"/>
                <w:szCs w:val="28"/>
              </w:rPr>
              <w:t>.</w:t>
            </w:r>
            <w:r w:rsidR="00F46414" w:rsidRPr="00BF0547">
              <w:rPr>
                <w:b/>
                <w:bCs/>
                <w:sz w:val="28"/>
                <w:szCs w:val="28"/>
              </w:rPr>
              <w:t>gads</w:t>
            </w:r>
          </w:p>
        </w:tc>
        <w:tc>
          <w:tcPr>
            <w:tcW w:w="1455" w:type="dxa"/>
            <w:vAlign w:val="center"/>
          </w:tcPr>
          <w:p w:rsidR="00571028" w:rsidRPr="00BF0547" w:rsidRDefault="004A05EF" w:rsidP="00A20419">
            <w:pPr>
              <w:pStyle w:val="naisf"/>
              <w:spacing w:before="0" w:after="0"/>
              <w:ind w:firstLine="0"/>
              <w:jc w:val="center"/>
              <w:rPr>
                <w:b/>
                <w:i/>
                <w:sz w:val="28"/>
                <w:szCs w:val="28"/>
              </w:rPr>
            </w:pPr>
            <w:r w:rsidRPr="00BF0547">
              <w:rPr>
                <w:b/>
                <w:bCs/>
                <w:sz w:val="28"/>
                <w:szCs w:val="28"/>
              </w:rPr>
              <w:t>2017</w:t>
            </w:r>
            <w:r w:rsidR="00571028" w:rsidRPr="00BF0547">
              <w:rPr>
                <w:b/>
                <w:bCs/>
                <w:sz w:val="28"/>
                <w:szCs w:val="28"/>
              </w:rPr>
              <w:t>.</w:t>
            </w:r>
            <w:r w:rsidR="00F46414" w:rsidRPr="00BF0547">
              <w:rPr>
                <w:b/>
                <w:bCs/>
                <w:sz w:val="28"/>
                <w:szCs w:val="28"/>
              </w:rPr>
              <w:t>gads</w:t>
            </w:r>
          </w:p>
        </w:tc>
      </w:tr>
      <w:tr w:rsidR="00571028" w:rsidRPr="00BF0547" w:rsidTr="006C418A">
        <w:trPr>
          <w:jc w:val="center"/>
        </w:trPr>
        <w:tc>
          <w:tcPr>
            <w:tcW w:w="2148" w:type="dxa"/>
            <w:vMerge/>
            <w:vAlign w:val="center"/>
          </w:tcPr>
          <w:p w:rsidR="00571028" w:rsidRPr="00BF0547" w:rsidRDefault="00571028" w:rsidP="00A20419">
            <w:pPr>
              <w:pStyle w:val="naisf"/>
              <w:spacing w:before="0" w:after="0"/>
              <w:ind w:firstLine="0"/>
              <w:jc w:val="center"/>
              <w:rPr>
                <w:b/>
                <w:i/>
                <w:sz w:val="28"/>
                <w:szCs w:val="28"/>
              </w:rPr>
            </w:pPr>
          </w:p>
        </w:tc>
        <w:tc>
          <w:tcPr>
            <w:tcW w:w="1220"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Saskaņā ar valsts budžetu kārtējam gadam</w:t>
            </w:r>
          </w:p>
        </w:tc>
        <w:tc>
          <w:tcPr>
            <w:tcW w:w="1509"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kārtējā gadā, salīdzinot ar budžetu kārtējam gadam</w:t>
            </w:r>
          </w:p>
        </w:tc>
        <w:tc>
          <w:tcPr>
            <w:tcW w:w="1452"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salīdzinot ar kārtējo (n) gadu</w:t>
            </w:r>
          </w:p>
        </w:tc>
        <w:tc>
          <w:tcPr>
            <w:tcW w:w="1424"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salīdzinot ar kārtējo (n) gadu</w:t>
            </w:r>
          </w:p>
        </w:tc>
        <w:tc>
          <w:tcPr>
            <w:tcW w:w="1455"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salīdzinot ar kārtējo (n) gadu</w:t>
            </w:r>
          </w:p>
        </w:tc>
      </w:tr>
      <w:tr w:rsidR="00571028" w:rsidRPr="00BF0547" w:rsidTr="006C418A">
        <w:trPr>
          <w:jc w:val="center"/>
        </w:trPr>
        <w:tc>
          <w:tcPr>
            <w:tcW w:w="2148"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1</w:t>
            </w:r>
          </w:p>
        </w:tc>
        <w:tc>
          <w:tcPr>
            <w:tcW w:w="1220"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2</w:t>
            </w:r>
          </w:p>
        </w:tc>
        <w:tc>
          <w:tcPr>
            <w:tcW w:w="1509"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3</w:t>
            </w:r>
          </w:p>
        </w:tc>
        <w:tc>
          <w:tcPr>
            <w:tcW w:w="1452"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4</w:t>
            </w:r>
          </w:p>
        </w:tc>
        <w:tc>
          <w:tcPr>
            <w:tcW w:w="1424"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5</w:t>
            </w:r>
          </w:p>
        </w:tc>
        <w:tc>
          <w:tcPr>
            <w:tcW w:w="1455"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6</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 Budžeta ieņēmumi:</w:t>
            </w:r>
          </w:p>
        </w:tc>
        <w:tc>
          <w:tcPr>
            <w:tcW w:w="1220" w:type="dxa"/>
          </w:tcPr>
          <w:p w:rsidR="009A2C8E" w:rsidRPr="00BF0547" w:rsidRDefault="009A2C8E" w:rsidP="00AA2965">
            <w:pPr>
              <w:pStyle w:val="naisf"/>
              <w:spacing w:before="0" w:after="0"/>
              <w:ind w:firstLine="0"/>
              <w:jc w:val="center"/>
              <w:rPr>
                <w:b/>
                <w:sz w:val="28"/>
                <w:szCs w:val="28"/>
              </w:rPr>
            </w:pPr>
            <w:r w:rsidRPr="00BF0547">
              <w:rPr>
                <w:b/>
                <w:sz w:val="28"/>
                <w:szCs w:val="28"/>
              </w:rPr>
              <w:t>0</w:t>
            </w:r>
          </w:p>
        </w:tc>
        <w:tc>
          <w:tcPr>
            <w:tcW w:w="1509"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52"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24"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55"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1.1. valsts pamatbudžets, tai skaitā ieņēmumi no maksas pakalpojumiem un citi pašu ieņēmumi</w:t>
            </w:r>
          </w:p>
        </w:tc>
        <w:tc>
          <w:tcPr>
            <w:tcW w:w="1220" w:type="dxa"/>
          </w:tcPr>
          <w:p w:rsidR="009A2C8E" w:rsidRPr="00BF0547" w:rsidRDefault="009A2C8E" w:rsidP="00AA2965">
            <w:pPr>
              <w:pStyle w:val="naisf"/>
              <w:spacing w:before="0" w:after="0"/>
              <w:ind w:firstLine="0"/>
              <w:jc w:val="center"/>
              <w:rPr>
                <w:sz w:val="28"/>
                <w:szCs w:val="28"/>
              </w:rPr>
            </w:pPr>
            <w:r w:rsidRPr="00BF0547">
              <w:rPr>
                <w:sz w:val="28"/>
                <w:szCs w:val="28"/>
              </w:rPr>
              <w:t>0</w:t>
            </w:r>
          </w:p>
        </w:tc>
        <w:tc>
          <w:tcPr>
            <w:tcW w:w="1509"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c>
          <w:tcPr>
            <w:tcW w:w="1452"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1.2. valsts speciālais budžets</w:t>
            </w:r>
          </w:p>
        </w:tc>
        <w:tc>
          <w:tcPr>
            <w:tcW w:w="1220" w:type="dxa"/>
          </w:tcPr>
          <w:p w:rsidR="009A2C8E" w:rsidRPr="00BF0547" w:rsidRDefault="009A2C8E" w:rsidP="00AA2965">
            <w:pPr>
              <w:pStyle w:val="naisf"/>
              <w:spacing w:before="0" w:after="0"/>
              <w:ind w:firstLine="0"/>
              <w:jc w:val="center"/>
              <w:rPr>
                <w:sz w:val="28"/>
                <w:szCs w:val="28"/>
              </w:rPr>
            </w:pPr>
            <w:r w:rsidRPr="00BF0547">
              <w:rPr>
                <w:sz w:val="28"/>
                <w:szCs w:val="28"/>
              </w:rPr>
              <w:t>0</w:t>
            </w:r>
          </w:p>
        </w:tc>
        <w:tc>
          <w:tcPr>
            <w:tcW w:w="1509"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2"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1.3. pašvaldību budžets</w:t>
            </w:r>
          </w:p>
        </w:tc>
        <w:tc>
          <w:tcPr>
            <w:tcW w:w="1220" w:type="dxa"/>
          </w:tcPr>
          <w:p w:rsidR="009A2C8E" w:rsidRPr="00BF0547" w:rsidRDefault="009A2C8E" w:rsidP="00AA2965">
            <w:pPr>
              <w:pStyle w:val="naisf"/>
              <w:spacing w:before="0" w:after="0"/>
              <w:ind w:firstLine="0"/>
              <w:jc w:val="center"/>
              <w:rPr>
                <w:sz w:val="28"/>
                <w:szCs w:val="28"/>
              </w:rPr>
            </w:pPr>
            <w:r w:rsidRPr="00BF0547">
              <w:rPr>
                <w:sz w:val="28"/>
                <w:szCs w:val="28"/>
              </w:rPr>
              <w:t>0</w:t>
            </w:r>
          </w:p>
        </w:tc>
        <w:tc>
          <w:tcPr>
            <w:tcW w:w="1509"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2"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r>
      <w:tr w:rsidR="009A2C8E" w:rsidRPr="00BF0547" w:rsidTr="006C418A">
        <w:trPr>
          <w:jc w:val="center"/>
        </w:trPr>
        <w:tc>
          <w:tcPr>
            <w:tcW w:w="2148" w:type="dxa"/>
          </w:tcPr>
          <w:p w:rsidR="009A2C8E" w:rsidRPr="00BF0547" w:rsidRDefault="009A2C8E" w:rsidP="004A05EF">
            <w:pPr>
              <w:rPr>
                <w:sz w:val="28"/>
                <w:szCs w:val="28"/>
              </w:rPr>
            </w:pPr>
            <w:r w:rsidRPr="00BF0547">
              <w:rPr>
                <w:sz w:val="28"/>
                <w:szCs w:val="28"/>
              </w:rPr>
              <w:t>2. Budžeta izdevumi:</w:t>
            </w:r>
          </w:p>
        </w:tc>
        <w:tc>
          <w:tcPr>
            <w:tcW w:w="1220" w:type="dxa"/>
          </w:tcPr>
          <w:p w:rsidR="009A2C8E" w:rsidRPr="00BF0547" w:rsidRDefault="009A2C8E" w:rsidP="00AA2965">
            <w:pPr>
              <w:pStyle w:val="naisf"/>
              <w:spacing w:before="0" w:after="0"/>
              <w:ind w:firstLine="0"/>
              <w:jc w:val="center"/>
              <w:rPr>
                <w:b/>
                <w:sz w:val="28"/>
                <w:szCs w:val="28"/>
              </w:rPr>
            </w:pPr>
            <w:r w:rsidRPr="00BF0547">
              <w:rPr>
                <w:b/>
                <w:sz w:val="28"/>
                <w:szCs w:val="28"/>
              </w:rPr>
              <w:t>0</w:t>
            </w:r>
          </w:p>
        </w:tc>
        <w:tc>
          <w:tcPr>
            <w:tcW w:w="1509" w:type="dxa"/>
          </w:tcPr>
          <w:p w:rsidR="009A2C8E" w:rsidRPr="00BF0547" w:rsidRDefault="00CA480E" w:rsidP="00027639">
            <w:pPr>
              <w:pStyle w:val="naisf"/>
              <w:spacing w:before="0" w:after="0"/>
              <w:ind w:firstLine="0"/>
              <w:jc w:val="center"/>
              <w:rPr>
                <w:b/>
                <w:sz w:val="28"/>
                <w:szCs w:val="28"/>
              </w:rPr>
            </w:pPr>
            <w:r>
              <w:rPr>
                <w:b/>
                <w:sz w:val="28"/>
                <w:szCs w:val="28"/>
              </w:rPr>
              <w:t>373 284</w:t>
            </w:r>
          </w:p>
        </w:tc>
        <w:tc>
          <w:tcPr>
            <w:tcW w:w="1452"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24"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55"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r>
      <w:tr w:rsidR="009A2C8E" w:rsidRPr="00BF0547" w:rsidTr="006C418A">
        <w:trPr>
          <w:jc w:val="center"/>
        </w:trPr>
        <w:tc>
          <w:tcPr>
            <w:tcW w:w="2148" w:type="dxa"/>
          </w:tcPr>
          <w:p w:rsidR="009A2C8E" w:rsidRPr="00BF0547" w:rsidRDefault="009A2C8E" w:rsidP="004A05EF">
            <w:pPr>
              <w:rPr>
                <w:sz w:val="28"/>
                <w:szCs w:val="28"/>
              </w:rPr>
            </w:pPr>
            <w:r w:rsidRPr="00BF0547">
              <w:rPr>
                <w:sz w:val="28"/>
                <w:szCs w:val="28"/>
              </w:rPr>
              <w:t>2.1. valsts pamatbudžets</w:t>
            </w:r>
          </w:p>
        </w:tc>
        <w:tc>
          <w:tcPr>
            <w:tcW w:w="1220" w:type="dxa"/>
          </w:tcPr>
          <w:p w:rsidR="009A2C8E" w:rsidRPr="00BF0547" w:rsidRDefault="009A2C8E" w:rsidP="00AA2965">
            <w:pPr>
              <w:pStyle w:val="naisf"/>
              <w:spacing w:before="0" w:after="0"/>
              <w:ind w:firstLine="0"/>
              <w:jc w:val="center"/>
              <w:rPr>
                <w:sz w:val="28"/>
                <w:szCs w:val="28"/>
              </w:rPr>
            </w:pPr>
            <w:r w:rsidRPr="00BF0547">
              <w:rPr>
                <w:sz w:val="28"/>
                <w:szCs w:val="28"/>
              </w:rPr>
              <w:t>0</w:t>
            </w:r>
          </w:p>
        </w:tc>
        <w:tc>
          <w:tcPr>
            <w:tcW w:w="1509" w:type="dxa"/>
          </w:tcPr>
          <w:p w:rsidR="009A2C8E" w:rsidRPr="00BF0547" w:rsidRDefault="00CA480E" w:rsidP="00CA480E">
            <w:pPr>
              <w:pStyle w:val="naisf"/>
              <w:spacing w:before="0" w:after="0"/>
              <w:ind w:firstLine="0"/>
              <w:jc w:val="center"/>
              <w:rPr>
                <w:sz w:val="28"/>
                <w:szCs w:val="28"/>
              </w:rPr>
            </w:pPr>
            <w:r>
              <w:rPr>
                <w:sz w:val="28"/>
                <w:szCs w:val="28"/>
              </w:rPr>
              <w:t>373 284</w:t>
            </w:r>
          </w:p>
        </w:tc>
        <w:tc>
          <w:tcPr>
            <w:tcW w:w="1452"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2.2. valsts speciālais budžets</w:t>
            </w:r>
          </w:p>
        </w:tc>
        <w:tc>
          <w:tcPr>
            <w:tcW w:w="1220"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 xml:space="preserve">2.3. pašvaldību budžets </w:t>
            </w:r>
          </w:p>
        </w:tc>
        <w:tc>
          <w:tcPr>
            <w:tcW w:w="1220"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204A43" w:rsidRPr="00BF0547" w:rsidTr="006C418A">
        <w:trPr>
          <w:jc w:val="center"/>
        </w:trPr>
        <w:tc>
          <w:tcPr>
            <w:tcW w:w="2148" w:type="dxa"/>
          </w:tcPr>
          <w:p w:rsidR="00204A43" w:rsidRPr="00BF0547" w:rsidRDefault="00204A43" w:rsidP="004A05EF">
            <w:pPr>
              <w:rPr>
                <w:sz w:val="28"/>
                <w:szCs w:val="28"/>
              </w:rPr>
            </w:pPr>
            <w:r w:rsidRPr="00BF0547">
              <w:rPr>
                <w:sz w:val="28"/>
                <w:szCs w:val="28"/>
              </w:rPr>
              <w:t xml:space="preserve">3. Finansiālā </w:t>
            </w:r>
            <w:r w:rsidRPr="00BF0547">
              <w:rPr>
                <w:sz w:val="28"/>
                <w:szCs w:val="28"/>
              </w:rPr>
              <w:lastRenderedPageBreak/>
              <w:t>ietekme:</w:t>
            </w:r>
          </w:p>
        </w:tc>
        <w:tc>
          <w:tcPr>
            <w:tcW w:w="1220" w:type="dxa"/>
            <w:shd w:val="clear" w:color="auto" w:fill="auto"/>
          </w:tcPr>
          <w:p w:rsidR="00204A43" w:rsidRPr="00BF0547" w:rsidRDefault="00204A43" w:rsidP="009E5705">
            <w:pPr>
              <w:pStyle w:val="naisf"/>
              <w:spacing w:before="0" w:after="0"/>
              <w:ind w:firstLine="0"/>
              <w:jc w:val="center"/>
              <w:rPr>
                <w:b/>
                <w:sz w:val="28"/>
                <w:szCs w:val="28"/>
              </w:rPr>
            </w:pPr>
            <w:r w:rsidRPr="00BF0547">
              <w:rPr>
                <w:b/>
                <w:sz w:val="28"/>
                <w:szCs w:val="28"/>
              </w:rPr>
              <w:lastRenderedPageBreak/>
              <w:t>0</w:t>
            </w:r>
          </w:p>
        </w:tc>
        <w:tc>
          <w:tcPr>
            <w:tcW w:w="1509" w:type="dxa"/>
          </w:tcPr>
          <w:p w:rsidR="00204A43" w:rsidRPr="00BF0547" w:rsidRDefault="00204A43" w:rsidP="00CA480E">
            <w:pPr>
              <w:pStyle w:val="naisf"/>
              <w:spacing w:before="0" w:after="0"/>
              <w:ind w:firstLine="0"/>
              <w:jc w:val="center"/>
              <w:rPr>
                <w:b/>
                <w:sz w:val="28"/>
                <w:szCs w:val="28"/>
              </w:rPr>
            </w:pPr>
            <w:r w:rsidRPr="00BF0547">
              <w:rPr>
                <w:b/>
                <w:sz w:val="28"/>
                <w:szCs w:val="28"/>
              </w:rPr>
              <w:t>-</w:t>
            </w:r>
            <w:r w:rsidR="00CA480E">
              <w:rPr>
                <w:b/>
                <w:sz w:val="28"/>
                <w:szCs w:val="28"/>
              </w:rPr>
              <w:t>373 284</w:t>
            </w:r>
          </w:p>
        </w:tc>
        <w:tc>
          <w:tcPr>
            <w:tcW w:w="1452" w:type="dxa"/>
          </w:tcPr>
          <w:p w:rsidR="00204A43" w:rsidRPr="00BF0547" w:rsidRDefault="00204A43" w:rsidP="009E5705">
            <w:pPr>
              <w:pStyle w:val="naisf"/>
              <w:spacing w:before="0" w:after="0"/>
              <w:ind w:firstLine="0"/>
              <w:jc w:val="center"/>
              <w:rPr>
                <w:b/>
                <w:sz w:val="28"/>
                <w:szCs w:val="28"/>
              </w:rPr>
            </w:pPr>
            <w:r w:rsidRPr="00BF0547">
              <w:rPr>
                <w:b/>
                <w:sz w:val="28"/>
                <w:szCs w:val="28"/>
              </w:rPr>
              <w:t>0</w:t>
            </w:r>
          </w:p>
        </w:tc>
        <w:tc>
          <w:tcPr>
            <w:tcW w:w="1424" w:type="dxa"/>
          </w:tcPr>
          <w:p w:rsidR="00204A43" w:rsidRPr="00BF0547" w:rsidRDefault="00204A43" w:rsidP="009E5705">
            <w:pPr>
              <w:pStyle w:val="naisf"/>
              <w:spacing w:before="0" w:after="0"/>
              <w:ind w:firstLine="0"/>
              <w:jc w:val="center"/>
              <w:rPr>
                <w:b/>
                <w:sz w:val="28"/>
                <w:szCs w:val="28"/>
              </w:rPr>
            </w:pPr>
            <w:r w:rsidRPr="00BF0547">
              <w:rPr>
                <w:b/>
                <w:sz w:val="28"/>
                <w:szCs w:val="28"/>
              </w:rPr>
              <w:t>0</w:t>
            </w:r>
          </w:p>
        </w:tc>
        <w:tc>
          <w:tcPr>
            <w:tcW w:w="1455" w:type="dxa"/>
          </w:tcPr>
          <w:p w:rsidR="00204A43" w:rsidRPr="00BF0547" w:rsidRDefault="00204A43" w:rsidP="009E5705">
            <w:pPr>
              <w:pStyle w:val="naisf"/>
              <w:spacing w:before="0" w:after="0"/>
              <w:ind w:firstLine="0"/>
              <w:jc w:val="center"/>
              <w:rPr>
                <w:b/>
                <w:sz w:val="28"/>
                <w:szCs w:val="28"/>
              </w:rPr>
            </w:pPr>
            <w:r w:rsidRPr="00BF0547">
              <w:rPr>
                <w:b/>
                <w:sz w:val="28"/>
                <w:szCs w:val="28"/>
              </w:rPr>
              <w:t>0</w:t>
            </w:r>
          </w:p>
        </w:tc>
      </w:tr>
      <w:tr w:rsidR="00204A43" w:rsidRPr="00BF0547" w:rsidTr="006C418A">
        <w:trPr>
          <w:jc w:val="center"/>
        </w:trPr>
        <w:tc>
          <w:tcPr>
            <w:tcW w:w="2148" w:type="dxa"/>
          </w:tcPr>
          <w:p w:rsidR="00204A43" w:rsidRPr="00BF0547" w:rsidRDefault="00204A43" w:rsidP="004A05EF">
            <w:pPr>
              <w:rPr>
                <w:sz w:val="28"/>
                <w:szCs w:val="28"/>
              </w:rPr>
            </w:pPr>
            <w:r w:rsidRPr="00BF0547">
              <w:rPr>
                <w:sz w:val="28"/>
                <w:szCs w:val="28"/>
              </w:rPr>
              <w:lastRenderedPageBreak/>
              <w:t>3.1. valsts pamatbudžets</w:t>
            </w:r>
          </w:p>
        </w:tc>
        <w:tc>
          <w:tcPr>
            <w:tcW w:w="1220" w:type="dxa"/>
            <w:shd w:val="clear" w:color="auto" w:fill="auto"/>
          </w:tcPr>
          <w:p w:rsidR="00204A43" w:rsidRPr="00BF0547" w:rsidRDefault="00204A43" w:rsidP="009E5705">
            <w:pPr>
              <w:pStyle w:val="naisf"/>
              <w:spacing w:before="0" w:after="0"/>
              <w:ind w:firstLine="0"/>
              <w:jc w:val="center"/>
              <w:rPr>
                <w:sz w:val="28"/>
                <w:szCs w:val="28"/>
              </w:rPr>
            </w:pPr>
            <w:r w:rsidRPr="00BF0547">
              <w:rPr>
                <w:sz w:val="28"/>
                <w:szCs w:val="28"/>
              </w:rPr>
              <w:t>0</w:t>
            </w:r>
          </w:p>
        </w:tc>
        <w:tc>
          <w:tcPr>
            <w:tcW w:w="1509" w:type="dxa"/>
          </w:tcPr>
          <w:p w:rsidR="00204A43" w:rsidRPr="00BF0547" w:rsidRDefault="00204A43" w:rsidP="00CA480E">
            <w:pPr>
              <w:pStyle w:val="naisf"/>
              <w:spacing w:before="0" w:after="0"/>
              <w:ind w:firstLine="0"/>
              <w:jc w:val="center"/>
              <w:rPr>
                <w:sz w:val="28"/>
                <w:szCs w:val="28"/>
              </w:rPr>
            </w:pPr>
            <w:r w:rsidRPr="00BF0547">
              <w:rPr>
                <w:sz w:val="28"/>
                <w:szCs w:val="28"/>
              </w:rPr>
              <w:t>-</w:t>
            </w:r>
            <w:r w:rsidR="00CA480E">
              <w:rPr>
                <w:sz w:val="28"/>
                <w:szCs w:val="28"/>
              </w:rPr>
              <w:t>373 284</w:t>
            </w:r>
          </w:p>
        </w:tc>
        <w:tc>
          <w:tcPr>
            <w:tcW w:w="1452" w:type="dxa"/>
          </w:tcPr>
          <w:p w:rsidR="00204A43" w:rsidRPr="00BF0547" w:rsidRDefault="00204A43" w:rsidP="009E5705">
            <w:pPr>
              <w:pStyle w:val="naisf"/>
              <w:spacing w:before="0" w:after="0"/>
              <w:ind w:firstLine="0"/>
              <w:jc w:val="center"/>
              <w:rPr>
                <w:sz w:val="28"/>
                <w:szCs w:val="28"/>
              </w:rPr>
            </w:pPr>
            <w:r w:rsidRPr="00BF0547">
              <w:rPr>
                <w:sz w:val="28"/>
                <w:szCs w:val="28"/>
              </w:rPr>
              <w:t>0</w:t>
            </w:r>
          </w:p>
        </w:tc>
        <w:tc>
          <w:tcPr>
            <w:tcW w:w="1424" w:type="dxa"/>
          </w:tcPr>
          <w:p w:rsidR="00204A43" w:rsidRPr="00BF0547" w:rsidRDefault="00204A43" w:rsidP="009E5705">
            <w:pPr>
              <w:pStyle w:val="naisf"/>
              <w:spacing w:before="0" w:after="0"/>
              <w:ind w:firstLine="0"/>
              <w:jc w:val="center"/>
              <w:rPr>
                <w:sz w:val="28"/>
                <w:szCs w:val="28"/>
              </w:rPr>
            </w:pPr>
            <w:r w:rsidRPr="00BF0547">
              <w:rPr>
                <w:sz w:val="28"/>
                <w:szCs w:val="28"/>
              </w:rPr>
              <w:t>0</w:t>
            </w:r>
          </w:p>
        </w:tc>
        <w:tc>
          <w:tcPr>
            <w:tcW w:w="1455" w:type="dxa"/>
          </w:tcPr>
          <w:p w:rsidR="00204A43" w:rsidRPr="00BF0547" w:rsidRDefault="00204A43"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3.2. speciālais budžets</w:t>
            </w:r>
          </w:p>
        </w:tc>
        <w:tc>
          <w:tcPr>
            <w:tcW w:w="1220" w:type="dxa"/>
            <w:shd w:val="clear" w:color="auto" w:fill="auto"/>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 xml:space="preserve">3.3. pašvaldību budžets </w:t>
            </w:r>
          </w:p>
        </w:tc>
        <w:tc>
          <w:tcPr>
            <w:tcW w:w="1220" w:type="dxa"/>
            <w:shd w:val="clear" w:color="auto" w:fill="auto"/>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4. Finanšu līdzekļi papildu izde</w:t>
            </w:r>
            <w:r w:rsidRPr="00BF0547">
              <w:rPr>
                <w:sz w:val="28"/>
                <w:szCs w:val="28"/>
              </w:rPr>
              <w:softHyphen/>
              <w:t>vumu finansēšanai (kompensējošu izdevumu samazinājumu norāda ar "+" zīmi)</w:t>
            </w:r>
          </w:p>
        </w:tc>
        <w:tc>
          <w:tcPr>
            <w:tcW w:w="1220" w:type="dxa"/>
          </w:tcPr>
          <w:p w:rsidR="00367C3B" w:rsidRPr="00BF0547" w:rsidRDefault="00367C3B" w:rsidP="00A20419">
            <w:pPr>
              <w:pStyle w:val="naisf"/>
              <w:spacing w:before="0" w:after="0"/>
              <w:ind w:firstLine="0"/>
              <w:jc w:val="center"/>
              <w:rPr>
                <w:i/>
                <w:sz w:val="28"/>
                <w:szCs w:val="28"/>
              </w:rPr>
            </w:pPr>
            <w:r w:rsidRPr="00BF0547">
              <w:rPr>
                <w:sz w:val="28"/>
                <w:szCs w:val="28"/>
              </w:rPr>
              <w:t>X</w:t>
            </w:r>
          </w:p>
        </w:tc>
        <w:tc>
          <w:tcPr>
            <w:tcW w:w="1509" w:type="dxa"/>
          </w:tcPr>
          <w:p w:rsidR="00367C3B" w:rsidRPr="00BF0547" w:rsidRDefault="00CA480E" w:rsidP="00027639">
            <w:pPr>
              <w:pStyle w:val="naisf"/>
              <w:spacing w:before="0" w:after="0"/>
              <w:ind w:firstLine="0"/>
              <w:jc w:val="center"/>
              <w:rPr>
                <w:sz w:val="28"/>
                <w:szCs w:val="28"/>
              </w:rPr>
            </w:pPr>
            <w:r>
              <w:rPr>
                <w:sz w:val="28"/>
                <w:szCs w:val="28"/>
              </w:rPr>
              <w:t>373 284</w:t>
            </w:r>
          </w:p>
        </w:tc>
        <w:tc>
          <w:tcPr>
            <w:tcW w:w="1452"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5. Precizēta finansiālā ietekme:</w:t>
            </w:r>
          </w:p>
        </w:tc>
        <w:tc>
          <w:tcPr>
            <w:tcW w:w="1220" w:type="dxa"/>
            <w:vMerge w:val="restart"/>
          </w:tcPr>
          <w:p w:rsidR="00367C3B" w:rsidRPr="00BF0547" w:rsidRDefault="00367C3B" w:rsidP="00A20419">
            <w:pPr>
              <w:pStyle w:val="naisf"/>
              <w:spacing w:before="0" w:after="0"/>
              <w:ind w:firstLine="0"/>
              <w:jc w:val="center"/>
              <w:rPr>
                <w:i/>
                <w:sz w:val="28"/>
                <w:szCs w:val="28"/>
              </w:rPr>
            </w:pPr>
            <w:r w:rsidRPr="00BF0547">
              <w:rPr>
                <w:sz w:val="28"/>
                <w:szCs w:val="28"/>
              </w:rPr>
              <w:t>X</w:t>
            </w:r>
          </w:p>
        </w:tc>
        <w:tc>
          <w:tcPr>
            <w:tcW w:w="1509"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5.1. valsts pamatbudžets</w:t>
            </w:r>
          </w:p>
        </w:tc>
        <w:tc>
          <w:tcPr>
            <w:tcW w:w="1220" w:type="dxa"/>
            <w:vMerge/>
            <w:vAlign w:val="center"/>
          </w:tcPr>
          <w:p w:rsidR="00367C3B" w:rsidRPr="00BF0547" w:rsidRDefault="00367C3B" w:rsidP="00A20419">
            <w:pPr>
              <w:pStyle w:val="naisf"/>
              <w:spacing w:before="0" w:after="0"/>
              <w:ind w:firstLine="0"/>
              <w:jc w:val="center"/>
              <w:rPr>
                <w:i/>
                <w:sz w:val="28"/>
                <w:szCs w:val="28"/>
              </w:rPr>
            </w:pPr>
          </w:p>
        </w:tc>
        <w:tc>
          <w:tcPr>
            <w:tcW w:w="1509"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Borders>
              <w:bottom w:val="single" w:sz="4" w:space="0" w:color="auto"/>
            </w:tcBorders>
          </w:tcPr>
          <w:p w:rsidR="00367C3B" w:rsidRPr="00BF0547" w:rsidRDefault="00367C3B" w:rsidP="004A05EF">
            <w:pPr>
              <w:rPr>
                <w:sz w:val="28"/>
                <w:szCs w:val="28"/>
              </w:rPr>
            </w:pPr>
            <w:r w:rsidRPr="00BF0547">
              <w:rPr>
                <w:sz w:val="28"/>
                <w:szCs w:val="28"/>
              </w:rPr>
              <w:t>5.2. speciālais budžets</w:t>
            </w:r>
          </w:p>
        </w:tc>
        <w:tc>
          <w:tcPr>
            <w:tcW w:w="1220" w:type="dxa"/>
            <w:vMerge/>
            <w:tcBorders>
              <w:bottom w:val="single" w:sz="4" w:space="0" w:color="auto"/>
            </w:tcBorders>
            <w:vAlign w:val="center"/>
          </w:tcPr>
          <w:p w:rsidR="00367C3B" w:rsidRPr="00BF0547" w:rsidRDefault="00367C3B" w:rsidP="00A20419">
            <w:pPr>
              <w:pStyle w:val="naisf"/>
              <w:spacing w:before="0" w:after="0"/>
              <w:ind w:firstLine="0"/>
              <w:jc w:val="center"/>
              <w:rPr>
                <w:i/>
                <w:sz w:val="28"/>
                <w:szCs w:val="28"/>
              </w:rPr>
            </w:pPr>
          </w:p>
        </w:tc>
        <w:tc>
          <w:tcPr>
            <w:tcW w:w="1509"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 xml:space="preserve">5.3. pašvaldību budžets </w:t>
            </w:r>
          </w:p>
        </w:tc>
        <w:tc>
          <w:tcPr>
            <w:tcW w:w="1220" w:type="dxa"/>
            <w:vMerge/>
            <w:tcBorders>
              <w:top w:val="single" w:sz="4" w:space="0" w:color="auto"/>
              <w:left w:val="single" w:sz="4" w:space="0" w:color="auto"/>
              <w:bottom w:val="single" w:sz="4" w:space="0" w:color="auto"/>
              <w:right w:val="single" w:sz="4" w:space="0" w:color="auto"/>
            </w:tcBorders>
            <w:vAlign w:val="center"/>
          </w:tcPr>
          <w:p w:rsidR="00367C3B" w:rsidRPr="00BF0547" w:rsidRDefault="00367C3B" w:rsidP="00A20419">
            <w:pPr>
              <w:pStyle w:val="naisf"/>
              <w:spacing w:before="0" w:after="0"/>
              <w:ind w:firstLine="0"/>
              <w:jc w:val="center"/>
              <w:rPr>
                <w:i/>
                <w:sz w:val="28"/>
                <w:szCs w:val="28"/>
              </w:rPr>
            </w:pPr>
          </w:p>
        </w:tc>
        <w:tc>
          <w:tcPr>
            <w:tcW w:w="1509"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trHeight w:val="3270"/>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6. Detalizēts ieņēmumu un izdevu</w:t>
            </w:r>
            <w:r w:rsidRPr="00BF0547">
              <w:rPr>
                <w:sz w:val="28"/>
                <w:szCs w:val="28"/>
              </w:rPr>
              <w:softHyphen/>
              <w:t>mu aprēķins (ja nepieciešams, detalizētu ieņēmumu un izdevumu aprēķinu var pievienot anotācijas pielikumā):</w:t>
            </w:r>
          </w:p>
        </w:tc>
        <w:tc>
          <w:tcPr>
            <w:tcW w:w="7060" w:type="dxa"/>
            <w:gridSpan w:val="5"/>
            <w:vMerge w:val="restart"/>
            <w:tcBorders>
              <w:top w:val="single" w:sz="4" w:space="0" w:color="auto"/>
              <w:left w:val="single" w:sz="4" w:space="0" w:color="auto"/>
              <w:bottom w:val="single" w:sz="4" w:space="0" w:color="auto"/>
              <w:right w:val="single" w:sz="4" w:space="0" w:color="auto"/>
            </w:tcBorders>
          </w:tcPr>
          <w:p w:rsidR="00AE7864" w:rsidRPr="00BF0547" w:rsidRDefault="00672CC6" w:rsidP="00AE7864">
            <w:pPr>
              <w:jc w:val="both"/>
              <w:rPr>
                <w:sz w:val="28"/>
                <w:szCs w:val="28"/>
              </w:rPr>
            </w:pPr>
            <w:r w:rsidRPr="00BF0547">
              <w:rPr>
                <w:sz w:val="28"/>
                <w:szCs w:val="28"/>
              </w:rPr>
              <w:t>Ministru kabineta rīkojuma proje</w:t>
            </w:r>
            <w:r w:rsidR="00AE7864" w:rsidRPr="00BF0547">
              <w:rPr>
                <w:sz w:val="28"/>
                <w:szCs w:val="28"/>
              </w:rPr>
              <w:t xml:space="preserve">kts paredz piešķirt no valsts budžeta programmas </w:t>
            </w:r>
            <w:smartTag w:uri="schemas-tilde-lv/tildestengine" w:element="date">
              <w:smartTagPr>
                <w:attr w:name="Year" w:val="2001"/>
                <w:attr w:name="Month" w:val="11"/>
                <w:attr w:name="Day" w:val="30"/>
              </w:smartTagPr>
              <w:r w:rsidR="00AE7864" w:rsidRPr="00BF0547">
                <w:rPr>
                  <w:sz w:val="28"/>
                  <w:szCs w:val="28"/>
                </w:rPr>
                <w:t>02.00.00</w:t>
              </w:r>
            </w:smartTag>
            <w:r w:rsidR="00AE7864" w:rsidRPr="00BF0547">
              <w:rPr>
                <w:sz w:val="28"/>
                <w:szCs w:val="28"/>
              </w:rPr>
              <w:t xml:space="preserve"> „Līdzekļi neparedzētiem gadījumiem” Veselības ministrijai </w:t>
            </w:r>
            <w:r w:rsidR="00CA480E">
              <w:rPr>
                <w:sz w:val="28"/>
                <w:szCs w:val="28"/>
              </w:rPr>
              <w:t>373 284</w:t>
            </w:r>
            <w:r w:rsidR="00AE7864" w:rsidRPr="00BF0547">
              <w:rPr>
                <w:sz w:val="28"/>
                <w:szCs w:val="28"/>
              </w:rPr>
              <w:t xml:space="preserve"> </w:t>
            </w:r>
            <w:proofErr w:type="spellStart"/>
            <w:r w:rsidR="00AE7864" w:rsidRPr="00BF0547">
              <w:rPr>
                <w:i/>
                <w:sz w:val="28"/>
                <w:szCs w:val="28"/>
              </w:rPr>
              <w:t>euro</w:t>
            </w:r>
            <w:proofErr w:type="spellEnd"/>
            <w:r w:rsidR="00AE7864" w:rsidRPr="00BF0547">
              <w:rPr>
                <w:i/>
                <w:sz w:val="28"/>
                <w:szCs w:val="28"/>
              </w:rPr>
              <w:t xml:space="preserve"> </w:t>
            </w:r>
            <w:r w:rsidR="00AE7864" w:rsidRPr="00BF0547">
              <w:rPr>
                <w:sz w:val="28"/>
                <w:szCs w:val="28"/>
              </w:rPr>
              <w:t xml:space="preserve">(Nacionālajam veselības dienestam </w:t>
            </w:r>
            <w:r w:rsidR="00CA480E">
              <w:rPr>
                <w:sz w:val="28"/>
                <w:szCs w:val="28"/>
              </w:rPr>
              <w:t>310 378</w:t>
            </w:r>
            <w:r w:rsidR="00AE7864" w:rsidRPr="00BF0547">
              <w:rPr>
                <w:sz w:val="28"/>
                <w:szCs w:val="28"/>
              </w:rPr>
              <w:t xml:space="preserve"> </w:t>
            </w:r>
            <w:proofErr w:type="spellStart"/>
            <w:r w:rsidR="00AE7864" w:rsidRPr="00BF0547">
              <w:rPr>
                <w:i/>
                <w:sz w:val="28"/>
                <w:szCs w:val="28"/>
              </w:rPr>
              <w:t>euro</w:t>
            </w:r>
            <w:proofErr w:type="spellEnd"/>
            <w:r w:rsidR="00AE7864" w:rsidRPr="00BF0547">
              <w:rPr>
                <w:sz w:val="28"/>
                <w:szCs w:val="28"/>
              </w:rPr>
              <w:t xml:space="preserve">, Valsts tiesu </w:t>
            </w:r>
            <w:r w:rsidR="008977B0" w:rsidRPr="004D2D4B">
              <w:rPr>
                <w:sz w:val="28"/>
                <w:szCs w:val="28"/>
              </w:rPr>
              <w:t>medicīn</w:t>
            </w:r>
            <w:r w:rsidR="008977B0">
              <w:rPr>
                <w:sz w:val="28"/>
                <w:szCs w:val="28"/>
              </w:rPr>
              <w:t>as</w:t>
            </w:r>
            <w:r w:rsidR="008977B0" w:rsidRPr="00BF0547">
              <w:rPr>
                <w:sz w:val="28"/>
                <w:szCs w:val="28"/>
              </w:rPr>
              <w:t xml:space="preserve"> </w:t>
            </w:r>
            <w:r w:rsidR="00AE7864" w:rsidRPr="00BF0547">
              <w:rPr>
                <w:sz w:val="28"/>
                <w:szCs w:val="28"/>
              </w:rPr>
              <w:t xml:space="preserve">ekspertīzes centram 992 </w:t>
            </w:r>
            <w:proofErr w:type="spellStart"/>
            <w:r w:rsidR="00AE7864" w:rsidRPr="00BF0547">
              <w:rPr>
                <w:i/>
                <w:sz w:val="28"/>
                <w:szCs w:val="28"/>
              </w:rPr>
              <w:t>euro</w:t>
            </w:r>
            <w:proofErr w:type="spellEnd"/>
            <w:r w:rsidR="00AE7864" w:rsidRPr="00BF0547">
              <w:rPr>
                <w:sz w:val="28"/>
                <w:szCs w:val="28"/>
              </w:rPr>
              <w:t xml:space="preserve">, Valsts asinsdonoru centram </w:t>
            </w:r>
            <w:r w:rsidR="001B7407">
              <w:rPr>
                <w:sz w:val="28"/>
                <w:szCs w:val="28"/>
              </w:rPr>
              <w:t>17 632</w:t>
            </w:r>
            <w:r w:rsidR="00AE7864" w:rsidRPr="00BF0547">
              <w:rPr>
                <w:sz w:val="28"/>
                <w:szCs w:val="28"/>
              </w:rPr>
              <w:t xml:space="preserve"> </w:t>
            </w:r>
            <w:proofErr w:type="spellStart"/>
            <w:r w:rsidR="00AE7864" w:rsidRPr="00BF0547">
              <w:rPr>
                <w:i/>
                <w:sz w:val="28"/>
                <w:szCs w:val="28"/>
              </w:rPr>
              <w:t>euro</w:t>
            </w:r>
            <w:proofErr w:type="spellEnd"/>
            <w:r w:rsidR="00AE7864" w:rsidRPr="00BF0547">
              <w:rPr>
                <w:i/>
                <w:sz w:val="28"/>
                <w:szCs w:val="28"/>
              </w:rPr>
              <w:t xml:space="preserve"> </w:t>
            </w:r>
            <w:r w:rsidR="00AE7864" w:rsidRPr="00BF0547">
              <w:rPr>
                <w:sz w:val="28"/>
                <w:szCs w:val="28"/>
              </w:rPr>
              <w:t xml:space="preserve">un Neatliekamās medicīniskās palīdzības  dienestam 44 282 </w:t>
            </w:r>
            <w:proofErr w:type="spellStart"/>
            <w:r w:rsidR="00AE7864" w:rsidRPr="00BF0547">
              <w:rPr>
                <w:i/>
                <w:sz w:val="28"/>
                <w:szCs w:val="28"/>
              </w:rPr>
              <w:t>euro</w:t>
            </w:r>
            <w:proofErr w:type="spellEnd"/>
            <w:r w:rsidR="00AE7864" w:rsidRPr="00BF0547">
              <w:rPr>
                <w:sz w:val="28"/>
                <w:szCs w:val="28"/>
              </w:rPr>
              <w:t>), lai pēc traģēdijas Rīgā, Priedaines ielā 20, nodrošinātu:</w:t>
            </w:r>
          </w:p>
          <w:p w:rsidR="00AE7864" w:rsidRPr="00BF0547" w:rsidRDefault="00AE7864" w:rsidP="00AE7864">
            <w:pPr>
              <w:pStyle w:val="ListParagraph"/>
              <w:numPr>
                <w:ilvl w:val="0"/>
                <w:numId w:val="16"/>
              </w:numPr>
              <w:tabs>
                <w:tab w:val="left" w:pos="284"/>
                <w:tab w:val="left" w:pos="365"/>
              </w:tabs>
              <w:ind w:left="81" w:firstLine="0"/>
              <w:jc w:val="both"/>
              <w:rPr>
                <w:sz w:val="28"/>
                <w:szCs w:val="28"/>
              </w:rPr>
            </w:pPr>
            <w:r w:rsidRPr="00BF0547">
              <w:rPr>
                <w:sz w:val="28"/>
                <w:szCs w:val="28"/>
              </w:rPr>
              <w:t>Ārstniecības iestā</w:t>
            </w:r>
            <w:r w:rsidR="00641F82">
              <w:rPr>
                <w:sz w:val="28"/>
                <w:szCs w:val="28"/>
              </w:rPr>
              <w:t>dēm</w:t>
            </w:r>
            <w:r w:rsidRPr="00BF0547">
              <w:rPr>
                <w:sz w:val="28"/>
                <w:szCs w:val="28"/>
              </w:rPr>
              <w:t xml:space="preserve"> radušos izdevumu kompensāciju </w:t>
            </w:r>
            <w:r w:rsidR="00BC4AE1" w:rsidRPr="004D2D4B">
              <w:rPr>
                <w:sz w:val="28"/>
                <w:szCs w:val="28"/>
              </w:rPr>
              <w:t>46</w:t>
            </w:r>
            <w:r w:rsidR="00BC4AE1">
              <w:rPr>
                <w:sz w:val="28"/>
                <w:szCs w:val="28"/>
              </w:rPr>
              <w:t> </w:t>
            </w:r>
            <w:r w:rsidR="00BC4AE1" w:rsidRPr="004D2D4B">
              <w:rPr>
                <w:sz w:val="28"/>
                <w:szCs w:val="28"/>
              </w:rPr>
              <w:t xml:space="preserve">160 </w:t>
            </w:r>
            <w:proofErr w:type="spellStart"/>
            <w:r w:rsidRPr="00BF0547">
              <w:rPr>
                <w:i/>
                <w:sz w:val="28"/>
                <w:szCs w:val="28"/>
              </w:rPr>
              <w:t>euro</w:t>
            </w:r>
            <w:proofErr w:type="spellEnd"/>
            <w:r w:rsidRPr="00BF0547">
              <w:rPr>
                <w:i/>
                <w:sz w:val="28"/>
                <w:szCs w:val="28"/>
              </w:rPr>
              <w:t xml:space="preserve"> </w:t>
            </w:r>
            <w:r w:rsidRPr="00BF0547">
              <w:rPr>
                <w:sz w:val="28"/>
                <w:szCs w:val="28"/>
              </w:rPr>
              <w:t xml:space="preserve">apmērā (Nacionālajam veselības dienestam); </w:t>
            </w:r>
          </w:p>
          <w:p w:rsidR="00AE7864" w:rsidRPr="00BF0547" w:rsidRDefault="00AE7864" w:rsidP="00AE7864">
            <w:pPr>
              <w:pStyle w:val="ListParagraph"/>
              <w:numPr>
                <w:ilvl w:val="0"/>
                <w:numId w:val="16"/>
              </w:numPr>
              <w:tabs>
                <w:tab w:val="left" w:pos="284"/>
                <w:tab w:val="left" w:pos="365"/>
              </w:tabs>
              <w:ind w:left="81" w:firstLine="0"/>
              <w:jc w:val="both"/>
              <w:rPr>
                <w:sz w:val="28"/>
                <w:szCs w:val="28"/>
              </w:rPr>
            </w:pPr>
            <w:r w:rsidRPr="00BF0547">
              <w:rPr>
                <w:sz w:val="28"/>
                <w:szCs w:val="28"/>
              </w:rPr>
              <w:t>Veselības ministrijas padotības iestā</w:t>
            </w:r>
            <w:r w:rsidR="00641F82">
              <w:rPr>
                <w:sz w:val="28"/>
                <w:szCs w:val="28"/>
              </w:rPr>
              <w:t>dēm</w:t>
            </w:r>
            <w:r w:rsidRPr="00BF0547">
              <w:rPr>
                <w:sz w:val="28"/>
                <w:szCs w:val="28"/>
              </w:rPr>
              <w:t xml:space="preserve"> radušos izdevumu kompensāciju </w:t>
            </w:r>
            <w:r w:rsidR="001B7407">
              <w:rPr>
                <w:sz w:val="28"/>
                <w:szCs w:val="28"/>
              </w:rPr>
              <w:t>25 866</w:t>
            </w:r>
            <w:r w:rsidRPr="00BF0547">
              <w:rPr>
                <w:sz w:val="28"/>
                <w:szCs w:val="28"/>
              </w:rPr>
              <w:t xml:space="preserve"> </w:t>
            </w:r>
            <w:proofErr w:type="spellStart"/>
            <w:r w:rsidRPr="00BF0547">
              <w:rPr>
                <w:i/>
                <w:sz w:val="28"/>
                <w:szCs w:val="28"/>
              </w:rPr>
              <w:t>euro</w:t>
            </w:r>
            <w:proofErr w:type="spellEnd"/>
            <w:r w:rsidRPr="00BF0547">
              <w:rPr>
                <w:i/>
                <w:sz w:val="28"/>
                <w:szCs w:val="28"/>
              </w:rPr>
              <w:t xml:space="preserve"> </w:t>
            </w:r>
            <w:r w:rsidRPr="00BF0547">
              <w:rPr>
                <w:sz w:val="28"/>
                <w:szCs w:val="28"/>
              </w:rPr>
              <w:t xml:space="preserve">apmērā (Valsts tiesu </w:t>
            </w:r>
            <w:r w:rsidR="008977B0" w:rsidRPr="004D2D4B">
              <w:rPr>
                <w:sz w:val="28"/>
                <w:szCs w:val="28"/>
              </w:rPr>
              <w:t>medicīn</w:t>
            </w:r>
            <w:r w:rsidR="008977B0">
              <w:rPr>
                <w:sz w:val="28"/>
                <w:szCs w:val="28"/>
              </w:rPr>
              <w:t>as</w:t>
            </w:r>
            <w:r w:rsidR="008977B0" w:rsidRPr="00BF0547">
              <w:rPr>
                <w:sz w:val="28"/>
                <w:szCs w:val="28"/>
              </w:rPr>
              <w:t xml:space="preserve"> </w:t>
            </w:r>
            <w:r w:rsidRPr="00BF0547">
              <w:rPr>
                <w:sz w:val="28"/>
                <w:szCs w:val="28"/>
              </w:rPr>
              <w:t xml:space="preserve">ekspertīzes centram – 992 </w:t>
            </w:r>
            <w:proofErr w:type="spellStart"/>
            <w:r w:rsidRPr="00BF0547">
              <w:rPr>
                <w:i/>
                <w:sz w:val="28"/>
                <w:szCs w:val="28"/>
              </w:rPr>
              <w:t>euro</w:t>
            </w:r>
            <w:proofErr w:type="spellEnd"/>
            <w:r w:rsidRPr="00BF0547">
              <w:rPr>
                <w:sz w:val="28"/>
                <w:szCs w:val="28"/>
              </w:rPr>
              <w:t xml:space="preserve">, Valsts asinsdonoru centram – </w:t>
            </w:r>
            <w:r w:rsidR="001B7407">
              <w:rPr>
                <w:sz w:val="28"/>
                <w:szCs w:val="28"/>
              </w:rPr>
              <w:t>17 632</w:t>
            </w:r>
            <w:r w:rsidRPr="00BF0547">
              <w:rPr>
                <w:sz w:val="28"/>
                <w:szCs w:val="28"/>
              </w:rPr>
              <w:t xml:space="preserve"> </w:t>
            </w:r>
            <w:proofErr w:type="spellStart"/>
            <w:r w:rsidRPr="00BF0547">
              <w:rPr>
                <w:i/>
                <w:sz w:val="28"/>
                <w:szCs w:val="28"/>
              </w:rPr>
              <w:t>euro</w:t>
            </w:r>
            <w:proofErr w:type="spellEnd"/>
            <w:r w:rsidRPr="00BF0547">
              <w:rPr>
                <w:sz w:val="28"/>
                <w:szCs w:val="28"/>
              </w:rPr>
              <w:t xml:space="preserve"> un Neatliekamās medicīniskās palīdzības  dienestam – 7 242 </w:t>
            </w:r>
            <w:proofErr w:type="spellStart"/>
            <w:r w:rsidRPr="00BF0547">
              <w:rPr>
                <w:i/>
                <w:sz w:val="28"/>
                <w:szCs w:val="28"/>
              </w:rPr>
              <w:t>euro</w:t>
            </w:r>
            <w:proofErr w:type="spellEnd"/>
            <w:r w:rsidRPr="00BF0547">
              <w:rPr>
                <w:sz w:val="28"/>
                <w:szCs w:val="28"/>
              </w:rPr>
              <w:t>);</w:t>
            </w:r>
          </w:p>
          <w:p w:rsidR="00AE7864" w:rsidRPr="00BF0547" w:rsidRDefault="00131CF5" w:rsidP="00AE7864">
            <w:pPr>
              <w:pStyle w:val="ListParagraph"/>
              <w:numPr>
                <w:ilvl w:val="0"/>
                <w:numId w:val="16"/>
              </w:numPr>
              <w:tabs>
                <w:tab w:val="left" w:pos="284"/>
                <w:tab w:val="left" w:pos="365"/>
              </w:tabs>
              <w:ind w:left="81" w:firstLine="0"/>
              <w:jc w:val="both"/>
              <w:rPr>
                <w:sz w:val="28"/>
                <w:szCs w:val="28"/>
              </w:rPr>
            </w:pPr>
            <w:r>
              <w:rPr>
                <w:sz w:val="28"/>
                <w:szCs w:val="28"/>
              </w:rPr>
              <w:t>V</w:t>
            </w:r>
            <w:r w:rsidR="00AE7864" w:rsidRPr="00BF0547">
              <w:rPr>
                <w:sz w:val="28"/>
                <w:szCs w:val="28"/>
              </w:rPr>
              <w:t xml:space="preserve">ienreizēju prēmiju </w:t>
            </w:r>
            <w:r w:rsidR="00641F82">
              <w:rPr>
                <w:sz w:val="28"/>
                <w:szCs w:val="28"/>
              </w:rPr>
              <w:t>VSIA „</w:t>
            </w:r>
            <w:r w:rsidR="00AE7864" w:rsidRPr="00BF0547">
              <w:rPr>
                <w:sz w:val="28"/>
                <w:szCs w:val="28"/>
              </w:rPr>
              <w:t>Paula Stradiņa klīniskā universitātes slimnīca</w:t>
            </w:r>
            <w:r w:rsidR="00641F82">
              <w:rPr>
                <w:sz w:val="28"/>
                <w:szCs w:val="28"/>
              </w:rPr>
              <w:t>”</w:t>
            </w:r>
            <w:r w:rsidR="00AE7864" w:rsidRPr="00BF0547">
              <w:rPr>
                <w:sz w:val="28"/>
                <w:szCs w:val="28"/>
              </w:rPr>
              <w:t xml:space="preserve">, </w:t>
            </w:r>
            <w:r w:rsidR="00641F82">
              <w:rPr>
                <w:sz w:val="28"/>
                <w:szCs w:val="28"/>
              </w:rPr>
              <w:t>SIA „</w:t>
            </w:r>
            <w:r w:rsidR="00AE7864" w:rsidRPr="00BF0547">
              <w:rPr>
                <w:sz w:val="28"/>
                <w:szCs w:val="28"/>
              </w:rPr>
              <w:t>Rīgas Austrumu klīniskā universitātes slimnīca</w:t>
            </w:r>
            <w:r w:rsidR="00641F82">
              <w:rPr>
                <w:sz w:val="28"/>
                <w:szCs w:val="28"/>
              </w:rPr>
              <w:t>”</w:t>
            </w:r>
            <w:r w:rsidR="00AE7864" w:rsidRPr="00BF0547">
              <w:rPr>
                <w:sz w:val="28"/>
                <w:szCs w:val="28"/>
              </w:rPr>
              <w:t xml:space="preserve"> un </w:t>
            </w:r>
            <w:r w:rsidR="00641F82">
              <w:rPr>
                <w:sz w:val="28"/>
                <w:szCs w:val="28"/>
              </w:rPr>
              <w:t>Rīgas pašvaldības SIA „</w:t>
            </w:r>
            <w:r w:rsidR="00AE7864" w:rsidRPr="00BF0547">
              <w:rPr>
                <w:sz w:val="28"/>
                <w:szCs w:val="28"/>
              </w:rPr>
              <w:t xml:space="preserve">Rīgas </w:t>
            </w:r>
            <w:r w:rsidR="00AE7864" w:rsidRPr="00BF0547">
              <w:rPr>
                <w:sz w:val="28"/>
                <w:szCs w:val="28"/>
              </w:rPr>
              <w:lastRenderedPageBreak/>
              <w:t>2.slimnīca</w:t>
            </w:r>
            <w:r w:rsidR="00641F82">
              <w:rPr>
                <w:sz w:val="28"/>
                <w:szCs w:val="28"/>
              </w:rPr>
              <w:t>”</w:t>
            </w:r>
            <w:r w:rsidR="00AE7864" w:rsidRPr="00BF0547">
              <w:rPr>
                <w:sz w:val="28"/>
                <w:szCs w:val="28"/>
              </w:rPr>
              <w:t xml:space="preserve"> personālam (ārsti un funkcionālie speciālisti,  ārstniecības un pacientu aprūpes person</w:t>
            </w:r>
            <w:r w:rsidR="00641F82">
              <w:rPr>
                <w:sz w:val="28"/>
                <w:szCs w:val="28"/>
              </w:rPr>
              <w:t>as</w:t>
            </w:r>
            <w:r w:rsidR="00AE7864" w:rsidRPr="00BF0547">
              <w:rPr>
                <w:sz w:val="28"/>
                <w:szCs w:val="28"/>
              </w:rPr>
              <w:t xml:space="preserve"> un funkcionālo speciālistu asistenti, kā arī  ārstniecības un pacientu aprūpes atbalsta personas), kurš tika iesaistīts cietušo ārstēšanā un aprūpē, 999 </w:t>
            </w:r>
            <w:proofErr w:type="spellStart"/>
            <w:r w:rsidR="00AE7864" w:rsidRPr="00BF0547">
              <w:rPr>
                <w:i/>
                <w:sz w:val="28"/>
                <w:szCs w:val="28"/>
              </w:rPr>
              <w:t>euro</w:t>
            </w:r>
            <w:proofErr w:type="spellEnd"/>
            <w:r w:rsidR="00AE7864" w:rsidRPr="00BF0547">
              <w:rPr>
                <w:sz w:val="28"/>
                <w:szCs w:val="28"/>
              </w:rPr>
              <w:t xml:space="preserve"> apmērā (Nacionālajam veselības dienestam </w:t>
            </w:r>
            <w:r w:rsidR="008F61AB">
              <w:rPr>
                <w:sz w:val="28"/>
                <w:szCs w:val="28"/>
              </w:rPr>
              <w:t>264 218</w:t>
            </w:r>
            <w:r w:rsidR="00AE7864" w:rsidRPr="00BF0547">
              <w:rPr>
                <w:sz w:val="28"/>
                <w:szCs w:val="28"/>
              </w:rPr>
              <w:t xml:space="preserve"> </w:t>
            </w:r>
            <w:proofErr w:type="spellStart"/>
            <w:r w:rsidR="00AE7864" w:rsidRPr="00BF0547">
              <w:rPr>
                <w:i/>
                <w:sz w:val="28"/>
                <w:szCs w:val="28"/>
              </w:rPr>
              <w:t>euro</w:t>
            </w:r>
            <w:proofErr w:type="spellEnd"/>
            <w:r w:rsidR="00AE7864" w:rsidRPr="00BF0547">
              <w:rPr>
                <w:sz w:val="28"/>
                <w:szCs w:val="28"/>
              </w:rPr>
              <w:t>);</w:t>
            </w:r>
          </w:p>
          <w:p w:rsidR="00AE7864" w:rsidRPr="00BF0547" w:rsidRDefault="00131CF5" w:rsidP="00AE7864">
            <w:pPr>
              <w:pStyle w:val="ListParagraph"/>
              <w:numPr>
                <w:ilvl w:val="0"/>
                <w:numId w:val="16"/>
              </w:numPr>
              <w:tabs>
                <w:tab w:val="left" w:pos="284"/>
                <w:tab w:val="left" w:pos="365"/>
              </w:tabs>
              <w:ind w:left="81" w:firstLine="0"/>
              <w:jc w:val="both"/>
              <w:rPr>
                <w:sz w:val="28"/>
                <w:szCs w:val="28"/>
              </w:rPr>
            </w:pPr>
            <w:r>
              <w:rPr>
                <w:sz w:val="28"/>
                <w:szCs w:val="28"/>
              </w:rPr>
              <w:t>V</w:t>
            </w:r>
            <w:r w:rsidR="00AE7864" w:rsidRPr="00BF0547">
              <w:rPr>
                <w:sz w:val="28"/>
                <w:szCs w:val="28"/>
              </w:rPr>
              <w:t xml:space="preserve">ienreizēju prēmiju SIA „Rīgas sanitārā transporta autobāze” operatīvā medicīniskā transporta vadītājiem, kuri piedalījās palīdzības sniegšanā cietušajiem, 999 </w:t>
            </w:r>
            <w:proofErr w:type="spellStart"/>
            <w:r w:rsidR="00AE7864" w:rsidRPr="00BF0547">
              <w:rPr>
                <w:i/>
                <w:sz w:val="28"/>
                <w:szCs w:val="28"/>
              </w:rPr>
              <w:t>euro</w:t>
            </w:r>
            <w:proofErr w:type="spellEnd"/>
            <w:r w:rsidR="00AE7864" w:rsidRPr="00BF0547">
              <w:rPr>
                <w:sz w:val="28"/>
                <w:szCs w:val="28"/>
              </w:rPr>
              <w:t xml:space="preserve"> apmērā (Neatliekamās medicīniskās palīdzības  dienestam 37 040 </w:t>
            </w:r>
            <w:proofErr w:type="spellStart"/>
            <w:r w:rsidR="00AE7864" w:rsidRPr="00BF0547">
              <w:rPr>
                <w:i/>
                <w:sz w:val="28"/>
                <w:szCs w:val="28"/>
              </w:rPr>
              <w:t>euro</w:t>
            </w:r>
            <w:proofErr w:type="spellEnd"/>
            <w:r w:rsidR="00AE7864" w:rsidRPr="00BF0547">
              <w:rPr>
                <w:sz w:val="28"/>
                <w:szCs w:val="28"/>
              </w:rPr>
              <w:t>)</w:t>
            </w:r>
          </w:p>
          <w:p w:rsidR="00AE7864" w:rsidRPr="00BF0547" w:rsidRDefault="00AE7864" w:rsidP="00672CC6">
            <w:pPr>
              <w:jc w:val="both"/>
              <w:rPr>
                <w:sz w:val="28"/>
                <w:szCs w:val="28"/>
              </w:rPr>
            </w:pPr>
            <w:r w:rsidRPr="00BF0547">
              <w:rPr>
                <w:sz w:val="28"/>
                <w:szCs w:val="28"/>
              </w:rPr>
              <w:t>(vienlaikus palielinot resursus izdevumu segšanai - dotāciju no vispārējiem ieņēmumiem).</w:t>
            </w:r>
          </w:p>
          <w:p w:rsidR="00AE7864" w:rsidRPr="00BF0547" w:rsidRDefault="00AE7864" w:rsidP="00D0609D">
            <w:pPr>
              <w:pStyle w:val="tv213"/>
              <w:spacing w:before="0" w:beforeAutospacing="0" w:after="0" w:afterAutospacing="0"/>
              <w:jc w:val="both"/>
              <w:rPr>
                <w:sz w:val="28"/>
                <w:szCs w:val="28"/>
              </w:rPr>
            </w:pPr>
          </w:p>
          <w:p w:rsidR="00AE7864" w:rsidRPr="00BF0547" w:rsidRDefault="00AE7864" w:rsidP="00AE7864">
            <w:pPr>
              <w:pStyle w:val="tv213"/>
              <w:spacing w:before="0" w:beforeAutospacing="0" w:after="0" w:afterAutospacing="0"/>
              <w:jc w:val="both"/>
              <w:rPr>
                <w:sz w:val="28"/>
                <w:szCs w:val="28"/>
              </w:rPr>
            </w:pPr>
            <w:r w:rsidRPr="00BF0547">
              <w:rPr>
                <w:sz w:val="28"/>
                <w:szCs w:val="28"/>
                <w:u w:val="single"/>
              </w:rPr>
              <w:t xml:space="preserve">NVD </w:t>
            </w:r>
            <w:r w:rsidR="00CA480E">
              <w:rPr>
                <w:sz w:val="28"/>
                <w:szCs w:val="28"/>
                <w:u w:val="single"/>
              </w:rPr>
              <w:t>310 378</w:t>
            </w:r>
            <w:r w:rsidR="008F61AB">
              <w:rPr>
                <w:sz w:val="28"/>
                <w:szCs w:val="28"/>
                <w:u w:val="single"/>
              </w:rPr>
              <w:t xml:space="preserve"> </w:t>
            </w:r>
            <w:proofErr w:type="spellStart"/>
            <w:r w:rsidRPr="00BF0547">
              <w:rPr>
                <w:i/>
                <w:sz w:val="28"/>
                <w:szCs w:val="28"/>
                <w:u w:val="single"/>
              </w:rPr>
              <w:t>euro</w:t>
            </w:r>
            <w:proofErr w:type="spellEnd"/>
            <w:r w:rsidRPr="00BF0547">
              <w:rPr>
                <w:i/>
                <w:sz w:val="28"/>
                <w:szCs w:val="28"/>
                <w:u w:val="single"/>
              </w:rPr>
              <w:t xml:space="preserve"> </w:t>
            </w:r>
            <w:r w:rsidRPr="00BF0547">
              <w:rPr>
                <w:sz w:val="28"/>
                <w:szCs w:val="28"/>
                <w:u w:val="single"/>
              </w:rPr>
              <w:t>(EKK 3000 Subsīdijas un dotācijas) t.sk</w:t>
            </w:r>
            <w:r w:rsidRPr="00BF0547">
              <w:rPr>
                <w:sz w:val="28"/>
                <w:szCs w:val="28"/>
              </w:rPr>
              <w:t>.:</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ārstniecības iestā</w:t>
            </w:r>
            <w:r w:rsidR="00641F82">
              <w:rPr>
                <w:sz w:val="28"/>
                <w:szCs w:val="28"/>
              </w:rPr>
              <w:t>dēm</w:t>
            </w:r>
            <w:r w:rsidRPr="00BF0547">
              <w:rPr>
                <w:sz w:val="28"/>
                <w:szCs w:val="28"/>
              </w:rPr>
              <w:t xml:space="preserve"> radušos izdevumu kompensācijai </w:t>
            </w:r>
            <w:r w:rsidR="008556E5" w:rsidRPr="00BF0547">
              <w:rPr>
                <w:sz w:val="28"/>
                <w:szCs w:val="28"/>
              </w:rPr>
              <w:t xml:space="preserve">– </w:t>
            </w:r>
            <w:r w:rsidR="00CA480E">
              <w:rPr>
                <w:sz w:val="28"/>
                <w:szCs w:val="28"/>
              </w:rPr>
              <w:t>46160</w:t>
            </w:r>
            <w:r w:rsidRPr="00BF0547">
              <w:rPr>
                <w:sz w:val="28"/>
                <w:szCs w:val="28"/>
              </w:rPr>
              <w:t xml:space="preserve"> </w:t>
            </w:r>
            <w:proofErr w:type="spellStart"/>
            <w:r w:rsidRPr="00BF0547">
              <w:rPr>
                <w:i/>
                <w:sz w:val="28"/>
                <w:szCs w:val="28"/>
              </w:rPr>
              <w:t>euro</w:t>
            </w:r>
            <w:proofErr w:type="spellEnd"/>
            <w:r w:rsidRPr="00BF0547">
              <w:rPr>
                <w:sz w:val="28"/>
                <w:szCs w:val="28"/>
              </w:rPr>
              <w:t>;</w:t>
            </w:r>
          </w:p>
          <w:p w:rsidR="00AE7864" w:rsidRPr="00BF0547" w:rsidRDefault="00AE7864" w:rsidP="00AE7864">
            <w:pPr>
              <w:pStyle w:val="ListParagraph"/>
              <w:numPr>
                <w:ilvl w:val="0"/>
                <w:numId w:val="14"/>
              </w:numPr>
              <w:tabs>
                <w:tab w:val="left" w:pos="284"/>
                <w:tab w:val="left" w:pos="365"/>
              </w:tabs>
              <w:ind w:left="81" w:firstLine="0"/>
              <w:jc w:val="both"/>
              <w:rPr>
                <w:sz w:val="28"/>
                <w:szCs w:val="28"/>
              </w:rPr>
            </w:pPr>
            <w:r w:rsidRPr="00BF0547">
              <w:rPr>
                <w:sz w:val="28"/>
                <w:szCs w:val="28"/>
              </w:rPr>
              <w:t xml:space="preserve">vienreizēju prēmiju </w:t>
            </w:r>
            <w:r w:rsidR="00641F82">
              <w:rPr>
                <w:sz w:val="28"/>
                <w:szCs w:val="28"/>
              </w:rPr>
              <w:t>VSIA „</w:t>
            </w:r>
            <w:r w:rsidRPr="00BF0547">
              <w:rPr>
                <w:sz w:val="28"/>
                <w:szCs w:val="28"/>
              </w:rPr>
              <w:t>Paula Stradiņa klīniskā universitātes slimnīca</w:t>
            </w:r>
            <w:r w:rsidR="00641F82">
              <w:rPr>
                <w:sz w:val="28"/>
                <w:szCs w:val="28"/>
              </w:rPr>
              <w:t>’</w:t>
            </w:r>
            <w:r w:rsidRPr="00BF0547">
              <w:rPr>
                <w:sz w:val="28"/>
                <w:szCs w:val="28"/>
              </w:rPr>
              <w:t xml:space="preserve">, </w:t>
            </w:r>
            <w:r w:rsidR="00641F82">
              <w:rPr>
                <w:sz w:val="28"/>
                <w:szCs w:val="28"/>
              </w:rPr>
              <w:t>SIA „</w:t>
            </w:r>
            <w:r w:rsidRPr="00BF0547">
              <w:rPr>
                <w:sz w:val="28"/>
                <w:szCs w:val="28"/>
              </w:rPr>
              <w:t>Rīgas Austrumu klīniskā universitātes slimnīca</w:t>
            </w:r>
            <w:r w:rsidR="00641F82">
              <w:rPr>
                <w:sz w:val="28"/>
                <w:szCs w:val="28"/>
              </w:rPr>
              <w:t>”</w:t>
            </w:r>
            <w:r w:rsidRPr="00BF0547">
              <w:rPr>
                <w:sz w:val="28"/>
                <w:szCs w:val="28"/>
              </w:rPr>
              <w:t xml:space="preserve"> un </w:t>
            </w:r>
            <w:r w:rsidR="00641F82">
              <w:rPr>
                <w:sz w:val="28"/>
                <w:szCs w:val="28"/>
              </w:rPr>
              <w:t>Rīgas pašvaldības SIA „</w:t>
            </w:r>
            <w:r w:rsidRPr="00BF0547">
              <w:rPr>
                <w:sz w:val="28"/>
                <w:szCs w:val="28"/>
              </w:rPr>
              <w:t>Rīgas 2.slimnīca</w:t>
            </w:r>
            <w:r w:rsidR="00641F82">
              <w:rPr>
                <w:sz w:val="28"/>
                <w:szCs w:val="28"/>
              </w:rPr>
              <w:t>”</w:t>
            </w:r>
            <w:r w:rsidRPr="00BF0547">
              <w:rPr>
                <w:sz w:val="28"/>
                <w:szCs w:val="28"/>
              </w:rPr>
              <w:t xml:space="preserve"> personālam (ārsti un funkcionālie speciālisti,  ārstniecības un pacientu aprūpes person</w:t>
            </w:r>
            <w:r w:rsidR="00641F82">
              <w:rPr>
                <w:sz w:val="28"/>
                <w:szCs w:val="28"/>
              </w:rPr>
              <w:t>as</w:t>
            </w:r>
            <w:r w:rsidRPr="00BF0547">
              <w:rPr>
                <w:sz w:val="28"/>
                <w:szCs w:val="28"/>
              </w:rPr>
              <w:t xml:space="preserve"> un funkcionālo speciālistu asistenti, kā arī  ārstniecības un pacientu aprūpes atbalsta personas), kurš tika iesaistīts cietušo ārstēšanā un aprūpē, izmaksai (999 </w:t>
            </w:r>
            <w:proofErr w:type="spellStart"/>
            <w:r w:rsidRPr="00BF0547">
              <w:rPr>
                <w:i/>
                <w:sz w:val="28"/>
                <w:szCs w:val="28"/>
              </w:rPr>
              <w:t>euro</w:t>
            </w:r>
            <w:proofErr w:type="spellEnd"/>
            <w:r w:rsidRPr="00BF0547">
              <w:rPr>
                <w:sz w:val="28"/>
                <w:szCs w:val="28"/>
              </w:rPr>
              <w:t xml:space="preserve"> apmērā) </w:t>
            </w:r>
            <w:r w:rsidR="008556E5" w:rsidRPr="00BF0547">
              <w:rPr>
                <w:sz w:val="28"/>
                <w:szCs w:val="28"/>
              </w:rPr>
              <w:t>–</w:t>
            </w:r>
            <w:r w:rsidR="008F61AB">
              <w:rPr>
                <w:sz w:val="28"/>
                <w:szCs w:val="28"/>
              </w:rPr>
              <w:t>264 218</w:t>
            </w:r>
            <w:r w:rsidRPr="00BF0547">
              <w:rPr>
                <w:sz w:val="28"/>
                <w:szCs w:val="28"/>
              </w:rPr>
              <w:t xml:space="preserve"> </w:t>
            </w:r>
            <w:proofErr w:type="spellStart"/>
            <w:r w:rsidRPr="00BF0547">
              <w:rPr>
                <w:i/>
                <w:sz w:val="28"/>
                <w:szCs w:val="28"/>
              </w:rPr>
              <w:t>euro</w:t>
            </w:r>
            <w:proofErr w:type="spellEnd"/>
            <w:r w:rsidRPr="00BF0547">
              <w:rPr>
                <w:sz w:val="28"/>
                <w:szCs w:val="28"/>
              </w:rPr>
              <w:t>.</w:t>
            </w:r>
          </w:p>
          <w:p w:rsidR="00AE7864" w:rsidRPr="00BF0547" w:rsidRDefault="00AE7864" w:rsidP="00D0609D">
            <w:pPr>
              <w:pStyle w:val="tv213"/>
              <w:spacing w:before="0" w:beforeAutospacing="0" w:after="0" w:afterAutospacing="0"/>
              <w:jc w:val="both"/>
              <w:rPr>
                <w:sz w:val="28"/>
                <w:szCs w:val="28"/>
                <w:u w:val="single"/>
              </w:rPr>
            </w:pPr>
          </w:p>
          <w:p w:rsidR="00AE7864" w:rsidRPr="00BF0547" w:rsidRDefault="00AE7864" w:rsidP="00AE7864">
            <w:pPr>
              <w:pStyle w:val="tv213"/>
              <w:spacing w:before="0" w:beforeAutospacing="0" w:after="0" w:afterAutospacing="0"/>
              <w:jc w:val="both"/>
              <w:rPr>
                <w:sz w:val="28"/>
                <w:szCs w:val="28"/>
              </w:rPr>
            </w:pPr>
            <w:r w:rsidRPr="00BF0547">
              <w:rPr>
                <w:sz w:val="28"/>
                <w:szCs w:val="28"/>
                <w:u w:val="single"/>
              </w:rPr>
              <w:t xml:space="preserve">VTMEC 992 </w:t>
            </w:r>
            <w:proofErr w:type="spellStart"/>
            <w:r w:rsidRPr="00BF0547">
              <w:rPr>
                <w:i/>
                <w:sz w:val="28"/>
                <w:szCs w:val="28"/>
                <w:u w:val="single"/>
              </w:rPr>
              <w:t>euro</w:t>
            </w:r>
            <w:proofErr w:type="spellEnd"/>
            <w:r w:rsidRPr="00BF0547">
              <w:rPr>
                <w:i/>
                <w:sz w:val="28"/>
                <w:szCs w:val="28"/>
                <w:u w:val="single"/>
              </w:rPr>
              <w:t xml:space="preserve"> </w:t>
            </w:r>
            <w:r w:rsidRPr="00BF0547">
              <w:rPr>
                <w:sz w:val="28"/>
                <w:szCs w:val="28"/>
                <w:u w:val="single"/>
              </w:rPr>
              <w:t>(EKK 2000 preces un pakalpojumi) radušos izdevumu kompensācijai t.sk.:</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komunālo pakalpojumu (elektrība un ūdens)  izdevumu segšanai – 114,17 </w:t>
            </w:r>
            <w:proofErr w:type="spellStart"/>
            <w:r w:rsidRPr="00BF0547">
              <w:rPr>
                <w:i/>
                <w:sz w:val="28"/>
                <w:szCs w:val="28"/>
              </w:rPr>
              <w:t>euro</w:t>
            </w:r>
            <w:proofErr w:type="spellEnd"/>
            <w:r w:rsidRPr="00BF0547">
              <w:rPr>
                <w:sz w:val="28"/>
                <w:szCs w:val="28"/>
              </w:rPr>
              <w:t>;</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administratīvo izdevumu (dzeramais ūdens bojāgājušo radiniekiem) segšanai – 16,18 </w:t>
            </w:r>
            <w:proofErr w:type="spellStart"/>
            <w:r w:rsidRPr="00BF0547">
              <w:rPr>
                <w:i/>
                <w:sz w:val="28"/>
                <w:szCs w:val="28"/>
              </w:rPr>
              <w:t>euro</w:t>
            </w:r>
            <w:proofErr w:type="spellEnd"/>
            <w:r w:rsidRPr="00BF0547">
              <w:rPr>
                <w:sz w:val="28"/>
                <w:szCs w:val="28"/>
              </w:rPr>
              <w:t>;</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dienesta braucienu tiesu medicīnas ekspertiem un māsas palīgiem izdevumu (degviela) segšanai – 92,87 </w:t>
            </w:r>
            <w:proofErr w:type="spellStart"/>
            <w:r w:rsidRPr="00BF0547">
              <w:rPr>
                <w:i/>
                <w:sz w:val="28"/>
                <w:szCs w:val="28"/>
              </w:rPr>
              <w:t>euro</w:t>
            </w:r>
            <w:proofErr w:type="spellEnd"/>
            <w:r w:rsidRPr="00BF0547">
              <w:rPr>
                <w:sz w:val="28"/>
                <w:szCs w:val="28"/>
              </w:rPr>
              <w:t>;</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tiesu histoloģijas laboratorijas veiktās ekspertīzes izdevumu segšanai – 174,80 </w:t>
            </w:r>
            <w:proofErr w:type="spellStart"/>
            <w:r w:rsidRPr="00BF0547">
              <w:rPr>
                <w:i/>
                <w:sz w:val="28"/>
                <w:szCs w:val="28"/>
              </w:rPr>
              <w:t>euro</w:t>
            </w:r>
            <w:proofErr w:type="spellEnd"/>
            <w:r w:rsidRPr="00BF0547">
              <w:rPr>
                <w:sz w:val="28"/>
                <w:szCs w:val="28"/>
              </w:rPr>
              <w:t>;</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tiesu toksikoloģijas laboratorijas veiktās ekspertīzes izdevumu segšanai – 222,99 </w:t>
            </w:r>
            <w:proofErr w:type="spellStart"/>
            <w:r w:rsidRPr="00BF0547">
              <w:rPr>
                <w:i/>
                <w:sz w:val="28"/>
                <w:szCs w:val="28"/>
              </w:rPr>
              <w:t>euro</w:t>
            </w:r>
            <w:proofErr w:type="spellEnd"/>
            <w:r w:rsidRPr="00BF0547">
              <w:rPr>
                <w:sz w:val="28"/>
                <w:szCs w:val="28"/>
              </w:rPr>
              <w:t>;</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proofErr w:type="spellStart"/>
            <w:r w:rsidRPr="00BF0547">
              <w:rPr>
                <w:sz w:val="28"/>
                <w:szCs w:val="28"/>
              </w:rPr>
              <w:t>tanatoloģijas</w:t>
            </w:r>
            <w:proofErr w:type="spellEnd"/>
            <w:r w:rsidRPr="00BF0547">
              <w:rPr>
                <w:sz w:val="28"/>
                <w:szCs w:val="28"/>
              </w:rPr>
              <w:t xml:space="preserve"> laboratorijas veiktās ekspertīzes izdevumu segšanai – 240,93 </w:t>
            </w:r>
            <w:proofErr w:type="spellStart"/>
            <w:r w:rsidRPr="00BF0547">
              <w:rPr>
                <w:i/>
                <w:sz w:val="28"/>
                <w:szCs w:val="28"/>
              </w:rPr>
              <w:t>euro</w:t>
            </w:r>
            <w:proofErr w:type="spellEnd"/>
            <w:r w:rsidRPr="00BF0547">
              <w:rPr>
                <w:sz w:val="28"/>
                <w:szCs w:val="28"/>
              </w:rPr>
              <w:t>;</w:t>
            </w:r>
          </w:p>
          <w:p w:rsidR="00AE7864" w:rsidRPr="00BF0547" w:rsidRDefault="00AE7864" w:rsidP="00AE7864">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tiesu medicīnas ģenētikas un </w:t>
            </w:r>
            <w:proofErr w:type="spellStart"/>
            <w:r w:rsidRPr="00BF0547">
              <w:rPr>
                <w:sz w:val="28"/>
                <w:szCs w:val="28"/>
              </w:rPr>
              <w:t>seroloģijas</w:t>
            </w:r>
            <w:proofErr w:type="spellEnd"/>
            <w:r w:rsidRPr="00BF0547">
              <w:rPr>
                <w:sz w:val="28"/>
                <w:szCs w:val="28"/>
              </w:rPr>
              <w:t xml:space="preserve"> laboratorijas veiktās ekspertīzes izdevumu segšanai – 129,45 </w:t>
            </w:r>
            <w:proofErr w:type="spellStart"/>
            <w:r w:rsidRPr="00BF0547">
              <w:rPr>
                <w:i/>
                <w:sz w:val="28"/>
                <w:szCs w:val="28"/>
              </w:rPr>
              <w:t>euro</w:t>
            </w:r>
            <w:proofErr w:type="spellEnd"/>
            <w:r w:rsidRPr="00BF0547">
              <w:rPr>
                <w:sz w:val="28"/>
                <w:szCs w:val="28"/>
              </w:rPr>
              <w:t>.</w:t>
            </w:r>
          </w:p>
          <w:p w:rsidR="00AE7864" w:rsidRPr="00BF0547" w:rsidRDefault="00AE7864" w:rsidP="00D0609D">
            <w:pPr>
              <w:pStyle w:val="tv213"/>
              <w:spacing w:before="0" w:beforeAutospacing="0" w:after="0" w:afterAutospacing="0"/>
              <w:jc w:val="both"/>
              <w:rPr>
                <w:sz w:val="28"/>
                <w:szCs w:val="28"/>
                <w:u w:val="single"/>
              </w:rPr>
            </w:pPr>
          </w:p>
          <w:p w:rsidR="00B94930" w:rsidRPr="00BF0547" w:rsidRDefault="00B94930" w:rsidP="00B94930">
            <w:pPr>
              <w:pStyle w:val="tv213"/>
              <w:spacing w:before="0" w:beforeAutospacing="0" w:after="0" w:afterAutospacing="0"/>
              <w:jc w:val="both"/>
              <w:rPr>
                <w:sz w:val="28"/>
                <w:szCs w:val="28"/>
              </w:rPr>
            </w:pPr>
            <w:r w:rsidRPr="00BF0547">
              <w:rPr>
                <w:sz w:val="28"/>
                <w:szCs w:val="28"/>
                <w:u w:val="single"/>
              </w:rPr>
              <w:lastRenderedPageBreak/>
              <w:t xml:space="preserve">VADC </w:t>
            </w:r>
            <w:r w:rsidR="001B7407">
              <w:rPr>
                <w:sz w:val="28"/>
                <w:szCs w:val="28"/>
                <w:u w:val="single"/>
              </w:rPr>
              <w:t>17 632</w:t>
            </w:r>
            <w:r w:rsidRPr="00BF0547">
              <w:rPr>
                <w:sz w:val="28"/>
                <w:szCs w:val="28"/>
                <w:u w:val="single"/>
              </w:rPr>
              <w:t xml:space="preserve"> </w:t>
            </w:r>
            <w:proofErr w:type="spellStart"/>
            <w:r w:rsidRPr="00BF0547">
              <w:rPr>
                <w:i/>
                <w:sz w:val="28"/>
                <w:szCs w:val="28"/>
                <w:u w:val="single"/>
              </w:rPr>
              <w:t>euro</w:t>
            </w:r>
            <w:proofErr w:type="spellEnd"/>
            <w:r w:rsidRPr="00BF0547">
              <w:rPr>
                <w:i/>
                <w:sz w:val="28"/>
                <w:szCs w:val="28"/>
                <w:u w:val="single"/>
              </w:rPr>
              <w:t xml:space="preserve"> </w:t>
            </w:r>
            <w:r w:rsidRPr="00BF0547">
              <w:rPr>
                <w:sz w:val="28"/>
                <w:szCs w:val="28"/>
                <w:u w:val="single"/>
              </w:rPr>
              <w:t>(EKK 2000 preces un pakalpojumi) t.sk</w:t>
            </w:r>
            <w:r w:rsidRPr="00BF0547">
              <w:rPr>
                <w:sz w:val="28"/>
                <w:szCs w:val="28"/>
              </w:rPr>
              <w:t>.:</w:t>
            </w:r>
          </w:p>
          <w:p w:rsidR="00B94930" w:rsidRPr="00BF0547" w:rsidRDefault="00B94930" w:rsidP="00B94930">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izdevumu segšanai virs plāna sagatavoto asinis/asins komponentu sagatavošanai VADC un VADC Latgales filiālē – 12 388,89 </w:t>
            </w:r>
            <w:proofErr w:type="spellStart"/>
            <w:r w:rsidRPr="00BF0547">
              <w:rPr>
                <w:i/>
                <w:sz w:val="28"/>
                <w:szCs w:val="28"/>
              </w:rPr>
              <w:t>euro</w:t>
            </w:r>
            <w:proofErr w:type="spellEnd"/>
            <w:r w:rsidRPr="00BF0547">
              <w:rPr>
                <w:sz w:val="28"/>
                <w:szCs w:val="28"/>
              </w:rPr>
              <w:t>;</w:t>
            </w:r>
          </w:p>
          <w:p w:rsidR="00B94930" w:rsidRPr="00BF0547" w:rsidRDefault="00B94930" w:rsidP="00B94930">
            <w:pPr>
              <w:pStyle w:val="tv213"/>
              <w:numPr>
                <w:ilvl w:val="0"/>
                <w:numId w:val="14"/>
              </w:numPr>
              <w:tabs>
                <w:tab w:val="left" w:pos="223"/>
              </w:tabs>
              <w:spacing w:before="0" w:beforeAutospacing="0" w:after="0" w:afterAutospacing="0"/>
              <w:ind w:left="81" w:firstLine="0"/>
              <w:jc w:val="both"/>
              <w:rPr>
                <w:sz w:val="28"/>
                <w:szCs w:val="28"/>
              </w:rPr>
            </w:pPr>
            <w:r w:rsidRPr="00BF0547">
              <w:rPr>
                <w:sz w:val="28"/>
                <w:szCs w:val="28"/>
              </w:rPr>
              <w:t xml:space="preserve">izdevumu segšanai virs plāna sagatavoto asinis/asins komponentu sagatavošanai ārstniecības iestāžu Asins sagatavošanas nodaļās  – 5 242,14 </w:t>
            </w:r>
            <w:proofErr w:type="spellStart"/>
            <w:r w:rsidRPr="00BF0547">
              <w:rPr>
                <w:i/>
                <w:sz w:val="28"/>
                <w:szCs w:val="28"/>
              </w:rPr>
              <w:t>euro</w:t>
            </w:r>
            <w:proofErr w:type="spellEnd"/>
            <w:r w:rsidR="001B7407">
              <w:rPr>
                <w:sz w:val="28"/>
                <w:szCs w:val="28"/>
              </w:rPr>
              <w:t>.</w:t>
            </w:r>
          </w:p>
          <w:p w:rsidR="00AE7864" w:rsidRPr="00BF0547" w:rsidRDefault="00AE7864" w:rsidP="00D0609D">
            <w:pPr>
              <w:pStyle w:val="tv213"/>
              <w:spacing w:before="0" w:beforeAutospacing="0" w:after="0" w:afterAutospacing="0"/>
              <w:jc w:val="both"/>
              <w:rPr>
                <w:sz w:val="28"/>
                <w:szCs w:val="28"/>
                <w:u w:val="single"/>
              </w:rPr>
            </w:pPr>
          </w:p>
          <w:p w:rsidR="00C03C24" w:rsidRPr="00CD1CAE" w:rsidRDefault="003D3158" w:rsidP="00B94930">
            <w:pPr>
              <w:pStyle w:val="tv213"/>
              <w:spacing w:before="0" w:beforeAutospacing="0" w:after="0" w:afterAutospacing="0"/>
              <w:jc w:val="both"/>
              <w:rPr>
                <w:sz w:val="28"/>
                <w:szCs w:val="28"/>
              </w:rPr>
            </w:pPr>
            <w:r w:rsidRPr="00CD1CAE">
              <w:rPr>
                <w:sz w:val="28"/>
                <w:szCs w:val="28"/>
                <w:u w:val="single"/>
              </w:rPr>
              <w:t xml:space="preserve">NMPD </w:t>
            </w:r>
            <w:r w:rsidR="00B94930" w:rsidRPr="00CD1CAE">
              <w:rPr>
                <w:sz w:val="28"/>
                <w:szCs w:val="28"/>
                <w:u w:val="single"/>
              </w:rPr>
              <w:t xml:space="preserve">44 282 </w:t>
            </w:r>
            <w:proofErr w:type="spellStart"/>
            <w:r w:rsidR="00B94930" w:rsidRPr="00CD1CAE">
              <w:rPr>
                <w:i/>
                <w:sz w:val="28"/>
                <w:szCs w:val="28"/>
                <w:u w:val="single"/>
              </w:rPr>
              <w:t>euro</w:t>
            </w:r>
            <w:proofErr w:type="spellEnd"/>
            <w:r w:rsidR="00B94930" w:rsidRPr="00CD1CAE">
              <w:rPr>
                <w:sz w:val="28"/>
                <w:szCs w:val="28"/>
                <w:u w:val="single"/>
              </w:rPr>
              <w:t xml:space="preserve"> (</w:t>
            </w:r>
            <w:r w:rsidR="00F90628" w:rsidRPr="00CD1CAE">
              <w:rPr>
                <w:sz w:val="28"/>
                <w:szCs w:val="28"/>
                <w:u w:val="single"/>
              </w:rPr>
              <w:t>EKK 2000 preces un pakalpojumi</w:t>
            </w:r>
            <w:r w:rsidR="00C03C24" w:rsidRPr="00CD1CAE">
              <w:rPr>
                <w:sz w:val="28"/>
                <w:szCs w:val="28"/>
                <w:u w:val="single"/>
              </w:rPr>
              <w:t>) t.sk</w:t>
            </w:r>
            <w:r w:rsidR="00C03C24" w:rsidRPr="00CD1CAE">
              <w:rPr>
                <w:sz w:val="28"/>
                <w:szCs w:val="28"/>
              </w:rPr>
              <w:t>.</w:t>
            </w:r>
            <w:r w:rsidRPr="00CD1CAE">
              <w:rPr>
                <w:sz w:val="28"/>
                <w:szCs w:val="28"/>
              </w:rPr>
              <w:t>:</w:t>
            </w:r>
          </w:p>
          <w:p w:rsidR="003F796A" w:rsidRPr="003F796A" w:rsidRDefault="00B94930" w:rsidP="003F796A">
            <w:pPr>
              <w:pStyle w:val="ListParagraph"/>
              <w:numPr>
                <w:ilvl w:val="0"/>
                <w:numId w:val="14"/>
              </w:numPr>
              <w:tabs>
                <w:tab w:val="left" w:pos="284"/>
                <w:tab w:val="left" w:pos="365"/>
              </w:tabs>
              <w:ind w:left="81" w:firstLine="0"/>
              <w:jc w:val="both"/>
              <w:rPr>
                <w:sz w:val="28"/>
                <w:szCs w:val="28"/>
              </w:rPr>
            </w:pPr>
            <w:r w:rsidRPr="003F796A">
              <w:rPr>
                <w:sz w:val="28"/>
                <w:szCs w:val="28"/>
              </w:rPr>
              <w:t>37</w:t>
            </w:r>
            <w:r w:rsidR="00806D9C">
              <w:rPr>
                <w:sz w:val="28"/>
                <w:szCs w:val="28"/>
              </w:rPr>
              <w:t> </w:t>
            </w:r>
            <w:r w:rsidRPr="003F796A">
              <w:rPr>
                <w:sz w:val="28"/>
                <w:szCs w:val="28"/>
              </w:rPr>
              <w:t>0</w:t>
            </w:r>
            <w:r w:rsidR="00806D9C">
              <w:rPr>
                <w:sz w:val="28"/>
                <w:szCs w:val="28"/>
              </w:rPr>
              <w:t>39,92</w:t>
            </w:r>
            <w:r w:rsidRPr="003F796A">
              <w:rPr>
                <w:sz w:val="28"/>
                <w:szCs w:val="28"/>
              </w:rPr>
              <w:t xml:space="preserve"> </w:t>
            </w:r>
            <w:proofErr w:type="spellStart"/>
            <w:r w:rsidRPr="003F796A">
              <w:rPr>
                <w:i/>
                <w:sz w:val="28"/>
                <w:szCs w:val="28"/>
              </w:rPr>
              <w:t>euro</w:t>
            </w:r>
            <w:proofErr w:type="spellEnd"/>
            <w:r w:rsidRPr="003F796A">
              <w:rPr>
                <w:sz w:val="28"/>
                <w:szCs w:val="28"/>
              </w:rPr>
              <w:t xml:space="preserve"> vienreizēju prēmiju SIA „Rīgas sanitārā transporta autobāze” operatīvā medicīniskā transporta vadītājiem, kuri piedalījās palīdzības sniegšanā cietušajiem, izmaksai (999 </w:t>
            </w:r>
            <w:proofErr w:type="spellStart"/>
            <w:r w:rsidRPr="003F796A">
              <w:rPr>
                <w:i/>
                <w:sz w:val="28"/>
                <w:szCs w:val="28"/>
              </w:rPr>
              <w:t>euro</w:t>
            </w:r>
            <w:proofErr w:type="spellEnd"/>
            <w:r w:rsidRPr="003F796A">
              <w:rPr>
                <w:sz w:val="28"/>
                <w:szCs w:val="28"/>
              </w:rPr>
              <w:t xml:space="preserve"> apmērā);</w:t>
            </w:r>
          </w:p>
          <w:p w:rsidR="00C03C24" w:rsidRPr="003F796A" w:rsidRDefault="003D3158" w:rsidP="003F796A">
            <w:pPr>
              <w:pStyle w:val="ListParagraph"/>
              <w:numPr>
                <w:ilvl w:val="0"/>
                <w:numId w:val="14"/>
              </w:numPr>
              <w:tabs>
                <w:tab w:val="left" w:pos="284"/>
                <w:tab w:val="left" w:pos="365"/>
              </w:tabs>
              <w:ind w:left="81" w:firstLine="0"/>
              <w:jc w:val="both"/>
              <w:rPr>
                <w:sz w:val="28"/>
                <w:szCs w:val="28"/>
              </w:rPr>
            </w:pPr>
            <w:r w:rsidRPr="003F796A">
              <w:rPr>
                <w:sz w:val="28"/>
                <w:szCs w:val="28"/>
              </w:rPr>
              <w:t xml:space="preserve">operatīvā medicīniskā transporta </w:t>
            </w:r>
            <w:r w:rsidR="00882A69" w:rsidRPr="003F796A">
              <w:rPr>
                <w:sz w:val="28"/>
                <w:szCs w:val="28"/>
              </w:rPr>
              <w:t>izdev</w:t>
            </w:r>
            <w:r w:rsidR="00112602" w:rsidRPr="003F796A">
              <w:rPr>
                <w:sz w:val="28"/>
                <w:szCs w:val="28"/>
              </w:rPr>
              <w:t>u</w:t>
            </w:r>
            <w:r w:rsidR="00882A69" w:rsidRPr="003F796A">
              <w:rPr>
                <w:sz w:val="28"/>
                <w:szCs w:val="28"/>
              </w:rPr>
              <w:t>mu segš</w:t>
            </w:r>
            <w:r w:rsidR="00112602" w:rsidRPr="003F796A">
              <w:rPr>
                <w:sz w:val="28"/>
                <w:szCs w:val="28"/>
              </w:rPr>
              <w:t>an</w:t>
            </w:r>
            <w:r w:rsidR="00882A69" w:rsidRPr="003F796A">
              <w:rPr>
                <w:sz w:val="28"/>
                <w:szCs w:val="28"/>
              </w:rPr>
              <w:t>ai</w:t>
            </w:r>
            <w:r w:rsidR="00B13844" w:rsidRPr="003F796A">
              <w:rPr>
                <w:sz w:val="28"/>
                <w:szCs w:val="28"/>
              </w:rPr>
              <w:t xml:space="preserve"> – 5 661,</w:t>
            </w:r>
            <w:r w:rsidR="00531063">
              <w:rPr>
                <w:sz w:val="28"/>
                <w:szCs w:val="28"/>
              </w:rPr>
              <w:t>88</w:t>
            </w:r>
            <w:r w:rsidR="00B13844" w:rsidRPr="003F796A">
              <w:rPr>
                <w:sz w:val="28"/>
                <w:szCs w:val="28"/>
              </w:rPr>
              <w:t xml:space="preserve"> </w:t>
            </w:r>
            <w:proofErr w:type="spellStart"/>
            <w:r w:rsidR="00B13844" w:rsidRPr="003F796A">
              <w:rPr>
                <w:i/>
                <w:sz w:val="28"/>
                <w:szCs w:val="28"/>
              </w:rPr>
              <w:t>euro</w:t>
            </w:r>
            <w:proofErr w:type="spellEnd"/>
            <w:r w:rsidR="00B13844" w:rsidRPr="003F796A">
              <w:rPr>
                <w:sz w:val="28"/>
                <w:szCs w:val="28"/>
              </w:rPr>
              <w:t>;</w:t>
            </w:r>
          </w:p>
          <w:p w:rsidR="00B13844" w:rsidRPr="003F796A" w:rsidRDefault="003D3158" w:rsidP="00B94930">
            <w:pPr>
              <w:pStyle w:val="tv213"/>
              <w:numPr>
                <w:ilvl w:val="0"/>
                <w:numId w:val="14"/>
              </w:numPr>
              <w:tabs>
                <w:tab w:val="left" w:pos="223"/>
              </w:tabs>
              <w:spacing w:before="0" w:beforeAutospacing="0" w:after="0" w:afterAutospacing="0"/>
              <w:ind w:left="81" w:firstLine="0"/>
              <w:jc w:val="both"/>
              <w:rPr>
                <w:sz w:val="28"/>
                <w:szCs w:val="28"/>
              </w:rPr>
            </w:pPr>
            <w:r w:rsidRPr="003F796A">
              <w:rPr>
                <w:sz w:val="28"/>
                <w:szCs w:val="28"/>
              </w:rPr>
              <w:t xml:space="preserve">medicīnisko resursu </w:t>
            </w:r>
            <w:r w:rsidR="00112602" w:rsidRPr="003F796A">
              <w:rPr>
                <w:sz w:val="28"/>
                <w:szCs w:val="28"/>
              </w:rPr>
              <w:t xml:space="preserve">izdevumu segšanai </w:t>
            </w:r>
            <w:r w:rsidR="00B13844" w:rsidRPr="003F796A">
              <w:rPr>
                <w:sz w:val="28"/>
                <w:szCs w:val="28"/>
              </w:rPr>
              <w:t xml:space="preserve">– 1 234,88 </w:t>
            </w:r>
            <w:proofErr w:type="spellStart"/>
            <w:r w:rsidR="00B13844" w:rsidRPr="003F796A">
              <w:rPr>
                <w:i/>
                <w:sz w:val="28"/>
                <w:szCs w:val="28"/>
              </w:rPr>
              <w:t>euro</w:t>
            </w:r>
            <w:proofErr w:type="spellEnd"/>
            <w:r w:rsidR="00B13844" w:rsidRPr="003F796A">
              <w:rPr>
                <w:sz w:val="28"/>
                <w:szCs w:val="28"/>
              </w:rPr>
              <w:t>;</w:t>
            </w:r>
          </w:p>
          <w:p w:rsidR="003D3158" w:rsidRPr="003F796A" w:rsidRDefault="003D3158" w:rsidP="00B94930">
            <w:pPr>
              <w:pStyle w:val="tv213"/>
              <w:numPr>
                <w:ilvl w:val="0"/>
                <w:numId w:val="14"/>
              </w:numPr>
              <w:tabs>
                <w:tab w:val="left" w:pos="223"/>
              </w:tabs>
              <w:spacing w:before="0" w:beforeAutospacing="0" w:after="0" w:afterAutospacing="0"/>
              <w:ind w:left="81" w:firstLine="0"/>
              <w:jc w:val="both"/>
              <w:rPr>
                <w:sz w:val="28"/>
                <w:szCs w:val="28"/>
              </w:rPr>
            </w:pPr>
            <w:r w:rsidRPr="003F796A">
              <w:rPr>
                <w:sz w:val="28"/>
                <w:szCs w:val="28"/>
              </w:rPr>
              <w:t xml:space="preserve">medicīniskās telts specializētā mazgāšana un </w:t>
            </w:r>
            <w:r w:rsidR="00B13844" w:rsidRPr="003F796A">
              <w:rPr>
                <w:sz w:val="28"/>
                <w:szCs w:val="28"/>
              </w:rPr>
              <w:t xml:space="preserve">dezinficēšana ar speclīdzekļiem – 344,33 </w:t>
            </w:r>
            <w:proofErr w:type="spellStart"/>
            <w:r w:rsidR="00B13844" w:rsidRPr="003F796A">
              <w:rPr>
                <w:i/>
                <w:sz w:val="28"/>
                <w:szCs w:val="28"/>
              </w:rPr>
              <w:t>euro</w:t>
            </w:r>
            <w:proofErr w:type="spellEnd"/>
            <w:r w:rsidR="00B94930" w:rsidRPr="003F796A">
              <w:rPr>
                <w:sz w:val="28"/>
                <w:szCs w:val="28"/>
              </w:rPr>
              <w:t>.</w:t>
            </w:r>
          </w:p>
          <w:p w:rsidR="00206529" w:rsidRPr="00BF0547" w:rsidRDefault="00206529" w:rsidP="00672CC6">
            <w:pPr>
              <w:jc w:val="both"/>
              <w:rPr>
                <w:sz w:val="28"/>
                <w:szCs w:val="28"/>
              </w:rPr>
            </w:pPr>
          </w:p>
          <w:p w:rsidR="007526D3" w:rsidRPr="00BF0547" w:rsidRDefault="007526D3" w:rsidP="00AA2965">
            <w:pPr>
              <w:tabs>
                <w:tab w:val="left" w:pos="5940"/>
              </w:tabs>
              <w:jc w:val="both"/>
              <w:rPr>
                <w:sz w:val="28"/>
                <w:szCs w:val="28"/>
              </w:rPr>
            </w:pPr>
            <w:r w:rsidRPr="00BF0547">
              <w:rPr>
                <w:sz w:val="28"/>
                <w:szCs w:val="28"/>
              </w:rPr>
              <w:t>Detalizēt</w:t>
            </w:r>
            <w:r w:rsidR="00BA0065" w:rsidRPr="00BF0547">
              <w:rPr>
                <w:sz w:val="28"/>
                <w:szCs w:val="28"/>
              </w:rPr>
              <w:t xml:space="preserve">i aprēķini pievienoti </w:t>
            </w:r>
            <w:r w:rsidR="00FC1517" w:rsidRPr="00BF0547">
              <w:rPr>
                <w:sz w:val="28"/>
                <w:szCs w:val="28"/>
              </w:rPr>
              <w:t>pielikum</w:t>
            </w:r>
            <w:r w:rsidR="00AA2965" w:rsidRPr="00BF0547">
              <w:rPr>
                <w:sz w:val="28"/>
                <w:szCs w:val="28"/>
              </w:rPr>
              <w:t>os</w:t>
            </w:r>
            <w:r w:rsidRPr="00BF0547">
              <w:rPr>
                <w:sz w:val="28"/>
                <w:szCs w:val="28"/>
              </w:rPr>
              <w:t>.</w:t>
            </w: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6.1. detalizēts ieņēmumu aprēķins</w:t>
            </w:r>
          </w:p>
        </w:tc>
        <w:tc>
          <w:tcPr>
            <w:tcW w:w="7060" w:type="dxa"/>
            <w:gridSpan w:val="5"/>
            <w:vMerge/>
            <w:tcBorders>
              <w:top w:val="single" w:sz="4" w:space="0" w:color="auto"/>
              <w:left w:val="single" w:sz="4" w:space="0" w:color="auto"/>
              <w:bottom w:val="single" w:sz="4" w:space="0" w:color="auto"/>
              <w:right w:val="single" w:sz="4" w:space="0" w:color="auto"/>
            </w:tcBorders>
          </w:tcPr>
          <w:p w:rsidR="00367C3B" w:rsidRPr="00BF0547" w:rsidRDefault="00367C3B" w:rsidP="00A20419">
            <w:pPr>
              <w:pStyle w:val="naisf"/>
              <w:spacing w:before="0" w:after="0"/>
              <w:ind w:firstLine="0"/>
              <w:rPr>
                <w:b/>
                <w:i/>
                <w:sz w:val="28"/>
                <w:szCs w:val="28"/>
              </w:rPr>
            </w:pP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6.2. detalizēts izdevumu aprēķins</w:t>
            </w:r>
          </w:p>
        </w:tc>
        <w:tc>
          <w:tcPr>
            <w:tcW w:w="7060" w:type="dxa"/>
            <w:gridSpan w:val="5"/>
            <w:vMerge/>
            <w:tcBorders>
              <w:top w:val="single" w:sz="4" w:space="0" w:color="auto"/>
              <w:left w:val="single" w:sz="4" w:space="0" w:color="auto"/>
              <w:bottom w:val="single" w:sz="4" w:space="0" w:color="auto"/>
              <w:right w:val="single" w:sz="4" w:space="0" w:color="auto"/>
            </w:tcBorders>
          </w:tcPr>
          <w:p w:rsidR="00367C3B" w:rsidRPr="00BF0547" w:rsidRDefault="00367C3B" w:rsidP="00A20419">
            <w:pPr>
              <w:pStyle w:val="naisf"/>
              <w:spacing w:before="0" w:after="0"/>
              <w:ind w:firstLine="0"/>
              <w:rPr>
                <w:b/>
                <w:i/>
                <w:sz w:val="28"/>
                <w:szCs w:val="28"/>
              </w:rPr>
            </w:pP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tabs>
                <w:tab w:val="left" w:pos="5940"/>
              </w:tabs>
              <w:rPr>
                <w:sz w:val="28"/>
                <w:szCs w:val="28"/>
              </w:rPr>
            </w:pPr>
            <w:r w:rsidRPr="00BF0547">
              <w:rPr>
                <w:sz w:val="28"/>
                <w:szCs w:val="28"/>
              </w:rPr>
              <w:lastRenderedPageBreak/>
              <w:t>7. Cita informācija</w:t>
            </w:r>
          </w:p>
        </w:tc>
        <w:tc>
          <w:tcPr>
            <w:tcW w:w="7060" w:type="dxa"/>
            <w:gridSpan w:val="5"/>
            <w:tcBorders>
              <w:top w:val="single" w:sz="4" w:space="0" w:color="auto"/>
              <w:left w:val="single" w:sz="4" w:space="0" w:color="auto"/>
              <w:bottom w:val="single" w:sz="4" w:space="0" w:color="auto"/>
              <w:right w:val="single" w:sz="4" w:space="0" w:color="auto"/>
            </w:tcBorders>
          </w:tcPr>
          <w:p w:rsidR="00DD7EF3" w:rsidRPr="00BF0547" w:rsidRDefault="00DD7EF3" w:rsidP="00FC1517">
            <w:pPr>
              <w:tabs>
                <w:tab w:val="left" w:pos="5940"/>
              </w:tabs>
              <w:jc w:val="both"/>
              <w:rPr>
                <w:sz w:val="28"/>
                <w:szCs w:val="28"/>
              </w:rPr>
            </w:pPr>
            <w:r w:rsidRPr="00BF0547">
              <w:rPr>
                <w:sz w:val="28"/>
                <w:szCs w:val="28"/>
              </w:rPr>
              <w:t xml:space="preserve">Izdevumi tiks veikti </w:t>
            </w:r>
            <w:r w:rsidRPr="00BF0547">
              <w:rPr>
                <w:bCs/>
                <w:sz w:val="28"/>
                <w:szCs w:val="28"/>
              </w:rPr>
              <w:t xml:space="preserve">Veselības ministrijas budžeta </w:t>
            </w:r>
            <w:r w:rsidRPr="00BF0547">
              <w:rPr>
                <w:sz w:val="28"/>
                <w:szCs w:val="28"/>
              </w:rPr>
              <w:t>programmas 99.00.00 „Līdzekļu neparedzētiem gadījumiem izlietojums” ietvaros.</w:t>
            </w:r>
          </w:p>
        </w:tc>
      </w:tr>
    </w:tbl>
    <w:p w:rsidR="0015060C" w:rsidRDefault="0015060C" w:rsidP="004411F3">
      <w:pPr>
        <w:tabs>
          <w:tab w:val="left" w:pos="5940"/>
        </w:tabs>
        <w:jc w:val="both"/>
        <w:rPr>
          <w:sz w:val="28"/>
          <w:szCs w:val="28"/>
        </w:rPr>
      </w:pPr>
    </w:p>
    <w:p w:rsidR="00197E0C" w:rsidRPr="00BF0547" w:rsidRDefault="00197E0C" w:rsidP="004411F3">
      <w:pPr>
        <w:tabs>
          <w:tab w:val="left" w:pos="5940"/>
        </w:tabs>
        <w:jc w:val="both"/>
        <w:rPr>
          <w:sz w:val="28"/>
          <w:szCs w:val="28"/>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2694"/>
        <w:gridCol w:w="6095"/>
      </w:tblGrid>
      <w:tr w:rsidR="0023436E" w:rsidRPr="00BF0547" w:rsidTr="006C418A">
        <w:tc>
          <w:tcPr>
            <w:tcW w:w="9356" w:type="dxa"/>
            <w:gridSpan w:val="3"/>
            <w:tcBorders>
              <w:top w:val="single" w:sz="4" w:space="0" w:color="auto"/>
            </w:tcBorders>
          </w:tcPr>
          <w:p w:rsidR="0023436E" w:rsidRPr="00BF0547" w:rsidRDefault="0023436E" w:rsidP="006C418A">
            <w:pPr>
              <w:pStyle w:val="naisnod"/>
              <w:spacing w:before="0" w:after="0"/>
              <w:ind w:left="-170" w:right="57"/>
              <w:rPr>
                <w:sz w:val="28"/>
                <w:szCs w:val="28"/>
              </w:rPr>
            </w:pPr>
            <w:r w:rsidRPr="00BF0547">
              <w:rPr>
                <w:sz w:val="28"/>
                <w:szCs w:val="28"/>
              </w:rPr>
              <w:t>VII</w:t>
            </w:r>
            <w:r w:rsidR="000941C5" w:rsidRPr="00BF0547">
              <w:rPr>
                <w:sz w:val="28"/>
                <w:szCs w:val="28"/>
              </w:rPr>
              <w:t>.</w:t>
            </w:r>
            <w:r w:rsidRPr="00BF0547">
              <w:rPr>
                <w:sz w:val="28"/>
                <w:szCs w:val="28"/>
              </w:rPr>
              <w:t xml:space="preserve"> Tiesību akta projekta izpildes nodrošināšana un tās ietekme uz institūcijām</w:t>
            </w:r>
          </w:p>
        </w:tc>
      </w:tr>
      <w:tr w:rsidR="000157C7" w:rsidRPr="00BF0547" w:rsidTr="00F931B1">
        <w:trPr>
          <w:trHeight w:val="427"/>
        </w:trPr>
        <w:tc>
          <w:tcPr>
            <w:tcW w:w="567" w:type="dxa"/>
          </w:tcPr>
          <w:p w:rsidR="000157C7" w:rsidRPr="00BF0547" w:rsidRDefault="000157C7" w:rsidP="007D099D">
            <w:pPr>
              <w:pStyle w:val="naisnod"/>
              <w:spacing w:before="0" w:after="0"/>
              <w:ind w:left="57" w:right="57"/>
              <w:jc w:val="left"/>
              <w:rPr>
                <w:b w:val="0"/>
                <w:sz w:val="28"/>
                <w:szCs w:val="28"/>
              </w:rPr>
            </w:pPr>
            <w:r w:rsidRPr="00BF0547">
              <w:rPr>
                <w:b w:val="0"/>
                <w:sz w:val="28"/>
                <w:szCs w:val="28"/>
              </w:rPr>
              <w:t>1.</w:t>
            </w:r>
          </w:p>
        </w:tc>
        <w:tc>
          <w:tcPr>
            <w:tcW w:w="2694" w:type="dxa"/>
          </w:tcPr>
          <w:p w:rsidR="000157C7" w:rsidRPr="00BF0547" w:rsidRDefault="000157C7" w:rsidP="007D099D">
            <w:pPr>
              <w:pStyle w:val="naisf"/>
              <w:spacing w:before="0" w:after="0"/>
              <w:ind w:left="57" w:right="57" w:firstLine="0"/>
              <w:jc w:val="left"/>
              <w:rPr>
                <w:sz w:val="28"/>
                <w:szCs w:val="28"/>
              </w:rPr>
            </w:pPr>
            <w:r w:rsidRPr="00BF0547">
              <w:rPr>
                <w:sz w:val="28"/>
                <w:szCs w:val="28"/>
              </w:rPr>
              <w:t xml:space="preserve">Projekta izpildē iesaistītās institūcijas </w:t>
            </w:r>
          </w:p>
        </w:tc>
        <w:tc>
          <w:tcPr>
            <w:tcW w:w="6095" w:type="dxa"/>
          </w:tcPr>
          <w:p w:rsidR="000157C7" w:rsidRPr="00BF0547" w:rsidRDefault="000157C7" w:rsidP="00E9328B">
            <w:pPr>
              <w:spacing w:before="75" w:after="75"/>
              <w:jc w:val="both"/>
              <w:rPr>
                <w:sz w:val="28"/>
                <w:szCs w:val="28"/>
              </w:rPr>
            </w:pPr>
            <w:r w:rsidRPr="00BF0547">
              <w:rPr>
                <w:sz w:val="28"/>
                <w:szCs w:val="28"/>
              </w:rPr>
              <w:t xml:space="preserve">Ministru kabineta rīkojuma projekta izpildi nodrošinās </w:t>
            </w:r>
            <w:r w:rsidR="003D3158" w:rsidRPr="00BF0547">
              <w:rPr>
                <w:sz w:val="28"/>
                <w:szCs w:val="28"/>
              </w:rPr>
              <w:t>NMPD, VTMEC, VADC un NVD.</w:t>
            </w:r>
          </w:p>
        </w:tc>
      </w:tr>
      <w:tr w:rsidR="000157C7" w:rsidRPr="00BF0547" w:rsidTr="00F931B1">
        <w:trPr>
          <w:trHeight w:val="463"/>
        </w:trPr>
        <w:tc>
          <w:tcPr>
            <w:tcW w:w="567" w:type="dxa"/>
          </w:tcPr>
          <w:p w:rsidR="000157C7" w:rsidRPr="00BF0547" w:rsidRDefault="000157C7" w:rsidP="007D099D">
            <w:pPr>
              <w:pStyle w:val="naisnod"/>
              <w:spacing w:before="0" w:after="0"/>
              <w:ind w:left="57" w:right="57"/>
              <w:jc w:val="left"/>
              <w:rPr>
                <w:b w:val="0"/>
                <w:sz w:val="28"/>
                <w:szCs w:val="28"/>
              </w:rPr>
            </w:pPr>
            <w:r w:rsidRPr="00BF0547">
              <w:rPr>
                <w:b w:val="0"/>
                <w:sz w:val="28"/>
                <w:szCs w:val="28"/>
              </w:rPr>
              <w:t>2.</w:t>
            </w:r>
          </w:p>
        </w:tc>
        <w:tc>
          <w:tcPr>
            <w:tcW w:w="2694" w:type="dxa"/>
          </w:tcPr>
          <w:p w:rsidR="000157C7" w:rsidRPr="00BF0547" w:rsidRDefault="000157C7" w:rsidP="007D099D">
            <w:pPr>
              <w:pStyle w:val="naisf"/>
              <w:spacing w:before="0" w:after="0"/>
              <w:ind w:left="57" w:right="57" w:firstLine="0"/>
              <w:jc w:val="left"/>
              <w:rPr>
                <w:sz w:val="28"/>
                <w:szCs w:val="28"/>
              </w:rPr>
            </w:pPr>
            <w:r w:rsidRPr="00BF0547">
              <w:rPr>
                <w:sz w:val="28"/>
                <w:szCs w:val="28"/>
              </w:rPr>
              <w:t>Projekta izpildes</w:t>
            </w:r>
            <w:r w:rsidR="004A05EF" w:rsidRPr="00BF0547">
              <w:rPr>
                <w:sz w:val="28"/>
                <w:szCs w:val="28"/>
              </w:rPr>
              <w:t xml:space="preserve"> ietekme uz pārvaldes funkcijām un institucionālo struktūru.</w:t>
            </w:r>
          </w:p>
          <w:p w:rsidR="004A05EF" w:rsidRPr="00BF0547" w:rsidRDefault="004A05EF" w:rsidP="007D099D">
            <w:pPr>
              <w:pStyle w:val="naisf"/>
              <w:spacing w:before="0" w:after="0"/>
              <w:ind w:left="57" w:right="57" w:firstLine="0"/>
              <w:jc w:val="left"/>
              <w:rPr>
                <w:sz w:val="28"/>
                <w:szCs w:val="28"/>
              </w:rPr>
            </w:pPr>
          </w:p>
          <w:p w:rsidR="004A05EF" w:rsidRPr="00BF0547" w:rsidRDefault="004A05EF" w:rsidP="007D099D">
            <w:pPr>
              <w:pStyle w:val="naisf"/>
              <w:spacing w:before="0" w:after="0"/>
              <w:ind w:left="57" w:right="57" w:firstLine="0"/>
              <w:jc w:val="left"/>
              <w:rPr>
                <w:sz w:val="28"/>
                <w:szCs w:val="28"/>
              </w:rPr>
            </w:pPr>
            <w:r w:rsidRPr="00BF0547">
              <w:rPr>
                <w:sz w:val="28"/>
                <w:szCs w:val="28"/>
              </w:rPr>
              <w:t>Jaunu institūciju izveide, esošu institūciju likvidācija vai reorganizācija, to ietekme uz institūcijas cilvēkresursiem</w:t>
            </w:r>
          </w:p>
        </w:tc>
        <w:tc>
          <w:tcPr>
            <w:tcW w:w="6095" w:type="dxa"/>
          </w:tcPr>
          <w:p w:rsidR="000157C7" w:rsidRPr="00BF0547" w:rsidRDefault="003D3158" w:rsidP="00BE083D">
            <w:pPr>
              <w:jc w:val="both"/>
              <w:rPr>
                <w:sz w:val="28"/>
                <w:szCs w:val="28"/>
              </w:rPr>
            </w:pPr>
            <w:r w:rsidRPr="00BF0547">
              <w:rPr>
                <w:sz w:val="28"/>
                <w:szCs w:val="28"/>
              </w:rPr>
              <w:t xml:space="preserve">NMPD, VTMEC, VADC un NVD </w:t>
            </w:r>
            <w:r w:rsidR="000157C7" w:rsidRPr="00BF0547">
              <w:rPr>
                <w:sz w:val="28"/>
                <w:szCs w:val="28"/>
              </w:rPr>
              <w:t>Ministru kabineta rīkojuma projekta izpildi nodrošinās esošo funkciju ietvaros.</w:t>
            </w:r>
          </w:p>
        </w:tc>
      </w:tr>
      <w:tr w:rsidR="000157C7" w:rsidRPr="00BF0547" w:rsidTr="00F931B1">
        <w:trPr>
          <w:trHeight w:val="476"/>
        </w:trPr>
        <w:tc>
          <w:tcPr>
            <w:tcW w:w="567" w:type="dxa"/>
          </w:tcPr>
          <w:p w:rsidR="000157C7" w:rsidRPr="00BF0547" w:rsidRDefault="004A05EF" w:rsidP="007D099D">
            <w:pPr>
              <w:pStyle w:val="naiskr"/>
              <w:spacing w:before="0" w:after="0"/>
              <w:ind w:left="57" w:right="57"/>
              <w:rPr>
                <w:sz w:val="28"/>
                <w:szCs w:val="28"/>
              </w:rPr>
            </w:pPr>
            <w:r w:rsidRPr="00BF0547">
              <w:rPr>
                <w:sz w:val="28"/>
                <w:szCs w:val="28"/>
              </w:rPr>
              <w:lastRenderedPageBreak/>
              <w:t>3</w:t>
            </w:r>
            <w:r w:rsidR="000157C7" w:rsidRPr="00BF0547">
              <w:rPr>
                <w:sz w:val="28"/>
                <w:szCs w:val="28"/>
              </w:rPr>
              <w:t>.</w:t>
            </w:r>
          </w:p>
        </w:tc>
        <w:tc>
          <w:tcPr>
            <w:tcW w:w="2694" w:type="dxa"/>
          </w:tcPr>
          <w:p w:rsidR="000157C7" w:rsidRPr="00BF0547" w:rsidRDefault="000157C7" w:rsidP="007D099D">
            <w:pPr>
              <w:pStyle w:val="naiskr"/>
              <w:spacing w:before="0" w:after="0"/>
              <w:ind w:left="57" w:right="57"/>
              <w:rPr>
                <w:sz w:val="28"/>
                <w:szCs w:val="28"/>
              </w:rPr>
            </w:pPr>
            <w:r w:rsidRPr="00BF0547">
              <w:rPr>
                <w:sz w:val="28"/>
                <w:szCs w:val="28"/>
              </w:rPr>
              <w:t>Cita informācija</w:t>
            </w:r>
          </w:p>
        </w:tc>
        <w:tc>
          <w:tcPr>
            <w:tcW w:w="6095" w:type="dxa"/>
          </w:tcPr>
          <w:p w:rsidR="000157C7" w:rsidRPr="00BF0547" w:rsidRDefault="000157C7" w:rsidP="00BE083D">
            <w:pPr>
              <w:spacing w:before="75" w:after="75"/>
              <w:rPr>
                <w:sz w:val="28"/>
                <w:szCs w:val="28"/>
              </w:rPr>
            </w:pPr>
            <w:r w:rsidRPr="00BF0547">
              <w:rPr>
                <w:sz w:val="28"/>
                <w:szCs w:val="28"/>
              </w:rPr>
              <w:t> Nav</w:t>
            </w:r>
          </w:p>
        </w:tc>
      </w:tr>
    </w:tbl>
    <w:p w:rsidR="00214094" w:rsidRPr="00BF0547" w:rsidRDefault="00214094" w:rsidP="006C4607">
      <w:pPr>
        <w:pStyle w:val="naisf"/>
        <w:tabs>
          <w:tab w:val="left" w:pos="5760"/>
        </w:tabs>
        <w:spacing w:before="0" w:after="0"/>
        <w:ind w:firstLine="720"/>
        <w:rPr>
          <w:sz w:val="28"/>
          <w:szCs w:val="28"/>
        </w:rPr>
      </w:pPr>
    </w:p>
    <w:p w:rsidR="00214094" w:rsidRPr="00BF0547" w:rsidRDefault="006C418A" w:rsidP="006C4607">
      <w:pPr>
        <w:pStyle w:val="naisf"/>
        <w:tabs>
          <w:tab w:val="left" w:pos="5760"/>
        </w:tabs>
        <w:spacing w:before="0" w:after="0"/>
        <w:ind w:firstLine="720"/>
        <w:rPr>
          <w:sz w:val="28"/>
          <w:szCs w:val="28"/>
        </w:rPr>
      </w:pPr>
      <w:r w:rsidRPr="00BF0547">
        <w:rPr>
          <w:sz w:val="28"/>
          <w:szCs w:val="28"/>
        </w:rPr>
        <w:t>Anotācijas II,</w:t>
      </w:r>
      <w:r w:rsidR="00FB1BE1" w:rsidRPr="00BF0547">
        <w:rPr>
          <w:sz w:val="28"/>
          <w:szCs w:val="28"/>
        </w:rPr>
        <w:t xml:space="preserve"> IV,</w:t>
      </w:r>
      <w:r w:rsidR="008D396D" w:rsidRPr="00BF0547">
        <w:rPr>
          <w:sz w:val="28"/>
          <w:szCs w:val="28"/>
        </w:rPr>
        <w:t xml:space="preserve"> V,</w:t>
      </w:r>
      <w:r w:rsidR="00FB1BE1" w:rsidRPr="00BF0547">
        <w:rPr>
          <w:sz w:val="28"/>
          <w:szCs w:val="28"/>
        </w:rPr>
        <w:t xml:space="preserve"> VI sadaļa – projekts šīs jomas neskar.</w:t>
      </w:r>
    </w:p>
    <w:p w:rsidR="00BF40ED" w:rsidRDefault="00BF40ED" w:rsidP="00CB2B21">
      <w:pPr>
        <w:pStyle w:val="naisf"/>
        <w:tabs>
          <w:tab w:val="left" w:pos="6804"/>
        </w:tabs>
        <w:spacing w:before="0" w:after="0"/>
        <w:ind w:firstLine="0"/>
        <w:rPr>
          <w:sz w:val="28"/>
          <w:szCs w:val="28"/>
        </w:rPr>
      </w:pPr>
    </w:p>
    <w:p w:rsidR="00251B87" w:rsidRPr="00BF0547" w:rsidRDefault="00251B87" w:rsidP="00CB2B21">
      <w:pPr>
        <w:pStyle w:val="naisf"/>
        <w:tabs>
          <w:tab w:val="left" w:pos="6804"/>
        </w:tabs>
        <w:spacing w:before="0" w:after="0"/>
        <w:ind w:firstLine="0"/>
        <w:rPr>
          <w:sz w:val="28"/>
          <w:szCs w:val="28"/>
        </w:rPr>
      </w:pPr>
    </w:p>
    <w:p w:rsidR="00251B87" w:rsidRPr="001B4C78" w:rsidRDefault="00251B87" w:rsidP="00251B87">
      <w:pPr>
        <w:autoSpaceDE w:val="0"/>
        <w:autoSpaceDN w:val="0"/>
        <w:adjustRightInd w:val="0"/>
        <w:rPr>
          <w:sz w:val="28"/>
          <w:szCs w:val="28"/>
        </w:rPr>
      </w:pPr>
      <w:r w:rsidRPr="001B4C78">
        <w:rPr>
          <w:sz w:val="28"/>
          <w:szCs w:val="28"/>
        </w:rPr>
        <w:t>Veselības ministra vietā</w:t>
      </w:r>
    </w:p>
    <w:p w:rsidR="00251B87" w:rsidRDefault="00251B87" w:rsidP="00251B87">
      <w:pPr>
        <w:rPr>
          <w:sz w:val="28"/>
          <w:szCs w:val="28"/>
        </w:rPr>
      </w:pPr>
      <w:r>
        <w:rPr>
          <w:sz w:val="28"/>
          <w:szCs w:val="28"/>
        </w:rPr>
        <w:t xml:space="preserve">Ministru prezidente                                            </w:t>
      </w:r>
      <w:r w:rsidRPr="00126467">
        <w:rPr>
          <w:sz w:val="28"/>
          <w:szCs w:val="28"/>
        </w:rPr>
        <w:t xml:space="preserve">  </w:t>
      </w:r>
      <w:r>
        <w:rPr>
          <w:sz w:val="28"/>
          <w:szCs w:val="28"/>
        </w:rPr>
        <w:t xml:space="preserve">      </w:t>
      </w:r>
      <w:r w:rsidRPr="00126467">
        <w:rPr>
          <w:sz w:val="28"/>
          <w:szCs w:val="28"/>
        </w:rPr>
        <w:t xml:space="preserve"> </w:t>
      </w:r>
      <w:r>
        <w:rPr>
          <w:sz w:val="28"/>
          <w:szCs w:val="28"/>
        </w:rPr>
        <w:t xml:space="preserve">              </w:t>
      </w:r>
      <w:r w:rsidRPr="00126467">
        <w:rPr>
          <w:sz w:val="28"/>
          <w:szCs w:val="28"/>
        </w:rPr>
        <w:t xml:space="preserve"> </w:t>
      </w:r>
      <w:r>
        <w:rPr>
          <w:sz w:val="28"/>
          <w:szCs w:val="28"/>
        </w:rPr>
        <w:t xml:space="preserve">      L.Straujuma</w:t>
      </w:r>
    </w:p>
    <w:p w:rsidR="00CD1CAE" w:rsidRDefault="00CD1CAE" w:rsidP="00B32F76">
      <w:pPr>
        <w:rPr>
          <w:sz w:val="28"/>
          <w:szCs w:val="28"/>
        </w:rPr>
      </w:pPr>
    </w:p>
    <w:p w:rsidR="00A81033" w:rsidRPr="00BF0547" w:rsidRDefault="00A81033" w:rsidP="00B32F76">
      <w:pPr>
        <w:rPr>
          <w:sz w:val="28"/>
          <w:szCs w:val="28"/>
        </w:rPr>
      </w:pPr>
    </w:p>
    <w:p w:rsidR="00197A6F" w:rsidRDefault="002223D3" w:rsidP="00197A6F">
      <w:pPr>
        <w:pStyle w:val="NormalWeb"/>
        <w:spacing w:before="0" w:beforeAutospacing="0" w:after="0" w:afterAutospacing="0"/>
        <w:rPr>
          <w:sz w:val="22"/>
          <w:szCs w:val="22"/>
        </w:rPr>
      </w:pPr>
      <w:r>
        <w:rPr>
          <w:sz w:val="22"/>
          <w:szCs w:val="22"/>
        </w:rPr>
        <w:t>04</w:t>
      </w:r>
      <w:r w:rsidR="00197A6F" w:rsidRPr="00274CE0">
        <w:rPr>
          <w:sz w:val="22"/>
          <w:szCs w:val="22"/>
        </w:rPr>
        <w:t>.</w:t>
      </w:r>
      <w:r w:rsidR="00CB1709">
        <w:rPr>
          <w:sz w:val="22"/>
          <w:szCs w:val="22"/>
        </w:rPr>
        <w:t>06</w:t>
      </w:r>
      <w:r w:rsidR="00197A6F" w:rsidRPr="00274CE0">
        <w:rPr>
          <w:sz w:val="22"/>
          <w:szCs w:val="22"/>
        </w:rPr>
        <w:t>.2014</w:t>
      </w:r>
      <w:r w:rsidR="00B95618">
        <w:rPr>
          <w:sz w:val="22"/>
          <w:szCs w:val="22"/>
        </w:rPr>
        <w:t xml:space="preserve">   10:39</w:t>
      </w:r>
    </w:p>
    <w:p w:rsidR="00197A6F" w:rsidRPr="000B284C" w:rsidRDefault="00D44ADF" w:rsidP="00197A6F">
      <w:pPr>
        <w:pStyle w:val="NormalWeb"/>
        <w:spacing w:before="0" w:beforeAutospacing="0" w:after="0" w:afterAutospacing="0"/>
        <w:rPr>
          <w:sz w:val="22"/>
          <w:szCs w:val="22"/>
        </w:rPr>
      </w:pPr>
      <w:r>
        <w:rPr>
          <w:sz w:val="22"/>
          <w:szCs w:val="22"/>
        </w:rPr>
        <w:t>2041</w:t>
      </w:r>
    </w:p>
    <w:p w:rsidR="00197A6F" w:rsidRPr="000B284C" w:rsidRDefault="00197A6F" w:rsidP="00197A6F">
      <w:pPr>
        <w:pStyle w:val="NormalWeb"/>
        <w:spacing w:before="0" w:beforeAutospacing="0" w:after="0" w:afterAutospacing="0"/>
        <w:rPr>
          <w:sz w:val="22"/>
          <w:szCs w:val="22"/>
        </w:rPr>
      </w:pPr>
      <w:proofErr w:type="spellStart"/>
      <w:r>
        <w:rPr>
          <w:sz w:val="22"/>
          <w:szCs w:val="22"/>
        </w:rPr>
        <w:t>S.Kasparenko</w:t>
      </w:r>
      <w:proofErr w:type="spellEnd"/>
    </w:p>
    <w:p w:rsidR="00197A6F" w:rsidRPr="000B284C" w:rsidRDefault="00197A6F" w:rsidP="00197A6F">
      <w:pPr>
        <w:pStyle w:val="NormalWeb"/>
        <w:spacing w:before="0" w:beforeAutospacing="0" w:after="0" w:afterAutospacing="0"/>
        <w:rPr>
          <w:sz w:val="22"/>
          <w:szCs w:val="22"/>
        </w:rPr>
      </w:pPr>
      <w:r>
        <w:rPr>
          <w:sz w:val="22"/>
          <w:szCs w:val="22"/>
        </w:rPr>
        <w:t>67876147</w:t>
      </w:r>
      <w:r w:rsidRPr="000B284C">
        <w:rPr>
          <w:sz w:val="22"/>
          <w:szCs w:val="22"/>
        </w:rPr>
        <w:t xml:space="preserve">, </w:t>
      </w:r>
      <w:hyperlink r:id="rId8" w:history="1">
        <w:r w:rsidRPr="004016D4">
          <w:rPr>
            <w:sz w:val="22"/>
            <w:szCs w:val="22"/>
          </w:rPr>
          <w:t>Sandra.Kasparenko@vm.gov.lv</w:t>
        </w:r>
      </w:hyperlink>
    </w:p>
    <w:p w:rsidR="0015060C" w:rsidRPr="00BF0547" w:rsidRDefault="0015060C" w:rsidP="00197A6F">
      <w:pPr>
        <w:pStyle w:val="NormalWeb"/>
        <w:spacing w:before="240" w:beforeAutospacing="0" w:after="240" w:afterAutospacing="0"/>
        <w:rPr>
          <w:sz w:val="22"/>
          <w:szCs w:val="22"/>
        </w:rPr>
      </w:pPr>
    </w:p>
    <w:sectPr w:rsidR="0015060C" w:rsidRPr="00BF0547" w:rsidSect="006C418A">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BD" w:rsidRDefault="009D40BD">
      <w:r>
        <w:separator/>
      </w:r>
    </w:p>
  </w:endnote>
  <w:endnote w:type="continuationSeparator" w:id="0">
    <w:p w:rsidR="009D40BD" w:rsidRDefault="009D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Pr="00F510B4" w:rsidRDefault="00FA7BF0" w:rsidP="00984A4D">
    <w:pPr>
      <w:pStyle w:val="NormalWeb"/>
      <w:spacing w:before="0" w:beforeAutospacing="0" w:after="0" w:afterAutospacing="0"/>
      <w:jc w:val="both"/>
      <w:rPr>
        <w:bCs/>
        <w:sz w:val="20"/>
        <w:szCs w:val="20"/>
      </w:rPr>
    </w:pPr>
    <w:fldSimple w:instr=" FILENAME   \* MERGEFORMAT ">
      <w:r w:rsidR="00AE7864">
        <w:rPr>
          <w:noProof/>
          <w:sz w:val="20"/>
          <w:szCs w:val="20"/>
        </w:rPr>
        <w:t>VMAnot_</w:t>
      </w:r>
      <w:r w:rsidR="002223D3">
        <w:rPr>
          <w:noProof/>
          <w:sz w:val="20"/>
          <w:szCs w:val="20"/>
        </w:rPr>
        <w:t>04</w:t>
      </w:r>
      <w:r w:rsidR="00CB1709">
        <w:rPr>
          <w:noProof/>
          <w:sz w:val="20"/>
          <w:szCs w:val="20"/>
        </w:rPr>
        <w:t>06</w:t>
      </w:r>
      <w:r w:rsidR="00AE7864">
        <w:rPr>
          <w:noProof/>
          <w:sz w:val="20"/>
          <w:szCs w:val="20"/>
        </w:rPr>
        <w:t>14_LNG</w:t>
      </w:r>
    </w:fldSimple>
    <w:r w:rsidR="00AE7864" w:rsidRPr="00F510B4">
      <w:rPr>
        <w:sz w:val="20"/>
        <w:szCs w:val="20"/>
      </w:rPr>
      <w:t>; Ministru kabineta rīkojuma projekta „Par finanšu līdzekļu piešķiršanu no valsts budžeta programmas „Līdzekļi neparedzētiem gadījumiem”” sākotnējās ietekmes novērtējuma ziņojum</w:t>
    </w:r>
    <w:r w:rsidR="00AE7864">
      <w:rPr>
        <w:sz w:val="20"/>
        <w:szCs w:val="20"/>
      </w:rPr>
      <w:t>s</w:t>
    </w:r>
    <w:r w:rsidR="00AE7864" w:rsidRPr="00F510B4">
      <w:rPr>
        <w:sz w:val="20"/>
        <w:szCs w:val="20"/>
      </w:rPr>
      <w:t xml:space="preserve"> (anotācija)</w:t>
    </w:r>
    <w:r w:rsidR="00AE7864">
      <w:rPr>
        <w:sz w:val="20"/>
        <w:szCs w:val="20"/>
      </w:rPr>
      <w:t xml:space="preserve"> </w:t>
    </w:r>
  </w:p>
  <w:p w:rsidR="00AE7864" w:rsidRPr="00B32F76" w:rsidRDefault="00AE7864" w:rsidP="00B32F76">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Pr="00F510B4" w:rsidRDefault="00FA7BF0" w:rsidP="00B32F76">
    <w:pPr>
      <w:pStyle w:val="NormalWeb"/>
      <w:spacing w:before="0" w:beforeAutospacing="0" w:after="0" w:afterAutospacing="0"/>
      <w:jc w:val="both"/>
      <w:rPr>
        <w:bCs/>
        <w:sz w:val="20"/>
        <w:szCs w:val="20"/>
      </w:rPr>
    </w:pPr>
    <w:fldSimple w:instr=" FILENAME   \* MERGEFORMAT ">
      <w:r w:rsidR="00AE7864">
        <w:rPr>
          <w:noProof/>
          <w:sz w:val="20"/>
          <w:szCs w:val="20"/>
        </w:rPr>
        <w:t>VMAnot_</w:t>
      </w:r>
      <w:r w:rsidR="002223D3">
        <w:rPr>
          <w:noProof/>
          <w:sz w:val="20"/>
          <w:szCs w:val="20"/>
        </w:rPr>
        <w:t>04</w:t>
      </w:r>
      <w:r w:rsidR="00CB1709">
        <w:rPr>
          <w:noProof/>
          <w:sz w:val="20"/>
          <w:szCs w:val="20"/>
        </w:rPr>
        <w:t>06</w:t>
      </w:r>
      <w:r w:rsidR="00AE7864">
        <w:rPr>
          <w:noProof/>
          <w:sz w:val="20"/>
          <w:szCs w:val="20"/>
        </w:rPr>
        <w:t>14_LNG</w:t>
      </w:r>
    </w:fldSimple>
    <w:r w:rsidR="00AE7864" w:rsidRPr="00F510B4">
      <w:rPr>
        <w:sz w:val="20"/>
        <w:szCs w:val="20"/>
      </w:rPr>
      <w:t xml:space="preserve">; </w:t>
    </w:r>
    <w:bookmarkStart w:id="0" w:name="OLE_LINK7"/>
    <w:bookmarkStart w:id="1" w:name="OLE_LINK8"/>
    <w:bookmarkStart w:id="2" w:name="_Hlk373840471"/>
    <w:r w:rsidR="00AE7864" w:rsidRPr="00F510B4">
      <w:rPr>
        <w:sz w:val="20"/>
        <w:szCs w:val="20"/>
      </w:rPr>
      <w:t>Ministru kabineta rīkojuma projekta „Par finanšu līdzekļu piešķiršanu no valsts budžeta programmas „Līdzekļi neparedzētiem gadījumiem”” sākotnējās ietekmes novērtējuma ziņojum</w:t>
    </w:r>
    <w:r w:rsidR="00AE7864">
      <w:rPr>
        <w:sz w:val="20"/>
        <w:szCs w:val="20"/>
      </w:rPr>
      <w:t>s</w:t>
    </w:r>
    <w:r w:rsidR="00AE7864" w:rsidRPr="00F510B4">
      <w:rPr>
        <w:sz w:val="20"/>
        <w:szCs w:val="20"/>
      </w:rPr>
      <w:t xml:space="preserve"> (anotācija)</w:t>
    </w:r>
    <w:r w:rsidR="00AE7864">
      <w:rPr>
        <w:sz w:val="20"/>
        <w:szCs w:val="20"/>
      </w:rPr>
      <w:t xml:space="preserve"> </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BD" w:rsidRDefault="009D40BD">
      <w:r>
        <w:separator/>
      </w:r>
    </w:p>
  </w:footnote>
  <w:footnote w:type="continuationSeparator" w:id="0">
    <w:p w:rsidR="009D40BD" w:rsidRDefault="009D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Default="00FA7BF0" w:rsidP="003C449B">
    <w:pPr>
      <w:pStyle w:val="Header"/>
      <w:framePr w:wrap="around" w:vAnchor="text" w:hAnchor="margin" w:xAlign="center" w:y="1"/>
      <w:rPr>
        <w:rStyle w:val="PageNumber"/>
      </w:rPr>
    </w:pPr>
    <w:r>
      <w:rPr>
        <w:rStyle w:val="PageNumber"/>
      </w:rPr>
      <w:fldChar w:fldCharType="begin"/>
    </w:r>
    <w:r w:rsidR="00AE7864">
      <w:rPr>
        <w:rStyle w:val="PageNumber"/>
      </w:rPr>
      <w:instrText xml:space="preserve">PAGE  </w:instrText>
    </w:r>
    <w:r>
      <w:rPr>
        <w:rStyle w:val="PageNumber"/>
      </w:rPr>
      <w:fldChar w:fldCharType="end"/>
    </w:r>
  </w:p>
  <w:p w:rsidR="00AE7864" w:rsidRDefault="00AE7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Default="00FA7BF0" w:rsidP="003C449B">
    <w:pPr>
      <w:pStyle w:val="Header"/>
      <w:framePr w:wrap="around" w:vAnchor="text" w:hAnchor="margin" w:xAlign="center" w:y="1"/>
      <w:rPr>
        <w:rStyle w:val="PageNumber"/>
      </w:rPr>
    </w:pPr>
    <w:r>
      <w:rPr>
        <w:rStyle w:val="PageNumber"/>
      </w:rPr>
      <w:fldChar w:fldCharType="begin"/>
    </w:r>
    <w:r w:rsidR="00AE7864">
      <w:rPr>
        <w:rStyle w:val="PageNumber"/>
      </w:rPr>
      <w:instrText xml:space="preserve">PAGE  </w:instrText>
    </w:r>
    <w:r>
      <w:rPr>
        <w:rStyle w:val="PageNumber"/>
      </w:rPr>
      <w:fldChar w:fldCharType="separate"/>
    </w:r>
    <w:r w:rsidR="00B95618">
      <w:rPr>
        <w:rStyle w:val="PageNumber"/>
        <w:noProof/>
      </w:rPr>
      <w:t>10</w:t>
    </w:r>
    <w:r>
      <w:rPr>
        <w:rStyle w:val="PageNumber"/>
      </w:rPr>
      <w:fldChar w:fldCharType="end"/>
    </w:r>
  </w:p>
  <w:p w:rsidR="00AE7864" w:rsidRDefault="00AE7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41C"/>
    <w:multiLevelType w:val="hybridMultilevel"/>
    <w:tmpl w:val="A2B4544C"/>
    <w:lvl w:ilvl="0" w:tplc="D5DE5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EE7FBC"/>
    <w:multiLevelType w:val="hybridMultilevel"/>
    <w:tmpl w:val="948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5343EA6"/>
    <w:multiLevelType w:val="hybridMultilevel"/>
    <w:tmpl w:val="948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D38239F"/>
    <w:multiLevelType w:val="hybridMultilevel"/>
    <w:tmpl w:val="B38807FC"/>
    <w:lvl w:ilvl="0" w:tplc="E2F2E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4"/>
  </w:num>
  <w:num w:numId="4">
    <w:abstractNumId w:val="2"/>
  </w:num>
  <w:num w:numId="5">
    <w:abstractNumId w:val="1"/>
  </w:num>
  <w:num w:numId="6">
    <w:abstractNumId w:val="12"/>
  </w:num>
  <w:num w:numId="7">
    <w:abstractNumId w:val="16"/>
  </w:num>
  <w:num w:numId="8">
    <w:abstractNumId w:val="8"/>
  </w:num>
  <w:num w:numId="9">
    <w:abstractNumId w:val="3"/>
  </w:num>
  <w:num w:numId="10">
    <w:abstractNumId w:val="9"/>
  </w:num>
  <w:num w:numId="11">
    <w:abstractNumId w:val="10"/>
  </w:num>
  <w:num w:numId="12">
    <w:abstractNumId w:val="13"/>
  </w:num>
  <w:num w:numId="13">
    <w:abstractNumId w:val="14"/>
  </w:num>
  <w:num w:numId="14">
    <w:abstractNumId w:val="11"/>
  </w:num>
  <w:num w:numId="15">
    <w:abstractNumId w:val="0"/>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147A7"/>
    <w:rsid w:val="000157C7"/>
    <w:rsid w:val="00020FE1"/>
    <w:rsid w:val="00022E13"/>
    <w:rsid w:val="00025552"/>
    <w:rsid w:val="00027639"/>
    <w:rsid w:val="00030FC0"/>
    <w:rsid w:val="00031FA2"/>
    <w:rsid w:val="00032388"/>
    <w:rsid w:val="00035CE2"/>
    <w:rsid w:val="00041DB8"/>
    <w:rsid w:val="00046577"/>
    <w:rsid w:val="00050254"/>
    <w:rsid w:val="00052E94"/>
    <w:rsid w:val="0005553B"/>
    <w:rsid w:val="000604D2"/>
    <w:rsid w:val="00060B7A"/>
    <w:rsid w:val="0006162D"/>
    <w:rsid w:val="00065067"/>
    <w:rsid w:val="0009005E"/>
    <w:rsid w:val="000901B8"/>
    <w:rsid w:val="00092FA1"/>
    <w:rsid w:val="000941C5"/>
    <w:rsid w:val="00094CE7"/>
    <w:rsid w:val="000A380C"/>
    <w:rsid w:val="000A5827"/>
    <w:rsid w:val="000A631B"/>
    <w:rsid w:val="000A6451"/>
    <w:rsid w:val="000B064E"/>
    <w:rsid w:val="000B2AA5"/>
    <w:rsid w:val="000B69CF"/>
    <w:rsid w:val="000C32E0"/>
    <w:rsid w:val="000C66DE"/>
    <w:rsid w:val="000C6994"/>
    <w:rsid w:val="000C790C"/>
    <w:rsid w:val="000E193B"/>
    <w:rsid w:val="000E535E"/>
    <w:rsid w:val="000F061D"/>
    <w:rsid w:val="000F4794"/>
    <w:rsid w:val="000F6B39"/>
    <w:rsid w:val="001039B1"/>
    <w:rsid w:val="00103FFB"/>
    <w:rsid w:val="001062C4"/>
    <w:rsid w:val="00112602"/>
    <w:rsid w:val="00113127"/>
    <w:rsid w:val="00124F12"/>
    <w:rsid w:val="00131CF5"/>
    <w:rsid w:val="00144E3A"/>
    <w:rsid w:val="0015060C"/>
    <w:rsid w:val="00153CF8"/>
    <w:rsid w:val="00156D77"/>
    <w:rsid w:val="0016018A"/>
    <w:rsid w:val="00161F0E"/>
    <w:rsid w:val="001627E6"/>
    <w:rsid w:val="00170E2A"/>
    <w:rsid w:val="00177394"/>
    <w:rsid w:val="00182C18"/>
    <w:rsid w:val="00183CC2"/>
    <w:rsid w:val="001900E4"/>
    <w:rsid w:val="00190F88"/>
    <w:rsid w:val="0019161F"/>
    <w:rsid w:val="00197A6F"/>
    <w:rsid w:val="00197E0C"/>
    <w:rsid w:val="001A33E1"/>
    <w:rsid w:val="001A35F2"/>
    <w:rsid w:val="001A4066"/>
    <w:rsid w:val="001A6AE4"/>
    <w:rsid w:val="001B01FD"/>
    <w:rsid w:val="001B14D1"/>
    <w:rsid w:val="001B2720"/>
    <w:rsid w:val="001B4A71"/>
    <w:rsid w:val="001B646C"/>
    <w:rsid w:val="001B7407"/>
    <w:rsid w:val="001C0207"/>
    <w:rsid w:val="001C40D6"/>
    <w:rsid w:val="001D5B54"/>
    <w:rsid w:val="001E1DBF"/>
    <w:rsid w:val="001E4639"/>
    <w:rsid w:val="001E4857"/>
    <w:rsid w:val="001E4A7D"/>
    <w:rsid w:val="001F19F1"/>
    <w:rsid w:val="001F4209"/>
    <w:rsid w:val="001F43A8"/>
    <w:rsid w:val="001F5CD6"/>
    <w:rsid w:val="00204A43"/>
    <w:rsid w:val="00206529"/>
    <w:rsid w:val="0021263D"/>
    <w:rsid w:val="00213F0C"/>
    <w:rsid w:val="00214094"/>
    <w:rsid w:val="0021592D"/>
    <w:rsid w:val="00215B07"/>
    <w:rsid w:val="002204F5"/>
    <w:rsid w:val="002223D3"/>
    <w:rsid w:val="00222BA2"/>
    <w:rsid w:val="00222D76"/>
    <w:rsid w:val="00223EB1"/>
    <w:rsid w:val="00224B65"/>
    <w:rsid w:val="00231344"/>
    <w:rsid w:val="0023436E"/>
    <w:rsid w:val="002347C0"/>
    <w:rsid w:val="00241A6C"/>
    <w:rsid w:val="00241BF4"/>
    <w:rsid w:val="00242D2B"/>
    <w:rsid w:val="00243069"/>
    <w:rsid w:val="00245503"/>
    <w:rsid w:val="002504E9"/>
    <w:rsid w:val="002518FC"/>
    <w:rsid w:val="00251B87"/>
    <w:rsid w:val="00262E2B"/>
    <w:rsid w:val="00265832"/>
    <w:rsid w:val="00270429"/>
    <w:rsid w:val="00271D99"/>
    <w:rsid w:val="002723E9"/>
    <w:rsid w:val="00277929"/>
    <w:rsid w:val="002825FA"/>
    <w:rsid w:val="00283B82"/>
    <w:rsid w:val="002846E9"/>
    <w:rsid w:val="00284C34"/>
    <w:rsid w:val="00286884"/>
    <w:rsid w:val="0029066C"/>
    <w:rsid w:val="002A019C"/>
    <w:rsid w:val="002B50DB"/>
    <w:rsid w:val="002C0674"/>
    <w:rsid w:val="002C12AB"/>
    <w:rsid w:val="002C2123"/>
    <w:rsid w:val="002C229B"/>
    <w:rsid w:val="002C34F5"/>
    <w:rsid w:val="002C7CAC"/>
    <w:rsid w:val="002D3306"/>
    <w:rsid w:val="002D48AA"/>
    <w:rsid w:val="002D7BAA"/>
    <w:rsid w:val="002D7F54"/>
    <w:rsid w:val="002E2FA1"/>
    <w:rsid w:val="002E3A53"/>
    <w:rsid w:val="002E3FF4"/>
    <w:rsid w:val="002E6264"/>
    <w:rsid w:val="002F78C8"/>
    <w:rsid w:val="00301CF3"/>
    <w:rsid w:val="003022A2"/>
    <w:rsid w:val="003055E7"/>
    <w:rsid w:val="00306852"/>
    <w:rsid w:val="00307A97"/>
    <w:rsid w:val="00316D16"/>
    <w:rsid w:val="003206F7"/>
    <w:rsid w:val="003261B7"/>
    <w:rsid w:val="0032715C"/>
    <w:rsid w:val="00332EC6"/>
    <w:rsid w:val="00337CA5"/>
    <w:rsid w:val="003516E3"/>
    <w:rsid w:val="00362478"/>
    <w:rsid w:val="00367C3B"/>
    <w:rsid w:val="00375B25"/>
    <w:rsid w:val="00376E27"/>
    <w:rsid w:val="0038132C"/>
    <w:rsid w:val="00383B2E"/>
    <w:rsid w:val="00396542"/>
    <w:rsid w:val="0039685B"/>
    <w:rsid w:val="003A31A6"/>
    <w:rsid w:val="003A55C5"/>
    <w:rsid w:val="003A7F0C"/>
    <w:rsid w:val="003A7F79"/>
    <w:rsid w:val="003B195B"/>
    <w:rsid w:val="003B6404"/>
    <w:rsid w:val="003B6D22"/>
    <w:rsid w:val="003C449B"/>
    <w:rsid w:val="003C7145"/>
    <w:rsid w:val="003D15C6"/>
    <w:rsid w:val="003D21FF"/>
    <w:rsid w:val="003D3158"/>
    <w:rsid w:val="003D3FA3"/>
    <w:rsid w:val="003E0CFF"/>
    <w:rsid w:val="003E1B4D"/>
    <w:rsid w:val="003F0112"/>
    <w:rsid w:val="003F071A"/>
    <w:rsid w:val="003F160B"/>
    <w:rsid w:val="003F796A"/>
    <w:rsid w:val="00400032"/>
    <w:rsid w:val="00400B5B"/>
    <w:rsid w:val="00403DC0"/>
    <w:rsid w:val="00405A00"/>
    <w:rsid w:val="004076DB"/>
    <w:rsid w:val="004108F7"/>
    <w:rsid w:val="00413E2D"/>
    <w:rsid w:val="00414291"/>
    <w:rsid w:val="00420870"/>
    <w:rsid w:val="00425E14"/>
    <w:rsid w:val="00430B04"/>
    <w:rsid w:val="00432D0C"/>
    <w:rsid w:val="0043791B"/>
    <w:rsid w:val="00440AED"/>
    <w:rsid w:val="004411F3"/>
    <w:rsid w:val="00441483"/>
    <w:rsid w:val="00441BCB"/>
    <w:rsid w:val="0045176A"/>
    <w:rsid w:val="00452BA5"/>
    <w:rsid w:val="00455179"/>
    <w:rsid w:val="00456332"/>
    <w:rsid w:val="00461826"/>
    <w:rsid w:val="004620BF"/>
    <w:rsid w:val="00470013"/>
    <w:rsid w:val="00471F21"/>
    <w:rsid w:val="00473C70"/>
    <w:rsid w:val="004800F9"/>
    <w:rsid w:val="004840B2"/>
    <w:rsid w:val="004847E2"/>
    <w:rsid w:val="0048779B"/>
    <w:rsid w:val="0049134A"/>
    <w:rsid w:val="00496A89"/>
    <w:rsid w:val="004A05EF"/>
    <w:rsid w:val="004A2C82"/>
    <w:rsid w:val="004A53FF"/>
    <w:rsid w:val="004A58CB"/>
    <w:rsid w:val="004B1795"/>
    <w:rsid w:val="004B56DD"/>
    <w:rsid w:val="004C020F"/>
    <w:rsid w:val="004C1AFD"/>
    <w:rsid w:val="004C558B"/>
    <w:rsid w:val="004D0B68"/>
    <w:rsid w:val="004E0BC4"/>
    <w:rsid w:val="004F1F88"/>
    <w:rsid w:val="004F443F"/>
    <w:rsid w:val="004F5F1B"/>
    <w:rsid w:val="004F67DF"/>
    <w:rsid w:val="00502374"/>
    <w:rsid w:val="005060A1"/>
    <w:rsid w:val="00514B97"/>
    <w:rsid w:val="00514E83"/>
    <w:rsid w:val="00514FCE"/>
    <w:rsid w:val="005155BC"/>
    <w:rsid w:val="0051565F"/>
    <w:rsid w:val="00516072"/>
    <w:rsid w:val="00531063"/>
    <w:rsid w:val="005332EC"/>
    <w:rsid w:val="00534418"/>
    <w:rsid w:val="005353AB"/>
    <w:rsid w:val="005363EB"/>
    <w:rsid w:val="00555101"/>
    <w:rsid w:val="005560BC"/>
    <w:rsid w:val="005573BE"/>
    <w:rsid w:val="00557B4A"/>
    <w:rsid w:val="00565694"/>
    <w:rsid w:val="00571028"/>
    <w:rsid w:val="00572700"/>
    <w:rsid w:val="0057520A"/>
    <w:rsid w:val="00580468"/>
    <w:rsid w:val="00582231"/>
    <w:rsid w:val="00582A10"/>
    <w:rsid w:val="00584C46"/>
    <w:rsid w:val="00585377"/>
    <w:rsid w:val="0058603B"/>
    <w:rsid w:val="0059431B"/>
    <w:rsid w:val="005A39CC"/>
    <w:rsid w:val="005A3C46"/>
    <w:rsid w:val="005B3897"/>
    <w:rsid w:val="005B4730"/>
    <w:rsid w:val="005B5A24"/>
    <w:rsid w:val="005C70FA"/>
    <w:rsid w:val="005D00CD"/>
    <w:rsid w:val="005D351E"/>
    <w:rsid w:val="005E05D7"/>
    <w:rsid w:val="005E41E7"/>
    <w:rsid w:val="005E450F"/>
    <w:rsid w:val="005F4175"/>
    <w:rsid w:val="00602933"/>
    <w:rsid w:val="00616D20"/>
    <w:rsid w:val="0062298A"/>
    <w:rsid w:val="00626514"/>
    <w:rsid w:val="00626589"/>
    <w:rsid w:val="00626E62"/>
    <w:rsid w:val="006339A0"/>
    <w:rsid w:val="00634D07"/>
    <w:rsid w:val="0063634A"/>
    <w:rsid w:val="006413A8"/>
    <w:rsid w:val="00641F82"/>
    <w:rsid w:val="00641FAD"/>
    <w:rsid w:val="00642E56"/>
    <w:rsid w:val="00647339"/>
    <w:rsid w:val="00651E00"/>
    <w:rsid w:val="00663BD4"/>
    <w:rsid w:val="00672CC6"/>
    <w:rsid w:val="00674572"/>
    <w:rsid w:val="00687763"/>
    <w:rsid w:val="006929AC"/>
    <w:rsid w:val="00692B0D"/>
    <w:rsid w:val="00693E0E"/>
    <w:rsid w:val="006A1AE3"/>
    <w:rsid w:val="006A29B7"/>
    <w:rsid w:val="006A4AA0"/>
    <w:rsid w:val="006B3470"/>
    <w:rsid w:val="006B67B8"/>
    <w:rsid w:val="006C30E1"/>
    <w:rsid w:val="006C418A"/>
    <w:rsid w:val="006C4607"/>
    <w:rsid w:val="006D48F1"/>
    <w:rsid w:val="006E044E"/>
    <w:rsid w:val="006E1A03"/>
    <w:rsid w:val="006E626B"/>
    <w:rsid w:val="006F45BE"/>
    <w:rsid w:val="006F61DA"/>
    <w:rsid w:val="007004FC"/>
    <w:rsid w:val="00706548"/>
    <w:rsid w:val="00706670"/>
    <w:rsid w:val="00710F56"/>
    <w:rsid w:val="00711F59"/>
    <w:rsid w:val="00716B15"/>
    <w:rsid w:val="00720B2E"/>
    <w:rsid w:val="0072165A"/>
    <w:rsid w:val="0072402B"/>
    <w:rsid w:val="0072417C"/>
    <w:rsid w:val="00734450"/>
    <w:rsid w:val="00740BC1"/>
    <w:rsid w:val="0074392E"/>
    <w:rsid w:val="007444A8"/>
    <w:rsid w:val="00745F67"/>
    <w:rsid w:val="0075039E"/>
    <w:rsid w:val="007526D3"/>
    <w:rsid w:val="00752D9D"/>
    <w:rsid w:val="00754784"/>
    <w:rsid w:val="00757C6E"/>
    <w:rsid w:val="00762BDA"/>
    <w:rsid w:val="0076757D"/>
    <w:rsid w:val="007770F4"/>
    <w:rsid w:val="007805FD"/>
    <w:rsid w:val="00780D84"/>
    <w:rsid w:val="00782C97"/>
    <w:rsid w:val="00784422"/>
    <w:rsid w:val="007846C3"/>
    <w:rsid w:val="00785198"/>
    <w:rsid w:val="00785786"/>
    <w:rsid w:val="007B102B"/>
    <w:rsid w:val="007B3B54"/>
    <w:rsid w:val="007B3FA0"/>
    <w:rsid w:val="007B43BB"/>
    <w:rsid w:val="007B5343"/>
    <w:rsid w:val="007C0F2C"/>
    <w:rsid w:val="007C24AD"/>
    <w:rsid w:val="007C2BCC"/>
    <w:rsid w:val="007C4EF0"/>
    <w:rsid w:val="007C5993"/>
    <w:rsid w:val="007D099D"/>
    <w:rsid w:val="007E2664"/>
    <w:rsid w:val="007E28B0"/>
    <w:rsid w:val="007E3ABF"/>
    <w:rsid w:val="007E5BFA"/>
    <w:rsid w:val="007E6689"/>
    <w:rsid w:val="007E731C"/>
    <w:rsid w:val="007F0A03"/>
    <w:rsid w:val="00806D9C"/>
    <w:rsid w:val="00810040"/>
    <w:rsid w:val="008112C5"/>
    <w:rsid w:val="0082023A"/>
    <w:rsid w:val="00821A7A"/>
    <w:rsid w:val="008253F8"/>
    <w:rsid w:val="00826F2D"/>
    <w:rsid w:val="00827409"/>
    <w:rsid w:val="00827E29"/>
    <w:rsid w:val="008325E4"/>
    <w:rsid w:val="00832A2B"/>
    <w:rsid w:val="00835D6B"/>
    <w:rsid w:val="00845811"/>
    <w:rsid w:val="00846994"/>
    <w:rsid w:val="00850451"/>
    <w:rsid w:val="00852042"/>
    <w:rsid w:val="008534C9"/>
    <w:rsid w:val="008556E5"/>
    <w:rsid w:val="0085599D"/>
    <w:rsid w:val="00867017"/>
    <w:rsid w:val="0087510C"/>
    <w:rsid w:val="00882A69"/>
    <w:rsid w:val="00885E62"/>
    <w:rsid w:val="00894516"/>
    <w:rsid w:val="008968D2"/>
    <w:rsid w:val="0089738E"/>
    <w:rsid w:val="008977B0"/>
    <w:rsid w:val="008A419E"/>
    <w:rsid w:val="008B5FDB"/>
    <w:rsid w:val="008C50F4"/>
    <w:rsid w:val="008C5649"/>
    <w:rsid w:val="008D01E9"/>
    <w:rsid w:val="008D280F"/>
    <w:rsid w:val="008D396D"/>
    <w:rsid w:val="008E44A2"/>
    <w:rsid w:val="008E697D"/>
    <w:rsid w:val="008E6A76"/>
    <w:rsid w:val="008E77E9"/>
    <w:rsid w:val="008F0666"/>
    <w:rsid w:val="008F61AB"/>
    <w:rsid w:val="00903263"/>
    <w:rsid w:val="00906A21"/>
    <w:rsid w:val="009079C3"/>
    <w:rsid w:val="00910324"/>
    <w:rsid w:val="00910462"/>
    <w:rsid w:val="009109F6"/>
    <w:rsid w:val="00915AB1"/>
    <w:rsid w:val="00917532"/>
    <w:rsid w:val="00920796"/>
    <w:rsid w:val="0092217C"/>
    <w:rsid w:val="009235BA"/>
    <w:rsid w:val="00924023"/>
    <w:rsid w:val="00924CE2"/>
    <w:rsid w:val="00925B9F"/>
    <w:rsid w:val="00931AED"/>
    <w:rsid w:val="009327E8"/>
    <w:rsid w:val="0093661A"/>
    <w:rsid w:val="00944A67"/>
    <w:rsid w:val="00944CC6"/>
    <w:rsid w:val="009450F1"/>
    <w:rsid w:val="0094533A"/>
    <w:rsid w:val="009476A3"/>
    <w:rsid w:val="009524D3"/>
    <w:rsid w:val="0095334F"/>
    <w:rsid w:val="00961148"/>
    <w:rsid w:val="00965897"/>
    <w:rsid w:val="0096630A"/>
    <w:rsid w:val="0096765C"/>
    <w:rsid w:val="009727E4"/>
    <w:rsid w:val="00975873"/>
    <w:rsid w:val="00975D4D"/>
    <w:rsid w:val="00982908"/>
    <w:rsid w:val="00984A4D"/>
    <w:rsid w:val="00984F92"/>
    <w:rsid w:val="009934C5"/>
    <w:rsid w:val="009944A9"/>
    <w:rsid w:val="00994C0F"/>
    <w:rsid w:val="009A2C8E"/>
    <w:rsid w:val="009A2E58"/>
    <w:rsid w:val="009B22D7"/>
    <w:rsid w:val="009B4BB1"/>
    <w:rsid w:val="009B72ED"/>
    <w:rsid w:val="009C6DEB"/>
    <w:rsid w:val="009D0017"/>
    <w:rsid w:val="009D40BD"/>
    <w:rsid w:val="009D6504"/>
    <w:rsid w:val="009E12D7"/>
    <w:rsid w:val="009E2CB0"/>
    <w:rsid w:val="009E40C5"/>
    <w:rsid w:val="009E5705"/>
    <w:rsid w:val="009E661A"/>
    <w:rsid w:val="009E770F"/>
    <w:rsid w:val="009F3834"/>
    <w:rsid w:val="009F7BC9"/>
    <w:rsid w:val="00A00AA4"/>
    <w:rsid w:val="00A06781"/>
    <w:rsid w:val="00A074C3"/>
    <w:rsid w:val="00A106E0"/>
    <w:rsid w:val="00A1509C"/>
    <w:rsid w:val="00A20419"/>
    <w:rsid w:val="00A21E38"/>
    <w:rsid w:val="00A23E46"/>
    <w:rsid w:val="00A249B9"/>
    <w:rsid w:val="00A34260"/>
    <w:rsid w:val="00A35B35"/>
    <w:rsid w:val="00A36AEF"/>
    <w:rsid w:val="00A56775"/>
    <w:rsid w:val="00A60E6D"/>
    <w:rsid w:val="00A70CFD"/>
    <w:rsid w:val="00A721FB"/>
    <w:rsid w:val="00A72A0B"/>
    <w:rsid w:val="00A81033"/>
    <w:rsid w:val="00A81E42"/>
    <w:rsid w:val="00A864FE"/>
    <w:rsid w:val="00A86F41"/>
    <w:rsid w:val="00A87D04"/>
    <w:rsid w:val="00A93861"/>
    <w:rsid w:val="00A950C5"/>
    <w:rsid w:val="00AA1D25"/>
    <w:rsid w:val="00AA2965"/>
    <w:rsid w:val="00AA57DB"/>
    <w:rsid w:val="00AB1B5E"/>
    <w:rsid w:val="00AB2B1A"/>
    <w:rsid w:val="00AB397F"/>
    <w:rsid w:val="00AB5832"/>
    <w:rsid w:val="00AC51F2"/>
    <w:rsid w:val="00AD3269"/>
    <w:rsid w:val="00AD508C"/>
    <w:rsid w:val="00AE5066"/>
    <w:rsid w:val="00AE5E24"/>
    <w:rsid w:val="00AE61B7"/>
    <w:rsid w:val="00AE6CBA"/>
    <w:rsid w:val="00AE6FEF"/>
    <w:rsid w:val="00AE7864"/>
    <w:rsid w:val="00AE79AD"/>
    <w:rsid w:val="00AF35E4"/>
    <w:rsid w:val="00AF5CDE"/>
    <w:rsid w:val="00B02A19"/>
    <w:rsid w:val="00B07A6C"/>
    <w:rsid w:val="00B11A57"/>
    <w:rsid w:val="00B13844"/>
    <w:rsid w:val="00B172CA"/>
    <w:rsid w:val="00B211C3"/>
    <w:rsid w:val="00B25597"/>
    <w:rsid w:val="00B267B9"/>
    <w:rsid w:val="00B32F76"/>
    <w:rsid w:val="00B33E09"/>
    <w:rsid w:val="00B42E11"/>
    <w:rsid w:val="00B43EE5"/>
    <w:rsid w:val="00B50708"/>
    <w:rsid w:val="00B50C68"/>
    <w:rsid w:val="00B51293"/>
    <w:rsid w:val="00B52B1E"/>
    <w:rsid w:val="00B52CF4"/>
    <w:rsid w:val="00B55481"/>
    <w:rsid w:val="00B55540"/>
    <w:rsid w:val="00B56C32"/>
    <w:rsid w:val="00B57ACF"/>
    <w:rsid w:val="00B614F7"/>
    <w:rsid w:val="00B61FA7"/>
    <w:rsid w:val="00B63AC8"/>
    <w:rsid w:val="00B64BB1"/>
    <w:rsid w:val="00B73166"/>
    <w:rsid w:val="00B83896"/>
    <w:rsid w:val="00B8426C"/>
    <w:rsid w:val="00B90203"/>
    <w:rsid w:val="00B91B8D"/>
    <w:rsid w:val="00B9285F"/>
    <w:rsid w:val="00B92A34"/>
    <w:rsid w:val="00B94930"/>
    <w:rsid w:val="00B94E90"/>
    <w:rsid w:val="00B95618"/>
    <w:rsid w:val="00BA0065"/>
    <w:rsid w:val="00BA372E"/>
    <w:rsid w:val="00BA5C6A"/>
    <w:rsid w:val="00BB0A82"/>
    <w:rsid w:val="00BB7C94"/>
    <w:rsid w:val="00BC0A9D"/>
    <w:rsid w:val="00BC4AE1"/>
    <w:rsid w:val="00BC50D4"/>
    <w:rsid w:val="00BD0646"/>
    <w:rsid w:val="00BE083D"/>
    <w:rsid w:val="00BE2DCE"/>
    <w:rsid w:val="00BF0547"/>
    <w:rsid w:val="00BF059E"/>
    <w:rsid w:val="00BF17C9"/>
    <w:rsid w:val="00BF40ED"/>
    <w:rsid w:val="00BF5BC2"/>
    <w:rsid w:val="00C01956"/>
    <w:rsid w:val="00C03C24"/>
    <w:rsid w:val="00C1133D"/>
    <w:rsid w:val="00C15800"/>
    <w:rsid w:val="00C238DD"/>
    <w:rsid w:val="00C24270"/>
    <w:rsid w:val="00C27A08"/>
    <w:rsid w:val="00C31312"/>
    <w:rsid w:val="00C31E36"/>
    <w:rsid w:val="00C326C6"/>
    <w:rsid w:val="00C32876"/>
    <w:rsid w:val="00C35295"/>
    <w:rsid w:val="00C354C3"/>
    <w:rsid w:val="00C36ADD"/>
    <w:rsid w:val="00C36E74"/>
    <w:rsid w:val="00C40595"/>
    <w:rsid w:val="00C41621"/>
    <w:rsid w:val="00C449FA"/>
    <w:rsid w:val="00C50808"/>
    <w:rsid w:val="00C5384F"/>
    <w:rsid w:val="00C5405A"/>
    <w:rsid w:val="00C5501B"/>
    <w:rsid w:val="00C56964"/>
    <w:rsid w:val="00C64B27"/>
    <w:rsid w:val="00C656D5"/>
    <w:rsid w:val="00C67103"/>
    <w:rsid w:val="00C673B2"/>
    <w:rsid w:val="00C71BB9"/>
    <w:rsid w:val="00C75401"/>
    <w:rsid w:val="00C83412"/>
    <w:rsid w:val="00C840BE"/>
    <w:rsid w:val="00C91FD0"/>
    <w:rsid w:val="00C94C28"/>
    <w:rsid w:val="00CA2A49"/>
    <w:rsid w:val="00CA480E"/>
    <w:rsid w:val="00CA5BEC"/>
    <w:rsid w:val="00CB0247"/>
    <w:rsid w:val="00CB1709"/>
    <w:rsid w:val="00CB2B21"/>
    <w:rsid w:val="00CB3440"/>
    <w:rsid w:val="00CC1692"/>
    <w:rsid w:val="00CC3A7E"/>
    <w:rsid w:val="00CD138B"/>
    <w:rsid w:val="00CD1CAE"/>
    <w:rsid w:val="00CD33A6"/>
    <w:rsid w:val="00CD3E31"/>
    <w:rsid w:val="00CD74A3"/>
    <w:rsid w:val="00CE0527"/>
    <w:rsid w:val="00CE5B23"/>
    <w:rsid w:val="00CF70AD"/>
    <w:rsid w:val="00CF7729"/>
    <w:rsid w:val="00D00059"/>
    <w:rsid w:val="00D0609D"/>
    <w:rsid w:val="00D07F40"/>
    <w:rsid w:val="00D107FA"/>
    <w:rsid w:val="00D12275"/>
    <w:rsid w:val="00D12766"/>
    <w:rsid w:val="00D12770"/>
    <w:rsid w:val="00D20FF4"/>
    <w:rsid w:val="00D24D2C"/>
    <w:rsid w:val="00D26AB1"/>
    <w:rsid w:val="00D35881"/>
    <w:rsid w:val="00D37F87"/>
    <w:rsid w:val="00D437AC"/>
    <w:rsid w:val="00D44ADF"/>
    <w:rsid w:val="00D606F7"/>
    <w:rsid w:val="00D635B6"/>
    <w:rsid w:val="00D65A91"/>
    <w:rsid w:val="00D71DF2"/>
    <w:rsid w:val="00D8340A"/>
    <w:rsid w:val="00D8634A"/>
    <w:rsid w:val="00D901F2"/>
    <w:rsid w:val="00D90C2D"/>
    <w:rsid w:val="00D920EC"/>
    <w:rsid w:val="00D93C61"/>
    <w:rsid w:val="00DA0685"/>
    <w:rsid w:val="00DA0BEF"/>
    <w:rsid w:val="00DA50E3"/>
    <w:rsid w:val="00DA59AC"/>
    <w:rsid w:val="00DA7DA5"/>
    <w:rsid w:val="00DB073B"/>
    <w:rsid w:val="00DB78F0"/>
    <w:rsid w:val="00DB7C38"/>
    <w:rsid w:val="00DC0CEA"/>
    <w:rsid w:val="00DC2E43"/>
    <w:rsid w:val="00DC3A38"/>
    <w:rsid w:val="00DC6023"/>
    <w:rsid w:val="00DD095C"/>
    <w:rsid w:val="00DD1020"/>
    <w:rsid w:val="00DD1330"/>
    <w:rsid w:val="00DD5C95"/>
    <w:rsid w:val="00DD7EF3"/>
    <w:rsid w:val="00DE0B83"/>
    <w:rsid w:val="00DE1A81"/>
    <w:rsid w:val="00DE1C13"/>
    <w:rsid w:val="00DE4E10"/>
    <w:rsid w:val="00E02ABF"/>
    <w:rsid w:val="00E12CB1"/>
    <w:rsid w:val="00E14995"/>
    <w:rsid w:val="00E162DD"/>
    <w:rsid w:val="00E179CD"/>
    <w:rsid w:val="00E23E8D"/>
    <w:rsid w:val="00E37F98"/>
    <w:rsid w:val="00E459B7"/>
    <w:rsid w:val="00E46559"/>
    <w:rsid w:val="00E52D07"/>
    <w:rsid w:val="00E6670C"/>
    <w:rsid w:val="00E776E8"/>
    <w:rsid w:val="00E833B4"/>
    <w:rsid w:val="00E86400"/>
    <w:rsid w:val="00E9299A"/>
    <w:rsid w:val="00E92C1F"/>
    <w:rsid w:val="00E9328B"/>
    <w:rsid w:val="00E95D4B"/>
    <w:rsid w:val="00EA03D8"/>
    <w:rsid w:val="00EB199F"/>
    <w:rsid w:val="00EB3476"/>
    <w:rsid w:val="00EB4A06"/>
    <w:rsid w:val="00EB5E71"/>
    <w:rsid w:val="00EC23F7"/>
    <w:rsid w:val="00EC4BD8"/>
    <w:rsid w:val="00EC63EB"/>
    <w:rsid w:val="00ED074C"/>
    <w:rsid w:val="00ED412F"/>
    <w:rsid w:val="00EF36B2"/>
    <w:rsid w:val="00F11126"/>
    <w:rsid w:val="00F1246B"/>
    <w:rsid w:val="00F12E71"/>
    <w:rsid w:val="00F201EC"/>
    <w:rsid w:val="00F208A9"/>
    <w:rsid w:val="00F2310B"/>
    <w:rsid w:val="00F30A15"/>
    <w:rsid w:val="00F41D75"/>
    <w:rsid w:val="00F46414"/>
    <w:rsid w:val="00F510B4"/>
    <w:rsid w:val="00F5139D"/>
    <w:rsid w:val="00F63DAC"/>
    <w:rsid w:val="00F7454F"/>
    <w:rsid w:val="00F77988"/>
    <w:rsid w:val="00F77F48"/>
    <w:rsid w:val="00F803A9"/>
    <w:rsid w:val="00F8573F"/>
    <w:rsid w:val="00F90628"/>
    <w:rsid w:val="00F931B1"/>
    <w:rsid w:val="00F93D4D"/>
    <w:rsid w:val="00F9646E"/>
    <w:rsid w:val="00FA7BF0"/>
    <w:rsid w:val="00FB1BE1"/>
    <w:rsid w:val="00FB30F1"/>
    <w:rsid w:val="00FB53E7"/>
    <w:rsid w:val="00FC1517"/>
    <w:rsid w:val="00FD2A8A"/>
    <w:rsid w:val="00FE1DE5"/>
    <w:rsid w:val="00FE5A02"/>
    <w:rsid w:val="00FE6B8C"/>
    <w:rsid w:val="00FF62AB"/>
    <w:rsid w:val="00FF6AEE"/>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F76"/>
    <w:rPr>
      <w:sz w:val="24"/>
      <w:szCs w:val="24"/>
    </w:rPr>
  </w:style>
  <w:style w:type="paragraph" w:styleId="Heading3">
    <w:name w:val="heading 3"/>
    <w:basedOn w:val="Normal"/>
    <w:next w:val="Normal"/>
    <w:link w:val="Heading3Char"/>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C83412"/>
    <w:pPr>
      <w:spacing w:before="100" w:beforeAutospacing="1" w:after="100" w:afterAutospacing="1"/>
    </w:pPr>
  </w:style>
  <w:style w:type="paragraph" w:styleId="NoSpacing">
    <w:name w:val="No Spacing"/>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character" w:customStyle="1" w:styleId="spelle">
    <w:name w:val="spelle"/>
    <w:basedOn w:val="DefaultParagraphFont"/>
    <w:rsid w:val="003D3FA3"/>
  </w:style>
  <w:style w:type="character" w:customStyle="1" w:styleId="Heading3Char">
    <w:name w:val="Heading 3 Char"/>
    <w:basedOn w:val="DefaultParagraphFont"/>
    <w:link w:val="Heading3"/>
    <w:uiPriority w:val="9"/>
    <w:semiHidden/>
    <w:rsid w:val="00706548"/>
    <w:rPr>
      <w:rFonts w:ascii="Cambria" w:eastAsia="Calibri" w:hAnsi="Cambria" w:cs="Times New Roman"/>
      <w:caps/>
      <w:color w:val="622423"/>
      <w:sz w:val="24"/>
      <w:szCs w:val="24"/>
      <w:lang w:val="lv-LV"/>
    </w:rPr>
  </w:style>
  <w:style w:type="paragraph" w:styleId="ListParagraph">
    <w:name w:val="List Paragraph"/>
    <w:basedOn w:val="Normal"/>
    <w:uiPriority w:val="34"/>
    <w:qFormat/>
    <w:rsid w:val="00AE7864"/>
    <w:pPr>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D9C6-BF2C-4137-9625-0708457E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2041</Words>
  <Characters>14357</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 </vt:lpstr>
    </vt:vector>
  </TitlesOfParts>
  <Company>Veselības ministrija</Company>
  <LinksUpToDate>false</LinksUpToDate>
  <CharactersWithSpaces>16366</CharactersWithSpaces>
  <SharedDoc>false</SharedDoc>
  <HLinks>
    <vt:vector size="6" baseType="variant">
      <vt:variant>
        <vt:i4>5439612</vt:i4>
      </vt:variant>
      <vt:variant>
        <vt:i4>0</vt:i4>
      </vt:variant>
      <vt:variant>
        <vt:i4>0</vt:i4>
      </vt:variant>
      <vt:variant>
        <vt:i4>5</vt:i4>
      </vt:variant>
      <vt:variant>
        <vt:lpwstr>mailto:Sandra.Dreimane@vm.gov.lv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Anotācijas projekts</dc:subject>
  <dc:creator>Sandra Kasparenko</dc:creator>
  <dc:description>67876147, Sandra.Kasparenko@vm.gov.lv, Budžeta un investīciju departamenta Budžeta plānošanas nodaļa</dc:description>
  <cp:lastModifiedBy>sdreimane</cp:lastModifiedBy>
  <cp:revision>42</cp:revision>
  <cp:lastPrinted>2013-12-02T09:11:00Z</cp:lastPrinted>
  <dcterms:created xsi:type="dcterms:W3CDTF">2014-05-06T08:02:00Z</dcterms:created>
  <dcterms:modified xsi:type="dcterms:W3CDTF">2014-06-04T07:39:00Z</dcterms:modified>
</cp:coreProperties>
</file>