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12" w:rsidRPr="00300157" w:rsidRDefault="00C83412" w:rsidP="00C83412">
      <w:pPr>
        <w:pStyle w:val="NormalWeb"/>
        <w:spacing w:before="0" w:beforeAutospacing="0" w:after="0" w:afterAutospacing="0"/>
        <w:jc w:val="center"/>
        <w:rPr>
          <w:b/>
          <w:bCs/>
          <w:sz w:val="28"/>
          <w:szCs w:val="28"/>
        </w:rPr>
      </w:pPr>
      <w:r w:rsidRPr="00300157">
        <w:rPr>
          <w:b/>
          <w:bCs/>
          <w:sz w:val="28"/>
          <w:szCs w:val="28"/>
        </w:rPr>
        <w:t>Ministru kabineta rīkojuma projekta „Par finanšu līdzekļu</w:t>
      </w:r>
    </w:p>
    <w:p w:rsidR="00C83412" w:rsidRPr="00300157" w:rsidRDefault="00C83412" w:rsidP="00C83412">
      <w:pPr>
        <w:pStyle w:val="NormalWeb"/>
        <w:spacing w:before="0" w:beforeAutospacing="0" w:after="0" w:afterAutospacing="0"/>
        <w:jc w:val="center"/>
        <w:rPr>
          <w:b/>
          <w:bCs/>
          <w:sz w:val="28"/>
          <w:szCs w:val="28"/>
        </w:rPr>
      </w:pPr>
      <w:r w:rsidRPr="00300157">
        <w:rPr>
          <w:b/>
          <w:bCs/>
          <w:sz w:val="28"/>
          <w:szCs w:val="28"/>
        </w:rPr>
        <w:t>piešķiršanu no valsts budžeta programmas „Līdzekļi neparedzētiem</w:t>
      </w:r>
    </w:p>
    <w:p w:rsidR="00C83412" w:rsidRPr="00300157" w:rsidRDefault="00C83412" w:rsidP="00C83412">
      <w:pPr>
        <w:pStyle w:val="NormalWeb"/>
        <w:spacing w:before="0" w:beforeAutospacing="0" w:after="0" w:afterAutospacing="0"/>
        <w:jc w:val="center"/>
        <w:rPr>
          <w:b/>
          <w:bCs/>
          <w:sz w:val="28"/>
          <w:szCs w:val="28"/>
        </w:rPr>
      </w:pPr>
      <w:r w:rsidRPr="00300157">
        <w:rPr>
          <w:b/>
          <w:bCs/>
          <w:sz w:val="28"/>
          <w:szCs w:val="28"/>
        </w:rPr>
        <w:t>gadījumiem”” sākotnējās ietekmes novērtējuma ziņojums (anotācija)</w:t>
      </w:r>
    </w:p>
    <w:p w:rsidR="008C5649" w:rsidRPr="00300157" w:rsidRDefault="008C5649" w:rsidP="00C83412">
      <w:pPr>
        <w:pStyle w:val="naislab"/>
        <w:spacing w:before="0" w:after="0"/>
        <w:jc w:val="center"/>
        <w:outlineLvl w:val="0"/>
        <w:rPr>
          <w:b/>
          <w:sz w:val="20"/>
          <w:szCs w:val="20"/>
        </w:rPr>
      </w:pPr>
    </w:p>
    <w:tbl>
      <w:tblPr>
        <w:tblpPr w:leftFromText="180" w:rightFromText="180" w:vertAnchor="text" w:horzAnchor="margin" w:tblpXSpec="center" w:tblpY="14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3"/>
        <w:gridCol w:w="2721"/>
        <w:gridCol w:w="6090"/>
      </w:tblGrid>
      <w:tr w:rsidR="00852042" w:rsidRPr="00300157" w:rsidTr="00185D7F">
        <w:tc>
          <w:tcPr>
            <w:tcW w:w="9214" w:type="dxa"/>
            <w:gridSpan w:val="3"/>
            <w:vAlign w:val="center"/>
          </w:tcPr>
          <w:p w:rsidR="00852042" w:rsidRPr="00300157" w:rsidRDefault="00852042" w:rsidP="006C4607">
            <w:pPr>
              <w:pStyle w:val="naisnod"/>
              <w:spacing w:before="0" w:after="0"/>
              <w:rPr>
                <w:sz w:val="28"/>
                <w:szCs w:val="28"/>
              </w:rPr>
            </w:pPr>
            <w:r w:rsidRPr="00300157">
              <w:rPr>
                <w:sz w:val="28"/>
                <w:szCs w:val="28"/>
              </w:rPr>
              <w:t>I</w:t>
            </w:r>
            <w:r w:rsidR="000941C5" w:rsidRPr="00300157">
              <w:rPr>
                <w:sz w:val="28"/>
                <w:szCs w:val="28"/>
              </w:rPr>
              <w:t>.</w:t>
            </w:r>
            <w:r w:rsidRPr="00300157">
              <w:rPr>
                <w:sz w:val="28"/>
                <w:szCs w:val="28"/>
              </w:rPr>
              <w:t xml:space="preserve"> Tiesību akta </w:t>
            </w:r>
            <w:r w:rsidR="002E3FF4" w:rsidRPr="00300157">
              <w:rPr>
                <w:sz w:val="28"/>
                <w:szCs w:val="28"/>
              </w:rPr>
              <w:t xml:space="preserve">projekta </w:t>
            </w:r>
            <w:r w:rsidRPr="00300157">
              <w:rPr>
                <w:sz w:val="28"/>
                <w:szCs w:val="28"/>
              </w:rPr>
              <w:t>izstrādes nepieciešamība</w:t>
            </w:r>
          </w:p>
        </w:tc>
      </w:tr>
      <w:tr w:rsidR="00262E2B" w:rsidRPr="00300157" w:rsidTr="00185D7F">
        <w:trPr>
          <w:trHeight w:val="630"/>
        </w:trPr>
        <w:tc>
          <w:tcPr>
            <w:tcW w:w="403" w:type="dxa"/>
          </w:tcPr>
          <w:p w:rsidR="00262E2B" w:rsidRPr="00300157" w:rsidRDefault="00262E2B" w:rsidP="006C4607">
            <w:pPr>
              <w:pStyle w:val="naiskr"/>
              <w:spacing w:before="0" w:after="0"/>
              <w:rPr>
                <w:sz w:val="28"/>
                <w:szCs w:val="28"/>
              </w:rPr>
            </w:pPr>
            <w:r w:rsidRPr="00300157">
              <w:rPr>
                <w:sz w:val="28"/>
                <w:szCs w:val="28"/>
              </w:rPr>
              <w:t>1.</w:t>
            </w:r>
          </w:p>
        </w:tc>
        <w:tc>
          <w:tcPr>
            <w:tcW w:w="2721" w:type="dxa"/>
          </w:tcPr>
          <w:p w:rsidR="00262E2B" w:rsidRPr="00300157" w:rsidRDefault="002D7F54" w:rsidP="006C4607">
            <w:pPr>
              <w:pStyle w:val="naiskr"/>
              <w:spacing w:before="0" w:after="0"/>
              <w:ind w:hanging="10"/>
              <w:rPr>
                <w:sz w:val="28"/>
                <w:szCs w:val="28"/>
              </w:rPr>
            </w:pPr>
            <w:r w:rsidRPr="00300157">
              <w:rPr>
                <w:sz w:val="28"/>
                <w:szCs w:val="28"/>
              </w:rPr>
              <w:t>Pamatojums</w:t>
            </w:r>
          </w:p>
        </w:tc>
        <w:tc>
          <w:tcPr>
            <w:tcW w:w="6090" w:type="dxa"/>
          </w:tcPr>
          <w:p w:rsidR="00BE2DCE" w:rsidRPr="00300157" w:rsidRDefault="00243069" w:rsidP="00BE2DCE">
            <w:pPr>
              <w:pStyle w:val="naiskr"/>
              <w:tabs>
                <w:tab w:val="left" w:pos="390"/>
              </w:tabs>
              <w:spacing w:before="0" w:after="0"/>
              <w:jc w:val="both"/>
              <w:rPr>
                <w:sz w:val="28"/>
                <w:szCs w:val="28"/>
              </w:rPr>
            </w:pPr>
            <w:r w:rsidRPr="00300157">
              <w:rPr>
                <w:sz w:val="28"/>
                <w:szCs w:val="28"/>
              </w:rPr>
              <w:t>Ministru kabineta 2009.gada 22.decembra noteikumu Nr.1644 „Kārtība, kādā pieprasa un izlieto budžeta programmas „Līdzekļi neparedzētiem gadījumiem” līdzekļus” 3.punkts,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p w:rsidR="00BD427C" w:rsidRPr="00300157" w:rsidRDefault="00BD427C" w:rsidP="006F5725">
            <w:pPr>
              <w:pStyle w:val="naiskr"/>
              <w:tabs>
                <w:tab w:val="left" w:pos="390"/>
              </w:tabs>
              <w:spacing w:before="0" w:after="0"/>
              <w:jc w:val="both"/>
              <w:rPr>
                <w:sz w:val="28"/>
                <w:szCs w:val="28"/>
              </w:rPr>
            </w:pPr>
            <w:r w:rsidRPr="00300157">
              <w:rPr>
                <w:sz w:val="28"/>
                <w:szCs w:val="28"/>
              </w:rPr>
              <w:t>Valsts un pašvaldību institūciju amatpersonu un darbinieku atlīdzības likum</w:t>
            </w:r>
            <w:r w:rsidR="006F5725" w:rsidRPr="00300157">
              <w:rPr>
                <w:sz w:val="28"/>
                <w:szCs w:val="28"/>
              </w:rPr>
              <w:t>a</w:t>
            </w:r>
            <w:r w:rsidRPr="00300157">
              <w:rPr>
                <w:sz w:val="28"/>
                <w:szCs w:val="28"/>
              </w:rPr>
              <w:t xml:space="preserve"> Pārejas noteikumu 27.punkts</w:t>
            </w:r>
            <w:r w:rsidR="00300157" w:rsidRPr="00300157">
              <w:rPr>
                <w:sz w:val="28"/>
                <w:szCs w:val="28"/>
              </w:rPr>
              <w:t>.</w:t>
            </w:r>
          </w:p>
        </w:tc>
      </w:tr>
      <w:tr w:rsidR="003F6BA1" w:rsidRPr="00300157" w:rsidTr="00185D7F">
        <w:trPr>
          <w:trHeight w:val="422"/>
        </w:trPr>
        <w:tc>
          <w:tcPr>
            <w:tcW w:w="403" w:type="dxa"/>
          </w:tcPr>
          <w:p w:rsidR="003F6BA1" w:rsidRPr="00300157" w:rsidRDefault="003F6BA1" w:rsidP="006C4607">
            <w:pPr>
              <w:pStyle w:val="naiskr"/>
              <w:spacing w:before="0" w:after="0"/>
              <w:rPr>
                <w:sz w:val="28"/>
                <w:szCs w:val="28"/>
              </w:rPr>
            </w:pPr>
          </w:p>
        </w:tc>
        <w:tc>
          <w:tcPr>
            <w:tcW w:w="2721" w:type="dxa"/>
          </w:tcPr>
          <w:p w:rsidR="003F6BA1" w:rsidRPr="00300157" w:rsidRDefault="003F6BA1" w:rsidP="006C4607">
            <w:pPr>
              <w:pStyle w:val="naiskr"/>
              <w:tabs>
                <w:tab w:val="left" w:pos="170"/>
              </w:tabs>
              <w:spacing w:before="0" w:after="0"/>
              <w:rPr>
                <w:sz w:val="28"/>
                <w:szCs w:val="28"/>
              </w:rPr>
            </w:pPr>
          </w:p>
        </w:tc>
        <w:tc>
          <w:tcPr>
            <w:tcW w:w="6090" w:type="dxa"/>
          </w:tcPr>
          <w:p w:rsidR="003F6BA1" w:rsidRPr="00300157" w:rsidRDefault="003F6BA1" w:rsidP="000E5C05">
            <w:pPr>
              <w:pStyle w:val="ListParagraph"/>
              <w:tabs>
                <w:tab w:val="left" w:pos="142"/>
              </w:tabs>
              <w:autoSpaceDE w:val="0"/>
              <w:autoSpaceDN w:val="0"/>
              <w:adjustRightInd w:val="0"/>
              <w:spacing w:after="0" w:line="240" w:lineRule="auto"/>
              <w:ind w:left="0"/>
              <w:jc w:val="both"/>
              <w:rPr>
                <w:rFonts w:ascii="Times New Roman" w:hAnsi="Times New Roman"/>
                <w:b/>
                <w:sz w:val="28"/>
                <w:szCs w:val="28"/>
                <w:u w:val="single"/>
              </w:rPr>
            </w:pPr>
          </w:p>
        </w:tc>
      </w:tr>
      <w:tr w:rsidR="00262E2B" w:rsidRPr="00064747" w:rsidTr="00185D7F">
        <w:trPr>
          <w:trHeight w:val="422"/>
        </w:trPr>
        <w:tc>
          <w:tcPr>
            <w:tcW w:w="403" w:type="dxa"/>
          </w:tcPr>
          <w:p w:rsidR="00262E2B" w:rsidRPr="00064747" w:rsidRDefault="00262E2B" w:rsidP="006C4607">
            <w:pPr>
              <w:pStyle w:val="naiskr"/>
              <w:spacing w:before="0" w:after="0"/>
              <w:rPr>
                <w:sz w:val="28"/>
                <w:szCs w:val="28"/>
              </w:rPr>
            </w:pPr>
            <w:r w:rsidRPr="00064747">
              <w:rPr>
                <w:sz w:val="28"/>
                <w:szCs w:val="28"/>
              </w:rPr>
              <w:t>2.</w:t>
            </w:r>
          </w:p>
        </w:tc>
        <w:tc>
          <w:tcPr>
            <w:tcW w:w="2721" w:type="dxa"/>
          </w:tcPr>
          <w:p w:rsidR="00262E2B" w:rsidRPr="00064747" w:rsidRDefault="00262E2B" w:rsidP="006C4607">
            <w:pPr>
              <w:pStyle w:val="naiskr"/>
              <w:tabs>
                <w:tab w:val="left" w:pos="170"/>
              </w:tabs>
              <w:spacing w:before="0" w:after="0"/>
              <w:rPr>
                <w:sz w:val="28"/>
                <w:szCs w:val="28"/>
              </w:rPr>
            </w:pPr>
            <w:r w:rsidRPr="00064747">
              <w:rPr>
                <w:sz w:val="28"/>
                <w:szCs w:val="28"/>
              </w:rPr>
              <w:t>Pašreizējā situācija</w:t>
            </w:r>
            <w:r w:rsidR="001F5CD6" w:rsidRPr="00064747">
              <w:rPr>
                <w:sz w:val="28"/>
                <w:szCs w:val="28"/>
              </w:rPr>
              <w:t xml:space="preserve"> un problēmas</w:t>
            </w:r>
            <w:r w:rsidR="006E626B" w:rsidRPr="00064747">
              <w:rPr>
                <w:sz w:val="28"/>
                <w:szCs w:val="28"/>
              </w:rPr>
              <w:t>, kuru risināšanai tiesību akta projekts izstrādāts,  tiesiskā regulējuma mērķis un būtīb</w:t>
            </w:r>
            <w:r w:rsidR="007E5843" w:rsidRPr="00064747">
              <w:rPr>
                <w:sz w:val="28"/>
                <w:szCs w:val="28"/>
              </w:rPr>
              <w:t>a</w:t>
            </w:r>
          </w:p>
        </w:tc>
        <w:tc>
          <w:tcPr>
            <w:tcW w:w="6090" w:type="dxa"/>
          </w:tcPr>
          <w:p w:rsidR="000E5C05" w:rsidRPr="00064747" w:rsidRDefault="00851C99" w:rsidP="000E5C05">
            <w:pPr>
              <w:pStyle w:val="ListParagraph"/>
              <w:tabs>
                <w:tab w:val="left" w:pos="142"/>
              </w:tabs>
              <w:autoSpaceDE w:val="0"/>
              <w:autoSpaceDN w:val="0"/>
              <w:adjustRightInd w:val="0"/>
              <w:spacing w:after="0" w:line="240" w:lineRule="auto"/>
              <w:ind w:left="0"/>
              <w:jc w:val="both"/>
              <w:rPr>
                <w:rFonts w:ascii="Times New Roman" w:hAnsi="Times New Roman"/>
                <w:sz w:val="28"/>
                <w:szCs w:val="28"/>
                <w:lang w:val="lv-LV"/>
              </w:rPr>
            </w:pPr>
            <w:proofErr w:type="gramStart"/>
            <w:r w:rsidRPr="00064747">
              <w:rPr>
                <w:rFonts w:ascii="Times New Roman" w:hAnsi="Times New Roman"/>
                <w:b/>
                <w:sz w:val="28"/>
                <w:szCs w:val="28"/>
                <w:u w:val="single"/>
              </w:rPr>
              <w:t>1.</w:t>
            </w:r>
            <w:r w:rsidR="000E5C05" w:rsidRPr="00064747">
              <w:rPr>
                <w:rFonts w:ascii="Times New Roman" w:hAnsi="Times New Roman"/>
                <w:sz w:val="28"/>
                <w:szCs w:val="28"/>
                <w:u w:val="single"/>
              </w:rPr>
              <w:t>Ir</w:t>
            </w:r>
            <w:proofErr w:type="gramEnd"/>
            <w:r w:rsidR="000E5C05" w:rsidRPr="00064747">
              <w:rPr>
                <w:rFonts w:ascii="Times New Roman" w:hAnsi="Times New Roman"/>
                <w:sz w:val="28"/>
                <w:szCs w:val="28"/>
                <w:u w:val="single"/>
              </w:rPr>
              <w:t xml:space="preserve"> </w:t>
            </w:r>
            <w:r w:rsidR="000E5C05" w:rsidRPr="00064747">
              <w:rPr>
                <w:rFonts w:ascii="Times New Roman" w:hAnsi="Times New Roman"/>
                <w:sz w:val="28"/>
                <w:szCs w:val="28"/>
                <w:u w:val="single"/>
                <w:lang w:val="lv-LV"/>
              </w:rPr>
              <w:t>nepieciešami papildus līdzekļi, lai veiktu</w:t>
            </w:r>
            <w:r w:rsidR="000E5C05" w:rsidRPr="00064747">
              <w:rPr>
                <w:rFonts w:ascii="Times New Roman" w:hAnsi="Times New Roman"/>
                <w:sz w:val="28"/>
                <w:szCs w:val="28"/>
                <w:u w:val="single"/>
              </w:rPr>
              <w:t xml:space="preserve"> </w:t>
            </w:r>
            <w:r w:rsidR="000E5C05" w:rsidRPr="00064747">
              <w:rPr>
                <w:rFonts w:ascii="Times New Roman" w:hAnsi="Times New Roman"/>
                <w:sz w:val="28"/>
                <w:szCs w:val="28"/>
                <w:lang w:val="lv-LV"/>
              </w:rPr>
              <w:t xml:space="preserve">ambulatoro pakalpojumu (speciālistu) apmaksu virs 2014.gada plānoto līgumu kopsummas 1 804 538 </w:t>
            </w:r>
            <w:proofErr w:type="spellStart"/>
            <w:r w:rsidR="000E5C05" w:rsidRPr="00064747">
              <w:rPr>
                <w:rFonts w:ascii="Times New Roman" w:hAnsi="Times New Roman"/>
                <w:i/>
                <w:sz w:val="28"/>
                <w:szCs w:val="28"/>
                <w:lang w:val="lv-LV"/>
              </w:rPr>
              <w:t>euro</w:t>
            </w:r>
            <w:proofErr w:type="spellEnd"/>
            <w:r w:rsidR="000E5C05" w:rsidRPr="00064747">
              <w:rPr>
                <w:rFonts w:ascii="Times New Roman" w:hAnsi="Times New Roman"/>
                <w:i/>
                <w:sz w:val="28"/>
                <w:szCs w:val="28"/>
                <w:lang w:val="lv-LV"/>
              </w:rPr>
              <w:t xml:space="preserve"> </w:t>
            </w:r>
            <w:r w:rsidR="000E5C05" w:rsidRPr="00064747">
              <w:rPr>
                <w:rFonts w:ascii="Times New Roman" w:hAnsi="Times New Roman"/>
                <w:sz w:val="28"/>
                <w:szCs w:val="28"/>
                <w:lang w:val="lv-LV"/>
              </w:rPr>
              <w:t>apmērā.</w:t>
            </w:r>
          </w:p>
          <w:p w:rsidR="000E5C05" w:rsidRPr="00064747" w:rsidRDefault="000E5C05" w:rsidP="000E5C05">
            <w:pPr>
              <w:tabs>
                <w:tab w:val="left" w:pos="142"/>
              </w:tabs>
              <w:autoSpaceDE w:val="0"/>
              <w:autoSpaceDN w:val="0"/>
              <w:adjustRightInd w:val="0"/>
              <w:jc w:val="both"/>
              <w:rPr>
                <w:sz w:val="28"/>
                <w:szCs w:val="28"/>
              </w:rPr>
            </w:pPr>
            <w:r w:rsidRPr="00064747">
              <w:rPr>
                <w:sz w:val="28"/>
                <w:szCs w:val="28"/>
              </w:rPr>
              <w:t>Atbilstoši  Ministru kabineta noteikumu Nr.1529</w:t>
            </w:r>
            <w:r w:rsidR="00EF09C5" w:rsidRPr="00064747">
              <w:rPr>
                <w:sz w:val="28"/>
                <w:szCs w:val="28"/>
              </w:rPr>
              <w:t xml:space="preserve"> „Veselības aprūpes organizēšanas un finansēšanas kārtība”</w:t>
            </w:r>
            <w:r w:rsidRPr="00064747">
              <w:rPr>
                <w:sz w:val="28"/>
                <w:szCs w:val="28"/>
              </w:rPr>
              <w:t xml:space="preserve"> </w:t>
            </w:r>
            <w:r w:rsidR="00EF09C5" w:rsidRPr="00064747">
              <w:rPr>
                <w:sz w:val="28"/>
                <w:szCs w:val="28"/>
              </w:rPr>
              <w:t>(turpmāk – Noteikumi Nr.1529)</w:t>
            </w:r>
            <w:r w:rsidRPr="00064747">
              <w:rPr>
                <w:sz w:val="28"/>
                <w:szCs w:val="28"/>
              </w:rPr>
              <w:t xml:space="preserve"> 251. punkta nosacījumiem, izvērtējot sniegto veselības aprūpes pakalpojumu apjomu papildus finansējumu prioritāri novirza  laboratorisko izmeklējumu apmaksai, bērniem sniegto veselības aprūpes pakalpojumu apmaksai, hemodialīzes, ķīmijterapijas un staru terapijas pakalpojumiem un </w:t>
            </w:r>
            <w:proofErr w:type="spellStart"/>
            <w:r w:rsidRPr="00064747">
              <w:rPr>
                <w:sz w:val="28"/>
                <w:szCs w:val="28"/>
              </w:rPr>
              <w:t>metadona</w:t>
            </w:r>
            <w:proofErr w:type="spellEnd"/>
            <w:r w:rsidRPr="00064747">
              <w:rPr>
                <w:sz w:val="28"/>
                <w:szCs w:val="28"/>
              </w:rPr>
              <w:t xml:space="preserve"> aizvietojošo terapijas apmaksai. Šiem pakalpojumiem ar MK 2014.gada 25.jūlija rīkojumu Nr.379 </w:t>
            </w:r>
            <w:r w:rsidR="00EF09C5" w:rsidRPr="00064747">
              <w:rPr>
                <w:sz w:val="28"/>
                <w:szCs w:val="28"/>
              </w:rPr>
              <w:t xml:space="preserve">„Par finanšu līdzekļu piešķiršanu no valsts budžeta programmas „Līdzekļi neparedzētiem gadījumiem”” </w:t>
            </w:r>
            <w:r w:rsidRPr="00064747">
              <w:rPr>
                <w:sz w:val="28"/>
                <w:szCs w:val="28"/>
              </w:rPr>
              <w:t xml:space="preserve">tika piešķirti 4 642 230 </w:t>
            </w:r>
            <w:proofErr w:type="spellStart"/>
            <w:r w:rsidRPr="00064747">
              <w:rPr>
                <w:i/>
                <w:sz w:val="28"/>
                <w:szCs w:val="28"/>
              </w:rPr>
              <w:t>euro</w:t>
            </w:r>
            <w:proofErr w:type="spellEnd"/>
            <w:r w:rsidRPr="00064747">
              <w:rPr>
                <w:sz w:val="28"/>
                <w:szCs w:val="28"/>
              </w:rPr>
              <w:t>. Saskaņā ar Noteikumu Nr.1529 251.punkta nosacījumiem nākošā prioritāte ir sekundāro ambulatoro veselības aprūpes (SAVA) speciālistu pakalpojumi.</w:t>
            </w:r>
          </w:p>
          <w:p w:rsidR="000E5C05" w:rsidRPr="00064747" w:rsidRDefault="000E5C05" w:rsidP="000E5C05">
            <w:pPr>
              <w:tabs>
                <w:tab w:val="left" w:pos="142"/>
              </w:tabs>
              <w:autoSpaceDE w:val="0"/>
              <w:autoSpaceDN w:val="0"/>
              <w:adjustRightInd w:val="0"/>
              <w:jc w:val="both"/>
              <w:rPr>
                <w:sz w:val="28"/>
                <w:szCs w:val="28"/>
              </w:rPr>
            </w:pPr>
            <w:r w:rsidRPr="00064747">
              <w:rPr>
                <w:sz w:val="28"/>
                <w:szCs w:val="28"/>
              </w:rPr>
              <w:t xml:space="preserve">Plānotais finanšu apjoms sekundārās ambulatorās </w:t>
            </w:r>
            <w:r w:rsidRPr="00064747">
              <w:rPr>
                <w:sz w:val="28"/>
                <w:szCs w:val="28"/>
              </w:rPr>
              <w:lastRenderedPageBreak/>
              <w:t>veselības aprūpes speciālistu pakalpojumu apmaksai 2014.gadā ir 26 820 477 </w:t>
            </w:r>
            <w:proofErr w:type="spellStart"/>
            <w:r w:rsidRPr="00064747">
              <w:rPr>
                <w:i/>
                <w:sz w:val="28"/>
                <w:szCs w:val="28"/>
              </w:rPr>
              <w:t>euro</w:t>
            </w:r>
            <w:proofErr w:type="spellEnd"/>
            <w:r w:rsidRPr="00064747">
              <w:rPr>
                <w:sz w:val="28"/>
                <w:szCs w:val="28"/>
              </w:rPr>
              <w:t>, sešiem mēnešiem plānotais finansējums – 13 407 329 </w:t>
            </w:r>
            <w:proofErr w:type="spellStart"/>
            <w:r w:rsidRPr="00064747">
              <w:rPr>
                <w:i/>
                <w:sz w:val="28"/>
                <w:szCs w:val="28"/>
              </w:rPr>
              <w:t>euro</w:t>
            </w:r>
            <w:proofErr w:type="spellEnd"/>
            <w:r w:rsidRPr="00064747">
              <w:rPr>
                <w:sz w:val="28"/>
                <w:szCs w:val="28"/>
              </w:rPr>
              <w:t>, sešos mēnešos veikts darbs 14 309 597 </w:t>
            </w:r>
            <w:proofErr w:type="spellStart"/>
            <w:r w:rsidRPr="00064747">
              <w:rPr>
                <w:i/>
                <w:sz w:val="28"/>
                <w:szCs w:val="28"/>
              </w:rPr>
              <w:t>euro</w:t>
            </w:r>
            <w:proofErr w:type="spellEnd"/>
            <w:r w:rsidRPr="00064747">
              <w:rPr>
                <w:sz w:val="28"/>
                <w:szCs w:val="28"/>
              </w:rPr>
              <w:t xml:space="preserve">, tātad sešos mēnešos </w:t>
            </w:r>
            <w:r w:rsidR="00534A64" w:rsidRPr="00064747">
              <w:rPr>
                <w:sz w:val="28"/>
                <w:szCs w:val="28"/>
              </w:rPr>
              <w:t xml:space="preserve">ir veikts darbs virs līgumiem </w:t>
            </w:r>
            <w:r w:rsidRPr="00064747">
              <w:rPr>
                <w:sz w:val="28"/>
                <w:szCs w:val="28"/>
              </w:rPr>
              <w:t>902 269 </w:t>
            </w:r>
            <w:proofErr w:type="spellStart"/>
            <w:r w:rsidRPr="00064747">
              <w:rPr>
                <w:i/>
                <w:sz w:val="28"/>
                <w:szCs w:val="28"/>
              </w:rPr>
              <w:t>euro</w:t>
            </w:r>
            <w:proofErr w:type="spellEnd"/>
            <w:r w:rsidR="00534A64" w:rsidRPr="00064747">
              <w:rPr>
                <w:i/>
                <w:sz w:val="28"/>
                <w:szCs w:val="28"/>
              </w:rPr>
              <w:t xml:space="preserve"> </w:t>
            </w:r>
            <w:r w:rsidR="00534A64" w:rsidRPr="00064747">
              <w:rPr>
                <w:sz w:val="28"/>
                <w:szCs w:val="28"/>
              </w:rPr>
              <w:t>apmērā</w:t>
            </w:r>
            <w:r w:rsidRPr="00064747">
              <w:rPr>
                <w:sz w:val="28"/>
                <w:szCs w:val="28"/>
              </w:rPr>
              <w:t>. Tātad var prognozēt, ka gadā deficīts sasniegs 1 804 538 </w:t>
            </w:r>
            <w:proofErr w:type="spellStart"/>
            <w:r w:rsidRPr="00064747">
              <w:rPr>
                <w:i/>
                <w:sz w:val="28"/>
                <w:szCs w:val="28"/>
              </w:rPr>
              <w:t>euro</w:t>
            </w:r>
            <w:proofErr w:type="spellEnd"/>
            <w:r w:rsidRPr="00064747">
              <w:rPr>
                <w:sz w:val="28"/>
                <w:szCs w:val="28"/>
              </w:rPr>
              <w:t xml:space="preserve">. Pēc 6 mēnešu izpildes rādītājiem SAVA speciālistu veiktā darba apjoms vidēji par 7% pārsniedz pusgadam plānoto finansējumu, kas gadā ir tuvu viena mēneša finansējumam. </w:t>
            </w:r>
          </w:p>
          <w:p w:rsidR="009D6F01" w:rsidRPr="00064747" w:rsidRDefault="009D6F01" w:rsidP="000E5C05">
            <w:pPr>
              <w:spacing w:after="120"/>
              <w:jc w:val="both"/>
              <w:rPr>
                <w:i/>
                <w:sz w:val="28"/>
                <w:szCs w:val="28"/>
              </w:rPr>
            </w:pPr>
          </w:p>
          <w:p w:rsidR="009D6F01" w:rsidRPr="00064747" w:rsidRDefault="009D6F01" w:rsidP="009D6F01">
            <w:pPr>
              <w:pStyle w:val="NormalWeb"/>
              <w:snapToGrid w:val="0"/>
              <w:spacing w:before="0" w:beforeAutospacing="0" w:after="0" w:afterAutospacing="0"/>
              <w:jc w:val="both"/>
              <w:rPr>
                <w:sz w:val="28"/>
                <w:szCs w:val="28"/>
                <w:u w:val="single"/>
              </w:rPr>
            </w:pPr>
            <w:r w:rsidRPr="00064747">
              <w:rPr>
                <w:b/>
                <w:sz w:val="28"/>
                <w:szCs w:val="28"/>
                <w:u w:val="single"/>
              </w:rPr>
              <w:t>2.</w:t>
            </w:r>
            <w:r w:rsidRPr="00064747">
              <w:rPr>
                <w:sz w:val="28"/>
                <w:szCs w:val="28"/>
                <w:u w:val="single"/>
              </w:rPr>
              <w:t xml:space="preserve">Ir nepieciešami papildus līdzekļi, lai daļēji nodrošinātu laboratorisko pakalpojumu apmaksu virs 2014.gada plānoto līgumu kopsummas 473 080 </w:t>
            </w:r>
            <w:proofErr w:type="spellStart"/>
            <w:r w:rsidRPr="00064747">
              <w:rPr>
                <w:i/>
                <w:sz w:val="28"/>
                <w:szCs w:val="28"/>
                <w:u w:val="single"/>
              </w:rPr>
              <w:t>euro</w:t>
            </w:r>
            <w:proofErr w:type="spellEnd"/>
            <w:r w:rsidRPr="00064747">
              <w:rPr>
                <w:sz w:val="28"/>
                <w:szCs w:val="28"/>
                <w:u w:val="single"/>
              </w:rPr>
              <w:t xml:space="preserve"> apmērā. </w:t>
            </w:r>
          </w:p>
          <w:p w:rsidR="00B76D89" w:rsidRPr="00064747" w:rsidRDefault="00B76D89" w:rsidP="00B76D89">
            <w:pPr>
              <w:keepLines/>
              <w:autoSpaceDE w:val="0"/>
              <w:autoSpaceDN w:val="0"/>
              <w:adjustRightInd w:val="0"/>
              <w:jc w:val="both"/>
              <w:rPr>
                <w:sz w:val="28"/>
                <w:szCs w:val="28"/>
                <w:lang w:bidi="en-US"/>
              </w:rPr>
            </w:pPr>
            <w:r w:rsidRPr="00064747">
              <w:rPr>
                <w:sz w:val="28"/>
                <w:szCs w:val="28"/>
                <w:lang w:bidi="en-US"/>
              </w:rPr>
              <w:t xml:space="preserve">Saskaņā ar Ministru kabineta 2014.gada 25.jūlija rīkojumu Nr.379 daļējai laboratorisko pakalpojumu apmaksai virs 2014.gada līgumu summas bija piešķirti 2 000 000 </w:t>
            </w:r>
            <w:proofErr w:type="spellStart"/>
            <w:r w:rsidRPr="00064747">
              <w:rPr>
                <w:i/>
                <w:sz w:val="28"/>
                <w:szCs w:val="28"/>
                <w:lang w:bidi="en-US"/>
              </w:rPr>
              <w:t>euro</w:t>
            </w:r>
            <w:proofErr w:type="spellEnd"/>
            <w:r w:rsidRPr="00064747">
              <w:rPr>
                <w:sz w:val="28"/>
                <w:szCs w:val="28"/>
                <w:lang w:bidi="en-US"/>
              </w:rPr>
              <w:t xml:space="preserve">. Pēc 6 mēnešu izpildes rezultātiem kopējais nepieciešamas finansējums starpības segšanai starp </w:t>
            </w:r>
            <w:r w:rsidRPr="00064747">
              <w:rPr>
                <w:sz w:val="28"/>
                <w:szCs w:val="28"/>
              </w:rPr>
              <w:t>reālajām izmaksām</w:t>
            </w:r>
            <w:r w:rsidRPr="00064747">
              <w:rPr>
                <w:sz w:val="28"/>
                <w:szCs w:val="28"/>
                <w:lang w:bidi="en-US"/>
              </w:rPr>
              <w:t xml:space="preserve"> un budžetā pieejamo finansējumu ir 2 473 080 </w:t>
            </w:r>
            <w:proofErr w:type="spellStart"/>
            <w:r w:rsidRPr="00064747">
              <w:rPr>
                <w:i/>
                <w:sz w:val="28"/>
                <w:szCs w:val="28"/>
                <w:lang w:bidi="en-US"/>
              </w:rPr>
              <w:t>euro</w:t>
            </w:r>
            <w:proofErr w:type="spellEnd"/>
            <w:r w:rsidRPr="00064747">
              <w:rPr>
                <w:i/>
                <w:sz w:val="28"/>
                <w:szCs w:val="28"/>
                <w:lang w:bidi="en-US"/>
              </w:rPr>
              <w:t>.</w:t>
            </w:r>
            <w:r w:rsidRPr="00064747">
              <w:rPr>
                <w:sz w:val="28"/>
                <w:szCs w:val="28"/>
                <w:lang w:bidi="en-US"/>
              </w:rPr>
              <w:t xml:space="preserve">  Starpība  starp aprēķināto nepieciešamo papildus finansējumu 2014.gada laboratorisko pakalpojumu apmaksai un saskaņā ar Ministru  Kabineta rīkojumu Nr.379 piešķirto finansējumu ir 473 080 </w:t>
            </w:r>
            <w:proofErr w:type="spellStart"/>
            <w:r w:rsidRPr="00064747">
              <w:rPr>
                <w:i/>
                <w:sz w:val="28"/>
                <w:szCs w:val="28"/>
                <w:lang w:bidi="en-US"/>
              </w:rPr>
              <w:t>euro</w:t>
            </w:r>
            <w:proofErr w:type="spellEnd"/>
            <w:r w:rsidRPr="00064747">
              <w:rPr>
                <w:sz w:val="28"/>
                <w:szCs w:val="28"/>
                <w:lang w:bidi="en-US"/>
              </w:rPr>
              <w:t xml:space="preserve">. </w:t>
            </w:r>
          </w:p>
          <w:p w:rsidR="009D6F01" w:rsidRPr="00064747" w:rsidRDefault="009D6F01" w:rsidP="009D6F01">
            <w:pPr>
              <w:pStyle w:val="NormalWeb"/>
              <w:snapToGrid w:val="0"/>
              <w:spacing w:before="0" w:beforeAutospacing="0" w:after="0" w:afterAutospacing="0"/>
              <w:jc w:val="both"/>
              <w:rPr>
                <w:sz w:val="28"/>
                <w:szCs w:val="28"/>
              </w:rPr>
            </w:pPr>
            <w:r w:rsidRPr="00064747">
              <w:rPr>
                <w:sz w:val="28"/>
                <w:szCs w:val="28"/>
              </w:rPr>
              <w:t>Atbilstoši veselības aprūpes organizēšanu un finansēšanu reglamentējošiem tiesību aktiem no 2011.gada laboratoriskos izmeklējumus apmaksā  pēc faktiski veiktā darba. Izvērtējot sniegtos laboratoriskos izmeklējumus 2014.gada 6 mēnešos, veiktais darbs, kas par šo periodu jāapmaksā</w:t>
            </w:r>
            <w:r w:rsidR="00711987" w:rsidRPr="00064747">
              <w:rPr>
                <w:sz w:val="28"/>
                <w:szCs w:val="28"/>
              </w:rPr>
              <w:t>,</w:t>
            </w:r>
            <w:r w:rsidRPr="00064747">
              <w:rPr>
                <w:sz w:val="28"/>
                <w:szCs w:val="28"/>
              </w:rPr>
              <w:t xml:space="preserve">  ir lielāks nekā budžetā šim mērķim ir pieejamie līdzekļi un gada beigās var veidoties deficīts.</w:t>
            </w:r>
          </w:p>
          <w:p w:rsidR="009D6F01" w:rsidRPr="00064747" w:rsidRDefault="009D6F01" w:rsidP="009D6F01">
            <w:pPr>
              <w:tabs>
                <w:tab w:val="left" w:pos="2268"/>
              </w:tabs>
              <w:jc w:val="both"/>
              <w:rPr>
                <w:sz w:val="28"/>
                <w:szCs w:val="28"/>
              </w:rPr>
            </w:pPr>
            <w:r w:rsidRPr="00064747">
              <w:rPr>
                <w:sz w:val="28"/>
                <w:szCs w:val="28"/>
              </w:rPr>
              <w:t xml:space="preserve"> Laboratorisko pakalpojumu apmaksai paredzēto kopējo finanšu līdzekļu apjoms tiek sadalīts - nosakot attiecīgajām ārstniecības personām finanšu līdzekļu apjoma ierobežojumus pacientu nosūtīšanai laboratorisko pakalpojumu saņemšanai, ievērojot šādus principus: </w:t>
            </w:r>
          </w:p>
          <w:p w:rsidR="009D6F01" w:rsidRPr="00064747" w:rsidRDefault="009D6F01" w:rsidP="009D6F01">
            <w:pPr>
              <w:pStyle w:val="ListParagraph"/>
              <w:numPr>
                <w:ilvl w:val="0"/>
                <w:numId w:val="27"/>
              </w:numPr>
              <w:tabs>
                <w:tab w:val="clear" w:pos="720"/>
              </w:tabs>
              <w:spacing w:after="0" w:line="240" w:lineRule="auto"/>
              <w:ind w:left="0" w:hanging="284"/>
              <w:jc w:val="both"/>
              <w:rPr>
                <w:rFonts w:ascii="Times New Roman" w:eastAsia="Times New Roman" w:hAnsi="Times New Roman"/>
                <w:sz w:val="28"/>
                <w:szCs w:val="28"/>
                <w:lang w:val="lv-LV" w:eastAsia="lv-LV"/>
              </w:rPr>
            </w:pPr>
            <w:r w:rsidRPr="00064747">
              <w:rPr>
                <w:rFonts w:ascii="Times New Roman" w:eastAsia="Times New Roman" w:hAnsi="Times New Roman"/>
                <w:sz w:val="28"/>
                <w:szCs w:val="28"/>
                <w:lang w:val="lv-LV" w:eastAsia="lv-LV"/>
              </w:rPr>
              <w:t xml:space="preserve">Primārās veselības aprūpes pakalpojumu sniedzējiem - plānotais līdzekļu apjoms ir proporcionāls reģistrēto </w:t>
            </w:r>
            <w:r w:rsidRPr="00064747">
              <w:rPr>
                <w:rFonts w:ascii="Times New Roman" w:eastAsia="Times New Roman" w:hAnsi="Times New Roman"/>
                <w:sz w:val="28"/>
                <w:szCs w:val="28"/>
                <w:lang w:val="lv-LV" w:eastAsia="lv-LV"/>
              </w:rPr>
              <w:lastRenderedPageBreak/>
              <w:t>pacientu skaitam un Noteikumos Nr.1529 noteiktajam to vecuma struktūrai atbilstošam koefic</w:t>
            </w:r>
            <w:r w:rsidR="00E046BF" w:rsidRPr="00064747">
              <w:rPr>
                <w:rFonts w:ascii="Times New Roman" w:eastAsia="Times New Roman" w:hAnsi="Times New Roman"/>
                <w:sz w:val="28"/>
                <w:szCs w:val="28"/>
                <w:lang w:val="lv-LV" w:eastAsia="lv-LV"/>
              </w:rPr>
              <w:t>i</w:t>
            </w:r>
            <w:r w:rsidRPr="00064747">
              <w:rPr>
                <w:rFonts w:ascii="Times New Roman" w:eastAsia="Times New Roman" w:hAnsi="Times New Roman"/>
                <w:sz w:val="28"/>
                <w:szCs w:val="28"/>
                <w:lang w:val="lv-LV" w:eastAsia="lv-LV"/>
              </w:rPr>
              <w:t>entam;</w:t>
            </w:r>
          </w:p>
          <w:p w:rsidR="009D6F01" w:rsidRPr="00064747" w:rsidRDefault="009D6F01" w:rsidP="009D6F01">
            <w:pPr>
              <w:pStyle w:val="ListParagraph"/>
              <w:numPr>
                <w:ilvl w:val="0"/>
                <w:numId w:val="27"/>
              </w:numPr>
              <w:tabs>
                <w:tab w:val="clear" w:pos="720"/>
              </w:tabs>
              <w:spacing w:after="0" w:line="240" w:lineRule="auto"/>
              <w:ind w:left="0" w:hanging="284"/>
              <w:jc w:val="both"/>
              <w:rPr>
                <w:rFonts w:ascii="Times New Roman" w:eastAsia="Times New Roman" w:hAnsi="Times New Roman"/>
                <w:sz w:val="28"/>
                <w:szCs w:val="28"/>
                <w:lang w:val="lv-LV" w:eastAsia="lv-LV"/>
              </w:rPr>
            </w:pPr>
            <w:r w:rsidRPr="00064747">
              <w:rPr>
                <w:rFonts w:ascii="Times New Roman" w:eastAsia="Times New Roman" w:hAnsi="Times New Roman"/>
                <w:sz w:val="28"/>
                <w:szCs w:val="28"/>
                <w:lang w:val="lv-LV" w:eastAsia="lv-LV"/>
              </w:rPr>
              <w:t>Sekundārās veselības aprūpes pakalpojumu sniedzējiem - plānotais līdzekļu apjoms ir proporcionāls apmeklējumu skaitam specialitātē un Noteikumos Nr.1529 noteiktam koefic</w:t>
            </w:r>
            <w:r w:rsidR="00E046BF" w:rsidRPr="00064747">
              <w:rPr>
                <w:rFonts w:ascii="Times New Roman" w:eastAsia="Times New Roman" w:hAnsi="Times New Roman"/>
                <w:sz w:val="28"/>
                <w:szCs w:val="28"/>
                <w:lang w:val="lv-LV" w:eastAsia="lv-LV"/>
              </w:rPr>
              <w:t>i</w:t>
            </w:r>
            <w:r w:rsidRPr="00064747">
              <w:rPr>
                <w:rFonts w:ascii="Times New Roman" w:eastAsia="Times New Roman" w:hAnsi="Times New Roman"/>
                <w:sz w:val="28"/>
                <w:szCs w:val="28"/>
                <w:lang w:val="lv-LV" w:eastAsia="lv-LV"/>
              </w:rPr>
              <w:t xml:space="preserve">entam. </w:t>
            </w:r>
          </w:p>
          <w:p w:rsidR="009D6F01" w:rsidRPr="00064747" w:rsidRDefault="009D6F01" w:rsidP="009D6F01">
            <w:pPr>
              <w:pStyle w:val="ListParagraph"/>
              <w:numPr>
                <w:ilvl w:val="0"/>
                <w:numId w:val="27"/>
              </w:numPr>
              <w:tabs>
                <w:tab w:val="clear" w:pos="720"/>
              </w:tabs>
              <w:spacing w:after="0" w:line="240" w:lineRule="auto"/>
              <w:ind w:left="0" w:hanging="284"/>
              <w:jc w:val="both"/>
              <w:rPr>
                <w:rFonts w:ascii="Times New Roman" w:eastAsia="Times New Roman" w:hAnsi="Times New Roman"/>
                <w:sz w:val="28"/>
                <w:szCs w:val="28"/>
                <w:lang w:val="lv-LV" w:eastAsia="lv-LV"/>
              </w:rPr>
            </w:pPr>
            <w:r w:rsidRPr="00064747">
              <w:rPr>
                <w:rFonts w:ascii="Times New Roman" w:eastAsia="Times New Roman" w:hAnsi="Times New Roman"/>
                <w:sz w:val="28"/>
                <w:szCs w:val="28"/>
                <w:lang w:val="lv-LV" w:eastAsia="lv-LV"/>
              </w:rPr>
              <w:t xml:space="preserve">Šāds regulējums veikts, lai nodrošinātu, ka medicīniskais personāls pirms nosūtīšanas laboratorisko pakalpojumu saņemšanai rūpīgāk veic medicīnisko indikāciju izvērtēšanu atbilstoši profesionālām vadlīnijām un, ievērojot ierobežotos finanšu līdzekļus veselības aprūpes pakalpojumu nodrošināšanai, izvēlas izmaksu efektīvākos veidus ārstēšanas resursu izmantošanā. </w:t>
            </w:r>
          </w:p>
          <w:p w:rsidR="00316EFC" w:rsidRPr="00064747" w:rsidRDefault="00316EFC" w:rsidP="003B0949">
            <w:pPr>
              <w:spacing w:after="120"/>
              <w:jc w:val="both"/>
              <w:rPr>
                <w:sz w:val="28"/>
                <w:szCs w:val="28"/>
              </w:rPr>
            </w:pPr>
          </w:p>
          <w:p w:rsidR="008B3872" w:rsidRPr="00064747" w:rsidRDefault="00764E64" w:rsidP="009A605E">
            <w:pPr>
              <w:jc w:val="both"/>
              <w:rPr>
                <w:sz w:val="28"/>
                <w:szCs w:val="28"/>
                <w:u w:val="single"/>
              </w:rPr>
            </w:pPr>
            <w:r w:rsidRPr="00064747">
              <w:rPr>
                <w:b/>
                <w:sz w:val="28"/>
                <w:szCs w:val="28"/>
                <w:u w:val="single"/>
              </w:rPr>
              <w:t>3</w:t>
            </w:r>
            <w:r w:rsidR="009A605E" w:rsidRPr="00064747">
              <w:rPr>
                <w:b/>
                <w:sz w:val="28"/>
                <w:szCs w:val="28"/>
                <w:u w:val="single"/>
              </w:rPr>
              <w:t>.</w:t>
            </w:r>
            <w:r w:rsidR="008B3872" w:rsidRPr="00064747">
              <w:rPr>
                <w:sz w:val="28"/>
                <w:szCs w:val="28"/>
                <w:u w:val="single"/>
              </w:rPr>
              <w:t xml:space="preserve">Lai nodrošinātu ārstniecības iestāžu, kuras sniedz stacionāros ārstniecības pakalpojumus, daļēju  infrastruktūras uzturēšanas izdevumu deficīta segšanu, ir nepieciešams </w:t>
            </w:r>
            <w:r w:rsidR="009A605E" w:rsidRPr="00064747">
              <w:rPr>
                <w:sz w:val="28"/>
                <w:szCs w:val="28"/>
                <w:u w:val="single"/>
              </w:rPr>
              <w:t>papildus finansējums</w:t>
            </w:r>
            <w:r w:rsidRPr="00064747">
              <w:rPr>
                <w:sz w:val="28"/>
                <w:szCs w:val="28"/>
                <w:u w:val="single"/>
              </w:rPr>
              <w:t xml:space="preserve"> 6 580 152 </w:t>
            </w:r>
            <w:proofErr w:type="spellStart"/>
            <w:r w:rsidRPr="00064747">
              <w:rPr>
                <w:i/>
                <w:sz w:val="28"/>
                <w:szCs w:val="28"/>
                <w:u w:val="single"/>
              </w:rPr>
              <w:t>euro</w:t>
            </w:r>
            <w:proofErr w:type="spellEnd"/>
            <w:r w:rsidRPr="00064747">
              <w:rPr>
                <w:sz w:val="28"/>
                <w:szCs w:val="28"/>
                <w:u w:val="single"/>
              </w:rPr>
              <w:t xml:space="preserve"> apmērā</w:t>
            </w:r>
            <w:r w:rsidR="009A605E" w:rsidRPr="00064747">
              <w:rPr>
                <w:sz w:val="28"/>
                <w:szCs w:val="28"/>
                <w:u w:val="single"/>
              </w:rPr>
              <w:t>.</w:t>
            </w:r>
          </w:p>
          <w:p w:rsidR="009A605E" w:rsidRPr="00064747" w:rsidRDefault="009A605E" w:rsidP="009A605E">
            <w:pPr>
              <w:jc w:val="both"/>
              <w:rPr>
                <w:sz w:val="28"/>
                <w:szCs w:val="28"/>
              </w:rPr>
            </w:pPr>
            <w:r w:rsidRPr="00064747">
              <w:rPr>
                <w:sz w:val="28"/>
                <w:szCs w:val="28"/>
              </w:rPr>
              <w:t xml:space="preserve">2013.gada 28.maija Ministru kabineta sēdē (protokols Nr.32, §66) tika izskatīts Veselības ministrijas informatīvais ziņojums „Finanšu situācija veselības aprūpes jomā”, kurā tika informēts par veselības aprūpes pakalpojumu tarifu neatbilstību ar pakalpojumu sniegšanu saistītajām reālajām izmaksām, ko ir arī norādījusi Valsts kontrole 2011.gada 28.novembra Revīzijas ziņojumā Nr.5.1.-2-6/2011 „Valsts budžeta līdzekļu izlietojuma likumība un ekonomiskums, apmaksājot ārstniecības pakalpojumus pēc noteiktā tarifa”. 2009.gadā ar Ministru kabineta 2008.gada 22.decembra noteikumiem Nr.1111 „Grozījumi Ministru kabineta 2006.gada 19.decembra noteikumos Nr.1046 „Veselības aprūpes organizēšanas un finansēšanas kārtība”” ir samazināti veselības aprūpes pakalpojumu tarifu elementi, kā arī izslēgts tarifa elements P – peļņa (attīstības izdevumi). Tādejādi jau vairāk kā 4 gadus visām stacionārajām ārstniecības iestādēm tiek piešķirts fiksēts maksājums stacionārās darbības nodrošināšanai  (katru mēnesi ārstniecības iestādei novirzot 1/12 no gadam noteiktā finansējuma). Šajā laikā ārstniecības iestādēm, kuras </w:t>
            </w:r>
            <w:r w:rsidRPr="00064747">
              <w:rPr>
                <w:sz w:val="28"/>
                <w:szCs w:val="28"/>
              </w:rPr>
              <w:lastRenderedPageBreak/>
              <w:t>sniedz stacionāros ārstniecības pakalpojumus,  nav kompensēts izmaksu pieaugums, ko ietekmējis PVN likmes pieaugums no 5% uz 12% medikament</w:t>
            </w:r>
            <w:r w:rsidR="00E046BF" w:rsidRPr="00064747">
              <w:rPr>
                <w:sz w:val="28"/>
                <w:szCs w:val="28"/>
              </w:rPr>
              <w:t>iem</w:t>
            </w:r>
            <w:r w:rsidRPr="00064747">
              <w:rPr>
                <w:sz w:val="28"/>
                <w:szCs w:val="28"/>
              </w:rPr>
              <w:t xml:space="preserve"> un medicīnas precēm, kā arī  energoresursu, siltumenerģijas un  degvielas cenu palielinājums. Veselības aprūpes pakalpojumu tarifos aprēķinot pastāvīgo izmaksu elementu (N, U, A) vērtības, par pamatu tiek ņemti reģionālo daudzprofilu slimnīcu pārskati par faktisko līdzekļu izlietojumu iepriekšējā periodā un konkrētajā periodā pieejamie valsts budžeta līdzekļi veselības aprūpei. Kopējais finansējums stacionārai veselības aprūpei</w:t>
            </w:r>
            <w:r w:rsidR="00E046BF" w:rsidRPr="00064747">
              <w:rPr>
                <w:sz w:val="28"/>
                <w:szCs w:val="28"/>
              </w:rPr>
              <w:t xml:space="preserve">2014.gadā ir </w:t>
            </w:r>
            <w:r w:rsidRPr="00064747">
              <w:rPr>
                <w:sz w:val="28"/>
                <w:szCs w:val="28"/>
              </w:rPr>
              <w:t xml:space="preserve">228 738 091 </w:t>
            </w:r>
            <w:proofErr w:type="spellStart"/>
            <w:r w:rsidRPr="00064747">
              <w:rPr>
                <w:i/>
                <w:sz w:val="28"/>
                <w:szCs w:val="28"/>
              </w:rPr>
              <w:t>euro</w:t>
            </w:r>
            <w:proofErr w:type="spellEnd"/>
            <w:r w:rsidRPr="00064747">
              <w:rPr>
                <w:sz w:val="28"/>
                <w:szCs w:val="28"/>
              </w:rPr>
              <w:t xml:space="preserve">, kas </w:t>
            </w:r>
            <w:r w:rsidR="00E046BF" w:rsidRPr="00064747">
              <w:rPr>
                <w:sz w:val="28"/>
                <w:szCs w:val="28"/>
              </w:rPr>
              <w:t xml:space="preserve">ir </w:t>
            </w:r>
            <w:r w:rsidRPr="00064747">
              <w:rPr>
                <w:sz w:val="28"/>
                <w:szCs w:val="28"/>
              </w:rPr>
              <w:t>sadalīts pa pakalpojumu elementiem.</w:t>
            </w:r>
          </w:p>
          <w:p w:rsidR="009A605E" w:rsidRPr="00064747" w:rsidRDefault="009A605E" w:rsidP="009A605E">
            <w:pPr>
              <w:jc w:val="both"/>
              <w:rPr>
                <w:sz w:val="28"/>
                <w:szCs w:val="28"/>
              </w:rPr>
            </w:pPr>
            <w:r w:rsidRPr="00064747">
              <w:rPr>
                <w:sz w:val="28"/>
                <w:szCs w:val="28"/>
              </w:rPr>
              <w:t xml:space="preserve">2013.gadā ārstniecības iestādēm, kuras sniedz stacionāros ārstniecības pakalpojumus,  vienreizējiem maksājumiem infrastruktūras uzturēšanas izdevumu deficīta segšanai, lai kompensētu starpību starp 2013.gadā reālajām izmaksām un </w:t>
            </w:r>
            <w:r w:rsidR="00E046BF" w:rsidRPr="00064747">
              <w:rPr>
                <w:sz w:val="28"/>
                <w:szCs w:val="28"/>
              </w:rPr>
              <w:t xml:space="preserve">veselības aprūpes organizēšanu un finansēšanu reglamentējošos normatīvajos aktos </w:t>
            </w:r>
            <w:r w:rsidRPr="00064747">
              <w:rPr>
                <w:sz w:val="28"/>
                <w:szCs w:val="28"/>
              </w:rPr>
              <w:t xml:space="preserve">apstiprinātajiem veselības aprūpes tarifiem, kopumā tika piešķirti 9 711 985 </w:t>
            </w:r>
            <w:proofErr w:type="spellStart"/>
            <w:r w:rsidRPr="00064747">
              <w:rPr>
                <w:i/>
                <w:sz w:val="28"/>
                <w:szCs w:val="28"/>
              </w:rPr>
              <w:t>euro</w:t>
            </w:r>
            <w:proofErr w:type="spellEnd"/>
            <w:r w:rsidRPr="00064747">
              <w:rPr>
                <w:sz w:val="28"/>
                <w:szCs w:val="28"/>
              </w:rPr>
              <w:t>, tajā skaitā saskaņā ar Ministru kabineta 2013.gada 12.jūnija rīkojumu Nr.247</w:t>
            </w:r>
            <w:r w:rsidR="00E046BF" w:rsidRPr="00064747">
              <w:rPr>
                <w:sz w:val="28"/>
                <w:szCs w:val="28"/>
              </w:rPr>
              <w:t xml:space="preserve"> „Par pamatbudžeta apropriācijas pārdali starp Finanšu ministriju un Veselības ministriju”</w:t>
            </w:r>
            <w:r w:rsidRPr="00064747">
              <w:rPr>
                <w:sz w:val="28"/>
                <w:szCs w:val="28"/>
              </w:rPr>
              <w:t xml:space="preserve"> piešķirti 2 125 045 </w:t>
            </w:r>
            <w:proofErr w:type="spellStart"/>
            <w:r w:rsidRPr="00064747">
              <w:rPr>
                <w:i/>
                <w:sz w:val="28"/>
                <w:szCs w:val="28"/>
              </w:rPr>
              <w:t>euro</w:t>
            </w:r>
            <w:proofErr w:type="spellEnd"/>
            <w:r w:rsidRPr="00064747">
              <w:rPr>
                <w:sz w:val="28"/>
                <w:szCs w:val="28"/>
              </w:rPr>
              <w:t xml:space="preserve"> un ar Ministru kabineta 2013.gada 20.decembra rīkojumu Nr.674 </w:t>
            </w:r>
            <w:r w:rsidR="00E046BF" w:rsidRPr="00064747">
              <w:rPr>
                <w:sz w:val="28"/>
                <w:szCs w:val="28"/>
              </w:rPr>
              <w:t xml:space="preserve">„Par finanšu līdzekļu piešķiršanu no valsts budžeta programmas „Līdzekļi neparedzētiem gadījumiem”” </w:t>
            </w:r>
            <w:r w:rsidRPr="00064747">
              <w:rPr>
                <w:sz w:val="28"/>
                <w:szCs w:val="28"/>
              </w:rPr>
              <w:t xml:space="preserve">– 7 586 940 </w:t>
            </w:r>
            <w:proofErr w:type="spellStart"/>
            <w:r w:rsidRPr="00064747">
              <w:rPr>
                <w:i/>
                <w:sz w:val="28"/>
                <w:szCs w:val="28"/>
              </w:rPr>
              <w:t>euro</w:t>
            </w:r>
            <w:proofErr w:type="spellEnd"/>
            <w:r w:rsidRPr="00064747">
              <w:rPr>
                <w:sz w:val="28"/>
                <w:szCs w:val="28"/>
              </w:rPr>
              <w:t xml:space="preserve">. </w:t>
            </w:r>
          </w:p>
          <w:p w:rsidR="009B6850" w:rsidRPr="00064747" w:rsidRDefault="009A605E" w:rsidP="009B6850">
            <w:pPr>
              <w:jc w:val="both"/>
              <w:rPr>
                <w:sz w:val="28"/>
                <w:szCs w:val="28"/>
              </w:rPr>
            </w:pPr>
            <w:r w:rsidRPr="00064747">
              <w:rPr>
                <w:sz w:val="28"/>
                <w:szCs w:val="28"/>
              </w:rPr>
              <w:t xml:space="preserve">Lai noteiktu ārstniecības iestāžu pastāvīgo izmaksu noseguma izvērtēšanu, tika veikts </w:t>
            </w:r>
            <w:r w:rsidRPr="00064747">
              <w:rPr>
                <w:noProof/>
                <w:sz w:val="28"/>
                <w:szCs w:val="28"/>
              </w:rPr>
              <w:t xml:space="preserve">reģionālo daudzprofilu slimnīcu </w:t>
            </w:r>
            <w:r w:rsidRPr="00064747">
              <w:rPr>
                <w:sz w:val="28"/>
                <w:szCs w:val="28"/>
              </w:rPr>
              <w:t>2013.gada pārskatu par  faktisko līdzekļu izlietojumu un 2014.pusgadā veiktā darba izmaksu salīdzinājums.</w:t>
            </w:r>
            <w:r w:rsidR="00CA5AF8" w:rsidRPr="00064747">
              <w:t xml:space="preserve"> </w:t>
            </w:r>
            <w:r w:rsidR="00CA5AF8" w:rsidRPr="00064747">
              <w:rPr>
                <w:sz w:val="28"/>
                <w:szCs w:val="28"/>
              </w:rPr>
              <w:t>Kā arī tika veikta</w:t>
            </w:r>
            <w:r w:rsidR="00CA5AF8" w:rsidRPr="00064747">
              <w:t xml:space="preserve"> </w:t>
            </w:r>
            <w:r w:rsidR="00CA5AF8" w:rsidRPr="00064747">
              <w:rPr>
                <w:sz w:val="28"/>
                <w:szCs w:val="28"/>
              </w:rPr>
              <w:t xml:space="preserve">īstermiņa kreditoru parādu slimnīcās izvērtēšana par 2014.gada 1.ceturksni. </w:t>
            </w:r>
            <w:r w:rsidR="009B6850" w:rsidRPr="00064747">
              <w:rPr>
                <w:sz w:val="28"/>
                <w:szCs w:val="28"/>
              </w:rPr>
              <w:t xml:space="preserve"> </w:t>
            </w:r>
          </w:p>
          <w:p w:rsidR="003F6BA1" w:rsidRPr="00064747" w:rsidRDefault="003F6BA1" w:rsidP="009B6850">
            <w:pPr>
              <w:jc w:val="both"/>
              <w:rPr>
                <w:sz w:val="28"/>
                <w:szCs w:val="28"/>
              </w:rPr>
            </w:pPr>
          </w:p>
          <w:p w:rsidR="003F6BA1" w:rsidRPr="00064747" w:rsidRDefault="003F6BA1" w:rsidP="003F6BA1">
            <w:pPr>
              <w:ind w:firstLine="720"/>
              <w:rPr>
                <w:bCs/>
                <w:noProof/>
                <w:sz w:val="28"/>
                <w:szCs w:val="28"/>
              </w:rPr>
            </w:pPr>
            <w:r w:rsidRPr="00064747">
              <w:rPr>
                <w:bCs/>
                <w:noProof/>
                <w:sz w:val="28"/>
                <w:szCs w:val="28"/>
              </w:rPr>
              <w:t>Pastāvīgo (netiešo) izmaksu salīdzinājums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1"/>
              <w:gridCol w:w="2022"/>
              <w:gridCol w:w="2022"/>
            </w:tblGrid>
            <w:tr w:rsidR="003F6BA1" w:rsidRPr="00064747" w:rsidTr="00AC2168">
              <w:tc>
                <w:tcPr>
                  <w:tcW w:w="2021" w:type="dxa"/>
                </w:tcPr>
                <w:p w:rsidR="003F6BA1" w:rsidRPr="00064747" w:rsidRDefault="003F6BA1" w:rsidP="00E22B71">
                  <w:pPr>
                    <w:framePr w:hSpace="180" w:wrap="around" w:vAnchor="text" w:hAnchor="margin" w:xAlign="center" w:y="149"/>
                    <w:jc w:val="center"/>
                    <w:rPr>
                      <w:bCs/>
                      <w:noProof/>
                      <w:sz w:val="28"/>
                      <w:szCs w:val="28"/>
                    </w:rPr>
                  </w:pPr>
                </w:p>
                <w:p w:rsidR="003F6BA1" w:rsidRPr="00064747" w:rsidRDefault="003F6BA1" w:rsidP="00E22B71">
                  <w:pPr>
                    <w:framePr w:hSpace="180" w:wrap="around" w:vAnchor="text" w:hAnchor="margin" w:xAlign="center" w:y="149"/>
                    <w:jc w:val="center"/>
                    <w:rPr>
                      <w:bCs/>
                      <w:noProof/>
                      <w:sz w:val="28"/>
                      <w:szCs w:val="28"/>
                    </w:rPr>
                  </w:pPr>
                </w:p>
              </w:tc>
              <w:tc>
                <w:tcPr>
                  <w:tcW w:w="2022" w:type="dxa"/>
                </w:tcPr>
                <w:p w:rsidR="003F6BA1" w:rsidRPr="00064747" w:rsidRDefault="003F6BA1" w:rsidP="00E22B71">
                  <w:pPr>
                    <w:framePr w:hSpace="180" w:wrap="around" w:vAnchor="text" w:hAnchor="margin" w:xAlign="center" w:y="149"/>
                    <w:jc w:val="center"/>
                    <w:rPr>
                      <w:bCs/>
                      <w:noProof/>
                      <w:sz w:val="28"/>
                      <w:szCs w:val="28"/>
                    </w:rPr>
                  </w:pPr>
                  <w:r w:rsidRPr="00064747">
                    <w:rPr>
                      <w:noProof/>
                      <w:sz w:val="20"/>
                      <w:szCs w:val="20"/>
                    </w:rPr>
                    <w:t>U – Pieskaitāmās un netiešās ražošanas izmaksas</w:t>
                  </w:r>
                </w:p>
              </w:tc>
              <w:tc>
                <w:tcPr>
                  <w:tcW w:w="2022" w:type="dxa"/>
                  <w:vAlign w:val="center"/>
                </w:tcPr>
                <w:p w:rsidR="003F6BA1" w:rsidRPr="00064747" w:rsidRDefault="00833FFF" w:rsidP="00E22B71">
                  <w:pPr>
                    <w:framePr w:hSpace="180" w:wrap="around" w:vAnchor="text" w:hAnchor="margin" w:xAlign="center" w:y="149"/>
                    <w:jc w:val="center"/>
                    <w:rPr>
                      <w:noProof/>
                      <w:sz w:val="20"/>
                      <w:szCs w:val="20"/>
                    </w:rPr>
                  </w:pPr>
                  <w:r w:rsidRPr="00064747">
                    <w:rPr>
                      <w:noProof/>
                      <w:sz w:val="20"/>
                      <w:szCs w:val="20"/>
                    </w:rPr>
                    <w:t>A – Administra</w:t>
                  </w:r>
                  <w:r w:rsidR="003F6BA1" w:rsidRPr="00064747">
                    <w:rPr>
                      <w:noProof/>
                      <w:sz w:val="20"/>
                      <w:szCs w:val="20"/>
                    </w:rPr>
                    <w:t>tīvie izdevumi</w:t>
                  </w:r>
                </w:p>
              </w:tc>
            </w:tr>
            <w:tr w:rsidR="003F6BA1" w:rsidRPr="00064747" w:rsidTr="00AC2168">
              <w:tc>
                <w:tcPr>
                  <w:tcW w:w="2021" w:type="dxa"/>
                  <w:vAlign w:val="center"/>
                </w:tcPr>
                <w:p w:rsidR="003F6BA1" w:rsidRPr="00064747" w:rsidRDefault="003F6BA1" w:rsidP="00E22B71">
                  <w:pPr>
                    <w:framePr w:hSpace="180" w:wrap="around" w:vAnchor="text" w:hAnchor="margin" w:xAlign="center" w:y="149"/>
                    <w:rPr>
                      <w:noProof/>
                      <w:sz w:val="20"/>
                      <w:szCs w:val="20"/>
                    </w:rPr>
                  </w:pPr>
                  <w:r w:rsidRPr="00064747">
                    <w:rPr>
                      <w:sz w:val="20"/>
                      <w:szCs w:val="20"/>
                    </w:rPr>
                    <w:t xml:space="preserve">Reģionālo daudzprofilu slimnīcu 2013. g. vienas </w:t>
                  </w:r>
                  <w:r w:rsidRPr="00064747">
                    <w:rPr>
                      <w:sz w:val="20"/>
                      <w:szCs w:val="20"/>
                    </w:rPr>
                    <w:lastRenderedPageBreak/>
                    <w:t xml:space="preserve">faktiskās nosacītās </w:t>
                  </w:r>
                  <w:proofErr w:type="spellStart"/>
                  <w:r w:rsidRPr="00064747">
                    <w:rPr>
                      <w:sz w:val="20"/>
                      <w:szCs w:val="20"/>
                    </w:rPr>
                    <w:t>gultasdienas</w:t>
                  </w:r>
                  <w:proofErr w:type="spellEnd"/>
                  <w:r w:rsidRPr="00064747">
                    <w:rPr>
                      <w:sz w:val="20"/>
                      <w:szCs w:val="20"/>
                    </w:rPr>
                    <w:t xml:space="preserve"> izmaksas bez papildus piešķirtiem līdzekļiem, </w:t>
                  </w:r>
                  <w:proofErr w:type="spellStart"/>
                  <w:r w:rsidRPr="00064747">
                    <w:rPr>
                      <w:i/>
                      <w:sz w:val="20"/>
                      <w:szCs w:val="20"/>
                    </w:rPr>
                    <w:t>euro</w:t>
                  </w:r>
                  <w:proofErr w:type="spellEnd"/>
                </w:p>
              </w:tc>
              <w:tc>
                <w:tcPr>
                  <w:tcW w:w="2022" w:type="dxa"/>
                  <w:vAlign w:val="center"/>
                </w:tcPr>
                <w:p w:rsidR="003F6BA1" w:rsidRPr="00064747" w:rsidRDefault="003F6BA1" w:rsidP="00E22B71">
                  <w:pPr>
                    <w:framePr w:hSpace="180" w:wrap="around" w:vAnchor="text" w:hAnchor="margin" w:xAlign="center" w:y="149"/>
                    <w:jc w:val="center"/>
                    <w:rPr>
                      <w:noProof/>
                      <w:sz w:val="20"/>
                      <w:szCs w:val="20"/>
                    </w:rPr>
                  </w:pPr>
                  <w:r w:rsidRPr="00064747">
                    <w:rPr>
                      <w:noProof/>
                      <w:sz w:val="20"/>
                      <w:szCs w:val="20"/>
                    </w:rPr>
                    <w:lastRenderedPageBreak/>
                    <w:t>15,03</w:t>
                  </w:r>
                </w:p>
              </w:tc>
              <w:tc>
                <w:tcPr>
                  <w:tcW w:w="2022" w:type="dxa"/>
                  <w:vAlign w:val="center"/>
                </w:tcPr>
                <w:p w:rsidR="003F6BA1" w:rsidRPr="00064747" w:rsidRDefault="003F6BA1" w:rsidP="00E22B71">
                  <w:pPr>
                    <w:framePr w:hSpace="180" w:wrap="around" w:vAnchor="text" w:hAnchor="margin" w:xAlign="center" w:y="149"/>
                    <w:jc w:val="center"/>
                    <w:rPr>
                      <w:noProof/>
                      <w:sz w:val="20"/>
                      <w:szCs w:val="20"/>
                    </w:rPr>
                  </w:pPr>
                  <w:r w:rsidRPr="00064747">
                    <w:rPr>
                      <w:noProof/>
                      <w:sz w:val="20"/>
                      <w:szCs w:val="20"/>
                    </w:rPr>
                    <w:t>3,06</w:t>
                  </w:r>
                </w:p>
              </w:tc>
            </w:tr>
            <w:tr w:rsidR="003F6BA1" w:rsidRPr="00064747" w:rsidTr="00AC2168">
              <w:tc>
                <w:tcPr>
                  <w:tcW w:w="2021" w:type="dxa"/>
                  <w:vAlign w:val="center"/>
                </w:tcPr>
                <w:p w:rsidR="003F6BA1" w:rsidRPr="00064747" w:rsidRDefault="003F6BA1" w:rsidP="00E22B71">
                  <w:pPr>
                    <w:framePr w:hSpace="180" w:wrap="around" w:vAnchor="text" w:hAnchor="margin" w:xAlign="center" w:y="149"/>
                    <w:rPr>
                      <w:noProof/>
                      <w:sz w:val="20"/>
                      <w:szCs w:val="20"/>
                    </w:rPr>
                  </w:pPr>
                  <w:r w:rsidRPr="00064747">
                    <w:rPr>
                      <w:noProof/>
                      <w:sz w:val="20"/>
                      <w:szCs w:val="20"/>
                    </w:rPr>
                    <w:lastRenderedPageBreak/>
                    <w:t xml:space="preserve">2014. g. pusgadā veiktā darba  gultasdienas izmaksas reģionālās daudzprofilu slimnīcās, </w:t>
                  </w:r>
                  <w:r w:rsidRPr="00064747">
                    <w:rPr>
                      <w:i/>
                      <w:sz w:val="20"/>
                      <w:szCs w:val="20"/>
                    </w:rPr>
                    <w:t xml:space="preserve"> </w:t>
                  </w:r>
                  <w:proofErr w:type="spellStart"/>
                  <w:r w:rsidRPr="00064747">
                    <w:rPr>
                      <w:i/>
                      <w:sz w:val="20"/>
                      <w:szCs w:val="20"/>
                    </w:rPr>
                    <w:t>euro</w:t>
                  </w:r>
                  <w:proofErr w:type="spellEnd"/>
                  <w:r w:rsidRPr="00064747">
                    <w:rPr>
                      <w:noProof/>
                      <w:sz w:val="20"/>
                      <w:szCs w:val="20"/>
                    </w:rPr>
                    <w:t xml:space="preserve"> *</w:t>
                  </w:r>
                </w:p>
              </w:tc>
              <w:tc>
                <w:tcPr>
                  <w:tcW w:w="2022" w:type="dxa"/>
                  <w:vAlign w:val="center"/>
                </w:tcPr>
                <w:p w:rsidR="003F6BA1" w:rsidRPr="00064747" w:rsidRDefault="003F6BA1" w:rsidP="00E22B71">
                  <w:pPr>
                    <w:framePr w:hSpace="180" w:wrap="around" w:vAnchor="text" w:hAnchor="margin" w:xAlign="center" w:y="149"/>
                    <w:jc w:val="center"/>
                    <w:rPr>
                      <w:noProof/>
                      <w:sz w:val="20"/>
                      <w:szCs w:val="20"/>
                    </w:rPr>
                  </w:pPr>
                  <w:r w:rsidRPr="00064747">
                    <w:rPr>
                      <w:noProof/>
                      <w:sz w:val="20"/>
                      <w:szCs w:val="20"/>
                    </w:rPr>
                    <w:t>9,18</w:t>
                  </w:r>
                </w:p>
              </w:tc>
              <w:tc>
                <w:tcPr>
                  <w:tcW w:w="2022" w:type="dxa"/>
                  <w:vAlign w:val="center"/>
                </w:tcPr>
                <w:p w:rsidR="003F6BA1" w:rsidRPr="00064747" w:rsidRDefault="003F6BA1" w:rsidP="00E22B71">
                  <w:pPr>
                    <w:framePr w:hSpace="180" w:wrap="around" w:vAnchor="text" w:hAnchor="margin" w:xAlign="center" w:y="149"/>
                    <w:jc w:val="center"/>
                    <w:rPr>
                      <w:noProof/>
                      <w:sz w:val="20"/>
                      <w:szCs w:val="20"/>
                    </w:rPr>
                  </w:pPr>
                  <w:r w:rsidRPr="00064747">
                    <w:rPr>
                      <w:noProof/>
                      <w:sz w:val="20"/>
                      <w:szCs w:val="20"/>
                    </w:rPr>
                    <w:t>1,56</w:t>
                  </w:r>
                </w:p>
              </w:tc>
            </w:tr>
            <w:tr w:rsidR="003F6BA1" w:rsidRPr="00064747" w:rsidTr="00AC2168">
              <w:tc>
                <w:tcPr>
                  <w:tcW w:w="2021" w:type="dxa"/>
                  <w:vAlign w:val="center"/>
                </w:tcPr>
                <w:p w:rsidR="003F6BA1" w:rsidRPr="00064747" w:rsidRDefault="003F6BA1" w:rsidP="00E22B71">
                  <w:pPr>
                    <w:framePr w:hSpace="180" w:wrap="around" w:vAnchor="text" w:hAnchor="margin" w:xAlign="center" w:y="149"/>
                    <w:rPr>
                      <w:noProof/>
                      <w:sz w:val="20"/>
                      <w:szCs w:val="20"/>
                    </w:rPr>
                  </w:pPr>
                  <w:r w:rsidRPr="00064747">
                    <w:rPr>
                      <w:noProof/>
                      <w:sz w:val="20"/>
                      <w:szCs w:val="20"/>
                    </w:rPr>
                    <w:t>Procentuālais pieaugums</w:t>
                  </w:r>
                </w:p>
              </w:tc>
              <w:tc>
                <w:tcPr>
                  <w:tcW w:w="2022" w:type="dxa"/>
                  <w:vAlign w:val="center"/>
                </w:tcPr>
                <w:p w:rsidR="003F6BA1" w:rsidRPr="00064747" w:rsidRDefault="003F6BA1" w:rsidP="00E22B71">
                  <w:pPr>
                    <w:framePr w:hSpace="180" w:wrap="around" w:vAnchor="text" w:hAnchor="margin" w:xAlign="center" w:y="149"/>
                    <w:jc w:val="center"/>
                    <w:rPr>
                      <w:noProof/>
                      <w:sz w:val="20"/>
                      <w:szCs w:val="20"/>
                    </w:rPr>
                  </w:pPr>
                  <w:r w:rsidRPr="00064747">
                    <w:rPr>
                      <w:noProof/>
                      <w:sz w:val="20"/>
                      <w:szCs w:val="20"/>
                    </w:rPr>
                    <w:t>38,9</w:t>
                  </w:r>
                </w:p>
              </w:tc>
              <w:tc>
                <w:tcPr>
                  <w:tcW w:w="2022" w:type="dxa"/>
                  <w:vAlign w:val="center"/>
                </w:tcPr>
                <w:p w:rsidR="003F6BA1" w:rsidRPr="00064747" w:rsidRDefault="003F6BA1" w:rsidP="00E22B71">
                  <w:pPr>
                    <w:framePr w:hSpace="180" w:wrap="around" w:vAnchor="text" w:hAnchor="margin" w:xAlign="center" w:y="149"/>
                    <w:jc w:val="center"/>
                    <w:rPr>
                      <w:noProof/>
                      <w:sz w:val="20"/>
                      <w:szCs w:val="20"/>
                    </w:rPr>
                  </w:pPr>
                  <w:r w:rsidRPr="00064747">
                    <w:rPr>
                      <w:noProof/>
                      <w:sz w:val="20"/>
                      <w:szCs w:val="20"/>
                    </w:rPr>
                    <w:t>49,0</w:t>
                  </w:r>
                </w:p>
              </w:tc>
            </w:tr>
          </w:tbl>
          <w:p w:rsidR="00DF4666" w:rsidRPr="00064747" w:rsidRDefault="00DF4666" w:rsidP="00DF4666">
            <w:pPr>
              <w:jc w:val="both"/>
              <w:rPr>
                <w:sz w:val="22"/>
                <w:szCs w:val="22"/>
              </w:rPr>
            </w:pPr>
            <w:r w:rsidRPr="00064747">
              <w:rPr>
                <w:sz w:val="22"/>
                <w:szCs w:val="22"/>
              </w:rPr>
              <w:t xml:space="preserve">* uzrādīts aprēķinātais veiktais darbs par </w:t>
            </w:r>
            <w:r w:rsidR="00B76D89" w:rsidRPr="00064747">
              <w:rPr>
                <w:sz w:val="22"/>
                <w:szCs w:val="22"/>
              </w:rPr>
              <w:t>gultas dienām</w:t>
            </w:r>
            <w:r w:rsidRPr="00064747">
              <w:rPr>
                <w:sz w:val="22"/>
                <w:szCs w:val="22"/>
              </w:rPr>
              <w:t xml:space="preserve"> un veiktajām pie </w:t>
            </w:r>
            <w:r w:rsidR="00B76D89" w:rsidRPr="00064747">
              <w:rPr>
                <w:sz w:val="22"/>
                <w:szCs w:val="22"/>
              </w:rPr>
              <w:t>gultas dienas</w:t>
            </w:r>
            <w:r w:rsidRPr="00064747">
              <w:rPr>
                <w:sz w:val="22"/>
                <w:szCs w:val="22"/>
              </w:rPr>
              <w:t xml:space="preserve"> piemaksājamām manipulācijām, atbilstoši Vadības informācijas sistēmā ievadītajiem datiem un </w:t>
            </w:r>
            <w:r w:rsidRPr="00064747">
              <w:t>minētajā laika periodā apmaksas nosacījumiem</w:t>
            </w:r>
            <w:r w:rsidRPr="00064747">
              <w:rPr>
                <w:sz w:val="22"/>
                <w:szCs w:val="22"/>
              </w:rPr>
              <w:t>. Veiktas darbs tika aprēķināts pie summas, kas iegūta, reizinot gultas</w:t>
            </w:r>
            <w:r w:rsidR="00B76D89" w:rsidRPr="00064747">
              <w:rPr>
                <w:sz w:val="22"/>
                <w:szCs w:val="22"/>
              </w:rPr>
              <w:t xml:space="preserve"> </w:t>
            </w:r>
            <w:r w:rsidRPr="00064747">
              <w:rPr>
                <w:sz w:val="22"/>
                <w:szCs w:val="22"/>
              </w:rPr>
              <w:t xml:space="preserve">dienu skaitu ar </w:t>
            </w:r>
            <w:r w:rsidR="00B76D89" w:rsidRPr="00064747">
              <w:rPr>
                <w:sz w:val="22"/>
                <w:szCs w:val="22"/>
              </w:rPr>
              <w:t>N</w:t>
            </w:r>
            <w:r w:rsidRPr="00064747">
              <w:rPr>
                <w:sz w:val="22"/>
                <w:szCs w:val="22"/>
              </w:rPr>
              <w:t>oteikumu Nr.1529 3. pielikuma 3. punktā noteikto gultas</w:t>
            </w:r>
            <w:r w:rsidR="00B76D89" w:rsidRPr="00064747">
              <w:rPr>
                <w:sz w:val="22"/>
                <w:szCs w:val="22"/>
              </w:rPr>
              <w:t xml:space="preserve"> </w:t>
            </w:r>
            <w:r w:rsidRPr="00064747">
              <w:rPr>
                <w:sz w:val="22"/>
                <w:szCs w:val="22"/>
              </w:rPr>
              <w:t xml:space="preserve">dienas tarifu, pieskaitot veikto manipulāciju, kas </w:t>
            </w:r>
            <w:r w:rsidR="00B76D89" w:rsidRPr="00064747">
              <w:rPr>
                <w:sz w:val="22"/>
                <w:szCs w:val="22"/>
              </w:rPr>
              <w:t>N</w:t>
            </w:r>
            <w:r w:rsidRPr="00064747">
              <w:rPr>
                <w:sz w:val="22"/>
                <w:szCs w:val="22"/>
              </w:rPr>
              <w:t>oteikumu Nr.1529 16. pielikumā atzīmētas ar (*), tarifu summu.</w:t>
            </w:r>
          </w:p>
          <w:p w:rsidR="003F6BA1" w:rsidRPr="00064747" w:rsidRDefault="003F6BA1" w:rsidP="009B6850">
            <w:pPr>
              <w:jc w:val="both"/>
              <w:rPr>
                <w:sz w:val="28"/>
                <w:szCs w:val="28"/>
              </w:rPr>
            </w:pPr>
          </w:p>
          <w:p w:rsidR="00F2723E" w:rsidRPr="00064747" w:rsidRDefault="003F6BA1" w:rsidP="009A605E">
            <w:pPr>
              <w:jc w:val="both"/>
              <w:rPr>
                <w:sz w:val="28"/>
                <w:szCs w:val="28"/>
                <w:lang w:bidi="en-US"/>
              </w:rPr>
            </w:pPr>
            <w:r w:rsidRPr="00064747">
              <w:rPr>
                <w:sz w:val="28"/>
                <w:szCs w:val="28"/>
                <w:lang w:bidi="en-US"/>
              </w:rPr>
              <w:t>Starpība  starp aprēķināto nepieciešamo  finansējumu un esošo finansējumu ir 11 048 997 </w:t>
            </w:r>
            <w:proofErr w:type="spellStart"/>
            <w:r w:rsidRPr="00064747">
              <w:rPr>
                <w:i/>
                <w:sz w:val="28"/>
                <w:szCs w:val="28"/>
                <w:lang w:bidi="en-US"/>
              </w:rPr>
              <w:t>euro</w:t>
            </w:r>
            <w:proofErr w:type="spellEnd"/>
            <w:r w:rsidR="00F2723E" w:rsidRPr="00064747">
              <w:rPr>
                <w:sz w:val="28"/>
                <w:szCs w:val="28"/>
                <w:lang w:bidi="en-US"/>
              </w:rPr>
              <w:t xml:space="preserve">. Starpība veidojas: esošais finansējums tarifa elementiem 228 738 091 </w:t>
            </w:r>
            <w:proofErr w:type="spellStart"/>
            <w:r w:rsidR="00F2723E" w:rsidRPr="00064747">
              <w:rPr>
                <w:i/>
                <w:sz w:val="28"/>
                <w:szCs w:val="28"/>
                <w:lang w:bidi="en-US"/>
              </w:rPr>
              <w:t>euro</w:t>
            </w:r>
            <w:proofErr w:type="spellEnd"/>
            <w:r w:rsidR="00F2723E" w:rsidRPr="00064747">
              <w:rPr>
                <w:sz w:val="28"/>
                <w:szCs w:val="28"/>
                <w:lang w:bidi="en-US"/>
              </w:rPr>
              <w:t xml:space="preserve"> apmērā, tai skaitā U tarifa elements</w:t>
            </w:r>
          </w:p>
          <w:p w:rsidR="00F2723E" w:rsidRPr="00064747" w:rsidRDefault="00F2723E" w:rsidP="009A605E">
            <w:pPr>
              <w:jc w:val="both"/>
              <w:rPr>
                <w:sz w:val="28"/>
                <w:szCs w:val="28"/>
                <w:lang w:bidi="en-US"/>
              </w:rPr>
            </w:pPr>
            <w:r w:rsidRPr="00064747">
              <w:rPr>
                <w:sz w:val="28"/>
                <w:szCs w:val="28"/>
                <w:lang w:bidi="en-US"/>
              </w:rPr>
              <w:t xml:space="preserve">(pieskaitāmās un netiešās ražošanas izmaksas) 22 191 691 </w:t>
            </w:r>
            <w:proofErr w:type="spellStart"/>
            <w:r w:rsidRPr="00064747">
              <w:rPr>
                <w:i/>
                <w:sz w:val="28"/>
                <w:szCs w:val="28"/>
                <w:lang w:bidi="en-US"/>
              </w:rPr>
              <w:t>euro</w:t>
            </w:r>
            <w:proofErr w:type="spellEnd"/>
            <w:r w:rsidRPr="00064747">
              <w:rPr>
                <w:i/>
                <w:sz w:val="28"/>
                <w:szCs w:val="28"/>
                <w:lang w:bidi="en-US"/>
              </w:rPr>
              <w:t xml:space="preserve"> </w:t>
            </w:r>
            <w:r w:rsidRPr="00064747">
              <w:rPr>
                <w:sz w:val="28"/>
                <w:szCs w:val="28"/>
                <w:lang w:bidi="en-US"/>
              </w:rPr>
              <w:t xml:space="preserve">apmērā, kuram ir 38,9% tarifa palielinājums atbilstoši faktiskajām izmaksām (8 632 568 </w:t>
            </w:r>
            <w:proofErr w:type="spellStart"/>
            <w:r w:rsidRPr="00064747">
              <w:rPr>
                <w:i/>
                <w:sz w:val="28"/>
                <w:szCs w:val="28"/>
                <w:lang w:bidi="en-US"/>
              </w:rPr>
              <w:t>euro</w:t>
            </w:r>
            <w:proofErr w:type="spellEnd"/>
            <w:r w:rsidRPr="00064747">
              <w:rPr>
                <w:sz w:val="28"/>
                <w:szCs w:val="28"/>
                <w:lang w:bidi="en-US"/>
              </w:rPr>
              <w:t xml:space="preserve">) un A tarifa elements  (administratīvie izdevumi) 4 931 487 </w:t>
            </w:r>
            <w:proofErr w:type="spellStart"/>
            <w:r w:rsidRPr="00064747">
              <w:rPr>
                <w:i/>
                <w:sz w:val="28"/>
                <w:szCs w:val="28"/>
                <w:lang w:bidi="en-US"/>
              </w:rPr>
              <w:t>euro</w:t>
            </w:r>
            <w:proofErr w:type="spellEnd"/>
            <w:r w:rsidRPr="00064747">
              <w:rPr>
                <w:sz w:val="28"/>
                <w:szCs w:val="28"/>
                <w:lang w:bidi="en-US"/>
              </w:rPr>
              <w:t xml:space="preserve"> apmērā, kuram  ir 49% tarifa palielinājums atbilstoši faktiskajām izmaksām (2 416 429 </w:t>
            </w:r>
            <w:proofErr w:type="spellStart"/>
            <w:r w:rsidRPr="00064747">
              <w:rPr>
                <w:i/>
                <w:sz w:val="28"/>
                <w:szCs w:val="28"/>
                <w:lang w:bidi="en-US"/>
              </w:rPr>
              <w:t>euro</w:t>
            </w:r>
            <w:proofErr w:type="spellEnd"/>
            <w:r w:rsidRPr="00064747">
              <w:rPr>
                <w:sz w:val="28"/>
                <w:szCs w:val="28"/>
                <w:lang w:bidi="en-US"/>
              </w:rPr>
              <w:t xml:space="preserve">) = 8 632 568 </w:t>
            </w:r>
            <w:r w:rsidRPr="00064747">
              <w:rPr>
                <w:i/>
                <w:sz w:val="28"/>
                <w:szCs w:val="28"/>
                <w:lang w:bidi="en-US"/>
              </w:rPr>
              <w:t xml:space="preserve"> </w:t>
            </w:r>
            <w:proofErr w:type="spellStart"/>
            <w:r w:rsidRPr="00064747">
              <w:rPr>
                <w:i/>
                <w:sz w:val="28"/>
                <w:szCs w:val="28"/>
                <w:lang w:bidi="en-US"/>
              </w:rPr>
              <w:t>euro</w:t>
            </w:r>
            <w:proofErr w:type="spellEnd"/>
            <w:r w:rsidRPr="00064747">
              <w:rPr>
                <w:sz w:val="28"/>
                <w:szCs w:val="28"/>
                <w:lang w:bidi="en-US"/>
              </w:rPr>
              <w:t xml:space="preserve"> + 2 416 429 </w:t>
            </w:r>
            <w:r w:rsidRPr="00064747">
              <w:rPr>
                <w:i/>
                <w:sz w:val="28"/>
                <w:szCs w:val="28"/>
                <w:lang w:bidi="en-US"/>
              </w:rPr>
              <w:t xml:space="preserve"> </w:t>
            </w:r>
            <w:proofErr w:type="spellStart"/>
            <w:r w:rsidRPr="00064747">
              <w:rPr>
                <w:i/>
                <w:sz w:val="28"/>
                <w:szCs w:val="28"/>
                <w:lang w:bidi="en-US"/>
              </w:rPr>
              <w:t>euro</w:t>
            </w:r>
            <w:proofErr w:type="spellEnd"/>
            <w:r w:rsidRPr="00064747">
              <w:rPr>
                <w:sz w:val="28"/>
                <w:szCs w:val="28"/>
                <w:lang w:bidi="en-US"/>
              </w:rPr>
              <w:t xml:space="preserve"> = 11 048 997 </w:t>
            </w:r>
            <w:proofErr w:type="spellStart"/>
            <w:r w:rsidRPr="00064747">
              <w:rPr>
                <w:i/>
                <w:sz w:val="28"/>
                <w:szCs w:val="28"/>
                <w:lang w:bidi="en-US"/>
              </w:rPr>
              <w:t>euro</w:t>
            </w:r>
            <w:proofErr w:type="spellEnd"/>
            <w:r w:rsidRPr="00064747">
              <w:rPr>
                <w:sz w:val="28"/>
                <w:szCs w:val="28"/>
                <w:lang w:bidi="en-US"/>
              </w:rPr>
              <w:t>.</w:t>
            </w:r>
          </w:p>
          <w:p w:rsidR="003F6BA1" w:rsidRPr="00064747" w:rsidRDefault="00F2723E" w:rsidP="009A605E">
            <w:pPr>
              <w:jc w:val="both"/>
              <w:rPr>
                <w:sz w:val="28"/>
                <w:szCs w:val="28"/>
                <w:lang w:bidi="en-US"/>
              </w:rPr>
            </w:pPr>
            <w:r w:rsidRPr="00064747">
              <w:rPr>
                <w:sz w:val="28"/>
                <w:szCs w:val="28"/>
                <w:lang w:bidi="en-US"/>
              </w:rPr>
              <w:t>T</w:t>
            </w:r>
            <w:r w:rsidR="003F6BA1" w:rsidRPr="00064747">
              <w:rPr>
                <w:sz w:val="28"/>
                <w:szCs w:val="28"/>
                <w:lang w:bidi="en-US"/>
              </w:rPr>
              <w:t xml:space="preserve">omēr, ņemot vērā ierobežotās valsts budžeta iespējas, papildus tiek prasīts finansējums 6 580 152 </w:t>
            </w:r>
            <w:proofErr w:type="spellStart"/>
            <w:r w:rsidR="003F6BA1" w:rsidRPr="00064747">
              <w:rPr>
                <w:i/>
                <w:sz w:val="28"/>
                <w:szCs w:val="28"/>
                <w:lang w:bidi="en-US"/>
              </w:rPr>
              <w:t>euro</w:t>
            </w:r>
            <w:proofErr w:type="spellEnd"/>
            <w:r w:rsidR="003F6BA1" w:rsidRPr="00064747">
              <w:rPr>
                <w:i/>
                <w:sz w:val="28"/>
                <w:szCs w:val="28"/>
                <w:lang w:bidi="en-US"/>
              </w:rPr>
              <w:t xml:space="preserve"> </w:t>
            </w:r>
            <w:r w:rsidR="003F6BA1" w:rsidRPr="00064747">
              <w:rPr>
                <w:sz w:val="28"/>
                <w:szCs w:val="28"/>
                <w:lang w:bidi="en-US"/>
              </w:rPr>
              <w:t>(60%) apmērā, lai 2014.gadā daļēji kompensētu starpību starp reālajām izmaksām un tarifā iestrādātajām N, U, A elementu izmaksām, kā arī nesamazinātos  līguma summas par stacionārajiem veselības aprūpes pakalpojumiem</w:t>
            </w:r>
            <w:r w:rsidR="00126AF0" w:rsidRPr="00064747">
              <w:rPr>
                <w:sz w:val="28"/>
                <w:szCs w:val="28"/>
                <w:lang w:bidi="en-US"/>
              </w:rPr>
              <w:t xml:space="preserve"> pret 2013.gadu</w:t>
            </w:r>
            <w:r w:rsidR="003F6BA1" w:rsidRPr="00064747">
              <w:rPr>
                <w:sz w:val="28"/>
                <w:szCs w:val="28"/>
                <w:lang w:bidi="en-US"/>
              </w:rPr>
              <w:t>, nepieciešams vienreizējs finansējums  infrastruktūras uzturēšanas izdevumu deficīta segšanai.</w:t>
            </w:r>
          </w:p>
          <w:p w:rsidR="009A605E" w:rsidRPr="00064747" w:rsidRDefault="009B6850" w:rsidP="009A605E">
            <w:pPr>
              <w:jc w:val="both"/>
              <w:rPr>
                <w:sz w:val="28"/>
                <w:szCs w:val="28"/>
              </w:rPr>
            </w:pPr>
            <w:r w:rsidRPr="00064747">
              <w:rPr>
                <w:sz w:val="28"/>
                <w:szCs w:val="28"/>
              </w:rPr>
              <w:t xml:space="preserve">Finansējums tiks sadalīts ārstniecības iestādēm, kuras sniedz stacionāros ārstniecības pakalpojumus,  vienreizēja maksājuma veidā proporcionāli līgumos fiksētajam maksājumam par stacionāro darbību (maksājums par programmā „Iezīmētie pakalpojumi”, </w:t>
            </w:r>
            <w:r w:rsidRPr="00064747">
              <w:rPr>
                <w:sz w:val="28"/>
                <w:szCs w:val="28"/>
              </w:rPr>
              <w:lastRenderedPageBreak/>
              <w:t>programmā „Pārējie pakalpojumi” ietilpstošajiem veselības aprūpes pakalpojumiem un dzemdību palīdzību).</w:t>
            </w:r>
          </w:p>
          <w:p w:rsidR="009A605E" w:rsidRPr="00064747" w:rsidRDefault="009A605E" w:rsidP="009A605E">
            <w:pPr>
              <w:jc w:val="both"/>
              <w:rPr>
                <w:sz w:val="28"/>
                <w:szCs w:val="28"/>
              </w:rPr>
            </w:pPr>
          </w:p>
          <w:p w:rsidR="00316EFC" w:rsidRPr="00064747" w:rsidRDefault="00316EFC" w:rsidP="00316EFC">
            <w:pPr>
              <w:jc w:val="both"/>
              <w:rPr>
                <w:sz w:val="28"/>
                <w:szCs w:val="28"/>
              </w:rPr>
            </w:pPr>
          </w:p>
          <w:p w:rsidR="00316EFC" w:rsidRPr="00064747" w:rsidRDefault="00316EFC" w:rsidP="00316EFC">
            <w:pPr>
              <w:pStyle w:val="ListParagraph"/>
              <w:tabs>
                <w:tab w:val="left" w:pos="142"/>
              </w:tabs>
              <w:autoSpaceDE w:val="0"/>
              <w:autoSpaceDN w:val="0"/>
              <w:adjustRightInd w:val="0"/>
              <w:spacing w:after="0" w:line="240" w:lineRule="auto"/>
              <w:ind w:left="0"/>
              <w:jc w:val="both"/>
              <w:rPr>
                <w:rFonts w:ascii="Times New Roman" w:hAnsi="Times New Roman"/>
                <w:sz w:val="28"/>
                <w:szCs w:val="28"/>
                <w:u w:val="single"/>
                <w:lang w:val="lv-LV"/>
              </w:rPr>
            </w:pPr>
            <w:r w:rsidRPr="00064747">
              <w:rPr>
                <w:rFonts w:ascii="Times New Roman" w:hAnsi="Times New Roman"/>
                <w:b/>
                <w:sz w:val="28"/>
                <w:szCs w:val="28"/>
                <w:u w:val="single"/>
                <w:lang w:val="lv-LV"/>
              </w:rPr>
              <w:t>4.</w:t>
            </w:r>
            <w:r w:rsidRPr="00064747">
              <w:rPr>
                <w:rFonts w:ascii="Times New Roman" w:hAnsi="Times New Roman"/>
                <w:sz w:val="28"/>
                <w:szCs w:val="28"/>
                <w:u w:val="single"/>
                <w:lang w:val="lv-LV"/>
              </w:rPr>
              <w:t xml:space="preserve">Lai nodrošinātu </w:t>
            </w:r>
            <w:r w:rsidRPr="00064747">
              <w:rPr>
                <w:rFonts w:ascii="Times New Roman" w:hAnsi="Times New Roman"/>
                <w:sz w:val="26"/>
                <w:szCs w:val="26"/>
                <w:u w:val="single"/>
                <w:lang w:val="lv-LV"/>
              </w:rPr>
              <w:tab/>
            </w:r>
            <w:r w:rsidR="00EB5820" w:rsidRPr="00064747">
              <w:rPr>
                <w:rFonts w:ascii="Times New Roman" w:hAnsi="Times New Roman"/>
                <w:sz w:val="28"/>
                <w:szCs w:val="28"/>
                <w:u w:val="single"/>
                <w:lang w:val="lv-LV"/>
              </w:rPr>
              <w:t xml:space="preserve">līdzekļu deficīta segšanu </w:t>
            </w:r>
            <w:r w:rsidRPr="00064747">
              <w:rPr>
                <w:rFonts w:ascii="Times New Roman" w:hAnsi="Times New Roman"/>
                <w:sz w:val="28"/>
                <w:szCs w:val="28"/>
                <w:u w:val="single"/>
                <w:lang w:val="lv-LV"/>
              </w:rPr>
              <w:t>atlaišanas pabalstu un darbinieku ievainojuma, sakropļojuma vai citāda veselības bojājuma gadījumā vai nāves gadījumā izmaksājamo pabalstu izmaksām</w:t>
            </w:r>
            <w:r w:rsidR="00EB5820" w:rsidRPr="00064747">
              <w:rPr>
                <w:rFonts w:ascii="Times New Roman" w:hAnsi="Times New Roman"/>
                <w:sz w:val="28"/>
                <w:szCs w:val="28"/>
                <w:u w:val="single"/>
                <w:lang w:val="lv-LV"/>
              </w:rPr>
              <w:t xml:space="preserve">, Neatliekamās medicīniskās palīdzības dienestam </w:t>
            </w:r>
            <w:r w:rsidR="00597D12" w:rsidRPr="00064747">
              <w:rPr>
                <w:rFonts w:ascii="Times New Roman" w:hAnsi="Times New Roman"/>
                <w:sz w:val="28"/>
                <w:szCs w:val="28"/>
                <w:u w:val="single"/>
                <w:lang w:val="lv-LV"/>
              </w:rPr>
              <w:t xml:space="preserve">(turpmāk – NMPD) </w:t>
            </w:r>
            <w:r w:rsidR="00EB5820" w:rsidRPr="00064747">
              <w:rPr>
                <w:rFonts w:ascii="Times New Roman" w:hAnsi="Times New Roman"/>
                <w:sz w:val="28"/>
                <w:szCs w:val="28"/>
                <w:u w:val="single"/>
                <w:lang w:val="lv-LV"/>
              </w:rPr>
              <w:t xml:space="preserve">ir nepieciešams papildus finansējums 49 967 </w:t>
            </w:r>
            <w:proofErr w:type="spellStart"/>
            <w:r w:rsidR="00EB5820" w:rsidRPr="00064747">
              <w:rPr>
                <w:rFonts w:ascii="Times New Roman" w:hAnsi="Times New Roman"/>
                <w:i/>
                <w:sz w:val="28"/>
                <w:szCs w:val="28"/>
                <w:u w:val="single"/>
                <w:lang w:val="lv-LV"/>
              </w:rPr>
              <w:t>euro</w:t>
            </w:r>
            <w:proofErr w:type="spellEnd"/>
            <w:r w:rsidR="00EB5820" w:rsidRPr="00064747">
              <w:rPr>
                <w:rFonts w:ascii="Times New Roman" w:hAnsi="Times New Roman"/>
                <w:i/>
                <w:sz w:val="28"/>
                <w:szCs w:val="28"/>
                <w:u w:val="single"/>
                <w:lang w:val="lv-LV"/>
              </w:rPr>
              <w:t xml:space="preserve"> </w:t>
            </w:r>
            <w:r w:rsidR="00EB5820" w:rsidRPr="00064747">
              <w:rPr>
                <w:rFonts w:ascii="Times New Roman" w:hAnsi="Times New Roman"/>
                <w:sz w:val="28"/>
                <w:szCs w:val="28"/>
                <w:u w:val="single"/>
                <w:lang w:val="lv-LV"/>
              </w:rPr>
              <w:t>apmērā.</w:t>
            </w:r>
          </w:p>
          <w:p w:rsidR="00316EFC" w:rsidRPr="00064747" w:rsidRDefault="00316EFC" w:rsidP="00597D12">
            <w:pPr>
              <w:jc w:val="both"/>
              <w:rPr>
                <w:sz w:val="28"/>
                <w:szCs w:val="28"/>
              </w:rPr>
            </w:pPr>
            <w:r w:rsidRPr="00064747">
              <w:rPr>
                <w:sz w:val="28"/>
                <w:szCs w:val="28"/>
              </w:rPr>
              <w:t xml:space="preserve">Neatliekamās medicīniskās palīdzības dienestā ikdienā darbu neatliekamās medicīniskās palīdzības brigādēs nodrošina </w:t>
            </w:r>
            <w:r w:rsidR="00597D12" w:rsidRPr="00064747">
              <w:rPr>
                <w:sz w:val="28"/>
                <w:szCs w:val="28"/>
              </w:rPr>
              <w:t xml:space="preserve">darbinieki, kuri </w:t>
            </w:r>
            <w:r w:rsidRPr="00064747">
              <w:rPr>
                <w:sz w:val="28"/>
                <w:szCs w:val="28"/>
              </w:rPr>
              <w:t>pilda ar dzīvības vai veselības apdraudējumu (risku) saistītus amata pienākumus un normatīvajos aktos ir paredzētas noteiktas sociālās garantijas</w:t>
            </w:r>
            <w:r w:rsidR="00126AF0" w:rsidRPr="00064747">
              <w:rPr>
                <w:sz w:val="28"/>
                <w:szCs w:val="28"/>
              </w:rPr>
              <w:t>,</w:t>
            </w:r>
            <w:r w:rsidRPr="00064747">
              <w:rPr>
                <w:sz w:val="28"/>
                <w:szCs w:val="28"/>
              </w:rPr>
              <w:t xml:space="preserve"> </w:t>
            </w:r>
            <w:r w:rsidR="00597D12" w:rsidRPr="00064747">
              <w:rPr>
                <w:sz w:val="28"/>
                <w:szCs w:val="28"/>
              </w:rPr>
              <w:t>tai skaitā</w:t>
            </w:r>
            <w:r w:rsidR="00126AF0" w:rsidRPr="00064747">
              <w:rPr>
                <w:sz w:val="28"/>
                <w:szCs w:val="28"/>
              </w:rPr>
              <w:t>,</w:t>
            </w:r>
            <w:r w:rsidRPr="00064747">
              <w:rPr>
                <w:sz w:val="28"/>
                <w:szCs w:val="28"/>
              </w:rPr>
              <w:t xml:space="preserve"> pabalst</w:t>
            </w:r>
            <w:r w:rsidR="00597D12" w:rsidRPr="00064747">
              <w:rPr>
                <w:sz w:val="28"/>
                <w:szCs w:val="28"/>
              </w:rPr>
              <w:t>i</w:t>
            </w:r>
            <w:r w:rsidRPr="00064747">
              <w:rPr>
                <w:sz w:val="28"/>
                <w:szCs w:val="28"/>
              </w:rPr>
              <w:t xml:space="preserve"> (papildus izmaksas) šiem darbiniekiem gadījumos, ja:</w:t>
            </w:r>
          </w:p>
          <w:p w:rsidR="00316EFC" w:rsidRPr="00064747" w:rsidRDefault="00316EFC" w:rsidP="00597D12">
            <w:pPr>
              <w:pStyle w:val="ListParagraph"/>
              <w:numPr>
                <w:ilvl w:val="0"/>
                <w:numId w:val="32"/>
              </w:numPr>
              <w:tabs>
                <w:tab w:val="left" w:pos="283"/>
              </w:tabs>
              <w:spacing w:after="0" w:line="240" w:lineRule="auto"/>
              <w:ind w:left="0" w:firstLine="0"/>
              <w:jc w:val="both"/>
              <w:rPr>
                <w:rFonts w:ascii="Times New Roman" w:hAnsi="Times New Roman"/>
                <w:sz w:val="28"/>
                <w:szCs w:val="28"/>
                <w:lang w:val="lv-LV"/>
              </w:rPr>
            </w:pPr>
            <w:r w:rsidRPr="00064747">
              <w:rPr>
                <w:rFonts w:ascii="Times New Roman" w:hAnsi="Times New Roman"/>
                <w:sz w:val="28"/>
                <w:szCs w:val="28"/>
                <w:lang w:val="lv-LV"/>
              </w:rPr>
              <w:t>Darbinieks cietis nelaimes gadījumā un guvis ievainojumu vai sakropļojumu, pildot ar dzīvības vai veselības apdraudējumu (risku) saistītus darba pienākumus;</w:t>
            </w:r>
          </w:p>
          <w:p w:rsidR="00316EFC" w:rsidRPr="00064747" w:rsidRDefault="00316EFC" w:rsidP="00597D12">
            <w:pPr>
              <w:pStyle w:val="ListParagraph"/>
              <w:numPr>
                <w:ilvl w:val="0"/>
                <w:numId w:val="32"/>
              </w:numPr>
              <w:tabs>
                <w:tab w:val="left" w:pos="283"/>
              </w:tabs>
              <w:spacing w:after="0" w:line="240" w:lineRule="auto"/>
              <w:ind w:left="142" w:firstLine="0"/>
              <w:jc w:val="both"/>
              <w:rPr>
                <w:rFonts w:ascii="Times New Roman" w:hAnsi="Times New Roman"/>
                <w:sz w:val="28"/>
                <w:szCs w:val="28"/>
                <w:lang w:val="lv-LV"/>
              </w:rPr>
            </w:pPr>
            <w:r w:rsidRPr="00064747">
              <w:rPr>
                <w:rFonts w:ascii="Times New Roman" w:hAnsi="Times New Roman"/>
                <w:sz w:val="28"/>
                <w:szCs w:val="28"/>
                <w:lang w:val="lv-LV"/>
              </w:rPr>
              <w:t>Ar darbinieku tiek izbeigtas darba</w:t>
            </w:r>
            <w:r w:rsidR="00126AF0" w:rsidRPr="00064747">
              <w:rPr>
                <w:rFonts w:ascii="Times New Roman" w:hAnsi="Times New Roman"/>
                <w:sz w:val="28"/>
                <w:szCs w:val="28"/>
                <w:lang w:val="lv-LV"/>
              </w:rPr>
              <w:t xml:space="preserve"> tiesiskās</w:t>
            </w:r>
            <w:r w:rsidRPr="00064747">
              <w:rPr>
                <w:rFonts w:ascii="Times New Roman" w:hAnsi="Times New Roman"/>
                <w:sz w:val="28"/>
                <w:szCs w:val="28"/>
                <w:lang w:val="lv-LV"/>
              </w:rPr>
              <w:t xml:space="preserve"> attiecības, pamatojoties uz darbam noteiktajām prasībām neatbilstošu veselības stāvokli.</w:t>
            </w:r>
          </w:p>
          <w:p w:rsidR="002D131A" w:rsidRPr="00064747" w:rsidRDefault="002D131A" w:rsidP="002D131A">
            <w:pPr>
              <w:pStyle w:val="ListParagraph"/>
              <w:tabs>
                <w:tab w:val="left" w:pos="283"/>
              </w:tabs>
              <w:spacing w:after="0" w:line="240" w:lineRule="auto"/>
              <w:ind w:left="142"/>
              <w:jc w:val="both"/>
              <w:rPr>
                <w:rFonts w:ascii="Times New Roman" w:hAnsi="Times New Roman"/>
                <w:sz w:val="28"/>
                <w:szCs w:val="28"/>
                <w:lang w:val="lv-LV"/>
              </w:rPr>
            </w:pPr>
          </w:p>
          <w:p w:rsidR="00316EFC" w:rsidRPr="00064747" w:rsidRDefault="00126AF0" w:rsidP="00316EFC">
            <w:pPr>
              <w:jc w:val="both"/>
              <w:rPr>
                <w:sz w:val="28"/>
                <w:szCs w:val="28"/>
              </w:rPr>
            </w:pPr>
            <w:r w:rsidRPr="00064747">
              <w:rPr>
                <w:sz w:val="28"/>
                <w:szCs w:val="28"/>
              </w:rPr>
              <w:t>Izmaksājot pabalstus</w:t>
            </w:r>
            <w:r w:rsidR="00316EFC" w:rsidRPr="00064747">
              <w:rPr>
                <w:sz w:val="28"/>
                <w:szCs w:val="28"/>
              </w:rPr>
              <w:t xml:space="preserve"> darbiniekam gadījumos, kad darbinieks cietis nelaimes gadījumā un guvis ievainojumu vai sakropļojumu, pildot ar dzīvības vai veselības apdraudējumu (risku) saistītus darba pienākumus</w:t>
            </w:r>
            <w:r w:rsidRPr="00064747">
              <w:rPr>
                <w:sz w:val="28"/>
                <w:szCs w:val="28"/>
              </w:rPr>
              <w:t>,</w:t>
            </w:r>
            <w:r w:rsidR="00597D12" w:rsidRPr="00064747">
              <w:rPr>
                <w:sz w:val="28"/>
                <w:szCs w:val="28"/>
              </w:rPr>
              <w:t xml:space="preserve"> NMPD </w:t>
            </w:r>
            <w:r w:rsidR="00316EFC" w:rsidRPr="00064747">
              <w:rPr>
                <w:sz w:val="28"/>
                <w:szCs w:val="28"/>
              </w:rPr>
              <w:t xml:space="preserve">līdz </w:t>
            </w:r>
            <w:r w:rsidR="008306EC" w:rsidRPr="00064747">
              <w:rPr>
                <w:sz w:val="28"/>
                <w:szCs w:val="28"/>
              </w:rPr>
              <w:t>2013.gada 31.decembrim</w:t>
            </w:r>
            <w:r w:rsidR="00316EFC" w:rsidRPr="00064747">
              <w:rPr>
                <w:sz w:val="28"/>
                <w:szCs w:val="28"/>
              </w:rPr>
              <w:t xml:space="preserve"> vadījās no 2010.gada 21.jūn</w:t>
            </w:r>
            <w:r w:rsidR="008306EC" w:rsidRPr="00064747">
              <w:rPr>
                <w:sz w:val="28"/>
                <w:szCs w:val="28"/>
              </w:rPr>
              <w:t>i</w:t>
            </w:r>
            <w:r w:rsidR="00316EFC" w:rsidRPr="00064747">
              <w:rPr>
                <w:sz w:val="28"/>
                <w:szCs w:val="28"/>
              </w:rPr>
              <w:t>ja Mi</w:t>
            </w:r>
            <w:r w:rsidR="008306EC" w:rsidRPr="00064747">
              <w:rPr>
                <w:sz w:val="28"/>
                <w:szCs w:val="28"/>
              </w:rPr>
              <w:t>nistru kabineta noteikumiem Nr.</w:t>
            </w:r>
            <w:r w:rsidR="00316EFC" w:rsidRPr="00064747">
              <w:rPr>
                <w:sz w:val="28"/>
                <w:szCs w:val="28"/>
              </w:rPr>
              <w:t xml:space="preserve">565 </w:t>
            </w:r>
            <w:r w:rsidR="008306EC" w:rsidRPr="00064747">
              <w:rPr>
                <w:sz w:val="28"/>
                <w:szCs w:val="28"/>
              </w:rPr>
              <w:t>„</w:t>
            </w:r>
            <w:r w:rsidR="00316EFC" w:rsidRPr="00064747">
              <w:rPr>
                <w:sz w:val="28"/>
                <w:szCs w:val="28"/>
              </w:rPr>
              <w:t>Noteikumi par valsts un pašvaldību institūciju amatpersonu un darbinieku sociālajām garantijām</w:t>
            </w:r>
            <w:r w:rsidR="008306EC" w:rsidRPr="00064747">
              <w:rPr>
                <w:sz w:val="28"/>
                <w:szCs w:val="28"/>
              </w:rPr>
              <w:t>”</w:t>
            </w:r>
            <w:r w:rsidR="00316EFC" w:rsidRPr="00064747">
              <w:rPr>
                <w:sz w:val="28"/>
                <w:szCs w:val="28"/>
              </w:rPr>
              <w:t xml:space="preserve">. 2013.gada nogalē pēc Zolitūdes traģēdijas, Iekšlietu ministrija steidzamības kārtā virzīja </w:t>
            </w:r>
            <w:r w:rsidRPr="00064747">
              <w:rPr>
                <w:sz w:val="28"/>
                <w:szCs w:val="28"/>
              </w:rPr>
              <w:t>likumprojektu</w:t>
            </w:r>
            <w:r w:rsidR="008306EC" w:rsidRPr="00064747">
              <w:rPr>
                <w:sz w:val="28"/>
                <w:szCs w:val="28"/>
              </w:rPr>
              <w:t xml:space="preserve"> </w:t>
            </w:r>
            <w:r w:rsidR="00316EFC" w:rsidRPr="00064747">
              <w:rPr>
                <w:sz w:val="28"/>
                <w:szCs w:val="28"/>
              </w:rPr>
              <w:t>„Grozījum</w:t>
            </w:r>
            <w:r w:rsidRPr="00064747">
              <w:rPr>
                <w:sz w:val="28"/>
                <w:szCs w:val="28"/>
              </w:rPr>
              <w:t>i</w:t>
            </w:r>
            <w:r w:rsidR="00316EFC" w:rsidRPr="00064747">
              <w:rPr>
                <w:sz w:val="28"/>
                <w:szCs w:val="28"/>
              </w:rPr>
              <w:t xml:space="preserve"> Valsts un pašvaldību institūciju amatpersonu un darbinieku atlīdzības likumā” maino</w:t>
            </w:r>
            <w:r w:rsidR="00BD427C" w:rsidRPr="00064747">
              <w:rPr>
                <w:sz w:val="28"/>
                <w:szCs w:val="28"/>
              </w:rPr>
              <w:t xml:space="preserve">t (paaugstinot) pabalstu apjomu, kā rezultātā </w:t>
            </w:r>
            <w:r w:rsidRPr="00064747">
              <w:rPr>
                <w:sz w:val="28"/>
                <w:szCs w:val="28"/>
              </w:rPr>
              <w:t xml:space="preserve">NMPD budžetā </w:t>
            </w:r>
            <w:r w:rsidR="00BD427C" w:rsidRPr="00064747">
              <w:rPr>
                <w:sz w:val="28"/>
                <w:szCs w:val="28"/>
              </w:rPr>
              <w:t>veidojas deficīts un ir nepieciešams papildus finansējums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1"/>
              <w:gridCol w:w="2022"/>
              <w:gridCol w:w="2022"/>
            </w:tblGrid>
            <w:tr w:rsidR="008306EC" w:rsidRPr="00064747" w:rsidTr="00A97BE8">
              <w:tc>
                <w:tcPr>
                  <w:tcW w:w="2021" w:type="dxa"/>
                </w:tcPr>
                <w:p w:rsidR="008306EC" w:rsidRPr="00064747" w:rsidRDefault="008306EC" w:rsidP="00E22B71">
                  <w:pPr>
                    <w:framePr w:hSpace="180" w:wrap="around" w:vAnchor="text" w:hAnchor="margin" w:xAlign="center" w:y="149"/>
                    <w:jc w:val="center"/>
                  </w:pPr>
                  <w:r w:rsidRPr="00064747">
                    <w:rPr>
                      <w:sz w:val="20"/>
                      <w:szCs w:val="20"/>
                    </w:rPr>
                    <w:t xml:space="preserve">Nelaimes gadījuma pabalsta izmaksas </w:t>
                  </w:r>
                  <w:r w:rsidRPr="00064747">
                    <w:rPr>
                      <w:sz w:val="20"/>
                      <w:szCs w:val="20"/>
                    </w:rPr>
                    <w:lastRenderedPageBreak/>
                    <w:t>nosacījumi:</w:t>
                  </w:r>
                </w:p>
              </w:tc>
              <w:tc>
                <w:tcPr>
                  <w:tcW w:w="2022" w:type="dxa"/>
                </w:tcPr>
                <w:p w:rsidR="008306EC" w:rsidRPr="00064747" w:rsidRDefault="008306EC" w:rsidP="00E22B71">
                  <w:pPr>
                    <w:framePr w:hSpace="180" w:wrap="around" w:vAnchor="text" w:hAnchor="margin" w:xAlign="center" w:y="149"/>
                    <w:jc w:val="center"/>
                    <w:rPr>
                      <w:sz w:val="20"/>
                      <w:szCs w:val="20"/>
                    </w:rPr>
                  </w:pPr>
                  <w:r w:rsidRPr="00064747">
                    <w:rPr>
                      <w:sz w:val="20"/>
                      <w:szCs w:val="20"/>
                    </w:rPr>
                    <w:lastRenderedPageBreak/>
                    <w:t>Pabalsta apmērs atbilstoši</w:t>
                  </w:r>
                </w:p>
                <w:p w:rsidR="008306EC" w:rsidRPr="00064747" w:rsidRDefault="008306EC" w:rsidP="00E22B71">
                  <w:pPr>
                    <w:framePr w:hSpace="180" w:wrap="around" w:vAnchor="text" w:hAnchor="margin" w:xAlign="center" w:y="149"/>
                    <w:jc w:val="center"/>
                  </w:pPr>
                  <w:r w:rsidRPr="00064747">
                    <w:rPr>
                      <w:sz w:val="20"/>
                      <w:szCs w:val="20"/>
                    </w:rPr>
                    <w:lastRenderedPageBreak/>
                    <w:t>MK noteikumiem Nr.565</w:t>
                  </w:r>
                </w:p>
              </w:tc>
              <w:tc>
                <w:tcPr>
                  <w:tcW w:w="2022" w:type="dxa"/>
                </w:tcPr>
                <w:p w:rsidR="008306EC" w:rsidRPr="00064747" w:rsidRDefault="008306EC" w:rsidP="00E22B71">
                  <w:pPr>
                    <w:framePr w:hSpace="180" w:wrap="around" w:vAnchor="text" w:hAnchor="margin" w:xAlign="center" w:y="149"/>
                    <w:jc w:val="center"/>
                  </w:pPr>
                  <w:r w:rsidRPr="00064747">
                    <w:rPr>
                      <w:sz w:val="20"/>
                      <w:szCs w:val="20"/>
                    </w:rPr>
                    <w:lastRenderedPageBreak/>
                    <w:t xml:space="preserve">Pabalsta apmērs atbilstoši Valsts un </w:t>
                  </w:r>
                  <w:r w:rsidRPr="00064747">
                    <w:rPr>
                      <w:sz w:val="20"/>
                      <w:szCs w:val="20"/>
                    </w:rPr>
                    <w:lastRenderedPageBreak/>
                    <w:t>pašvaldību institūciju amatpersonu un darbinieku atlīdzības likumam</w:t>
                  </w:r>
                </w:p>
              </w:tc>
            </w:tr>
            <w:tr w:rsidR="008306EC" w:rsidRPr="00064747" w:rsidTr="00A97BE8">
              <w:tc>
                <w:tcPr>
                  <w:tcW w:w="2021" w:type="dxa"/>
                </w:tcPr>
                <w:p w:rsidR="008306EC" w:rsidRPr="00064747" w:rsidRDefault="008306EC" w:rsidP="00E22B71">
                  <w:pPr>
                    <w:framePr w:hSpace="180" w:wrap="around" w:vAnchor="text" w:hAnchor="margin" w:xAlign="center" w:y="149"/>
                    <w:rPr>
                      <w:sz w:val="20"/>
                      <w:szCs w:val="20"/>
                    </w:rPr>
                  </w:pPr>
                  <w:r w:rsidRPr="00064747">
                    <w:rPr>
                      <w:sz w:val="20"/>
                      <w:szCs w:val="20"/>
                    </w:rPr>
                    <w:lastRenderedPageBreak/>
                    <w:t>- par smagiem veselības bojājumiem;</w:t>
                  </w:r>
                </w:p>
                <w:p w:rsidR="008306EC" w:rsidRPr="00064747" w:rsidRDefault="008306EC" w:rsidP="00E22B71">
                  <w:pPr>
                    <w:framePr w:hSpace="180" w:wrap="around" w:vAnchor="text" w:hAnchor="margin" w:xAlign="center" w:y="149"/>
                    <w:rPr>
                      <w:sz w:val="20"/>
                      <w:szCs w:val="20"/>
                    </w:rPr>
                  </w:pPr>
                  <w:r w:rsidRPr="00064747">
                    <w:rPr>
                      <w:sz w:val="20"/>
                      <w:szCs w:val="20"/>
                    </w:rPr>
                    <w:t>- par vidēji smagiem veselības bojājumiem;</w:t>
                  </w:r>
                </w:p>
                <w:p w:rsidR="008306EC" w:rsidRPr="00064747" w:rsidRDefault="008306EC" w:rsidP="00E22B71">
                  <w:pPr>
                    <w:framePr w:hSpace="180" w:wrap="around" w:vAnchor="text" w:hAnchor="margin" w:xAlign="center" w:y="149"/>
                  </w:pPr>
                  <w:r w:rsidRPr="00064747">
                    <w:rPr>
                      <w:sz w:val="20"/>
                      <w:szCs w:val="20"/>
                    </w:rPr>
                    <w:t>- par viegliem veselības bojājumiem.</w:t>
                  </w:r>
                </w:p>
              </w:tc>
              <w:tc>
                <w:tcPr>
                  <w:tcW w:w="2022" w:type="dxa"/>
                </w:tcPr>
                <w:p w:rsidR="008306EC" w:rsidRPr="00064747" w:rsidRDefault="008306EC" w:rsidP="00E22B71">
                  <w:pPr>
                    <w:framePr w:hSpace="180" w:wrap="around" w:vAnchor="text" w:hAnchor="margin" w:xAlign="center" w:y="149"/>
                    <w:jc w:val="center"/>
                    <w:rPr>
                      <w:sz w:val="20"/>
                      <w:szCs w:val="20"/>
                    </w:rPr>
                  </w:pPr>
                  <w:r w:rsidRPr="00064747">
                    <w:rPr>
                      <w:sz w:val="20"/>
                      <w:szCs w:val="20"/>
                    </w:rPr>
                    <w:t xml:space="preserve">7114,36 </w:t>
                  </w:r>
                  <w:proofErr w:type="spellStart"/>
                  <w:r w:rsidRPr="00064747">
                    <w:rPr>
                      <w:i/>
                      <w:sz w:val="20"/>
                      <w:szCs w:val="20"/>
                    </w:rPr>
                    <w:t>euro</w:t>
                  </w:r>
                  <w:proofErr w:type="spellEnd"/>
                </w:p>
                <w:p w:rsidR="008306EC" w:rsidRPr="00064747" w:rsidRDefault="008306EC" w:rsidP="00E22B71">
                  <w:pPr>
                    <w:framePr w:hSpace="180" w:wrap="around" w:vAnchor="text" w:hAnchor="margin" w:xAlign="center" w:y="149"/>
                    <w:jc w:val="center"/>
                    <w:rPr>
                      <w:sz w:val="20"/>
                      <w:szCs w:val="20"/>
                    </w:rPr>
                  </w:pPr>
                  <w:r w:rsidRPr="00064747">
                    <w:rPr>
                      <w:sz w:val="20"/>
                      <w:szCs w:val="20"/>
                    </w:rPr>
                    <w:t xml:space="preserve">1422,87 </w:t>
                  </w:r>
                  <w:proofErr w:type="spellStart"/>
                  <w:r w:rsidRPr="00064747">
                    <w:rPr>
                      <w:i/>
                      <w:sz w:val="20"/>
                      <w:szCs w:val="20"/>
                    </w:rPr>
                    <w:t>euro</w:t>
                  </w:r>
                  <w:proofErr w:type="spellEnd"/>
                </w:p>
                <w:p w:rsidR="008306EC" w:rsidRPr="00064747" w:rsidRDefault="008306EC" w:rsidP="00E22B71">
                  <w:pPr>
                    <w:framePr w:hSpace="180" w:wrap="around" w:vAnchor="text" w:hAnchor="margin" w:xAlign="center" w:y="149"/>
                    <w:jc w:val="center"/>
                  </w:pPr>
                  <w:r w:rsidRPr="00064747">
                    <w:rPr>
                      <w:sz w:val="20"/>
                      <w:szCs w:val="20"/>
                    </w:rPr>
                    <w:t>142,29</w:t>
                  </w:r>
                  <w:r w:rsidRPr="00064747">
                    <w:rPr>
                      <w:i/>
                      <w:sz w:val="20"/>
                      <w:szCs w:val="20"/>
                    </w:rPr>
                    <w:t xml:space="preserve"> </w:t>
                  </w:r>
                  <w:proofErr w:type="spellStart"/>
                  <w:r w:rsidRPr="00064747">
                    <w:rPr>
                      <w:i/>
                      <w:sz w:val="20"/>
                      <w:szCs w:val="20"/>
                    </w:rPr>
                    <w:t>euro</w:t>
                  </w:r>
                  <w:proofErr w:type="spellEnd"/>
                </w:p>
              </w:tc>
              <w:tc>
                <w:tcPr>
                  <w:tcW w:w="2022" w:type="dxa"/>
                </w:tcPr>
                <w:p w:rsidR="008306EC" w:rsidRPr="00064747" w:rsidRDefault="008306EC" w:rsidP="00E22B71">
                  <w:pPr>
                    <w:framePr w:hSpace="180" w:wrap="around" w:vAnchor="text" w:hAnchor="margin" w:xAlign="center" w:y="149"/>
                    <w:jc w:val="center"/>
                    <w:rPr>
                      <w:sz w:val="20"/>
                      <w:szCs w:val="20"/>
                    </w:rPr>
                  </w:pPr>
                  <w:r w:rsidRPr="00064747">
                    <w:rPr>
                      <w:sz w:val="20"/>
                      <w:szCs w:val="20"/>
                    </w:rPr>
                    <w:t xml:space="preserve">10 000 </w:t>
                  </w:r>
                  <w:proofErr w:type="spellStart"/>
                  <w:r w:rsidRPr="00064747">
                    <w:rPr>
                      <w:i/>
                      <w:sz w:val="20"/>
                      <w:szCs w:val="20"/>
                    </w:rPr>
                    <w:t>euro</w:t>
                  </w:r>
                  <w:proofErr w:type="spellEnd"/>
                </w:p>
                <w:p w:rsidR="008306EC" w:rsidRPr="00064747" w:rsidRDefault="008306EC" w:rsidP="00E22B71">
                  <w:pPr>
                    <w:framePr w:hSpace="180" w:wrap="around" w:vAnchor="text" w:hAnchor="margin" w:xAlign="center" w:y="149"/>
                    <w:jc w:val="center"/>
                    <w:rPr>
                      <w:sz w:val="20"/>
                      <w:szCs w:val="20"/>
                    </w:rPr>
                  </w:pPr>
                  <w:r w:rsidRPr="00064747">
                    <w:rPr>
                      <w:sz w:val="20"/>
                      <w:szCs w:val="20"/>
                    </w:rPr>
                    <w:t xml:space="preserve">5000 </w:t>
                  </w:r>
                  <w:proofErr w:type="spellStart"/>
                  <w:r w:rsidRPr="00064747">
                    <w:rPr>
                      <w:i/>
                      <w:sz w:val="20"/>
                      <w:szCs w:val="20"/>
                    </w:rPr>
                    <w:t>euro</w:t>
                  </w:r>
                  <w:proofErr w:type="spellEnd"/>
                </w:p>
                <w:p w:rsidR="008306EC" w:rsidRPr="00064747" w:rsidRDefault="008306EC" w:rsidP="00E22B71">
                  <w:pPr>
                    <w:framePr w:hSpace="180" w:wrap="around" w:vAnchor="text" w:hAnchor="margin" w:xAlign="center" w:y="149"/>
                    <w:jc w:val="center"/>
                  </w:pPr>
                  <w:r w:rsidRPr="00064747">
                    <w:rPr>
                      <w:sz w:val="20"/>
                      <w:szCs w:val="20"/>
                    </w:rPr>
                    <w:t xml:space="preserve">200 </w:t>
                  </w:r>
                  <w:proofErr w:type="spellStart"/>
                  <w:r w:rsidRPr="00064747">
                    <w:rPr>
                      <w:i/>
                      <w:sz w:val="20"/>
                      <w:szCs w:val="20"/>
                    </w:rPr>
                    <w:t>euro</w:t>
                  </w:r>
                  <w:proofErr w:type="spellEnd"/>
                  <w:r w:rsidRPr="00064747">
                    <w:rPr>
                      <w:sz w:val="20"/>
                      <w:szCs w:val="20"/>
                    </w:rPr>
                    <w:t xml:space="preserve"> (ja pārejošā darba (dienesta) nespēja ilgst vairāk par sešām dienām)</w:t>
                  </w:r>
                </w:p>
              </w:tc>
            </w:tr>
            <w:tr w:rsidR="008306EC" w:rsidRPr="00064747" w:rsidTr="00A97BE8">
              <w:tc>
                <w:tcPr>
                  <w:tcW w:w="2021" w:type="dxa"/>
                </w:tcPr>
                <w:p w:rsidR="008306EC" w:rsidRPr="00064747" w:rsidRDefault="008306EC" w:rsidP="00E22B71">
                  <w:pPr>
                    <w:framePr w:hSpace="180" w:wrap="around" w:vAnchor="text" w:hAnchor="margin" w:xAlign="center" w:y="149"/>
                    <w:rPr>
                      <w:sz w:val="20"/>
                      <w:szCs w:val="20"/>
                    </w:rPr>
                  </w:pPr>
                  <w:r w:rsidRPr="00064747">
                    <w:rPr>
                      <w:sz w:val="20"/>
                      <w:szCs w:val="20"/>
                    </w:rPr>
                    <w:t>Ja darbiniekam 12 mēnešu laikā pēc nelaimes gadījuma noteikta invaliditāte, kuras cēlonis ir nelaimes gadījums darbā</w:t>
                  </w:r>
                </w:p>
                <w:p w:rsidR="008306EC" w:rsidRPr="00064747" w:rsidRDefault="008306EC" w:rsidP="00E22B71">
                  <w:pPr>
                    <w:framePr w:hSpace="180" w:wrap="around" w:vAnchor="text" w:hAnchor="margin" w:xAlign="center" w:y="149"/>
                    <w:rPr>
                      <w:sz w:val="20"/>
                      <w:szCs w:val="20"/>
                    </w:rPr>
                  </w:pPr>
                  <w:r w:rsidRPr="00064747">
                    <w:rPr>
                      <w:sz w:val="20"/>
                      <w:szCs w:val="20"/>
                    </w:rPr>
                    <w:t>- personai ar I grupas invaliditāti;</w:t>
                  </w:r>
                </w:p>
                <w:p w:rsidR="008306EC" w:rsidRPr="00064747" w:rsidRDefault="008306EC" w:rsidP="00E22B71">
                  <w:pPr>
                    <w:framePr w:hSpace="180" w:wrap="around" w:vAnchor="text" w:hAnchor="margin" w:xAlign="center" w:y="149"/>
                    <w:rPr>
                      <w:sz w:val="20"/>
                      <w:szCs w:val="20"/>
                    </w:rPr>
                  </w:pPr>
                  <w:r w:rsidRPr="00064747">
                    <w:rPr>
                      <w:sz w:val="20"/>
                      <w:szCs w:val="20"/>
                    </w:rPr>
                    <w:t>- personai ar II grupas invaliditāti;</w:t>
                  </w:r>
                </w:p>
                <w:p w:rsidR="008306EC" w:rsidRPr="00064747" w:rsidRDefault="008306EC" w:rsidP="00E22B71">
                  <w:pPr>
                    <w:framePr w:hSpace="180" w:wrap="around" w:vAnchor="text" w:hAnchor="margin" w:xAlign="center" w:y="149"/>
                  </w:pPr>
                  <w:r w:rsidRPr="00064747">
                    <w:rPr>
                      <w:sz w:val="20"/>
                      <w:szCs w:val="20"/>
                    </w:rPr>
                    <w:t>- personai ar III grupas invaliditāti</w:t>
                  </w:r>
                </w:p>
              </w:tc>
              <w:tc>
                <w:tcPr>
                  <w:tcW w:w="2022" w:type="dxa"/>
                </w:tcPr>
                <w:p w:rsidR="008306EC" w:rsidRPr="00064747" w:rsidRDefault="008306EC" w:rsidP="00E22B71">
                  <w:pPr>
                    <w:pStyle w:val="NoSpacing"/>
                    <w:framePr w:hSpace="180" w:wrap="around" w:vAnchor="text" w:hAnchor="margin" w:xAlign="center" w:y="149"/>
                    <w:jc w:val="center"/>
                    <w:rPr>
                      <w:rFonts w:ascii="Times New Roman" w:hAnsi="Times New Roman"/>
                      <w:sz w:val="20"/>
                      <w:szCs w:val="20"/>
                    </w:rPr>
                  </w:pPr>
                </w:p>
                <w:p w:rsidR="008306EC" w:rsidRPr="00064747" w:rsidRDefault="008306EC" w:rsidP="00E22B71">
                  <w:pPr>
                    <w:pStyle w:val="NoSpacing"/>
                    <w:framePr w:hSpace="180" w:wrap="around" w:vAnchor="text" w:hAnchor="margin" w:xAlign="center" w:y="149"/>
                    <w:jc w:val="center"/>
                    <w:rPr>
                      <w:rFonts w:ascii="Times New Roman" w:hAnsi="Times New Roman"/>
                      <w:sz w:val="20"/>
                      <w:szCs w:val="20"/>
                    </w:rPr>
                  </w:pPr>
                </w:p>
                <w:p w:rsidR="008306EC" w:rsidRPr="00064747" w:rsidRDefault="008306EC" w:rsidP="00E22B71">
                  <w:pPr>
                    <w:pStyle w:val="NoSpacing"/>
                    <w:framePr w:hSpace="180" w:wrap="around" w:vAnchor="text" w:hAnchor="margin" w:xAlign="center" w:y="149"/>
                    <w:jc w:val="center"/>
                    <w:rPr>
                      <w:rFonts w:ascii="Times New Roman" w:hAnsi="Times New Roman"/>
                      <w:sz w:val="20"/>
                      <w:szCs w:val="20"/>
                    </w:rPr>
                  </w:pPr>
                </w:p>
                <w:p w:rsidR="008306EC" w:rsidRPr="00064747" w:rsidRDefault="008306EC" w:rsidP="00E22B71">
                  <w:pPr>
                    <w:pStyle w:val="NoSpacing"/>
                    <w:framePr w:hSpace="180" w:wrap="around" w:vAnchor="text" w:hAnchor="margin" w:xAlign="center" w:y="149"/>
                    <w:jc w:val="center"/>
                    <w:rPr>
                      <w:rFonts w:ascii="Times New Roman" w:hAnsi="Times New Roman"/>
                      <w:sz w:val="20"/>
                      <w:szCs w:val="20"/>
                    </w:rPr>
                  </w:pPr>
                </w:p>
                <w:p w:rsidR="008306EC" w:rsidRPr="00064747" w:rsidRDefault="008306EC" w:rsidP="00E22B71">
                  <w:pPr>
                    <w:pStyle w:val="NoSpacing"/>
                    <w:framePr w:hSpace="180" w:wrap="around" w:vAnchor="text" w:hAnchor="margin" w:xAlign="center" w:y="149"/>
                    <w:jc w:val="center"/>
                    <w:rPr>
                      <w:rFonts w:ascii="Times New Roman" w:hAnsi="Times New Roman"/>
                      <w:sz w:val="20"/>
                      <w:szCs w:val="20"/>
                    </w:rPr>
                  </w:pPr>
                </w:p>
                <w:p w:rsidR="008306EC" w:rsidRPr="00064747" w:rsidRDefault="008306EC" w:rsidP="00E22B71">
                  <w:pPr>
                    <w:pStyle w:val="NoSpacing"/>
                    <w:framePr w:hSpace="180" w:wrap="around" w:vAnchor="text" w:hAnchor="margin" w:xAlign="center" w:y="149"/>
                    <w:jc w:val="center"/>
                    <w:rPr>
                      <w:rFonts w:ascii="Times New Roman" w:hAnsi="Times New Roman"/>
                      <w:sz w:val="20"/>
                      <w:szCs w:val="20"/>
                    </w:rPr>
                  </w:pPr>
                </w:p>
                <w:p w:rsidR="008306EC" w:rsidRPr="00064747" w:rsidRDefault="008306EC" w:rsidP="00E22B71">
                  <w:pPr>
                    <w:pStyle w:val="NoSpacing"/>
                    <w:framePr w:hSpace="180" w:wrap="around" w:vAnchor="text" w:hAnchor="margin" w:xAlign="center" w:y="149"/>
                    <w:jc w:val="center"/>
                    <w:rPr>
                      <w:rFonts w:ascii="Times New Roman" w:hAnsi="Times New Roman"/>
                      <w:sz w:val="20"/>
                      <w:szCs w:val="20"/>
                    </w:rPr>
                  </w:pPr>
                </w:p>
                <w:p w:rsidR="008306EC" w:rsidRPr="00064747" w:rsidRDefault="008306EC" w:rsidP="00E22B71">
                  <w:pPr>
                    <w:pStyle w:val="NoSpacing"/>
                    <w:framePr w:hSpace="180" w:wrap="around" w:vAnchor="text" w:hAnchor="margin" w:xAlign="center" w:y="149"/>
                    <w:jc w:val="center"/>
                    <w:rPr>
                      <w:rFonts w:ascii="Times New Roman" w:hAnsi="Times New Roman"/>
                      <w:sz w:val="20"/>
                      <w:szCs w:val="20"/>
                    </w:rPr>
                  </w:pPr>
                  <w:r w:rsidRPr="00064747">
                    <w:rPr>
                      <w:rFonts w:ascii="Times New Roman" w:hAnsi="Times New Roman"/>
                      <w:sz w:val="20"/>
                      <w:szCs w:val="20"/>
                    </w:rPr>
                    <w:t xml:space="preserve">71 145 </w:t>
                  </w:r>
                  <w:proofErr w:type="spellStart"/>
                  <w:r w:rsidRPr="00064747">
                    <w:rPr>
                      <w:rFonts w:ascii="Times New Roman" w:hAnsi="Times New Roman"/>
                      <w:i/>
                      <w:sz w:val="20"/>
                      <w:szCs w:val="20"/>
                    </w:rPr>
                    <w:t>euro</w:t>
                  </w:r>
                  <w:proofErr w:type="spellEnd"/>
                </w:p>
                <w:p w:rsidR="008306EC" w:rsidRPr="00064747" w:rsidRDefault="008306EC" w:rsidP="00E22B71">
                  <w:pPr>
                    <w:pStyle w:val="NoSpacing"/>
                    <w:framePr w:hSpace="180" w:wrap="around" w:vAnchor="text" w:hAnchor="margin" w:xAlign="center" w:y="149"/>
                    <w:jc w:val="center"/>
                    <w:rPr>
                      <w:rFonts w:ascii="Times New Roman" w:hAnsi="Times New Roman"/>
                      <w:sz w:val="20"/>
                      <w:szCs w:val="20"/>
                    </w:rPr>
                  </w:pPr>
                  <w:r w:rsidRPr="00064747">
                    <w:rPr>
                      <w:rFonts w:ascii="Times New Roman" w:hAnsi="Times New Roman"/>
                      <w:sz w:val="20"/>
                      <w:szCs w:val="20"/>
                    </w:rPr>
                    <w:t xml:space="preserve">28 458 </w:t>
                  </w:r>
                  <w:proofErr w:type="spellStart"/>
                  <w:r w:rsidRPr="00064747">
                    <w:rPr>
                      <w:rFonts w:ascii="Times New Roman" w:hAnsi="Times New Roman"/>
                      <w:i/>
                      <w:sz w:val="20"/>
                      <w:szCs w:val="20"/>
                    </w:rPr>
                    <w:t>euro</w:t>
                  </w:r>
                  <w:proofErr w:type="spellEnd"/>
                </w:p>
                <w:p w:rsidR="008306EC" w:rsidRPr="00064747" w:rsidRDefault="008306EC" w:rsidP="00E22B71">
                  <w:pPr>
                    <w:framePr w:hSpace="180" w:wrap="around" w:vAnchor="text" w:hAnchor="margin" w:xAlign="center" w:y="149"/>
                    <w:jc w:val="center"/>
                  </w:pPr>
                  <w:r w:rsidRPr="00064747">
                    <w:rPr>
                      <w:sz w:val="20"/>
                      <w:szCs w:val="20"/>
                    </w:rPr>
                    <w:t xml:space="preserve">7 115 </w:t>
                  </w:r>
                  <w:proofErr w:type="spellStart"/>
                  <w:r w:rsidRPr="00064747">
                    <w:rPr>
                      <w:i/>
                      <w:sz w:val="20"/>
                      <w:szCs w:val="20"/>
                    </w:rPr>
                    <w:t>euro</w:t>
                  </w:r>
                  <w:proofErr w:type="spellEnd"/>
                </w:p>
              </w:tc>
              <w:tc>
                <w:tcPr>
                  <w:tcW w:w="2022" w:type="dxa"/>
                </w:tcPr>
                <w:p w:rsidR="008306EC" w:rsidRPr="00064747" w:rsidRDefault="008306EC" w:rsidP="00E22B71">
                  <w:pPr>
                    <w:framePr w:hSpace="180" w:wrap="around" w:vAnchor="text" w:hAnchor="margin" w:xAlign="center" w:y="149"/>
                    <w:jc w:val="center"/>
                    <w:rPr>
                      <w:sz w:val="20"/>
                      <w:szCs w:val="20"/>
                    </w:rPr>
                  </w:pPr>
                </w:p>
                <w:p w:rsidR="008306EC" w:rsidRPr="00064747" w:rsidRDefault="008306EC" w:rsidP="00E22B71">
                  <w:pPr>
                    <w:framePr w:hSpace="180" w:wrap="around" w:vAnchor="text" w:hAnchor="margin" w:xAlign="center" w:y="149"/>
                    <w:jc w:val="center"/>
                    <w:rPr>
                      <w:sz w:val="20"/>
                      <w:szCs w:val="20"/>
                    </w:rPr>
                  </w:pPr>
                </w:p>
                <w:p w:rsidR="008306EC" w:rsidRPr="00064747" w:rsidRDefault="008306EC" w:rsidP="00E22B71">
                  <w:pPr>
                    <w:framePr w:hSpace="180" w:wrap="around" w:vAnchor="text" w:hAnchor="margin" w:xAlign="center" w:y="149"/>
                    <w:jc w:val="center"/>
                    <w:rPr>
                      <w:sz w:val="20"/>
                      <w:szCs w:val="20"/>
                    </w:rPr>
                  </w:pPr>
                </w:p>
                <w:p w:rsidR="008306EC" w:rsidRPr="00064747" w:rsidRDefault="008306EC" w:rsidP="00E22B71">
                  <w:pPr>
                    <w:framePr w:hSpace="180" w:wrap="around" w:vAnchor="text" w:hAnchor="margin" w:xAlign="center" w:y="149"/>
                    <w:jc w:val="center"/>
                    <w:rPr>
                      <w:sz w:val="20"/>
                      <w:szCs w:val="20"/>
                    </w:rPr>
                  </w:pPr>
                </w:p>
                <w:p w:rsidR="008306EC" w:rsidRPr="00064747" w:rsidRDefault="008306EC" w:rsidP="00E22B71">
                  <w:pPr>
                    <w:framePr w:hSpace="180" w:wrap="around" w:vAnchor="text" w:hAnchor="margin" w:xAlign="center" w:y="149"/>
                    <w:jc w:val="center"/>
                    <w:rPr>
                      <w:sz w:val="20"/>
                      <w:szCs w:val="20"/>
                    </w:rPr>
                  </w:pPr>
                </w:p>
                <w:p w:rsidR="008306EC" w:rsidRPr="00064747" w:rsidRDefault="008306EC" w:rsidP="00E22B71">
                  <w:pPr>
                    <w:framePr w:hSpace="180" w:wrap="around" w:vAnchor="text" w:hAnchor="margin" w:xAlign="center" w:y="149"/>
                    <w:jc w:val="center"/>
                    <w:rPr>
                      <w:sz w:val="20"/>
                      <w:szCs w:val="20"/>
                    </w:rPr>
                  </w:pPr>
                </w:p>
                <w:p w:rsidR="008306EC" w:rsidRPr="00064747" w:rsidRDefault="008306EC" w:rsidP="00E22B71">
                  <w:pPr>
                    <w:framePr w:hSpace="180" w:wrap="around" w:vAnchor="text" w:hAnchor="margin" w:xAlign="center" w:y="149"/>
                    <w:jc w:val="center"/>
                    <w:rPr>
                      <w:sz w:val="20"/>
                      <w:szCs w:val="20"/>
                    </w:rPr>
                  </w:pPr>
                </w:p>
                <w:p w:rsidR="008306EC" w:rsidRPr="00064747" w:rsidRDefault="008306EC" w:rsidP="00E22B71">
                  <w:pPr>
                    <w:framePr w:hSpace="180" w:wrap="around" w:vAnchor="text" w:hAnchor="margin" w:xAlign="center" w:y="149"/>
                    <w:jc w:val="center"/>
                    <w:rPr>
                      <w:sz w:val="20"/>
                      <w:szCs w:val="20"/>
                    </w:rPr>
                  </w:pPr>
                  <w:r w:rsidRPr="00064747">
                    <w:rPr>
                      <w:sz w:val="20"/>
                      <w:szCs w:val="20"/>
                    </w:rPr>
                    <w:t xml:space="preserve">71 145 </w:t>
                  </w:r>
                  <w:proofErr w:type="spellStart"/>
                  <w:r w:rsidRPr="00064747">
                    <w:rPr>
                      <w:i/>
                      <w:sz w:val="20"/>
                      <w:szCs w:val="20"/>
                    </w:rPr>
                    <w:t>euro</w:t>
                  </w:r>
                  <w:proofErr w:type="spellEnd"/>
                </w:p>
                <w:p w:rsidR="008306EC" w:rsidRPr="00064747" w:rsidRDefault="008306EC" w:rsidP="00E22B71">
                  <w:pPr>
                    <w:framePr w:hSpace="180" w:wrap="around" w:vAnchor="text" w:hAnchor="margin" w:xAlign="center" w:y="149"/>
                    <w:jc w:val="center"/>
                    <w:rPr>
                      <w:sz w:val="20"/>
                      <w:szCs w:val="20"/>
                    </w:rPr>
                  </w:pPr>
                  <w:r w:rsidRPr="00064747">
                    <w:rPr>
                      <w:sz w:val="20"/>
                      <w:szCs w:val="20"/>
                    </w:rPr>
                    <w:t xml:space="preserve">35 573 </w:t>
                  </w:r>
                  <w:proofErr w:type="spellStart"/>
                  <w:r w:rsidRPr="00064747">
                    <w:rPr>
                      <w:i/>
                      <w:sz w:val="20"/>
                      <w:szCs w:val="20"/>
                    </w:rPr>
                    <w:t>euro</w:t>
                  </w:r>
                  <w:proofErr w:type="spellEnd"/>
                </w:p>
                <w:p w:rsidR="008306EC" w:rsidRPr="00064747" w:rsidRDefault="008306EC" w:rsidP="00E22B71">
                  <w:pPr>
                    <w:framePr w:hSpace="180" w:wrap="around" w:vAnchor="text" w:hAnchor="margin" w:xAlign="center" w:y="149"/>
                    <w:jc w:val="center"/>
                  </w:pPr>
                  <w:r w:rsidRPr="00064747">
                    <w:rPr>
                      <w:sz w:val="20"/>
                      <w:szCs w:val="20"/>
                    </w:rPr>
                    <w:t xml:space="preserve">14 229 </w:t>
                  </w:r>
                  <w:proofErr w:type="spellStart"/>
                  <w:r w:rsidRPr="00064747">
                    <w:rPr>
                      <w:i/>
                      <w:sz w:val="20"/>
                      <w:szCs w:val="20"/>
                    </w:rPr>
                    <w:t>euro</w:t>
                  </w:r>
                  <w:proofErr w:type="spellEnd"/>
                </w:p>
              </w:tc>
            </w:tr>
          </w:tbl>
          <w:p w:rsidR="00BD427C" w:rsidRPr="00064747" w:rsidRDefault="00BD427C" w:rsidP="00BD427C">
            <w:pPr>
              <w:jc w:val="both"/>
              <w:rPr>
                <w:sz w:val="28"/>
                <w:szCs w:val="28"/>
              </w:rPr>
            </w:pPr>
            <w:r w:rsidRPr="00064747">
              <w:rPr>
                <w:sz w:val="28"/>
                <w:szCs w:val="28"/>
              </w:rPr>
              <w:t>Papildus Valsts un pašvaldību institūciju amatpersonu un darbinieku atlīdzības likumā Pārejas noteikumu 27.punktā noteikts, ka gadījumā, ja minēto pabalstu izmaksai likumā „Par valsts budžetu 2014.gadam” šim mērķim apstiprināto izdevumu apjoms ir nepietiekams, nepieciešamie papildu izdevumi tiek segti no valsts budžeta 74.resora „Gadskārtējā valsts budžeta izpildes procesā pārdalāmais finansējums” programmas 02.00.00 „Līdzekļi neparedzētiem gadījumiem”.</w:t>
            </w:r>
          </w:p>
          <w:p w:rsidR="001D3881" w:rsidRPr="00064747" w:rsidRDefault="001D3881" w:rsidP="00D04761">
            <w:pPr>
              <w:jc w:val="both"/>
              <w:rPr>
                <w:b/>
                <w:sz w:val="28"/>
                <w:szCs w:val="28"/>
              </w:rPr>
            </w:pPr>
          </w:p>
          <w:p w:rsidR="002D131A" w:rsidRPr="00064747" w:rsidRDefault="002D131A" w:rsidP="00D04761">
            <w:pPr>
              <w:jc w:val="both"/>
              <w:rPr>
                <w:sz w:val="28"/>
                <w:szCs w:val="28"/>
              </w:rPr>
            </w:pPr>
            <w:r w:rsidRPr="00064747">
              <w:rPr>
                <w:sz w:val="28"/>
                <w:szCs w:val="28"/>
              </w:rPr>
              <w:t>Valsts un pašvaldību institūciju amatpersonu u</w:t>
            </w:r>
            <w:r w:rsidR="00D04761" w:rsidRPr="00064747">
              <w:rPr>
                <w:sz w:val="28"/>
                <w:szCs w:val="28"/>
              </w:rPr>
              <w:t xml:space="preserve">n darbinieku atlīdzības likums </w:t>
            </w:r>
            <w:r w:rsidRPr="00064747">
              <w:rPr>
                <w:sz w:val="28"/>
                <w:szCs w:val="28"/>
              </w:rPr>
              <w:t>paredz atlaišanas pabalsta izmaksu darbiniekam, ja darba tiesiskās attiecības tiek izbeigtas sakarā ar darbam neatbilstošu veselības stāvokli. Ievērojot, ka NMP</w:t>
            </w:r>
            <w:r w:rsidR="00D04761" w:rsidRPr="00064747">
              <w:rPr>
                <w:sz w:val="28"/>
                <w:szCs w:val="28"/>
              </w:rPr>
              <w:t>D</w:t>
            </w:r>
            <w:r w:rsidRPr="00064747">
              <w:rPr>
                <w:sz w:val="28"/>
                <w:szCs w:val="28"/>
              </w:rPr>
              <w:t xml:space="preserve"> brigādes darbs ir saistīts ar augstu </w:t>
            </w:r>
            <w:proofErr w:type="spellStart"/>
            <w:r w:rsidRPr="00064747">
              <w:rPr>
                <w:sz w:val="28"/>
                <w:szCs w:val="28"/>
              </w:rPr>
              <w:t>psihoemocionālo</w:t>
            </w:r>
            <w:proofErr w:type="spellEnd"/>
            <w:r w:rsidRPr="00064747">
              <w:rPr>
                <w:sz w:val="28"/>
                <w:szCs w:val="28"/>
              </w:rPr>
              <w:t xml:space="preserve"> spriedzi, smagumu celšanu (pacienta pārvietošana, medicīniskās aparatūras un medicīnisko līdzekļu nešana līdz notikuma vietai) un darbu dažādās piespiedu, nestandarta pozās (medicīniskajā transportlīdzeklī, notikuma vietā), kā arī ievērojot NMP</w:t>
            </w:r>
            <w:r w:rsidR="00D04761" w:rsidRPr="00064747">
              <w:rPr>
                <w:sz w:val="28"/>
                <w:szCs w:val="28"/>
              </w:rPr>
              <w:t>D</w:t>
            </w:r>
            <w:r w:rsidRPr="00064747">
              <w:rPr>
                <w:sz w:val="28"/>
                <w:szCs w:val="28"/>
              </w:rPr>
              <w:t xml:space="preserve"> brigāžu darbinieku vecuma struktūru (virs 50 gadiem - ~30% no visām ārstniecības personām un 48% transportlīdzekļu vadītāju), NMP</w:t>
            </w:r>
            <w:r w:rsidR="00D04761" w:rsidRPr="00064747">
              <w:rPr>
                <w:sz w:val="28"/>
                <w:szCs w:val="28"/>
              </w:rPr>
              <w:t>D</w:t>
            </w:r>
            <w:r w:rsidRPr="00064747">
              <w:rPr>
                <w:sz w:val="28"/>
                <w:szCs w:val="28"/>
              </w:rPr>
              <w:t xml:space="preserve"> pieaug gadījumu skaits, kad darbinieks tiek atbrīvots</w:t>
            </w:r>
            <w:r w:rsidR="00B5791C" w:rsidRPr="00064747">
              <w:rPr>
                <w:sz w:val="28"/>
                <w:szCs w:val="28"/>
              </w:rPr>
              <w:t xml:space="preserve"> no darba</w:t>
            </w:r>
            <w:r w:rsidRPr="00064747">
              <w:rPr>
                <w:sz w:val="28"/>
                <w:szCs w:val="28"/>
              </w:rPr>
              <w:t xml:space="preserve"> neatbilstoša veselības stāvokļa dēļ un </w:t>
            </w:r>
            <w:r w:rsidRPr="00064747">
              <w:rPr>
                <w:sz w:val="28"/>
                <w:szCs w:val="28"/>
              </w:rPr>
              <w:lastRenderedPageBreak/>
              <w:t>darbiniekam jāizmaksā atlaišanas pabalsts.</w:t>
            </w:r>
          </w:p>
          <w:p w:rsidR="002D131A" w:rsidRPr="00064747" w:rsidRDefault="002D131A" w:rsidP="00D04761">
            <w:pPr>
              <w:jc w:val="both"/>
              <w:rPr>
                <w:sz w:val="28"/>
                <w:szCs w:val="28"/>
              </w:rPr>
            </w:pPr>
            <w:r w:rsidRPr="00064747">
              <w:rPr>
                <w:sz w:val="28"/>
                <w:szCs w:val="28"/>
              </w:rPr>
              <w:t>No 2014.gada 1.janvāra atlaišanas pabalsti jāizmaksā sekojošā apmērā:</w:t>
            </w:r>
          </w:p>
          <w:p w:rsidR="002D131A" w:rsidRPr="00064747" w:rsidRDefault="002D131A" w:rsidP="002D131A">
            <w:pPr>
              <w:jc w:val="both"/>
              <w:rPr>
                <w:sz w:val="28"/>
                <w:szCs w:val="28"/>
              </w:rPr>
            </w:pPr>
            <w:r w:rsidRPr="00064747">
              <w:rPr>
                <w:sz w:val="28"/>
                <w:szCs w:val="28"/>
              </w:rPr>
              <w:t>1) viena mēneša vidējās izpeļņas apmērā, ja amatpersona (darbinieks) valsts vai pašvaldības institūcijās bijusi nepārtraukti nodarbināta mazāk nekā piecus gadus;</w:t>
            </w:r>
          </w:p>
          <w:p w:rsidR="002D131A" w:rsidRPr="00064747" w:rsidRDefault="002D131A" w:rsidP="002D131A">
            <w:pPr>
              <w:jc w:val="both"/>
              <w:rPr>
                <w:sz w:val="28"/>
                <w:szCs w:val="28"/>
              </w:rPr>
            </w:pPr>
            <w:r w:rsidRPr="00064747">
              <w:rPr>
                <w:sz w:val="28"/>
                <w:szCs w:val="28"/>
              </w:rPr>
              <w:t>2) divu mēnešu vidējās izpeļņas apmērā, ja amatpersona (darbinieks) valsts vai pašvaldības institūcijās bijusi nepārtraukti nodarbināta piecus līdz 10 gadus;</w:t>
            </w:r>
          </w:p>
          <w:p w:rsidR="002D131A" w:rsidRPr="00064747" w:rsidRDefault="002D131A" w:rsidP="002D131A">
            <w:pPr>
              <w:jc w:val="both"/>
              <w:rPr>
                <w:sz w:val="28"/>
                <w:szCs w:val="28"/>
              </w:rPr>
            </w:pPr>
            <w:r w:rsidRPr="00064747">
              <w:rPr>
                <w:sz w:val="28"/>
                <w:szCs w:val="28"/>
              </w:rPr>
              <w:t>3) triju mēnešu vidējās izpeļņas apmērā, ja amatpersona (darbinieks) valsts vai pašvaldības institūcijās bijusi nepārtraukti nodarbināta 10 līdz 20 gadus;</w:t>
            </w:r>
          </w:p>
          <w:p w:rsidR="002D131A" w:rsidRPr="00064747" w:rsidRDefault="002D131A" w:rsidP="002D131A">
            <w:pPr>
              <w:jc w:val="both"/>
              <w:rPr>
                <w:sz w:val="28"/>
                <w:szCs w:val="28"/>
              </w:rPr>
            </w:pPr>
            <w:r w:rsidRPr="00064747">
              <w:rPr>
                <w:sz w:val="28"/>
                <w:szCs w:val="28"/>
              </w:rPr>
              <w:t>4) četru mēnešu vidējās izpeļņas apmērā, ja amatpersona (darbinieks) valsts vai pašvaldības institūcijās bijusi nepārtraukti nodarbināta vairāk nekā 20 gadus.</w:t>
            </w:r>
          </w:p>
          <w:p w:rsidR="00851C99" w:rsidRPr="00064747" w:rsidRDefault="002D131A" w:rsidP="00D04761">
            <w:pPr>
              <w:jc w:val="both"/>
              <w:rPr>
                <w:sz w:val="28"/>
                <w:szCs w:val="28"/>
              </w:rPr>
            </w:pPr>
            <w:r w:rsidRPr="00064747">
              <w:rPr>
                <w:sz w:val="28"/>
                <w:szCs w:val="28"/>
              </w:rPr>
              <w:t>Pēc analoģijas ar pabalstiem par nelaimes gadījumiem, arī šajā gadījumā normatīvā regulējuma izmaiņu rezultātā (izmaiņas Valsts un pašvaldību institūciju amatpersonu un darbinieku atlīdzības likuma 17.pantā) iestādei jau pusgadā radušās būtiskas papildus izmaksas EKK 1200</w:t>
            </w:r>
            <w:r w:rsidR="00D04761" w:rsidRPr="00064747">
              <w:rPr>
                <w:sz w:val="28"/>
                <w:szCs w:val="28"/>
              </w:rPr>
              <w:t xml:space="preserve"> „</w:t>
            </w:r>
            <w:r w:rsidRPr="00064747">
              <w:rPr>
                <w:sz w:val="28"/>
                <w:szCs w:val="28"/>
              </w:rPr>
              <w:t>Darba devēja valsts sociālās apdrošināšanas obligātās iemaksas, sociālā rakstura pabalsti un kompensācijas”, un šim mērķim apstiprināto i</w:t>
            </w:r>
            <w:r w:rsidR="00851C99" w:rsidRPr="00064747">
              <w:rPr>
                <w:sz w:val="28"/>
                <w:szCs w:val="28"/>
              </w:rPr>
              <w:t>zdevumu apjoms ir nepietiekams.</w:t>
            </w:r>
          </w:p>
          <w:p w:rsidR="002D131A" w:rsidRPr="00064747" w:rsidRDefault="002D131A" w:rsidP="00851C99">
            <w:pPr>
              <w:jc w:val="both"/>
              <w:rPr>
                <w:sz w:val="28"/>
                <w:szCs w:val="28"/>
              </w:rPr>
            </w:pPr>
            <w:r w:rsidRPr="00064747">
              <w:rPr>
                <w:sz w:val="28"/>
                <w:szCs w:val="28"/>
              </w:rPr>
              <w:t>Jāatzīmē, ka šie darbinieki pirms darba</w:t>
            </w:r>
            <w:r w:rsidR="00B5791C" w:rsidRPr="00064747">
              <w:rPr>
                <w:sz w:val="28"/>
                <w:szCs w:val="28"/>
              </w:rPr>
              <w:t xml:space="preserve"> tiesisko</w:t>
            </w:r>
            <w:r w:rsidRPr="00064747">
              <w:rPr>
                <w:sz w:val="28"/>
                <w:szCs w:val="28"/>
              </w:rPr>
              <w:t xml:space="preserve"> attiecību pārtraukšanas nereti ilgstoši slimo, kas papildus rada izdevumus budžetā, jo šiem darbiniekiem jāizmaksā gan darba nespējas lapas (A), gan uzkrātie atvaļinājumi, savukārt šo darbinieku vietā strādā citi, kuriem nereti veidojas arī virsstundas, kuras jāapmaksā izlīdzināšanas perioda</w:t>
            </w:r>
            <w:r w:rsidR="00851C99" w:rsidRPr="00064747">
              <w:rPr>
                <w:sz w:val="28"/>
                <w:szCs w:val="28"/>
              </w:rPr>
              <w:t xml:space="preserve"> ietvaros.</w:t>
            </w:r>
          </w:p>
          <w:p w:rsidR="008D3310" w:rsidRPr="00064747" w:rsidRDefault="008D3310" w:rsidP="003B0949">
            <w:pPr>
              <w:tabs>
                <w:tab w:val="left" w:pos="142"/>
              </w:tabs>
              <w:autoSpaceDE w:val="0"/>
              <w:autoSpaceDN w:val="0"/>
              <w:adjustRightInd w:val="0"/>
              <w:spacing w:after="120"/>
              <w:jc w:val="both"/>
              <w:rPr>
                <w:sz w:val="28"/>
                <w:szCs w:val="28"/>
              </w:rPr>
            </w:pPr>
          </w:p>
          <w:p w:rsidR="008D3310" w:rsidRPr="00064747" w:rsidRDefault="008D3310" w:rsidP="008D3310">
            <w:pPr>
              <w:pStyle w:val="ListParagraph"/>
              <w:tabs>
                <w:tab w:val="left" w:pos="142"/>
              </w:tabs>
              <w:autoSpaceDE w:val="0"/>
              <w:autoSpaceDN w:val="0"/>
              <w:adjustRightInd w:val="0"/>
              <w:spacing w:after="0" w:line="240" w:lineRule="auto"/>
              <w:ind w:left="0"/>
              <w:jc w:val="both"/>
              <w:rPr>
                <w:rFonts w:ascii="Times New Roman" w:hAnsi="Times New Roman"/>
                <w:sz w:val="28"/>
                <w:szCs w:val="28"/>
                <w:u w:val="single"/>
                <w:lang w:val="lv-LV"/>
              </w:rPr>
            </w:pPr>
            <w:r w:rsidRPr="00064747">
              <w:rPr>
                <w:rFonts w:ascii="Times New Roman" w:hAnsi="Times New Roman"/>
                <w:b/>
                <w:sz w:val="28"/>
                <w:szCs w:val="28"/>
                <w:u w:val="single"/>
                <w:lang w:val="lv-LV"/>
              </w:rPr>
              <w:t>5.</w:t>
            </w:r>
            <w:r w:rsidRPr="00064747">
              <w:rPr>
                <w:rFonts w:ascii="Times New Roman" w:hAnsi="Times New Roman"/>
                <w:sz w:val="28"/>
                <w:szCs w:val="28"/>
                <w:u w:val="single"/>
                <w:lang w:val="lv-LV"/>
              </w:rPr>
              <w:t xml:space="preserve">Lai nodrošinātu </w:t>
            </w:r>
            <w:r w:rsidRPr="00064747">
              <w:rPr>
                <w:rFonts w:ascii="Times New Roman" w:hAnsi="Times New Roman"/>
                <w:sz w:val="28"/>
                <w:szCs w:val="28"/>
                <w:u w:val="single"/>
                <w:lang w:val="lv-LV"/>
              </w:rPr>
              <w:tab/>
              <w:t xml:space="preserve">nepieciešamo finansējumu asins plazmas preparātu iegādei ir nepieciešams papildus finansējums </w:t>
            </w:r>
            <w:r w:rsidR="00D07C38" w:rsidRPr="00064747">
              <w:rPr>
                <w:rFonts w:ascii="Times New Roman" w:hAnsi="Times New Roman"/>
                <w:sz w:val="28"/>
                <w:szCs w:val="28"/>
                <w:u w:val="single"/>
                <w:lang w:val="lv-LV"/>
              </w:rPr>
              <w:t>52 588</w:t>
            </w:r>
            <w:r w:rsidRPr="00064747">
              <w:rPr>
                <w:rFonts w:ascii="Times New Roman" w:hAnsi="Times New Roman"/>
                <w:sz w:val="28"/>
                <w:szCs w:val="28"/>
                <w:u w:val="single"/>
                <w:lang w:val="lv-LV"/>
              </w:rPr>
              <w:t xml:space="preserve"> </w:t>
            </w:r>
            <w:proofErr w:type="spellStart"/>
            <w:r w:rsidRPr="00064747">
              <w:rPr>
                <w:rFonts w:ascii="Times New Roman" w:hAnsi="Times New Roman"/>
                <w:i/>
                <w:sz w:val="28"/>
                <w:szCs w:val="28"/>
                <w:u w:val="single"/>
                <w:lang w:val="lv-LV"/>
              </w:rPr>
              <w:t>euro</w:t>
            </w:r>
            <w:proofErr w:type="spellEnd"/>
            <w:r w:rsidRPr="00064747">
              <w:rPr>
                <w:rFonts w:ascii="Times New Roman" w:hAnsi="Times New Roman"/>
                <w:i/>
                <w:sz w:val="28"/>
                <w:szCs w:val="28"/>
                <w:u w:val="single"/>
                <w:lang w:val="lv-LV"/>
              </w:rPr>
              <w:t xml:space="preserve"> </w:t>
            </w:r>
            <w:r w:rsidRPr="00064747">
              <w:rPr>
                <w:rFonts w:ascii="Times New Roman" w:hAnsi="Times New Roman"/>
                <w:sz w:val="28"/>
                <w:szCs w:val="28"/>
                <w:u w:val="single"/>
                <w:lang w:val="lv-LV"/>
              </w:rPr>
              <w:t>apmērā.</w:t>
            </w:r>
          </w:p>
          <w:p w:rsidR="008D3310" w:rsidRPr="00064747" w:rsidRDefault="008D3310" w:rsidP="008D3310">
            <w:pPr>
              <w:pStyle w:val="ListParagraph"/>
              <w:tabs>
                <w:tab w:val="left" w:pos="142"/>
              </w:tabs>
              <w:autoSpaceDE w:val="0"/>
              <w:autoSpaceDN w:val="0"/>
              <w:adjustRightInd w:val="0"/>
              <w:spacing w:after="0" w:line="240" w:lineRule="auto"/>
              <w:ind w:left="0"/>
              <w:jc w:val="both"/>
              <w:rPr>
                <w:rFonts w:ascii="Times New Roman" w:hAnsi="Times New Roman"/>
                <w:sz w:val="28"/>
                <w:szCs w:val="28"/>
                <w:u w:val="single"/>
                <w:lang w:val="lv-LV"/>
              </w:rPr>
            </w:pPr>
            <w:r w:rsidRPr="00064747">
              <w:rPr>
                <w:rFonts w:ascii="Times New Roman" w:hAnsi="Times New Roman"/>
                <w:sz w:val="28"/>
                <w:szCs w:val="28"/>
                <w:lang w:val="lv-LV" w:bidi="en-US"/>
              </w:rPr>
              <w:t xml:space="preserve">Saskaņā ar Ministru kabineta 2014.gada 18.jūnija rīkojumu Nr.309 </w:t>
            </w:r>
            <w:proofErr w:type="spellStart"/>
            <w:r w:rsidRPr="00064747">
              <w:rPr>
                <w:rFonts w:ascii="Times New Roman" w:hAnsi="Times New Roman"/>
                <w:sz w:val="28"/>
                <w:szCs w:val="28"/>
                <w:lang w:val="lv-LV" w:bidi="en-US"/>
              </w:rPr>
              <w:t>asisn</w:t>
            </w:r>
            <w:proofErr w:type="spellEnd"/>
            <w:r w:rsidRPr="00064747">
              <w:rPr>
                <w:rFonts w:ascii="Times New Roman" w:hAnsi="Times New Roman"/>
                <w:sz w:val="28"/>
                <w:szCs w:val="28"/>
                <w:lang w:val="lv-LV" w:bidi="en-US"/>
              </w:rPr>
              <w:t xml:space="preserve"> plazmas preparātu iegādei  bija </w:t>
            </w:r>
            <w:r w:rsidRPr="00064747">
              <w:rPr>
                <w:rFonts w:ascii="Times New Roman" w:hAnsi="Times New Roman"/>
                <w:sz w:val="28"/>
                <w:szCs w:val="28"/>
                <w:lang w:val="lv-LV" w:bidi="en-US"/>
              </w:rPr>
              <w:lastRenderedPageBreak/>
              <w:t xml:space="preserve">piešķirti 182 664 </w:t>
            </w:r>
            <w:proofErr w:type="spellStart"/>
            <w:r w:rsidRPr="00064747">
              <w:rPr>
                <w:rFonts w:ascii="Times New Roman" w:hAnsi="Times New Roman"/>
                <w:i/>
                <w:sz w:val="28"/>
                <w:szCs w:val="28"/>
                <w:lang w:val="lv-LV" w:bidi="en-US"/>
              </w:rPr>
              <w:t>euro</w:t>
            </w:r>
            <w:proofErr w:type="spellEnd"/>
            <w:r w:rsidRPr="00064747">
              <w:rPr>
                <w:rFonts w:ascii="Times New Roman" w:hAnsi="Times New Roman"/>
                <w:sz w:val="28"/>
                <w:szCs w:val="28"/>
                <w:lang w:val="lv-LV" w:bidi="en-US"/>
              </w:rPr>
              <w:t>.</w:t>
            </w:r>
          </w:p>
          <w:p w:rsidR="00C25BB9" w:rsidRPr="00064747" w:rsidRDefault="008D3310" w:rsidP="00C25BB9">
            <w:pPr>
              <w:tabs>
                <w:tab w:val="left" w:pos="283"/>
              </w:tabs>
              <w:jc w:val="both"/>
              <w:rPr>
                <w:sz w:val="28"/>
                <w:szCs w:val="28"/>
              </w:rPr>
            </w:pPr>
            <w:r w:rsidRPr="00064747">
              <w:rPr>
                <w:sz w:val="28"/>
                <w:szCs w:val="28"/>
              </w:rPr>
              <w:t xml:space="preserve">Šī brīža situācijā ar esošo finansējumu ārstniecības iestādes ar plazmas preparātiem netiek nodrošinātas pilnībā. </w:t>
            </w:r>
            <w:r w:rsidR="00C25BB9" w:rsidRPr="00064747">
              <w:rPr>
                <w:sz w:val="28"/>
                <w:szCs w:val="28"/>
              </w:rPr>
              <w:br/>
              <w:t xml:space="preserve">Vairākas ārstniecības iestādes ārstēšanas procesā plašāk sāk pielietot imūnglobulīnu. Albumīna šķīduma (5%) pieprasījums arī pieaug, kaut bija plānots samazināt apjomu.   Hroniskiem pacientiem, kuri saņēma  intravenozo </w:t>
            </w:r>
            <w:proofErr w:type="spellStart"/>
            <w:r w:rsidR="00C25BB9" w:rsidRPr="00064747">
              <w:rPr>
                <w:sz w:val="28"/>
                <w:szCs w:val="28"/>
              </w:rPr>
              <w:t>imūnoglobulinu</w:t>
            </w:r>
            <w:proofErr w:type="spellEnd"/>
            <w:r w:rsidR="00C25BB9" w:rsidRPr="00064747">
              <w:rPr>
                <w:sz w:val="28"/>
                <w:szCs w:val="28"/>
              </w:rPr>
              <w:t xml:space="preserve"> regulāri, nepieciešams nodrošināt preparātu līdz gada beigām pilna apjoma. Plazmas preparātus lieto daudzu slimību ārstēšanā. Lietojot plazmas preparātus, daudzos gadījumos iespējams palīdzēt efektīvāk. Plazmas preparātus plaši izmanto asiņošanas, asins slimības, strutojoša  iekaisuma, apdegumu, olbaltumvielu trūkuma gadījumā, kā arī pirms smagām operācijām. </w:t>
            </w:r>
          </w:p>
          <w:p w:rsidR="008D3310" w:rsidRPr="00064747" w:rsidRDefault="008D3310" w:rsidP="003B0949">
            <w:pPr>
              <w:tabs>
                <w:tab w:val="left" w:pos="142"/>
              </w:tabs>
              <w:autoSpaceDE w:val="0"/>
              <w:autoSpaceDN w:val="0"/>
              <w:adjustRightInd w:val="0"/>
              <w:spacing w:after="120"/>
              <w:jc w:val="both"/>
              <w:rPr>
                <w:sz w:val="28"/>
                <w:szCs w:val="28"/>
              </w:rPr>
            </w:pPr>
          </w:p>
          <w:p w:rsidR="001D3881" w:rsidRPr="00064747" w:rsidRDefault="000244EF" w:rsidP="003B0949">
            <w:pPr>
              <w:tabs>
                <w:tab w:val="left" w:pos="142"/>
              </w:tabs>
              <w:autoSpaceDE w:val="0"/>
              <w:autoSpaceDN w:val="0"/>
              <w:adjustRightInd w:val="0"/>
              <w:spacing w:after="120"/>
              <w:jc w:val="both"/>
              <w:rPr>
                <w:sz w:val="28"/>
                <w:szCs w:val="28"/>
              </w:rPr>
            </w:pPr>
            <w:r w:rsidRPr="00064747">
              <w:rPr>
                <w:sz w:val="28"/>
                <w:szCs w:val="28"/>
              </w:rPr>
              <w:t xml:space="preserve">Lai nodrošinātu </w:t>
            </w:r>
            <w:r w:rsidR="004B64CB" w:rsidRPr="00064747">
              <w:rPr>
                <w:sz w:val="28"/>
                <w:szCs w:val="28"/>
              </w:rPr>
              <w:t>veselības aprūpes ambulatoro pakalpojumu pieejamības uzlabošanu iedzīvotājiem, tai skaitā ambulatoro pakalpojumu  apmaksu virs 201</w:t>
            </w:r>
            <w:r w:rsidR="001D3881" w:rsidRPr="00064747">
              <w:rPr>
                <w:sz w:val="28"/>
                <w:szCs w:val="28"/>
              </w:rPr>
              <w:t xml:space="preserve">4.gada plānoto līgumu kopsummas, </w:t>
            </w:r>
            <w:r w:rsidR="004B64CB" w:rsidRPr="00064747">
              <w:rPr>
                <w:sz w:val="28"/>
                <w:szCs w:val="28"/>
              </w:rPr>
              <w:t>laboratorisko pakalpojumu apmaks</w:t>
            </w:r>
            <w:r w:rsidR="00300157" w:rsidRPr="00064747">
              <w:rPr>
                <w:sz w:val="28"/>
                <w:szCs w:val="28"/>
              </w:rPr>
              <w:t>u</w:t>
            </w:r>
            <w:r w:rsidR="004B64CB" w:rsidRPr="00064747">
              <w:rPr>
                <w:sz w:val="28"/>
                <w:szCs w:val="28"/>
              </w:rPr>
              <w:t xml:space="preserve"> virs 2014.gada plānoto līgumu kopsummas, </w:t>
            </w:r>
            <w:r w:rsidR="001D3881" w:rsidRPr="00064747">
              <w:rPr>
                <w:sz w:val="28"/>
                <w:szCs w:val="28"/>
              </w:rPr>
              <w:t>lai veiktu vienreizējos maksājumus ārstniecības iestādēm, kuras sniedz stacionāros ārstniecības pakalpojumus,  infrastruktūras uzturēšanas izdevumu deficīta segšanai</w:t>
            </w:r>
            <w:r w:rsidR="008D3310" w:rsidRPr="00064747">
              <w:rPr>
                <w:sz w:val="28"/>
                <w:szCs w:val="28"/>
              </w:rPr>
              <w:t>,</w:t>
            </w:r>
            <w:r w:rsidR="001D3881" w:rsidRPr="00064747">
              <w:rPr>
                <w:sz w:val="28"/>
                <w:szCs w:val="28"/>
              </w:rPr>
              <w:t xml:space="preserve"> lai NMPD nodrošinātu līdzekļu deficīta segšanu atlaišanas pabalstu un darbinieku ievainojuma, sakropļojuma vai citāda veselības bojājuma gadījumā vai nāves gadījumā izmaksājamo pabalstu izmaksām</w:t>
            </w:r>
            <w:r w:rsidR="008D3310" w:rsidRPr="00064747">
              <w:rPr>
                <w:sz w:val="28"/>
                <w:szCs w:val="28"/>
              </w:rPr>
              <w:t xml:space="preserve"> un, lai </w:t>
            </w:r>
            <w:r w:rsidR="008D3310" w:rsidRPr="00064747">
              <w:rPr>
                <w:sz w:val="28"/>
                <w:szCs w:val="28"/>
                <w:u w:val="single"/>
              </w:rPr>
              <w:t xml:space="preserve"> </w:t>
            </w:r>
            <w:r w:rsidR="008D3310" w:rsidRPr="00064747">
              <w:rPr>
                <w:sz w:val="28"/>
                <w:szCs w:val="28"/>
              </w:rPr>
              <w:t xml:space="preserve">nodrošinātu </w:t>
            </w:r>
            <w:r w:rsidR="008D3310" w:rsidRPr="00064747">
              <w:rPr>
                <w:sz w:val="28"/>
                <w:szCs w:val="28"/>
              </w:rPr>
              <w:tab/>
              <w:t>nepieciešamo finansējumu asins plazmas preparātu iegādei</w:t>
            </w:r>
            <w:r w:rsidR="001D3881" w:rsidRPr="00064747">
              <w:rPr>
                <w:sz w:val="28"/>
                <w:szCs w:val="28"/>
              </w:rPr>
              <w:t xml:space="preserve">, </w:t>
            </w:r>
            <w:r w:rsidRPr="00064747">
              <w:rPr>
                <w:sz w:val="28"/>
                <w:szCs w:val="28"/>
              </w:rPr>
              <w:t>ir nepieciešams izstrādāt Ministru kabineta rīkojuma projektu „Par finanšu līdzekļu piešķiršanu no valsts budžeta programmas „Līdzekļi neparedzētiem gadījumiem”” (turpmāk – rīkojuma projekts)</w:t>
            </w:r>
          </w:p>
          <w:p w:rsidR="001D3881" w:rsidRPr="00064747" w:rsidRDefault="001D3881" w:rsidP="003B0949">
            <w:pPr>
              <w:tabs>
                <w:tab w:val="left" w:pos="142"/>
              </w:tabs>
              <w:autoSpaceDE w:val="0"/>
              <w:autoSpaceDN w:val="0"/>
              <w:adjustRightInd w:val="0"/>
              <w:spacing w:after="120"/>
              <w:jc w:val="both"/>
              <w:rPr>
                <w:sz w:val="28"/>
                <w:szCs w:val="28"/>
              </w:rPr>
            </w:pPr>
          </w:p>
          <w:p w:rsidR="001D3881" w:rsidRPr="00064747" w:rsidRDefault="00470309" w:rsidP="00300157">
            <w:pPr>
              <w:tabs>
                <w:tab w:val="left" w:pos="142"/>
              </w:tabs>
              <w:autoSpaceDE w:val="0"/>
              <w:autoSpaceDN w:val="0"/>
              <w:adjustRightInd w:val="0"/>
              <w:jc w:val="both"/>
              <w:rPr>
                <w:sz w:val="28"/>
                <w:szCs w:val="28"/>
              </w:rPr>
            </w:pPr>
            <w:r w:rsidRPr="00064747">
              <w:rPr>
                <w:sz w:val="28"/>
                <w:szCs w:val="28"/>
              </w:rPr>
              <w:t xml:space="preserve">Rīkojuma projekts „Par finanšu līdzekļu piešķiršanu no valsts budžeta programmas „Līdzekļi neparedzētiem gadījumiem”” paredz piešķirt </w:t>
            </w:r>
            <w:r w:rsidR="004B64CB" w:rsidRPr="00064747">
              <w:rPr>
                <w:sz w:val="28"/>
                <w:szCs w:val="28"/>
              </w:rPr>
              <w:t xml:space="preserve">Veselības ministrijai </w:t>
            </w:r>
            <w:r w:rsidR="008D3310" w:rsidRPr="00064747">
              <w:rPr>
                <w:sz w:val="28"/>
                <w:szCs w:val="28"/>
              </w:rPr>
              <w:t>8</w:t>
            </w:r>
            <w:r w:rsidR="00D07C38" w:rsidRPr="00064747">
              <w:rPr>
                <w:sz w:val="28"/>
                <w:szCs w:val="28"/>
              </w:rPr>
              <w:t xml:space="preserve"> 960 325 </w:t>
            </w:r>
            <w:proofErr w:type="spellStart"/>
            <w:r w:rsidR="001D3881" w:rsidRPr="00064747">
              <w:rPr>
                <w:i/>
                <w:sz w:val="28"/>
                <w:szCs w:val="28"/>
              </w:rPr>
              <w:t>euro</w:t>
            </w:r>
            <w:proofErr w:type="spellEnd"/>
            <w:r w:rsidR="001D3881" w:rsidRPr="00064747">
              <w:rPr>
                <w:sz w:val="28"/>
                <w:szCs w:val="28"/>
              </w:rPr>
              <w:t>,  tai skaitā:</w:t>
            </w:r>
          </w:p>
          <w:p w:rsidR="001D3881" w:rsidRPr="00064747" w:rsidRDefault="001D3881" w:rsidP="001D3881">
            <w:pPr>
              <w:pStyle w:val="ListParagraph"/>
              <w:tabs>
                <w:tab w:val="left" w:pos="142"/>
              </w:tabs>
              <w:autoSpaceDE w:val="0"/>
              <w:autoSpaceDN w:val="0"/>
              <w:adjustRightInd w:val="0"/>
              <w:spacing w:after="0" w:line="240" w:lineRule="auto"/>
              <w:ind w:left="0"/>
              <w:jc w:val="both"/>
              <w:rPr>
                <w:rFonts w:ascii="Times New Roman" w:hAnsi="Times New Roman"/>
                <w:sz w:val="28"/>
                <w:szCs w:val="28"/>
                <w:lang w:val="lv-LV"/>
              </w:rPr>
            </w:pPr>
            <w:r w:rsidRPr="00064747">
              <w:rPr>
                <w:rFonts w:ascii="Times New Roman" w:hAnsi="Times New Roman"/>
                <w:sz w:val="28"/>
                <w:szCs w:val="28"/>
                <w:lang w:val="lv-LV"/>
              </w:rPr>
              <w:lastRenderedPageBreak/>
              <w:t xml:space="preserve">1.Nacionālajam veselības dienestam 8 857 770 </w:t>
            </w:r>
            <w:proofErr w:type="spellStart"/>
            <w:r w:rsidRPr="00064747">
              <w:rPr>
                <w:rFonts w:ascii="Times New Roman" w:hAnsi="Times New Roman"/>
                <w:i/>
                <w:sz w:val="28"/>
                <w:szCs w:val="28"/>
                <w:lang w:val="lv-LV"/>
              </w:rPr>
              <w:t>euro</w:t>
            </w:r>
            <w:proofErr w:type="spellEnd"/>
            <w:r w:rsidRPr="00064747">
              <w:rPr>
                <w:rFonts w:ascii="Times New Roman" w:hAnsi="Times New Roman"/>
                <w:sz w:val="28"/>
                <w:szCs w:val="28"/>
                <w:lang w:val="lv-LV"/>
              </w:rPr>
              <w:t>:</w:t>
            </w:r>
          </w:p>
          <w:p w:rsidR="001D3881" w:rsidRPr="00064747" w:rsidRDefault="001D3881" w:rsidP="001D3881">
            <w:pPr>
              <w:pStyle w:val="ListParagraph"/>
              <w:numPr>
                <w:ilvl w:val="1"/>
                <w:numId w:val="30"/>
              </w:numPr>
              <w:tabs>
                <w:tab w:val="left" w:pos="142"/>
              </w:tabs>
              <w:autoSpaceDE w:val="0"/>
              <w:autoSpaceDN w:val="0"/>
              <w:adjustRightInd w:val="0"/>
              <w:spacing w:after="0" w:line="240" w:lineRule="auto"/>
              <w:ind w:left="0" w:hanging="720"/>
              <w:jc w:val="both"/>
              <w:rPr>
                <w:rFonts w:ascii="Times New Roman" w:hAnsi="Times New Roman"/>
                <w:sz w:val="28"/>
                <w:szCs w:val="28"/>
                <w:lang w:val="lv-LV"/>
              </w:rPr>
            </w:pPr>
            <w:r w:rsidRPr="00064747">
              <w:rPr>
                <w:rFonts w:ascii="Times New Roman" w:hAnsi="Times New Roman"/>
                <w:sz w:val="28"/>
                <w:szCs w:val="28"/>
                <w:lang w:val="lv-LV"/>
              </w:rPr>
              <w:t xml:space="preserve">1.1.Ambulatoro pakalpojumu (speciālistu)  apmaksai virs 2014.gada plānoto līgumu kopsummas 1 804 538 </w:t>
            </w:r>
            <w:proofErr w:type="spellStart"/>
            <w:r w:rsidRPr="00064747">
              <w:rPr>
                <w:rFonts w:ascii="Times New Roman" w:hAnsi="Times New Roman"/>
                <w:i/>
                <w:sz w:val="28"/>
                <w:szCs w:val="28"/>
                <w:lang w:val="lv-LV"/>
              </w:rPr>
              <w:t>euro</w:t>
            </w:r>
            <w:proofErr w:type="spellEnd"/>
            <w:r w:rsidRPr="00064747">
              <w:rPr>
                <w:rFonts w:ascii="Times New Roman" w:hAnsi="Times New Roman"/>
                <w:sz w:val="28"/>
                <w:szCs w:val="28"/>
                <w:lang w:val="lv-LV"/>
              </w:rPr>
              <w:t>.</w:t>
            </w:r>
          </w:p>
          <w:p w:rsidR="001D3881" w:rsidRPr="00064747" w:rsidRDefault="001D3881" w:rsidP="001D3881">
            <w:pPr>
              <w:pStyle w:val="ListParagraph"/>
              <w:numPr>
                <w:ilvl w:val="1"/>
                <w:numId w:val="30"/>
              </w:numPr>
              <w:tabs>
                <w:tab w:val="left" w:pos="142"/>
              </w:tabs>
              <w:autoSpaceDE w:val="0"/>
              <w:autoSpaceDN w:val="0"/>
              <w:adjustRightInd w:val="0"/>
              <w:spacing w:after="0" w:line="240" w:lineRule="auto"/>
              <w:ind w:left="0" w:hanging="720"/>
              <w:jc w:val="both"/>
              <w:rPr>
                <w:rFonts w:ascii="Times New Roman" w:hAnsi="Times New Roman"/>
                <w:sz w:val="28"/>
                <w:szCs w:val="28"/>
                <w:lang w:val="lv-LV"/>
              </w:rPr>
            </w:pPr>
            <w:r w:rsidRPr="00064747">
              <w:rPr>
                <w:rFonts w:ascii="Times New Roman" w:hAnsi="Times New Roman"/>
                <w:sz w:val="28"/>
                <w:szCs w:val="28"/>
                <w:lang w:val="lv-LV"/>
              </w:rPr>
              <w:t xml:space="preserve">1.2.Daļējai laboratorisko pakalpojumu apmaksai virs 2014.gada plānoto līgumu kopsummas 473 080 </w:t>
            </w:r>
            <w:proofErr w:type="spellStart"/>
            <w:r w:rsidRPr="00064747">
              <w:rPr>
                <w:rFonts w:ascii="Times New Roman" w:hAnsi="Times New Roman"/>
                <w:i/>
                <w:sz w:val="28"/>
                <w:szCs w:val="28"/>
                <w:lang w:val="lv-LV"/>
              </w:rPr>
              <w:t>euro</w:t>
            </w:r>
            <w:proofErr w:type="spellEnd"/>
            <w:r w:rsidRPr="00064747">
              <w:rPr>
                <w:rFonts w:ascii="Times New Roman" w:hAnsi="Times New Roman"/>
                <w:sz w:val="28"/>
                <w:szCs w:val="28"/>
                <w:lang w:val="lv-LV"/>
              </w:rPr>
              <w:t>.</w:t>
            </w:r>
          </w:p>
          <w:p w:rsidR="001D3881" w:rsidRPr="00064747" w:rsidRDefault="001D3881" w:rsidP="001D3881">
            <w:pPr>
              <w:pStyle w:val="ListParagraph"/>
              <w:tabs>
                <w:tab w:val="left" w:pos="142"/>
              </w:tabs>
              <w:autoSpaceDE w:val="0"/>
              <w:autoSpaceDN w:val="0"/>
              <w:adjustRightInd w:val="0"/>
              <w:spacing w:after="0" w:line="240" w:lineRule="auto"/>
              <w:ind w:left="0"/>
              <w:jc w:val="both"/>
              <w:rPr>
                <w:rFonts w:ascii="Times New Roman" w:hAnsi="Times New Roman"/>
                <w:sz w:val="28"/>
                <w:szCs w:val="28"/>
                <w:lang w:val="lv-LV"/>
              </w:rPr>
            </w:pPr>
            <w:r w:rsidRPr="00064747">
              <w:rPr>
                <w:rFonts w:ascii="Times New Roman" w:hAnsi="Times New Roman"/>
                <w:sz w:val="28"/>
                <w:szCs w:val="28"/>
                <w:lang w:val="lv-LV"/>
              </w:rPr>
              <w:t xml:space="preserve">1.3.Vienreizējiem maksājumiem ārstniecības iestādēm, kuras sniedz stacionāros ārstniecības pakalpojumus,  infrastruktūras uzturēšanas izdevumu deficīta segšanai 6 580 152 </w:t>
            </w:r>
            <w:proofErr w:type="spellStart"/>
            <w:r w:rsidRPr="00064747">
              <w:rPr>
                <w:rFonts w:ascii="Times New Roman" w:hAnsi="Times New Roman"/>
                <w:i/>
                <w:sz w:val="28"/>
                <w:szCs w:val="28"/>
                <w:lang w:val="lv-LV"/>
              </w:rPr>
              <w:t>euro</w:t>
            </w:r>
            <w:proofErr w:type="spellEnd"/>
            <w:r w:rsidRPr="00064747">
              <w:rPr>
                <w:rFonts w:ascii="Times New Roman" w:hAnsi="Times New Roman"/>
                <w:sz w:val="28"/>
                <w:szCs w:val="28"/>
                <w:lang w:val="lv-LV"/>
              </w:rPr>
              <w:t>.</w:t>
            </w:r>
          </w:p>
          <w:p w:rsidR="008D3310" w:rsidRPr="00064747" w:rsidRDefault="001D3881" w:rsidP="008D3310">
            <w:pPr>
              <w:pStyle w:val="ListParagraph"/>
              <w:tabs>
                <w:tab w:val="left" w:pos="142"/>
              </w:tabs>
              <w:autoSpaceDE w:val="0"/>
              <w:autoSpaceDN w:val="0"/>
              <w:adjustRightInd w:val="0"/>
              <w:spacing w:after="0" w:line="240" w:lineRule="auto"/>
              <w:ind w:left="0"/>
              <w:jc w:val="both"/>
              <w:rPr>
                <w:rFonts w:ascii="Times New Roman" w:hAnsi="Times New Roman"/>
                <w:sz w:val="28"/>
                <w:szCs w:val="28"/>
                <w:lang w:val="lv-LV"/>
              </w:rPr>
            </w:pPr>
            <w:r w:rsidRPr="00064747">
              <w:rPr>
                <w:rFonts w:ascii="Times New Roman" w:hAnsi="Times New Roman"/>
                <w:sz w:val="28"/>
                <w:szCs w:val="28"/>
                <w:lang w:val="lv-LV"/>
              </w:rPr>
              <w:t xml:space="preserve">2.Neatliekamās medicīniskās palīdzības dienestam 49 967 </w:t>
            </w:r>
            <w:proofErr w:type="spellStart"/>
            <w:r w:rsidRPr="00064747">
              <w:rPr>
                <w:rFonts w:ascii="Times New Roman" w:hAnsi="Times New Roman"/>
                <w:i/>
                <w:sz w:val="28"/>
                <w:szCs w:val="28"/>
                <w:lang w:val="lv-LV"/>
              </w:rPr>
              <w:t>euro</w:t>
            </w:r>
            <w:proofErr w:type="spellEnd"/>
            <w:r w:rsidRPr="00064747">
              <w:rPr>
                <w:rFonts w:ascii="Times New Roman" w:hAnsi="Times New Roman"/>
                <w:sz w:val="28"/>
                <w:szCs w:val="28"/>
                <w:lang w:val="lv-LV"/>
              </w:rPr>
              <w:t>, lai nodrošinātu līdzekļu deficīta segšanu atlaišanas pabalstu un darbinieku ievainojuma, sakropļojuma vai citāda veselības bojājuma gadījumā vai nāves gadījumā izmaksājamo pabalstu izmaksām.</w:t>
            </w:r>
          </w:p>
          <w:p w:rsidR="008D3310" w:rsidRPr="00064747" w:rsidRDefault="008D3310" w:rsidP="00D07C38">
            <w:pPr>
              <w:pStyle w:val="ListParagraph"/>
              <w:tabs>
                <w:tab w:val="left" w:pos="142"/>
              </w:tabs>
              <w:autoSpaceDE w:val="0"/>
              <w:autoSpaceDN w:val="0"/>
              <w:adjustRightInd w:val="0"/>
              <w:spacing w:after="0" w:line="240" w:lineRule="auto"/>
              <w:ind w:left="0"/>
              <w:jc w:val="both"/>
              <w:rPr>
                <w:rFonts w:ascii="Times New Roman" w:hAnsi="Times New Roman"/>
                <w:sz w:val="28"/>
                <w:szCs w:val="28"/>
                <w:lang w:val="lv-LV"/>
              </w:rPr>
            </w:pPr>
            <w:r w:rsidRPr="00064747">
              <w:rPr>
                <w:rFonts w:ascii="Times New Roman" w:hAnsi="Times New Roman"/>
                <w:sz w:val="28"/>
                <w:szCs w:val="28"/>
                <w:lang w:val="lv-LV"/>
              </w:rPr>
              <w:t xml:space="preserve">3.Valsts asins donoru centram asins plazmas preparātu iegādei </w:t>
            </w:r>
            <w:r w:rsidR="00D07C38" w:rsidRPr="00064747">
              <w:rPr>
                <w:rFonts w:ascii="Times New Roman" w:hAnsi="Times New Roman"/>
                <w:sz w:val="28"/>
                <w:szCs w:val="28"/>
                <w:lang w:val="lv-LV"/>
              </w:rPr>
              <w:t>52 588</w:t>
            </w:r>
            <w:r w:rsidRPr="00064747">
              <w:rPr>
                <w:rFonts w:ascii="Times New Roman" w:hAnsi="Times New Roman"/>
                <w:sz w:val="28"/>
                <w:szCs w:val="28"/>
                <w:lang w:val="lv-LV"/>
              </w:rPr>
              <w:t xml:space="preserve"> </w:t>
            </w:r>
            <w:proofErr w:type="spellStart"/>
            <w:r w:rsidRPr="00064747">
              <w:rPr>
                <w:rFonts w:ascii="Times New Roman" w:hAnsi="Times New Roman"/>
                <w:i/>
                <w:sz w:val="28"/>
                <w:szCs w:val="28"/>
                <w:lang w:val="lv-LV"/>
              </w:rPr>
              <w:t>euro</w:t>
            </w:r>
            <w:proofErr w:type="spellEnd"/>
            <w:r w:rsidRPr="00064747">
              <w:rPr>
                <w:rFonts w:ascii="Times New Roman" w:hAnsi="Times New Roman"/>
                <w:sz w:val="28"/>
                <w:szCs w:val="28"/>
                <w:lang w:val="lv-LV"/>
              </w:rPr>
              <w:t>.</w:t>
            </w:r>
          </w:p>
        </w:tc>
      </w:tr>
      <w:tr w:rsidR="003F6BA1" w:rsidRPr="00064747" w:rsidTr="00185D7F">
        <w:trPr>
          <w:trHeight w:val="422"/>
        </w:trPr>
        <w:tc>
          <w:tcPr>
            <w:tcW w:w="403" w:type="dxa"/>
          </w:tcPr>
          <w:p w:rsidR="003F6BA1" w:rsidRPr="00064747" w:rsidRDefault="003F6BA1" w:rsidP="006C4607">
            <w:pPr>
              <w:pStyle w:val="naiskr"/>
              <w:spacing w:before="0" w:after="0"/>
              <w:rPr>
                <w:sz w:val="28"/>
                <w:szCs w:val="28"/>
              </w:rPr>
            </w:pPr>
          </w:p>
        </w:tc>
        <w:tc>
          <w:tcPr>
            <w:tcW w:w="2721" w:type="dxa"/>
          </w:tcPr>
          <w:p w:rsidR="003F6BA1" w:rsidRPr="00064747" w:rsidRDefault="003F6BA1" w:rsidP="006C4607">
            <w:pPr>
              <w:pStyle w:val="naiskr"/>
              <w:tabs>
                <w:tab w:val="left" w:pos="170"/>
              </w:tabs>
              <w:spacing w:before="0" w:after="0"/>
              <w:rPr>
                <w:sz w:val="28"/>
                <w:szCs w:val="28"/>
              </w:rPr>
            </w:pPr>
          </w:p>
        </w:tc>
        <w:tc>
          <w:tcPr>
            <w:tcW w:w="6090" w:type="dxa"/>
          </w:tcPr>
          <w:p w:rsidR="003F6BA1" w:rsidRPr="00064747" w:rsidRDefault="003F6BA1" w:rsidP="000E5C05">
            <w:pPr>
              <w:pStyle w:val="ListParagraph"/>
              <w:tabs>
                <w:tab w:val="left" w:pos="142"/>
              </w:tabs>
              <w:autoSpaceDE w:val="0"/>
              <w:autoSpaceDN w:val="0"/>
              <w:adjustRightInd w:val="0"/>
              <w:spacing w:after="0" w:line="240" w:lineRule="auto"/>
              <w:ind w:left="0"/>
              <w:jc w:val="both"/>
              <w:rPr>
                <w:rFonts w:ascii="Times New Roman" w:hAnsi="Times New Roman"/>
                <w:b/>
                <w:sz w:val="28"/>
                <w:szCs w:val="28"/>
                <w:u w:val="single"/>
              </w:rPr>
            </w:pPr>
          </w:p>
        </w:tc>
      </w:tr>
      <w:tr w:rsidR="00262E2B" w:rsidRPr="00064747" w:rsidTr="00185D7F">
        <w:trPr>
          <w:trHeight w:val="476"/>
        </w:trPr>
        <w:tc>
          <w:tcPr>
            <w:tcW w:w="403" w:type="dxa"/>
          </w:tcPr>
          <w:p w:rsidR="00262E2B" w:rsidRPr="00064747" w:rsidRDefault="006E626B" w:rsidP="006C4607">
            <w:pPr>
              <w:pStyle w:val="naiskr"/>
              <w:spacing w:before="0" w:after="0"/>
              <w:rPr>
                <w:sz w:val="28"/>
                <w:szCs w:val="28"/>
              </w:rPr>
            </w:pPr>
            <w:r w:rsidRPr="00064747">
              <w:rPr>
                <w:sz w:val="28"/>
                <w:szCs w:val="28"/>
              </w:rPr>
              <w:t>3</w:t>
            </w:r>
            <w:r w:rsidR="00262E2B" w:rsidRPr="00064747">
              <w:rPr>
                <w:sz w:val="28"/>
                <w:szCs w:val="28"/>
              </w:rPr>
              <w:t>.</w:t>
            </w:r>
          </w:p>
        </w:tc>
        <w:tc>
          <w:tcPr>
            <w:tcW w:w="2721" w:type="dxa"/>
          </w:tcPr>
          <w:p w:rsidR="00262E2B" w:rsidRPr="00064747" w:rsidRDefault="001A4066" w:rsidP="006C4607">
            <w:pPr>
              <w:pStyle w:val="naiskr"/>
              <w:spacing w:before="0" w:after="0"/>
              <w:rPr>
                <w:sz w:val="28"/>
                <w:szCs w:val="28"/>
              </w:rPr>
            </w:pPr>
            <w:r w:rsidRPr="00064747">
              <w:rPr>
                <w:sz w:val="28"/>
                <w:szCs w:val="28"/>
              </w:rPr>
              <w:t>Projekta i</w:t>
            </w:r>
            <w:r w:rsidR="00262E2B" w:rsidRPr="00064747">
              <w:rPr>
                <w:sz w:val="28"/>
                <w:szCs w:val="28"/>
              </w:rPr>
              <w:t>zstrād</w:t>
            </w:r>
            <w:r w:rsidR="00420870" w:rsidRPr="00064747">
              <w:rPr>
                <w:sz w:val="28"/>
                <w:szCs w:val="28"/>
              </w:rPr>
              <w:t xml:space="preserve">ē </w:t>
            </w:r>
            <w:r w:rsidR="00262E2B" w:rsidRPr="00064747">
              <w:rPr>
                <w:sz w:val="28"/>
                <w:szCs w:val="28"/>
              </w:rPr>
              <w:t>iesaistītās institūcijas</w:t>
            </w:r>
          </w:p>
        </w:tc>
        <w:tc>
          <w:tcPr>
            <w:tcW w:w="6090" w:type="dxa"/>
          </w:tcPr>
          <w:p w:rsidR="00262E2B" w:rsidRPr="00064747" w:rsidRDefault="00764E64" w:rsidP="008D3310">
            <w:pPr>
              <w:pStyle w:val="naiskr"/>
              <w:spacing w:before="0" w:after="0"/>
              <w:jc w:val="both"/>
              <w:rPr>
                <w:sz w:val="28"/>
                <w:szCs w:val="28"/>
              </w:rPr>
            </w:pPr>
            <w:r w:rsidRPr="00064747">
              <w:rPr>
                <w:sz w:val="28"/>
                <w:szCs w:val="28"/>
              </w:rPr>
              <w:t>NVD</w:t>
            </w:r>
            <w:r w:rsidR="008D3310" w:rsidRPr="00064747">
              <w:rPr>
                <w:sz w:val="28"/>
                <w:szCs w:val="28"/>
              </w:rPr>
              <w:t>,</w:t>
            </w:r>
            <w:r w:rsidR="0048357E" w:rsidRPr="00064747">
              <w:rPr>
                <w:sz w:val="28"/>
                <w:szCs w:val="28"/>
              </w:rPr>
              <w:t xml:space="preserve"> NMPD</w:t>
            </w:r>
            <w:r w:rsidR="008D3310" w:rsidRPr="00064747">
              <w:rPr>
                <w:sz w:val="28"/>
                <w:szCs w:val="28"/>
              </w:rPr>
              <w:t xml:space="preserve"> un VADC</w:t>
            </w:r>
            <w:r w:rsidR="00470309" w:rsidRPr="00064747">
              <w:rPr>
                <w:sz w:val="28"/>
                <w:szCs w:val="28"/>
              </w:rPr>
              <w:t>.</w:t>
            </w:r>
          </w:p>
        </w:tc>
      </w:tr>
      <w:tr w:rsidR="00262E2B" w:rsidRPr="00064747" w:rsidTr="00185D7F">
        <w:tc>
          <w:tcPr>
            <w:tcW w:w="403" w:type="dxa"/>
          </w:tcPr>
          <w:p w:rsidR="00262E2B" w:rsidRPr="00064747" w:rsidRDefault="006E626B" w:rsidP="006C4607">
            <w:pPr>
              <w:pStyle w:val="naiskr"/>
              <w:spacing w:before="0" w:after="0"/>
              <w:rPr>
                <w:sz w:val="28"/>
                <w:szCs w:val="28"/>
              </w:rPr>
            </w:pPr>
            <w:r w:rsidRPr="00064747">
              <w:rPr>
                <w:sz w:val="28"/>
                <w:szCs w:val="28"/>
              </w:rPr>
              <w:t>4</w:t>
            </w:r>
            <w:r w:rsidR="00262E2B" w:rsidRPr="00064747">
              <w:rPr>
                <w:sz w:val="28"/>
                <w:szCs w:val="28"/>
              </w:rPr>
              <w:t>.</w:t>
            </w:r>
          </w:p>
        </w:tc>
        <w:tc>
          <w:tcPr>
            <w:tcW w:w="2721" w:type="dxa"/>
          </w:tcPr>
          <w:p w:rsidR="00262E2B" w:rsidRPr="00064747" w:rsidRDefault="00262E2B" w:rsidP="006C4607">
            <w:pPr>
              <w:pStyle w:val="naiskr"/>
              <w:spacing w:before="0" w:after="0"/>
              <w:rPr>
                <w:sz w:val="28"/>
                <w:szCs w:val="28"/>
              </w:rPr>
            </w:pPr>
            <w:r w:rsidRPr="00064747">
              <w:rPr>
                <w:sz w:val="28"/>
                <w:szCs w:val="28"/>
              </w:rPr>
              <w:t>Cita informācija</w:t>
            </w:r>
          </w:p>
        </w:tc>
        <w:tc>
          <w:tcPr>
            <w:tcW w:w="6090" w:type="dxa"/>
          </w:tcPr>
          <w:p w:rsidR="00262E2B" w:rsidRPr="00064747" w:rsidRDefault="00571028" w:rsidP="006C4607">
            <w:pPr>
              <w:pStyle w:val="naiskr"/>
              <w:spacing w:before="0" w:after="0"/>
              <w:rPr>
                <w:sz w:val="28"/>
                <w:szCs w:val="28"/>
              </w:rPr>
            </w:pPr>
            <w:r w:rsidRPr="00064747">
              <w:rPr>
                <w:sz w:val="28"/>
                <w:szCs w:val="28"/>
              </w:rPr>
              <w:t>Nav</w:t>
            </w:r>
          </w:p>
        </w:tc>
      </w:tr>
    </w:tbl>
    <w:p w:rsidR="00AD50DF" w:rsidRPr="00064747" w:rsidRDefault="00AD50DF" w:rsidP="003C7C62">
      <w:pPr>
        <w:pStyle w:val="naisf"/>
        <w:spacing w:before="0" w:after="0"/>
        <w:ind w:firstLine="0"/>
        <w:rPr>
          <w:sz w:val="28"/>
          <w:szCs w:val="28"/>
        </w:rPr>
      </w:pPr>
    </w:p>
    <w:p w:rsidR="00BF46B3" w:rsidRPr="00064747" w:rsidRDefault="00BF46B3" w:rsidP="003C7C62">
      <w:pPr>
        <w:pStyle w:val="naisf"/>
        <w:spacing w:before="0" w:after="0"/>
        <w:ind w:firstLine="0"/>
        <w:rPr>
          <w:sz w:val="28"/>
          <w:szCs w:val="28"/>
        </w:rPr>
      </w:pPr>
    </w:p>
    <w:tbl>
      <w:tblPr>
        <w:tblW w:w="9778"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1"/>
        <w:gridCol w:w="1812"/>
        <w:gridCol w:w="1714"/>
        <w:gridCol w:w="1762"/>
        <w:gridCol w:w="1683"/>
        <w:gridCol w:w="1605"/>
      </w:tblGrid>
      <w:tr w:rsidR="006C418A" w:rsidRPr="00064747" w:rsidTr="003C7C62">
        <w:trPr>
          <w:jc w:val="center"/>
        </w:trPr>
        <w:tc>
          <w:tcPr>
            <w:tcW w:w="9778" w:type="dxa"/>
            <w:gridSpan w:val="6"/>
            <w:vAlign w:val="center"/>
          </w:tcPr>
          <w:p w:rsidR="006C418A" w:rsidRPr="00064747" w:rsidRDefault="006C418A" w:rsidP="00A20419">
            <w:pPr>
              <w:pStyle w:val="naisf"/>
              <w:spacing w:before="0" w:after="0"/>
              <w:ind w:firstLine="0"/>
              <w:jc w:val="center"/>
              <w:rPr>
                <w:b/>
                <w:sz w:val="28"/>
                <w:szCs w:val="28"/>
              </w:rPr>
            </w:pPr>
            <w:r w:rsidRPr="00064747">
              <w:rPr>
                <w:b/>
                <w:sz w:val="28"/>
                <w:szCs w:val="28"/>
              </w:rPr>
              <w:t>III. Tiesību akta projekta ietekme uz valsts budžetu un pašvaldību budžetiem</w:t>
            </w:r>
          </w:p>
        </w:tc>
      </w:tr>
      <w:tr w:rsidR="00362D93" w:rsidRPr="00064747" w:rsidTr="003C7C62">
        <w:trPr>
          <w:jc w:val="center"/>
        </w:trPr>
        <w:tc>
          <w:tcPr>
            <w:tcW w:w="1958" w:type="dxa"/>
            <w:vMerge w:val="restart"/>
            <w:vAlign w:val="center"/>
          </w:tcPr>
          <w:p w:rsidR="00571028" w:rsidRPr="00064747" w:rsidRDefault="00571028" w:rsidP="00A20419">
            <w:pPr>
              <w:pStyle w:val="naisf"/>
              <w:spacing w:before="0" w:after="0"/>
              <w:ind w:left="114" w:hanging="114"/>
              <w:jc w:val="center"/>
              <w:rPr>
                <w:b/>
                <w:sz w:val="28"/>
                <w:szCs w:val="28"/>
              </w:rPr>
            </w:pPr>
            <w:r w:rsidRPr="00064747">
              <w:rPr>
                <w:b/>
                <w:sz w:val="28"/>
                <w:szCs w:val="28"/>
              </w:rPr>
              <w:t>Rādītāji</w:t>
            </w:r>
          </w:p>
        </w:tc>
        <w:tc>
          <w:tcPr>
            <w:tcW w:w="3142" w:type="dxa"/>
            <w:gridSpan w:val="2"/>
            <w:vMerge w:val="restart"/>
            <w:vAlign w:val="center"/>
          </w:tcPr>
          <w:p w:rsidR="00571028" w:rsidRPr="00064747" w:rsidRDefault="004A05EF" w:rsidP="00A20419">
            <w:pPr>
              <w:pStyle w:val="naisf"/>
              <w:spacing w:before="0" w:after="0"/>
              <w:ind w:firstLine="0"/>
              <w:jc w:val="center"/>
              <w:rPr>
                <w:b/>
                <w:sz w:val="28"/>
                <w:szCs w:val="28"/>
              </w:rPr>
            </w:pPr>
            <w:r w:rsidRPr="00064747">
              <w:rPr>
                <w:b/>
                <w:sz w:val="28"/>
                <w:szCs w:val="28"/>
              </w:rPr>
              <w:t>2014</w:t>
            </w:r>
            <w:r w:rsidR="00571028" w:rsidRPr="00064747">
              <w:rPr>
                <w:b/>
                <w:sz w:val="28"/>
                <w:szCs w:val="28"/>
              </w:rPr>
              <w:t>.</w:t>
            </w:r>
            <w:r w:rsidR="00F46414" w:rsidRPr="00064747">
              <w:rPr>
                <w:b/>
                <w:sz w:val="28"/>
                <w:szCs w:val="28"/>
              </w:rPr>
              <w:t>gads</w:t>
            </w:r>
          </w:p>
        </w:tc>
        <w:tc>
          <w:tcPr>
            <w:tcW w:w="4678" w:type="dxa"/>
            <w:gridSpan w:val="3"/>
            <w:vAlign w:val="center"/>
          </w:tcPr>
          <w:p w:rsidR="00571028" w:rsidRPr="00064747" w:rsidRDefault="00571028" w:rsidP="004A05EF">
            <w:pPr>
              <w:pStyle w:val="naisf"/>
              <w:spacing w:before="0" w:after="0"/>
              <w:ind w:firstLine="0"/>
              <w:jc w:val="center"/>
              <w:rPr>
                <w:b/>
                <w:i/>
                <w:sz w:val="28"/>
                <w:szCs w:val="28"/>
              </w:rPr>
            </w:pPr>
            <w:r w:rsidRPr="00064747">
              <w:rPr>
                <w:sz w:val="28"/>
                <w:szCs w:val="28"/>
              </w:rPr>
              <w:t>Turpmākie trīs gadi (</w:t>
            </w:r>
            <w:r w:rsidR="004A05EF" w:rsidRPr="00064747">
              <w:rPr>
                <w:i/>
                <w:sz w:val="28"/>
                <w:szCs w:val="28"/>
              </w:rPr>
              <w:t>euro</w:t>
            </w:r>
            <w:r w:rsidRPr="00064747">
              <w:rPr>
                <w:sz w:val="28"/>
                <w:szCs w:val="28"/>
              </w:rPr>
              <w:t>)</w:t>
            </w:r>
          </w:p>
        </w:tc>
      </w:tr>
      <w:tr w:rsidR="00185D7F" w:rsidRPr="00064747" w:rsidTr="003C7C62">
        <w:trPr>
          <w:jc w:val="center"/>
        </w:trPr>
        <w:tc>
          <w:tcPr>
            <w:tcW w:w="1958" w:type="dxa"/>
            <w:vMerge/>
            <w:vAlign w:val="center"/>
          </w:tcPr>
          <w:p w:rsidR="00571028" w:rsidRPr="00064747" w:rsidRDefault="00571028" w:rsidP="00A20419">
            <w:pPr>
              <w:pStyle w:val="naisf"/>
              <w:spacing w:before="0" w:after="0"/>
              <w:ind w:firstLine="0"/>
              <w:jc w:val="center"/>
              <w:rPr>
                <w:b/>
                <w:i/>
                <w:sz w:val="28"/>
                <w:szCs w:val="28"/>
              </w:rPr>
            </w:pPr>
          </w:p>
        </w:tc>
        <w:tc>
          <w:tcPr>
            <w:tcW w:w="3142" w:type="dxa"/>
            <w:gridSpan w:val="2"/>
            <w:vMerge/>
            <w:vAlign w:val="center"/>
          </w:tcPr>
          <w:p w:rsidR="00571028" w:rsidRPr="00064747" w:rsidRDefault="00571028" w:rsidP="00A20419">
            <w:pPr>
              <w:pStyle w:val="naisf"/>
              <w:spacing w:before="0" w:after="0"/>
              <w:ind w:firstLine="0"/>
              <w:jc w:val="center"/>
              <w:rPr>
                <w:b/>
                <w:i/>
                <w:sz w:val="28"/>
                <w:szCs w:val="28"/>
              </w:rPr>
            </w:pPr>
          </w:p>
        </w:tc>
        <w:tc>
          <w:tcPr>
            <w:tcW w:w="1701" w:type="dxa"/>
            <w:vAlign w:val="center"/>
          </w:tcPr>
          <w:p w:rsidR="00571028" w:rsidRPr="00064747" w:rsidRDefault="004A05EF" w:rsidP="00A20419">
            <w:pPr>
              <w:pStyle w:val="naisf"/>
              <w:spacing w:before="0" w:after="0"/>
              <w:ind w:firstLine="0"/>
              <w:jc w:val="center"/>
              <w:rPr>
                <w:b/>
                <w:i/>
                <w:sz w:val="28"/>
                <w:szCs w:val="28"/>
              </w:rPr>
            </w:pPr>
            <w:r w:rsidRPr="00064747">
              <w:rPr>
                <w:b/>
                <w:bCs/>
                <w:sz w:val="28"/>
                <w:szCs w:val="28"/>
              </w:rPr>
              <w:t>2015</w:t>
            </w:r>
            <w:r w:rsidR="00571028" w:rsidRPr="00064747">
              <w:rPr>
                <w:b/>
                <w:bCs/>
                <w:sz w:val="28"/>
                <w:szCs w:val="28"/>
              </w:rPr>
              <w:t>.</w:t>
            </w:r>
            <w:r w:rsidR="00F46414" w:rsidRPr="00064747">
              <w:rPr>
                <w:b/>
                <w:bCs/>
                <w:sz w:val="28"/>
                <w:szCs w:val="28"/>
              </w:rPr>
              <w:t>gads</w:t>
            </w:r>
          </w:p>
        </w:tc>
        <w:tc>
          <w:tcPr>
            <w:tcW w:w="1559" w:type="dxa"/>
            <w:vAlign w:val="center"/>
          </w:tcPr>
          <w:p w:rsidR="00571028" w:rsidRPr="00064747" w:rsidRDefault="004A05EF" w:rsidP="00A20419">
            <w:pPr>
              <w:pStyle w:val="naisf"/>
              <w:spacing w:before="0" w:after="0"/>
              <w:ind w:firstLine="0"/>
              <w:jc w:val="center"/>
              <w:rPr>
                <w:b/>
                <w:i/>
                <w:sz w:val="28"/>
                <w:szCs w:val="28"/>
              </w:rPr>
            </w:pPr>
            <w:r w:rsidRPr="00064747">
              <w:rPr>
                <w:b/>
                <w:bCs/>
                <w:sz w:val="28"/>
                <w:szCs w:val="28"/>
              </w:rPr>
              <w:t>2016</w:t>
            </w:r>
            <w:r w:rsidR="00571028" w:rsidRPr="00064747">
              <w:rPr>
                <w:b/>
                <w:bCs/>
                <w:sz w:val="28"/>
                <w:szCs w:val="28"/>
              </w:rPr>
              <w:t>.</w:t>
            </w:r>
            <w:r w:rsidR="00F46414" w:rsidRPr="00064747">
              <w:rPr>
                <w:b/>
                <w:bCs/>
                <w:sz w:val="28"/>
                <w:szCs w:val="28"/>
              </w:rPr>
              <w:t>gads</w:t>
            </w:r>
          </w:p>
        </w:tc>
        <w:tc>
          <w:tcPr>
            <w:tcW w:w="1418" w:type="dxa"/>
            <w:vAlign w:val="center"/>
          </w:tcPr>
          <w:p w:rsidR="00571028" w:rsidRPr="00064747" w:rsidRDefault="004A05EF" w:rsidP="00A20419">
            <w:pPr>
              <w:pStyle w:val="naisf"/>
              <w:spacing w:before="0" w:after="0"/>
              <w:ind w:firstLine="0"/>
              <w:jc w:val="center"/>
              <w:rPr>
                <w:b/>
                <w:i/>
                <w:sz w:val="28"/>
                <w:szCs w:val="28"/>
              </w:rPr>
            </w:pPr>
            <w:r w:rsidRPr="00064747">
              <w:rPr>
                <w:b/>
                <w:bCs/>
                <w:sz w:val="28"/>
                <w:szCs w:val="28"/>
              </w:rPr>
              <w:t>2017</w:t>
            </w:r>
            <w:r w:rsidR="00571028" w:rsidRPr="00064747">
              <w:rPr>
                <w:b/>
                <w:bCs/>
                <w:sz w:val="28"/>
                <w:szCs w:val="28"/>
              </w:rPr>
              <w:t>.</w:t>
            </w:r>
            <w:r w:rsidR="00F46414" w:rsidRPr="00064747">
              <w:rPr>
                <w:b/>
                <w:bCs/>
                <w:sz w:val="28"/>
                <w:szCs w:val="28"/>
              </w:rPr>
              <w:t>gads</w:t>
            </w:r>
          </w:p>
        </w:tc>
      </w:tr>
      <w:tr w:rsidR="00362D93" w:rsidRPr="00064747" w:rsidTr="003C7C62">
        <w:trPr>
          <w:jc w:val="center"/>
        </w:trPr>
        <w:tc>
          <w:tcPr>
            <w:tcW w:w="1958" w:type="dxa"/>
            <w:vMerge/>
            <w:vAlign w:val="center"/>
          </w:tcPr>
          <w:p w:rsidR="00571028" w:rsidRPr="00064747" w:rsidRDefault="00571028" w:rsidP="00A20419">
            <w:pPr>
              <w:pStyle w:val="naisf"/>
              <w:spacing w:before="0" w:after="0"/>
              <w:ind w:firstLine="0"/>
              <w:jc w:val="center"/>
              <w:rPr>
                <w:b/>
                <w:i/>
                <w:sz w:val="28"/>
                <w:szCs w:val="28"/>
              </w:rPr>
            </w:pPr>
          </w:p>
        </w:tc>
        <w:tc>
          <w:tcPr>
            <w:tcW w:w="1441" w:type="dxa"/>
            <w:vAlign w:val="center"/>
          </w:tcPr>
          <w:p w:rsidR="00571028" w:rsidRPr="00064747" w:rsidRDefault="00571028" w:rsidP="00A20419">
            <w:pPr>
              <w:pStyle w:val="naisf"/>
              <w:spacing w:before="0" w:after="0"/>
              <w:ind w:firstLine="0"/>
              <w:jc w:val="center"/>
              <w:rPr>
                <w:b/>
                <w:i/>
                <w:sz w:val="28"/>
                <w:szCs w:val="28"/>
              </w:rPr>
            </w:pPr>
            <w:r w:rsidRPr="00064747">
              <w:rPr>
                <w:sz w:val="28"/>
                <w:szCs w:val="28"/>
              </w:rPr>
              <w:t>Saskaņā ar valsts budžetu kārtējam gadam</w:t>
            </w:r>
          </w:p>
        </w:tc>
        <w:tc>
          <w:tcPr>
            <w:tcW w:w="1701" w:type="dxa"/>
            <w:vAlign w:val="center"/>
          </w:tcPr>
          <w:p w:rsidR="00571028" w:rsidRPr="00064747" w:rsidRDefault="00571028" w:rsidP="00A20419">
            <w:pPr>
              <w:pStyle w:val="naisf"/>
              <w:spacing w:before="0" w:after="0"/>
              <w:ind w:firstLine="0"/>
              <w:jc w:val="center"/>
              <w:rPr>
                <w:b/>
                <w:i/>
                <w:sz w:val="28"/>
                <w:szCs w:val="28"/>
              </w:rPr>
            </w:pPr>
            <w:r w:rsidRPr="00064747">
              <w:rPr>
                <w:sz w:val="28"/>
                <w:szCs w:val="28"/>
              </w:rPr>
              <w:t>Izmaiņas kārtējā gadā, salīdzinot ar budžetu kārtējam gadam</w:t>
            </w:r>
          </w:p>
        </w:tc>
        <w:tc>
          <w:tcPr>
            <w:tcW w:w="1701" w:type="dxa"/>
            <w:vAlign w:val="center"/>
          </w:tcPr>
          <w:p w:rsidR="00571028" w:rsidRPr="00064747" w:rsidRDefault="00571028" w:rsidP="00A20419">
            <w:pPr>
              <w:pStyle w:val="naisf"/>
              <w:spacing w:before="0" w:after="0"/>
              <w:ind w:firstLine="0"/>
              <w:jc w:val="center"/>
              <w:rPr>
                <w:b/>
                <w:i/>
                <w:sz w:val="28"/>
                <w:szCs w:val="28"/>
              </w:rPr>
            </w:pPr>
            <w:r w:rsidRPr="00064747">
              <w:rPr>
                <w:sz w:val="28"/>
                <w:szCs w:val="28"/>
              </w:rPr>
              <w:t>Izmaiņas, salīdzinot ar kārtējo (n) gadu</w:t>
            </w:r>
          </w:p>
        </w:tc>
        <w:tc>
          <w:tcPr>
            <w:tcW w:w="1559" w:type="dxa"/>
            <w:vAlign w:val="center"/>
          </w:tcPr>
          <w:p w:rsidR="00571028" w:rsidRPr="00064747" w:rsidRDefault="00571028" w:rsidP="00A20419">
            <w:pPr>
              <w:pStyle w:val="naisf"/>
              <w:spacing w:before="0" w:after="0"/>
              <w:ind w:firstLine="0"/>
              <w:jc w:val="center"/>
              <w:rPr>
                <w:b/>
                <w:i/>
                <w:sz w:val="28"/>
                <w:szCs w:val="28"/>
              </w:rPr>
            </w:pPr>
            <w:r w:rsidRPr="00064747">
              <w:rPr>
                <w:sz w:val="28"/>
                <w:szCs w:val="28"/>
              </w:rPr>
              <w:t>Izmaiņas, salīdzinot ar kārtējo (n) gadu</w:t>
            </w:r>
          </w:p>
        </w:tc>
        <w:tc>
          <w:tcPr>
            <w:tcW w:w="1418" w:type="dxa"/>
            <w:vAlign w:val="center"/>
          </w:tcPr>
          <w:p w:rsidR="00571028" w:rsidRPr="00064747" w:rsidRDefault="00571028" w:rsidP="00A20419">
            <w:pPr>
              <w:pStyle w:val="naisf"/>
              <w:spacing w:before="0" w:after="0"/>
              <w:ind w:firstLine="0"/>
              <w:jc w:val="center"/>
              <w:rPr>
                <w:b/>
                <w:i/>
                <w:sz w:val="28"/>
                <w:szCs w:val="28"/>
              </w:rPr>
            </w:pPr>
            <w:r w:rsidRPr="00064747">
              <w:rPr>
                <w:sz w:val="28"/>
                <w:szCs w:val="28"/>
              </w:rPr>
              <w:t>Izmaiņas, salīdzinot ar kārtējo (n) gadu</w:t>
            </w:r>
          </w:p>
        </w:tc>
      </w:tr>
      <w:tr w:rsidR="00362D93" w:rsidRPr="00064747" w:rsidTr="003C7C62">
        <w:trPr>
          <w:jc w:val="center"/>
        </w:trPr>
        <w:tc>
          <w:tcPr>
            <w:tcW w:w="1958" w:type="dxa"/>
            <w:vAlign w:val="center"/>
          </w:tcPr>
          <w:p w:rsidR="00571028" w:rsidRPr="00064747" w:rsidRDefault="00571028" w:rsidP="00A20419">
            <w:pPr>
              <w:pStyle w:val="naisf"/>
              <w:spacing w:before="0" w:after="0"/>
              <w:ind w:firstLine="0"/>
              <w:jc w:val="center"/>
              <w:rPr>
                <w:bCs/>
                <w:sz w:val="22"/>
                <w:szCs w:val="22"/>
              </w:rPr>
            </w:pPr>
            <w:r w:rsidRPr="00064747">
              <w:rPr>
                <w:bCs/>
                <w:sz w:val="22"/>
                <w:szCs w:val="22"/>
              </w:rPr>
              <w:t>1</w:t>
            </w:r>
          </w:p>
        </w:tc>
        <w:tc>
          <w:tcPr>
            <w:tcW w:w="1441" w:type="dxa"/>
            <w:vAlign w:val="center"/>
          </w:tcPr>
          <w:p w:rsidR="00571028" w:rsidRPr="00064747" w:rsidRDefault="00571028" w:rsidP="00A20419">
            <w:pPr>
              <w:pStyle w:val="naisf"/>
              <w:spacing w:before="0" w:after="0"/>
              <w:ind w:firstLine="0"/>
              <w:jc w:val="center"/>
              <w:rPr>
                <w:bCs/>
                <w:sz w:val="22"/>
                <w:szCs w:val="22"/>
              </w:rPr>
            </w:pPr>
            <w:r w:rsidRPr="00064747">
              <w:rPr>
                <w:bCs/>
                <w:sz w:val="22"/>
                <w:szCs w:val="22"/>
              </w:rPr>
              <w:t>2</w:t>
            </w:r>
          </w:p>
        </w:tc>
        <w:tc>
          <w:tcPr>
            <w:tcW w:w="1701" w:type="dxa"/>
            <w:vAlign w:val="center"/>
          </w:tcPr>
          <w:p w:rsidR="00571028" w:rsidRPr="00064747" w:rsidRDefault="00571028" w:rsidP="00A20419">
            <w:pPr>
              <w:pStyle w:val="naisf"/>
              <w:spacing w:before="0" w:after="0"/>
              <w:ind w:firstLine="0"/>
              <w:jc w:val="center"/>
              <w:rPr>
                <w:bCs/>
                <w:sz w:val="22"/>
                <w:szCs w:val="22"/>
              </w:rPr>
            </w:pPr>
            <w:r w:rsidRPr="00064747">
              <w:rPr>
                <w:bCs/>
                <w:sz w:val="22"/>
                <w:szCs w:val="22"/>
              </w:rPr>
              <w:t>3</w:t>
            </w:r>
          </w:p>
        </w:tc>
        <w:tc>
          <w:tcPr>
            <w:tcW w:w="1701" w:type="dxa"/>
            <w:vAlign w:val="center"/>
          </w:tcPr>
          <w:p w:rsidR="00571028" w:rsidRPr="00064747" w:rsidRDefault="00571028" w:rsidP="00A20419">
            <w:pPr>
              <w:pStyle w:val="naisf"/>
              <w:spacing w:before="0" w:after="0"/>
              <w:ind w:firstLine="0"/>
              <w:jc w:val="center"/>
              <w:rPr>
                <w:bCs/>
                <w:sz w:val="22"/>
                <w:szCs w:val="22"/>
              </w:rPr>
            </w:pPr>
            <w:r w:rsidRPr="00064747">
              <w:rPr>
                <w:bCs/>
                <w:sz w:val="22"/>
                <w:szCs w:val="22"/>
              </w:rPr>
              <w:t>4</w:t>
            </w:r>
          </w:p>
        </w:tc>
        <w:tc>
          <w:tcPr>
            <w:tcW w:w="1559" w:type="dxa"/>
            <w:vAlign w:val="center"/>
          </w:tcPr>
          <w:p w:rsidR="00571028" w:rsidRPr="00064747" w:rsidRDefault="00571028" w:rsidP="00A20419">
            <w:pPr>
              <w:pStyle w:val="naisf"/>
              <w:spacing w:before="0" w:after="0"/>
              <w:ind w:firstLine="0"/>
              <w:jc w:val="center"/>
              <w:rPr>
                <w:bCs/>
                <w:sz w:val="22"/>
                <w:szCs w:val="22"/>
              </w:rPr>
            </w:pPr>
            <w:r w:rsidRPr="00064747">
              <w:rPr>
                <w:bCs/>
                <w:sz w:val="22"/>
                <w:szCs w:val="22"/>
              </w:rPr>
              <w:t>5</w:t>
            </w:r>
          </w:p>
        </w:tc>
        <w:tc>
          <w:tcPr>
            <w:tcW w:w="1418" w:type="dxa"/>
            <w:vAlign w:val="center"/>
          </w:tcPr>
          <w:p w:rsidR="00571028" w:rsidRPr="00064747" w:rsidRDefault="00571028" w:rsidP="00A20419">
            <w:pPr>
              <w:pStyle w:val="naisf"/>
              <w:spacing w:before="0" w:after="0"/>
              <w:ind w:firstLine="0"/>
              <w:jc w:val="center"/>
              <w:rPr>
                <w:bCs/>
                <w:sz w:val="22"/>
                <w:szCs w:val="22"/>
              </w:rPr>
            </w:pPr>
            <w:r w:rsidRPr="00064747">
              <w:rPr>
                <w:bCs/>
                <w:sz w:val="22"/>
                <w:szCs w:val="22"/>
              </w:rPr>
              <w:t>6</w:t>
            </w:r>
          </w:p>
        </w:tc>
      </w:tr>
      <w:tr w:rsidR="00362D93" w:rsidRPr="00064747" w:rsidTr="003C7C62">
        <w:trPr>
          <w:jc w:val="center"/>
        </w:trPr>
        <w:tc>
          <w:tcPr>
            <w:tcW w:w="1958" w:type="dxa"/>
          </w:tcPr>
          <w:p w:rsidR="00470309" w:rsidRPr="00064747" w:rsidRDefault="00470309" w:rsidP="004A05EF">
            <w:pPr>
              <w:pStyle w:val="naisf"/>
              <w:spacing w:before="0" w:after="0"/>
              <w:ind w:firstLine="0"/>
              <w:jc w:val="left"/>
              <w:rPr>
                <w:i/>
                <w:sz w:val="28"/>
                <w:szCs w:val="28"/>
              </w:rPr>
            </w:pPr>
            <w:r w:rsidRPr="00064747">
              <w:rPr>
                <w:sz w:val="28"/>
                <w:szCs w:val="28"/>
              </w:rPr>
              <w:t>1. Budžeta ieņēmumi:</w:t>
            </w:r>
          </w:p>
        </w:tc>
        <w:tc>
          <w:tcPr>
            <w:tcW w:w="1441" w:type="dxa"/>
          </w:tcPr>
          <w:p w:rsidR="00470309" w:rsidRPr="00064747" w:rsidRDefault="00470309" w:rsidP="00FB4FC6">
            <w:pPr>
              <w:pStyle w:val="naisf"/>
              <w:spacing w:before="0" w:after="0"/>
              <w:ind w:firstLine="0"/>
              <w:jc w:val="center"/>
              <w:rPr>
                <w:b/>
                <w:sz w:val="28"/>
                <w:szCs w:val="28"/>
              </w:rPr>
            </w:pPr>
            <w:r w:rsidRPr="00064747">
              <w:rPr>
                <w:b/>
                <w:sz w:val="28"/>
                <w:szCs w:val="28"/>
              </w:rPr>
              <w:t>0</w:t>
            </w:r>
          </w:p>
        </w:tc>
        <w:tc>
          <w:tcPr>
            <w:tcW w:w="1701" w:type="dxa"/>
          </w:tcPr>
          <w:p w:rsidR="00470309" w:rsidRPr="00064747" w:rsidRDefault="00470309" w:rsidP="009E5705">
            <w:pPr>
              <w:pStyle w:val="naisf"/>
              <w:spacing w:before="0" w:after="0"/>
              <w:ind w:firstLine="0"/>
              <w:jc w:val="center"/>
              <w:rPr>
                <w:b/>
                <w:sz w:val="28"/>
                <w:szCs w:val="28"/>
              </w:rPr>
            </w:pPr>
            <w:r w:rsidRPr="00064747">
              <w:rPr>
                <w:b/>
                <w:sz w:val="28"/>
                <w:szCs w:val="28"/>
              </w:rPr>
              <w:t>0</w:t>
            </w:r>
          </w:p>
        </w:tc>
        <w:tc>
          <w:tcPr>
            <w:tcW w:w="1701" w:type="dxa"/>
          </w:tcPr>
          <w:p w:rsidR="00470309" w:rsidRPr="00064747" w:rsidRDefault="00470309" w:rsidP="009E5705">
            <w:pPr>
              <w:pStyle w:val="naisf"/>
              <w:spacing w:before="0" w:after="0"/>
              <w:ind w:firstLine="0"/>
              <w:jc w:val="center"/>
              <w:rPr>
                <w:b/>
                <w:sz w:val="28"/>
                <w:szCs w:val="28"/>
              </w:rPr>
            </w:pPr>
            <w:r w:rsidRPr="00064747">
              <w:rPr>
                <w:b/>
                <w:sz w:val="28"/>
                <w:szCs w:val="28"/>
              </w:rPr>
              <w:t>0</w:t>
            </w:r>
          </w:p>
        </w:tc>
        <w:tc>
          <w:tcPr>
            <w:tcW w:w="1559" w:type="dxa"/>
          </w:tcPr>
          <w:p w:rsidR="00470309" w:rsidRPr="00064747" w:rsidRDefault="00470309" w:rsidP="009E5705">
            <w:pPr>
              <w:pStyle w:val="naisf"/>
              <w:spacing w:before="0" w:after="0"/>
              <w:ind w:firstLine="0"/>
              <w:jc w:val="center"/>
              <w:rPr>
                <w:b/>
                <w:sz w:val="28"/>
                <w:szCs w:val="28"/>
              </w:rPr>
            </w:pPr>
            <w:r w:rsidRPr="00064747">
              <w:rPr>
                <w:b/>
                <w:sz w:val="28"/>
                <w:szCs w:val="28"/>
              </w:rPr>
              <w:t>0</w:t>
            </w:r>
          </w:p>
        </w:tc>
        <w:tc>
          <w:tcPr>
            <w:tcW w:w="1418" w:type="dxa"/>
          </w:tcPr>
          <w:p w:rsidR="00470309" w:rsidRPr="00064747" w:rsidRDefault="00470309" w:rsidP="009E5705">
            <w:pPr>
              <w:pStyle w:val="naisf"/>
              <w:spacing w:before="0" w:after="0"/>
              <w:ind w:firstLine="0"/>
              <w:jc w:val="center"/>
              <w:rPr>
                <w:b/>
                <w:sz w:val="28"/>
                <w:szCs w:val="28"/>
              </w:rPr>
            </w:pPr>
            <w:r w:rsidRPr="00064747">
              <w:rPr>
                <w:b/>
                <w:sz w:val="28"/>
                <w:szCs w:val="28"/>
              </w:rPr>
              <w:t>0</w:t>
            </w:r>
          </w:p>
        </w:tc>
      </w:tr>
      <w:tr w:rsidR="00362D93" w:rsidRPr="00064747" w:rsidTr="003C7C62">
        <w:trPr>
          <w:jc w:val="center"/>
        </w:trPr>
        <w:tc>
          <w:tcPr>
            <w:tcW w:w="1958" w:type="dxa"/>
          </w:tcPr>
          <w:p w:rsidR="00470309" w:rsidRPr="00064747" w:rsidRDefault="00470309" w:rsidP="004A05EF">
            <w:pPr>
              <w:pStyle w:val="naisf"/>
              <w:spacing w:before="0" w:after="0"/>
              <w:ind w:firstLine="0"/>
              <w:jc w:val="left"/>
              <w:rPr>
                <w:i/>
                <w:sz w:val="28"/>
                <w:szCs w:val="28"/>
              </w:rPr>
            </w:pPr>
            <w:r w:rsidRPr="00064747">
              <w:rPr>
                <w:sz w:val="28"/>
                <w:szCs w:val="28"/>
              </w:rPr>
              <w:t xml:space="preserve">1.1. valsts pamatbudžets, tai skaitā ieņēmumi no maksas pakalpojumiem un citi pašu </w:t>
            </w:r>
            <w:r w:rsidRPr="00064747">
              <w:rPr>
                <w:sz w:val="28"/>
                <w:szCs w:val="28"/>
              </w:rPr>
              <w:lastRenderedPageBreak/>
              <w:t>ieņēmumi</w:t>
            </w:r>
          </w:p>
        </w:tc>
        <w:tc>
          <w:tcPr>
            <w:tcW w:w="1441" w:type="dxa"/>
          </w:tcPr>
          <w:p w:rsidR="00470309" w:rsidRPr="00064747" w:rsidRDefault="00470309" w:rsidP="00FB4FC6">
            <w:pPr>
              <w:pStyle w:val="naisf"/>
              <w:spacing w:before="0" w:after="0"/>
              <w:ind w:firstLine="0"/>
              <w:jc w:val="center"/>
              <w:rPr>
                <w:sz w:val="28"/>
                <w:szCs w:val="28"/>
              </w:rPr>
            </w:pPr>
            <w:r w:rsidRPr="00064747">
              <w:rPr>
                <w:sz w:val="28"/>
                <w:szCs w:val="28"/>
              </w:rPr>
              <w:lastRenderedPageBreak/>
              <w:t>0</w:t>
            </w:r>
          </w:p>
        </w:tc>
        <w:tc>
          <w:tcPr>
            <w:tcW w:w="1701" w:type="dxa"/>
          </w:tcPr>
          <w:p w:rsidR="00470309" w:rsidRPr="00064747" w:rsidRDefault="00470309" w:rsidP="00F46414">
            <w:pPr>
              <w:pStyle w:val="naisf"/>
              <w:spacing w:before="0" w:after="0"/>
              <w:ind w:firstLine="0"/>
              <w:jc w:val="center"/>
              <w:rPr>
                <w:sz w:val="28"/>
                <w:szCs w:val="28"/>
              </w:rPr>
            </w:pPr>
            <w:r w:rsidRPr="00064747">
              <w:rPr>
                <w:sz w:val="28"/>
                <w:szCs w:val="28"/>
              </w:rPr>
              <w:t>0</w:t>
            </w:r>
          </w:p>
        </w:tc>
        <w:tc>
          <w:tcPr>
            <w:tcW w:w="1701" w:type="dxa"/>
          </w:tcPr>
          <w:p w:rsidR="00470309" w:rsidRPr="00064747" w:rsidRDefault="00470309" w:rsidP="00F46414">
            <w:pPr>
              <w:pStyle w:val="naisf"/>
              <w:spacing w:before="0" w:after="0"/>
              <w:ind w:firstLine="0"/>
              <w:jc w:val="center"/>
              <w:rPr>
                <w:sz w:val="28"/>
                <w:szCs w:val="28"/>
              </w:rPr>
            </w:pPr>
            <w:r w:rsidRPr="00064747">
              <w:rPr>
                <w:sz w:val="28"/>
                <w:szCs w:val="28"/>
              </w:rPr>
              <w:t>0</w:t>
            </w:r>
          </w:p>
        </w:tc>
        <w:tc>
          <w:tcPr>
            <w:tcW w:w="1559" w:type="dxa"/>
          </w:tcPr>
          <w:p w:rsidR="00470309" w:rsidRPr="00064747" w:rsidRDefault="00470309" w:rsidP="00F46414">
            <w:pPr>
              <w:pStyle w:val="naisf"/>
              <w:spacing w:before="0" w:after="0"/>
              <w:ind w:firstLine="0"/>
              <w:jc w:val="center"/>
              <w:rPr>
                <w:sz w:val="28"/>
                <w:szCs w:val="28"/>
              </w:rPr>
            </w:pPr>
            <w:r w:rsidRPr="00064747">
              <w:rPr>
                <w:sz w:val="28"/>
                <w:szCs w:val="28"/>
              </w:rPr>
              <w:t>0</w:t>
            </w:r>
          </w:p>
        </w:tc>
        <w:tc>
          <w:tcPr>
            <w:tcW w:w="1418" w:type="dxa"/>
          </w:tcPr>
          <w:p w:rsidR="00470309" w:rsidRPr="00064747" w:rsidRDefault="00470309" w:rsidP="00F46414">
            <w:pPr>
              <w:pStyle w:val="naisf"/>
              <w:spacing w:before="0" w:after="0"/>
              <w:ind w:firstLine="0"/>
              <w:jc w:val="center"/>
              <w:rPr>
                <w:sz w:val="28"/>
                <w:szCs w:val="28"/>
              </w:rPr>
            </w:pPr>
            <w:r w:rsidRPr="00064747">
              <w:rPr>
                <w:sz w:val="28"/>
                <w:szCs w:val="28"/>
              </w:rPr>
              <w:t>0</w:t>
            </w:r>
          </w:p>
        </w:tc>
      </w:tr>
      <w:tr w:rsidR="00362D93" w:rsidRPr="00064747" w:rsidTr="003C7C62">
        <w:trPr>
          <w:jc w:val="center"/>
        </w:trPr>
        <w:tc>
          <w:tcPr>
            <w:tcW w:w="1958" w:type="dxa"/>
          </w:tcPr>
          <w:p w:rsidR="00470309" w:rsidRPr="00064747" w:rsidRDefault="00470309" w:rsidP="004A05EF">
            <w:pPr>
              <w:pStyle w:val="naisf"/>
              <w:spacing w:before="0" w:after="0"/>
              <w:ind w:firstLine="0"/>
              <w:jc w:val="left"/>
              <w:rPr>
                <w:i/>
                <w:sz w:val="28"/>
                <w:szCs w:val="28"/>
              </w:rPr>
            </w:pPr>
            <w:r w:rsidRPr="00064747">
              <w:rPr>
                <w:sz w:val="28"/>
                <w:szCs w:val="28"/>
              </w:rPr>
              <w:lastRenderedPageBreak/>
              <w:t>1.2. valsts speciālais budžets</w:t>
            </w:r>
          </w:p>
        </w:tc>
        <w:tc>
          <w:tcPr>
            <w:tcW w:w="1441" w:type="dxa"/>
          </w:tcPr>
          <w:p w:rsidR="00470309" w:rsidRPr="00064747" w:rsidRDefault="00470309" w:rsidP="00FB4FC6">
            <w:pPr>
              <w:pStyle w:val="naisf"/>
              <w:spacing w:before="0" w:after="0"/>
              <w:ind w:firstLine="0"/>
              <w:jc w:val="center"/>
              <w:rPr>
                <w:sz w:val="28"/>
                <w:szCs w:val="28"/>
              </w:rPr>
            </w:pPr>
            <w:r w:rsidRPr="00064747">
              <w:rPr>
                <w:sz w:val="28"/>
                <w:szCs w:val="28"/>
              </w:rPr>
              <w:t>0</w:t>
            </w:r>
          </w:p>
        </w:tc>
        <w:tc>
          <w:tcPr>
            <w:tcW w:w="1701"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c>
          <w:tcPr>
            <w:tcW w:w="1701"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c>
          <w:tcPr>
            <w:tcW w:w="1559"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c>
          <w:tcPr>
            <w:tcW w:w="1418"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r>
      <w:tr w:rsidR="00362D93" w:rsidRPr="00064747" w:rsidTr="003C7C62">
        <w:trPr>
          <w:jc w:val="center"/>
        </w:trPr>
        <w:tc>
          <w:tcPr>
            <w:tcW w:w="1958" w:type="dxa"/>
          </w:tcPr>
          <w:p w:rsidR="00470309" w:rsidRPr="00064747" w:rsidRDefault="00470309" w:rsidP="004A05EF">
            <w:pPr>
              <w:pStyle w:val="naisf"/>
              <w:spacing w:before="0" w:after="0"/>
              <w:ind w:firstLine="0"/>
              <w:jc w:val="left"/>
              <w:rPr>
                <w:i/>
                <w:sz w:val="28"/>
                <w:szCs w:val="28"/>
              </w:rPr>
            </w:pPr>
            <w:r w:rsidRPr="00064747">
              <w:rPr>
                <w:sz w:val="28"/>
                <w:szCs w:val="28"/>
              </w:rPr>
              <w:t>1.3. pašvaldību budžets</w:t>
            </w:r>
          </w:p>
        </w:tc>
        <w:tc>
          <w:tcPr>
            <w:tcW w:w="1441" w:type="dxa"/>
          </w:tcPr>
          <w:p w:rsidR="00470309" w:rsidRPr="00064747" w:rsidRDefault="00470309" w:rsidP="00FB4FC6">
            <w:pPr>
              <w:pStyle w:val="naisf"/>
              <w:spacing w:before="0" w:after="0"/>
              <w:ind w:firstLine="0"/>
              <w:jc w:val="center"/>
              <w:rPr>
                <w:sz w:val="28"/>
                <w:szCs w:val="28"/>
              </w:rPr>
            </w:pPr>
            <w:r w:rsidRPr="00064747">
              <w:rPr>
                <w:sz w:val="28"/>
                <w:szCs w:val="28"/>
              </w:rPr>
              <w:t>0</w:t>
            </w:r>
          </w:p>
        </w:tc>
        <w:tc>
          <w:tcPr>
            <w:tcW w:w="1701"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c>
          <w:tcPr>
            <w:tcW w:w="1701"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c>
          <w:tcPr>
            <w:tcW w:w="1559"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c>
          <w:tcPr>
            <w:tcW w:w="1418"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r>
      <w:tr w:rsidR="00362D93" w:rsidRPr="00064747" w:rsidTr="003C7C62">
        <w:trPr>
          <w:jc w:val="center"/>
        </w:trPr>
        <w:tc>
          <w:tcPr>
            <w:tcW w:w="1958" w:type="dxa"/>
          </w:tcPr>
          <w:p w:rsidR="00470309" w:rsidRPr="00064747" w:rsidRDefault="00470309" w:rsidP="004A05EF">
            <w:pPr>
              <w:rPr>
                <w:sz w:val="28"/>
                <w:szCs w:val="28"/>
              </w:rPr>
            </w:pPr>
            <w:r w:rsidRPr="00064747">
              <w:rPr>
                <w:sz w:val="28"/>
                <w:szCs w:val="28"/>
              </w:rPr>
              <w:t>2. Budžeta izdevumi:</w:t>
            </w:r>
          </w:p>
        </w:tc>
        <w:tc>
          <w:tcPr>
            <w:tcW w:w="1441" w:type="dxa"/>
          </w:tcPr>
          <w:p w:rsidR="00470309" w:rsidRPr="00064747" w:rsidRDefault="00470309" w:rsidP="00FB4FC6">
            <w:pPr>
              <w:pStyle w:val="naisf"/>
              <w:spacing w:before="0" w:after="0"/>
              <w:ind w:firstLine="0"/>
              <w:jc w:val="center"/>
              <w:rPr>
                <w:b/>
                <w:sz w:val="28"/>
                <w:szCs w:val="28"/>
              </w:rPr>
            </w:pPr>
            <w:r w:rsidRPr="00064747">
              <w:rPr>
                <w:b/>
                <w:sz w:val="28"/>
                <w:szCs w:val="28"/>
              </w:rPr>
              <w:t>0</w:t>
            </w:r>
          </w:p>
        </w:tc>
        <w:tc>
          <w:tcPr>
            <w:tcW w:w="1701" w:type="dxa"/>
          </w:tcPr>
          <w:p w:rsidR="00470309" w:rsidRPr="00064747" w:rsidRDefault="00A02BC7" w:rsidP="00D07C38">
            <w:pPr>
              <w:pStyle w:val="naisf"/>
              <w:spacing w:before="0" w:after="0"/>
              <w:ind w:firstLine="0"/>
              <w:jc w:val="center"/>
              <w:rPr>
                <w:b/>
                <w:sz w:val="26"/>
                <w:szCs w:val="26"/>
              </w:rPr>
            </w:pPr>
            <w:r w:rsidRPr="00064747">
              <w:rPr>
                <w:b/>
                <w:sz w:val="26"/>
                <w:szCs w:val="26"/>
              </w:rPr>
              <w:t>8</w:t>
            </w:r>
            <w:r w:rsidR="00D07C38" w:rsidRPr="00064747">
              <w:rPr>
                <w:b/>
                <w:sz w:val="26"/>
                <w:szCs w:val="26"/>
              </w:rPr>
              <w:t> 960 325</w:t>
            </w:r>
          </w:p>
        </w:tc>
        <w:tc>
          <w:tcPr>
            <w:tcW w:w="1701" w:type="dxa"/>
          </w:tcPr>
          <w:p w:rsidR="00470309" w:rsidRPr="00064747" w:rsidRDefault="00470309" w:rsidP="009E5705">
            <w:pPr>
              <w:pStyle w:val="naisf"/>
              <w:spacing w:before="0" w:after="0"/>
              <w:ind w:firstLine="0"/>
              <w:jc w:val="center"/>
              <w:rPr>
                <w:b/>
                <w:sz w:val="28"/>
                <w:szCs w:val="28"/>
              </w:rPr>
            </w:pPr>
            <w:r w:rsidRPr="00064747">
              <w:rPr>
                <w:b/>
                <w:sz w:val="28"/>
                <w:szCs w:val="28"/>
              </w:rPr>
              <w:t>0</w:t>
            </w:r>
          </w:p>
        </w:tc>
        <w:tc>
          <w:tcPr>
            <w:tcW w:w="1559" w:type="dxa"/>
          </w:tcPr>
          <w:p w:rsidR="00470309" w:rsidRPr="00064747" w:rsidRDefault="00470309" w:rsidP="009E5705">
            <w:pPr>
              <w:pStyle w:val="naisf"/>
              <w:spacing w:before="0" w:after="0"/>
              <w:ind w:firstLine="0"/>
              <w:jc w:val="center"/>
              <w:rPr>
                <w:b/>
                <w:sz w:val="28"/>
                <w:szCs w:val="28"/>
              </w:rPr>
            </w:pPr>
            <w:r w:rsidRPr="00064747">
              <w:rPr>
                <w:b/>
                <w:sz w:val="28"/>
                <w:szCs w:val="28"/>
              </w:rPr>
              <w:t>0</w:t>
            </w:r>
          </w:p>
        </w:tc>
        <w:tc>
          <w:tcPr>
            <w:tcW w:w="1418" w:type="dxa"/>
          </w:tcPr>
          <w:p w:rsidR="00470309" w:rsidRPr="00064747" w:rsidRDefault="00470309" w:rsidP="009E5705">
            <w:pPr>
              <w:pStyle w:val="naisf"/>
              <w:spacing w:before="0" w:after="0"/>
              <w:ind w:firstLine="0"/>
              <w:jc w:val="center"/>
              <w:rPr>
                <w:b/>
                <w:sz w:val="28"/>
                <w:szCs w:val="28"/>
              </w:rPr>
            </w:pPr>
            <w:r w:rsidRPr="00064747">
              <w:rPr>
                <w:b/>
                <w:sz w:val="28"/>
                <w:szCs w:val="28"/>
              </w:rPr>
              <w:t>0</w:t>
            </w:r>
          </w:p>
        </w:tc>
      </w:tr>
      <w:tr w:rsidR="00362D93" w:rsidRPr="00064747" w:rsidTr="003C7C62">
        <w:trPr>
          <w:jc w:val="center"/>
        </w:trPr>
        <w:tc>
          <w:tcPr>
            <w:tcW w:w="1958" w:type="dxa"/>
          </w:tcPr>
          <w:p w:rsidR="00470309" w:rsidRPr="00064747" w:rsidRDefault="00470309" w:rsidP="004A05EF">
            <w:pPr>
              <w:rPr>
                <w:sz w:val="28"/>
                <w:szCs w:val="28"/>
              </w:rPr>
            </w:pPr>
            <w:r w:rsidRPr="00064747">
              <w:rPr>
                <w:sz w:val="28"/>
                <w:szCs w:val="28"/>
              </w:rPr>
              <w:t>2.1. valsts pamatbudžets</w:t>
            </w:r>
          </w:p>
        </w:tc>
        <w:tc>
          <w:tcPr>
            <w:tcW w:w="1441" w:type="dxa"/>
          </w:tcPr>
          <w:p w:rsidR="00470309" w:rsidRPr="00064747" w:rsidRDefault="00470309" w:rsidP="00FB4FC6">
            <w:pPr>
              <w:pStyle w:val="naisf"/>
              <w:spacing w:before="0" w:after="0"/>
              <w:ind w:firstLine="0"/>
              <w:jc w:val="center"/>
              <w:rPr>
                <w:sz w:val="28"/>
                <w:szCs w:val="28"/>
              </w:rPr>
            </w:pPr>
            <w:r w:rsidRPr="00064747">
              <w:rPr>
                <w:sz w:val="28"/>
                <w:szCs w:val="28"/>
              </w:rPr>
              <w:t>0</w:t>
            </w:r>
          </w:p>
        </w:tc>
        <w:tc>
          <w:tcPr>
            <w:tcW w:w="1701" w:type="dxa"/>
          </w:tcPr>
          <w:p w:rsidR="00470309" w:rsidRPr="00064747" w:rsidRDefault="00A02BC7" w:rsidP="00D07C38">
            <w:pPr>
              <w:pStyle w:val="naisf"/>
              <w:spacing w:before="0" w:after="0"/>
              <w:ind w:firstLine="0"/>
              <w:jc w:val="center"/>
              <w:rPr>
                <w:sz w:val="26"/>
                <w:szCs w:val="26"/>
              </w:rPr>
            </w:pPr>
            <w:r w:rsidRPr="00064747">
              <w:rPr>
                <w:sz w:val="26"/>
                <w:szCs w:val="26"/>
              </w:rPr>
              <w:t>8</w:t>
            </w:r>
            <w:r w:rsidR="00D07C38" w:rsidRPr="00064747">
              <w:rPr>
                <w:sz w:val="26"/>
                <w:szCs w:val="26"/>
              </w:rPr>
              <w:t> 960 325</w:t>
            </w:r>
          </w:p>
        </w:tc>
        <w:tc>
          <w:tcPr>
            <w:tcW w:w="1701"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c>
          <w:tcPr>
            <w:tcW w:w="1559"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c>
          <w:tcPr>
            <w:tcW w:w="1418"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r>
      <w:tr w:rsidR="00362D93" w:rsidRPr="00064747" w:rsidTr="003C7C62">
        <w:trPr>
          <w:jc w:val="center"/>
        </w:trPr>
        <w:tc>
          <w:tcPr>
            <w:tcW w:w="1958" w:type="dxa"/>
          </w:tcPr>
          <w:p w:rsidR="00367C3B" w:rsidRPr="00064747" w:rsidRDefault="00367C3B" w:rsidP="004A05EF">
            <w:pPr>
              <w:rPr>
                <w:sz w:val="28"/>
                <w:szCs w:val="28"/>
              </w:rPr>
            </w:pPr>
            <w:r w:rsidRPr="00064747">
              <w:rPr>
                <w:sz w:val="28"/>
                <w:szCs w:val="28"/>
              </w:rPr>
              <w:t>2.2. valsts speciālais budžets</w:t>
            </w:r>
          </w:p>
        </w:tc>
        <w:tc>
          <w:tcPr>
            <w:tcW w:w="1441" w:type="dxa"/>
          </w:tcPr>
          <w:p w:rsidR="00367C3B" w:rsidRPr="00064747" w:rsidRDefault="009E5705" w:rsidP="009E5705">
            <w:pPr>
              <w:pStyle w:val="naisf"/>
              <w:spacing w:before="0" w:after="0"/>
              <w:ind w:firstLine="0"/>
              <w:jc w:val="center"/>
              <w:rPr>
                <w:sz w:val="28"/>
                <w:szCs w:val="28"/>
              </w:rPr>
            </w:pPr>
            <w:r w:rsidRPr="00064747">
              <w:rPr>
                <w:sz w:val="28"/>
                <w:szCs w:val="28"/>
              </w:rPr>
              <w:t>0</w:t>
            </w:r>
          </w:p>
        </w:tc>
        <w:tc>
          <w:tcPr>
            <w:tcW w:w="1701" w:type="dxa"/>
          </w:tcPr>
          <w:p w:rsidR="00367C3B" w:rsidRPr="00064747" w:rsidRDefault="009E5705" w:rsidP="009E5705">
            <w:pPr>
              <w:pStyle w:val="naisf"/>
              <w:spacing w:before="0" w:after="0"/>
              <w:ind w:firstLine="0"/>
              <w:jc w:val="center"/>
              <w:rPr>
                <w:sz w:val="28"/>
                <w:szCs w:val="28"/>
              </w:rPr>
            </w:pPr>
            <w:r w:rsidRPr="00064747">
              <w:rPr>
                <w:sz w:val="28"/>
                <w:szCs w:val="28"/>
              </w:rPr>
              <w:t>0</w:t>
            </w:r>
          </w:p>
        </w:tc>
        <w:tc>
          <w:tcPr>
            <w:tcW w:w="1701" w:type="dxa"/>
          </w:tcPr>
          <w:p w:rsidR="00367C3B" w:rsidRPr="00064747" w:rsidRDefault="009E5705" w:rsidP="009E5705">
            <w:pPr>
              <w:pStyle w:val="naisf"/>
              <w:spacing w:before="0" w:after="0"/>
              <w:ind w:firstLine="0"/>
              <w:jc w:val="center"/>
              <w:rPr>
                <w:sz w:val="28"/>
                <w:szCs w:val="28"/>
              </w:rPr>
            </w:pPr>
            <w:r w:rsidRPr="00064747">
              <w:rPr>
                <w:sz w:val="28"/>
                <w:szCs w:val="28"/>
              </w:rPr>
              <w:t>0</w:t>
            </w:r>
          </w:p>
        </w:tc>
        <w:tc>
          <w:tcPr>
            <w:tcW w:w="1559" w:type="dxa"/>
          </w:tcPr>
          <w:p w:rsidR="00367C3B" w:rsidRPr="00064747" w:rsidRDefault="009E5705" w:rsidP="009E5705">
            <w:pPr>
              <w:pStyle w:val="naisf"/>
              <w:spacing w:before="0" w:after="0"/>
              <w:ind w:firstLine="0"/>
              <w:jc w:val="center"/>
              <w:rPr>
                <w:sz w:val="28"/>
                <w:szCs w:val="28"/>
              </w:rPr>
            </w:pPr>
            <w:r w:rsidRPr="00064747">
              <w:rPr>
                <w:sz w:val="28"/>
                <w:szCs w:val="28"/>
              </w:rPr>
              <w:t>0</w:t>
            </w:r>
          </w:p>
        </w:tc>
        <w:tc>
          <w:tcPr>
            <w:tcW w:w="1418" w:type="dxa"/>
          </w:tcPr>
          <w:p w:rsidR="00367C3B" w:rsidRPr="00064747" w:rsidRDefault="009E5705" w:rsidP="009E5705">
            <w:pPr>
              <w:pStyle w:val="naisf"/>
              <w:spacing w:before="0" w:after="0"/>
              <w:ind w:firstLine="0"/>
              <w:jc w:val="center"/>
              <w:rPr>
                <w:sz w:val="28"/>
                <w:szCs w:val="28"/>
              </w:rPr>
            </w:pPr>
            <w:r w:rsidRPr="00064747">
              <w:rPr>
                <w:sz w:val="28"/>
                <w:szCs w:val="28"/>
              </w:rPr>
              <w:t>0</w:t>
            </w:r>
          </w:p>
        </w:tc>
      </w:tr>
      <w:tr w:rsidR="00362D93" w:rsidRPr="00064747" w:rsidTr="003C7C62">
        <w:trPr>
          <w:jc w:val="center"/>
        </w:trPr>
        <w:tc>
          <w:tcPr>
            <w:tcW w:w="1958" w:type="dxa"/>
          </w:tcPr>
          <w:p w:rsidR="00367C3B" w:rsidRPr="00064747" w:rsidRDefault="00367C3B" w:rsidP="004A05EF">
            <w:pPr>
              <w:rPr>
                <w:sz w:val="28"/>
                <w:szCs w:val="28"/>
              </w:rPr>
            </w:pPr>
            <w:r w:rsidRPr="00064747">
              <w:rPr>
                <w:sz w:val="28"/>
                <w:szCs w:val="28"/>
              </w:rPr>
              <w:t xml:space="preserve">2.3. pašvaldību budžets </w:t>
            </w:r>
          </w:p>
        </w:tc>
        <w:tc>
          <w:tcPr>
            <w:tcW w:w="1441" w:type="dxa"/>
          </w:tcPr>
          <w:p w:rsidR="00367C3B" w:rsidRPr="00064747" w:rsidRDefault="009E5705" w:rsidP="009E5705">
            <w:pPr>
              <w:pStyle w:val="naisf"/>
              <w:spacing w:before="0" w:after="0"/>
              <w:ind w:firstLine="0"/>
              <w:jc w:val="center"/>
              <w:rPr>
                <w:sz w:val="28"/>
                <w:szCs w:val="28"/>
              </w:rPr>
            </w:pPr>
            <w:r w:rsidRPr="00064747">
              <w:rPr>
                <w:sz w:val="28"/>
                <w:szCs w:val="28"/>
              </w:rPr>
              <w:t>0</w:t>
            </w:r>
          </w:p>
        </w:tc>
        <w:tc>
          <w:tcPr>
            <w:tcW w:w="1701" w:type="dxa"/>
          </w:tcPr>
          <w:p w:rsidR="00367C3B" w:rsidRPr="00064747" w:rsidRDefault="009E5705" w:rsidP="009E5705">
            <w:pPr>
              <w:pStyle w:val="naisf"/>
              <w:spacing w:before="0" w:after="0"/>
              <w:ind w:firstLine="0"/>
              <w:jc w:val="center"/>
              <w:rPr>
                <w:sz w:val="28"/>
                <w:szCs w:val="28"/>
              </w:rPr>
            </w:pPr>
            <w:r w:rsidRPr="00064747">
              <w:rPr>
                <w:sz w:val="28"/>
                <w:szCs w:val="28"/>
              </w:rPr>
              <w:t>0</w:t>
            </w:r>
          </w:p>
        </w:tc>
        <w:tc>
          <w:tcPr>
            <w:tcW w:w="1701" w:type="dxa"/>
          </w:tcPr>
          <w:p w:rsidR="00367C3B" w:rsidRPr="00064747" w:rsidRDefault="009E5705" w:rsidP="009E5705">
            <w:pPr>
              <w:pStyle w:val="naisf"/>
              <w:spacing w:before="0" w:after="0"/>
              <w:ind w:firstLine="0"/>
              <w:jc w:val="center"/>
              <w:rPr>
                <w:sz w:val="28"/>
                <w:szCs w:val="28"/>
              </w:rPr>
            </w:pPr>
            <w:r w:rsidRPr="00064747">
              <w:rPr>
                <w:sz w:val="28"/>
                <w:szCs w:val="28"/>
              </w:rPr>
              <w:t>0</w:t>
            </w:r>
          </w:p>
        </w:tc>
        <w:tc>
          <w:tcPr>
            <w:tcW w:w="1559" w:type="dxa"/>
          </w:tcPr>
          <w:p w:rsidR="00367C3B" w:rsidRPr="00064747" w:rsidRDefault="009E5705" w:rsidP="009E5705">
            <w:pPr>
              <w:pStyle w:val="naisf"/>
              <w:spacing w:before="0" w:after="0"/>
              <w:ind w:firstLine="0"/>
              <w:jc w:val="center"/>
              <w:rPr>
                <w:sz w:val="28"/>
                <w:szCs w:val="28"/>
              </w:rPr>
            </w:pPr>
            <w:r w:rsidRPr="00064747">
              <w:rPr>
                <w:sz w:val="28"/>
                <w:szCs w:val="28"/>
              </w:rPr>
              <w:t>0</w:t>
            </w:r>
          </w:p>
        </w:tc>
        <w:tc>
          <w:tcPr>
            <w:tcW w:w="1418" w:type="dxa"/>
          </w:tcPr>
          <w:p w:rsidR="00367C3B" w:rsidRPr="00064747" w:rsidRDefault="009E5705" w:rsidP="009E5705">
            <w:pPr>
              <w:pStyle w:val="naisf"/>
              <w:spacing w:before="0" w:after="0"/>
              <w:ind w:firstLine="0"/>
              <w:jc w:val="center"/>
              <w:rPr>
                <w:sz w:val="28"/>
                <w:szCs w:val="28"/>
              </w:rPr>
            </w:pPr>
            <w:r w:rsidRPr="00064747">
              <w:rPr>
                <w:sz w:val="28"/>
                <w:szCs w:val="28"/>
              </w:rPr>
              <w:t>0</w:t>
            </w:r>
          </w:p>
        </w:tc>
      </w:tr>
      <w:tr w:rsidR="00362D93" w:rsidRPr="00064747" w:rsidTr="003C7C62">
        <w:trPr>
          <w:jc w:val="center"/>
        </w:trPr>
        <w:tc>
          <w:tcPr>
            <w:tcW w:w="1958" w:type="dxa"/>
          </w:tcPr>
          <w:p w:rsidR="00470309" w:rsidRPr="00064747" w:rsidRDefault="00470309" w:rsidP="004A05EF">
            <w:pPr>
              <w:rPr>
                <w:sz w:val="28"/>
                <w:szCs w:val="28"/>
              </w:rPr>
            </w:pPr>
            <w:r w:rsidRPr="00064747">
              <w:rPr>
                <w:sz w:val="28"/>
                <w:szCs w:val="28"/>
              </w:rPr>
              <w:t>3. Finansiālā ietekme:</w:t>
            </w:r>
          </w:p>
        </w:tc>
        <w:tc>
          <w:tcPr>
            <w:tcW w:w="1441" w:type="dxa"/>
            <w:shd w:val="clear" w:color="auto" w:fill="auto"/>
          </w:tcPr>
          <w:p w:rsidR="00470309" w:rsidRPr="00064747" w:rsidRDefault="00470309" w:rsidP="009E5705">
            <w:pPr>
              <w:pStyle w:val="naisf"/>
              <w:spacing w:before="0" w:after="0"/>
              <w:ind w:firstLine="0"/>
              <w:jc w:val="center"/>
              <w:rPr>
                <w:b/>
                <w:sz w:val="28"/>
                <w:szCs w:val="28"/>
              </w:rPr>
            </w:pPr>
            <w:r w:rsidRPr="00064747">
              <w:rPr>
                <w:b/>
                <w:sz w:val="28"/>
                <w:szCs w:val="28"/>
              </w:rPr>
              <w:t>0</w:t>
            </w:r>
          </w:p>
        </w:tc>
        <w:tc>
          <w:tcPr>
            <w:tcW w:w="1701" w:type="dxa"/>
          </w:tcPr>
          <w:p w:rsidR="00470309" w:rsidRPr="00064747" w:rsidRDefault="00CE63FF" w:rsidP="00D07C38">
            <w:pPr>
              <w:pStyle w:val="naisf"/>
              <w:spacing w:before="0" w:after="0"/>
              <w:ind w:firstLine="0"/>
              <w:jc w:val="center"/>
              <w:rPr>
                <w:b/>
                <w:sz w:val="26"/>
                <w:szCs w:val="26"/>
              </w:rPr>
            </w:pPr>
            <w:r w:rsidRPr="00064747">
              <w:rPr>
                <w:b/>
                <w:sz w:val="26"/>
                <w:szCs w:val="26"/>
              </w:rPr>
              <w:t>-</w:t>
            </w:r>
            <w:r w:rsidR="00A02BC7" w:rsidRPr="00064747">
              <w:rPr>
                <w:b/>
                <w:sz w:val="26"/>
                <w:szCs w:val="26"/>
              </w:rPr>
              <w:t>8</w:t>
            </w:r>
            <w:r w:rsidR="00D07C38" w:rsidRPr="00064747">
              <w:rPr>
                <w:b/>
                <w:sz w:val="26"/>
                <w:szCs w:val="26"/>
              </w:rPr>
              <w:t> 960 325</w:t>
            </w:r>
          </w:p>
        </w:tc>
        <w:tc>
          <w:tcPr>
            <w:tcW w:w="1701" w:type="dxa"/>
          </w:tcPr>
          <w:p w:rsidR="00470309" w:rsidRPr="00064747" w:rsidRDefault="00470309" w:rsidP="009E5705">
            <w:pPr>
              <w:pStyle w:val="naisf"/>
              <w:spacing w:before="0" w:after="0"/>
              <w:ind w:firstLine="0"/>
              <w:jc w:val="center"/>
              <w:rPr>
                <w:b/>
                <w:sz w:val="28"/>
                <w:szCs w:val="28"/>
              </w:rPr>
            </w:pPr>
            <w:r w:rsidRPr="00064747">
              <w:rPr>
                <w:b/>
                <w:sz w:val="28"/>
                <w:szCs w:val="28"/>
              </w:rPr>
              <w:t>0</w:t>
            </w:r>
          </w:p>
        </w:tc>
        <w:tc>
          <w:tcPr>
            <w:tcW w:w="1559" w:type="dxa"/>
          </w:tcPr>
          <w:p w:rsidR="00470309" w:rsidRPr="00064747" w:rsidRDefault="00470309" w:rsidP="009E5705">
            <w:pPr>
              <w:pStyle w:val="naisf"/>
              <w:spacing w:before="0" w:after="0"/>
              <w:ind w:firstLine="0"/>
              <w:jc w:val="center"/>
              <w:rPr>
                <w:b/>
                <w:sz w:val="28"/>
                <w:szCs w:val="28"/>
              </w:rPr>
            </w:pPr>
            <w:r w:rsidRPr="00064747">
              <w:rPr>
                <w:b/>
                <w:sz w:val="28"/>
                <w:szCs w:val="28"/>
              </w:rPr>
              <w:t>0</w:t>
            </w:r>
          </w:p>
        </w:tc>
        <w:tc>
          <w:tcPr>
            <w:tcW w:w="1418" w:type="dxa"/>
          </w:tcPr>
          <w:p w:rsidR="00470309" w:rsidRPr="00064747" w:rsidRDefault="00470309" w:rsidP="009E5705">
            <w:pPr>
              <w:pStyle w:val="naisf"/>
              <w:spacing w:before="0" w:after="0"/>
              <w:ind w:firstLine="0"/>
              <w:jc w:val="center"/>
              <w:rPr>
                <w:b/>
                <w:sz w:val="28"/>
                <w:szCs w:val="28"/>
              </w:rPr>
            </w:pPr>
            <w:r w:rsidRPr="00064747">
              <w:rPr>
                <w:b/>
                <w:sz w:val="28"/>
                <w:szCs w:val="28"/>
              </w:rPr>
              <w:t>0</w:t>
            </w:r>
          </w:p>
        </w:tc>
      </w:tr>
      <w:tr w:rsidR="00362D93" w:rsidRPr="00064747" w:rsidTr="003C7C62">
        <w:trPr>
          <w:jc w:val="center"/>
        </w:trPr>
        <w:tc>
          <w:tcPr>
            <w:tcW w:w="1958" w:type="dxa"/>
          </w:tcPr>
          <w:p w:rsidR="00470309" w:rsidRPr="00064747" w:rsidRDefault="00470309" w:rsidP="004A05EF">
            <w:pPr>
              <w:rPr>
                <w:sz w:val="28"/>
                <w:szCs w:val="28"/>
              </w:rPr>
            </w:pPr>
            <w:r w:rsidRPr="00064747">
              <w:rPr>
                <w:sz w:val="28"/>
                <w:szCs w:val="28"/>
              </w:rPr>
              <w:t>3.1. valsts pamatbudžets</w:t>
            </w:r>
          </w:p>
        </w:tc>
        <w:tc>
          <w:tcPr>
            <w:tcW w:w="1441" w:type="dxa"/>
            <w:shd w:val="clear" w:color="auto" w:fill="auto"/>
          </w:tcPr>
          <w:p w:rsidR="00470309" w:rsidRPr="00064747" w:rsidRDefault="00470309" w:rsidP="009E5705">
            <w:pPr>
              <w:pStyle w:val="naisf"/>
              <w:spacing w:before="0" w:after="0"/>
              <w:ind w:firstLine="0"/>
              <w:jc w:val="center"/>
              <w:rPr>
                <w:sz w:val="28"/>
                <w:szCs w:val="28"/>
              </w:rPr>
            </w:pPr>
            <w:r w:rsidRPr="00064747">
              <w:rPr>
                <w:sz w:val="28"/>
                <w:szCs w:val="28"/>
              </w:rPr>
              <w:t>0</w:t>
            </w:r>
          </w:p>
        </w:tc>
        <w:tc>
          <w:tcPr>
            <w:tcW w:w="1701" w:type="dxa"/>
          </w:tcPr>
          <w:p w:rsidR="00470309" w:rsidRPr="00064747" w:rsidRDefault="00CE63FF" w:rsidP="00D07C38">
            <w:pPr>
              <w:pStyle w:val="naisf"/>
              <w:spacing w:before="0" w:after="0"/>
              <w:ind w:firstLine="0"/>
              <w:jc w:val="center"/>
              <w:rPr>
                <w:sz w:val="26"/>
                <w:szCs w:val="26"/>
              </w:rPr>
            </w:pPr>
            <w:r w:rsidRPr="00064747">
              <w:rPr>
                <w:sz w:val="26"/>
                <w:szCs w:val="26"/>
              </w:rPr>
              <w:t>-</w:t>
            </w:r>
            <w:r w:rsidR="00A02BC7" w:rsidRPr="00064747">
              <w:rPr>
                <w:sz w:val="26"/>
                <w:szCs w:val="26"/>
              </w:rPr>
              <w:t>8</w:t>
            </w:r>
            <w:r w:rsidR="00D07C38" w:rsidRPr="00064747">
              <w:rPr>
                <w:sz w:val="26"/>
                <w:szCs w:val="26"/>
              </w:rPr>
              <w:t> 960 325</w:t>
            </w:r>
          </w:p>
        </w:tc>
        <w:tc>
          <w:tcPr>
            <w:tcW w:w="1701"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c>
          <w:tcPr>
            <w:tcW w:w="1559"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c>
          <w:tcPr>
            <w:tcW w:w="1418"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r>
      <w:tr w:rsidR="00362D93" w:rsidRPr="00064747" w:rsidTr="003C7C62">
        <w:trPr>
          <w:jc w:val="center"/>
        </w:trPr>
        <w:tc>
          <w:tcPr>
            <w:tcW w:w="1958" w:type="dxa"/>
          </w:tcPr>
          <w:p w:rsidR="00470309" w:rsidRPr="00064747" w:rsidRDefault="00470309" w:rsidP="004A05EF">
            <w:pPr>
              <w:rPr>
                <w:sz w:val="28"/>
                <w:szCs w:val="28"/>
              </w:rPr>
            </w:pPr>
            <w:r w:rsidRPr="00064747">
              <w:rPr>
                <w:sz w:val="28"/>
                <w:szCs w:val="28"/>
              </w:rPr>
              <w:t>3.2. speciālais budžets</w:t>
            </w:r>
          </w:p>
        </w:tc>
        <w:tc>
          <w:tcPr>
            <w:tcW w:w="1441" w:type="dxa"/>
            <w:shd w:val="clear" w:color="auto" w:fill="auto"/>
          </w:tcPr>
          <w:p w:rsidR="00470309" w:rsidRPr="00064747" w:rsidRDefault="00470309" w:rsidP="009E5705">
            <w:pPr>
              <w:pStyle w:val="naisf"/>
              <w:spacing w:before="0" w:after="0"/>
              <w:ind w:firstLine="0"/>
              <w:jc w:val="center"/>
              <w:rPr>
                <w:sz w:val="28"/>
                <w:szCs w:val="28"/>
              </w:rPr>
            </w:pPr>
            <w:r w:rsidRPr="00064747">
              <w:rPr>
                <w:sz w:val="28"/>
                <w:szCs w:val="28"/>
              </w:rPr>
              <w:t>0</w:t>
            </w:r>
          </w:p>
        </w:tc>
        <w:tc>
          <w:tcPr>
            <w:tcW w:w="1701" w:type="dxa"/>
          </w:tcPr>
          <w:p w:rsidR="00470309" w:rsidRPr="00064747" w:rsidRDefault="00470309" w:rsidP="00FB4FC6">
            <w:pPr>
              <w:pStyle w:val="naisf"/>
              <w:spacing w:before="0" w:after="0"/>
              <w:ind w:firstLine="0"/>
              <w:jc w:val="center"/>
              <w:rPr>
                <w:sz w:val="28"/>
                <w:szCs w:val="28"/>
              </w:rPr>
            </w:pPr>
            <w:r w:rsidRPr="00064747">
              <w:rPr>
                <w:sz w:val="28"/>
                <w:szCs w:val="28"/>
              </w:rPr>
              <w:t>0</w:t>
            </w:r>
          </w:p>
        </w:tc>
        <w:tc>
          <w:tcPr>
            <w:tcW w:w="1701"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c>
          <w:tcPr>
            <w:tcW w:w="1559"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c>
          <w:tcPr>
            <w:tcW w:w="1418"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r>
      <w:tr w:rsidR="00362D93" w:rsidRPr="00064747" w:rsidTr="003C7C62">
        <w:trPr>
          <w:jc w:val="center"/>
        </w:trPr>
        <w:tc>
          <w:tcPr>
            <w:tcW w:w="1958" w:type="dxa"/>
          </w:tcPr>
          <w:p w:rsidR="00470309" w:rsidRPr="00064747" w:rsidRDefault="00470309" w:rsidP="004A05EF">
            <w:pPr>
              <w:rPr>
                <w:sz w:val="28"/>
                <w:szCs w:val="28"/>
              </w:rPr>
            </w:pPr>
            <w:r w:rsidRPr="00064747">
              <w:rPr>
                <w:sz w:val="28"/>
                <w:szCs w:val="28"/>
              </w:rPr>
              <w:t xml:space="preserve">3.3. pašvaldību budžets </w:t>
            </w:r>
          </w:p>
        </w:tc>
        <w:tc>
          <w:tcPr>
            <w:tcW w:w="1441" w:type="dxa"/>
            <w:shd w:val="clear" w:color="auto" w:fill="auto"/>
          </w:tcPr>
          <w:p w:rsidR="00470309" w:rsidRPr="00064747" w:rsidRDefault="00470309" w:rsidP="009E5705">
            <w:pPr>
              <w:pStyle w:val="naisf"/>
              <w:spacing w:before="0" w:after="0"/>
              <w:ind w:firstLine="0"/>
              <w:jc w:val="center"/>
              <w:rPr>
                <w:sz w:val="28"/>
                <w:szCs w:val="28"/>
              </w:rPr>
            </w:pPr>
            <w:r w:rsidRPr="00064747">
              <w:rPr>
                <w:sz w:val="28"/>
                <w:szCs w:val="28"/>
              </w:rPr>
              <w:t>0</w:t>
            </w:r>
          </w:p>
        </w:tc>
        <w:tc>
          <w:tcPr>
            <w:tcW w:w="1701" w:type="dxa"/>
          </w:tcPr>
          <w:p w:rsidR="00470309" w:rsidRPr="00064747" w:rsidRDefault="00470309" w:rsidP="00FB4FC6">
            <w:pPr>
              <w:pStyle w:val="naisf"/>
              <w:spacing w:before="0" w:after="0"/>
              <w:ind w:firstLine="0"/>
              <w:jc w:val="center"/>
              <w:rPr>
                <w:sz w:val="28"/>
                <w:szCs w:val="28"/>
              </w:rPr>
            </w:pPr>
            <w:r w:rsidRPr="00064747">
              <w:rPr>
                <w:sz w:val="28"/>
                <w:szCs w:val="28"/>
              </w:rPr>
              <w:t>0</w:t>
            </w:r>
          </w:p>
        </w:tc>
        <w:tc>
          <w:tcPr>
            <w:tcW w:w="1701"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c>
          <w:tcPr>
            <w:tcW w:w="1559"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c>
          <w:tcPr>
            <w:tcW w:w="1418"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r>
      <w:tr w:rsidR="00362D93" w:rsidRPr="00064747" w:rsidTr="003C7C62">
        <w:trPr>
          <w:jc w:val="center"/>
        </w:trPr>
        <w:tc>
          <w:tcPr>
            <w:tcW w:w="1958" w:type="dxa"/>
          </w:tcPr>
          <w:p w:rsidR="00470309" w:rsidRPr="00064747" w:rsidRDefault="00470309" w:rsidP="004A05EF">
            <w:pPr>
              <w:rPr>
                <w:sz w:val="28"/>
                <w:szCs w:val="28"/>
              </w:rPr>
            </w:pPr>
            <w:r w:rsidRPr="00064747">
              <w:rPr>
                <w:sz w:val="28"/>
                <w:szCs w:val="28"/>
              </w:rPr>
              <w:t>4. Finanšu līdzekļi papildu izde</w:t>
            </w:r>
            <w:r w:rsidRPr="00064747">
              <w:rPr>
                <w:sz w:val="28"/>
                <w:szCs w:val="28"/>
              </w:rPr>
              <w:softHyphen/>
              <w:t>vumu finansēšanai (kompensējošu izdevumu samazinājumu norāda ar "+" zīmi)</w:t>
            </w:r>
          </w:p>
        </w:tc>
        <w:tc>
          <w:tcPr>
            <w:tcW w:w="1441" w:type="dxa"/>
          </w:tcPr>
          <w:p w:rsidR="00470309" w:rsidRPr="00064747" w:rsidRDefault="00470309" w:rsidP="00A20419">
            <w:pPr>
              <w:pStyle w:val="naisf"/>
              <w:spacing w:before="0" w:after="0"/>
              <w:ind w:firstLine="0"/>
              <w:jc w:val="center"/>
              <w:rPr>
                <w:i/>
                <w:sz w:val="28"/>
                <w:szCs w:val="28"/>
              </w:rPr>
            </w:pPr>
            <w:r w:rsidRPr="00064747">
              <w:rPr>
                <w:sz w:val="28"/>
                <w:szCs w:val="28"/>
              </w:rPr>
              <w:t>X</w:t>
            </w:r>
          </w:p>
        </w:tc>
        <w:tc>
          <w:tcPr>
            <w:tcW w:w="1701" w:type="dxa"/>
          </w:tcPr>
          <w:p w:rsidR="00470309" w:rsidRPr="00064747" w:rsidRDefault="00A02BC7" w:rsidP="00D07C38">
            <w:pPr>
              <w:pStyle w:val="naisf"/>
              <w:spacing w:before="0" w:after="0"/>
              <w:ind w:firstLine="0"/>
              <w:jc w:val="center"/>
              <w:rPr>
                <w:i/>
                <w:sz w:val="26"/>
                <w:szCs w:val="26"/>
              </w:rPr>
            </w:pPr>
            <w:r w:rsidRPr="00064747">
              <w:rPr>
                <w:sz w:val="26"/>
                <w:szCs w:val="26"/>
              </w:rPr>
              <w:t>8</w:t>
            </w:r>
            <w:r w:rsidR="008D3310" w:rsidRPr="00064747">
              <w:rPr>
                <w:sz w:val="26"/>
                <w:szCs w:val="26"/>
              </w:rPr>
              <w:t> </w:t>
            </w:r>
            <w:r w:rsidR="00D07C38" w:rsidRPr="00064747">
              <w:rPr>
                <w:sz w:val="26"/>
                <w:szCs w:val="26"/>
              </w:rPr>
              <w:t>960 325</w:t>
            </w:r>
          </w:p>
        </w:tc>
        <w:tc>
          <w:tcPr>
            <w:tcW w:w="1701"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c>
          <w:tcPr>
            <w:tcW w:w="1559"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c>
          <w:tcPr>
            <w:tcW w:w="1418" w:type="dxa"/>
          </w:tcPr>
          <w:p w:rsidR="00470309" w:rsidRPr="00064747" w:rsidRDefault="00470309" w:rsidP="009E5705">
            <w:pPr>
              <w:pStyle w:val="naisf"/>
              <w:spacing w:before="0" w:after="0"/>
              <w:ind w:firstLine="0"/>
              <w:jc w:val="center"/>
              <w:rPr>
                <w:sz w:val="28"/>
                <w:szCs w:val="28"/>
              </w:rPr>
            </w:pPr>
            <w:r w:rsidRPr="00064747">
              <w:rPr>
                <w:sz w:val="28"/>
                <w:szCs w:val="28"/>
              </w:rPr>
              <w:t>0</w:t>
            </w:r>
          </w:p>
        </w:tc>
      </w:tr>
      <w:tr w:rsidR="00362D93" w:rsidRPr="00064747" w:rsidTr="003C7C62">
        <w:trPr>
          <w:jc w:val="center"/>
        </w:trPr>
        <w:tc>
          <w:tcPr>
            <w:tcW w:w="1958" w:type="dxa"/>
          </w:tcPr>
          <w:p w:rsidR="00367C3B" w:rsidRPr="00064747" w:rsidRDefault="00367C3B" w:rsidP="004A05EF">
            <w:pPr>
              <w:rPr>
                <w:sz w:val="28"/>
                <w:szCs w:val="28"/>
              </w:rPr>
            </w:pPr>
            <w:r w:rsidRPr="00064747">
              <w:rPr>
                <w:sz w:val="28"/>
                <w:szCs w:val="28"/>
              </w:rPr>
              <w:t xml:space="preserve">5. Precizēta finansiālā </w:t>
            </w:r>
            <w:r w:rsidRPr="00064747">
              <w:rPr>
                <w:sz w:val="28"/>
                <w:szCs w:val="28"/>
              </w:rPr>
              <w:lastRenderedPageBreak/>
              <w:t>ietekme:</w:t>
            </w:r>
          </w:p>
        </w:tc>
        <w:tc>
          <w:tcPr>
            <w:tcW w:w="1441" w:type="dxa"/>
            <w:vMerge w:val="restart"/>
          </w:tcPr>
          <w:p w:rsidR="00367C3B" w:rsidRPr="00064747" w:rsidRDefault="00367C3B" w:rsidP="00A20419">
            <w:pPr>
              <w:pStyle w:val="naisf"/>
              <w:spacing w:before="0" w:after="0"/>
              <w:ind w:firstLine="0"/>
              <w:jc w:val="center"/>
              <w:rPr>
                <w:i/>
                <w:sz w:val="28"/>
                <w:szCs w:val="28"/>
              </w:rPr>
            </w:pPr>
            <w:r w:rsidRPr="00064747">
              <w:rPr>
                <w:sz w:val="28"/>
                <w:szCs w:val="28"/>
              </w:rPr>
              <w:lastRenderedPageBreak/>
              <w:t>X</w:t>
            </w:r>
          </w:p>
        </w:tc>
        <w:tc>
          <w:tcPr>
            <w:tcW w:w="1701" w:type="dxa"/>
          </w:tcPr>
          <w:p w:rsidR="00367C3B" w:rsidRPr="00064747" w:rsidRDefault="00367C3B" w:rsidP="009E5705">
            <w:pPr>
              <w:pStyle w:val="naisf"/>
              <w:spacing w:before="0" w:after="0"/>
              <w:ind w:firstLine="0"/>
              <w:jc w:val="center"/>
              <w:rPr>
                <w:sz w:val="28"/>
                <w:szCs w:val="28"/>
              </w:rPr>
            </w:pPr>
            <w:r w:rsidRPr="00064747">
              <w:rPr>
                <w:sz w:val="28"/>
                <w:szCs w:val="28"/>
              </w:rPr>
              <w:t>0</w:t>
            </w:r>
          </w:p>
        </w:tc>
        <w:tc>
          <w:tcPr>
            <w:tcW w:w="1701" w:type="dxa"/>
          </w:tcPr>
          <w:p w:rsidR="00367C3B" w:rsidRPr="00064747" w:rsidRDefault="00367C3B" w:rsidP="009E5705">
            <w:pPr>
              <w:pStyle w:val="naisf"/>
              <w:spacing w:before="0" w:after="0"/>
              <w:ind w:firstLine="0"/>
              <w:jc w:val="center"/>
              <w:rPr>
                <w:sz w:val="28"/>
                <w:szCs w:val="28"/>
              </w:rPr>
            </w:pPr>
            <w:r w:rsidRPr="00064747">
              <w:rPr>
                <w:sz w:val="28"/>
                <w:szCs w:val="28"/>
              </w:rPr>
              <w:t>0</w:t>
            </w:r>
          </w:p>
        </w:tc>
        <w:tc>
          <w:tcPr>
            <w:tcW w:w="1559" w:type="dxa"/>
          </w:tcPr>
          <w:p w:rsidR="00367C3B" w:rsidRPr="00064747" w:rsidRDefault="00367C3B" w:rsidP="009E5705">
            <w:pPr>
              <w:pStyle w:val="naisf"/>
              <w:spacing w:before="0" w:after="0"/>
              <w:ind w:firstLine="0"/>
              <w:jc w:val="center"/>
              <w:rPr>
                <w:sz w:val="28"/>
                <w:szCs w:val="28"/>
              </w:rPr>
            </w:pPr>
            <w:r w:rsidRPr="00064747">
              <w:rPr>
                <w:sz w:val="28"/>
                <w:szCs w:val="28"/>
              </w:rPr>
              <w:t>0</w:t>
            </w:r>
          </w:p>
        </w:tc>
        <w:tc>
          <w:tcPr>
            <w:tcW w:w="1418" w:type="dxa"/>
          </w:tcPr>
          <w:p w:rsidR="00367C3B" w:rsidRPr="00064747" w:rsidRDefault="00367C3B" w:rsidP="009E5705">
            <w:pPr>
              <w:pStyle w:val="naisf"/>
              <w:spacing w:before="0" w:after="0"/>
              <w:ind w:firstLine="0"/>
              <w:jc w:val="center"/>
              <w:rPr>
                <w:sz w:val="28"/>
                <w:szCs w:val="28"/>
              </w:rPr>
            </w:pPr>
            <w:r w:rsidRPr="00064747">
              <w:rPr>
                <w:sz w:val="28"/>
                <w:szCs w:val="28"/>
              </w:rPr>
              <w:t>0</w:t>
            </w:r>
          </w:p>
        </w:tc>
      </w:tr>
      <w:tr w:rsidR="00362D93" w:rsidRPr="00064747" w:rsidTr="003C7C62">
        <w:trPr>
          <w:jc w:val="center"/>
        </w:trPr>
        <w:tc>
          <w:tcPr>
            <w:tcW w:w="1958" w:type="dxa"/>
          </w:tcPr>
          <w:p w:rsidR="00367C3B" w:rsidRPr="00064747" w:rsidRDefault="00367C3B" w:rsidP="004A05EF">
            <w:pPr>
              <w:rPr>
                <w:sz w:val="28"/>
                <w:szCs w:val="28"/>
              </w:rPr>
            </w:pPr>
            <w:r w:rsidRPr="00064747">
              <w:rPr>
                <w:sz w:val="28"/>
                <w:szCs w:val="28"/>
              </w:rPr>
              <w:lastRenderedPageBreak/>
              <w:t>5.1. valsts pamatbudžets</w:t>
            </w:r>
          </w:p>
        </w:tc>
        <w:tc>
          <w:tcPr>
            <w:tcW w:w="1441" w:type="dxa"/>
            <w:vMerge/>
            <w:vAlign w:val="center"/>
          </w:tcPr>
          <w:p w:rsidR="00367C3B" w:rsidRPr="00064747" w:rsidRDefault="00367C3B" w:rsidP="00A20419">
            <w:pPr>
              <w:pStyle w:val="naisf"/>
              <w:spacing w:before="0" w:after="0"/>
              <w:ind w:firstLine="0"/>
              <w:jc w:val="center"/>
              <w:rPr>
                <w:i/>
                <w:sz w:val="28"/>
                <w:szCs w:val="28"/>
              </w:rPr>
            </w:pPr>
          </w:p>
        </w:tc>
        <w:tc>
          <w:tcPr>
            <w:tcW w:w="1701" w:type="dxa"/>
          </w:tcPr>
          <w:p w:rsidR="00367C3B" w:rsidRPr="00064747" w:rsidRDefault="00367C3B" w:rsidP="009E5705">
            <w:pPr>
              <w:pStyle w:val="naisf"/>
              <w:spacing w:before="0" w:after="0"/>
              <w:ind w:firstLine="0"/>
              <w:jc w:val="center"/>
              <w:rPr>
                <w:sz w:val="28"/>
                <w:szCs w:val="28"/>
              </w:rPr>
            </w:pPr>
            <w:r w:rsidRPr="00064747">
              <w:rPr>
                <w:sz w:val="28"/>
                <w:szCs w:val="28"/>
              </w:rPr>
              <w:t>0</w:t>
            </w:r>
          </w:p>
        </w:tc>
        <w:tc>
          <w:tcPr>
            <w:tcW w:w="1701" w:type="dxa"/>
          </w:tcPr>
          <w:p w:rsidR="00367C3B" w:rsidRPr="00064747" w:rsidRDefault="00367C3B" w:rsidP="009E5705">
            <w:pPr>
              <w:pStyle w:val="naisf"/>
              <w:spacing w:before="0" w:after="0"/>
              <w:ind w:firstLine="0"/>
              <w:jc w:val="center"/>
              <w:rPr>
                <w:sz w:val="28"/>
                <w:szCs w:val="28"/>
              </w:rPr>
            </w:pPr>
            <w:r w:rsidRPr="00064747">
              <w:rPr>
                <w:sz w:val="28"/>
                <w:szCs w:val="28"/>
              </w:rPr>
              <w:t>0</w:t>
            </w:r>
          </w:p>
        </w:tc>
        <w:tc>
          <w:tcPr>
            <w:tcW w:w="1559" w:type="dxa"/>
          </w:tcPr>
          <w:p w:rsidR="00367C3B" w:rsidRPr="00064747" w:rsidRDefault="00367C3B" w:rsidP="009E5705">
            <w:pPr>
              <w:pStyle w:val="naisf"/>
              <w:spacing w:before="0" w:after="0"/>
              <w:ind w:firstLine="0"/>
              <w:jc w:val="center"/>
              <w:rPr>
                <w:sz w:val="28"/>
                <w:szCs w:val="28"/>
              </w:rPr>
            </w:pPr>
            <w:r w:rsidRPr="00064747">
              <w:rPr>
                <w:sz w:val="28"/>
                <w:szCs w:val="28"/>
              </w:rPr>
              <w:t>0</w:t>
            </w:r>
          </w:p>
        </w:tc>
        <w:tc>
          <w:tcPr>
            <w:tcW w:w="1418" w:type="dxa"/>
          </w:tcPr>
          <w:p w:rsidR="00367C3B" w:rsidRPr="00064747" w:rsidRDefault="00367C3B" w:rsidP="009E5705">
            <w:pPr>
              <w:pStyle w:val="naisf"/>
              <w:spacing w:before="0" w:after="0"/>
              <w:ind w:firstLine="0"/>
              <w:jc w:val="center"/>
              <w:rPr>
                <w:sz w:val="28"/>
                <w:szCs w:val="28"/>
              </w:rPr>
            </w:pPr>
            <w:r w:rsidRPr="00064747">
              <w:rPr>
                <w:sz w:val="28"/>
                <w:szCs w:val="28"/>
              </w:rPr>
              <w:t>0</w:t>
            </w:r>
          </w:p>
        </w:tc>
      </w:tr>
      <w:tr w:rsidR="00362D93" w:rsidRPr="00064747" w:rsidTr="003C7C62">
        <w:trPr>
          <w:jc w:val="center"/>
        </w:trPr>
        <w:tc>
          <w:tcPr>
            <w:tcW w:w="1958" w:type="dxa"/>
            <w:tcBorders>
              <w:bottom w:val="single" w:sz="4" w:space="0" w:color="auto"/>
            </w:tcBorders>
          </w:tcPr>
          <w:p w:rsidR="00367C3B" w:rsidRPr="00064747" w:rsidRDefault="00367C3B" w:rsidP="004A05EF">
            <w:pPr>
              <w:rPr>
                <w:sz w:val="28"/>
                <w:szCs w:val="28"/>
              </w:rPr>
            </w:pPr>
            <w:r w:rsidRPr="00064747">
              <w:rPr>
                <w:sz w:val="28"/>
                <w:szCs w:val="28"/>
              </w:rPr>
              <w:t>5.2. speciālais budžets</w:t>
            </w:r>
          </w:p>
        </w:tc>
        <w:tc>
          <w:tcPr>
            <w:tcW w:w="1441" w:type="dxa"/>
            <w:vMerge/>
            <w:tcBorders>
              <w:bottom w:val="single" w:sz="4" w:space="0" w:color="auto"/>
            </w:tcBorders>
            <w:vAlign w:val="center"/>
          </w:tcPr>
          <w:p w:rsidR="00367C3B" w:rsidRPr="00064747" w:rsidRDefault="00367C3B" w:rsidP="00A20419">
            <w:pPr>
              <w:pStyle w:val="naisf"/>
              <w:spacing w:before="0" w:after="0"/>
              <w:ind w:firstLine="0"/>
              <w:jc w:val="center"/>
              <w:rPr>
                <w:i/>
                <w:sz w:val="28"/>
                <w:szCs w:val="28"/>
              </w:rPr>
            </w:pPr>
          </w:p>
        </w:tc>
        <w:tc>
          <w:tcPr>
            <w:tcW w:w="1701" w:type="dxa"/>
            <w:tcBorders>
              <w:bottom w:val="single" w:sz="4" w:space="0" w:color="auto"/>
            </w:tcBorders>
          </w:tcPr>
          <w:p w:rsidR="00367C3B" w:rsidRPr="00064747" w:rsidRDefault="009E5705" w:rsidP="009E5705">
            <w:pPr>
              <w:pStyle w:val="naisf"/>
              <w:spacing w:before="0" w:after="0"/>
              <w:ind w:firstLine="0"/>
              <w:jc w:val="center"/>
              <w:rPr>
                <w:sz w:val="28"/>
                <w:szCs w:val="28"/>
              </w:rPr>
            </w:pPr>
            <w:r w:rsidRPr="00064747">
              <w:rPr>
                <w:sz w:val="28"/>
                <w:szCs w:val="28"/>
              </w:rPr>
              <w:t>0</w:t>
            </w:r>
          </w:p>
        </w:tc>
        <w:tc>
          <w:tcPr>
            <w:tcW w:w="1701" w:type="dxa"/>
            <w:tcBorders>
              <w:bottom w:val="single" w:sz="4" w:space="0" w:color="auto"/>
            </w:tcBorders>
          </w:tcPr>
          <w:p w:rsidR="00367C3B" w:rsidRPr="00064747" w:rsidRDefault="009E5705" w:rsidP="009E5705">
            <w:pPr>
              <w:pStyle w:val="naisf"/>
              <w:spacing w:before="0" w:after="0"/>
              <w:ind w:firstLine="0"/>
              <w:jc w:val="center"/>
              <w:rPr>
                <w:sz w:val="28"/>
                <w:szCs w:val="28"/>
              </w:rPr>
            </w:pPr>
            <w:r w:rsidRPr="00064747">
              <w:rPr>
                <w:sz w:val="28"/>
                <w:szCs w:val="28"/>
              </w:rPr>
              <w:t>0</w:t>
            </w:r>
          </w:p>
        </w:tc>
        <w:tc>
          <w:tcPr>
            <w:tcW w:w="1559" w:type="dxa"/>
            <w:tcBorders>
              <w:bottom w:val="single" w:sz="4" w:space="0" w:color="auto"/>
            </w:tcBorders>
          </w:tcPr>
          <w:p w:rsidR="00367C3B" w:rsidRPr="00064747" w:rsidRDefault="009E5705" w:rsidP="009E5705">
            <w:pPr>
              <w:pStyle w:val="naisf"/>
              <w:spacing w:before="0" w:after="0"/>
              <w:ind w:firstLine="0"/>
              <w:jc w:val="center"/>
              <w:rPr>
                <w:sz w:val="28"/>
                <w:szCs w:val="28"/>
              </w:rPr>
            </w:pPr>
            <w:r w:rsidRPr="00064747">
              <w:rPr>
                <w:sz w:val="28"/>
                <w:szCs w:val="28"/>
              </w:rPr>
              <w:t>0</w:t>
            </w:r>
          </w:p>
        </w:tc>
        <w:tc>
          <w:tcPr>
            <w:tcW w:w="1418" w:type="dxa"/>
            <w:tcBorders>
              <w:bottom w:val="single" w:sz="4" w:space="0" w:color="auto"/>
            </w:tcBorders>
          </w:tcPr>
          <w:p w:rsidR="00367C3B" w:rsidRPr="00064747" w:rsidRDefault="009E5705" w:rsidP="009E5705">
            <w:pPr>
              <w:pStyle w:val="naisf"/>
              <w:spacing w:before="0" w:after="0"/>
              <w:ind w:firstLine="0"/>
              <w:jc w:val="center"/>
              <w:rPr>
                <w:sz w:val="28"/>
                <w:szCs w:val="28"/>
              </w:rPr>
            </w:pPr>
            <w:r w:rsidRPr="00064747">
              <w:rPr>
                <w:sz w:val="28"/>
                <w:szCs w:val="28"/>
              </w:rPr>
              <w:t>0</w:t>
            </w:r>
          </w:p>
        </w:tc>
      </w:tr>
      <w:tr w:rsidR="00362D93" w:rsidRPr="00064747" w:rsidTr="003C7C62">
        <w:trPr>
          <w:jc w:val="center"/>
        </w:trPr>
        <w:tc>
          <w:tcPr>
            <w:tcW w:w="1958" w:type="dxa"/>
            <w:tcBorders>
              <w:top w:val="single" w:sz="4" w:space="0" w:color="auto"/>
              <w:left w:val="single" w:sz="4" w:space="0" w:color="auto"/>
              <w:bottom w:val="single" w:sz="4" w:space="0" w:color="auto"/>
              <w:right w:val="single" w:sz="4" w:space="0" w:color="auto"/>
            </w:tcBorders>
          </w:tcPr>
          <w:p w:rsidR="00367C3B" w:rsidRPr="00064747" w:rsidRDefault="00367C3B" w:rsidP="004A05EF">
            <w:pPr>
              <w:rPr>
                <w:sz w:val="28"/>
                <w:szCs w:val="28"/>
              </w:rPr>
            </w:pPr>
            <w:r w:rsidRPr="00064747">
              <w:rPr>
                <w:sz w:val="28"/>
                <w:szCs w:val="28"/>
              </w:rPr>
              <w:t xml:space="preserve">5.3. pašvaldību budžets </w:t>
            </w:r>
          </w:p>
        </w:tc>
        <w:tc>
          <w:tcPr>
            <w:tcW w:w="1441" w:type="dxa"/>
            <w:vMerge/>
            <w:tcBorders>
              <w:top w:val="single" w:sz="4" w:space="0" w:color="auto"/>
              <w:left w:val="single" w:sz="4" w:space="0" w:color="auto"/>
              <w:bottom w:val="single" w:sz="4" w:space="0" w:color="auto"/>
              <w:right w:val="single" w:sz="4" w:space="0" w:color="auto"/>
            </w:tcBorders>
            <w:vAlign w:val="center"/>
          </w:tcPr>
          <w:p w:rsidR="00367C3B" w:rsidRPr="00064747" w:rsidRDefault="00367C3B" w:rsidP="00A20419">
            <w:pPr>
              <w:pStyle w:val="naisf"/>
              <w:spacing w:before="0" w:after="0"/>
              <w:ind w:firstLine="0"/>
              <w:jc w:val="center"/>
              <w:rPr>
                <w:i/>
                <w:sz w:val="28"/>
                <w:szCs w:val="28"/>
              </w:rPr>
            </w:pPr>
          </w:p>
        </w:tc>
        <w:tc>
          <w:tcPr>
            <w:tcW w:w="1701" w:type="dxa"/>
            <w:tcBorders>
              <w:top w:val="single" w:sz="4" w:space="0" w:color="auto"/>
              <w:left w:val="single" w:sz="4" w:space="0" w:color="auto"/>
              <w:bottom w:val="single" w:sz="4" w:space="0" w:color="auto"/>
              <w:right w:val="single" w:sz="4" w:space="0" w:color="auto"/>
            </w:tcBorders>
          </w:tcPr>
          <w:p w:rsidR="00367C3B" w:rsidRPr="00064747" w:rsidRDefault="009E5705" w:rsidP="009E5705">
            <w:pPr>
              <w:pStyle w:val="naisf"/>
              <w:spacing w:before="0" w:after="0"/>
              <w:ind w:firstLine="0"/>
              <w:jc w:val="center"/>
              <w:rPr>
                <w:sz w:val="28"/>
                <w:szCs w:val="28"/>
              </w:rPr>
            </w:pPr>
            <w:r w:rsidRPr="00064747">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367C3B" w:rsidRPr="00064747" w:rsidRDefault="009E5705" w:rsidP="009E5705">
            <w:pPr>
              <w:pStyle w:val="naisf"/>
              <w:spacing w:before="0" w:after="0"/>
              <w:ind w:firstLine="0"/>
              <w:jc w:val="center"/>
              <w:rPr>
                <w:sz w:val="28"/>
                <w:szCs w:val="28"/>
              </w:rPr>
            </w:pPr>
            <w:r w:rsidRPr="00064747">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367C3B" w:rsidRPr="00064747" w:rsidRDefault="009E5705" w:rsidP="009E5705">
            <w:pPr>
              <w:pStyle w:val="naisf"/>
              <w:spacing w:before="0" w:after="0"/>
              <w:ind w:firstLine="0"/>
              <w:jc w:val="center"/>
              <w:rPr>
                <w:sz w:val="28"/>
                <w:szCs w:val="28"/>
              </w:rPr>
            </w:pPr>
            <w:r w:rsidRPr="00064747">
              <w:rPr>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367C3B" w:rsidRPr="00064747" w:rsidRDefault="009E5705" w:rsidP="009E5705">
            <w:pPr>
              <w:pStyle w:val="naisf"/>
              <w:spacing w:before="0" w:after="0"/>
              <w:ind w:firstLine="0"/>
              <w:jc w:val="center"/>
              <w:rPr>
                <w:sz w:val="28"/>
                <w:szCs w:val="28"/>
              </w:rPr>
            </w:pPr>
            <w:r w:rsidRPr="00064747">
              <w:rPr>
                <w:sz w:val="28"/>
                <w:szCs w:val="28"/>
              </w:rPr>
              <w:t>0</w:t>
            </w:r>
          </w:p>
        </w:tc>
      </w:tr>
      <w:tr w:rsidR="00367C3B" w:rsidRPr="00064747" w:rsidTr="003C7C62">
        <w:trPr>
          <w:trHeight w:val="3270"/>
          <w:jc w:val="center"/>
        </w:trPr>
        <w:tc>
          <w:tcPr>
            <w:tcW w:w="1958" w:type="dxa"/>
            <w:tcBorders>
              <w:top w:val="single" w:sz="4" w:space="0" w:color="auto"/>
              <w:left w:val="single" w:sz="4" w:space="0" w:color="auto"/>
              <w:bottom w:val="single" w:sz="4" w:space="0" w:color="auto"/>
              <w:right w:val="single" w:sz="4" w:space="0" w:color="auto"/>
            </w:tcBorders>
          </w:tcPr>
          <w:p w:rsidR="00367C3B" w:rsidRPr="00064747" w:rsidRDefault="00367C3B" w:rsidP="004A05EF">
            <w:pPr>
              <w:rPr>
                <w:sz w:val="28"/>
                <w:szCs w:val="28"/>
              </w:rPr>
            </w:pPr>
            <w:r w:rsidRPr="00064747">
              <w:rPr>
                <w:sz w:val="28"/>
                <w:szCs w:val="28"/>
              </w:rPr>
              <w:t>6. Detalizēts ieņēmumu un izdevu</w:t>
            </w:r>
            <w:r w:rsidRPr="00064747">
              <w:rPr>
                <w:sz w:val="28"/>
                <w:szCs w:val="28"/>
              </w:rPr>
              <w:softHyphen/>
              <w:t>mu aprēķins (ja nepieciešams, detalizētu ieņēmumu un izdevumu aprēķinu var pievienot anotācijas pielikumā):</w:t>
            </w:r>
          </w:p>
        </w:tc>
        <w:tc>
          <w:tcPr>
            <w:tcW w:w="7820" w:type="dxa"/>
            <w:gridSpan w:val="5"/>
            <w:vMerge w:val="restart"/>
            <w:tcBorders>
              <w:top w:val="single" w:sz="4" w:space="0" w:color="auto"/>
              <w:left w:val="single" w:sz="4" w:space="0" w:color="auto"/>
              <w:bottom w:val="single" w:sz="4" w:space="0" w:color="auto"/>
              <w:right w:val="single" w:sz="4" w:space="0" w:color="auto"/>
            </w:tcBorders>
          </w:tcPr>
          <w:p w:rsidR="00204129" w:rsidRPr="00064747" w:rsidRDefault="00204129" w:rsidP="00A126A5">
            <w:pPr>
              <w:pStyle w:val="NoSpacing"/>
              <w:jc w:val="both"/>
              <w:rPr>
                <w:rFonts w:ascii="Times New Roman" w:hAnsi="Times New Roman"/>
                <w:bCs/>
                <w:sz w:val="28"/>
                <w:szCs w:val="28"/>
                <w:lang w:eastAsia="lv-LV"/>
              </w:rPr>
            </w:pPr>
            <w:r w:rsidRPr="00064747">
              <w:rPr>
                <w:rFonts w:ascii="Times New Roman" w:hAnsi="Times New Roman"/>
                <w:sz w:val="28"/>
                <w:szCs w:val="28"/>
              </w:rPr>
              <w:t xml:space="preserve">Atbilstoši Ministru kabineta un Finanšu ministrijas rīkojumiem </w:t>
            </w:r>
            <w:r w:rsidR="00E54234" w:rsidRPr="00064747">
              <w:rPr>
                <w:rFonts w:ascii="Times New Roman" w:hAnsi="Times New Roman"/>
                <w:sz w:val="28"/>
                <w:szCs w:val="28"/>
              </w:rPr>
              <w:t xml:space="preserve">2014.gadā Veselības ministrijas </w:t>
            </w:r>
            <w:r w:rsidRPr="00064747">
              <w:rPr>
                <w:rFonts w:ascii="Times New Roman" w:hAnsi="Times New Roman"/>
                <w:sz w:val="28"/>
                <w:szCs w:val="28"/>
              </w:rPr>
              <w:t xml:space="preserve">budžeta </w:t>
            </w:r>
            <w:r w:rsidRPr="00064747">
              <w:rPr>
                <w:rFonts w:ascii="Times New Roman" w:hAnsi="Times New Roman"/>
                <w:bCs/>
                <w:sz w:val="28"/>
                <w:szCs w:val="28"/>
                <w:lang w:eastAsia="lv-LV"/>
              </w:rPr>
              <w:t>programmā 99.00.00 „Līdzekļu neparedzētiem gadījumiem izlietojums”:</w:t>
            </w:r>
          </w:p>
          <w:p w:rsidR="00204129" w:rsidRPr="00064747" w:rsidRDefault="00204129" w:rsidP="00A126A5">
            <w:pPr>
              <w:pStyle w:val="NoSpacing"/>
              <w:ind w:left="52"/>
              <w:jc w:val="both"/>
              <w:rPr>
                <w:rFonts w:ascii="Times New Roman" w:hAnsi="Times New Roman"/>
                <w:bCs/>
                <w:sz w:val="28"/>
                <w:szCs w:val="28"/>
                <w:lang w:eastAsia="lv-LV"/>
              </w:rPr>
            </w:pPr>
            <w:r w:rsidRPr="00064747">
              <w:rPr>
                <w:rFonts w:ascii="Times New Roman" w:hAnsi="Times New Roman"/>
                <w:bCs/>
                <w:sz w:val="28"/>
                <w:szCs w:val="28"/>
                <w:lang w:eastAsia="lv-LV"/>
              </w:rPr>
              <w:t xml:space="preserve">resursi izdevumu segšanai: </w:t>
            </w:r>
            <w:r w:rsidR="004D6EC3" w:rsidRPr="00064747">
              <w:rPr>
                <w:rFonts w:ascii="Times New Roman" w:hAnsi="Times New Roman"/>
                <w:bCs/>
                <w:sz w:val="28"/>
                <w:szCs w:val="28"/>
                <w:lang w:eastAsia="lv-LV"/>
              </w:rPr>
              <w:t>5 964 618</w:t>
            </w:r>
            <w:r w:rsidRPr="00064747">
              <w:rPr>
                <w:rFonts w:ascii="Times New Roman" w:hAnsi="Times New Roman"/>
                <w:bCs/>
                <w:sz w:val="28"/>
                <w:szCs w:val="28"/>
                <w:lang w:eastAsia="lv-LV"/>
              </w:rPr>
              <w:t xml:space="preserve"> </w:t>
            </w:r>
            <w:proofErr w:type="spellStart"/>
            <w:r w:rsidRPr="00064747">
              <w:rPr>
                <w:rFonts w:ascii="Times New Roman" w:hAnsi="Times New Roman"/>
                <w:bCs/>
                <w:i/>
                <w:sz w:val="28"/>
                <w:szCs w:val="28"/>
                <w:lang w:eastAsia="lv-LV"/>
              </w:rPr>
              <w:t>euro</w:t>
            </w:r>
            <w:proofErr w:type="spellEnd"/>
            <w:r w:rsidRPr="00064747">
              <w:rPr>
                <w:rFonts w:ascii="Times New Roman" w:hAnsi="Times New Roman"/>
                <w:bCs/>
                <w:sz w:val="28"/>
                <w:szCs w:val="28"/>
                <w:lang w:eastAsia="lv-LV"/>
              </w:rPr>
              <w:t xml:space="preserve"> (dotā</w:t>
            </w:r>
            <w:r w:rsidR="00DF7BC5" w:rsidRPr="00064747">
              <w:rPr>
                <w:rFonts w:ascii="Times New Roman" w:hAnsi="Times New Roman"/>
                <w:bCs/>
                <w:sz w:val="28"/>
                <w:szCs w:val="28"/>
                <w:lang w:eastAsia="lv-LV"/>
              </w:rPr>
              <w:t>cija no vispārējiem ieņēmumiem).</w:t>
            </w:r>
          </w:p>
          <w:p w:rsidR="00204129" w:rsidRPr="00064747" w:rsidRDefault="00204129" w:rsidP="00A126A5">
            <w:pPr>
              <w:pStyle w:val="NoSpacing"/>
              <w:ind w:left="52"/>
              <w:jc w:val="both"/>
              <w:rPr>
                <w:rFonts w:ascii="Times New Roman" w:hAnsi="Times New Roman"/>
                <w:bCs/>
                <w:sz w:val="28"/>
                <w:szCs w:val="28"/>
                <w:lang w:eastAsia="lv-LV"/>
              </w:rPr>
            </w:pPr>
            <w:r w:rsidRPr="00064747">
              <w:rPr>
                <w:rFonts w:ascii="Times New Roman" w:hAnsi="Times New Roman"/>
                <w:bCs/>
                <w:sz w:val="28"/>
                <w:szCs w:val="28"/>
                <w:lang w:eastAsia="lv-LV"/>
              </w:rPr>
              <w:t xml:space="preserve">izdevumi: </w:t>
            </w:r>
            <w:r w:rsidR="004D6EC3" w:rsidRPr="00064747">
              <w:rPr>
                <w:rFonts w:ascii="Times New Roman" w:hAnsi="Times New Roman"/>
                <w:bCs/>
                <w:sz w:val="28"/>
                <w:szCs w:val="28"/>
                <w:lang w:eastAsia="lv-LV"/>
              </w:rPr>
              <w:t>5 964 618</w:t>
            </w:r>
            <w:r w:rsidRPr="00064747">
              <w:rPr>
                <w:rFonts w:ascii="Times New Roman" w:hAnsi="Times New Roman"/>
                <w:bCs/>
                <w:sz w:val="28"/>
                <w:szCs w:val="28"/>
                <w:lang w:eastAsia="lv-LV"/>
              </w:rPr>
              <w:t xml:space="preserve"> </w:t>
            </w:r>
            <w:proofErr w:type="spellStart"/>
            <w:r w:rsidRPr="00064747">
              <w:rPr>
                <w:rFonts w:ascii="Times New Roman" w:hAnsi="Times New Roman"/>
                <w:bCs/>
                <w:i/>
                <w:sz w:val="28"/>
                <w:szCs w:val="28"/>
                <w:lang w:eastAsia="lv-LV"/>
              </w:rPr>
              <w:t>euro</w:t>
            </w:r>
            <w:proofErr w:type="spellEnd"/>
            <w:r w:rsidRPr="00064747">
              <w:rPr>
                <w:rFonts w:ascii="Times New Roman" w:hAnsi="Times New Roman"/>
                <w:bCs/>
                <w:sz w:val="28"/>
                <w:szCs w:val="28"/>
                <w:lang w:eastAsia="lv-LV"/>
              </w:rPr>
              <w:t xml:space="preserve"> t.sk.:</w:t>
            </w:r>
          </w:p>
          <w:p w:rsidR="00204129" w:rsidRPr="00064747" w:rsidRDefault="005200A1" w:rsidP="00A126A5">
            <w:pPr>
              <w:pStyle w:val="NoSpacing"/>
              <w:ind w:left="52"/>
              <w:jc w:val="both"/>
              <w:rPr>
                <w:rFonts w:ascii="Times New Roman" w:hAnsi="Times New Roman"/>
                <w:bCs/>
                <w:sz w:val="28"/>
                <w:szCs w:val="28"/>
                <w:lang w:eastAsia="lv-LV"/>
              </w:rPr>
            </w:pPr>
            <w:r w:rsidRPr="00064747">
              <w:rPr>
                <w:rFonts w:ascii="Times New Roman" w:hAnsi="Times New Roman"/>
                <w:bCs/>
                <w:sz w:val="28"/>
                <w:szCs w:val="28"/>
                <w:lang w:eastAsia="lv-LV"/>
              </w:rPr>
              <w:t xml:space="preserve">EKK 2000 Preces un pakalpojumi </w:t>
            </w:r>
            <w:r w:rsidRPr="00064747">
              <w:rPr>
                <w:sz w:val="28"/>
                <w:szCs w:val="28"/>
              </w:rPr>
              <w:t xml:space="preserve">– </w:t>
            </w:r>
            <w:r w:rsidR="004D6EC3" w:rsidRPr="00064747">
              <w:rPr>
                <w:rFonts w:ascii="Times New Roman" w:hAnsi="Times New Roman"/>
                <w:bCs/>
                <w:sz w:val="28"/>
                <w:szCs w:val="28"/>
                <w:lang w:eastAsia="lv-LV"/>
              </w:rPr>
              <w:t>566 358</w:t>
            </w:r>
            <w:r w:rsidR="00204129" w:rsidRPr="00064747">
              <w:rPr>
                <w:rFonts w:ascii="Times New Roman" w:hAnsi="Times New Roman"/>
                <w:bCs/>
                <w:sz w:val="28"/>
                <w:szCs w:val="28"/>
                <w:lang w:eastAsia="lv-LV"/>
              </w:rPr>
              <w:t xml:space="preserve"> </w:t>
            </w:r>
            <w:proofErr w:type="spellStart"/>
            <w:r w:rsidR="00204129" w:rsidRPr="00064747">
              <w:rPr>
                <w:rFonts w:ascii="Times New Roman" w:hAnsi="Times New Roman"/>
                <w:bCs/>
                <w:i/>
                <w:sz w:val="28"/>
                <w:szCs w:val="28"/>
                <w:lang w:eastAsia="lv-LV"/>
              </w:rPr>
              <w:t>euro</w:t>
            </w:r>
            <w:proofErr w:type="spellEnd"/>
            <w:r w:rsidR="00204129" w:rsidRPr="00064747">
              <w:rPr>
                <w:rFonts w:ascii="Times New Roman" w:hAnsi="Times New Roman"/>
                <w:bCs/>
                <w:sz w:val="28"/>
                <w:szCs w:val="28"/>
                <w:lang w:eastAsia="lv-LV"/>
              </w:rPr>
              <w:t>;</w:t>
            </w:r>
          </w:p>
          <w:p w:rsidR="00204129" w:rsidRPr="00064747" w:rsidRDefault="005200A1" w:rsidP="00A126A5">
            <w:pPr>
              <w:pStyle w:val="NoSpacing"/>
              <w:ind w:left="52"/>
              <w:jc w:val="both"/>
              <w:rPr>
                <w:rFonts w:ascii="Times New Roman" w:hAnsi="Times New Roman"/>
                <w:bCs/>
                <w:sz w:val="28"/>
                <w:szCs w:val="28"/>
                <w:lang w:eastAsia="lv-LV"/>
              </w:rPr>
            </w:pPr>
            <w:r w:rsidRPr="00064747">
              <w:rPr>
                <w:rFonts w:ascii="Times New Roman" w:hAnsi="Times New Roman"/>
                <w:bCs/>
                <w:sz w:val="28"/>
                <w:szCs w:val="28"/>
                <w:lang w:eastAsia="lv-LV"/>
              </w:rPr>
              <w:t xml:space="preserve">EKK 3000 </w:t>
            </w:r>
            <w:r w:rsidR="00204129" w:rsidRPr="00064747">
              <w:rPr>
                <w:rFonts w:ascii="Times New Roman" w:hAnsi="Times New Roman"/>
                <w:bCs/>
                <w:sz w:val="28"/>
                <w:szCs w:val="28"/>
                <w:lang w:eastAsia="lv-LV"/>
              </w:rPr>
              <w:t xml:space="preserve">Subsīdijas un dotācijas </w:t>
            </w:r>
            <w:r w:rsidRPr="00064747">
              <w:rPr>
                <w:sz w:val="28"/>
                <w:szCs w:val="28"/>
              </w:rPr>
              <w:t xml:space="preserve">– </w:t>
            </w:r>
            <w:r w:rsidR="004D6EC3" w:rsidRPr="00064747">
              <w:rPr>
                <w:rFonts w:ascii="Times New Roman" w:hAnsi="Times New Roman"/>
                <w:bCs/>
                <w:sz w:val="28"/>
                <w:szCs w:val="28"/>
                <w:lang w:eastAsia="lv-LV"/>
              </w:rPr>
              <w:t>5</w:t>
            </w:r>
            <w:r w:rsidRPr="00064747">
              <w:rPr>
                <w:rFonts w:ascii="Times New Roman" w:hAnsi="Times New Roman"/>
                <w:bCs/>
                <w:sz w:val="28"/>
                <w:szCs w:val="28"/>
                <w:lang w:eastAsia="lv-LV"/>
              </w:rPr>
              <w:t xml:space="preserve"> </w:t>
            </w:r>
            <w:r w:rsidR="004D6EC3" w:rsidRPr="00064747">
              <w:rPr>
                <w:rFonts w:ascii="Times New Roman" w:hAnsi="Times New Roman"/>
                <w:bCs/>
                <w:sz w:val="28"/>
                <w:szCs w:val="28"/>
                <w:lang w:eastAsia="lv-LV"/>
              </w:rPr>
              <w:t>398 260</w:t>
            </w:r>
            <w:r w:rsidR="00204129" w:rsidRPr="00064747">
              <w:rPr>
                <w:rFonts w:ascii="Times New Roman" w:hAnsi="Times New Roman"/>
                <w:bCs/>
                <w:sz w:val="28"/>
                <w:szCs w:val="28"/>
                <w:lang w:eastAsia="lv-LV"/>
              </w:rPr>
              <w:t xml:space="preserve"> </w:t>
            </w:r>
            <w:proofErr w:type="spellStart"/>
            <w:r w:rsidR="00204129" w:rsidRPr="00064747">
              <w:rPr>
                <w:rFonts w:ascii="Times New Roman" w:hAnsi="Times New Roman"/>
                <w:bCs/>
                <w:i/>
                <w:sz w:val="28"/>
                <w:szCs w:val="28"/>
                <w:lang w:eastAsia="lv-LV"/>
              </w:rPr>
              <w:t>euro</w:t>
            </w:r>
            <w:proofErr w:type="spellEnd"/>
            <w:r w:rsidR="00204129" w:rsidRPr="00064747">
              <w:rPr>
                <w:rFonts w:ascii="Times New Roman" w:hAnsi="Times New Roman"/>
                <w:bCs/>
                <w:sz w:val="28"/>
                <w:szCs w:val="28"/>
                <w:lang w:eastAsia="lv-LV"/>
              </w:rPr>
              <w:t>.</w:t>
            </w:r>
          </w:p>
          <w:p w:rsidR="00A126A5" w:rsidRPr="00064747" w:rsidRDefault="00A126A5" w:rsidP="00F84789">
            <w:pPr>
              <w:pStyle w:val="NormalWeb"/>
              <w:spacing w:before="0" w:beforeAutospacing="0" w:after="0" w:afterAutospacing="0"/>
              <w:jc w:val="both"/>
              <w:rPr>
                <w:sz w:val="28"/>
                <w:szCs w:val="28"/>
              </w:rPr>
            </w:pPr>
          </w:p>
          <w:p w:rsidR="005704D1" w:rsidRPr="00064747" w:rsidRDefault="00470309" w:rsidP="005704D1">
            <w:pPr>
              <w:tabs>
                <w:tab w:val="left" w:pos="142"/>
              </w:tabs>
              <w:autoSpaceDE w:val="0"/>
              <w:autoSpaceDN w:val="0"/>
              <w:adjustRightInd w:val="0"/>
              <w:ind w:firstLine="426"/>
              <w:jc w:val="both"/>
              <w:rPr>
                <w:sz w:val="28"/>
                <w:szCs w:val="28"/>
              </w:rPr>
            </w:pPr>
            <w:r w:rsidRPr="00064747">
              <w:rPr>
                <w:sz w:val="28"/>
                <w:szCs w:val="28"/>
                <w:u w:val="single"/>
              </w:rPr>
              <w:t>Rīkojuma projekts paredz  Finanšu ministrijai no valsts budžeta programmas 02.00.00 „Līdzekļi neparedzētiem gadījumiem” piešķirt Veselības ministrijai līdzekļus</w:t>
            </w:r>
            <w:r w:rsidR="008D07A0" w:rsidRPr="00064747">
              <w:rPr>
                <w:sz w:val="28"/>
                <w:szCs w:val="28"/>
                <w:u w:val="single"/>
              </w:rPr>
              <w:t xml:space="preserve"> </w:t>
            </w:r>
            <w:r w:rsidR="005704D1" w:rsidRPr="00064747">
              <w:rPr>
                <w:b/>
                <w:sz w:val="28"/>
                <w:szCs w:val="28"/>
                <w:u w:val="single"/>
              </w:rPr>
              <w:t>8</w:t>
            </w:r>
            <w:r w:rsidR="00D07C38" w:rsidRPr="00064747">
              <w:rPr>
                <w:b/>
                <w:sz w:val="28"/>
                <w:szCs w:val="28"/>
                <w:u w:val="single"/>
              </w:rPr>
              <w:t> 960 325</w:t>
            </w:r>
            <w:r w:rsidRPr="00064747">
              <w:rPr>
                <w:b/>
                <w:sz w:val="28"/>
                <w:szCs w:val="28"/>
                <w:u w:val="single"/>
              </w:rPr>
              <w:t xml:space="preserve"> </w:t>
            </w:r>
            <w:proofErr w:type="spellStart"/>
            <w:r w:rsidRPr="00064747">
              <w:rPr>
                <w:b/>
                <w:i/>
                <w:sz w:val="28"/>
                <w:szCs w:val="28"/>
                <w:u w:val="single"/>
              </w:rPr>
              <w:t>euro</w:t>
            </w:r>
            <w:proofErr w:type="spellEnd"/>
            <w:r w:rsidRPr="00064747">
              <w:rPr>
                <w:b/>
                <w:sz w:val="28"/>
                <w:szCs w:val="28"/>
                <w:u w:val="single"/>
              </w:rPr>
              <w:t xml:space="preserve"> </w:t>
            </w:r>
            <w:r w:rsidRPr="00064747">
              <w:rPr>
                <w:sz w:val="28"/>
                <w:szCs w:val="28"/>
                <w:u w:val="single"/>
              </w:rPr>
              <w:t xml:space="preserve">apmērā </w:t>
            </w:r>
            <w:r w:rsidR="005200A1" w:rsidRPr="00064747">
              <w:rPr>
                <w:sz w:val="28"/>
                <w:szCs w:val="28"/>
                <w:u w:val="single"/>
              </w:rPr>
              <w:t xml:space="preserve">(3000 Subsīdijas un dotācijas – 8 857 770 </w:t>
            </w:r>
            <w:proofErr w:type="spellStart"/>
            <w:r w:rsidR="005200A1" w:rsidRPr="00064747">
              <w:rPr>
                <w:i/>
                <w:sz w:val="28"/>
                <w:szCs w:val="28"/>
                <w:u w:val="single"/>
              </w:rPr>
              <w:t>euro</w:t>
            </w:r>
            <w:proofErr w:type="spellEnd"/>
            <w:r w:rsidR="008D3310" w:rsidRPr="00064747">
              <w:rPr>
                <w:sz w:val="28"/>
                <w:szCs w:val="28"/>
                <w:u w:val="single"/>
              </w:rPr>
              <w:t xml:space="preserve">, </w:t>
            </w:r>
            <w:r w:rsidR="005200A1" w:rsidRPr="00064747">
              <w:rPr>
                <w:sz w:val="28"/>
                <w:szCs w:val="28"/>
                <w:u w:val="single"/>
              </w:rPr>
              <w:t xml:space="preserve"> </w:t>
            </w:r>
            <w:r w:rsidR="008D3310" w:rsidRPr="00064747">
              <w:rPr>
                <w:sz w:val="28"/>
                <w:szCs w:val="28"/>
                <w:u w:val="single"/>
              </w:rPr>
              <w:t xml:space="preserve">EKK 2000 Preces un pakalpojumi – </w:t>
            </w:r>
            <w:r w:rsidR="00D07C38" w:rsidRPr="00064747">
              <w:rPr>
                <w:sz w:val="28"/>
                <w:szCs w:val="28"/>
                <w:u w:val="single"/>
              </w:rPr>
              <w:t>52 588</w:t>
            </w:r>
            <w:r w:rsidR="008D3310" w:rsidRPr="00064747">
              <w:rPr>
                <w:sz w:val="28"/>
                <w:szCs w:val="28"/>
                <w:u w:val="single"/>
              </w:rPr>
              <w:t xml:space="preserve"> </w:t>
            </w:r>
            <w:proofErr w:type="spellStart"/>
            <w:r w:rsidR="008D3310" w:rsidRPr="00064747">
              <w:rPr>
                <w:i/>
                <w:sz w:val="28"/>
                <w:szCs w:val="28"/>
                <w:u w:val="single"/>
              </w:rPr>
              <w:t>euro</w:t>
            </w:r>
            <w:proofErr w:type="spellEnd"/>
            <w:r w:rsidR="008D3310" w:rsidRPr="00064747">
              <w:rPr>
                <w:sz w:val="28"/>
                <w:szCs w:val="28"/>
                <w:u w:val="single"/>
              </w:rPr>
              <w:t xml:space="preserve"> un </w:t>
            </w:r>
            <w:r w:rsidR="005200A1" w:rsidRPr="00064747">
              <w:rPr>
                <w:sz w:val="28"/>
                <w:szCs w:val="28"/>
                <w:u w:val="single"/>
              </w:rPr>
              <w:t xml:space="preserve">EKK 1000 Atlīdzība – 49 967 </w:t>
            </w:r>
            <w:proofErr w:type="spellStart"/>
            <w:r w:rsidR="005200A1" w:rsidRPr="00064747">
              <w:rPr>
                <w:i/>
                <w:sz w:val="28"/>
                <w:szCs w:val="28"/>
                <w:u w:val="single"/>
              </w:rPr>
              <w:t>euro</w:t>
            </w:r>
            <w:proofErr w:type="spellEnd"/>
            <w:r w:rsidR="005200A1" w:rsidRPr="00064747">
              <w:rPr>
                <w:sz w:val="28"/>
                <w:szCs w:val="28"/>
                <w:u w:val="single"/>
              </w:rPr>
              <w:t xml:space="preserve">) </w:t>
            </w:r>
            <w:r w:rsidR="005704D1" w:rsidRPr="00064747">
              <w:rPr>
                <w:sz w:val="28"/>
                <w:szCs w:val="28"/>
                <w:u w:val="single"/>
              </w:rPr>
              <w:t>tai</w:t>
            </w:r>
            <w:r w:rsidR="005704D1" w:rsidRPr="00064747">
              <w:rPr>
                <w:sz w:val="28"/>
                <w:szCs w:val="28"/>
              </w:rPr>
              <w:t xml:space="preserve"> skaitā:</w:t>
            </w:r>
          </w:p>
          <w:p w:rsidR="001D3881" w:rsidRPr="00064747" w:rsidRDefault="001D3881" w:rsidP="001D3881">
            <w:pPr>
              <w:pStyle w:val="ListParagraph"/>
              <w:tabs>
                <w:tab w:val="left" w:pos="142"/>
              </w:tabs>
              <w:autoSpaceDE w:val="0"/>
              <w:autoSpaceDN w:val="0"/>
              <w:adjustRightInd w:val="0"/>
              <w:spacing w:after="0" w:line="240" w:lineRule="auto"/>
              <w:ind w:left="0"/>
              <w:jc w:val="both"/>
              <w:rPr>
                <w:rFonts w:ascii="Times New Roman" w:hAnsi="Times New Roman"/>
                <w:sz w:val="28"/>
                <w:szCs w:val="28"/>
                <w:lang w:val="lv-LV"/>
              </w:rPr>
            </w:pPr>
            <w:r w:rsidRPr="00064747">
              <w:rPr>
                <w:rFonts w:ascii="Times New Roman" w:hAnsi="Times New Roman"/>
                <w:sz w:val="28"/>
                <w:szCs w:val="28"/>
                <w:lang w:val="lv-LV"/>
              </w:rPr>
              <w:t xml:space="preserve">1.Nacionālajam veselības dienestam 8 857 770 </w:t>
            </w:r>
            <w:proofErr w:type="spellStart"/>
            <w:r w:rsidRPr="00064747">
              <w:rPr>
                <w:rFonts w:ascii="Times New Roman" w:hAnsi="Times New Roman"/>
                <w:i/>
                <w:sz w:val="28"/>
                <w:szCs w:val="28"/>
                <w:lang w:val="lv-LV"/>
              </w:rPr>
              <w:t>euro</w:t>
            </w:r>
            <w:proofErr w:type="spellEnd"/>
            <w:r w:rsidRPr="00064747">
              <w:rPr>
                <w:rFonts w:ascii="Times New Roman" w:hAnsi="Times New Roman"/>
                <w:sz w:val="28"/>
                <w:szCs w:val="28"/>
                <w:lang w:val="lv-LV"/>
              </w:rPr>
              <w:t>:</w:t>
            </w:r>
          </w:p>
          <w:p w:rsidR="001D3881" w:rsidRPr="00064747" w:rsidRDefault="001D3881" w:rsidP="008D3310">
            <w:pPr>
              <w:pStyle w:val="ListParagraph"/>
              <w:numPr>
                <w:ilvl w:val="1"/>
                <w:numId w:val="33"/>
              </w:numPr>
              <w:tabs>
                <w:tab w:val="left" w:pos="142"/>
              </w:tabs>
              <w:autoSpaceDE w:val="0"/>
              <w:autoSpaceDN w:val="0"/>
              <w:adjustRightInd w:val="0"/>
              <w:spacing w:after="0" w:line="240" w:lineRule="auto"/>
              <w:ind w:left="0" w:hanging="720"/>
              <w:jc w:val="both"/>
              <w:rPr>
                <w:rFonts w:ascii="Times New Roman" w:hAnsi="Times New Roman"/>
                <w:sz w:val="28"/>
                <w:szCs w:val="28"/>
                <w:lang w:val="lv-LV"/>
              </w:rPr>
            </w:pPr>
            <w:r w:rsidRPr="00064747">
              <w:rPr>
                <w:rFonts w:ascii="Times New Roman" w:hAnsi="Times New Roman"/>
                <w:sz w:val="28"/>
                <w:szCs w:val="28"/>
                <w:lang w:val="lv-LV"/>
              </w:rPr>
              <w:t xml:space="preserve">1.1.Ambulatoro pakalpojumu (speciālistu)  apmaksai virs 2014.gada plānoto līgumu kopsummas 1 804 538 </w:t>
            </w:r>
            <w:proofErr w:type="spellStart"/>
            <w:r w:rsidRPr="00064747">
              <w:rPr>
                <w:rFonts w:ascii="Times New Roman" w:hAnsi="Times New Roman"/>
                <w:i/>
                <w:sz w:val="28"/>
                <w:szCs w:val="28"/>
                <w:lang w:val="lv-LV"/>
              </w:rPr>
              <w:t>euro</w:t>
            </w:r>
            <w:proofErr w:type="spellEnd"/>
            <w:r w:rsidRPr="00064747">
              <w:rPr>
                <w:rFonts w:ascii="Times New Roman" w:hAnsi="Times New Roman"/>
                <w:sz w:val="28"/>
                <w:szCs w:val="28"/>
                <w:lang w:val="lv-LV"/>
              </w:rPr>
              <w:t>.</w:t>
            </w:r>
          </w:p>
          <w:p w:rsidR="001D3881" w:rsidRPr="00064747" w:rsidRDefault="001D3881" w:rsidP="008D3310">
            <w:pPr>
              <w:pStyle w:val="ListParagraph"/>
              <w:numPr>
                <w:ilvl w:val="1"/>
                <w:numId w:val="33"/>
              </w:numPr>
              <w:tabs>
                <w:tab w:val="left" w:pos="142"/>
              </w:tabs>
              <w:autoSpaceDE w:val="0"/>
              <w:autoSpaceDN w:val="0"/>
              <w:adjustRightInd w:val="0"/>
              <w:spacing w:after="0" w:line="240" w:lineRule="auto"/>
              <w:ind w:left="0" w:hanging="720"/>
              <w:jc w:val="both"/>
              <w:rPr>
                <w:rFonts w:ascii="Times New Roman" w:hAnsi="Times New Roman"/>
                <w:sz w:val="28"/>
                <w:szCs w:val="28"/>
                <w:lang w:val="lv-LV"/>
              </w:rPr>
            </w:pPr>
            <w:r w:rsidRPr="00064747">
              <w:rPr>
                <w:rFonts w:ascii="Times New Roman" w:hAnsi="Times New Roman"/>
                <w:sz w:val="28"/>
                <w:szCs w:val="28"/>
                <w:lang w:val="lv-LV"/>
              </w:rPr>
              <w:t xml:space="preserve">1.2.Daļējai laboratorisko pakalpojumu apmaksai virs 2014.gada plānoto līgumu kopsummas 473 080 </w:t>
            </w:r>
            <w:proofErr w:type="spellStart"/>
            <w:r w:rsidRPr="00064747">
              <w:rPr>
                <w:rFonts w:ascii="Times New Roman" w:hAnsi="Times New Roman"/>
                <w:i/>
                <w:sz w:val="28"/>
                <w:szCs w:val="28"/>
                <w:lang w:val="lv-LV"/>
              </w:rPr>
              <w:t>euro</w:t>
            </w:r>
            <w:proofErr w:type="spellEnd"/>
            <w:r w:rsidRPr="00064747">
              <w:rPr>
                <w:rFonts w:ascii="Times New Roman" w:hAnsi="Times New Roman"/>
                <w:sz w:val="28"/>
                <w:szCs w:val="28"/>
                <w:lang w:val="lv-LV"/>
              </w:rPr>
              <w:t>.</w:t>
            </w:r>
          </w:p>
          <w:p w:rsidR="001D3881" w:rsidRPr="00064747" w:rsidRDefault="001D3881" w:rsidP="001D3881">
            <w:pPr>
              <w:pStyle w:val="ListParagraph"/>
              <w:tabs>
                <w:tab w:val="left" w:pos="142"/>
              </w:tabs>
              <w:autoSpaceDE w:val="0"/>
              <w:autoSpaceDN w:val="0"/>
              <w:adjustRightInd w:val="0"/>
              <w:spacing w:after="0" w:line="240" w:lineRule="auto"/>
              <w:ind w:left="0"/>
              <w:jc w:val="both"/>
              <w:rPr>
                <w:rFonts w:ascii="Times New Roman" w:hAnsi="Times New Roman"/>
                <w:sz w:val="28"/>
                <w:szCs w:val="28"/>
                <w:lang w:val="lv-LV"/>
              </w:rPr>
            </w:pPr>
            <w:r w:rsidRPr="00064747">
              <w:rPr>
                <w:rFonts w:ascii="Times New Roman" w:hAnsi="Times New Roman"/>
                <w:sz w:val="28"/>
                <w:szCs w:val="28"/>
                <w:lang w:val="lv-LV"/>
              </w:rPr>
              <w:t xml:space="preserve">1.3.Vienreizējiem maksājumiem ārstniecības iestādēm, kuras sniedz stacionāros ārstniecības pakalpojumus,  infrastruktūras uzturēšanas izdevumu deficīta segšanai 6 580 152 </w:t>
            </w:r>
            <w:proofErr w:type="spellStart"/>
            <w:r w:rsidRPr="00064747">
              <w:rPr>
                <w:rFonts w:ascii="Times New Roman" w:hAnsi="Times New Roman"/>
                <w:i/>
                <w:sz w:val="28"/>
                <w:szCs w:val="28"/>
                <w:lang w:val="lv-LV"/>
              </w:rPr>
              <w:t>euro</w:t>
            </w:r>
            <w:proofErr w:type="spellEnd"/>
            <w:r w:rsidRPr="00064747">
              <w:rPr>
                <w:rFonts w:ascii="Times New Roman" w:hAnsi="Times New Roman"/>
                <w:sz w:val="28"/>
                <w:szCs w:val="28"/>
                <w:lang w:val="lv-LV"/>
              </w:rPr>
              <w:t>.</w:t>
            </w:r>
          </w:p>
          <w:p w:rsidR="00BC7DB7" w:rsidRPr="00064747" w:rsidRDefault="001D3881" w:rsidP="001D3881">
            <w:pPr>
              <w:pStyle w:val="NormalWeb"/>
              <w:spacing w:before="0" w:beforeAutospacing="0" w:after="0" w:afterAutospacing="0"/>
              <w:jc w:val="both"/>
              <w:rPr>
                <w:sz w:val="28"/>
                <w:szCs w:val="28"/>
              </w:rPr>
            </w:pPr>
            <w:r w:rsidRPr="00064747">
              <w:rPr>
                <w:sz w:val="28"/>
                <w:szCs w:val="28"/>
              </w:rPr>
              <w:t xml:space="preserve">2.Neatliekamās medicīniskās palīdzības dienestam 49 967 </w:t>
            </w:r>
            <w:proofErr w:type="spellStart"/>
            <w:r w:rsidRPr="00064747">
              <w:rPr>
                <w:i/>
                <w:sz w:val="28"/>
                <w:szCs w:val="28"/>
              </w:rPr>
              <w:t>euro</w:t>
            </w:r>
            <w:proofErr w:type="spellEnd"/>
            <w:r w:rsidRPr="00064747">
              <w:rPr>
                <w:sz w:val="28"/>
                <w:szCs w:val="28"/>
              </w:rPr>
              <w:t>, lai nodrošinātu līdzekļu deficīta segšanu atlaišanas pabalstu un darbinieku ievainojuma, sakropļojuma vai citāda veselības bojājuma gadījumā vai nāves gadījumā izmaksājamo pabalstu izmaksām.</w:t>
            </w:r>
          </w:p>
          <w:p w:rsidR="008D3310" w:rsidRPr="00064747" w:rsidRDefault="008D3310" w:rsidP="001D3881">
            <w:pPr>
              <w:pStyle w:val="NormalWeb"/>
              <w:spacing w:before="0" w:beforeAutospacing="0" w:after="0" w:afterAutospacing="0"/>
              <w:jc w:val="both"/>
              <w:rPr>
                <w:sz w:val="28"/>
                <w:szCs w:val="28"/>
              </w:rPr>
            </w:pPr>
            <w:r w:rsidRPr="00064747">
              <w:rPr>
                <w:sz w:val="28"/>
                <w:szCs w:val="28"/>
              </w:rPr>
              <w:t xml:space="preserve">3.Valsts asins donoru centram asins plazmas preparātu iegādei </w:t>
            </w:r>
            <w:r w:rsidR="00D07C38" w:rsidRPr="00064747">
              <w:rPr>
                <w:sz w:val="28"/>
                <w:szCs w:val="28"/>
              </w:rPr>
              <w:t>52 588</w:t>
            </w:r>
            <w:r w:rsidRPr="00064747">
              <w:rPr>
                <w:sz w:val="28"/>
                <w:szCs w:val="28"/>
              </w:rPr>
              <w:t xml:space="preserve"> </w:t>
            </w:r>
            <w:proofErr w:type="spellStart"/>
            <w:r w:rsidRPr="00064747">
              <w:rPr>
                <w:i/>
                <w:sz w:val="28"/>
                <w:szCs w:val="28"/>
              </w:rPr>
              <w:t>euro</w:t>
            </w:r>
            <w:proofErr w:type="spellEnd"/>
            <w:r w:rsidRPr="00064747">
              <w:rPr>
                <w:sz w:val="28"/>
                <w:szCs w:val="28"/>
              </w:rPr>
              <w:t>.</w:t>
            </w:r>
          </w:p>
          <w:p w:rsidR="004D33AF" w:rsidRPr="00064747" w:rsidRDefault="004D33AF" w:rsidP="001D3881">
            <w:pPr>
              <w:pStyle w:val="NormalWeb"/>
              <w:spacing w:before="0" w:beforeAutospacing="0" w:after="0" w:afterAutospacing="0"/>
              <w:jc w:val="both"/>
              <w:rPr>
                <w:sz w:val="28"/>
                <w:szCs w:val="28"/>
              </w:rPr>
            </w:pPr>
          </w:p>
          <w:p w:rsidR="007D67CA" w:rsidRPr="00064747" w:rsidRDefault="004D33AF" w:rsidP="004D33AF">
            <w:pPr>
              <w:pStyle w:val="NormalWeb"/>
              <w:tabs>
                <w:tab w:val="left" w:pos="273"/>
              </w:tabs>
              <w:spacing w:before="0" w:beforeAutospacing="0" w:after="0" w:afterAutospacing="0"/>
              <w:jc w:val="both"/>
              <w:rPr>
                <w:sz w:val="28"/>
                <w:szCs w:val="28"/>
                <w:u w:val="single"/>
              </w:rPr>
            </w:pPr>
            <w:r w:rsidRPr="00064747">
              <w:rPr>
                <w:sz w:val="28"/>
                <w:szCs w:val="28"/>
                <w:u w:val="single"/>
              </w:rPr>
              <w:t>1.</w:t>
            </w:r>
            <w:r w:rsidR="00BC7DB7" w:rsidRPr="00064747">
              <w:rPr>
                <w:sz w:val="28"/>
                <w:szCs w:val="28"/>
                <w:u w:val="single"/>
              </w:rPr>
              <w:t xml:space="preserve">Ambulatoro pakalpojumu  apmaksa virs 2014.gada plānoto līgumu kopsummas  </w:t>
            </w:r>
            <w:r w:rsidR="001D3881" w:rsidRPr="00064747">
              <w:rPr>
                <w:sz w:val="28"/>
                <w:szCs w:val="28"/>
                <w:u w:val="single"/>
              </w:rPr>
              <w:t>1 804 080</w:t>
            </w:r>
            <w:r w:rsidR="00BC7DB7" w:rsidRPr="00064747">
              <w:rPr>
                <w:sz w:val="28"/>
                <w:szCs w:val="28"/>
                <w:u w:val="single"/>
              </w:rPr>
              <w:t xml:space="preserve"> </w:t>
            </w:r>
            <w:proofErr w:type="spellStart"/>
            <w:r w:rsidR="00BC7DB7" w:rsidRPr="00064747">
              <w:rPr>
                <w:i/>
                <w:sz w:val="28"/>
                <w:szCs w:val="28"/>
                <w:u w:val="single"/>
              </w:rPr>
              <w:t>euro</w:t>
            </w:r>
            <w:proofErr w:type="spellEnd"/>
            <w:r w:rsidR="00974B1B" w:rsidRPr="00064747">
              <w:rPr>
                <w:i/>
                <w:sz w:val="28"/>
                <w:szCs w:val="28"/>
                <w:u w:val="single"/>
              </w:rPr>
              <w:t xml:space="preserve"> </w:t>
            </w:r>
            <w:r w:rsidR="00974B1B" w:rsidRPr="00064747">
              <w:rPr>
                <w:sz w:val="28"/>
                <w:szCs w:val="28"/>
                <w:u w:val="single"/>
              </w:rPr>
              <w:t>(EKK</w:t>
            </w:r>
            <w:r w:rsidR="005200A1" w:rsidRPr="00064747">
              <w:rPr>
                <w:sz w:val="28"/>
                <w:szCs w:val="28"/>
                <w:u w:val="single"/>
              </w:rPr>
              <w:t xml:space="preserve"> 3000 </w:t>
            </w:r>
            <w:r w:rsidR="00974B1B" w:rsidRPr="00064747">
              <w:rPr>
                <w:sz w:val="28"/>
                <w:szCs w:val="28"/>
                <w:u w:val="single"/>
              </w:rPr>
              <w:t>Subsīdijas un dotācijas).</w:t>
            </w:r>
          </w:p>
          <w:p w:rsidR="001D3881" w:rsidRDefault="000E5C05" w:rsidP="00DF7BC5">
            <w:pPr>
              <w:pStyle w:val="NormalWeb"/>
              <w:tabs>
                <w:tab w:val="left" w:pos="273"/>
              </w:tabs>
              <w:spacing w:before="0" w:beforeAutospacing="0" w:after="0" w:afterAutospacing="0"/>
              <w:jc w:val="both"/>
              <w:rPr>
                <w:sz w:val="28"/>
                <w:szCs w:val="28"/>
              </w:rPr>
            </w:pPr>
            <w:r w:rsidRPr="00064747">
              <w:rPr>
                <w:sz w:val="28"/>
                <w:szCs w:val="28"/>
              </w:rPr>
              <w:t xml:space="preserve">Aprēķinus skatīt </w:t>
            </w:r>
            <w:r w:rsidR="00A560D2" w:rsidRPr="00064747">
              <w:rPr>
                <w:sz w:val="28"/>
                <w:szCs w:val="28"/>
              </w:rPr>
              <w:t>1.</w:t>
            </w:r>
            <w:r w:rsidRPr="00064747">
              <w:rPr>
                <w:sz w:val="28"/>
                <w:szCs w:val="28"/>
              </w:rPr>
              <w:t>pielikumā.</w:t>
            </w:r>
          </w:p>
          <w:p w:rsidR="00193C5F" w:rsidRPr="006E1A94" w:rsidRDefault="00193C5F" w:rsidP="00DF7BC5">
            <w:pPr>
              <w:pStyle w:val="NormalWeb"/>
              <w:tabs>
                <w:tab w:val="left" w:pos="273"/>
              </w:tabs>
              <w:spacing w:before="0" w:beforeAutospacing="0" w:after="0" w:afterAutospacing="0"/>
              <w:jc w:val="both"/>
              <w:rPr>
                <w:sz w:val="28"/>
                <w:szCs w:val="28"/>
              </w:rPr>
            </w:pPr>
            <w:r w:rsidRPr="006E1A94">
              <w:rPr>
                <w:sz w:val="28"/>
                <w:szCs w:val="28"/>
              </w:rPr>
              <w:t xml:space="preserve">Papildus nepieciešamais finansējums ir aprēķināts: plānotais finanšu </w:t>
            </w:r>
            <w:r w:rsidRPr="006E1A94">
              <w:rPr>
                <w:sz w:val="28"/>
                <w:szCs w:val="28"/>
              </w:rPr>
              <w:lastRenderedPageBreak/>
              <w:t xml:space="preserve">apjoms par epizodēm un manipulācijām 114 246 728 </w:t>
            </w:r>
            <w:proofErr w:type="spellStart"/>
            <w:r w:rsidRPr="006E1A94">
              <w:rPr>
                <w:i/>
                <w:sz w:val="28"/>
                <w:szCs w:val="28"/>
              </w:rPr>
              <w:t>euro</w:t>
            </w:r>
            <w:proofErr w:type="spellEnd"/>
            <w:r w:rsidRPr="006E1A94">
              <w:rPr>
                <w:sz w:val="28"/>
                <w:szCs w:val="28"/>
              </w:rPr>
              <w:t xml:space="preserve"> pret sākotnēji plānoto deficītu 2014.gadam 1 804 538 </w:t>
            </w:r>
            <w:proofErr w:type="spellStart"/>
            <w:r w:rsidRPr="006E1A94">
              <w:rPr>
                <w:i/>
                <w:sz w:val="28"/>
                <w:szCs w:val="28"/>
              </w:rPr>
              <w:t>euro</w:t>
            </w:r>
            <w:proofErr w:type="spellEnd"/>
            <w:r w:rsidRPr="006E1A94">
              <w:rPr>
                <w:sz w:val="28"/>
                <w:szCs w:val="28"/>
              </w:rPr>
              <w:t xml:space="preserve"> un iegūt</w:t>
            </w:r>
            <w:r w:rsidR="006E1A94" w:rsidRPr="006E1A94">
              <w:rPr>
                <w:sz w:val="28"/>
                <w:szCs w:val="28"/>
              </w:rPr>
              <w:t>os</w:t>
            </w:r>
            <w:r w:rsidRPr="006E1A94">
              <w:rPr>
                <w:sz w:val="28"/>
                <w:szCs w:val="28"/>
              </w:rPr>
              <w:t xml:space="preserve"> procentu</w:t>
            </w:r>
            <w:r w:rsidR="006E1A94" w:rsidRPr="006E1A94">
              <w:rPr>
                <w:sz w:val="28"/>
                <w:szCs w:val="28"/>
              </w:rPr>
              <w:t>s</w:t>
            </w:r>
            <w:r w:rsidRPr="006E1A94">
              <w:rPr>
                <w:sz w:val="28"/>
                <w:szCs w:val="28"/>
              </w:rPr>
              <w:t xml:space="preserve"> attiecina pret ārstniecības iestādēm par speciālistu izmeklējumiem, kurām ir līguma pārstrāde, plānoto finanšu apjomu izmeklējumiem 2014.gadam</w:t>
            </w:r>
            <w:r w:rsidR="006E1A94" w:rsidRPr="006E1A94">
              <w:rPr>
                <w:sz w:val="28"/>
                <w:szCs w:val="28"/>
              </w:rPr>
              <w:t xml:space="preserve"> un pacienta iemaksām iegūto procentu attiecina pret ārstniecības iestādēm par speciālistu izmeklējumiem, kurām ir līguma pārstrāde, plānotām valsts pacienta iemaksām 2014.gadam.</w:t>
            </w:r>
          </w:p>
          <w:p w:rsidR="006E1A94" w:rsidRPr="00064747" w:rsidRDefault="006E1A94" w:rsidP="00DF7BC5">
            <w:pPr>
              <w:pStyle w:val="NormalWeb"/>
              <w:tabs>
                <w:tab w:val="left" w:pos="273"/>
              </w:tabs>
              <w:spacing w:before="0" w:beforeAutospacing="0" w:after="0" w:afterAutospacing="0"/>
              <w:jc w:val="both"/>
              <w:rPr>
                <w:sz w:val="28"/>
                <w:szCs w:val="28"/>
              </w:rPr>
            </w:pPr>
          </w:p>
          <w:p w:rsidR="00DC08A6" w:rsidRPr="00064747" w:rsidRDefault="004D33AF" w:rsidP="004D33AF">
            <w:pPr>
              <w:pStyle w:val="NormalWeb"/>
              <w:tabs>
                <w:tab w:val="left" w:pos="336"/>
              </w:tabs>
              <w:spacing w:before="0" w:beforeAutospacing="0" w:after="0" w:afterAutospacing="0"/>
              <w:ind w:left="52"/>
              <w:jc w:val="both"/>
              <w:rPr>
                <w:sz w:val="28"/>
                <w:szCs w:val="28"/>
                <w:u w:val="single"/>
              </w:rPr>
            </w:pPr>
            <w:r w:rsidRPr="00064747">
              <w:rPr>
                <w:sz w:val="28"/>
                <w:szCs w:val="28"/>
                <w:u w:val="single"/>
              </w:rPr>
              <w:t>2.</w:t>
            </w:r>
            <w:r w:rsidR="00537C23" w:rsidRPr="00064747">
              <w:rPr>
                <w:sz w:val="28"/>
                <w:szCs w:val="28"/>
                <w:u w:val="single"/>
              </w:rPr>
              <w:t xml:space="preserve">Daļējai laboratorisko pakalpojumu apmaksai virs 2014.gada plānoto līgumu kopsummas </w:t>
            </w:r>
            <w:r w:rsidR="00DA6E23" w:rsidRPr="00064747">
              <w:rPr>
                <w:sz w:val="28"/>
                <w:szCs w:val="28"/>
                <w:u w:val="single"/>
              </w:rPr>
              <w:t>473 080</w:t>
            </w:r>
            <w:r w:rsidR="00537C23" w:rsidRPr="00064747">
              <w:rPr>
                <w:sz w:val="28"/>
                <w:szCs w:val="28"/>
                <w:u w:val="single"/>
              </w:rPr>
              <w:t xml:space="preserve"> </w:t>
            </w:r>
            <w:proofErr w:type="spellStart"/>
            <w:r w:rsidR="00537C23" w:rsidRPr="00064747">
              <w:rPr>
                <w:i/>
                <w:sz w:val="28"/>
                <w:szCs w:val="28"/>
                <w:u w:val="single"/>
              </w:rPr>
              <w:t>euro</w:t>
            </w:r>
            <w:proofErr w:type="spellEnd"/>
            <w:r w:rsidR="00974B1B" w:rsidRPr="00064747">
              <w:rPr>
                <w:i/>
                <w:sz w:val="28"/>
                <w:szCs w:val="28"/>
                <w:u w:val="single"/>
              </w:rPr>
              <w:t xml:space="preserve"> </w:t>
            </w:r>
            <w:r w:rsidR="005200A1" w:rsidRPr="00064747">
              <w:rPr>
                <w:sz w:val="28"/>
                <w:szCs w:val="28"/>
                <w:u w:val="single"/>
              </w:rPr>
              <w:t>(EKK 3000</w:t>
            </w:r>
            <w:r w:rsidR="00974B1B" w:rsidRPr="00064747">
              <w:rPr>
                <w:sz w:val="28"/>
                <w:szCs w:val="28"/>
                <w:u w:val="single"/>
              </w:rPr>
              <w:t xml:space="preserve"> Subsīdijas un dotācijas)</w:t>
            </w:r>
            <w:r w:rsidR="00D26491" w:rsidRPr="00064747">
              <w:rPr>
                <w:sz w:val="28"/>
                <w:szCs w:val="28"/>
                <w:u w:val="single"/>
              </w:rPr>
              <w:t>.</w:t>
            </w:r>
            <w:r w:rsidR="00537C23" w:rsidRPr="00064747">
              <w:rPr>
                <w:sz w:val="28"/>
                <w:szCs w:val="28"/>
                <w:u w:val="single"/>
              </w:rPr>
              <w:t xml:space="preserve"> </w:t>
            </w:r>
          </w:p>
          <w:p w:rsidR="00DA6E23" w:rsidRPr="00064747" w:rsidRDefault="00DA6E23" w:rsidP="00DA6E23">
            <w:pPr>
              <w:pStyle w:val="NormalWeb"/>
              <w:snapToGrid w:val="0"/>
              <w:spacing w:before="0" w:beforeAutospacing="0" w:after="0" w:afterAutospacing="0"/>
              <w:jc w:val="both"/>
              <w:rPr>
                <w:sz w:val="28"/>
                <w:szCs w:val="28"/>
              </w:rPr>
            </w:pPr>
            <w:r w:rsidRPr="00064747">
              <w:rPr>
                <w:sz w:val="28"/>
                <w:szCs w:val="28"/>
              </w:rPr>
              <w:t>Atbilstoši veselības aprūpes organizēšanu un finansēšanu reglamentējošiem tiesību aktiem no 2011.gada laboratoriskos izmeklējumus apmaksā  pēc faktiski veiktā darba. Izvērtējot sniegtos laboratoriskos izmeklējumus 2014.gada 6 mēnešos, veiktais darbs, kas par šo periodu jāapmaksā</w:t>
            </w:r>
            <w:r w:rsidR="00B5791C" w:rsidRPr="00064747">
              <w:rPr>
                <w:sz w:val="28"/>
                <w:szCs w:val="28"/>
              </w:rPr>
              <w:t>,</w:t>
            </w:r>
            <w:r w:rsidRPr="00064747">
              <w:rPr>
                <w:sz w:val="28"/>
                <w:szCs w:val="28"/>
              </w:rPr>
              <w:t xml:space="preserve">  ir lielāks nekā budžetā šim mērķim ir pieejamie līdzekļi un gada beigās var veidoties deficīts. </w:t>
            </w:r>
          </w:p>
          <w:tbl>
            <w:tblPr>
              <w:tblW w:w="8780" w:type="dxa"/>
              <w:tblInd w:w="93" w:type="dxa"/>
              <w:tblLook w:val="04A0"/>
            </w:tblPr>
            <w:tblGrid>
              <w:gridCol w:w="6875"/>
              <w:gridCol w:w="1382"/>
            </w:tblGrid>
            <w:tr w:rsidR="00DA6E23" w:rsidRPr="00064747" w:rsidTr="00D3610D">
              <w:trPr>
                <w:trHeight w:val="570"/>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6E23" w:rsidRPr="00064747" w:rsidRDefault="00DA6E23" w:rsidP="00D3610D">
                  <w:r w:rsidRPr="00064747">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DA6E23" w:rsidRPr="00064747" w:rsidRDefault="00DA6E23" w:rsidP="00D3610D">
                  <w:pPr>
                    <w:jc w:val="center"/>
                    <w:rPr>
                      <w:bCs/>
                    </w:rPr>
                  </w:pPr>
                  <w:r w:rsidRPr="00064747">
                    <w:rPr>
                      <w:bCs/>
                    </w:rPr>
                    <w:t>Kopā</w:t>
                  </w:r>
                </w:p>
              </w:tc>
            </w:tr>
            <w:tr w:rsidR="00DA6E23" w:rsidRPr="00064747" w:rsidTr="00D3610D">
              <w:trPr>
                <w:trHeight w:val="570"/>
              </w:trPr>
              <w:tc>
                <w:tcPr>
                  <w:tcW w:w="7320" w:type="dxa"/>
                  <w:tcBorders>
                    <w:top w:val="nil"/>
                    <w:left w:val="single" w:sz="4" w:space="0" w:color="auto"/>
                    <w:bottom w:val="single" w:sz="4" w:space="0" w:color="auto"/>
                    <w:right w:val="single" w:sz="4" w:space="0" w:color="auto"/>
                  </w:tcBorders>
                  <w:shd w:val="clear" w:color="auto" w:fill="auto"/>
                  <w:vAlign w:val="center"/>
                  <w:hideMark/>
                </w:tcPr>
                <w:p w:rsidR="00DA6E23" w:rsidRPr="00064747" w:rsidRDefault="00DA6E23" w:rsidP="00DA6E23">
                  <w:pPr>
                    <w:rPr>
                      <w:bCs/>
                    </w:rPr>
                  </w:pPr>
                  <w:r w:rsidRPr="00064747">
                    <w:rPr>
                      <w:bCs/>
                    </w:rPr>
                    <w:t xml:space="preserve">Ambulatoro laboratorijas pakalpojumu apmaksai plānotais finansējums, </w:t>
                  </w:r>
                  <w:proofErr w:type="spellStart"/>
                  <w:r w:rsidRPr="00064747">
                    <w:rPr>
                      <w:bCs/>
                      <w:i/>
                    </w:rPr>
                    <w:t>euro</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DA6E23" w:rsidRPr="00064747" w:rsidRDefault="00DA6E23" w:rsidP="00D3610D">
                  <w:pPr>
                    <w:jc w:val="right"/>
                    <w:rPr>
                      <w:bCs/>
                    </w:rPr>
                  </w:pPr>
                  <w:r w:rsidRPr="00064747">
                    <w:rPr>
                      <w:bCs/>
                    </w:rPr>
                    <w:t>25 548 664</w:t>
                  </w:r>
                </w:p>
              </w:tc>
            </w:tr>
            <w:tr w:rsidR="00DA6E23" w:rsidRPr="00064747" w:rsidTr="00D3610D">
              <w:trPr>
                <w:trHeight w:val="300"/>
              </w:trPr>
              <w:tc>
                <w:tcPr>
                  <w:tcW w:w="7320" w:type="dxa"/>
                  <w:tcBorders>
                    <w:top w:val="nil"/>
                    <w:left w:val="single" w:sz="4" w:space="0" w:color="auto"/>
                    <w:bottom w:val="single" w:sz="4" w:space="0" w:color="auto"/>
                    <w:right w:val="single" w:sz="4" w:space="0" w:color="auto"/>
                  </w:tcBorders>
                  <w:shd w:val="clear" w:color="auto" w:fill="auto"/>
                  <w:noWrap/>
                  <w:vAlign w:val="bottom"/>
                  <w:hideMark/>
                </w:tcPr>
                <w:p w:rsidR="00DA6E23" w:rsidRPr="00064747" w:rsidRDefault="00DA6E23" w:rsidP="00064747">
                  <w:r w:rsidRPr="00064747">
                    <w:t xml:space="preserve">Pakalpojumu izpilde 6 mēnešos, </w:t>
                  </w:r>
                  <w:proofErr w:type="spellStart"/>
                  <w:r w:rsidRPr="00064747">
                    <w:rPr>
                      <w:bCs/>
                      <w:i/>
                    </w:rPr>
                    <w:t>euro</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DA6E23" w:rsidRPr="00064747" w:rsidRDefault="00DA6E23" w:rsidP="00D3610D">
                  <w:pPr>
                    <w:jc w:val="right"/>
                  </w:pPr>
                  <w:r w:rsidRPr="00064747">
                    <w:t>14 010 872</w:t>
                  </w:r>
                </w:p>
              </w:tc>
            </w:tr>
            <w:tr w:rsidR="00DA6E23" w:rsidRPr="00064747" w:rsidTr="00D3610D">
              <w:trPr>
                <w:trHeight w:val="285"/>
              </w:trPr>
              <w:tc>
                <w:tcPr>
                  <w:tcW w:w="7320" w:type="dxa"/>
                  <w:tcBorders>
                    <w:top w:val="nil"/>
                    <w:left w:val="single" w:sz="4" w:space="0" w:color="auto"/>
                    <w:bottom w:val="single" w:sz="4" w:space="0" w:color="auto"/>
                    <w:right w:val="single" w:sz="4" w:space="0" w:color="auto"/>
                  </w:tcBorders>
                  <w:shd w:val="clear" w:color="auto" w:fill="auto"/>
                  <w:noWrap/>
                  <w:vAlign w:val="bottom"/>
                  <w:hideMark/>
                </w:tcPr>
                <w:p w:rsidR="00DA6E23" w:rsidRPr="00064747" w:rsidRDefault="00DA6E23" w:rsidP="00064747">
                  <w:pPr>
                    <w:rPr>
                      <w:bCs/>
                    </w:rPr>
                  </w:pPr>
                  <w:r w:rsidRPr="00064747">
                    <w:rPr>
                      <w:bCs/>
                    </w:rPr>
                    <w:t xml:space="preserve">Izpildes prognoze gadam, </w:t>
                  </w:r>
                  <w:proofErr w:type="spellStart"/>
                  <w:r w:rsidRPr="00064747">
                    <w:rPr>
                      <w:bCs/>
                      <w:i/>
                    </w:rPr>
                    <w:t>euro</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DA6E23" w:rsidRPr="00064747" w:rsidRDefault="00DA6E23" w:rsidP="00D3610D">
                  <w:pPr>
                    <w:jc w:val="right"/>
                    <w:rPr>
                      <w:bCs/>
                    </w:rPr>
                  </w:pPr>
                  <w:r w:rsidRPr="00064747">
                    <w:rPr>
                      <w:bCs/>
                    </w:rPr>
                    <w:t>28 021 744</w:t>
                  </w:r>
                </w:p>
              </w:tc>
            </w:tr>
            <w:tr w:rsidR="00DA6E23" w:rsidRPr="00064747" w:rsidTr="00D3610D">
              <w:trPr>
                <w:trHeight w:val="300"/>
              </w:trPr>
              <w:tc>
                <w:tcPr>
                  <w:tcW w:w="7320" w:type="dxa"/>
                  <w:tcBorders>
                    <w:top w:val="nil"/>
                    <w:left w:val="single" w:sz="4" w:space="0" w:color="auto"/>
                    <w:bottom w:val="single" w:sz="4" w:space="0" w:color="auto"/>
                    <w:right w:val="single" w:sz="4" w:space="0" w:color="auto"/>
                  </w:tcBorders>
                  <w:shd w:val="clear" w:color="auto" w:fill="auto"/>
                  <w:noWrap/>
                  <w:vAlign w:val="bottom"/>
                  <w:hideMark/>
                </w:tcPr>
                <w:p w:rsidR="00DA6E23" w:rsidRPr="00064747" w:rsidRDefault="00DA6E23" w:rsidP="00D3610D">
                  <w:r w:rsidRPr="00064747">
                    <w:t xml:space="preserve">Novirze no gada plāna, </w:t>
                  </w:r>
                  <w:proofErr w:type="spellStart"/>
                  <w:r w:rsidRPr="00064747">
                    <w:rPr>
                      <w:bCs/>
                      <w:i/>
                    </w:rPr>
                    <w:t>euro</w:t>
                  </w:r>
                  <w:proofErr w:type="spellEnd"/>
                  <w:r w:rsidRPr="00064747">
                    <w:t xml:space="preserve"> (- deficīts/+ rezerve)</w:t>
                  </w:r>
                </w:p>
              </w:tc>
              <w:tc>
                <w:tcPr>
                  <w:tcW w:w="1460" w:type="dxa"/>
                  <w:tcBorders>
                    <w:top w:val="nil"/>
                    <w:left w:val="nil"/>
                    <w:bottom w:val="single" w:sz="4" w:space="0" w:color="auto"/>
                    <w:right w:val="single" w:sz="4" w:space="0" w:color="auto"/>
                  </w:tcBorders>
                  <w:shd w:val="clear" w:color="auto" w:fill="auto"/>
                  <w:noWrap/>
                  <w:vAlign w:val="bottom"/>
                  <w:hideMark/>
                </w:tcPr>
                <w:p w:rsidR="00DA6E23" w:rsidRPr="00064747" w:rsidRDefault="00DA6E23" w:rsidP="00D3610D">
                  <w:pPr>
                    <w:jc w:val="right"/>
                  </w:pPr>
                  <w:r w:rsidRPr="00064747">
                    <w:t>-2 473 080</w:t>
                  </w:r>
                </w:p>
              </w:tc>
            </w:tr>
            <w:tr w:rsidR="00DA6E23" w:rsidRPr="00064747" w:rsidTr="00D3610D">
              <w:trPr>
                <w:trHeight w:val="300"/>
              </w:trPr>
              <w:tc>
                <w:tcPr>
                  <w:tcW w:w="7320" w:type="dxa"/>
                  <w:tcBorders>
                    <w:top w:val="nil"/>
                    <w:left w:val="single" w:sz="4" w:space="0" w:color="auto"/>
                    <w:bottom w:val="single" w:sz="4" w:space="0" w:color="auto"/>
                    <w:right w:val="single" w:sz="4" w:space="0" w:color="auto"/>
                  </w:tcBorders>
                  <w:shd w:val="clear" w:color="auto" w:fill="auto"/>
                  <w:noWrap/>
                  <w:vAlign w:val="bottom"/>
                  <w:hideMark/>
                </w:tcPr>
                <w:p w:rsidR="00DA6E23" w:rsidRPr="00064747" w:rsidRDefault="00DA6E23" w:rsidP="00D3610D">
                  <w:r w:rsidRPr="00064747">
                    <w:t>Novirze no plāna, % no gada plāna</w:t>
                  </w:r>
                </w:p>
              </w:tc>
              <w:tc>
                <w:tcPr>
                  <w:tcW w:w="1460" w:type="dxa"/>
                  <w:tcBorders>
                    <w:top w:val="nil"/>
                    <w:left w:val="nil"/>
                    <w:bottom w:val="single" w:sz="4" w:space="0" w:color="auto"/>
                    <w:right w:val="single" w:sz="4" w:space="0" w:color="auto"/>
                  </w:tcBorders>
                  <w:shd w:val="clear" w:color="auto" w:fill="auto"/>
                  <w:noWrap/>
                  <w:vAlign w:val="bottom"/>
                  <w:hideMark/>
                </w:tcPr>
                <w:p w:rsidR="00DA6E23" w:rsidRPr="00064747" w:rsidRDefault="00DA6E23" w:rsidP="00D3610D">
                  <w:pPr>
                    <w:jc w:val="right"/>
                  </w:pPr>
                  <w:r w:rsidRPr="00064747">
                    <w:t>-9,68</w:t>
                  </w:r>
                </w:p>
              </w:tc>
            </w:tr>
            <w:tr w:rsidR="00DA6E23" w:rsidRPr="00064747" w:rsidTr="00D3610D">
              <w:trPr>
                <w:trHeight w:val="855"/>
              </w:trPr>
              <w:tc>
                <w:tcPr>
                  <w:tcW w:w="7320" w:type="dxa"/>
                  <w:tcBorders>
                    <w:top w:val="nil"/>
                    <w:left w:val="single" w:sz="4" w:space="0" w:color="auto"/>
                    <w:bottom w:val="single" w:sz="4" w:space="0" w:color="auto"/>
                    <w:right w:val="single" w:sz="4" w:space="0" w:color="auto"/>
                  </w:tcBorders>
                  <w:shd w:val="clear" w:color="auto" w:fill="auto"/>
                  <w:vAlign w:val="bottom"/>
                  <w:hideMark/>
                </w:tcPr>
                <w:p w:rsidR="00DA6E23" w:rsidRPr="00064747" w:rsidRDefault="00DA6E23" w:rsidP="00D3610D">
                  <w:pPr>
                    <w:rPr>
                      <w:bCs/>
                    </w:rPr>
                  </w:pPr>
                  <w:r w:rsidRPr="00064747">
                    <w:rPr>
                      <w:bCs/>
                    </w:rPr>
                    <w:t>Daļējai deficīta izlīdzināšanai no apakšprogrammas „Līdzekļiem neparedzētiem gadījumiem” piešķirto līdzekļu sadalījums (MK rīkojums Nr.379, 25.07.2014)</w:t>
                  </w:r>
                </w:p>
              </w:tc>
              <w:tc>
                <w:tcPr>
                  <w:tcW w:w="1460" w:type="dxa"/>
                  <w:tcBorders>
                    <w:top w:val="nil"/>
                    <w:left w:val="nil"/>
                    <w:bottom w:val="single" w:sz="4" w:space="0" w:color="auto"/>
                    <w:right w:val="single" w:sz="4" w:space="0" w:color="auto"/>
                  </w:tcBorders>
                  <w:shd w:val="clear" w:color="auto" w:fill="auto"/>
                  <w:noWrap/>
                  <w:vAlign w:val="bottom"/>
                  <w:hideMark/>
                </w:tcPr>
                <w:p w:rsidR="00DA6E23" w:rsidRPr="00064747" w:rsidRDefault="00DA6E23" w:rsidP="00D3610D">
                  <w:pPr>
                    <w:jc w:val="right"/>
                    <w:rPr>
                      <w:bCs/>
                    </w:rPr>
                  </w:pPr>
                  <w:r w:rsidRPr="00064747">
                    <w:rPr>
                      <w:bCs/>
                    </w:rPr>
                    <w:t xml:space="preserve">2 000 </w:t>
                  </w:r>
                  <w:proofErr w:type="spellStart"/>
                  <w:r w:rsidRPr="00064747">
                    <w:rPr>
                      <w:bCs/>
                    </w:rPr>
                    <w:t>000</w:t>
                  </w:r>
                  <w:proofErr w:type="spellEnd"/>
                </w:p>
              </w:tc>
            </w:tr>
            <w:tr w:rsidR="00DA6E23" w:rsidRPr="00064747" w:rsidTr="00D3610D">
              <w:trPr>
                <w:trHeight w:val="570"/>
              </w:trPr>
              <w:tc>
                <w:tcPr>
                  <w:tcW w:w="7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E23" w:rsidRPr="00064747" w:rsidRDefault="00DA6E23" w:rsidP="00DA6E23">
                  <w:pPr>
                    <w:rPr>
                      <w:bCs/>
                    </w:rPr>
                  </w:pPr>
                  <w:r w:rsidRPr="00064747">
                    <w:rPr>
                      <w:bCs/>
                    </w:rPr>
                    <w:t xml:space="preserve">Ambulatoro laboratorijas pakalpojumu apmaksai plānotais finansējums pēc korekcijas, </w:t>
                  </w:r>
                  <w:proofErr w:type="spellStart"/>
                  <w:r w:rsidRPr="00064747">
                    <w:rPr>
                      <w:bCs/>
                      <w:i/>
                    </w:rPr>
                    <w:t>euro</w:t>
                  </w:r>
                  <w:proofErr w:type="spellEnd"/>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A6E23" w:rsidRPr="00064747" w:rsidRDefault="00DA6E23" w:rsidP="00D3610D">
                  <w:pPr>
                    <w:jc w:val="right"/>
                    <w:rPr>
                      <w:bCs/>
                    </w:rPr>
                  </w:pPr>
                  <w:r w:rsidRPr="00064747">
                    <w:rPr>
                      <w:bCs/>
                    </w:rPr>
                    <w:t>27 548 664</w:t>
                  </w:r>
                </w:p>
              </w:tc>
            </w:tr>
            <w:tr w:rsidR="00DA6E23" w:rsidRPr="00064747" w:rsidTr="00DA6E23">
              <w:trPr>
                <w:trHeight w:val="397"/>
              </w:trPr>
              <w:tc>
                <w:tcPr>
                  <w:tcW w:w="7320" w:type="dxa"/>
                  <w:tcBorders>
                    <w:top w:val="single" w:sz="4" w:space="0" w:color="auto"/>
                    <w:left w:val="single" w:sz="4" w:space="0" w:color="auto"/>
                    <w:bottom w:val="single" w:sz="4" w:space="0" w:color="auto"/>
                    <w:right w:val="single" w:sz="4" w:space="0" w:color="auto"/>
                  </w:tcBorders>
                  <w:shd w:val="clear" w:color="auto" w:fill="auto"/>
                  <w:vAlign w:val="center"/>
                </w:tcPr>
                <w:p w:rsidR="00DA6E23" w:rsidRPr="00064747" w:rsidRDefault="00DA6E23" w:rsidP="00D3610D">
                  <w:pPr>
                    <w:rPr>
                      <w:bCs/>
                    </w:rPr>
                  </w:pPr>
                  <w:r w:rsidRPr="00064747">
                    <w:rPr>
                      <w:bCs/>
                    </w:rPr>
                    <w:t>Deficīts (prognoze)</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DA6E23" w:rsidRPr="00064747" w:rsidRDefault="00DA6E23" w:rsidP="00D3610D">
                  <w:pPr>
                    <w:jc w:val="right"/>
                    <w:rPr>
                      <w:bCs/>
                    </w:rPr>
                  </w:pPr>
                  <w:r w:rsidRPr="00064747">
                    <w:rPr>
                      <w:bCs/>
                    </w:rPr>
                    <w:t>- 473 080</w:t>
                  </w:r>
                </w:p>
              </w:tc>
            </w:tr>
          </w:tbl>
          <w:p w:rsidR="00DA6E23" w:rsidRPr="00064747" w:rsidRDefault="00DA6E23" w:rsidP="003A63D3">
            <w:pPr>
              <w:keepLines/>
              <w:autoSpaceDE w:val="0"/>
              <w:autoSpaceDN w:val="0"/>
              <w:adjustRightInd w:val="0"/>
              <w:jc w:val="both"/>
              <w:rPr>
                <w:sz w:val="28"/>
                <w:szCs w:val="28"/>
                <w:lang w:bidi="en-US"/>
              </w:rPr>
            </w:pPr>
            <w:r w:rsidRPr="00064747">
              <w:rPr>
                <w:sz w:val="28"/>
                <w:szCs w:val="28"/>
                <w:lang w:bidi="en-US"/>
              </w:rPr>
              <w:t xml:space="preserve">Saskaņā ar Ministru kabineta 2014.gada 25.jūlija rīkojumu Nr.379 daļējai laboratorisko pakalpojumu apmaksai virs 2014.gada līgumu summas bija piešķirti 2 000 000 </w:t>
            </w:r>
            <w:proofErr w:type="spellStart"/>
            <w:r w:rsidRPr="00064747">
              <w:rPr>
                <w:i/>
                <w:sz w:val="28"/>
                <w:szCs w:val="28"/>
                <w:lang w:bidi="en-US"/>
              </w:rPr>
              <w:t>euro</w:t>
            </w:r>
            <w:proofErr w:type="spellEnd"/>
            <w:r w:rsidRPr="00064747">
              <w:rPr>
                <w:sz w:val="28"/>
                <w:szCs w:val="28"/>
                <w:lang w:bidi="en-US"/>
              </w:rPr>
              <w:t xml:space="preserve">. Pēc 6 mēnešu izpildes rezultātiem kopējais nepieciešamas finansējums starpības segšanai starp </w:t>
            </w:r>
            <w:r w:rsidRPr="00064747">
              <w:rPr>
                <w:sz w:val="28"/>
                <w:szCs w:val="28"/>
              </w:rPr>
              <w:t>reālajām izmaksām</w:t>
            </w:r>
            <w:r w:rsidRPr="00064747">
              <w:rPr>
                <w:sz w:val="28"/>
                <w:szCs w:val="28"/>
                <w:lang w:bidi="en-US"/>
              </w:rPr>
              <w:t xml:space="preserve"> un budžetā pieejamo finansējumu ir 2 473 080 </w:t>
            </w:r>
            <w:proofErr w:type="spellStart"/>
            <w:r w:rsidRPr="00064747">
              <w:rPr>
                <w:i/>
                <w:sz w:val="28"/>
                <w:szCs w:val="28"/>
                <w:lang w:bidi="en-US"/>
              </w:rPr>
              <w:t>euro</w:t>
            </w:r>
            <w:proofErr w:type="spellEnd"/>
            <w:r w:rsidRPr="00064747">
              <w:rPr>
                <w:i/>
                <w:sz w:val="28"/>
                <w:szCs w:val="28"/>
                <w:lang w:bidi="en-US"/>
              </w:rPr>
              <w:t>.</w:t>
            </w:r>
            <w:r w:rsidRPr="00064747">
              <w:rPr>
                <w:sz w:val="28"/>
                <w:szCs w:val="28"/>
                <w:lang w:bidi="en-US"/>
              </w:rPr>
              <w:t xml:space="preserve">  Starpība  starp aprēķināto nepieciešamo papildus</w:t>
            </w:r>
            <w:bookmarkStart w:id="0" w:name="_GoBack"/>
            <w:bookmarkEnd w:id="0"/>
            <w:r w:rsidRPr="00064747">
              <w:rPr>
                <w:sz w:val="28"/>
                <w:szCs w:val="28"/>
                <w:lang w:bidi="en-US"/>
              </w:rPr>
              <w:t xml:space="preserve"> finansējumu 2014.gada laboratorisko pakalpojumu apmaksai un saskaņā ar Ministru  Kabineta rīkojumu Nr.379 piešķirto finansējumu ir 473 080 </w:t>
            </w:r>
            <w:proofErr w:type="spellStart"/>
            <w:r w:rsidRPr="00064747">
              <w:rPr>
                <w:i/>
                <w:sz w:val="28"/>
                <w:szCs w:val="28"/>
                <w:lang w:bidi="en-US"/>
              </w:rPr>
              <w:t>euro</w:t>
            </w:r>
            <w:proofErr w:type="spellEnd"/>
            <w:r w:rsidRPr="00064747">
              <w:rPr>
                <w:sz w:val="28"/>
                <w:szCs w:val="28"/>
                <w:lang w:bidi="en-US"/>
              </w:rPr>
              <w:t xml:space="preserve"> (EKK 3000). </w:t>
            </w:r>
          </w:p>
          <w:p w:rsidR="001D3881" w:rsidRPr="00064747" w:rsidRDefault="001D3881" w:rsidP="003A63D3">
            <w:pPr>
              <w:keepLines/>
              <w:autoSpaceDE w:val="0"/>
              <w:autoSpaceDN w:val="0"/>
              <w:adjustRightInd w:val="0"/>
              <w:jc w:val="both"/>
              <w:rPr>
                <w:sz w:val="28"/>
                <w:szCs w:val="28"/>
              </w:rPr>
            </w:pPr>
          </w:p>
          <w:p w:rsidR="004D33AF" w:rsidRPr="00064747" w:rsidRDefault="004D33AF" w:rsidP="003A63D3">
            <w:pPr>
              <w:keepLines/>
              <w:autoSpaceDE w:val="0"/>
              <w:autoSpaceDN w:val="0"/>
              <w:adjustRightInd w:val="0"/>
              <w:jc w:val="both"/>
              <w:rPr>
                <w:sz w:val="28"/>
                <w:szCs w:val="28"/>
                <w:u w:val="single"/>
              </w:rPr>
            </w:pPr>
            <w:r w:rsidRPr="00064747">
              <w:rPr>
                <w:sz w:val="28"/>
                <w:szCs w:val="28"/>
                <w:u w:val="single"/>
              </w:rPr>
              <w:t xml:space="preserve">3.Vienreizējiem maksājumiem ārstniecības iestādēm, kuras sniedz stacionāros ārstniecības pakalpojumus,  infrastruktūras uzturēšanas izdevumu deficīta segšanai 6 580 152 </w:t>
            </w:r>
            <w:proofErr w:type="spellStart"/>
            <w:r w:rsidRPr="00064747">
              <w:rPr>
                <w:i/>
                <w:sz w:val="28"/>
                <w:szCs w:val="28"/>
                <w:u w:val="single"/>
              </w:rPr>
              <w:t>euro</w:t>
            </w:r>
            <w:proofErr w:type="spellEnd"/>
            <w:r w:rsidR="005200A1" w:rsidRPr="00064747">
              <w:rPr>
                <w:sz w:val="28"/>
                <w:szCs w:val="28"/>
                <w:u w:val="single"/>
              </w:rPr>
              <w:t xml:space="preserve"> (EKK 3000 Subsīdijas un dotācijas).</w:t>
            </w:r>
            <w:r w:rsidR="00A860FB" w:rsidRPr="00064747">
              <w:rPr>
                <w:sz w:val="28"/>
                <w:szCs w:val="28"/>
                <w:u w:val="single"/>
              </w:rPr>
              <w:t xml:space="preserve"> </w:t>
            </w:r>
          </w:p>
          <w:p w:rsidR="000E5C05" w:rsidRPr="00064747" w:rsidRDefault="000E5C05" w:rsidP="000E5C05">
            <w:pPr>
              <w:ind w:firstLine="720"/>
              <w:jc w:val="both"/>
              <w:rPr>
                <w:sz w:val="28"/>
                <w:szCs w:val="28"/>
              </w:rPr>
            </w:pPr>
            <w:r w:rsidRPr="00064747">
              <w:rPr>
                <w:sz w:val="28"/>
                <w:szCs w:val="28"/>
              </w:rPr>
              <w:t xml:space="preserve">Finansējums ārstniecības iestādēm, kuras sniedz stacionāros </w:t>
            </w:r>
            <w:r w:rsidRPr="00064747">
              <w:rPr>
                <w:sz w:val="28"/>
                <w:szCs w:val="28"/>
              </w:rPr>
              <w:lastRenderedPageBreak/>
              <w:t xml:space="preserve">ārstniecības pakalpojumus,  sadalīts vienreizēja maksājuma veidā proporcionāli līgumos fiksētajam maksājumam par stacionāro darbību. </w:t>
            </w:r>
          </w:p>
          <w:p w:rsidR="00A560D2" w:rsidRPr="00064747" w:rsidRDefault="00A560D2" w:rsidP="00A560D2">
            <w:pPr>
              <w:pStyle w:val="NormalWeb"/>
              <w:tabs>
                <w:tab w:val="left" w:pos="273"/>
              </w:tabs>
              <w:spacing w:before="0" w:beforeAutospacing="0" w:after="0" w:afterAutospacing="0"/>
              <w:jc w:val="both"/>
              <w:rPr>
                <w:sz w:val="28"/>
                <w:szCs w:val="28"/>
              </w:rPr>
            </w:pPr>
            <w:r w:rsidRPr="00064747">
              <w:rPr>
                <w:sz w:val="28"/>
                <w:szCs w:val="28"/>
              </w:rPr>
              <w:t>Aprēķinus skatīt 2.pielikumā.</w:t>
            </w:r>
          </w:p>
          <w:p w:rsidR="004D33AF" w:rsidRPr="00064747" w:rsidRDefault="004D33AF" w:rsidP="003A63D3">
            <w:pPr>
              <w:keepLines/>
              <w:autoSpaceDE w:val="0"/>
              <w:autoSpaceDN w:val="0"/>
              <w:adjustRightInd w:val="0"/>
              <w:jc w:val="both"/>
              <w:rPr>
                <w:sz w:val="28"/>
                <w:szCs w:val="28"/>
              </w:rPr>
            </w:pPr>
          </w:p>
          <w:p w:rsidR="00DA6E23" w:rsidRPr="00064747" w:rsidRDefault="004D33AF" w:rsidP="001D3881">
            <w:pPr>
              <w:pStyle w:val="NormalWeb"/>
              <w:spacing w:before="0" w:beforeAutospacing="0" w:after="0" w:afterAutospacing="0"/>
              <w:jc w:val="both"/>
              <w:rPr>
                <w:sz w:val="28"/>
                <w:szCs w:val="28"/>
                <w:u w:val="single"/>
              </w:rPr>
            </w:pPr>
            <w:r w:rsidRPr="00064747">
              <w:rPr>
                <w:sz w:val="28"/>
                <w:szCs w:val="28"/>
                <w:u w:val="single"/>
              </w:rPr>
              <w:t>4</w:t>
            </w:r>
            <w:r w:rsidR="001D3881" w:rsidRPr="00064747">
              <w:rPr>
                <w:sz w:val="28"/>
                <w:szCs w:val="28"/>
                <w:u w:val="single"/>
              </w:rPr>
              <w:t xml:space="preserve">.Neatliekamās medicīniskās palīdzības dienestam, lai nodrošinātu līdzekļu deficīta segšanu atlaišanas pabalstu un darbinieku ievainojuma, sakropļojuma vai citāda veselības bojājuma gadījumā vai nāves gadījumā izmaksājamo pabalstu izmaksām 49 967 </w:t>
            </w:r>
            <w:proofErr w:type="spellStart"/>
            <w:r w:rsidR="001D3881" w:rsidRPr="00064747">
              <w:rPr>
                <w:i/>
                <w:sz w:val="28"/>
                <w:szCs w:val="28"/>
                <w:u w:val="single"/>
              </w:rPr>
              <w:t>euro</w:t>
            </w:r>
            <w:proofErr w:type="spellEnd"/>
            <w:r w:rsidRPr="00064747">
              <w:rPr>
                <w:i/>
                <w:sz w:val="28"/>
                <w:szCs w:val="28"/>
                <w:u w:val="single"/>
              </w:rPr>
              <w:t xml:space="preserve"> </w:t>
            </w:r>
            <w:r w:rsidR="005200A1" w:rsidRPr="00064747">
              <w:rPr>
                <w:sz w:val="28"/>
                <w:szCs w:val="28"/>
                <w:u w:val="single"/>
              </w:rPr>
              <w:t>(EKK 1000</w:t>
            </w:r>
            <w:r w:rsidRPr="00064747">
              <w:rPr>
                <w:sz w:val="28"/>
                <w:szCs w:val="28"/>
                <w:u w:val="single"/>
              </w:rPr>
              <w:t xml:space="preserve"> </w:t>
            </w:r>
            <w:r w:rsidR="005200A1" w:rsidRPr="00064747">
              <w:rPr>
                <w:sz w:val="28"/>
                <w:szCs w:val="28"/>
                <w:u w:val="single"/>
              </w:rPr>
              <w:t>Atlīdzība</w:t>
            </w:r>
            <w:r w:rsidRPr="00064747">
              <w:rPr>
                <w:sz w:val="28"/>
                <w:szCs w:val="28"/>
                <w:u w:val="single"/>
              </w:rPr>
              <w:t>).</w:t>
            </w:r>
          </w:p>
          <w:tbl>
            <w:tblPr>
              <w:tblW w:w="9620" w:type="dxa"/>
              <w:tblLook w:val="04A0"/>
            </w:tblPr>
            <w:tblGrid>
              <w:gridCol w:w="2520"/>
              <w:gridCol w:w="897"/>
              <w:gridCol w:w="897"/>
              <w:gridCol w:w="897"/>
              <w:gridCol w:w="897"/>
              <w:gridCol w:w="1304"/>
              <w:gridCol w:w="938"/>
            </w:tblGrid>
            <w:tr w:rsidR="00892F0E" w:rsidRPr="00064747" w:rsidTr="00892F0E">
              <w:trPr>
                <w:trHeight w:val="930"/>
              </w:trPr>
              <w:tc>
                <w:tcPr>
                  <w:tcW w:w="3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F0E" w:rsidRPr="00064747" w:rsidRDefault="00892F0E" w:rsidP="00892F0E">
                  <w:pPr>
                    <w:jc w:val="center"/>
                    <w:rPr>
                      <w:sz w:val="20"/>
                      <w:szCs w:val="20"/>
                      <w:lang w:eastAsia="en-US"/>
                    </w:rPr>
                  </w:pPr>
                  <w:r w:rsidRPr="00064747">
                    <w:rPr>
                      <w:sz w:val="20"/>
                      <w:szCs w:val="20"/>
                      <w:lang w:eastAsia="en-US"/>
                    </w:rPr>
                    <w:t>EKK nosaukums</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F0E" w:rsidRPr="00064747" w:rsidRDefault="00892F0E" w:rsidP="00892F0E">
                  <w:pPr>
                    <w:jc w:val="center"/>
                    <w:rPr>
                      <w:sz w:val="20"/>
                      <w:szCs w:val="20"/>
                      <w:lang w:eastAsia="en-US"/>
                    </w:rPr>
                  </w:pPr>
                  <w:r w:rsidRPr="00064747">
                    <w:rPr>
                      <w:sz w:val="20"/>
                      <w:szCs w:val="20"/>
                      <w:lang w:eastAsia="en-US"/>
                    </w:rPr>
                    <w:t xml:space="preserve"> 2013.gada fakts</w:t>
                  </w:r>
                  <w:r w:rsidR="00DE37D0" w:rsidRPr="00064747">
                    <w:rPr>
                      <w:sz w:val="20"/>
                      <w:szCs w:val="20"/>
                      <w:lang w:eastAsia="en-US"/>
                    </w:rPr>
                    <w:t xml:space="preserve"> = 2014.gada plāns</w:t>
                  </w:r>
                  <w:r w:rsidRPr="00064747">
                    <w:rPr>
                      <w:sz w:val="20"/>
                      <w:szCs w:val="20"/>
                      <w:lang w:eastAsia="en-US"/>
                    </w:rPr>
                    <w:t xml:space="preserve">, </w:t>
                  </w:r>
                  <w:proofErr w:type="spellStart"/>
                  <w:r w:rsidRPr="00064747">
                    <w:rPr>
                      <w:i/>
                      <w:iCs/>
                      <w:sz w:val="20"/>
                      <w:szCs w:val="20"/>
                      <w:lang w:eastAsia="en-US"/>
                    </w:rPr>
                    <w:t>euro</w:t>
                  </w:r>
                  <w:proofErr w:type="spellEnd"/>
                  <w:r w:rsidRPr="00064747">
                    <w:rPr>
                      <w:i/>
                      <w:iCs/>
                      <w:sz w:val="20"/>
                      <w:szCs w:val="20"/>
                      <w:lang w:eastAsia="en-US"/>
                    </w:rPr>
                    <w:t xml:space="preserve"> </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F0E" w:rsidRPr="00064747" w:rsidRDefault="00892F0E" w:rsidP="00892F0E">
                  <w:pPr>
                    <w:jc w:val="center"/>
                    <w:rPr>
                      <w:sz w:val="20"/>
                      <w:szCs w:val="20"/>
                      <w:lang w:eastAsia="en-US"/>
                    </w:rPr>
                  </w:pPr>
                  <w:r w:rsidRPr="00064747">
                    <w:rPr>
                      <w:sz w:val="20"/>
                      <w:szCs w:val="20"/>
                      <w:lang w:eastAsia="en-US"/>
                    </w:rPr>
                    <w:t xml:space="preserve">2013.gada fakts vidēji mēnesī, </w:t>
                  </w:r>
                  <w:proofErr w:type="spellStart"/>
                  <w:r w:rsidRPr="00064747">
                    <w:rPr>
                      <w:i/>
                      <w:iCs/>
                      <w:sz w:val="20"/>
                      <w:szCs w:val="20"/>
                      <w:lang w:eastAsia="en-US"/>
                    </w:rPr>
                    <w:t>euro</w:t>
                  </w:r>
                  <w:proofErr w:type="spellEnd"/>
                  <w:r w:rsidRPr="00064747">
                    <w:rPr>
                      <w:i/>
                      <w:iCs/>
                      <w:sz w:val="20"/>
                      <w:szCs w:val="20"/>
                      <w:lang w:eastAsia="en-US"/>
                    </w:rPr>
                    <w:t xml:space="preserve"> </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F0E" w:rsidRPr="00064747" w:rsidRDefault="00892F0E" w:rsidP="00892F0E">
                  <w:pPr>
                    <w:jc w:val="center"/>
                    <w:rPr>
                      <w:sz w:val="20"/>
                      <w:szCs w:val="20"/>
                      <w:lang w:eastAsia="en-US"/>
                    </w:rPr>
                  </w:pPr>
                  <w:r w:rsidRPr="00064747">
                    <w:rPr>
                      <w:sz w:val="20"/>
                      <w:szCs w:val="20"/>
                      <w:lang w:eastAsia="en-US"/>
                    </w:rPr>
                    <w:t xml:space="preserve">2014.gada </w:t>
                  </w:r>
                  <w:r w:rsidRPr="00064747">
                    <w:rPr>
                      <w:sz w:val="20"/>
                      <w:szCs w:val="20"/>
                      <w:lang w:eastAsia="en-US"/>
                    </w:rPr>
                    <w:br/>
                    <w:t xml:space="preserve">fakts (janvāris - jūnijs), </w:t>
                  </w:r>
                  <w:proofErr w:type="spellStart"/>
                  <w:r w:rsidRPr="00064747">
                    <w:rPr>
                      <w:i/>
                      <w:iCs/>
                      <w:sz w:val="20"/>
                      <w:szCs w:val="20"/>
                      <w:lang w:eastAsia="en-US"/>
                    </w:rPr>
                    <w:t>euro</w:t>
                  </w:r>
                  <w:proofErr w:type="spellEnd"/>
                  <w:r w:rsidRPr="00064747">
                    <w:rPr>
                      <w:i/>
                      <w:iCs/>
                      <w:sz w:val="20"/>
                      <w:szCs w:val="20"/>
                      <w:lang w:eastAsia="en-US"/>
                    </w:rPr>
                    <w:t xml:space="preserve">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F0E" w:rsidRPr="00064747" w:rsidRDefault="00892F0E" w:rsidP="00892F0E">
                  <w:pPr>
                    <w:jc w:val="center"/>
                    <w:rPr>
                      <w:sz w:val="20"/>
                      <w:szCs w:val="20"/>
                      <w:lang w:eastAsia="en-US"/>
                    </w:rPr>
                  </w:pPr>
                  <w:r w:rsidRPr="00064747">
                    <w:rPr>
                      <w:sz w:val="20"/>
                      <w:szCs w:val="20"/>
                      <w:lang w:eastAsia="en-US"/>
                    </w:rPr>
                    <w:t>2014.gadā vidēji mēnesī fakts,</w:t>
                  </w:r>
                  <w:r w:rsidRPr="00064747">
                    <w:rPr>
                      <w:i/>
                      <w:iCs/>
                      <w:sz w:val="20"/>
                      <w:szCs w:val="20"/>
                      <w:lang w:eastAsia="en-US"/>
                    </w:rPr>
                    <w:t xml:space="preserve"> </w:t>
                  </w:r>
                  <w:proofErr w:type="spellStart"/>
                  <w:r w:rsidRPr="00064747">
                    <w:rPr>
                      <w:i/>
                      <w:iCs/>
                      <w:sz w:val="20"/>
                      <w:szCs w:val="20"/>
                      <w:lang w:eastAsia="en-US"/>
                    </w:rPr>
                    <w:t>euro</w:t>
                  </w:r>
                  <w:proofErr w:type="spellEnd"/>
                  <w:r w:rsidRPr="00064747">
                    <w:rPr>
                      <w:i/>
                      <w:iCs/>
                      <w:sz w:val="20"/>
                      <w:szCs w:val="20"/>
                      <w:lang w:eastAsia="en-US"/>
                    </w:rPr>
                    <w:t xml:space="preserve"> </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F0E" w:rsidRPr="00064747" w:rsidRDefault="00892F0E" w:rsidP="00892F0E">
                  <w:pPr>
                    <w:jc w:val="center"/>
                    <w:rPr>
                      <w:sz w:val="20"/>
                      <w:szCs w:val="20"/>
                      <w:lang w:eastAsia="en-US"/>
                    </w:rPr>
                  </w:pPr>
                  <w:r w:rsidRPr="00064747">
                    <w:rPr>
                      <w:sz w:val="20"/>
                      <w:szCs w:val="20"/>
                      <w:lang w:eastAsia="en-US"/>
                    </w:rPr>
                    <w:t xml:space="preserve">2014.gada faktiski nepieciešamā finansējuma prognoze ņemot vērā 2013.gada faktu un 2014.gada 6 mēnešu faktu un plānotos izdevumus līdz gada beigām, </w:t>
                  </w:r>
                  <w:proofErr w:type="spellStart"/>
                  <w:r w:rsidRPr="00064747">
                    <w:rPr>
                      <w:i/>
                      <w:iCs/>
                      <w:sz w:val="20"/>
                      <w:szCs w:val="20"/>
                      <w:lang w:eastAsia="en-US"/>
                    </w:rPr>
                    <w:t>euro</w:t>
                  </w:r>
                  <w:proofErr w:type="spellEnd"/>
                  <w:r w:rsidRPr="00064747">
                    <w:rPr>
                      <w:i/>
                      <w:iCs/>
                      <w:sz w:val="20"/>
                      <w:szCs w:val="20"/>
                      <w:lang w:eastAsia="en-US"/>
                    </w:rPr>
                    <w:t xml:space="preserve"> </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892F0E" w:rsidRPr="00064747" w:rsidRDefault="00892F0E" w:rsidP="00892F0E">
                  <w:pPr>
                    <w:jc w:val="center"/>
                    <w:rPr>
                      <w:sz w:val="20"/>
                      <w:szCs w:val="20"/>
                      <w:lang w:eastAsia="en-US"/>
                    </w:rPr>
                  </w:pPr>
                  <w:r w:rsidRPr="00064747">
                    <w:rPr>
                      <w:sz w:val="20"/>
                      <w:szCs w:val="20"/>
                      <w:lang w:eastAsia="en-US"/>
                    </w:rPr>
                    <w:t xml:space="preserve">deficīts 2014.gada, </w:t>
                  </w:r>
                  <w:proofErr w:type="spellStart"/>
                  <w:r w:rsidRPr="00064747">
                    <w:rPr>
                      <w:i/>
                      <w:iCs/>
                      <w:sz w:val="20"/>
                      <w:szCs w:val="20"/>
                      <w:lang w:eastAsia="en-US"/>
                    </w:rPr>
                    <w:t>euro</w:t>
                  </w:r>
                  <w:proofErr w:type="spellEnd"/>
                  <w:r w:rsidRPr="00064747">
                    <w:rPr>
                      <w:i/>
                      <w:iCs/>
                      <w:sz w:val="20"/>
                      <w:szCs w:val="20"/>
                      <w:lang w:eastAsia="en-US"/>
                    </w:rPr>
                    <w:t xml:space="preserve"> </w:t>
                  </w:r>
                </w:p>
              </w:tc>
            </w:tr>
            <w:tr w:rsidR="00892F0E" w:rsidRPr="00064747" w:rsidTr="00892F0E">
              <w:trPr>
                <w:trHeight w:val="2235"/>
              </w:trPr>
              <w:tc>
                <w:tcPr>
                  <w:tcW w:w="3020" w:type="dxa"/>
                  <w:vMerge/>
                  <w:tcBorders>
                    <w:top w:val="single" w:sz="4" w:space="0" w:color="auto"/>
                    <w:left w:val="single" w:sz="4" w:space="0" w:color="auto"/>
                    <w:bottom w:val="single" w:sz="4" w:space="0" w:color="auto"/>
                    <w:right w:val="single" w:sz="4" w:space="0" w:color="auto"/>
                  </w:tcBorders>
                  <w:vAlign w:val="center"/>
                  <w:hideMark/>
                </w:tcPr>
                <w:p w:rsidR="00892F0E" w:rsidRPr="00064747" w:rsidRDefault="00892F0E" w:rsidP="00892F0E">
                  <w:pPr>
                    <w:rPr>
                      <w:sz w:val="20"/>
                      <w:szCs w:val="20"/>
                      <w:lang w:eastAsia="en-US"/>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892F0E" w:rsidRPr="00064747" w:rsidRDefault="00892F0E" w:rsidP="00892F0E">
                  <w:pPr>
                    <w:rPr>
                      <w:sz w:val="20"/>
                      <w:szCs w:val="20"/>
                      <w:lang w:eastAsia="en-US"/>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892F0E" w:rsidRPr="00064747" w:rsidRDefault="00892F0E" w:rsidP="00892F0E">
                  <w:pPr>
                    <w:rPr>
                      <w:sz w:val="20"/>
                      <w:szCs w:val="20"/>
                      <w:lang w:eastAsia="en-U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892F0E" w:rsidRPr="00064747" w:rsidRDefault="00892F0E" w:rsidP="00892F0E">
                  <w:pPr>
                    <w:rPr>
                      <w:sz w:val="20"/>
                      <w:szCs w:val="20"/>
                      <w:lang w:eastAsia="en-U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892F0E" w:rsidRPr="00064747" w:rsidRDefault="00892F0E" w:rsidP="00892F0E">
                  <w:pPr>
                    <w:rPr>
                      <w:sz w:val="20"/>
                      <w:szCs w:val="20"/>
                      <w:lang w:eastAsia="en-US"/>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892F0E" w:rsidRPr="00064747" w:rsidRDefault="00892F0E" w:rsidP="00892F0E">
                  <w:pPr>
                    <w:rPr>
                      <w:sz w:val="20"/>
                      <w:szCs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92F0E" w:rsidRPr="00064747" w:rsidRDefault="00892F0E" w:rsidP="00892F0E">
                  <w:pPr>
                    <w:rPr>
                      <w:sz w:val="20"/>
                      <w:szCs w:val="20"/>
                      <w:lang w:eastAsia="en-US"/>
                    </w:rPr>
                  </w:pPr>
                </w:p>
              </w:tc>
            </w:tr>
            <w:tr w:rsidR="00892F0E" w:rsidRPr="00064747" w:rsidTr="00892F0E">
              <w:trPr>
                <w:trHeight w:val="1080"/>
              </w:trPr>
              <w:tc>
                <w:tcPr>
                  <w:tcW w:w="3020" w:type="dxa"/>
                  <w:tcBorders>
                    <w:top w:val="nil"/>
                    <w:left w:val="single" w:sz="4" w:space="0" w:color="auto"/>
                    <w:bottom w:val="nil"/>
                    <w:right w:val="single" w:sz="4" w:space="0" w:color="auto"/>
                  </w:tcBorders>
                  <w:shd w:val="clear" w:color="auto" w:fill="auto"/>
                  <w:vAlign w:val="center"/>
                  <w:hideMark/>
                </w:tcPr>
                <w:p w:rsidR="00892F0E" w:rsidRPr="00064747" w:rsidRDefault="00892F0E" w:rsidP="00892F0E">
                  <w:pPr>
                    <w:rPr>
                      <w:sz w:val="20"/>
                      <w:szCs w:val="20"/>
                      <w:u w:val="single"/>
                      <w:lang w:eastAsia="en-US"/>
                    </w:rPr>
                  </w:pPr>
                  <w:r w:rsidRPr="00064747">
                    <w:rPr>
                      <w:sz w:val="20"/>
                      <w:szCs w:val="20"/>
                      <w:u w:val="single"/>
                      <w:lang w:eastAsia="en-US"/>
                    </w:rPr>
                    <w:t>Darba devēja valsts sociālās apdrošināšanas obligātās iemaksas, pabalsti un kompensācijas (EKK 1200)</w:t>
                  </w:r>
                </w:p>
              </w:tc>
              <w:tc>
                <w:tcPr>
                  <w:tcW w:w="1040" w:type="dxa"/>
                  <w:tcBorders>
                    <w:top w:val="nil"/>
                    <w:left w:val="nil"/>
                    <w:bottom w:val="single" w:sz="4" w:space="0" w:color="auto"/>
                    <w:right w:val="single" w:sz="4" w:space="0" w:color="auto"/>
                  </w:tcBorders>
                  <w:shd w:val="clear" w:color="auto" w:fill="auto"/>
                  <w:vAlign w:val="center"/>
                  <w:hideMark/>
                </w:tcPr>
                <w:p w:rsidR="00892F0E" w:rsidRPr="00064747" w:rsidRDefault="00892F0E" w:rsidP="00892F0E">
                  <w:pPr>
                    <w:jc w:val="center"/>
                    <w:rPr>
                      <w:sz w:val="20"/>
                      <w:szCs w:val="20"/>
                      <w:u w:val="single"/>
                      <w:lang w:eastAsia="en-US"/>
                    </w:rPr>
                  </w:pPr>
                  <w:r w:rsidRPr="00064747">
                    <w:rPr>
                      <w:sz w:val="20"/>
                      <w:szCs w:val="20"/>
                      <w:u w:val="single"/>
                      <w:lang w:eastAsia="en-US"/>
                    </w:rPr>
                    <w:t>51657</w:t>
                  </w:r>
                </w:p>
              </w:tc>
              <w:tc>
                <w:tcPr>
                  <w:tcW w:w="1000" w:type="dxa"/>
                  <w:tcBorders>
                    <w:top w:val="nil"/>
                    <w:left w:val="nil"/>
                    <w:bottom w:val="single" w:sz="4" w:space="0" w:color="auto"/>
                    <w:right w:val="nil"/>
                  </w:tcBorders>
                  <w:shd w:val="clear" w:color="auto" w:fill="auto"/>
                  <w:vAlign w:val="center"/>
                  <w:hideMark/>
                </w:tcPr>
                <w:p w:rsidR="00892F0E" w:rsidRPr="00064747" w:rsidRDefault="00892F0E" w:rsidP="00892F0E">
                  <w:pPr>
                    <w:jc w:val="center"/>
                    <w:rPr>
                      <w:sz w:val="20"/>
                      <w:szCs w:val="20"/>
                      <w:u w:val="single"/>
                      <w:lang w:eastAsia="en-US"/>
                    </w:rPr>
                  </w:pPr>
                  <w:r w:rsidRPr="00064747">
                    <w:rPr>
                      <w:sz w:val="20"/>
                      <w:szCs w:val="20"/>
                      <w:u w:val="single"/>
                      <w:lang w:eastAsia="en-US"/>
                    </w:rPr>
                    <w:t>4305</w:t>
                  </w:r>
                </w:p>
              </w:tc>
              <w:tc>
                <w:tcPr>
                  <w:tcW w:w="1000" w:type="dxa"/>
                  <w:tcBorders>
                    <w:top w:val="nil"/>
                    <w:left w:val="single" w:sz="4" w:space="0" w:color="auto"/>
                    <w:bottom w:val="single" w:sz="4" w:space="0" w:color="auto"/>
                    <w:right w:val="nil"/>
                  </w:tcBorders>
                  <w:shd w:val="clear" w:color="auto" w:fill="auto"/>
                  <w:vAlign w:val="center"/>
                  <w:hideMark/>
                </w:tcPr>
                <w:p w:rsidR="00892F0E" w:rsidRPr="00064747" w:rsidRDefault="00892F0E" w:rsidP="00892F0E">
                  <w:pPr>
                    <w:jc w:val="center"/>
                    <w:rPr>
                      <w:sz w:val="20"/>
                      <w:szCs w:val="20"/>
                      <w:u w:val="single"/>
                      <w:lang w:eastAsia="en-US"/>
                    </w:rPr>
                  </w:pPr>
                  <w:r w:rsidRPr="00064747">
                    <w:rPr>
                      <w:sz w:val="20"/>
                      <w:szCs w:val="20"/>
                      <w:u w:val="single"/>
                      <w:lang w:eastAsia="en-US"/>
                    </w:rPr>
                    <w:t>69 078</w:t>
                  </w:r>
                </w:p>
              </w:tc>
              <w:tc>
                <w:tcPr>
                  <w:tcW w:w="940" w:type="dxa"/>
                  <w:tcBorders>
                    <w:top w:val="nil"/>
                    <w:left w:val="single" w:sz="4" w:space="0" w:color="auto"/>
                    <w:bottom w:val="single" w:sz="4" w:space="0" w:color="auto"/>
                    <w:right w:val="nil"/>
                  </w:tcBorders>
                  <w:shd w:val="clear" w:color="auto" w:fill="auto"/>
                  <w:vAlign w:val="center"/>
                  <w:hideMark/>
                </w:tcPr>
                <w:p w:rsidR="00892F0E" w:rsidRPr="00064747" w:rsidRDefault="00892F0E" w:rsidP="00892F0E">
                  <w:pPr>
                    <w:jc w:val="center"/>
                    <w:rPr>
                      <w:sz w:val="20"/>
                      <w:szCs w:val="20"/>
                      <w:u w:val="single"/>
                      <w:lang w:eastAsia="en-US"/>
                    </w:rPr>
                  </w:pPr>
                  <w:r w:rsidRPr="00064747">
                    <w:rPr>
                      <w:sz w:val="20"/>
                      <w:szCs w:val="20"/>
                      <w:u w:val="single"/>
                      <w:lang w:eastAsia="en-US"/>
                    </w:rPr>
                    <w:t>0</w:t>
                  </w:r>
                </w:p>
              </w:tc>
              <w:tc>
                <w:tcPr>
                  <w:tcW w:w="1540" w:type="dxa"/>
                  <w:tcBorders>
                    <w:top w:val="nil"/>
                    <w:left w:val="single" w:sz="4" w:space="0" w:color="auto"/>
                    <w:bottom w:val="single" w:sz="4" w:space="0" w:color="auto"/>
                    <w:right w:val="nil"/>
                  </w:tcBorders>
                  <w:shd w:val="clear" w:color="000000" w:fill="FFFFFF"/>
                  <w:noWrap/>
                  <w:vAlign w:val="center"/>
                  <w:hideMark/>
                </w:tcPr>
                <w:p w:rsidR="00892F0E" w:rsidRPr="00064747" w:rsidRDefault="00892F0E" w:rsidP="00892F0E">
                  <w:pPr>
                    <w:jc w:val="center"/>
                    <w:rPr>
                      <w:sz w:val="20"/>
                      <w:szCs w:val="20"/>
                      <w:u w:val="single"/>
                      <w:lang w:eastAsia="en-US"/>
                    </w:rPr>
                  </w:pPr>
                  <w:r w:rsidRPr="00064747">
                    <w:rPr>
                      <w:sz w:val="20"/>
                      <w:szCs w:val="20"/>
                      <w:u w:val="single"/>
                      <w:lang w:eastAsia="en-US"/>
                    </w:rPr>
                    <w:t>101 624</w:t>
                  </w:r>
                </w:p>
              </w:tc>
              <w:tc>
                <w:tcPr>
                  <w:tcW w:w="1080" w:type="dxa"/>
                  <w:tcBorders>
                    <w:top w:val="nil"/>
                    <w:left w:val="single" w:sz="4" w:space="0" w:color="auto"/>
                    <w:bottom w:val="single" w:sz="4" w:space="0" w:color="auto"/>
                    <w:right w:val="single" w:sz="4" w:space="0" w:color="auto"/>
                  </w:tcBorders>
                  <w:shd w:val="clear" w:color="000000" w:fill="F2F2F2"/>
                  <w:vAlign w:val="center"/>
                  <w:hideMark/>
                </w:tcPr>
                <w:p w:rsidR="00892F0E" w:rsidRPr="00064747" w:rsidRDefault="00892F0E" w:rsidP="00892F0E">
                  <w:pPr>
                    <w:jc w:val="center"/>
                    <w:rPr>
                      <w:sz w:val="20"/>
                      <w:szCs w:val="20"/>
                      <w:u w:val="single"/>
                      <w:lang w:eastAsia="en-US"/>
                    </w:rPr>
                  </w:pPr>
                  <w:r w:rsidRPr="00064747">
                    <w:rPr>
                      <w:sz w:val="20"/>
                      <w:szCs w:val="20"/>
                      <w:u w:val="single"/>
                      <w:lang w:eastAsia="en-US"/>
                    </w:rPr>
                    <w:t>49 967</w:t>
                  </w:r>
                </w:p>
              </w:tc>
            </w:tr>
            <w:tr w:rsidR="00892F0E" w:rsidRPr="00064747" w:rsidTr="00892F0E">
              <w:trPr>
                <w:trHeight w:val="870"/>
              </w:trPr>
              <w:tc>
                <w:tcPr>
                  <w:tcW w:w="3020" w:type="dxa"/>
                  <w:tcBorders>
                    <w:top w:val="single" w:sz="4" w:space="0" w:color="auto"/>
                    <w:left w:val="single" w:sz="4" w:space="0" w:color="auto"/>
                    <w:bottom w:val="nil"/>
                    <w:right w:val="single" w:sz="4" w:space="0" w:color="auto"/>
                  </w:tcBorders>
                  <w:shd w:val="clear" w:color="auto" w:fill="auto"/>
                  <w:vAlign w:val="center"/>
                  <w:hideMark/>
                </w:tcPr>
                <w:p w:rsidR="00892F0E" w:rsidRPr="00064747" w:rsidRDefault="00892F0E" w:rsidP="00892F0E">
                  <w:pPr>
                    <w:rPr>
                      <w:sz w:val="20"/>
                      <w:szCs w:val="20"/>
                      <w:lang w:eastAsia="en-US"/>
                    </w:rPr>
                  </w:pPr>
                  <w:r w:rsidRPr="00064747">
                    <w:rPr>
                      <w:sz w:val="20"/>
                      <w:szCs w:val="20"/>
                      <w:lang w:eastAsia="en-US"/>
                    </w:rPr>
                    <w:t>Darba devēja valsts sociālās apdrošināšanas obligātās iemaksas (EKK 1210)</w:t>
                  </w:r>
                </w:p>
              </w:tc>
              <w:tc>
                <w:tcPr>
                  <w:tcW w:w="1040" w:type="dxa"/>
                  <w:tcBorders>
                    <w:top w:val="nil"/>
                    <w:left w:val="nil"/>
                    <w:bottom w:val="single" w:sz="4" w:space="0" w:color="auto"/>
                    <w:right w:val="single" w:sz="4" w:space="0" w:color="auto"/>
                  </w:tcBorders>
                  <w:shd w:val="clear" w:color="auto" w:fill="auto"/>
                  <w:vAlign w:val="center"/>
                  <w:hideMark/>
                </w:tcPr>
                <w:p w:rsidR="00892F0E" w:rsidRPr="00064747" w:rsidRDefault="00892F0E" w:rsidP="00892F0E">
                  <w:pPr>
                    <w:jc w:val="center"/>
                    <w:rPr>
                      <w:sz w:val="20"/>
                      <w:szCs w:val="20"/>
                      <w:lang w:eastAsia="en-US"/>
                    </w:rPr>
                  </w:pPr>
                  <w:r w:rsidRPr="00064747">
                    <w:rPr>
                      <w:sz w:val="20"/>
                      <w:szCs w:val="20"/>
                      <w:lang w:eastAsia="en-US"/>
                    </w:rPr>
                    <w:t>10 028</w:t>
                  </w:r>
                </w:p>
              </w:tc>
              <w:tc>
                <w:tcPr>
                  <w:tcW w:w="1000" w:type="dxa"/>
                  <w:tcBorders>
                    <w:top w:val="nil"/>
                    <w:left w:val="nil"/>
                    <w:bottom w:val="single" w:sz="4" w:space="0" w:color="auto"/>
                    <w:right w:val="nil"/>
                  </w:tcBorders>
                  <w:shd w:val="clear" w:color="auto" w:fill="auto"/>
                  <w:vAlign w:val="center"/>
                  <w:hideMark/>
                </w:tcPr>
                <w:p w:rsidR="00892F0E" w:rsidRPr="00064747" w:rsidRDefault="00892F0E" w:rsidP="00892F0E">
                  <w:pPr>
                    <w:jc w:val="center"/>
                    <w:rPr>
                      <w:sz w:val="20"/>
                      <w:szCs w:val="20"/>
                      <w:lang w:eastAsia="en-US"/>
                    </w:rPr>
                  </w:pPr>
                  <w:r w:rsidRPr="00064747">
                    <w:rPr>
                      <w:sz w:val="20"/>
                      <w:szCs w:val="20"/>
                      <w:lang w:eastAsia="en-US"/>
                    </w:rPr>
                    <w:t>836</w:t>
                  </w:r>
                </w:p>
              </w:tc>
              <w:tc>
                <w:tcPr>
                  <w:tcW w:w="1000" w:type="dxa"/>
                  <w:tcBorders>
                    <w:top w:val="nil"/>
                    <w:left w:val="single" w:sz="4" w:space="0" w:color="auto"/>
                    <w:bottom w:val="single" w:sz="4" w:space="0" w:color="auto"/>
                    <w:right w:val="nil"/>
                  </w:tcBorders>
                  <w:shd w:val="clear" w:color="auto" w:fill="auto"/>
                  <w:vAlign w:val="center"/>
                  <w:hideMark/>
                </w:tcPr>
                <w:p w:rsidR="00892F0E" w:rsidRPr="00064747" w:rsidRDefault="00892F0E" w:rsidP="00892F0E">
                  <w:pPr>
                    <w:jc w:val="center"/>
                    <w:rPr>
                      <w:sz w:val="20"/>
                      <w:szCs w:val="20"/>
                      <w:lang w:eastAsia="en-US"/>
                    </w:rPr>
                  </w:pPr>
                  <w:r w:rsidRPr="00064747">
                    <w:rPr>
                      <w:sz w:val="20"/>
                      <w:szCs w:val="20"/>
                      <w:lang w:eastAsia="en-US"/>
                    </w:rPr>
                    <w:t>10957</w:t>
                  </w:r>
                </w:p>
              </w:tc>
              <w:tc>
                <w:tcPr>
                  <w:tcW w:w="940" w:type="dxa"/>
                  <w:tcBorders>
                    <w:top w:val="nil"/>
                    <w:left w:val="single" w:sz="4" w:space="0" w:color="auto"/>
                    <w:bottom w:val="single" w:sz="4" w:space="0" w:color="auto"/>
                    <w:right w:val="nil"/>
                  </w:tcBorders>
                  <w:shd w:val="clear" w:color="auto" w:fill="auto"/>
                  <w:vAlign w:val="center"/>
                  <w:hideMark/>
                </w:tcPr>
                <w:p w:rsidR="00892F0E" w:rsidRPr="00064747" w:rsidRDefault="00892F0E" w:rsidP="00892F0E">
                  <w:pPr>
                    <w:jc w:val="center"/>
                    <w:rPr>
                      <w:sz w:val="20"/>
                      <w:szCs w:val="20"/>
                      <w:lang w:eastAsia="en-US"/>
                    </w:rPr>
                  </w:pPr>
                  <w:r w:rsidRPr="00064747">
                    <w:rPr>
                      <w:sz w:val="20"/>
                      <w:szCs w:val="20"/>
                      <w:lang w:eastAsia="en-US"/>
                    </w:rPr>
                    <w:t>0</w:t>
                  </w:r>
                </w:p>
              </w:tc>
              <w:tc>
                <w:tcPr>
                  <w:tcW w:w="1540" w:type="dxa"/>
                  <w:tcBorders>
                    <w:top w:val="nil"/>
                    <w:left w:val="single" w:sz="4" w:space="0" w:color="auto"/>
                    <w:bottom w:val="single" w:sz="4" w:space="0" w:color="auto"/>
                    <w:right w:val="nil"/>
                  </w:tcBorders>
                  <w:shd w:val="clear" w:color="000000" w:fill="FFFFFF"/>
                  <w:noWrap/>
                  <w:vAlign w:val="center"/>
                  <w:hideMark/>
                </w:tcPr>
                <w:p w:rsidR="00892F0E" w:rsidRPr="00064747" w:rsidRDefault="00892F0E" w:rsidP="00892F0E">
                  <w:pPr>
                    <w:jc w:val="center"/>
                    <w:rPr>
                      <w:sz w:val="20"/>
                      <w:szCs w:val="20"/>
                      <w:lang w:eastAsia="en-US"/>
                    </w:rPr>
                  </w:pPr>
                  <w:r w:rsidRPr="00064747">
                    <w:rPr>
                      <w:sz w:val="20"/>
                      <w:szCs w:val="20"/>
                      <w:lang w:eastAsia="en-US"/>
                    </w:rPr>
                    <w:t>14 940</w:t>
                  </w:r>
                </w:p>
              </w:tc>
              <w:tc>
                <w:tcPr>
                  <w:tcW w:w="1080" w:type="dxa"/>
                  <w:tcBorders>
                    <w:top w:val="nil"/>
                    <w:left w:val="single" w:sz="4" w:space="0" w:color="auto"/>
                    <w:bottom w:val="single" w:sz="4" w:space="0" w:color="auto"/>
                    <w:right w:val="single" w:sz="4" w:space="0" w:color="auto"/>
                  </w:tcBorders>
                  <w:shd w:val="clear" w:color="000000" w:fill="F2F2F2"/>
                  <w:vAlign w:val="center"/>
                  <w:hideMark/>
                </w:tcPr>
                <w:p w:rsidR="00892F0E" w:rsidRPr="00064747" w:rsidRDefault="00892F0E" w:rsidP="00892F0E">
                  <w:pPr>
                    <w:jc w:val="center"/>
                    <w:rPr>
                      <w:sz w:val="20"/>
                      <w:szCs w:val="20"/>
                      <w:lang w:eastAsia="en-US"/>
                    </w:rPr>
                  </w:pPr>
                  <w:r w:rsidRPr="00064747">
                    <w:rPr>
                      <w:sz w:val="20"/>
                      <w:szCs w:val="20"/>
                      <w:lang w:eastAsia="en-US"/>
                    </w:rPr>
                    <w:t>4912</w:t>
                  </w:r>
                </w:p>
              </w:tc>
            </w:tr>
            <w:tr w:rsidR="00892F0E" w:rsidRPr="00064747" w:rsidTr="00892F0E">
              <w:trPr>
                <w:trHeight w:val="870"/>
              </w:trPr>
              <w:tc>
                <w:tcPr>
                  <w:tcW w:w="3020" w:type="dxa"/>
                  <w:tcBorders>
                    <w:top w:val="single" w:sz="4" w:space="0" w:color="auto"/>
                    <w:left w:val="single" w:sz="4" w:space="0" w:color="auto"/>
                    <w:bottom w:val="nil"/>
                    <w:right w:val="single" w:sz="4" w:space="0" w:color="auto"/>
                  </w:tcBorders>
                  <w:shd w:val="clear" w:color="000000" w:fill="FFFFFF"/>
                  <w:vAlign w:val="center"/>
                  <w:hideMark/>
                </w:tcPr>
                <w:p w:rsidR="00892F0E" w:rsidRPr="00064747" w:rsidRDefault="00892F0E" w:rsidP="00892F0E">
                  <w:pPr>
                    <w:rPr>
                      <w:sz w:val="20"/>
                      <w:szCs w:val="20"/>
                      <w:lang w:eastAsia="en-US"/>
                    </w:rPr>
                  </w:pPr>
                  <w:r w:rsidRPr="00064747">
                    <w:rPr>
                      <w:sz w:val="20"/>
                      <w:szCs w:val="20"/>
                      <w:lang w:eastAsia="en-US"/>
                    </w:rPr>
                    <w:t>Darba devēja pabalsti, kompensācijas un citi maksājumi (EKK 1220)</w:t>
                  </w:r>
                </w:p>
              </w:tc>
              <w:tc>
                <w:tcPr>
                  <w:tcW w:w="1040" w:type="dxa"/>
                  <w:tcBorders>
                    <w:top w:val="nil"/>
                    <w:left w:val="nil"/>
                    <w:bottom w:val="single" w:sz="4" w:space="0" w:color="auto"/>
                    <w:right w:val="single" w:sz="4" w:space="0" w:color="auto"/>
                  </w:tcBorders>
                  <w:shd w:val="clear" w:color="000000" w:fill="FFFFFF"/>
                  <w:noWrap/>
                  <w:vAlign w:val="center"/>
                  <w:hideMark/>
                </w:tcPr>
                <w:p w:rsidR="00892F0E" w:rsidRPr="00064747" w:rsidRDefault="00892F0E" w:rsidP="00892F0E">
                  <w:pPr>
                    <w:jc w:val="center"/>
                    <w:rPr>
                      <w:sz w:val="20"/>
                      <w:szCs w:val="20"/>
                      <w:lang w:eastAsia="en-US"/>
                    </w:rPr>
                  </w:pPr>
                  <w:r w:rsidRPr="00064747">
                    <w:rPr>
                      <w:sz w:val="20"/>
                      <w:szCs w:val="20"/>
                      <w:lang w:eastAsia="en-US"/>
                    </w:rPr>
                    <w:t>41 629</w:t>
                  </w:r>
                </w:p>
              </w:tc>
              <w:tc>
                <w:tcPr>
                  <w:tcW w:w="1000" w:type="dxa"/>
                  <w:tcBorders>
                    <w:top w:val="nil"/>
                    <w:left w:val="nil"/>
                    <w:bottom w:val="single" w:sz="4" w:space="0" w:color="auto"/>
                    <w:right w:val="nil"/>
                  </w:tcBorders>
                  <w:shd w:val="clear" w:color="auto" w:fill="auto"/>
                  <w:vAlign w:val="center"/>
                  <w:hideMark/>
                </w:tcPr>
                <w:p w:rsidR="00892F0E" w:rsidRPr="00064747" w:rsidRDefault="00892F0E" w:rsidP="00892F0E">
                  <w:pPr>
                    <w:jc w:val="center"/>
                    <w:rPr>
                      <w:sz w:val="20"/>
                      <w:szCs w:val="20"/>
                      <w:lang w:eastAsia="en-US"/>
                    </w:rPr>
                  </w:pPr>
                  <w:r w:rsidRPr="00064747">
                    <w:rPr>
                      <w:sz w:val="20"/>
                      <w:szCs w:val="20"/>
                      <w:lang w:eastAsia="en-US"/>
                    </w:rPr>
                    <w:t>3469</w:t>
                  </w:r>
                </w:p>
              </w:tc>
              <w:tc>
                <w:tcPr>
                  <w:tcW w:w="1000" w:type="dxa"/>
                  <w:tcBorders>
                    <w:top w:val="nil"/>
                    <w:left w:val="single" w:sz="4" w:space="0" w:color="auto"/>
                    <w:bottom w:val="single" w:sz="4" w:space="0" w:color="auto"/>
                    <w:right w:val="nil"/>
                  </w:tcBorders>
                  <w:shd w:val="clear" w:color="000000" w:fill="FFFFFF"/>
                  <w:noWrap/>
                  <w:vAlign w:val="center"/>
                  <w:hideMark/>
                </w:tcPr>
                <w:p w:rsidR="00892F0E" w:rsidRPr="00064747" w:rsidRDefault="00892F0E" w:rsidP="00892F0E">
                  <w:pPr>
                    <w:jc w:val="center"/>
                    <w:rPr>
                      <w:sz w:val="20"/>
                      <w:szCs w:val="20"/>
                      <w:lang w:eastAsia="en-US"/>
                    </w:rPr>
                  </w:pPr>
                  <w:r w:rsidRPr="00064747">
                    <w:rPr>
                      <w:sz w:val="20"/>
                      <w:szCs w:val="20"/>
                      <w:lang w:eastAsia="en-US"/>
                    </w:rPr>
                    <w:t>58 121</w:t>
                  </w:r>
                </w:p>
              </w:tc>
              <w:tc>
                <w:tcPr>
                  <w:tcW w:w="940" w:type="dxa"/>
                  <w:tcBorders>
                    <w:top w:val="nil"/>
                    <w:left w:val="single" w:sz="4" w:space="0" w:color="auto"/>
                    <w:bottom w:val="single" w:sz="4" w:space="0" w:color="auto"/>
                    <w:right w:val="nil"/>
                  </w:tcBorders>
                  <w:shd w:val="clear" w:color="auto" w:fill="auto"/>
                  <w:vAlign w:val="center"/>
                  <w:hideMark/>
                </w:tcPr>
                <w:p w:rsidR="00892F0E" w:rsidRPr="00064747" w:rsidRDefault="00892F0E" w:rsidP="00892F0E">
                  <w:pPr>
                    <w:jc w:val="center"/>
                    <w:rPr>
                      <w:sz w:val="20"/>
                      <w:szCs w:val="20"/>
                      <w:lang w:eastAsia="en-US"/>
                    </w:rPr>
                  </w:pPr>
                  <w:r w:rsidRPr="00064747">
                    <w:rPr>
                      <w:sz w:val="20"/>
                      <w:szCs w:val="20"/>
                      <w:lang w:eastAsia="en-US"/>
                    </w:rPr>
                    <w:t>0</w:t>
                  </w:r>
                </w:p>
              </w:tc>
              <w:tc>
                <w:tcPr>
                  <w:tcW w:w="1540" w:type="dxa"/>
                  <w:tcBorders>
                    <w:top w:val="nil"/>
                    <w:left w:val="single" w:sz="4" w:space="0" w:color="auto"/>
                    <w:bottom w:val="single" w:sz="4" w:space="0" w:color="auto"/>
                    <w:right w:val="nil"/>
                  </w:tcBorders>
                  <w:shd w:val="clear" w:color="000000" w:fill="FFFFFF"/>
                  <w:noWrap/>
                  <w:vAlign w:val="center"/>
                  <w:hideMark/>
                </w:tcPr>
                <w:p w:rsidR="00892F0E" w:rsidRPr="00064747" w:rsidRDefault="00892F0E" w:rsidP="00892F0E">
                  <w:pPr>
                    <w:jc w:val="center"/>
                    <w:rPr>
                      <w:sz w:val="20"/>
                      <w:szCs w:val="20"/>
                      <w:lang w:eastAsia="en-US"/>
                    </w:rPr>
                  </w:pPr>
                  <w:r w:rsidRPr="00064747">
                    <w:rPr>
                      <w:sz w:val="20"/>
                      <w:szCs w:val="20"/>
                      <w:lang w:eastAsia="en-US"/>
                    </w:rPr>
                    <w:t>86 684</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892F0E" w:rsidRPr="00064747" w:rsidRDefault="00892F0E" w:rsidP="00892F0E">
                  <w:pPr>
                    <w:jc w:val="center"/>
                    <w:rPr>
                      <w:sz w:val="20"/>
                      <w:szCs w:val="20"/>
                      <w:lang w:eastAsia="en-US"/>
                    </w:rPr>
                  </w:pPr>
                  <w:r w:rsidRPr="00064747">
                    <w:rPr>
                      <w:sz w:val="20"/>
                      <w:szCs w:val="20"/>
                      <w:lang w:eastAsia="en-US"/>
                    </w:rPr>
                    <w:t>45 055</w:t>
                  </w:r>
                </w:p>
              </w:tc>
            </w:tr>
            <w:tr w:rsidR="00892F0E" w:rsidRPr="00064747" w:rsidTr="00892F0E">
              <w:trPr>
                <w:trHeight w:val="315"/>
              </w:trPr>
              <w:tc>
                <w:tcPr>
                  <w:tcW w:w="3020" w:type="dxa"/>
                  <w:tcBorders>
                    <w:top w:val="single" w:sz="4" w:space="0" w:color="auto"/>
                    <w:left w:val="single" w:sz="4" w:space="0" w:color="auto"/>
                    <w:bottom w:val="nil"/>
                    <w:right w:val="single" w:sz="4" w:space="0" w:color="auto"/>
                  </w:tcBorders>
                  <w:shd w:val="clear" w:color="000000" w:fill="FFFFFF"/>
                  <w:vAlign w:val="center"/>
                  <w:hideMark/>
                </w:tcPr>
                <w:p w:rsidR="00892F0E" w:rsidRPr="00064747" w:rsidRDefault="00892F0E" w:rsidP="00892F0E">
                  <w:pPr>
                    <w:rPr>
                      <w:i/>
                      <w:iCs/>
                      <w:sz w:val="20"/>
                      <w:szCs w:val="20"/>
                      <w:lang w:eastAsia="en-US"/>
                    </w:rPr>
                  </w:pPr>
                  <w:r w:rsidRPr="00064747">
                    <w:rPr>
                      <w:i/>
                      <w:iCs/>
                      <w:sz w:val="20"/>
                      <w:szCs w:val="20"/>
                      <w:lang w:eastAsia="en-US"/>
                    </w:rPr>
                    <w:t>Atlaišanas pabalsts (EKK 1221)*</w:t>
                  </w:r>
                </w:p>
              </w:tc>
              <w:tc>
                <w:tcPr>
                  <w:tcW w:w="1040" w:type="dxa"/>
                  <w:tcBorders>
                    <w:top w:val="nil"/>
                    <w:left w:val="nil"/>
                    <w:bottom w:val="single" w:sz="4" w:space="0" w:color="auto"/>
                    <w:right w:val="nil"/>
                  </w:tcBorders>
                  <w:shd w:val="clear" w:color="000000" w:fill="FFFFFF"/>
                  <w:noWrap/>
                  <w:vAlign w:val="center"/>
                  <w:hideMark/>
                </w:tcPr>
                <w:p w:rsidR="00892F0E" w:rsidRPr="00064747" w:rsidRDefault="00892F0E" w:rsidP="00892F0E">
                  <w:pPr>
                    <w:jc w:val="right"/>
                    <w:rPr>
                      <w:i/>
                      <w:iCs/>
                      <w:sz w:val="20"/>
                      <w:szCs w:val="20"/>
                      <w:lang w:eastAsia="en-US"/>
                    </w:rPr>
                  </w:pPr>
                  <w:r w:rsidRPr="00064747">
                    <w:rPr>
                      <w:i/>
                      <w:iCs/>
                      <w:sz w:val="20"/>
                      <w:szCs w:val="20"/>
                      <w:lang w:eastAsia="en-US"/>
                    </w:rPr>
                    <w:t>32 821</w:t>
                  </w:r>
                </w:p>
              </w:tc>
              <w:tc>
                <w:tcPr>
                  <w:tcW w:w="1000" w:type="dxa"/>
                  <w:tcBorders>
                    <w:top w:val="nil"/>
                    <w:left w:val="single" w:sz="4" w:space="0" w:color="auto"/>
                    <w:bottom w:val="single" w:sz="4" w:space="0" w:color="auto"/>
                    <w:right w:val="nil"/>
                  </w:tcBorders>
                  <w:shd w:val="clear" w:color="auto" w:fill="auto"/>
                  <w:vAlign w:val="center"/>
                  <w:hideMark/>
                </w:tcPr>
                <w:p w:rsidR="00892F0E" w:rsidRPr="00064747" w:rsidRDefault="00892F0E" w:rsidP="00892F0E">
                  <w:pPr>
                    <w:jc w:val="right"/>
                    <w:rPr>
                      <w:i/>
                      <w:iCs/>
                      <w:sz w:val="20"/>
                      <w:szCs w:val="20"/>
                      <w:lang w:eastAsia="en-US"/>
                    </w:rPr>
                  </w:pPr>
                  <w:r w:rsidRPr="00064747">
                    <w:rPr>
                      <w:i/>
                      <w:iCs/>
                      <w:sz w:val="20"/>
                      <w:szCs w:val="20"/>
                      <w:lang w:eastAsia="en-US"/>
                    </w:rPr>
                    <w:t>2735</w:t>
                  </w:r>
                </w:p>
              </w:tc>
              <w:tc>
                <w:tcPr>
                  <w:tcW w:w="1000" w:type="dxa"/>
                  <w:tcBorders>
                    <w:top w:val="nil"/>
                    <w:left w:val="single" w:sz="4" w:space="0" w:color="auto"/>
                    <w:bottom w:val="single" w:sz="4" w:space="0" w:color="auto"/>
                    <w:right w:val="single" w:sz="4" w:space="0" w:color="auto"/>
                  </w:tcBorders>
                  <w:shd w:val="clear" w:color="000000" w:fill="FFFFFF"/>
                  <w:noWrap/>
                  <w:hideMark/>
                </w:tcPr>
                <w:p w:rsidR="00892F0E" w:rsidRPr="00064747" w:rsidRDefault="00892F0E" w:rsidP="00892F0E">
                  <w:pPr>
                    <w:jc w:val="right"/>
                    <w:rPr>
                      <w:i/>
                      <w:iCs/>
                      <w:sz w:val="20"/>
                      <w:szCs w:val="20"/>
                      <w:lang w:eastAsia="en-US"/>
                    </w:rPr>
                  </w:pPr>
                  <w:r w:rsidRPr="00064747">
                    <w:rPr>
                      <w:i/>
                      <w:iCs/>
                      <w:sz w:val="20"/>
                      <w:szCs w:val="20"/>
                      <w:lang w:eastAsia="en-US"/>
                    </w:rPr>
                    <w:t>46 446</w:t>
                  </w:r>
                </w:p>
              </w:tc>
              <w:tc>
                <w:tcPr>
                  <w:tcW w:w="940" w:type="dxa"/>
                  <w:tcBorders>
                    <w:top w:val="nil"/>
                    <w:left w:val="nil"/>
                    <w:bottom w:val="single" w:sz="4" w:space="0" w:color="auto"/>
                    <w:right w:val="nil"/>
                  </w:tcBorders>
                  <w:shd w:val="clear" w:color="auto" w:fill="auto"/>
                  <w:vAlign w:val="center"/>
                  <w:hideMark/>
                </w:tcPr>
                <w:p w:rsidR="00892F0E" w:rsidRPr="00064747" w:rsidRDefault="00892F0E" w:rsidP="00892F0E">
                  <w:pPr>
                    <w:jc w:val="right"/>
                    <w:rPr>
                      <w:i/>
                      <w:iCs/>
                      <w:sz w:val="20"/>
                      <w:szCs w:val="20"/>
                      <w:lang w:eastAsia="en-US"/>
                    </w:rPr>
                  </w:pPr>
                  <w:r w:rsidRPr="00064747">
                    <w:rPr>
                      <w:i/>
                      <w:iCs/>
                      <w:sz w:val="20"/>
                      <w:szCs w:val="20"/>
                      <w:lang w:eastAsia="en-US"/>
                    </w:rPr>
                    <w:t>0</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92F0E" w:rsidRPr="00064747" w:rsidRDefault="00892F0E" w:rsidP="00892F0E">
                  <w:pPr>
                    <w:jc w:val="right"/>
                    <w:rPr>
                      <w:i/>
                      <w:iCs/>
                      <w:sz w:val="20"/>
                      <w:szCs w:val="20"/>
                      <w:lang w:eastAsia="en-US"/>
                    </w:rPr>
                  </w:pPr>
                  <w:r w:rsidRPr="00064747">
                    <w:rPr>
                      <w:i/>
                      <w:iCs/>
                      <w:sz w:val="20"/>
                      <w:szCs w:val="20"/>
                      <w:lang w:eastAsia="en-US"/>
                    </w:rPr>
                    <w:t>63 334</w:t>
                  </w:r>
                </w:p>
              </w:tc>
              <w:tc>
                <w:tcPr>
                  <w:tcW w:w="1080" w:type="dxa"/>
                  <w:tcBorders>
                    <w:top w:val="nil"/>
                    <w:left w:val="nil"/>
                    <w:bottom w:val="single" w:sz="4" w:space="0" w:color="auto"/>
                    <w:right w:val="single" w:sz="4" w:space="0" w:color="auto"/>
                  </w:tcBorders>
                  <w:shd w:val="clear" w:color="000000" w:fill="FFFFFF"/>
                  <w:noWrap/>
                  <w:vAlign w:val="center"/>
                  <w:hideMark/>
                </w:tcPr>
                <w:p w:rsidR="00892F0E" w:rsidRPr="00064747" w:rsidRDefault="00892F0E" w:rsidP="00892F0E">
                  <w:pPr>
                    <w:jc w:val="right"/>
                    <w:rPr>
                      <w:i/>
                      <w:iCs/>
                      <w:sz w:val="20"/>
                      <w:szCs w:val="20"/>
                      <w:lang w:eastAsia="en-US"/>
                    </w:rPr>
                  </w:pPr>
                  <w:r w:rsidRPr="00064747">
                    <w:rPr>
                      <w:i/>
                      <w:iCs/>
                      <w:sz w:val="20"/>
                      <w:szCs w:val="20"/>
                      <w:lang w:eastAsia="en-US"/>
                    </w:rPr>
                    <w:t>30 513</w:t>
                  </w:r>
                </w:p>
              </w:tc>
            </w:tr>
            <w:tr w:rsidR="00892F0E" w:rsidRPr="00064747" w:rsidTr="00892F0E">
              <w:trPr>
                <w:trHeight w:val="1800"/>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2F0E" w:rsidRPr="00064747" w:rsidRDefault="00892F0E" w:rsidP="00892F0E">
                  <w:pPr>
                    <w:rPr>
                      <w:i/>
                      <w:iCs/>
                      <w:sz w:val="20"/>
                      <w:szCs w:val="20"/>
                      <w:lang w:eastAsia="en-US"/>
                    </w:rPr>
                  </w:pPr>
                  <w:r w:rsidRPr="00064747">
                    <w:rPr>
                      <w:i/>
                      <w:iCs/>
                      <w:sz w:val="20"/>
                      <w:szCs w:val="20"/>
                      <w:lang w:eastAsia="en-US"/>
                    </w:rPr>
                    <w:t>Darba devēja pabalsti un kompensācijas amatpersonas (darbinieka) ievainojuma, sakropļojuma vai citāda veselības bojājuma gadījumā, pildot amata (dienesta, darba) pienākumus (EKK 1228)</w:t>
                  </w:r>
                </w:p>
              </w:tc>
              <w:tc>
                <w:tcPr>
                  <w:tcW w:w="1040" w:type="dxa"/>
                  <w:tcBorders>
                    <w:top w:val="nil"/>
                    <w:left w:val="nil"/>
                    <w:bottom w:val="single" w:sz="4" w:space="0" w:color="auto"/>
                    <w:right w:val="single" w:sz="4" w:space="0" w:color="auto"/>
                  </w:tcBorders>
                  <w:shd w:val="clear" w:color="000000" w:fill="FFFFFF"/>
                  <w:noWrap/>
                  <w:vAlign w:val="center"/>
                  <w:hideMark/>
                </w:tcPr>
                <w:p w:rsidR="00892F0E" w:rsidRPr="00064747" w:rsidRDefault="00892F0E" w:rsidP="00892F0E">
                  <w:pPr>
                    <w:jc w:val="right"/>
                    <w:rPr>
                      <w:i/>
                      <w:iCs/>
                      <w:sz w:val="20"/>
                      <w:szCs w:val="20"/>
                      <w:lang w:eastAsia="en-US"/>
                    </w:rPr>
                  </w:pPr>
                  <w:r w:rsidRPr="00064747">
                    <w:rPr>
                      <w:i/>
                      <w:iCs/>
                      <w:sz w:val="20"/>
                      <w:szCs w:val="20"/>
                      <w:lang w:eastAsia="en-US"/>
                    </w:rPr>
                    <w:t>8 808</w:t>
                  </w:r>
                </w:p>
              </w:tc>
              <w:tc>
                <w:tcPr>
                  <w:tcW w:w="1000" w:type="dxa"/>
                  <w:tcBorders>
                    <w:top w:val="nil"/>
                    <w:left w:val="nil"/>
                    <w:bottom w:val="single" w:sz="4" w:space="0" w:color="auto"/>
                    <w:right w:val="single" w:sz="4" w:space="0" w:color="auto"/>
                  </w:tcBorders>
                  <w:shd w:val="clear" w:color="auto" w:fill="auto"/>
                  <w:vAlign w:val="center"/>
                  <w:hideMark/>
                </w:tcPr>
                <w:p w:rsidR="00892F0E" w:rsidRPr="00064747" w:rsidRDefault="00892F0E" w:rsidP="00892F0E">
                  <w:pPr>
                    <w:jc w:val="right"/>
                    <w:rPr>
                      <w:i/>
                      <w:iCs/>
                      <w:sz w:val="20"/>
                      <w:szCs w:val="20"/>
                      <w:lang w:eastAsia="en-US"/>
                    </w:rPr>
                  </w:pPr>
                  <w:r w:rsidRPr="00064747">
                    <w:rPr>
                      <w:i/>
                      <w:iCs/>
                      <w:sz w:val="20"/>
                      <w:szCs w:val="20"/>
                      <w:lang w:eastAsia="en-US"/>
                    </w:rPr>
                    <w:t>734</w:t>
                  </w:r>
                </w:p>
              </w:tc>
              <w:tc>
                <w:tcPr>
                  <w:tcW w:w="1000" w:type="dxa"/>
                  <w:tcBorders>
                    <w:top w:val="nil"/>
                    <w:left w:val="nil"/>
                    <w:bottom w:val="single" w:sz="4" w:space="0" w:color="auto"/>
                    <w:right w:val="single" w:sz="4" w:space="0" w:color="auto"/>
                  </w:tcBorders>
                  <w:shd w:val="clear" w:color="000000" w:fill="FFFFFF"/>
                  <w:noWrap/>
                  <w:vAlign w:val="center"/>
                  <w:hideMark/>
                </w:tcPr>
                <w:p w:rsidR="00892F0E" w:rsidRPr="00064747" w:rsidRDefault="00892F0E" w:rsidP="00892F0E">
                  <w:pPr>
                    <w:jc w:val="right"/>
                    <w:rPr>
                      <w:i/>
                      <w:iCs/>
                      <w:sz w:val="20"/>
                      <w:szCs w:val="20"/>
                      <w:lang w:eastAsia="en-US"/>
                    </w:rPr>
                  </w:pPr>
                  <w:r w:rsidRPr="00064747">
                    <w:rPr>
                      <w:i/>
                      <w:iCs/>
                      <w:sz w:val="20"/>
                      <w:szCs w:val="20"/>
                      <w:lang w:eastAsia="en-US"/>
                    </w:rPr>
                    <w:t>11 675</w:t>
                  </w:r>
                </w:p>
              </w:tc>
              <w:tc>
                <w:tcPr>
                  <w:tcW w:w="940" w:type="dxa"/>
                  <w:tcBorders>
                    <w:top w:val="nil"/>
                    <w:left w:val="nil"/>
                    <w:bottom w:val="single" w:sz="4" w:space="0" w:color="auto"/>
                    <w:right w:val="nil"/>
                  </w:tcBorders>
                  <w:shd w:val="clear" w:color="auto" w:fill="auto"/>
                  <w:vAlign w:val="center"/>
                  <w:hideMark/>
                </w:tcPr>
                <w:p w:rsidR="00892F0E" w:rsidRPr="00064747" w:rsidRDefault="00892F0E" w:rsidP="00892F0E">
                  <w:pPr>
                    <w:jc w:val="right"/>
                    <w:rPr>
                      <w:i/>
                      <w:iCs/>
                      <w:sz w:val="20"/>
                      <w:szCs w:val="20"/>
                      <w:lang w:eastAsia="en-US"/>
                    </w:rPr>
                  </w:pPr>
                  <w:r w:rsidRPr="00064747">
                    <w:rPr>
                      <w:i/>
                      <w:iCs/>
                      <w:sz w:val="20"/>
                      <w:szCs w:val="20"/>
                      <w:lang w:eastAsia="en-US"/>
                    </w:rPr>
                    <w:t>1946</w:t>
                  </w:r>
                </w:p>
              </w:tc>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892F0E" w:rsidRPr="00064747" w:rsidRDefault="00892F0E" w:rsidP="00892F0E">
                  <w:pPr>
                    <w:jc w:val="right"/>
                    <w:rPr>
                      <w:i/>
                      <w:iCs/>
                      <w:sz w:val="20"/>
                      <w:szCs w:val="20"/>
                      <w:lang w:eastAsia="en-US"/>
                    </w:rPr>
                  </w:pPr>
                  <w:r w:rsidRPr="00064747">
                    <w:rPr>
                      <w:i/>
                      <w:iCs/>
                      <w:sz w:val="20"/>
                      <w:szCs w:val="20"/>
                      <w:lang w:eastAsia="en-US"/>
                    </w:rPr>
                    <w:t>23 350</w:t>
                  </w:r>
                </w:p>
              </w:tc>
              <w:tc>
                <w:tcPr>
                  <w:tcW w:w="1080" w:type="dxa"/>
                  <w:tcBorders>
                    <w:top w:val="nil"/>
                    <w:left w:val="nil"/>
                    <w:bottom w:val="single" w:sz="4" w:space="0" w:color="auto"/>
                    <w:right w:val="single" w:sz="4" w:space="0" w:color="auto"/>
                  </w:tcBorders>
                  <w:shd w:val="clear" w:color="000000" w:fill="FFFFFF"/>
                  <w:noWrap/>
                  <w:vAlign w:val="center"/>
                  <w:hideMark/>
                </w:tcPr>
                <w:p w:rsidR="00892F0E" w:rsidRPr="00064747" w:rsidRDefault="00892F0E" w:rsidP="00892F0E">
                  <w:pPr>
                    <w:jc w:val="right"/>
                    <w:rPr>
                      <w:i/>
                      <w:iCs/>
                      <w:sz w:val="20"/>
                      <w:szCs w:val="20"/>
                      <w:lang w:eastAsia="en-US"/>
                    </w:rPr>
                  </w:pPr>
                  <w:r w:rsidRPr="00064747">
                    <w:rPr>
                      <w:i/>
                      <w:iCs/>
                      <w:sz w:val="20"/>
                      <w:szCs w:val="20"/>
                      <w:lang w:eastAsia="en-US"/>
                    </w:rPr>
                    <w:t>14 542</w:t>
                  </w:r>
                </w:p>
              </w:tc>
            </w:tr>
          </w:tbl>
          <w:p w:rsidR="00463522" w:rsidRPr="00064747" w:rsidRDefault="00892F0E" w:rsidP="00892F0E">
            <w:pPr>
              <w:pStyle w:val="NormalWeb"/>
              <w:tabs>
                <w:tab w:val="left" w:pos="336"/>
              </w:tabs>
              <w:spacing w:before="0" w:beforeAutospacing="0" w:after="0" w:afterAutospacing="0"/>
              <w:jc w:val="both"/>
            </w:pPr>
            <w:r w:rsidRPr="00064747">
              <w:t xml:space="preserve">*2014.gada 6.mēnešos vidējais izmaksātais pabalsta apmērs uz vienu darbinieku bija (46 446 </w:t>
            </w:r>
            <w:proofErr w:type="spellStart"/>
            <w:r w:rsidRPr="00064747">
              <w:rPr>
                <w:i/>
              </w:rPr>
              <w:t>euro</w:t>
            </w:r>
            <w:proofErr w:type="spellEnd"/>
            <w:r w:rsidRPr="00064747">
              <w:t xml:space="preserve">/22 (darbinieku skaits)= 2111 </w:t>
            </w:r>
            <w:proofErr w:type="spellStart"/>
            <w:r w:rsidRPr="00064747">
              <w:rPr>
                <w:i/>
              </w:rPr>
              <w:t>euro</w:t>
            </w:r>
            <w:proofErr w:type="spellEnd"/>
            <w:r w:rsidRPr="00064747">
              <w:t xml:space="preserve"> uz vienu darbinieku). NMPD plāno, ka līdz 2014.gada beigām tiks atbrīvoti vēl 8 darbinieki, kas ir 2111 </w:t>
            </w:r>
            <w:proofErr w:type="spellStart"/>
            <w:r w:rsidRPr="00064747">
              <w:rPr>
                <w:i/>
              </w:rPr>
              <w:t>euro</w:t>
            </w:r>
            <w:proofErr w:type="spellEnd"/>
            <w:r w:rsidRPr="00064747">
              <w:t xml:space="preserve"> x 8 darbinieki= 16 888 </w:t>
            </w:r>
            <w:proofErr w:type="spellStart"/>
            <w:r w:rsidRPr="00064747">
              <w:rPr>
                <w:i/>
              </w:rPr>
              <w:t>euro</w:t>
            </w:r>
            <w:proofErr w:type="spellEnd"/>
            <w:r w:rsidRPr="00064747">
              <w:t>.</w:t>
            </w:r>
          </w:p>
          <w:p w:rsidR="004E3FC3" w:rsidRPr="00064747" w:rsidRDefault="004E3FC3" w:rsidP="00892F0E">
            <w:pPr>
              <w:pStyle w:val="NormalWeb"/>
              <w:tabs>
                <w:tab w:val="left" w:pos="336"/>
              </w:tabs>
              <w:spacing w:before="0" w:beforeAutospacing="0" w:after="0" w:afterAutospacing="0"/>
              <w:jc w:val="both"/>
            </w:pPr>
          </w:p>
          <w:p w:rsidR="004E3FC3" w:rsidRPr="00064747" w:rsidRDefault="004E3FC3" w:rsidP="004E3FC3">
            <w:pPr>
              <w:pStyle w:val="NormalWeb"/>
              <w:spacing w:before="0" w:beforeAutospacing="0" w:after="0" w:afterAutospacing="0"/>
              <w:jc w:val="both"/>
              <w:rPr>
                <w:sz w:val="28"/>
                <w:szCs w:val="28"/>
                <w:u w:val="single"/>
              </w:rPr>
            </w:pPr>
            <w:r w:rsidRPr="00064747">
              <w:rPr>
                <w:sz w:val="28"/>
                <w:szCs w:val="28"/>
                <w:u w:val="single"/>
              </w:rPr>
              <w:t xml:space="preserve">5.Valsts asins donoru centram asins plazmas preparātu iegādei </w:t>
            </w:r>
            <w:r w:rsidR="00D07C38" w:rsidRPr="00064747">
              <w:rPr>
                <w:sz w:val="28"/>
                <w:szCs w:val="28"/>
                <w:u w:val="single"/>
              </w:rPr>
              <w:t>52 588</w:t>
            </w:r>
            <w:r w:rsidRPr="00064747">
              <w:rPr>
                <w:sz w:val="28"/>
                <w:szCs w:val="28"/>
                <w:u w:val="single"/>
              </w:rPr>
              <w:t xml:space="preserve"> </w:t>
            </w:r>
            <w:proofErr w:type="spellStart"/>
            <w:r w:rsidRPr="00064747">
              <w:rPr>
                <w:i/>
                <w:sz w:val="28"/>
                <w:szCs w:val="28"/>
                <w:u w:val="single"/>
              </w:rPr>
              <w:t>euro</w:t>
            </w:r>
            <w:proofErr w:type="spellEnd"/>
            <w:r w:rsidRPr="00064747">
              <w:rPr>
                <w:sz w:val="28"/>
                <w:szCs w:val="28"/>
                <w:u w:val="single"/>
              </w:rPr>
              <w:t xml:space="preserve"> (EKK 2000 Preces un pakalpojumi).</w:t>
            </w:r>
          </w:p>
          <w:tbl>
            <w:tblPr>
              <w:tblW w:w="7880" w:type="dxa"/>
              <w:tblLook w:val="04A0"/>
            </w:tblPr>
            <w:tblGrid>
              <w:gridCol w:w="3040"/>
              <w:gridCol w:w="1548"/>
              <w:gridCol w:w="940"/>
              <w:gridCol w:w="1329"/>
              <w:gridCol w:w="1329"/>
            </w:tblGrid>
            <w:tr w:rsidR="00D07C38" w:rsidRPr="00064747" w:rsidTr="00D07C38">
              <w:trPr>
                <w:trHeight w:val="15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C38" w:rsidRPr="00064747" w:rsidRDefault="00D07C38" w:rsidP="00D07C38">
                  <w:pPr>
                    <w:rPr>
                      <w:sz w:val="22"/>
                      <w:szCs w:val="22"/>
                      <w:lang w:eastAsia="en-US"/>
                    </w:rPr>
                  </w:pPr>
                  <w:r w:rsidRPr="00064747">
                    <w:rPr>
                      <w:sz w:val="22"/>
                      <w:szCs w:val="22"/>
                    </w:rPr>
                    <w:lastRenderedPageBreak/>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07C38" w:rsidRPr="00064747" w:rsidRDefault="00D07C38" w:rsidP="00D07C38">
                  <w:pPr>
                    <w:jc w:val="center"/>
                    <w:rPr>
                      <w:sz w:val="22"/>
                      <w:szCs w:val="22"/>
                      <w:lang w:eastAsia="en-US"/>
                    </w:rPr>
                  </w:pPr>
                  <w:r w:rsidRPr="00064747">
                    <w:rPr>
                      <w:sz w:val="22"/>
                      <w:szCs w:val="22"/>
                      <w:lang w:eastAsia="en-US"/>
                    </w:rPr>
                    <w:t>Papildus nepieciešamais  daudzums 2014.gadā (litri)</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D07C38" w:rsidRPr="00064747" w:rsidRDefault="00D07C38" w:rsidP="00D07C38">
                  <w:pPr>
                    <w:jc w:val="center"/>
                    <w:rPr>
                      <w:sz w:val="22"/>
                      <w:szCs w:val="22"/>
                      <w:lang w:eastAsia="en-US"/>
                    </w:rPr>
                  </w:pPr>
                  <w:r w:rsidRPr="00064747">
                    <w:rPr>
                      <w:sz w:val="22"/>
                      <w:szCs w:val="22"/>
                      <w:lang w:eastAsia="en-US"/>
                    </w:rPr>
                    <w:t xml:space="preserve">cena par  </w:t>
                  </w:r>
                  <w:r w:rsidRPr="00064747">
                    <w:rPr>
                      <w:sz w:val="22"/>
                      <w:szCs w:val="22"/>
                      <w:lang w:eastAsia="en-US"/>
                    </w:rPr>
                    <w:br/>
                    <w:t xml:space="preserve">1 litru </w:t>
                  </w:r>
                  <w:r w:rsidRPr="00064747">
                    <w:rPr>
                      <w:sz w:val="22"/>
                      <w:szCs w:val="22"/>
                      <w:lang w:eastAsia="en-US"/>
                    </w:rPr>
                    <w:br/>
                    <w:t>(</w:t>
                  </w:r>
                  <w:proofErr w:type="spellStart"/>
                  <w:r w:rsidRPr="00064747">
                    <w:rPr>
                      <w:i/>
                      <w:sz w:val="22"/>
                      <w:szCs w:val="22"/>
                      <w:lang w:eastAsia="en-US"/>
                    </w:rPr>
                    <w:t>euro</w:t>
                  </w:r>
                  <w:proofErr w:type="spellEnd"/>
                  <w:r w:rsidRPr="00064747">
                    <w:rPr>
                      <w:sz w:val="22"/>
                      <w:szCs w:val="22"/>
                      <w:lang w:eastAsia="en-US"/>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07C38" w:rsidRPr="00064747" w:rsidRDefault="00D07C38" w:rsidP="00D07C38">
                  <w:pPr>
                    <w:jc w:val="center"/>
                    <w:rPr>
                      <w:sz w:val="22"/>
                      <w:szCs w:val="22"/>
                      <w:lang w:eastAsia="en-US"/>
                    </w:rPr>
                  </w:pPr>
                  <w:r w:rsidRPr="00064747">
                    <w:rPr>
                      <w:sz w:val="22"/>
                      <w:szCs w:val="22"/>
                      <w:lang w:eastAsia="en-US"/>
                    </w:rPr>
                    <w:t>Finansējums gadam (</w:t>
                  </w:r>
                  <w:proofErr w:type="spellStart"/>
                  <w:r w:rsidRPr="00064747">
                    <w:rPr>
                      <w:i/>
                      <w:sz w:val="22"/>
                      <w:szCs w:val="22"/>
                      <w:lang w:eastAsia="en-US"/>
                    </w:rPr>
                    <w:t>euro</w:t>
                  </w:r>
                  <w:proofErr w:type="spellEnd"/>
                  <w:r w:rsidRPr="00064747">
                    <w:rPr>
                      <w:sz w:val="22"/>
                      <w:szCs w:val="22"/>
                      <w:lang w:eastAsia="en-US"/>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07C38" w:rsidRPr="00064747" w:rsidRDefault="00D07C38" w:rsidP="00D07C38">
                  <w:pPr>
                    <w:jc w:val="center"/>
                    <w:rPr>
                      <w:sz w:val="22"/>
                      <w:szCs w:val="22"/>
                      <w:lang w:eastAsia="en-US"/>
                    </w:rPr>
                  </w:pPr>
                  <w:r w:rsidRPr="00064747">
                    <w:rPr>
                      <w:sz w:val="22"/>
                      <w:szCs w:val="22"/>
                      <w:lang w:eastAsia="en-US"/>
                    </w:rPr>
                    <w:t>Finansējums gadam (</w:t>
                  </w:r>
                  <w:proofErr w:type="spellStart"/>
                  <w:r w:rsidRPr="00064747">
                    <w:rPr>
                      <w:i/>
                      <w:sz w:val="22"/>
                      <w:szCs w:val="22"/>
                      <w:lang w:eastAsia="en-US"/>
                    </w:rPr>
                    <w:t>euro</w:t>
                  </w:r>
                  <w:proofErr w:type="spellEnd"/>
                  <w:r w:rsidRPr="00064747">
                    <w:rPr>
                      <w:sz w:val="22"/>
                      <w:szCs w:val="22"/>
                      <w:lang w:eastAsia="en-US"/>
                    </w:rPr>
                    <w:t>) ar PVN 12%</w:t>
                  </w:r>
                </w:p>
              </w:tc>
            </w:tr>
            <w:tr w:rsidR="00D07C38" w:rsidRPr="00064747" w:rsidTr="00D07C38">
              <w:trPr>
                <w:trHeight w:val="31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07C38" w:rsidRPr="00064747" w:rsidRDefault="00D07C38" w:rsidP="00D07C38">
                  <w:pPr>
                    <w:rPr>
                      <w:sz w:val="22"/>
                      <w:szCs w:val="22"/>
                      <w:lang w:eastAsia="en-US"/>
                    </w:rPr>
                  </w:pPr>
                  <w:r w:rsidRPr="00064747">
                    <w:rPr>
                      <w:sz w:val="22"/>
                      <w:szCs w:val="22"/>
                    </w:rPr>
                    <w:t xml:space="preserve">Albumīna šķīdums 5% </w:t>
                  </w:r>
                </w:p>
              </w:tc>
              <w:tc>
                <w:tcPr>
                  <w:tcW w:w="1440" w:type="dxa"/>
                  <w:tcBorders>
                    <w:top w:val="nil"/>
                    <w:left w:val="nil"/>
                    <w:bottom w:val="single" w:sz="4" w:space="0" w:color="auto"/>
                    <w:right w:val="single" w:sz="4" w:space="0" w:color="auto"/>
                  </w:tcBorders>
                  <w:shd w:val="clear" w:color="auto" w:fill="auto"/>
                  <w:noWrap/>
                  <w:vAlign w:val="bottom"/>
                  <w:hideMark/>
                </w:tcPr>
                <w:p w:rsidR="00D07C38" w:rsidRPr="00064747" w:rsidRDefault="00D07C38" w:rsidP="00D07C38">
                  <w:pPr>
                    <w:jc w:val="center"/>
                    <w:rPr>
                      <w:sz w:val="22"/>
                      <w:szCs w:val="22"/>
                      <w:lang w:eastAsia="en-US"/>
                    </w:rPr>
                  </w:pPr>
                  <w:r w:rsidRPr="00064747">
                    <w:rPr>
                      <w:sz w:val="22"/>
                      <w:szCs w:val="22"/>
                    </w:rPr>
                    <w:t>13</w:t>
                  </w:r>
                </w:p>
              </w:tc>
              <w:tc>
                <w:tcPr>
                  <w:tcW w:w="940" w:type="dxa"/>
                  <w:tcBorders>
                    <w:top w:val="nil"/>
                    <w:left w:val="nil"/>
                    <w:bottom w:val="single" w:sz="4" w:space="0" w:color="auto"/>
                    <w:right w:val="single" w:sz="4" w:space="0" w:color="auto"/>
                  </w:tcBorders>
                  <w:shd w:val="clear" w:color="auto" w:fill="auto"/>
                  <w:noWrap/>
                  <w:vAlign w:val="bottom"/>
                  <w:hideMark/>
                </w:tcPr>
                <w:p w:rsidR="00D07C38" w:rsidRPr="00064747" w:rsidRDefault="00D07C38" w:rsidP="00D07C38">
                  <w:pPr>
                    <w:jc w:val="center"/>
                    <w:rPr>
                      <w:sz w:val="22"/>
                      <w:szCs w:val="22"/>
                      <w:lang w:eastAsia="en-US"/>
                    </w:rPr>
                  </w:pPr>
                  <w:r w:rsidRPr="00064747">
                    <w:rPr>
                      <w:sz w:val="22"/>
                      <w:szCs w:val="22"/>
                    </w:rPr>
                    <w:t>270,35</w:t>
                  </w:r>
                </w:p>
              </w:tc>
              <w:tc>
                <w:tcPr>
                  <w:tcW w:w="1240" w:type="dxa"/>
                  <w:tcBorders>
                    <w:top w:val="nil"/>
                    <w:left w:val="nil"/>
                    <w:bottom w:val="single" w:sz="4" w:space="0" w:color="auto"/>
                    <w:right w:val="single" w:sz="4" w:space="0" w:color="auto"/>
                  </w:tcBorders>
                  <w:shd w:val="clear" w:color="auto" w:fill="auto"/>
                  <w:noWrap/>
                  <w:vAlign w:val="bottom"/>
                  <w:hideMark/>
                </w:tcPr>
                <w:p w:rsidR="00D07C38" w:rsidRPr="00064747" w:rsidRDefault="00D07C38" w:rsidP="00D07C38">
                  <w:pPr>
                    <w:jc w:val="center"/>
                    <w:rPr>
                      <w:sz w:val="22"/>
                      <w:szCs w:val="22"/>
                      <w:lang w:eastAsia="en-US"/>
                    </w:rPr>
                  </w:pPr>
                  <w:r w:rsidRPr="00064747">
                    <w:rPr>
                      <w:sz w:val="22"/>
                      <w:szCs w:val="22"/>
                    </w:rPr>
                    <w:t>3 514,55</w:t>
                  </w:r>
                </w:p>
              </w:tc>
              <w:tc>
                <w:tcPr>
                  <w:tcW w:w="1220" w:type="dxa"/>
                  <w:tcBorders>
                    <w:top w:val="nil"/>
                    <w:left w:val="nil"/>
                    <w:bottom w:val="single" w:sz="4" w:space="0" w:color="auto"/>
                    <w:right w:val="single" w:sz="4" w:space="0" w:color="auto"/>
                  </w:tcBorders>
                  <w:shd w:val="clear" w:color="auto" w:fill="auto"/>
                  <w:noWrap/>
                  <w:vAlign w:val="bottom"/>
                  <w:hideMark/>
                </w:tcPr>
                <w:p w:rsidR="00D07C38" w:rsidRPr="00064747" w:rsidRDefault="00D07C38" w:rsidP="00D07C38">
                  <w:pPr>
                    <w:jc w:val="center"/>
                    <w:rPr>
                      <w:sz w:val="22"/>
                      <w:szCs w:val="22"/>
                      <w:lang w:eastAsia="en-US"/>
                    </w:rPr>
                  </w:pPr>
                  <w:r w:rsidRPr="00064747">
                    <w:rPr>
                      <w:sz w:val="22"/>
                      <w:szCs w:val="22"/>
                      <w:lang w:eastAsia="en-US"/>
                    </w:rPr>
                    <w:t>3 936,30</w:t>
                  </w:r>
                </w:p>
              </w:tc>
            </w:tr>
            <w:tr w:rsidR="00D07C38" w:rsidRPr="00064747" w:rsidTr="00D07C38">
              <w:trPr>
                <w:trHeight w:val="31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07C38" w:rsidRPr="00064747" w:rsidRDefault="00D07C38" w:rsidP="00D07C38">
                  <w:pPr>
                    <w:rPr>
                      <w:sz w:val="22"/>
                      <w:szCs w:val="22"/>
                      <w:lang w:eastAsia="en-US"/>
                    </w:rPr>
                  </w:pPr>
                  <w:proofErr w:type="spellStart"/>
                  <w:r w:rsidRPr="00064747">
                    <w:rPr>
                      <w:sz w:val="22"/>
                      <w:szCs w:val="22"/>
                    </w:rPr>
                    <w:t>IvIg</w:t>
                  </w:r>
                  <w:proofErr w:type="spellEnd"/>
                  <w:r w:rsidRPr="00064747">
                    <w:rPr>
                      <w:sz w:val="22"/>
                      <w:szCs w:val="22"/>
                    </w:rPr>
                    <w:t xml:space="preserve"> 5%</w:t>
                  </w:r>
                </w:p>
              </w:tc>
              <w:tc>
                <w:tcPr>
                  <w:tcW w:w="1440" w:type="dxa"/>
                  <w:tcBorders>
                    <w:top w:val="nil"/>
                    <w:left w:val="nil"/>
                    <w:bottom w:val="single" w:sz="4" w:space="0" w:color="auto"/>
                    <w:right w:val="single" w:sz="4" w:space="0" w:color="auto"/>
                  </w:tcBorders>
                  <w:shd w:val="clear" w:color="auto" w:fill="auto"/>
                  <w:noWrap/>
                  <w:vAlign w:val="bottom"/>
                  <w:hideMark/>
                </w:tcPr>
                <w:p w:rsidR="00D07C38" w:rsidRPr="00064747" w:rsidRDefault="00D07C38" w:rsidP="00D07C38">
                  <w:pPr>
                    <w:jc w:val="center"/>
                    <w:rPr>
                      <w:sz w:val="22"/>
                      <w:szCs w:val="22"/>
                      <w:lang w:eastAsia="en-US"/>
                    </w:rPr>
                  </w:pPr>
                  <w:r w:rsidRPr="00064747">
                    <w:rPr>
                      <w:sz w:val="22"/>
                      <w:szCs w:val="22"/>
                    </w:rPr>
                    <w:t>43</w:t>
                  </w:r>
                </w:p>
              </w:tc>
              <w:tc>
                <w:tcPr>
                  <w:tcW w:w="940" w:type="dxa"/>
                  <w:tcBorders>
                    <w:top w:val="nil"/>
                    <w:left w:val="nil"/>
                    <w:bottom w:val="single" w:sz="4" w:space="0" w:color="auto"/>
                    <w:right w:val="single" w:sz="4" w:space="0" w:color="auto"/>
                  </w:tcBorders>
                  <w:shd w:val="clear" w:color="auto" w:fill="auto"/>
                  <w:noWrap/>
                  <w:vAlign w:val="bottom"/>
                  <w:hideMark/>
                </w:tcPr>
                <w:p w:rsidR="00D07C38" w:rsidRPr="00064747" w:rsidRDefault="00D07C38" w:rsidP="00D07C38">
                  <w:pPr>
                    <w:jc w:val="center"/>
                    <w:rPr>
                      <w:sz w:val="22"/>
                      <w:szCs w:val="22"/>
                      <w:lang w:eastAsia="en-US"/>
                    </w:rPr>
                  </w:pPr>
                  <w:r w:rsidRPr="00064747">
                    <w:rPr>
                      <w:sz w:val="22"/>
                      <w:szCs w:val="22"/>
                    </w:rPr>
                    <w:t>1 010,19</w:t>
                  </w:r>
                </w:p>
              </w:tc>
              <w:tc>
                <w:tcPr>
                  <w:tcW w:w="1240" w:type="dxa"/>
                  <w:tcBorders>
                    <w:top w:val="nil"/>
                    <w:left w:val="nil"/>
                    <w:bottom w:val="single" w:sz="4" w:space="0" w:color="auto"/>
                    <w:right w:val="single" w:sz="4" w:space="0" w:color="auto"/>
                  </w:tcBorders>
                  <w:shd w:val="clear" w:color="auto" w:fill="auto"/>
                  <w:noWrap/>
                  <w:vAlign w:val="bottom"/>
                  <w:hideMark/>
                </w:tcPr>
                <w:p w:rsidR="00D07C38" w:rsidRPr="00064747" w:rsidRDefault="00D07C38" w:rsidP="00D07C38">
                  <w:pPr>
                    <w:jc w:val="center"/>
                    <w:rPr>
                      <w:sz w:val="22"/>
                      <w:szCs w:val="22"/>
                      <w:lang w:eastAsia="en-US"/>
                    </w:rPr>
                  </w:pPr>
                  <w:r w:rsidRPr="00064747">
                    <w:rPr>
                      <w:sz w:val="22"/>
                      <w:szCs w:val="22"/>
                    </w:rPr>
                    <w:t>43 438,17</w:t>
                  </w:r>
                </w:p>
              </w:tc>
              <w:tc>
                <w:tcPr>
                  <w:tcW w:w="1220" w:type="dxa"/>
                  <w:tcBorders>
                    <w:top w:val="nil"/>
                    <w:left w:val="nil"/>
                    <w:bottom w:val="single" w:sz="4" w:space="0" w:color="auto"/>
                    <w:right w:val="single" w:sz="4" w:space="0" w:color="auto"/>
                  </w:tcBorders>
                  <w:shd w:val="clear" w:color="auto" w:fill="auto"/>
                  <w:noWrap/>
                  <w:vAlign w:val="bottom"/>
                  <w:hideMark/>
                </w:tcPr>
                <w:p w:rsidR="00D07C38" w:rsidRPr="00064747" w:rsidRDefault="00D07C38" w:rsidP="00D07C38">
                  <w:pPr>
                    <w:jc w:val="center"/>
                    <w:rPr>
                      <w:sz w:val="22"/>
                      <w:szCs w:val="22"/>
                      <w:lang w:eastAsia="en-US"/>
                    </w:rPr>
                  </w:pPr>
                  <w:r w:rsidRPr="00064747">
                    <w:rPr>
                      <w:sz w:val="22"/>
                      <w:szCs w:val="22"/>
                    </w:rPr>
                    <w:t>48 650,75</w:t>
                  </w:r>
                </w:p>
              </w:tc>
            </w:tr>
            <w:tr w:rsidR="00D07C38" w:rsidRPr="00064747" w:rsidTr="00D07C38">
              <w:trPr>
                <w:trHeight w:val="31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D07C38" w:rsidRPr="00064747" w:rsidRDefault="00D07C38" w:rsidP="00D07C38">
                  <w:pPr>
                    <w:rPr>
                      <w:b/>
                      <w:bCs/>
                      <w:sz w:val="22"/>
                      <w:szCs w:val="22"/>
                      <w:lang w:eastAsia="en-US"/>
                    </w:rPr>
                  </w:pPr>
                  <w:r w:rsidRPr="00064747">
                    <w:rPr>
                      <w:b/>
                      <w:bCs/>
                      <w:sz w:val="22"/>
                      <w:szCs w:val="22"/>
                      <w:lang w:eastAsia="en-US"/>
                    </w:rPr>
                    <w:t>Kopā</w:t>
                  </w:r>
                </w:p>
              </w:tc>
              <w:tc>
                <w:tcPr>
                  <w:tcW w:w="1440" w:type="dxa"/>
                  <w:tcBorders>
                    <w:top w:val="nil"/>
                    <w:left w:val="nil"/>
                    <w:bottom w:val="single" w:sz="4" w:space="0" w:color="auto"/>
                    <w:right w:val="single" w:sz="4" w:space="0" w:color="auto"/>
                  </w:tcBorders>
                  <w:shd w:val="clear" w:color="auto" w:fill="auto"/>
                  <w:noWrap/>
                  <w:vAlign w:val="bottom"/>
                  <w:hideMark/>
                </w:tcPr>
                <w:p w:rsidR="00D07C38" w:rsidRPr="00064747" w:rsidRDefault="00D07C38" w:rsidP="00D07C38">
                  <w:pPr>
                    <w:jc w:val="center"/>
                    <w:rPr>
                      <w:b/>
                      <w:bCs/>
                      <w:sz w:val="22"/>
                      <w:szCs w:val="22"/>
                      <w:lang w:eastAsia="en-US"/>
                    </w:rPr>
                  </w:pPr>
                  <w:r w:rsidRPr="00064747">
                    <w:rPr>
                      <w:b/>
                      <w:bCs/>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D07C38" w:rsidRPr="00064747" w:rsidRDefault="00D07C38" w:rsidP="00D07C38">
                  <w:pPr>
                    <w:jc w:val="center"/>
                    <w:rPr>
                      <w:b/>
                      <w:bCs/>
                      <w:sz w:val="22"/>
                      <w:szCs w:val="22"/>
                      <w:lang w:eastAsia="en-US"/>
                    </w:rPr>
                  </w:pPr>
                  <w:r w:rsidRPr="00064747">
                    <w:rPr>
                      <w:b/>
                      <w:bCs/>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D07C38" w:rsidRPr="00064747" w:rsidRDefault="00D07C38" w:rsidP="00D07C38">
                  <w:pPr>
                    <w:jc w:val="center"/>
                    <w:rPr>
                      <w:b/>
                      <w:bCs/>
                      <w:sz w:val="22"/>
                      <w:szCs w:val="22"/>
                      <w:lang w:eastAsia="en-US"/>
                    </w:rPr>
                  </w:pPr>
                  <w:r w:rsidRPr="00064747">
                    <w:rPr>
                      <w:b/>
                      <w:bCs/>
                      <w:sz w:val="22"/>
                      <w:szCs w:val="22"/>
                    </w:rPr>
                    <w:t>46 952,72</w:t>
                  </w:r>
                </w:p>
              </w:tc>
              <w:tc>
                <w:tcPr>
                  <w:tcW w:w="1220" w:type="dxa"/>
                  <w:tcBorders>
                    <w:top w:val="nil"/>
                    <w:left w:val="nil"/>
                    <w:bottom w:val="single" w:sz="4" w:space="0" w:color="auto"/>
                    <w:right w:val="single" w:sz="4" w:space="0" w:color="auto"/>
                  </w:tcBorders>
                  <w:shd w:val="clear" w:color="auto" w:fill="auto"/>
                  <w:noWrap/>
                  <w:vAlign w:val="bottom"/>
                  <w:hideMark/>
                </w:tcPr>
                <w:p w:rsidR="00D07C38" w:rsidRPr="00064747" w:rsidRDefault="00D07C38" w:rsidP="00D07C38">
                  <w:pPr>
                    <w:jc w:val="center"/>
                    <w:rPr>
                      <w:b/>
                      <w:bCs/>
                      <w:sz w:val="22"/>
                      <w:szCs w:val="22"/>
                      <w:lang w:eastAsia="en-US"/>
                    </w:rPr>
                  </w:pPr>
                  <w:r w:rsidRPr="00064747">
                    <w:rPr>
                      <w:b/>
                      <w:bCs/>
                      <w:sz w:val="22"/>
                      <w:szCs w:val="22"/>
                    </w:rPr>
                    <w:t>52 587,05</w:t>
                  </w:r>
                </w:p>
              </w:tc>
            </w:tr>
          </w:tbl>
          <w:p w:rsidR="004E3FC3" w:rsidRPr="00064747" w:rsidRDefault="004E3FC3" w:rsidP="00892F0E">
            <w:pPr>
              <w:pStyle w:val="NormalWeb"/>
              <w:tabs>
                <w:tab w:val="left" w:pos="336"/>
              </w:tabs>
              <w:spacing w:before="0" w:beforeAutospacing="0" w:after="0" w:afterAutospacing="0"/>
              <w:jc w:val="both"/>
            </w:pPr>
          </w:p>
        </w:tc>
      </w:tr>
      <w:tr w:rsidR="00367C3B" w:rsidRPr="00064747" w:rsidTr="003C7C62">
        <w:trPr>
          <w:jc w:val="center"/>
        </w:trPr>
        <w:tc>
          <w:tcPr>
            <w:tcW w:w="1958" w:type="dxa"/>
            <w:tcBorders>
              <w:top w:val="single" w:sz="4" w:space="0" w:color="auto"/>
              <w:left w:val="single" w:sz="4" w:space="0" w:color="auto"/>
              <w:bottom w:val="single" w:sz="4" w:space="0" w:color="auto"/>
              <w:right w:val="single" w:sz="4" w:space="0" w:color="auto"/>
            </w:tcBorders>
          </w:tcPr>
          <w:p w:rsidR="00367C3B" w:rsidRPr="00064747" w:rsidRDefault="00367C3B" w:rsidP="004A05EF">
            <w:pPr>
              <w:rPr>
                <w:sz w:val="28"/>
                <w:szCs w:val="28"/>
              </w:rPr>
            </w:pPr>
            <w:r w:rsidRPr="00064747">
              <w:rPr>
                <w:sz w:val="28"/>
                <w:szCs w:val="28"/>
              </w:rPr>
              <w:t>6.1. detalizēts ieņēmumu aprēķins</w:t>
            </w:r>
          </w:p>
        </w:tc>
        <w:tc>
          <w:tcPr>
            <w:tcW w:w="7820" w:type="dxa"/>
            <w:gridSpan w:val="5"/>
            <w:vMerge/>
            <w:tcBorders>
              <w:top w:val="single" w:sz="4" w:space="0" w:color="auto"/>
              <w:left w:val="single" w:sz="4" w:space="0" w:color="auto"/>
              <w:bottom w:val="single" w:sz="4" w:space="0" w:color="auto"/>
              <w:right w:val="single" w:sz="4" w:space="0" w:color="auto"/>
            </w:tcBorders>
          </w:tcPr>
          <w:p w:rsidR="00367C3B" w:rsidRPr="00064747" w:rsidRDefault="00367C3B" w:rsidP="00A20419">
            <w:pPr>
              <w:pStyle w:val="naisf"/>
              <w:spacing w:before="0" w:after="0"/>
              <w:ind w:firstLine="0"/>
              <w:rPr>
                <w:b/>
                <w:i/>
                <w:sz w:val="28"/>
                <w:szCs w:val="28"/>
              </w:rPr>
            </w:pPr>
          </w:p>
        </w:tc>
      </w:tr>
      <w:tr w:rsidR="00367C3B" w:rsidRPr="00064747" w:rsidTr="003C7C62">
        <w:trPr>
          <w:trHeight w:val="191"/>
          <w:jc w:val="center"/>
        </w:trPr>
        <w:tc>
          <w:tcPr>
            <w:tcW w:w="1958" w:type="dxa"/>
            <w:tcBorders>
              <w:top w:val="single" w:sz="4" w:space="0" w:color="auto"/>
              <w:left w:val="single" w:sz="4" w:space="0" w:color="auto"/>
              <w:bottom w:val="single" w:sz="4" w:space="0" w:color="auto"/>
              <w:right w:val="single" w:sz="4" w:space="0" w:color="auto"/>
            </w:tcBorders>
          </w:tcPr>
          <w:p w:rsidR="00367C3B" w:rsidRPr="00064747" w:rsidRDefault="00367C3B" w:rsidP="004A05EF">
            <w:pPr>
              <w:rPr>
                <w:sz w:val="28"/>
                <w:szCs w:val="28"/>
              </w:rPr>
            </w:pPr>
            <w:r w:rsidRPr="00064747">
              <w:rPr>
                <w:sz w:val="28"/>
                <w:szCs w:val="28"/>
              </w:rPr>
              <w:t>6.2. detalizēts izdevumu aprēķins</w:t>
            </w:r>
          </w:p>
        </w:tc>
        <w:tc>
          <w:tcPr>
            <w:tcW w:w="7820" w:type="dxa"/>
            <w:gridSpan w:val="5"/>
            <w:vMerge/>
            <w:tcBorders>
              <w:top w:val="single" w:sz="4" w:space="0" w:color="auto"/>
              <w:left w:val="single" w:sz="4" w:space="0" w:color="auto"/>
              <w:bottom w:val="single" w:sz="4" w:space="0" w:color="auto"/>
              <w:right w:val="single" w:sz="4" w:space="0" w:color="auto"/>
            </w:tcBorders>
          </w:tcPr>
          <w:p w:rsidR="00367C3B" w:rsidRPr="00064747" w:rsidRDefault="00367C3B" w:rsidP="00A20419">
            <w:pPr>
              <w:pStyle w:val="naisf"/>
              <w:spacing w:before="0" w:after="0"/>
              <w:ind w:firstLine="0"/>
              <w:rPr>
                <w:b/>
                <w:i/>
                <w:sz w:val="28"/>
                <w:szCs w:val="28"/>
              </w:rPr>
            </w:pPr>
          </w:p>
        </w:tc>
      </w:tr>
      <w:tr w:rsidR="00367C3B" w:rsidRPr="00064747" w:rsidTr="003C7C62">
        <w:trPr>
          <w:jc w:val="center"/>
        </w:trPr>
        <w:tc>
          <w:tcPr>
            <w:tcW w:w="1958" w:type="dxa"/>
            <w:tcBorders>
              <w:top w:val="single" w:sz="4" w:space="0" w:color="auto"/>
              <w:left w:val="single" w:sz="4" w:space="0" w:color="auto"/>
              <w:bottom w:val="single" w:sz="4" w:space="0" w:color="auto"/>
              <w:right w:val="single" w:sz="4" w:space="0" w:color="auto"/>
            </w:tcBorders>
          </w:tcPr>
          <w:p w:rsidR="00367C3B" w:rsidRPr="00064747" w:rsidRDefault="00367C3B" w:rsidP="004A05EF">
            <w:pPr>
              <w:tabs>
                <w:tab w:val="left" w:pos="5940"/>
              </w:tabs>
              <w:rPr>
                <w:sz w:val="28"/>
                <w:szCs w:val="28"/>
              </w:rPr>
            </w:pPr>
            <w:r w:rsidRPr="00064747">
              <w:rPr>
                <w:sz w:val="28"/>
                <w:szCs w:val="28"/>
              </w:rPr>
              <w:lastRenderedPageBreak/>
              <w:t>7. Cita informācija</w:t>
            </w:r>
          </w:p>
        </w:tc>
        <w:tc>
          <w:tcPr>
            <w:tcW w:w="7820" w:type="dxa"/>
            <w:gridSpan w:val="5"/>
            <w:tcBorders>
              <w:top w:val="single" w:sz="4" w:space="0" w:color="auto"/>
              <w:left w:val="single" w:sz="4" w:space="0" w:color="auto"/>
              <w:bottom w:val="single" w:sz="4" w:space="0" w:color="auto"/>
              <w:right w:val="single" w:sz="4" w:space="0" w:color="auto"/>
            </w:tcBorders>
          </w:tcPr>
          <w:p w:rsidR="004B64CB" w:rsidRPr="00064747" w:rsidRDefault="00DD7EF3" w:rsidP="002B1094">
            <w:pPr>
              <w:tabs>
                <w:tab w:val="left" w:pos="5940"/>
              </w:tabs>
              <w:jc w:val="both"/>
              <w:rPr>
                <w:sz w:val="28"/>
                <w:szCs w:val="28"/>
              </w:rPr>
            </w:pPr>
            <w:r w:rsidRPr="00064747">
              <w:rPr>
                <w:sz w:val="28"/>
                <w:szCs w:val="28"/>
              </w:rPr>
              <w:t xml:space="preserve">Izdevumi tiks veikti </w:t>
            </w:r>
            <w:r w:rsidRPr="00064747">
              <w:rPr>
                <w:bCs/>
                <w:sz w:val="28"/>
                <w:szCs w:val="28"/>
              </w:rPr>
              <w:t xml:space="preserve">Veselības ministrijas budžeta </w:t>
            </w:r>
            <w:r w:rsidRPr="00064747">
              <w:rPr>
                <w:sz w:val="28"/>
                <w:szCs w:val="28"/>
              </w:rPr>
              <w:t>programmas 99.00.00 „Līdzekļu neparedzētiem gadījumiem izlietojums” ietvaros.</w:t>
            </w:r>
          </w:p>
        </w:tc>
      </w:tr>
    </w:tbl>
    <w:p w:rsidR="0092187A" w:rsidRPr="00064747" w:rsidRDefault="0092187A" w:rsidP="004411F3">
      <w:pPr>
        <w:tabs>
          <w:tab w:val="left" w:pos="5940"/>
        </w:tabs>
        <w:jc w:val="both"/>
        <w:rPr>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92"/>
        <w:gridCol w:w="2694"/>
        <w:gridCol w:w="6520"/>
      </w:tblGrid>
      <w:tr w:rsidR="0023436E" w:rsidRPr="00064747" w:rsidTr="00185D7F">
        <w:tc>
          <w:tcPr>
            <w:tcW w:w="10206" w:type="dxa"/>
            <w:gridSpan w:val="3"/>
            <w:tcBorders>
              <w:top w:val="single" w:sz="4" w:space="0" w:color="auto"/>
            </w:tcBorders>
          </w:tcPr>
          <w:p w:rsidR="0023436E" w:rsidRPr="00064747" w:rsidRDefault="0023436E" w:rsidP="006C418A">
            <w:pPr>
              <w:pStyle w:val="naisnod"/>
              <w:spacing w:before="0" w:after="0"/>
              <w:ind w:left="-170" w:right="57"/>
              <w:rPr>
                <w:sz w:val="28"/>
                <w:szCs w:val="28"/>
              </w:rPr>
            </w:pPr>
            <w:r w:rsidRPr="00064747">
              <w:rPr>
                <w:sz w:val="28"/>
                <w:szCs w:val="28"/>
              </w:rPr>
              <w:t>VII</w:t>
            </w:r>
            <w:r w:rsidR="000941C5" w:rsidRPr="00064747">
              <w:rPr>
                <w:sz w:val="28"/>
                <w:szCs w:val="28"/>
              </w:rPr>
              <w:t>.</w:t>
            </w:r>
            <w:r w:rsidRPr="00064747">
              <w:rPr>
                <w:sz w:val="28"/>
                <w:szCs w:val="28"/>
              </w:rPr>
              <w:t xml:space="preserve"> Tiesību akta projekta izpildes nodrošināšana un tās ietekme uz institūcijām</w:t>
            </w:r>
          </w:p>
        </w:tc>
      </w:tr>
      <w:tr w:rsidR="00470309" w:rsidRPr="00064747" w:rsidTr="00185D7F">
        <w:trPr>
          <w:trHeight w:val="427"/>
        </w:trPr>
        <w:tc>
          <w:tcPr>
            <w:tcW w:w="992" w:type="dxa"/>
          </w:tcPr>
          <w:p w:rsidR="00470309" w:rsidRPr="00064747" w:rsidRDefault="00470309" w:rsidP="007D099D">
            <w:pPr>
              <w:pStyle w:val="naisnod"/>
              <w:spacing w:before="0" w:after="0"/>
              <w:ind w:left="57" w:right="57"/>
              <w:jc w:val="left"/>
              <w:rPr>
                <w:b w:val="0"/>
                <w:sz w:val="28"/>
                <w:szCs w:val="28"/>
              </w:rPr>
            </w:pPr>
            <w:r w:rsidRPr="00064747">
              <w:rPr>
                <w:b w:val="0"/>
                <w:sz w:val="28"/>
                <w:szCs w:val="28"/>
              </w:rPr>
              <w:t>1.</w:t>
            </w:r>
          </w:p>
        </w:tc>
        <w:tc>
          <w:tcPr>
            <w:tcW w:w="2694" w:type="dxa"/>
          </w:tcPr>
          <w:p w:rsidR="00470309" w:rsidRPr="00064747" w:rsidRDefault="00470309" w:rsidP="007D099D">
            <w:pPr>
              <w:pStyle w:val="naisf"/>
              <w:spacing w:before="0" w:after="0"/>
              <w:ind w:left="57" w:right="57" w:firstLine="0"/>
              <w:jc w:val="left"/>
              <w:rPr>
                <w:sz w:val="28"/>
                <w:szCs w:val="28"/>
              </w:rPr>
            </w:pPr>
            <w:r w:rsidRPr="00064747">
              <w:rPr>
                <w:sz w:val="28"/>
                <w:szCs w:val="28"/>
              </w:rPr>
              <w:t xml:space="preserve">Projekta izpildē iesaistītās institūcijas </w:t>
            </w:r>
          </w:p>
        </w:tc>
        <w:tc>
          <w:tcPr>
            <w:tcW w:w="6520" w:type="dxa"/>
          </w:tcPr>
          <w:p w:rsidR="00470309" w:rsidRPr="00064747" w:rsidRDefault="00470309" w:rsidP="004E3FC3">
            <w:pPr>
              <w:spacing w:before="75" w:after="75"/>
              <w:jc w:val="both"/>
              <w:rPr>
                <w:sz w:val="28"/>
                <w:szCs w:val="28"/>
              </w:rPr>
            </w:pPr>
            <w:r w:rsidRPr="00064747">
              <w:rPr>
                <w:sz w:val="28"/>
                <w:szCs w:val="28"/>
              </w:rPr>
              <w:t>Ministru kabineta rīkojuma projekta izpildi nodrošinās NVD</w:t>
            </w:r>
            <w:r w:rsidR="004E3FC3" w:rsidRPr="00064747">
              <w:rPr>
                <w:sz w:val="28"/>
                <w:szCs w:val="28"/>
              </w:rPr>
              <w:t>,</w:t>
            </w:r>
            <w:r w:rsidR="0048357E" w:rsidRPr="00064747">
              <w:rPr>
                <w:sz w:val="28"/>
                <w:szCs w:val="28"/>
              </w:rPr>
              <w:t xml:space="preserve"> NMPD</w:t>
            </w:r>
            <w:r w:rsidR="004E3FC3" w:rsidRPr="00064747">
              <w:rPr>
                <w:sz w:val="28"/>
                <w:szCs w:val="28"/>
              </w:rPr>
              <w:t xml:space="preserve"> un VADC</w:t>
            </w:r>
            <w:r w:rsidRPr="00064747">
              <w:rPr>
                <w:sz w:val="28"/>
                <w:szCs w:val="28"/>
              </w:rPr>
              <w:t>.</w:t>
            </w:r>
          </w:p>
        </w:tc>
      </w:tr>
      <w:tr w:rsidR="00470309" w:rsidRPr="00064747" w:rsidTr="00185D7F">
        <w:trPr>
          <w:trHeight w:val="463"/>
        </w:trPr>
        <w:tc>
          <w:tcPr>
            <w:tcW w:w="992" w:type="dxa"/>
          </w:tcPr>
          <w:p w:rsidR="00470309" w:rsidRPr="00064747" w:rsidRDefault="00470309" w:rsidP="007D099D">
            <w:pPr>
              <w:pStyle w:val="naisnod"/>
              <w:spacing w:before="0" w:after="0"/>
              <w:ind w:left="57" w:right="57"/>
              <w:jc w:val="left"/>
              <w:rPr>
                <w:b w:val="0"/>
                <w:sz w:val="28"/>
                <w:szCs w:val="28"/>
              </w:rPr>
            </w:pPr>
            <w:r w:rsidRPr="00064747">
              <w:rPr>
                <w:b w:val="0"/>
                <w:sz w:val="28"/>
                <w:szCs w:val="28"/>
              </w:rPr>
              <w:t>2.</w:t>
            </w:r>
          </w:p>
        </w:tc>
        <w:tc>
          <w:tcPr>
            <w:tcW w:w="2694" w:type="dxa"/>
          </w:tcPr>
          <w:p w:rsidR="00470309" w:rsidRPr="00064747" w:rsidRDefault="00470309" w:rsidP="007D099D">
            <w:pPr>
              <w:pStyle w:val="naisf"/>
              <w:spacing w:before="0" w:after="0"/>
              <w:ind w:left="57" w:right="57" w:firstLine="0"/>
              <w:jc w:val="left"/>
              <w:rPr>
                <w:sz w:val="28"/>
                <w:szCs w:val="28"/>
              </w:rPr>
            </w:pPr>
            <w:r w:rsidRPr="00064747">
              <w:rPr>
                <w:sz w:val="28"/>
                <w:szCs w:val="28"/>
              </w:rPr>
              <w:t>Projekta izpildes ietekme uz pārvaldes funkcijām un institucionālo struktūru.</w:t>
            </w:r>
          </w:p>
          <w:p w:rsidR="00470309" w:rsidRPr="00064747" w:rsidRDefault="00470309" w:rsidP="007D099D">
            <w:pPr>
              <w:pStyle w:val="naisf"/>
              <w:spacing w:before="0" w:after="0"/>
              <w:ind w:left="57" w:right="57" w:firstLine="0"/>
              <w:jc w:val="left"/>
              <w:rPr>
                <w:sz w:val="28"/>
                <w:szCs w:val="28"/>
              </w:rPr>
            </w:pPr>
          </w:p>
          <w:p w:rsidR="00470309" w:rsidRPr="00064747" w:rsidRDefault="00470309" w:rsidP="007D099D">
            <w:pPr>
              <w:pStyle w:val="naisf"/>
              <w:spacing w:before="0" w:after="0"/>
              <w:ind w:left="57" w:right="57" w:firstLine="0"/>
              <w:jc w:val="left"/>
              <w:rPr>
                <w:sz w:val="28"/>
                <w:szCs w:val="28"/>
              </w:rPr>
            </w:pPr>
            <w:r w:rsidRPr="00064747">
              <w:rPr>
                <w:sz w:val="28"/>
                <w:szCs w:val="28"/>
              </w:rPr>
              <w:t>Jaunu institūciju izveide, esošu institūciju likvidācija vai reorganizācija, to ietekme uz institūcijas cilvēkresursiem</w:t>
            </w:r>
          </w:p>
        </w:tc>
        <w:tc>
          <w:tcPr>
            <w:tcW w:w="6520" w:type="dxa"/>
          </w:tcPr>
          <w:p w:rsidR="00470309" w:rsidRPr="00064747" w:rsidRDefault="00470309" w:rsidP="004E3FC3">
            <w:pPr>
              <w:jc w:val="both"/>
              <w:rPr>
                <w:sz w:val="28"/>
                <w:szCs w:val="28"/>
              </w:rPr>
            </w:pPr>
            <w:r w:rsidRPr="00064747">
              <w:rPr>
                <w:sz w:val="28"/>
                <w:szCs w:val="28"/>
              </w:rPr>
              <w:t>NVD</w:t>
            </w:r>
            <w:r w:rsidR="004E3FC3" w:rsidRPr="00064747">
              <w:rPr>
                <w:sz w:val="28"/>
                <w:szCs w:val="28"/>
              </w:rPr>
              <w:t>,</w:t>
            </w:r>
            <w:r w:rsidR="0048357E" w:rsidRPr="00064747">
              <w:rPr>
                <w:sz w:val="28"/>
                <w:szCs w:val="28"/>
              </w:rPr>
              <w:t xml:space="preserve"> NMPD </w:t>
            </w:r>
            <w:r w:rsidR="004E3FC3" w:rsidRPr="00064747">
              <w:rPr>
                <w:sz w:val="28"/>
                <w:szCs w:val="28"/>
              </w:rPr>
              <w:t xml:space="preserve">un VADC </w:t>
            </w:r>
            <w:r w:rsidRPr="00064747">
              <w:rPr>
                <w:sz w:val="28"/>
                <w:szCs w:val="28"/>
              </w:rPr>
              <w:t>Ministru kabineta rīkojuma projekta izpildi nodrošinās esošo funkciju ietvaros.</w:t>
            </w:r>
          </w:p>
        </w:tc>
      </w:tr>
      <w:tr w:rsidR="000157C7" w:rsidRPr="00064747" w:rsidTr="00185D7F">
        <w:trPr>
          <w:trHeight w:val="476"/>
        </w:trPr>
        <w:tc>
          <w:tcPr>
            <w:tcW w:w="992" w:type="dxa"/>
          </w:tcPr>
          <w:p w:rsidR="000157C7" w:rsidRPr="00064747" w:rsidRDefault="004A05EF" w:rsidP="007D099D">
            <w:pPr>
              <w:pStyle w:val="naiskr"/>
              <w:spacing w:before="0" w:after="0"/>
              <w:ind w:left="57" w:right="57"/>
              <w:rPr>
                <w:sz w:val="28"/>
                <w:szCs w:val="28"/>
              </w:rPr>
            </w:pPr>
            <w:r w:rsidRPr="00064747">
              <w:rPr>
                <w:sz w:val="28"/>
                <w:szCs w:val="28"/>
              </w:rPr>
              <w:t>3</w:t>
            </w:r>
            <w:r w:rsidR="000157C7" w:rsidRPr="00064747">
              <w:rPr>
                <w:sz w:val="28"/>
                <w:szCs w:val="28"/>
              </w:rPr>
              <w:t>.</w:t>
            </w:r>
          </w:p>
        </w:tc>
        <w:tc>
          <w:tcPr>
            <w:tcW w:w="2694" w:type="dxa"/>
          </w:tcPr>
          <w:p w:rsidR="000157C7" w:rsidRPr="00064747" w:rsidRDefault="000157C7" w:rsidP="007D099D">
            <w:pPr>
              <w:pStyle w:val="naiskr"/>
              <w:spacing w:before="0" w:after="0"/>
              <w:ind w:left="57" w:right="57"/>
              <w:rPr>
                <w:sz w:val="28"/>
                <w:szCs w:val="28"/>
              </w:rPr>
            </w:pPr>
            <w:r w:rsidRPr="00064747">
              <w:rPr>
                <w:sz w:val="28"/>
                <w:szCs w:val="28"/>
              </w:rPr>
              <w:t>Cita informācija</w:t>
            </w:r>
          </w:p>
        </w:tc>
        <w:tc>
          <w:tcPr>
            <w:tcW w:w="6520" w:type="dxa"/>
          </w:tcPr>
          <w:p w:rsidR="000157C7" w:rsidRPr="00064747" w:rsidRDefault="000157C7" w:rsidP="00BE083D">
            <w:pPr>
              <w:spacing w:before="75" w:after="75"/>
              <w:rPr>
                <w:sz w:val="28"/>
                <w:szCs w:val="28"/>
              </w:rPr>
            </w:pPr>
            <w:r w:rsidRPr="00064747">
              <w:rPr>
                <w:sz w:val="28"/>
                <w:szCs w:val="28"/>
              </w:rPr>
              <w:t> Nav</w:t>
            </w:r>
          </w:p>
        </w:tc>
      </w:tr>
    </w:tbl>
    <w:p w:rsidR="00FA6C3B" w:rsidRPr="00064747" w:rsidRDefault="00FA6C3B" w:rsidP="006E1A94">
      <w:pPr>
        <w:pStyle w:val="naisf"/>
        <w:tabs>
          <w:tab w:val="left" w:pos="5760"/>
        </w:tabs>
        <w:spacing w:before="0" w:after="0"/>
        <w:ind w:firstLine="0"/>
        <w:rPr>
          <w:sz w:val="28"/>
          <w:szCs w:val="28"/>
        </w:rPr>
      </w:pPr>
    </w:p>
    <w:p w:rsidR="00BF40ED" w:rsidRPr="00064747" w:rsidRDefault="006C418A" w:rsidP="00F42719">
      <w:pPr>
        <w:pStyle w:val="naisf"/>
        <w:tabs>
          <w:tab w:val="left" w:pos="5760"/>
        </w:tabs>
        <w:spacing w:before="0" w:after="0"/>
        <w:ind w:firstLine="720"/>
        <w:rPr>
          <w:sz w:val="28"/>
          <w:szCs w:val="28"/>
        </w:rPr>
      </w:pPr>
      <w:r w:rsidRPr="00064747">
        <w:rPr>
          <w:sz w:val="28"/>
          <w:szCs w:val="28"/>
        </w:rPr>
        <w:t>Anotācijas II,</w:t>
      </w:r>
      <w:r w:rsidR="00FB1BE1" w:rsidRPr="00064747">
        <w:rPr>
          <w:sz w:val="28"/>
          <w:szCs w:val="28"/>
        </w:rPr>
        <w:t xml:space="preserve"> IV,</w:t>
      </w:r>
      <w:r w:rsidR="008D396D" w:rsidRPr="00064747">
        <w:rPr>
          <w:sz w:val="28"/>
          <w:szCs w:val="28"/>
        </w:rPr>
        <w:t xml:space="preserve"> V,</w:t>
      </w:r>
      <w:r w:rsidR="00FB1BE1" w:rsidRPr="00064747">
        <w:rPr>
          <w:sz w:val="28"/>
          <w:szCs w:val="28"/>
        </w:rPr>
        <w:t xml:space="preserve"> VI sadaļa – projekts šīs jomas neskar.</w:t>
      </w:r>
    </w:p>
    <w:p w:rsidR="00781D69" w:rsidRPr="00064747" w:rsidRDefault="00781D69" w:rsidP="00F42719">
      <w:pPr>
        <w:pStyle w:val="Title"/>
        <w:widowControl w:val="0"/>
        <w:shd w:val="clear" w:color="auto" w:fill="FFFFFF"/>
        <w:autoSpaceDE w:val="0"/>
        <w:autoSpaceDN w:val="0"/>
        <w:adjustRightInd w:val="0"/>
        <w:jc w:val="both"/>
        <w:outlineLvl w:val="0"/>
        <w:rPr>
          <w:bCs/>
          <w:sz w:val="28"/>
          <w:szCs w:val="28"/>
          <w:highlight w:val="yellow"/>
        </w:rPr>
      </w:pPr>
    </w:p>
    <w:p w:rsidR="00214BC8" w:rsidRPr="00064747" w:rsidRDefault="00214BC8" w:rsidP="00F42719">
      <w:pPr>
        <w:pStyle w:val="Title"/>
        <w:widowControl w:val="0"/>
        <w:shd w:val="clear" w:color="auto" w:fill="FFFFFF"/>
        <w:autoSpaceDE w:val="0"/>
        <w:autoSpaceDN w:val="0"/>
        <w:adjustRightInd w:val="0"/>
        <w:jc w:val="both"/>
        <w:outlineLvl w:val="0"/>
        <w:rPr>
          <w:bCs/>
          <w:sz w:val="28"/>
          <w:szCs w:val="28"/>
          <w:highlight w:val="yellow"/>
        </w:rPr>
      </w:pPr>
    </w:p>
    <w:p w:rsidR="003B0949" w:rsidRPr="00064747" w:rsidRDefault="003B0949" w:rsidP="00F42719">
      <w:pPr>
        <w:pStyle w:val="Title"/>
        <w:widowControl w:val="0"/>
        <w:shd w:val="clear" w:color="auto" w:fill="FFFFFF"/>
        <w:autoSpaceDE w:val="0"/>
        <w:autoSpaceDN w:val="0"/>
        <w:adjustRightInd w:val="0"/>
        <w:jc w:val="both"/>
        <w:outlineLvl w:val="0"/>
        <w:rPr>
          <w:bCs/>
          <w:sz w:val="28"/>
          <w:szCs w:val="28"/>
          <w:highlight w:val="yellow"/>
        </w:rPr>
      </w:pPr>
    </w:p>
    <w:p w:rsidR="00792632" w:rsidRPr="00064747" w:rsidRDefault="00792632" w:rsidP="00792632">
      <w:pPr>
        <w:autoSpaceDE w:val="0"/>
        <w:autoSpaceDN w:val="0"/>
        <w:adjustRightInd w:val="0"/>
        <w:rPr>
          <w:bCs/>
          <w:sz w:val="28"/>
          <w:szCs w:val="28"/>
        </w:rPr>
      </w:pPr>
      <w:r w:rsidRPr="00064747">
        <w:rPr>
          <w:bCs/>
          <w:sz w:val="28"/>
          <w:szCs w:val="28"/>
        </w:rPr>
        <w:t>Veselības ministra vietā</w:t>
      </w:r>
    </w:p>
    <w:p w:rsidR="00792632" w:rsidRPr="00064747" w:rsidRDefault="00792632" w:rsidP="00792632">
      <w:pPr>
        <w:rPr>
          <w:sz w:val="28"/>
          <w:szCs w:val="28"/>
        </w:rPr>
      </w:pPr>
      <w:r w:rsidRPr="00064747">
        <w:rPr>
          <w:bCs/>
          <w:sz w:val="28"/>
          <w:szCs w:val="28"/>
        </w:rPr>
        <w:t>Ministru prezidente</w:t>
      </w:r>
      <w:r w:rsidRPr="00064747">
        <w:rPr>
          <w:bCs/>
          <w:sz w:val="28"/>
          <w:szCs w:val="28"/>
        </w:rPr>
        <w:tab/>
      </w:r>
      <w:r w:rsidRPr="00064747">
        <w:rPr>
          <w:bCs/>
          <w:sz w:val="28"/>
          <w:szCs w:val="28"/>
        </w:rPr>
        <w:tab/>
        <w:t xml:space="preserve">                                          </w:t>
      </w:r>
      <w:r w:rsidRPr="00064747">
        <w:rPr>
          <w:sz w:val="28"/>
          <w:szCs w:val="28"/>
        </w:rPr>
        <w:t xml:space="preserve">          L.Straujuma</w:t>
      </w:r>
      <w:r w:rsidRPr="00064747">
        <w:rPr>
          <w:sz w:val="28"/>
          <w:szCs w:val="28"/>
        </w:rPr>
        <w:tab/>
        <w:t xml:space="preserve">  </w:t>
      </w:r>
    </w:p>
    <w:p w:rsidR="00792632" w:rsidRPr="00064747" w:rsidRDefault="00792632" w:rsidP="00792632">
      <w:pPr>
        <w:ind w:left="284"/>
        <w:jc w:val="both"/>
        <w:rPr>
          <w:sz w:val="22"/>
          <w:szCs w:val="22"/>
        </w:rPr>
      </w:pPr>
    </w:p>
    <w:p w:rsidR="00214BC8" w:rsidRPr="00064747" w:rsidRDefault="00214BC8" w:rsidP="00214BC8">
      <w:pPr>
        <w:autoSpaceDE w:val="0"/>
        <w:autoSpaceDN w:val="0"/>
        <w:adjustRightInd w:val="0"/>
      </w:pPr>
    </w:p>
    <w:p w:rsidR="00214BC8" w:rsidRDefault="00214BC8" w:rsidP="00214BC8">
      <w:pPr>
        <w:jc w:val="both"/>
      </w:pPr>
    </w:p>
    <w:p w:rsidR="005F2628" w:rsidRPr="00064747" w:rsidRDefault="005F2628" w:rsidP="00B32F76">
      <w:pPr>
        <w:rPr>
          <w:sz w:val="28"/>
          <w:szCs w:val="28"/>
        </w:rPr>
      </w:pPr>
    </w:p>
    <w:p w:rsidR="00FD2187" w:rsidRPr="00300157" w:rsidRDefault="006E1A94" w:rsidP="001062C4">
      <w:pPr>
        <w:pStyle w:val="NormalWeb"/>
        <w:spacing w:before="0" w:beforeAutospacing="0" w:after="0" w:afterAutospacing="0"/>
        <w:rPr>
          <w:sz w:val="22"/>
          <w:szCs w:val="22"/>
        </w:rPr>
      </w:pPr>
      <w:r>
        <w:rPr>
          <w:sz w:val="22"/>
          <w:szCs w:val="22"/>
        </w:rPr>
        <w:t>19</w:t>
      </w:r>
      <w:r w:rsidR="00E22B71">
        <w:rPr>
          <w:sz w:val="22"/>
          <w:szCs w:val="22"/>
        </w:rPr>
        <w:t>.08.2014 09:11</w:t>
      </w:r>
    </w:p>
    <w:p w:rsidR="001062C4" w:rsidRPr="00300157" w:rsidRDefault="00E22B71" w:rsidP="001062C4">
      <w:pPr>
        <w:pStyle w:val="NormalWeb"/>
        <w:spacing w:before="0" w:beforeAutospacing="0" w:after="0" w:afterAutospacing="0"/>
        <w:rPr>
          <w:sz w:val="22"/>
          <w:szCs w:val="22"/>
        </w:rPr>
      </w:pPr>
      <w:r>
        <w:rPr>
          <w:sz w:val="22"/>
          <w:szCs w:val="22"/>
        </w:rPr>
        <w:t>3355</w:t>
      </w:r>
    </w:p>
    <w:p w:rsidR="001062C4" w:rsidRPr="00300157" w:rsidRDefault="001062C4" w:rsidP="001062C4">
      <w:pPr>
        <w:pStyle w:val="NormalWeb"/>
        <w:spacing w:before="0" w:beforeAutospacing="0" w:after="0" w:afterAutospacing="0"/>
        <w:rPr>
          <w:sz w:val="22"/>
          <w:szCs w:val="22"/>
        </w:rPr>
      </w:pPr>
      <w:proofErr w:type="spellStart"/>
      <w:r w:rsidRPr="00300157">
        <w:rPr>
          <w:sz w:val="22"/>
          <w:szCs w:val="22"/>
        </w:rPr>
        <w:t>S.</w:t>
      </w:r>
      <w:r w:rsidR="00214BC8" w:rsidRPr="00300157">
        <w:rPr>
          <w:sz w:val="22"/>
          <w:szCs w:val="22"/>
        </w:rPr>
        <w:t>Kasparenko</w:t>
      </w:r>
      <w:proofErr w:type="spellEnd"/>
    </w:p>
    <w:p w:rsidR="0015060C" w:rsidRPr="00300157" w:rsidRDefault="001062C4" w:rsidP="00CB2B21">
      <w:pPr>
        <w:pStyle w:val="NormalWeb"/>
        <w:spacing w:before="0" w:beforeAutospacing="0" w:after="0" w:afterAutospacing="0"/>
        <w:rPr>
          <w:sz w:val="22"/>
          <w:szCs w:val="22"/>
        </w:rPr>
      </w:pPr>
      <w:r w:rsidRPr="00300157">
        <w:rPr>
          <w:sz w:val="22"/>
          <w:szCs w:val="22"/>
        </w:rPr>
        <w:t xml:space="preserve">67876147, </w:t>
      </w:r>
      <w:hyperlink r:id="rId8" w:history="1">
        <w:r w:rsidR="00214BC8" w:rsidRPr="00300157">
          <w:rPr>
            <w:rStyle w:val="Hyperlink"/>
            <w:color w:val="auto"/>
            <w:sz w:val="22"/>
            <w:szCs w:val="22"/>
            <w:u w:val="none"/>
          </w:rPr>
          <w:t>Sandra.Kasparenko@vm.gov.lv</w:t>
        </w:r>
      </w:hyperlink>
    </w:p>
    <w:sectPr w:rsidR="0015060C" w:rsidRPr="00300157" w:rsidSect="0092187A">
      <w:headerReference w:type="even" r:id="rId9"/>
      <w:headerReference w:type="default" r:id="rId10"/>
      <w:footerReference w:type="default" r:id="rId11"/>
      <w:footerReference w:type="first" r:id="rId12"/>
      <w:pgSz w:w="11906" w:h="16838" w:code="9"/>
      <w:pgMar w:top="1276"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310" w:rsidRDefault="008D3310">
      <w:r>
        <w:separator/>
      </w:r>
    </w:p>
  </w:endnote>
  <w:endnote w:type="continuationSeparator" w:id="0">
    <w:p w:rsidR="008D3310" w:rsidRDefault="008D3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10" w:rsidRPr="00F510B4" w:rsidRDefault="00B93862" w:rsidP="006D1C88">
    <w:pPr>
      <w:pStyle w:val="NormalWeb"/>
      <w:spacing w:before="0" w:beforeAutospacing="0" w:after="0" w:afterAutospacing="0"/>
      <w:ind w:left="-142"/>
      <w:jc w:val="both"/>
      <w:rPr>
        <w:bCs/>
        <w:sz w:val="20"/>
        <w:szCs w:val="20"/>
      </w:rPr>
    </w:pPr>
    <w:fldSimple w:instr=" FILENAME   \* MERGEFORMAT ">
      <w:r w:rsidR="006E1A94">
        <w:rPr>
          <w:noProof/>
          <w:sz w:val="20"/>
          <w:szCs w:val="20"/>
        </w:rPr>
        <w:t>VMAnot_19</w:t>
      </w:r>
      <w:r w:rsidR="00064747" w:rsidRPr="00064747">
        <w:rPr>
          <w:noProof/>
          <w:sz w:val="20"/>
          <w:szCs w:val="20"/>
        </w:rPr>
        <w:t>0814_LNG</w:t>
      </w:r>
    </w:fldSimple>
    <w:r w:rsidR="008D3310" w:rsidRPr="00F510B4">
      <w:rPr>
        <w:sz w:val="20"/>
        <w:szCs w:val="20"/>
      </w:rPr>
      <w:t xml:space="preserve">; </w:t>
    </w:r>
    <w:bookmarkStart w:id="1" w:name="OLE_LINK1"/>
    <w:bookmarkStart w:id="2" w:name="OLE_LINK2"/>
    <w:bookmarkStart w:id="3" w:name="_Hlk391622902"/>
    <w:r w:rsidR="008D3310" w:rsidRPr="00F510B4">
      <w:rPr>
        <w:sz w:val="20"/>
        <w:szCs w:val="20"/>
      </w:rPr>
      <w:t>Ministru kabineta rīkojuma projekta „Par finanšu līdzekļu piešķiršanu no valsts budžeta programmas „Līdzekļi neparedzētiem gadījumiem”” sākotnējās ietekmes novērtējuma ziņojum</w:t>
    </w:r>
    <w:r w:rsidR="008D3310">
      <w:rPr>
        <w:sz w:val="20"/>
        <w:szCs w:val="20"/>
      </w:rPr>
      <w:t>s</w:t>
    </w:r>
    <w:r w:rsidR="008D3310" w:rsidRPr="00F510B4">
      <w:rPr>
        <w:sz w:val="20"/>
        <w:szCs w:val="20"/>
      </w:rPr>
      <w:t xml:space="preserve"> (anotācija)</w:t>
    </w:r>
    <w:r w:rsidR="008D3310">
      <w:rPr>
        <w:sz w:val="20"/>
        <w:szCs w:val="20"/>
      </w:rPr>
      <w:t xml:space="preserve"> </w:t>
    </w:r>
  </w:p>
  <w:bookmarkEnd w:id="1"/>
  <w:bookmarkEnd w:id="2"/>
  <w:bookmarkEnd w:id="3"/>
  <w:p w:rsidR="008D3310" w:rsidRPr="00B32F76" w:rsidRDefault="008D3310" w:rsidP="00B32F76">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10" w:rsidRPr="00503F42" w:rsidRDefault="00B93862" w:rsidP="0096272B">
    <w:pPr>
      <w:pStyle w:val="NormalWeb"/>
      <w:spacing w:before="0" w:beforeAutospacing="0" w:after="0" w:afterAutospacing="0"/>
      <w:ind w:left="-142"/>
      <w:jc w:val="both"/>
      <w:rPr>
        <w:sz w:val="20"/>
        <w:szCs w:val="20"/>
      </w:rPr>
    </w:pPr>
    <w:fldSimple w:instr=" FILENAME   \* MERGEFORMAT ">
      <w:r w:rsidR="006E1A94">
        <w:rPr>
          <w:noProof/>
          <w:sz w:val="20"/>
          <w:szCs w:val="20"/>
        </w:rPr>
        <w:t>VMAnot_19</w:t>
      </w:r>
      <w:r w:rsidR="00064747" w:rsidRPr="00064747">
        <w:rPr>
          <w:noProof/>
          <w:sz w:val="20"/>
          <w:szCs w:val="20"/>
        </w:rPr>
        <w:t>0814_LNG</w:t>
      </w:r>
    </w:fldSimple>
    <w:r w:rsidR="008D3310" w:rsidRPr="00F510B4">
      <w:rPr>
        <w:sz w:val="20"/>
        <w:szCs w:val="20"/>
      </w:rPr>
      <w:t xml:space="preserve">; </w:t>
    </w:r>
    <w:bookmarkStart w:id="4" w:name="OLE_LINK7"/>
    <w:bookmarkStart w:id="5" w:name="OLE_LINK8"/>
    <w:bookmarkStart w:id="6" w:name="_Hlk373840471"/>
    <w:r w:rsidR="008D3310" w:rsidRPr="00F510B4">
      <w:rPr>
        <w:sz w:val="20"/>
        <w:szCs w:val="20"/>
      </w:rPr>
      <w:t>Ministru kabineta rīkojuma projekta „Par finanšu līdzekļu piešķiršanu no valsts budžeta programmas „Līdzekļi neparedzētiem gadījumiem”” sākotnējās ietekmes novērtējuma ziņojum</w:t>
    </w:r>
    <w:r w:rsidR="008D3310">
      <w:rPr>
        <w:sz w:val="20"/>
        <w:szCs w:val="20"/>
      </w:rPr>
      <w:t>s</w:t>
    </w:r>
    <w:r w:rsidR="008D3310" w:rsidRPr="00F510B4">
      <w:rPr>
        <w:sz w:val="20"/>
        <w:szCs w:val="20"/>
      </w:rPr>
      <w:t xml:space="preserve"> (anotācija)</w:t>
    </w:r>
    <w:r w:rsidR="008D3310">
      <w:rPr>
        <w:sz w:val="20"/>
        <w:szCs w:val="20"/>
      </w:rPr>
      <w:t xml:space="preserve"> </w:t>
    </w:r>
    <w:bookmarkEnd w:id="4"/>
    <w:bookmarkEnd w:id="5"/>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310" w:rsidRDefault="008D3310">
      <w:r>
        <w:separator/>
      </w:r>
    </w:p>
  </w:footnote>
  <w:footnote w:type="continuationSeparator" w:id="0">
    <w:p w:rsidR="008D3310" w:rsidRDefault="008D3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10" w:rsidRDefault="00B93862" w:rsidP="003C449B">
    <w:pPr>
      <w:pStyle w:val="Header"/>
      <w:framePr w:wrap="around" w:vAnchor="text" w:hAnchor="margin" w:xAlign="center" w:y="1"/>
      <w:rPr>
        <w:rStyle w:val="PageNumber"/>
      </w:rPr>
    </w:pPr>
    <w:r>
      <w:rPr>
        <w:rStyle w:val="PageNumber"/>
      </w:rPr>
      <w:fldChar w:fldCharType="begin"/>
    </w:r>
    <w:r w:rsidR="008D3310">
      <w:rPr>
        <w:rStyle w:val="PageNumber"/>
      </w:rPr>
      <w:instrText xml:space="preserve">PAGE  </w:instrText>
    </w:r>
    <w:r>
      <w:rPr>
        <w:rStyle w:val="PageNumber"/>
      </w:rPr>
      <w:fldChar w:fldCharType="end"/>
    </w:r>
  </w:p>
  <w:p w:rsidR="008D3310" w:rsidRDefault="008D3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10" w:rsidRDefault="00B93862" w:rsidP="003C449B">
    <w:pPr>
      <w:pStyle w:val="Header"/>
      <w:framePr w:wrap="around" w:vAnchor="text" w:hAnchor="margin" w:xAlign="center" w:y="1"/>
      <w:rPr>
        <w:rStyle w:val="PageNumber"/>
      </w:rPr>
    </w:pPr>
    <w:r>
      <w:rPr>
        <w:rStyle w:val="PageNumber"/>
      </w:rPr>
      <w:fldChar w:fldCharType="begin"/>
    </w:r>
    <w:r w:rsidR="008D3310">
      <w:rPr>
        <w:rStyle w:val="PageNumber"/>
      </w:rPr>
      <w:instrText xml:space="preserve">PAGE  </w:instrText>
    </w:r>
    <w:r>
      <w:rPr>
        <w:rStyle w:val="PageNumber"/>
      </w:rPr>
      <w:fldChar w:fldCharType="separate"/>
    </w:r>
    <w:r w:rsidR="00E22B71">
      <w:rPr>
        <w:rStyle w:val="PageNumber"/>
        <w:noProof/>
      </w:rPr>
      <w:t>15</w:t>
    </w:r>
    <w:r>
      <w:rPr>
        <w:rStyle w:val="PageNumber"/>
      </w:rPr>
      <w:fldChar w:fldCharType="end"/>
    </w:r>
  </w:p>
  <w:p w:rsidR="008D3310" w:rsidRDefault="008D3310">
    <w:pPr>
      <w:pStyle w:val="Header"/>
    </w:pPr>
  </w:p>
  <w:p w:rsidR="008D3310" w:rsidRPr="00863212" w:rsidRDefault="008D3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5D3"/>
    <w:multiLevelType w:val="hybridMultilevel"/>
    <w:tmpl w:val="EA5AFFCA"/>
    <w:lvl w:ilvl="0" w:tplc="91A8620E">
      <w:start w:val="1"/>
      <w:numFmt w:val="decimal"/>
      <w:lvlText w:val="%1."/>
      <w:lvlJc w:val="left"/>
      <w:pPr>
        <w:ind w:left="644" w:hanging="360"/>
      </w:pPr>
      <w:rPr>
        <w:rFonts w:ascii="Times New Roman" w:eastAsia="Times New Roman" w:hAnsi="Times New Roman" w:cs="Times New Roman"/>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D50C8E"/>
    <w:multiLevelType w:val="hybridMultilevel"/>
    <w:tmpl w:val="BD6ED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25874"/>
    <w:multiLevelType w:val="hybridMultilevel"/>
    <w:tmpl w:val="027EE7CC"/>
    <w:lvl w:ilvl="0" w:tplc="3D52E162">
      <w:start w:val="1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76747"/>
    <w:multiLevelType w:val="hybridMultilevel"/>
    <w:tmpl w:val="74AC7162"/>
    <w:lvl w:ilvl="0" w:tplc="C490820C">
      <w:start w:val="1"/>
      <w:numFmt w:val="decimal"/>
      <w:lvlText w:val="%1."/>
      <w:lvlJc w:val="left"/>
      <w:pPr>
        <w:ind w:left="527" w:hanging="360"/>
      </w:pPr>
      <w:rPr>
        <w:rFonts w:hint="default"/>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5">
    <w:nsid w:val="172C345B"/>
    <w:multiLevelType w:val="hybridMultilevel"/>
    <w:tmpl w:val="090E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A9A15B7"/>
    <w:multiLevelType w:val="hybridMultilevel"/>
    <w:tmpl w:val="8EFCC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2F1040A2"/>
    <w:multiLevelType w:val="hybridMultilevel"/>
    <w:tmpl w:val="76B443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0D693D"/>
    <w:multiLevelType w:val="hybridMultilevel"/>
    <w:tmpl w:val="53B47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36373"/>
    <w:multiLevelType w:val="hybridMultilevel"/>
    <w:tmpl w:val="DDC2D846"/>
    <w:lvl w:ilvl="0" w:tplc="241EEFDE">
      <w:start w:val="2"/>
      <w:numFmt w:val="bullet"/>
      <w:lvlText w:val="-"/>
      <w:lvlJc w:val="left"/>
      <w:pPr>
        <w:ind w:left="417" w:hanging="360"/>
      </w:pPr>
      <w:rPr>
        <w:rFonts w:ascii="Times New Roman" w:eastAsia="Times New Roman" w:hAnsi="Times New Roman" w:cs="Times New Roman" w:hint="default"/>
        <w:i w:val="0"/>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
    <w:nsid w:val="3BF8571F"/>
    <w:multiLevelType w:val="hybridMultilevel"/>
    <w:tmpl w:val="1632EE84"/>
    <w:lvl w:ilvl="0" w:tplc="6EE81E5C">
      <w:start w:val="1"/>
      <w:numFmt w:val="decimal"/>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15">
    <w:nsid w:val="423A6BC9"/>
    <w:multiLevelType w:val="hybridMultilevel"/>
    <w:tmpl w:val="76D2BF08"/>
    <w:lvl w:ilvl="0" w:tplc="924CEDB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D38239F"/>
    <w:multiLevelType w:val="hybridMultilevel"/>
    <w:tmpl w:val="B38807FC"/>
    <w:lvl w:ilvl="0" w:tplc="E2F2ED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B0049"/>
    <w:multiLevelType w:val="hybridMultilevel"/>
    <w:tmpl w:val="4B5EBA8E"/>
    <w:lvl w:ilvl="0" w:tplc="FDC61C7C">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DE02B92"/>
    <w:multiLevelType w:val="hybridMultilevel"/>
    <w:tmpl w:val="953CC464"/>
    <w:lvl w:ilvl="0" w:tplc="DCEE1AA8">
      <w:start w:val="1"/>
      <w:numFmt w:val="decimal"/>
      <w:lvlText w:val="%1."/>
      <w:lvlJc w:val="left"/>
      <w:pPr>
        <w:tabs>
          <w:tab w:val="num" w:pos="720"/>
        </w:tabs>
        <w:ind w:left="720" w:hanging="360"/>
      </w:pPr>
    </w:lvl>
    <w:lvl w:ilvl="1" w:tplc="EEC230B0" w:tentative="1">
      <w:start w:val="1"/>
      <w:numFmt w:val="decimal"/>
      <w:lvlText w:val="%2."/>
      <w:lvlJc w:val="left"/>
      <w:pPr>
        <w:tabs>
          <w:tab w:val="num" w:pos="1440"/>
        </w:tabs>
        <w:ind w:left="1440" w:hanging="360"/>
      </w:pPr>
    </w:lvl>
    <w:lvl w:ilvl="2" w:tplc="41F84A12" w:tentative="1">
      <w:start w:val="1"/>
      <w:numFmt w:val="decimal"/>
      <w:lvlText w:val="%3."/>
      <w:lvlJc w:val="left"/>
      <w:pPr>
        <w:tabs>
          <w:tab w:val="num" w:pos="2160"/>
        </w:tabs>
        <w:ind w:left="2160" w:hanging="360"/>
      </w:pPr>
    </w:lvl>
    <w:lvl w:ilvl="3" w:tplc="F2CAC880" w:tentative="1">
      <w:start w:val="1"/>
      <w:numFmt w:val="decimal"/>
      <w:lvlText w:val="%4."/>
      <w:lvlJc w:val="left"/>
      <w:pPr>
        <w:tabs>
          <w:tab w:val="num" w:pos="2880"/>
        </w:tabs>
        <w:ind w:left="2880" w:hanging="360"/>
      </w:pPr>
    </w:lvl>
    <w:lvl w:ilvl="4" w:tplc="58F89222" w:tentative="1">
      <w:start w:val="1"/>
      <w:numFmt w:val="decimal"/>
      <w:lvlText w:val="%5."/>
      <w:lvlJc w:val="left"/>
      <w:pPr>
        <w:tabs>
          <w:tab w:val="num" w:pos="3600"/>
        </w:tabs>
        <w:ind w:left="3600" w:hanging="360"/>
      </w:pPr>
    </w:lvl>
    <w:lvl w:ilvl="5" w:tplc="A1BC213A" w:tentative="1">
      <w:start w:val="1"/>
      <w:numFmt w:val="decimal"/>
      <w:lvlText w:val="%6."/>
      <w:lvlJc w:val="left"/>
      <w:pPr>
        <w:tabs>
          <w:tab w:val="num" w:pos="4320"/>
        </w:tabs>
        <w:ind w:left="4320" w:hanging="360"/>
      </w:pPr>
    </w:lvl>
    <w:lvl w:ilvl="6" w:tplc="FADEBF1C" w:tentative="1">
      <w:start w:val="1"/>
      <w:numFmt w:val="decimal"/>
      <w:lvlText w:val="%7."/>
      <w:lvlJc w:val="left"/>
      <w:pPr>
        <w:tabs>
          <w:tab w:val="num" w:pos="5040"/>
        </w:tabs>
        <w:ind w:left="5040" w:hanging="360"/>
      </w:pPr>
    </w:lvl>
    <w:lvl w:ilvl="7" w:tplc="06A42090" w:tentative="1">
      <w:start w:val="1"/>
      <w:numFmt w:val="decimal"/>
      <w:lvlText w:val="%8."/>
      <w:lvlJc w:val="left"/>
      <w:pPr>
        <w:tabs>
          <w:tab w:val="num" w:pos="5760"/>
        </w:tabs>
        <w:ind w:left="5760" w:hanging="360"/>
      </w:pPr>
    </w:lvl>
    <w:lvl w:ilvl="8" w:tplc="85A0CD56" w:tentative="1">
      <w:start w:val="1"/>
      <w:numFmt w:val="decimal"/>
      <w:lvlText w:val="%9."/>
      <w:lvlJc w:val="left"/>
      <w:pPr>
        <w:tabs>
          <w:tab w:val="num" w:pos="6480"/>
        </w:tabs>
        <w:ind w:left="6480" w:hanging="360"/>
      </w:pPr>
    </w:lvl>
  </w:abstractNum>
  <w:abstractNum w:abstractNumId="2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1EB4865"/>
    <w:multiLevelType w:val="hybridMultilevel"/>
    <w:tmpl w:val="9D765F06"/>
    <w:lvl w:ilvl="0" w:tplc="56568DFC">
      <w:start w:val="7"/>
      <w:numFmt w:val="bullet"/>
      <w:lvlText w:val="-"/>
      <w:lvlJc w:val="left"/>
      <w:pPr>
        <w:ind w:left="502" w:hanging="360"/>
      </w:pPr>
      <w:rPr>
        <w:rFonts w:ascii="Calibri" w:eastAsia="Calibri" w:hAnsi="Calibri"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428112F"/>
    <w:multiLevelType w:val="hybridMultilevel"/>
    <w:tmpl w:val="2FAC275A"/>
    <w:lvl w:ilvl="0" w:tplc="B726AB1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outline w:val="0"/>
        <w:shadow w:val="0"/>
        <w:emboss w:val="0"/>
        <w:imprint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0">
    <w:nsid w:val="6C356B8B"/>
    <w:multiLevelType w:val="hybridMultilevel"/>
    <w:tmpl w:val="53B47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475EE8"/>
    <w:multiLevelType w:val="hybridMultilevel"/>
    <w:tmpl w:val="65D0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50291A"/>
    <w:multiLevelType w:val="hybridMultilevel"/>
    <w:tmpl w:val="7174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8"/>
  </w:num>
  <w:num w:numId="4">
    <w:abstractNumId w:val="6"/>
  </w:num>
  <w:num w:numId="5">
    <w:abstractNumId w:val="1"/>
  </w:num>
  <w:num w:numId="6">
    <w:abstractNumId w:val="21"/>
  </w:num>
  <w:num w:numId="7">
    <w:abstractNumId w:val="27"/>
  </w:num>
  <w:num w:numId="8">
    <w:abstractNumId w:val="16"/>
  </w:num>
  <w:num w:numId="9">
    <w:abstractNumId w:val="7"/>
  </w:num>
  <w:num w:numId="10">
    <w:abstractNumId w:val="17"/>
  </w:num>
  <w:num w:numId="11">
    <w:abstractNumId w:val="18"/>
  </w:num>
  <w:num w:numId="12">
    <w:abstractNumId w:val="22"/>
  </w:num>
  <w:num w:numId="13">
    <w:abstractNumId w:val="24"/>
  </w:num>
  <w:num w:numId="14">
    <w:abstractNumId w:val="19"/>
  </w:num>
  <w:num w:numId="15">
    <w:abstractNumId w:val="20"/>
  </w:num>
  <w:num w:numId="16">
    <w:abstractNumId w:val="0"/>
  </w:num>
  <w:num w:numId="17">
    <w:abstractNumId w:val="29"/>
  </w:num>
  <w:num w:numId="18">
    <w:abstractNumId w:val="3"/>
  </w:num>
  <w:num w:numId="19">
    <w:abstractNumId w:val="2"/>
  </w:num>
  <w:num w:numId="20">
    <w:abstractNumId w:val="28"/>
  </w:num>
  <w:num w:numId="21">
    <w:abstractNumId w:val="15"/>
  </w:num>
  <w:num w:numId="22">
    <w:abstractNumId w:val="5"/>
  </w:num>
  <w:num w:numId="23">
    <w:abstractNumId w:val="32"/>
  </w:num>
  <w:num w:numId="24">
    <w:abstractNumId w:val="14"/>
  </w:num>
  <w:num w:numId="25">
    <w:abstractNumId w:val="4"/>
  </w:num>
  <w:num w:numId="26">
    <w:abstractNumId w:val="11"/>
  </w:num>
  <w:num w:numId="27">
    <w:abstractNumId w:val="23"/>
  </w:num>
  <w:num w:numId="28">
    <w:abstractNumId w:val="13"/>
  </w:num>
  <w:num w:numId="29">
    <w:abstractNumId w:val="31"/>
  </w:num>
  <w:num w:numId="30">
    <w:abstractNumId w:val="12"/>
  </w:num>
  <w:num w:numId="31">
    <w:abstractNumId w:val="9"/>
  </w:num>
  <w:num w:numId="32">
    <w:abstractNumId w:val="26"/>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3D7F"/>
    <w:rsid w:val="00011914"/>
    <w:rsid w:val="00011D24"/>
    <w:rsid w:val="00013FF4"/>
    <w:rsid w:val="000157C7"/>
    <w:rsid w:val="00020FE1"/>
    <w:rsid w:val="00021C35"/>
    <w:rsid w:val="00022E13"/>
    <w:rsid w:val="000244EF"/>
    <w:rsid w:val="000260BE"/>
    <w:rsid w:val="00030800"/>
    <w:rsid w:val="00030FC0"/>
    <w:rsid w:val="00031DC1"/>
    <w:rsid w:val="00031FA2"/>
    <w:rsid w:val="00032388"/>
    <w:rsid w:val="00035CE2"/>
    <w:rsid w:val="00041DB8"/>
    <w:rsid w:val="00043FC0"/>
    <w:rsid w:val="00043FC8"/>
    <w:rsid w:val="00046577"/>
    <w:rsid w:val="00046E7C"/>
    <w:rsid w:val="00050254"/>
    <w:rsid w:val="00052E94"/>
    <w:rsid w:val="000545DD"/>
    <w:rsid w:val="0005553B"/>
    <w:rsid w:val="000604D2"/>
    <w:rsid w:val="00060B7A"/>
    <w:rsid w:val="0006162D"/>
    <w:rsid w:val="00064747"/>
    <w:rsid w:val="00064903"/>
    <w:rsid w:val="00065067"/>
    <w:rsid w:val="00073871"/>
    <w:rsid w:val="00080286"/>
    <w:rsid w:val="000804E7"/>
    <w:rsid w:val="0008451D"/>
    <w:rsid w:val="0009005E"/>
    <w:rsid w:val="000901B8"/>
    <w:rsid w:val="00092FA1"/>
    <w:rsid w:val="000941C5"/>
    <w:rsid w:val="00094CE7"/>
    <w:rsid w:val="000A380C"/>
    <w:rsid w:val="000A381B"/>
    <w:rsid w:val="000A5827"/>
    <w:rsid w:val="000A631B"/>
    <w:rsid w:val="000A6451"/>
    <w:rsid w:val="000B064E"/>
    <w:rsid w:val="000B2AA5"/>
    <w:rsid w:val="000B6454"/>
    <w:rsid w:val="000B69CF"/>
    <w:rsid w:val="000C11F6"/>
    <w:rsid w:val="000C32E0"/>
    <w:rsid w:val="000C3C27"/>
    <w:rsid w:val="000C62AE"/>
    <w:rsid w:val="000C66DE"/>
    <w:rsid w:val="000C790C"/>
    <w:rsid w:val="000E0238"/>
    <w:rsid w:val="000E0E5E"/>
    <w:rsid w:val="000E193B"/>
    <w:rsid w:val="000E25ED"/>
    <w:rsid w:val="000E535E"/>
    <w:rsid w:val="000E5C05"/>
    <w:rsid w:val="000F061D"/>
    <w:rsid w:val="000F2A5D"/>
    <w:rsid w:val="000F4794"/>
    <w:rsid w:val="000F4A31"/>
    <w:rsid w:val="000F5558"/>
    <w:rsid w:val="000F6B39"/>
    <w:rsid w:val="00100D94"/>
    <w:rsid w:val="001029F7"/>
    <w:rsid w:val="001039B1"/>
    <w:rsid w:val="00103FFB"/>
    <w:rsid w:val="00104250"/>
    <w:rsid w:val="00104A4B"/>
    <w:rsid w:val="001062C4"/>
    <w:rsid w:val="00111AE7"/>
    <w:rsid w:val="00111BD0"/>
    <w:rsid w:val="00112602"/>
    <w:rsid w:val="00113127"/>
    <w:rsid w:val="00114DA4"/>
    <w:rsid w:val="00120DC1"/>
    <w:rsid w:val="00124F12"/>
    <w:rsid w:val="00126AF0"/>
    <w:rsid w:val="00127062"/>
    <w:rsid w:val="00134F33"/>
    <w:rsid w:val="0013627D"/>
    <w:rsid w:val="00137FB2"/>
    <w:rsid w:val="00144D97"/>
    <w:rsid w:val="00144E3A"/>
    <w:rsid w:val="00147A97"/>
    <w:rsid w:val="0015060C"/>
    <w:rsid w:val="00153888"/>
    <w:rsid w:val="00153CF8"/>
    <w:rsid w:val="00156D77"/>
    <w:rsid w:val="0016018A"/>
    <w:rsid w:val="00161F0E"/>
    <w:rsid w:val="001627E6"/>
    <w:rsid w:val="00164354"/>
    <w:rsid w:val="00170E2A"/>
    <w:rsid w:val="00177394"/>
    <w:rsid w:val="001777BB"/>
    <w:rsid w:val="0018056D"/>
    <w:rsid w:val="0018174C"/>
    <w:rsid w:val="00182C18"/>
    <w:rsid w:val="00183CC2"/>
    <w:rsid w:val="00185D7F"/>
    <w:rsid w:val="001900E4"/>
    <w:rsid w:val="001907DC"/>
    <w:rsid w:val="00190F88"/>
    <w:rsid w:val="0019161F"/>
    <w:rsid w:val="00193C5F"/>
    <w:rsid w:val="00195EF1"/>
    <w:rsid w:val="00197E06"/>
    <w:rsid w:val="001A14D4"/>
    <w:rsid w:val="001A33E1"/>
    <w:rsid w:val="001A35F2"/>
    <w:rsid w:val="001A4066"/>
    <w:rsid w:val="001A6AE4"/>
    <w:rsid w:val="001B01FD"/>
    <w:rsid w:val="001B14D1"/>
    <w:rsid w:val="001B2720"/>
    <w:rsid w:val="001B42FB"/>
    <w:rsid w:val="001B4A53"/>
    <w:rsid w:val="001B4A71"/>
    <w:rsid w:val="001B646C"/>
    <w:rsid w:val="001C0207"/>
    <w:rsid w:val="001C452B"/>
    <w:rsid w:val="001D097E"/>
    <w:rsid w:val="001D3881"/>
    <w:rsid w:val="001D556C"/>
    <w:rsid w:val="001D5B54"/>
    <w:rsid w:val="001E1DBF"/>
    <w:rsid w:val="001E318A"/>
    <w:rsid w:val="001E4639"/>
    <w:rsid w:val="001E4857"/>
    <w:rsid w:val="001E4A7D"/>
    <w:rsid w:val="001E4C07"/>
    <w:rsid w:val="001E6353"/>
    <w:rsid w:val="001F4209"/>
    <w:rsid w:val="001F43A8"/>
    <w:rsid w:val="001F5CD6"/>
    <w:rsid w:val="001F6290"/>
    <w:rsid w:val="002017CB"/>
    <w:rsid w:val="002021F6"/>
    <w:rsid w:val="00204129"/>
    <w:rsid w:val="00204A43"/>
    <w:rsid w:val="00206529"/>
    <w:rsid w:val="0021176C"/>
    <w:rsid w:val="0021263D"/>
    <w:rsid w:val="00213F0C"/>
    <w:rsid w:val="00214094"/>
    <w:rsid w:val="00214BC8"/>
    <w:rsid w:val="0021592D"/>
    <w:rsid w:val="00215B07"/>
    <w:rsid w:val="0021754C"/>
    <w:rsid w:val="002204F5"/>
    <w:rsid w:val="002210D2"/>
    <w:rsid w:val="00222BA2"/>
    <w:rsid w:val="00222D76"/>
    <w:rsid w:val="00223B65"/>
    <w:rsid w:val="00223EB1"/>
    <w:rsid w:val="00224B65"/>
    <w:rsid w:val="00231344"/>
    <w:rsid w:val="0023212B"/>
    <w:rsid w:val="0023436E"/>
    <w:rsid w:val="002347C0"/>
    <w:rsid w:val="0023550F"/>
    <w:rsid w:val="00236C89"/>
    <w:rsid w:val="0024169F"/>
    <w:rsid w:val="00241A6C"/>
    <w:rsid w:val="00241BF4"/>
    <w:rsid w:val="00241F8A"/>
    <w:rsid w:val="00242202"/>
    <w:rsid w:val="00242D2B"/>
    <w:rsid w:val="00243069"/>
    <w:rsid w:val="00245503"/>
    <w:rsid w:val="002504E9"/>
    <w:rsid w:val="00251545"/>
    <w:rsid w:val="00251674"/>
    <w:rsid w:val="002518FC"/>
    <w:rsid w:val="00262E2B"/>
    <w:rsid w:val="00265832"/>
    <w:rsid w:val="00267442"/>
    <w:rsid w:val="00270429"/>
    <w:rsid w:val="00271D14"/>
    <w:rsid w:val="00271D99"/>
    <w:rsid w:val="002723E9"/>
    <w:rsid w:val="00273979"/>
    <w:rsid w:val="00274BDA"/>
    <w:rsid w:val="00277929"/>
    <w:rsid w:val="00277AD4"/>
    <w:rsid w:val="002825FA"/>
    <w:rsid w:val="00283B82"/>
    <w:rsid w:val="002846E9"/>
    <w:rsid w:val="00284C34"/>
    <w:rsid w:val="00286884"/>
    <w:rsid w:val="0029066C"/>
    <w:rsid w:val="002908EC"/>
    <w:rsid w:val="00292C46"/>
    <w:rsid w:val="0029433E"/>
    <w:rsid w:val="002A4FD3"/>
    <w:rsid w:val="002B1094"/>
    <w:rsid w:val="002B351B"/>
    <w:rsid w:val="002B50DB"/>
    <w:rsid w:val="002B6EDB"/>
    <w:rsid w:val="002C0674"/>
    <w:rsid w:val="002C12AB"/>
    <w:rsid w:val="002C2123"/>
    <w:rsid w:val="002C229B"/>
    <w:rsid w:val="002C7757"/>
    <w:rsid w:val="002C7CAC"/>
    <w:rsid w:val="002D131A"/>
    <w:rsid w:val="002D3306"/>
    <w:rsid w:val="002D48AA"/>
    <w:rsid w:val="002D7A9F"/>
    <w:rsid w:val="002D7BAA"/>
    <w:rsid w:val="002D7F54"/>
    <w:rsid w:val="002E06BD"/>
    <w:rsid w:val="002E0AB1"/>
    <w:rsid w:val="002E2FA1"/>
    <w:rsid w:val="002E3A53"/>
    <w:rsid w:val="002E3FF4"/>
    <w:rsid w:val="002F0E05"/>
    <w:rsid w:val="002F3228"/>
    <w:rsid w:val="002F78C8"/>
    <w:rsid w:val="00300157"/>
    <w:rsid w:val="00301CF3"/>
    <w:rsid w:val="003022A2"/>
    <w:rsid w:val="00302DD5"/>
    <w:rsid w:val="003055E7"/>
    <w:rsid w:val="003063C1"/>
    <w:rsid w:val="00306852"/>
    <w:rsid w:val="003160DF"/>
    <w:rsid w:val="00316D16"/>
    <w:rsid w:val="00316EFC"/>
    <w:rsid w:val="003206F7"/>
    <w:rsid w:val="00320CB8"/>
    <w:rsid w:val="003261B7"/>
    <w:rsid w:val="0032715C"/>
    <w:rsid w:val="00327CDC"/>
    <w:rsid w:val="00332EC6"/>
    <w:rsid w:val="00337CA5"/>
    <w:rsid w:val="0034210D"/>
    <w:rsid w:val="00344DCE"/>
    <w:rsid w:val="003543B0"/>
    <w:rsid w:val="00362478"/>
    <w:rsid w:val="00362D93"/>
    <w:rsid w:val="00367C3B"/>
    <w:rsid w:val="00370F0C"/>
    <w:rsid w:val="00375B25"/>
    <w:rsid w:val="0038132C"/>
    <w:rsid w:val="00383B2E"/>
    <w:rsid w:val="00385F36"/>
    <w:rsid w:val="00386945"/>
    <w:rsid w:val="00391C58"/>
    <w:rsid w:val="00392F31"/>
    <w:rsid w:val="00393A0E"/>
    <w:rsid w:val="00393C08"/>
    <w:rsid w:val="00396542"/>
    <w:rsid w:val="0039685B"/>
    <w:rsid w:val="003A0E32"/>
    <w:rsid w:val="003A1D69"/>
    <w:rsid w:val="003A235E"/>
    <w:rsid w:val="003A31A6"/>
    <w:rsid w:val="003A46CC"/>
    <w:rsid w:val="003A55C5"/>
    <w:rsid w:val="003A63D3"/>
    <w:rsid w:val="003A7F0C"/>
    <w:rsid w:val="003A7F79"/>
    <w:rsid w:val="003B0949"/>
    <w:rsid w:val="003B163D"/>
    <w:rsid w:val="003B195B"/>
    <w:rsid w:val="003B6404"/>
    <w:rsid w:val="003B696C"/>
    <w:rsid w:val="003B6D22"/>
    <w:rsid w:val="003C449B"/>
    <w:rsid w:val="003C7145"/>
    <w:rsid w:val="003C7C62"/>
    <w:rsid w:val="003D21FF"/>
    <w:rsid w:val="003D3158"/>
    <w:rsid w:val="003D3FA3"/>
    <w:rsid w:val="003D553B"/>
    <w:rsid w:val="003D729B"/>
    <w:rsid w:val="003E071F"/>
    <w:rsid w:val="003E1ABD"/>
    <w:rsid w:val="003E1B4D"/>
    <w:rsid w:val="003E405A"/>
    <w:rsid w:val="003E6026"/>
    <w:rsid w:val="003F0112"/>
    <w:rsid w:val="003F0181"/>
    <w:rsid w:val="003F071A"/>
    <w:rsid w:val="003F160B"/>
    <w:rsid w:val="003F2A25"/>
    <w:rsid w:val="003F65DE"/>
    <w:rsid w:val="003F6BA1"/>
    <w:rsid w:val="00400032"/>
    <w:rsid w:val="00400B5B"/>
    <w:rsid w:val="004020DF"/>
    <w:rsid w:val="00403DC0"/>
    <w:rsid w:val="00404C43"/>
    <w:rsid w:val="00405A00"/>
    <w:rsid w:val="00406891"/>
    <w:rsid w:val="004076DB"/>
    <w:rsid w:val="004108F7"/>
    <w:rsid w:val="00410C30"/>
    <w:rsid w:val="004114A0"/>
    <w:rsid w:val="00412686"/>
    <w:rsid w:val="00413E2D"/>
    <w:rsid w:val="00414291"/>
    <w:rsid w:val="00420870"/>
    <w:rsid w:val="00424748"/>
    <w:rsid w:val="00425E33"/>
    <w:rsid w:val="0043184E"/>
    <w:rsid w:val="00432D0C"/>
    <w:rsid w:val="0043791B"/>
    <w:rsid w:val="004403AF"/>
    <w:rsid w:val="00440AED"/>
    <w:rsid w:val="004411F3"/>
    <w:rsid w:val="00441483"/>
    <w:rsid w:val="00441BCB"/>
    <w:rsid w:val="00442AC9"/>
    <w:rsid w:val="00450E9E"/>
    <w:rsid w:val="0045176A"/>
    <w:rsid w:val="00452BA5"/>
    <w:rsid w:val="00455179"/>
    <w:rsid w:val="0045563C"/>
    <w:rsid w:val="00456332"/>
    <w:rsid w:val="00461826"/>
    <w:rsid w:val="004620BF"/>
    <w:rsid w:val="00462432"/>
    <w:rsid w:val="004630BF"/>
    <w:rsid w:val="00463522"/>
    <w:rsid w:val="0046767A"/>
    <w:rsid w:val="00470013"/>
    <w:rsid w:val="00470309"/>
    <w:rsid w:val="00471F21"/>
    <w:rsid w:val="00473C70"/>
    <w:rsid w:val="004764F8"/>
    <w:rsid w:val="004800F9"/>
    <w:rsid w:val="0048357E"/>
    <w:rsid w:val="00483C64"/>
    <w:rsid w:val="004840B2"/>
    <w:rsid w:val="004847E2"/>
    <w:rsid w:val="00485B26"/>
    <w:rsid w:val="00485F52"/>
    <w:rsid w:val="0049040F"/>
    <w:rsid w:val="0049134A"/>
    <w:rsid w:val="00496A89"/>
    <w:rsid w:val="004A01C7"/>
    <w:rsid w:val="004A05EF"/>
    <w:rsid w:val="004A53FF"/>
    <w:rsid w:val="004A58CB"/>
    <w:rsid w:val="004A6178"/>
    <w:rsid w:val="004B1795"/>
    <w:rsid w:val="004B56DD"/>
    <w:rsid w:val="004B64CB"/>
    <w:rsid w:val="004B751A"/>
    <w:rsid w:val="004C020F"/>
    <w:rsid w:val="004C1AFD"/>
    <w:rsid w:val="004C322F"/>
    <w:rsid w:val="004C37AF"/>
    <w:rsid w:val="004C558B"/>
    <w:rsid w:val="004C5DB4"/>
    <w:rsid w:val="004D0B68"/>
    <w:rsid w:val="004D1791"/>
    <w:rsid w:val="004D3194"/>
    <w:rsid w:val="004D33AF"/>
    <w:rsid w:val="004D4BCC"/>
    <w:rsid w:val="004D5605"/>
    <w:rsid w:val="004D6EC3"/>
    <w:rsid w:val="004E0BC4"/>
    <w:rsid w:val="004E2B73"/>
    <w:rsid w:val="004E3FC3"/>
    <w:rsid w:val="004E6B25"/>
    <w:rsid w:val="004F0B93"/>
    <w:rsid w:val="004F1F88"/>
    <w:rsid w:val="004F443F"/>
    <w:rsid w:val="004F5F1B"/>
    <w:rsid w:val="004F61BA"/>
    <w:rsid w:val="004F647C"/>
    <w:rsid w:val="004F64EF"/>
    <w:rsid w:val="004F67DF"/>
    <w:rsid w:val="00502374"/>
    <w:rsid w:val="00503F42"/>
    <w:rsid w:val="00504409"/>
    <w:rsid w:val="005060A1"/>
    <w:rsid w:val="00514B97"/>
    <w:rsid w:val="00514E83"/>
    <w:rsid w:val="00514FCE"/>
    <w:rsid w:val="0051565F"/>
    <w:rsid w:val="00516072"/>
    <w:rsid w:val="00516417"/>
    <w:rsid w:val="00517060"/>
    <w:rsid w:val="005200A1"/>
    <w:rsid w:val="005217D8"/>
    <w:rsid w:val="005267C9"/>
    <w:rsid w:val="005300C6"/>
    <w:rsid w:val="005332EC"/>
    <w:rsid w:val="00534418"/>
    <w:rsid w:val="00534A64"/>
    <w:rsid w:val="005353AB"/>
    <w:rsid w:val="00537C23"/>
    <w:rsid w:val="00541992"/>
    <w:rsid w:val="00542C07"/>
    <w:rsid w:val="00545007"/>
    <w:rsid w:val="005527E6"/>
    <w:rsid w:val="00555101"/>
    <w:rsid w:val="005560BC"/>
    <w:rsid w:val="005573BE"/>
    <w:rsid w:val="00557B4A"/>
    <w:rsid w:val="00560ED8"/>
    <w:rsid w:val="0056164F"/>
    <w:rsid w:val="005623D5"/>
    <w:rsid w:val="00565694"/>
    <w:rsid w:val="005704D1"/>
    <w:rsid w:val="00571028"/>
    <w:rsid w:val="00572700"/>
    <w:rsid w:val="00572D22"/>
    <w:rsid w:val="00574ECF"/>
    <w:rsid w:val="0057520A"/>
    <w:rsid w:val="00577C6A"/>
    <w:rsid w:val="00580468"/>
    <w:rsid w:val="00582231"/>
    <w:rsid w:val="00582A10"/>
    <w:rsid w:val="00584517"/>
    <w:rsid w:val="00584C46"/>
    <w:rsid w:val="00585377"/>
    <w:rsid w:val="0058603B"/>
    <w:rsid w:val="00592406"/>
    <w:rsid w:val="0059431B"/>
    <w:rsid w:val="00597D12"/>
    <w:rsid w:val="005A39CC"/>
    <w:rsid w:val="005A3C46"/>
    <w:rsid w:val="005A4462"/>
    <w:rsid w:val="005B1B34"/>
    <w:rsid w:val="005B4730"/>
    <w:rsid w:val="005C0E22"/>
    <w:rsid w:val="005C0E5E"/>
    <w:rsid w:val="005C70FA"/>
    <w:rsid w:val="005D00CD"/>
    <w:rsid w:val="005D37D0"/>
    <w:rsid w:val="005D6EC2"/>
    <w:rsid w:val="005E05D7"/>
    <w:rsid w:val="005E41E7"/>
    <w:rsid w:val="005E4215"/>
    <w:rsid w:val="005E450F"/>
    <w:rsid w:val="005F2628"/>
    <w:rsid w:val="005F4175"/>
    <w:rsid w:val="005F7AD0"/>
    <w:rsid w:val="00601EF2"/>
    <w:rsid w:val="00602933"/>
    <w:rsid w:val="00612E22"/>
    <w:rsid w:val="00613614"/>
    <w:rsid w:val="00616D20"/>
    <w:rsid w:val="00617FFA"/>
    <w:rsid w:val="0062298A"/>
    <w:rsid w:val="00626514"/>
    <w:rsid w:val="00626589"/>
    <w:rsid w:val="00626E62"/>
    <w:rsid w:val="00632B13"/>
    <w:rsid w:val="006332A6"/>
    <w:rsid w:val="006339A0"/>
    <w:rsid w:val="00634D07"/>
    <w:rsid w:val="0063634A"/>
    <w:rsid w:val="006413A8"/>
    <w:rsid w:val="00641FAD"/>
    <w:rsid w:val="00642E56"/>
    <w:rsid w:val="00643CC3"/>
    <w:rsid w:val="00647339"/>
    <w:rsid w:val="00651E00"/>
    <w:rsid w:val="00661A10"/>
    <w:rsid w:val="00662850"/>
    <w:rsid w:val="00663BD4"/>
    <w:rsid w:val="00663DDB"/>
    <w:rsid w:val="00664F19"/>
    <w:rsid w:val="00671816"/>
    <w:rsid w:val="00672CC6"/>
    <w:rsid w:val="00674572"/>
    <w:rsid w:val="00685C7E"/>
    <w:rsid w:val="00687763"/>
    <w:rsid w:val="00687BBA"/>
    <w:rsid w:val="00687DD9"/>
    <w:rsid w:val="006929AC"/>
    <w:rsid w:val="00692B0D"/>
    <w:rsid w:val="00693E0E"/>
    <w:rsid w:val="00697207"/>
    <w:rsid w:val="006A1AE3"/>
    <w:rsid w:val="006A29B7"/>
    <w:rsid w:val="006A4AA0"/>
    <w:rsid w:val="006A5578"/>
    <w:rsid w:val="006A6EAA"/>
    <w:rsid w:val="006B3470"/>
    <w:rsid w:val="006B5764"/>
    <w:rsid w:val="006B67B8"/>
    <w:rsid w:val="006C2ABD"/>
    <w:rsid w:val="006C2F3D"/>
    <w:rsid w:val="006C30E1"/>
    <w:rsid w:val="006C418A"/>
    <w:rsid w:val="006C4607"/>
    <w:rsid w:val="006C55B0"/>
    <w:rsid w:val="006D1C88"/>
    <w:rsid w:val="006D48F1"/>
    <w:rsid w:val="006E044E"/>
    <w:rsid w:val="006E1A03"/>
    <w:rsid w:val="006E1A94"/>
    <w:rsid w:val="006E21C6"/>
    <w:rsid w:val="006E5288"/>
    <w:rsid w:val="006E5616"/>
    <w:rsid w:val="006E626B"/>
    <w:rsid w:val="006F4281"/>
    <w:rsid w:val="006F45BE"/>
    <w:rsid w:val="006F5725"/>
    <w:rsid w:val="006F61DA"/>
    <w:rsid w:val="006F66D9"/>
    <w:rsid w:val="007004FC"/>
    <w:rsid w:val="00703D02"/>
    <w:rsid w:val="00706548"/>
    <w:rsid w:val="00706670"/>
    <w:rsid w:val="00710F56"/>
    <w:rsid w:val="00711987"/>
    <w:rsid w:val="00711F59"/>
    <w:rsid w:val="00720B2E"/>
    <w:rsid w:val="00722DF4"/>
    <w:rsid w:val="0072417C"/>
    <w:rsid w:val="007250FF"/>
    <w:rsid w:val="00734450"/>
    <w:rsid w:val="00740BC1"/>
    <w:rsid w:val="00741ABB"/>
    <w:rsid w:val="0074220B"/>
    <w:rsid w:val="0074392E"/>
    <w:rsid w:val="00743E5D"/>
    <w:rsid w:val="007444A8"/>
    <w:rsid w:val="00745F67"/>
    <w:rsid w:val="0075039E"/>
    <w:rsid w:val="007526D3"/>
    <w:rsid w:val="00752D9D"/>
    <w:rsid w:val="00754784"/>
    <w:rsid w:val="00757C6E"/>
    <w:rsid w:val="00760989"/>
    <w:rsid w:val="00762BDA"/>
    <w:rsid w:val="00764E64"/>
    <w:rsid w:val="0076757D"/>
    <w:rsid w:val="00773BF4"/>
    <w:rsid w:val="00775191"/>
    <w:rsid w:val="007770F4"/>
    <w:rsid w:val="00777ABC"/>
    <w:rsid w:val="007805DC"/>
    <w:rsid w:val="007805FD"/>
    <w:rsid w:val="00780D84"/>
    <w:rsid w:val="00781D69"/>
    <w:rsid w:val="00782C97"/>
    <w:rsid w:val="00784422"/>
    <w:rsid w:val="007846C3"/>
    <w:rsid w:val="00785198"/>
    <w:rsid w:val="007903FD"/>
    <w:rsid w:val="0079139D"/>
    <w:rsid w:val="00792632"/>
    <w:rsid w:val="00792967"/>
    <w:rsid w:val="007930A0"/>
    <w:rsid w:val="0079393A"/>
    <w:rsid w:val="007949D5"/>
    <w:rsid w:val="00796D3D"/>
    <w:rsid w:val="007A3223"/>
    <w:rsid w:val="007A5080"/>
    <w:rsid w:val="007B026E"/>
    <w:rsid w:val="007B084D"/>
    <w:rsid w:val="007B3B54"/>
    <w:rsid w:val="007B3FA0"/>
    <w:rsid w:val="007B43BB"/>
    <w:rsid w:val="007B5343"/>
    <w:rsid w:val="007B6DC8"/>
    <w:rsid w:val="007C098F"/>
    <w:rsid w:val="007C0F2C"/>
    <w:rsid w:val="007C2BCC"/>
    <w:rsid w:val="007C4EF0"/>
    <w:rsid w:val="007C5993"/>
    <w:rsid w:val="007D099D"/>
    <w:rsid w:val="007D67CA"/>
    <w:rsid w:val="007E2664"/>
    <w:rsid w:val="007E28B0"/>
    <w:rsid w:val="007E3ABF"/>
    <w:rsid w:val="007E3BFA"/>
    <w:rsid w:val="007E5843"/>
    <w:rsid w:val="007E5BFA"/>
    <w:rsid w:val="007E6689"/>
    <w:rsid w:val="007E731C"/>
    <w:rsid w:val="007F0A03"/>
    <w:rsid w:val="007F6513"/>
    <w:rsid w:val="007F6D67"/>
    <w:rsid w:val="00806862"/>
    <w:rsid w:val="00807DB9"/>
    <w:rsid w:val="00810040"/>
    <w:rsid w:val="008112C5"/>
    <w:rsid w:val="00812E29"/>
    <w:rsid w:val="0082023A"/>
    <w:rsid w:val="00820A83"/>
    <w:rsid w:val="00821A7A"/>
    <w:rsid w:val="00822D91"/>
    <w:rsid w:val="008253F8"/>
    <w:rsid w:val="00826F2D"/>
    <w:rsid w:val="00827409"/>
    <w:rsid w:val="00827E29"/>
    <w:rsid w:val="00830392"/>
    <w:rsid w:val="008306EC"/>
    <w:rsid w:val="008325E4"/>
    <w:rsid w:val="00832A2B"/>
    <w:rsid w:val="00833FFF"/>
    <w:rsid w:val="00835D6B"/>
    <w:rsid w:val="00840BFD"/>
    <w:rsid w:val="00843C5D"/>
    <w:rsid w:val="00843D5B"/>
    <w:rsid w:val="00845811"/>
    <w:rsid w:val="00846994"/>
    <w:rsid w:val="00850451"/>
    <w:rsid w:val="00851C99"/>
    <w:rsid w:val="00852042"/>
    <w:rsid w:val="008534C9"/>
    <w:rsid w:val="0085599D"/>
    <w:rsid w:val="00863212"/>
    <w:rsid w:val="0087510C"/>
    <w:rsid w:val="00882A69"/>
    <w:rsid w:val="00892F0E"/>
    <w:rsid w:val="00894516"/>
    <w:rsid w:val="0089678F"/>
    <w:rsid w:val="008968D2"/>
    <w:rsid w:val="0089738E"/>
    <w:rsid w:val="008A419E"/>
    <w:rsid w:val="008A4BE2"/>
    <w:rsid w:val="008B0077"/>
    <w:rsid w:val="008B3872"/>
    <w:rsid w:val="008B5FDB"/>
    <w:rsid w:val="008B6C0B"/>
    <w:rsid w:val="008B7279"/>
    <w:rsid w:val="008C50F4"/>
    <w:rsid w:val="008C5649"/>
    <w:rsid w:val="008C735B"/>
    <w:rsid w:val="008D01E9"/>
    <w:rsid w:val="008D07A0"/>
    <w:rsid w:val="008D280F"/>
    <w:rsid w:val="008D3310"/>
    <w:rsid w:val="008D396D"/>
    <w:rsid w:val="008E2C20"/>
    <w:rsid w:val="008E364F"/>
    <w:rsid w:val="008E43F9"/>
    <w:rsid w:val="008E44A2"/>
    <w:rsid w:val="008E4FE3"/>
    <w:rsid w:val="008E697D"/>
    <w:rsid w:val="008E6A76"/>
    <w:rsid w:val="008F0666"/>
    <w:rsid w:val="008F115B"/>
    <w:rsid w:val="008F150B"/>
    <w:rsid w:val="008F3990"/>
    <w:rsid w:val="008F718B"/>
    <w:rsid w:val="008F75A4"/>
    <w:rsid w:val="00903263"/>
    <w:rsid w:val="00905C52"/>
    <w:rsid w:val="00906A21"/>
    <w:rsid w:val="009079C3"/>
    <w:rsid w:val="00910462"/>
    <w:rsid w:val="009109F6"/>
    <w:rsid w:val="009146A2"/>
    <w:rsid w:val="00915AB1"/>
    <w:rsid w:val="00917532"/>
    <w:rsid w:val="00917E41"/>
    <w:rsid w:val="00920151"/>
    <w:rsid w:val="00920796"/>
    <w:rsid w:val="0092187A"/>
    <w:rsid w:val="0092217C"/>
    <w:rsid w:val="0092220A"/>
    <w:rsid w:val="00922FEE"/>
    <w:rsid w:val="009235BA"/>
    <w:rsid w:val="00924023"/>
    <w:rsid w:val="00924CE2"/>
    <w:rsid w:val="00925B9F"/>
    <w:rsid w:val="00930CB1"/>
    <w:rsid w:val="00931AED"/>
    <w:rsid w:val="0093661A"/>
    <w:rsid w:val="009408F3"/>
    <w:rsid w:val="0094258C"/>
    <w:rsid w:val="00944A67"/>
    <w:rsid w:val="00944CC6"/>
    <w:rsid w:val="009450F1"/>
    <w:rsid w:val="0094533A"/>
    <w:rsid w:val="00946BE3"/>
    <w:rsid w:val="009476A3"/>
    <w:rsid w:val="0095334F"/>
    <w:rsid w:val="009606F2"/>
    <w:rsid w:val="0096272B"/>
    <w:rsid w:val="00965897"/>
    <w:rsid w:val="0096630A"/>
    <w:rsid w:val="0096765C"/>
    <w:rsid w:val="00971882"/>
    <w:rsid w:val="009727E4"/>
    <w:rsid w:val="009734C6"/>
    <w:rsid w:val="00974B1B"/>
    <w:rsid w:val="00975873"/>
    <w:rsid w:val="00975D4D"/>
    <w:rsid w:val="00975DDC"/>
    <w:rsid w:val="00976F6C"/>
    <w:rsid w:val="00982908"/>
    <w:rsid w:val="00984A4D"/>
    <w:rsid w:val="00984F92"/>
    <w:rsid w:val="00991329"/>
    <w:rsid w:val="00992443"/>
    <w:rsid w:val="009934C5"/>
    <w:rsid w:val="009944A9"/>
    <w:rsid w:val="00994C0F"/>
    <w:rsid w:val="009A2835"/>
    <w:rsid w:val="009A2E58"/>
    <w:rsid w:val="009A605E"/>
    <w:rsid w:val="009A7508"/>
    <w:rsid w:val="009B006B"/>
    <w:rsid w:val="009B1F1D"/>
    <w:rsid w:val="009B22D7"/>
    <w:rsid w:val="009B4BB1"/>
    <w:rsid w:val="009B5CEE"/>
    <w:rsid w:val="009B63A3"/>
    <w:rsid w:val="009B6850"/>
    <w:rsid w:val="009B72ED"/>
    <w:rsid w:val="009C067E"/>
    <w:rsid w:val="009C6DEB"/>
    <w:rsid w:val="009D0017"/>
    <w:rsid w:val="009D3EAF"/>
    <w:rsid w:val="009D6504"/>
    <w:rsid w:val="009D6F01"/>
    <w:rsid w:val="009E12D7"/>
    <w:rsid w:val="009E2CB0"/>
    <w:rsid w:val="009E5705"/>
    <w:rsid w:val="009E5C50"/>
    <w:rsid w:val="009E661A"/>
    <w:rsid w:val="009E770F"/>
    <w:rsid w:val="009F3834"/>
    <w:rsid w:val="009F611E"/>
    <w:rsid w:val="009F7BC9"/>
    <w:rsid w:val="00A00AA4"/>
    <w:rsid w:val="00A02BC7"/>
    <w:rsid w:val="00A0372A"/>
    <w:rsid w:val="00A03BB5"/>
    <w:rsid w:val="00A03FD4"/>
    <w:rsid w:val="00A06781"/>
    <w:rsid w:val="00A074C3"/>
    <w:rsid w:val="00A106E0"/>
    <w:rsid w:val="00A126A5"/>
    <w:rsid w:val="00A1509C"/>
    <w:rsid w:val="00A168DC"/>
    <w:rsid w:val="00A202BF"/>
    <w:rsid w:val="00A20419"/>
    <w:rsid w:val="00A21E2D"/>
    <w:rsid w:val="00A23E46"/>
    <w:rsid w:val="00A249B9"/>
    <w:rsid w:val="00A34260"/>
    <w:rsid w:val="00A350C7"/>
    <w:rsid w:val="00A35B35"/>
    <w:rsid w:val="00A36AEF"/>
    <w:rsid w:val="00A46F01"/>
    <w:rsid w:val="00A506AD"/>
    <w:rsid w:val="00A560D2"/>
    <w:rsid w:val="00A56775"/>
    <w:rsid w:val="00A60E6D"/>
    <w:rsid w:val="00A62905"/>
    <w:rsid w:val="00A62AF5"/>
    <w:rsid w:val="00A6485B"/>
    <w:rsid w:val="00A66CF0"/>
    <w:rsid w:val="00A70CFD"/>
    <w:rsid w:val="00A721FB"/>
    <w:rsid w:val="00A72A0B"/>
    <w:rsid w:val="00A81E42"/>
    <w:rsid w:val="00A860FB"/>
    <w:rsid w:val="00A864FE"/>
    <w:rsid w:val="00A86F41"/>
    <w:rsid w:val="00A87D04"/>
    <w:rsid w:val="00A90F01"/>
    <w:rsid w:val="00A93861"/>
    <w:rsid w:val="00A950C5"/>
    <w:rsid w:val="00A97BE8"/>
    <w:rsid w:val="00AA1D25"/>
    <w:rsid w:val="00AA1E37"/>
    <w:rsid w:val="00AA4BDF"/>
    <w:rsid w:val="00AB1B5E"/>
    <w:rsid w:val="00AB2B1A"/>
    <w:rsid w:val="00AB397F"/>
    <w:rsid w:val="00AB5832"/>
    <w:rsid w:val="00AC2168"/>
    <w:rsid w:val="00AC51F2"/>
    <w:rsid w:val="00AD1D56"/>
    <w:rsid w:val="00AD3269"/>
    <w:rsid w:val="00AD3D98"/>
    <w:rsid w:val="00AD3FEF"/>
    <w:rsid w:val="00AD508C"/>
    <w:rsid w:val="00AD50DF"/>
    <w:rsid w:val="00AD766E"/>
    <w:rsid w:val="00AE2C75"/>
    <w:rsid w:val="00AE5066"/>
    <w:rsid w:val="00AE5E24"/>
    <w:rsid w:val="00AE61B7"/>
    <w:rsid w:val="00AE6CBA"/>
    <w:rsid w:val="00AE6FEF"/>
    <w:rsid w:val="00AE79AD"/>
    <w:rsid w:val="00AF35E4"/>
    <w:rsid w:val="00AF5496"/>
    <w:rsid w:val="00AF58E9"/>
    <w:rsid w:val="00AF5CDE"/>
    <w:rsid w:val="00B024F0"/>
    <w:rsid w:val="00B02A19"/>
    <w:rsid w:val="00B05BD0"/>
    <w:rsid w:val="00B05E0E"/>
    <w:rsid w:val="00B11A57"/>
    <w:rsid w:val="00B12399"/>
    <w:rsid w:val="00B13844"/>
    <w:rsid w:val="00B13F9B"/>
    <w:rsid w:val="00B172CA"/>
    <w:rsid w:val="00B211C3"/>
    <w:rsid w:val="00B234C3"/>
    <w:rsid w:val="00B23FBA"/>
    <w:rsid w:val="00B24206"/>
    <w:rsid w:val="00B25597"/>
    <w:rsid w:val="00B26284"/>
    <w:rsid w:val="00B267B9"/>
    <w:rsid w:val="00B311EF"/>
    <w:rsid w:val="00B32F76"/>
    <w:rsid w:val="00B33E09"/>
    <w:rsid w:val="00B374B2"/>
    <w:rsid w:val="00B423C0"/>
    <w:rsid w:val="00B42E11"/>
    <w:rsid w:val="00B43EE5"/>
    <w:rsid w:val="00B50708"/>
    <w:rsid w:val="00B50C68"/>
    <w:rsid w:val="00B51293"/>
    <w:rsid w:val="00B52B1E"/>
    <w:rsid w:val="00B52CF4"/>
    <w:rsid w:val="00B53411"/>
    <w:rsid w:val="00B55481"/>
    <w:rsid w:val="00B55540"/>
    <w:rsid w:val="00B56C32"/>
    <w:rsid w:val="00B5791C"/>
    <w:rsid w:val="00B57ACF"/>
    <w:rsid w:val="00B614F7"/>
    <w:rsid w:val="00B61FA7"/>
    <w:rsid w:val="00B63AC8"/>
    <w:rsid w:val="00B64BB1"/>
    <w:rsid w:val="00B7171E"/>
    <w:rsid w:val="00B73166"/>
    <w:rsid w:val="00B76D89"/>
    <w:rsid w:val="00B81D70"/>
    <w:rsid w:val="00B83896"/>
    <w:rsid w:val="00B8426C"/>
    <w:rsid w:val="00B84865"/>
    <w:rsid w:val="00B85D0D"/>
    <w:rsid w:val="00B86B37"/>
    <w:rsid w:val="00B86D05"/>
    <w:rsid w:val="00B90203"/>
    <w:rsid w:val="00B91B8D"/>
    <w:rsid w:val="00B9285F"/>
    <w:rsid w:val="00B92A34"/>
    <w:rsid w:val="00B93862"/>
    <w:rsid w:val="00B94E90"/>
    <w:rsid w:val="00BA0065"/>
    <w:rsid w:val="00BA3622"/>
    <w:rsid w:val="00BA372E"/>
    <w:rsid w:val="00BA43B1"/>
    <w:rsid w:val="00BA4D72"/>
    <w:rsid w:val="00BA5C6A"/>
    <w:rsid w:val="00BA66F6"/>
    <w:rsid w:val="00BB0A82"/>
    <w:rsid w:val="00BB4D17"/>
    <w:rsid w:val="00BB71A0"/>
    <w:rsid w:val="00BB7C94"/>
    <w:rsid w:val="00BC0A9D"/>
    <w:rsid w:val="00BC2A40"/>
    <w:rsid w:val="00BC4BA9"/>
    <w:rsid w:val="00BC50D4"/>
    <w:rsid w:val="00BC6C69"/>
    <w:rsid w:val="00BC7DB7"/>
    <w:rsid w:val="00BD0646"/>
    <w:rsid w:val="00BD3852"/>
    <w:rsid w:val="00BD427C"/>
    <w:rsid w:val="00BD61B2"/>
    <w:rsid w:val="00BE083D"/>
    <w:rsid w:val="00BE2DCE"/>
    <w:rsid w:val="00BE5E9A"/>
    <w:rsid w:val="00BF059E"/>
    <w:rsid w:val="00BF0863"/>
    <w:rsid w:val="00BF1942"/>
    <w:rsid w:val="00BF26C1"/>
    <w:rsid w:val="00BF40ED"/>
    <w:rsid w:val="00BF446F"/>
    <w:rsid w:val="00BF45F8"/>
    <w:rsid w:val="00BF46B3"/>
    <w:rsid w:val="00BF4F33"/>
    <w:rsid w:val="00BF5BC2"/>
    <w:rsid w:val="00C026E7"/>
    <w:rsid w:val="00C02E41"/>
    <w:rsid w:val="00C035A2"/>
    <w:rsid w:val="00C03C24"/>
    <w:rsid w:val="00C0542B"/>
    <w:rsid w:val="00C07063"/>
    <w:rsid w:val="00C07D15"/>
    <w:rsid w:val="00C1133D"/>
    <w:rsid w:val="00C13B8C"/>
    <w:rsid w:val="00C15800"/>
    <w:rsid w:val="00C15BEB"/>
    <w:rsid w:val="00C238DD"/>
    <w:rsid w:val="00C24270"/>
    <w:rsid w:val="00C25BB9"/>
    <w:rsid w:val="00C27A08"/>
    <w:rsid w:val="00C31312"/>
    <w:rsid w:val="00C31E36"/>
    <w:rsid w:val="00C326C6"/>
    <w:rsid w:val="00C32876"/>
    <w:rsid w:val="00C35295"/>
    <w:rsid w:val="00C36A64"/>
    <w:rsid w:val="00C36ADD"/>
    <w:rsid w:val="00C36E74"/>
    <w:rsid w:val="00C40595"/>
    <w:rsid w:val="00C41621"/>
    <w:rsid w:val="00C449FA"/>
    <w:rsid w:val="00C50808"/>
    <w:rsid w:val="00C5384F"/>
    <w:rsid w:val="00C5405A"/>
    <w:rsid w:val="00C5501B"/>
    <w:rsid w:val="00C56964"/>
    <w:rsid w:val="00C6060C"/>
    <w:rsid w:val="00C63FED"/>
    <w:rsid w:val="00C656D5"/>
    <w:rsid w:val="00C66366"/>
    <w:rsid w:val="00C67103"/>
    <w:rsid w:val="00C673B2"/>
    <w:rsid w:val="00C71BB9"/>
    <w:rsid w:val="00C7546B"/>
    <w:rsid w:val="00C81964"/>
    <w:rsid w:val="00C82BB6"/>
    <w:rsid w:val="00C83412"/>
    <w:rsid w:val="00C840BE"/>
    <w:rsid w:val="00C91549"/>
    <w:rsid w:val="00C91FD0"/>
    <w:rsid w:val="00C932F1"/>
    <w:rsid w:val="00C94C28"/>
    <w:rsid w:val="00CA2A49"/>
    <w:rsid w:val="00CA33FA"/>
    <w:rsid w:val="00CA5AF8"/>
    <w:rsid w:val="00CA5BEC"/>
    <w:rsid w:val="00CA7289"/>
    <w:rsid w:val="00CB0247"/>
    <w:rsid w:val="00CB2B21"/>
    <w:rsid w:val="00CB3440"/>
    <w:rsid w:val="00CC1692"/>
    <w:rsid w:val="00CC3A7E"/>
    <w:rsid w:val="00CC5848"/>
    <w:rsid w:val="00CD138B"/>
    <w:rsid w:val="00CD33A6"/>
    <w:rsid w:val="00CD3E31"/>
    <w:rsid w:val="00CD74A3"/>
    <w:rsid w:val="00CE0527"/>
    <w:rsid w:val="00CE5B23"/>
    <w:rsid w:val="00CE63FF"/>
    <w:rsid w:val="00CF244D"/>
    <w:rsid w:val="00CF3F9A"/>
    <w:rsid w:val="00CF5856"/>
    <w:rsid w:val="00CF70AD"/>
    <w:rsid w:val="00CF7729"/>
    <w:rsid w:val="00D00059"/>
    <w:rsid w:val="00D014F5"/>
    <w:rsid w:val="00D02FDA"/>
    <w:rsid w:val="00D03765"/>
    <w:rsid w:val="00D04761"/>
    <w:rsid w:val="00D0609D"/>
    <w:rsid w:val="00D07C38"/>
    <w:rsid w:val="00D07F40"/>
    <w:rsid w:val="00D107FA"/>
    <w:rsid w:val="00D1162D"/>
    <w:rsid w:val="00D12275"/>
    <w:rsid w:val="00D12766"/>
    <w:rsid w:val="00D12770"/>
    <w:rsid w:val="00D20FF4"/>
    <w:rsid w:val="00D22F39"/>
    <w:rsid w:val="00D2326A"/>
    <w:rsid w:val="00D24D2C"/>
    <w:rsid w:val="00D26491"/>
    <w:rsid w:val="00D35881"/>
    <w:rsid w:val="00D3610D"/>
    <w:rsid w:val="00D400E9"/>
    <w:rsid w:val="00D437AC"/>
    <w:rsid w:val="00D606F7"/>
    <w:rsid w:val="00D635B6"/>
    <w:rsid w:val="00D65A91"/>
    <w:rsid w:val="00D65CAB"/>
    <w:rsid w:val="00D66B19"/>
    <w:rsid w:val="00D700F8"/>
    <w:rsid w:val="00D7072D"/>
    <w:rsid w:val="00D71DF2"/>
    <w:rsid w:val="00D72BE6"/>
    <w:rsid w:val="00D7594B"/>
    <w:rsid w:val="00D77783"/>
    <w:rsid w:val="00D81E79"/>
    <w:rsid w:val="00D8340A"/>
    <w:rsid w:val="00D8368A"/>
    <w:rsid w:val="00D84F01"/>
    <w:rsid w:val="00D8634A"/>
    <w:rsid w:val="00D901F2"/>
    <w:rsid w:val="00D90C2D"/>
    <w:rsid w:val="00D9360F"/>
    <w:rsid w:val="00D93C61"/>
    <w:rsid w:val="00D9684D"/>
    <w:rsid w:val="00D96B6F"/>
    <w:rsid w:val="00DA0685"/>
    <w:rsid w:val="00DA0BEF"/>
    <w:rsid w:val="00DA126F"/>
    <w:rsid w:val="00DA20C6"/>
    <w:rsid w:val="00DA346A"/>
    <w:rsid w:val="00DA3749"/>
    <w:rsid w:val="00DA50E3"/>
    <w:rsid w:val="00DA59AC"/>
    <w:rsid w:val="00DA6E23"/>
    <w:rsid w:val="00DA7DA5"/>
    <w:rsid w:val="00DB073B"/>
    <w:rsid w:val="00DB3BFB"/>
    <w:rsid w:val="00DB49E2"/>
    <w:rsid w:val="00DB78F0"/>
    <w:rsid w:val="00DB7C38"/>
    <w:rsid w:val="00DC08A6"/>
    <w:rsid w:val="00DC0CEA"/>
    <w:rsid w:val="00DC2E43"/>
    <w:rsid w:val="00DC3A38"/>
    <w:rsid w:val="00DC4CFF"/>
    <w:rsid w:val="00DC4D3C"/>
    <w:rsid w:val="00DD095C"/>
    <w:rsid w:val="00DD1020"/>
    <w:rsid w:val="00DD1125"/>
    <w:rsid w:val="00DD1330"/>
    <w:rsid w:val="00DD5DEA"/>
    <w:rsid w:val="00DD6EF3"/>
    <w:rsid w:val="00DD7EF3"/>
    <w:rsid w:val="00DE0B83"/>
    <w:rsid w:val="00DE1A81"/>
    <w:rsid w:val="00DE1C13"/>
    <w:rsid w:val="00DE2F33"/>
    <w:rsid w:val="00DE37D0"/>
    <w:rsid w:val="00DE4E10"/>
    <w:rsid w:val="00DE733A"/>
    <w:rsid w:val="00DF4666"/>
    <w:rsid w:val="00DF69A4"/>
    <w:rsid w:val="00DF7889"/>
    <w:rsid w:val="00DF7BC5"/>
    <w:rsid w:val="00E028FE"/>
    <w:rsid w:val="00E02ABF"/>
    <w:rsid w:val="00E046BF"/>
    <w:rsid w:val="00E07193"/>
    <w:rsid w:val="00E10FCC"/>
    <w:rsid w:val="00E12CB1"/>
    <w:rsid w:val="00E144FC"/>
    <w:rsid w:val="00E14995"/>
    <w:rsid w:val="00E1541A"/>
    <w:rsid w:val="00E162DD"/>
    <w:rsid w:val="00E179CD"/>
    <w:rsid w:val="00E20007"/>
    <w:rsid w:val="00E22B71"/>
    <w:rsid w:val="00E23E8D"/>
    <w:rsid w:val="00E241FE"/>
    <w:rsid w:val="00E30507"/>
    <w:rsid w:val="00E336D8"/>
    <w:rsid w:val="00E341C5"/>
    <w:rsid w:val="00E356AA"/>
    <w:rsid w:val="00E37F98"/>
    <w:rsid w:val="00E40B14"/>
    <w:rsid w:val="00E459B7"/>
    <w:rsid w:val="00E46559"/>
    <w:rsid w:val="00E52D07"/>
    <w:rsid w:val="00E54234"/>
    <w:rsid w:val="00E56C3F"/>
    <w:rsid w:val="00E61434"/>
    <w:rsid w:val="00E622AB"/>
    <w:rsid w:val="00E62FC4"/>
    <w:rsid w:val="00E6441F"/>
    <w:rsid w:val="00E644EA"/>
    <w:rsid w:val="00E65BD1"/>
    <w:rsid w:val="00E6670C"/>
    <w:rsid w:val="00E75156"/>
    <w:rsid w:val="00E77525"/>
    <w:rsid w:val="00E776E8"/>
    <w:rsid w:val="00E833B4"/>
    <w:rsid w:val="00E85CA9"/>
    <w:rsid w:val="00E86400"/>
    <w:rsid w:val="00E9299A"/>
    <w:rsid w:val="00E92C1F"/>
    <w:rsid w:val="00E9328B"/>
    <w:rsid w:val="00E94FC9"/>
    <w:rsid w:val="00E95D4B"/>
    <w:rsid w:val="00EA03D8"/>
    <w:rsid w:val="00EA1FEA"/>
    <w:rsid w:val="00EB199F"/>
    <w:rsid w:val="00EB3476"/>
    <w:rsid w:val="00EB4A06"/>
    <w:rsid w:val="00EB5820"/>
    <w:rsid w:val="00EB5E71"/>
    <w:rsid w:val="00EB7377"/>
    <w:rsid w:val="00EC23F7"/>
    <w:rsid w:val="00EC4BD8"/>
    <w:rsid w:val="00EC63EB"/>
    <w:rsid w:val="00EC7CD9"/>
    <w:rsid w:val="00ED05C4"/>
    <w:rsid w:val="00ED074C"/>
    <w:rsid w:val="00ED0E1D"/>
    <w:rsid w:val="00ED412F"/>
    <w:rsid w:val="00ED7AD1"/>
    <w:rsid w:val="00EF09C5"/>
    <w:rsid w:val="00EF36B2"/>
    <w:rsid w:val="00EF6D8B"/>
    <w:rsid w:val="00F00E43"/>
    <w:rsid w:val="00F0256D"/>
    <w:rsid w:val="00F02958"/>
    <w:rsid w:val="00F11126"/>
    <w:rsid w:val="00F1246B"/>
    <w:rsid w:val="00F138E9"/>
    <w:rsid w:val="00F201EC"/>
    <w:rsid w:val="00F208A9"/>
    <w:rsid w:val="00F234CA"/>
    <w:rsid w:val="00F23EB2"/>
    <w:rsid w:val="00F2723E"/>
    <w:rsid w:val="00F275AF"/>
    <w:rsid w:val="00F30A15"/>
    <w:rsid w:val="00F41D75"/>
    <w:rsid w:val="00F42719"/>
    <w:rsid w:val="00F434F5"/>
    <w:rsid w:val="00F46414"/>
    <w:rsid w:val="00F46EDE"/>
    <w:rsid w:val="00F510B4"/>
    <w:rsid w:val="00F5139D"/>
    <w:rsid w:val="00F54E2C"/>
    <w:rsid w:val="00F61C3D"/>
    <w:rsid w:val="00F63DAC"/>
    <w:rsid w:val="00F70E73"/>
    <w:rsid w:val="00F7454F"/>
    <w:rsid w:val="00F76EFC"/>
    <w:rsid w:val="00F77988"/>
    <w:rsid w:val="00F77F48"/>
    <w:rsid w:val="00F80235"/>
    <w:rsid w:val="00F803A9"/>
    <w:rsid w:val="00F82EFE"/>
    <w:rsid w:val="00F84789"/>
    <w:rsid w:val="00F84BDB"/>
    <w:rsid w:val="00F8573F"/>
    <w:rsid w:val="00F931B1"/>
    <w:rsid w:val="00F93D4D"/>
    <w:rsid w:val="00F95A92"/>
    <w:rsid w:val="00FA1696"/>
    <w:rsid w:val="00FA2817"/>
    <w:rsid w:val="00FA5F90"/>
    <w:rsid w:val="00FA6874"/>
    <w:rsid w:val="00FA6C3B"/>
    <w:rsid w:val="00FB1BE1"/>
    <w:rsid w:val="00FB30F1"/>
    <w:rsid w:val="00FB4281"/>
    <w:rsid w:val="00FB4FC6"/>
    <w:rsid w:val="00FB53E7"/>
    <w:rsid w:val="00FC0874"/>
    <w:rsid w:val="00FC1517"/>
    <w:rsid w:val="00FC18A3"/>
    <w:rsid w:val="00FC74CB"/>
    <w:rsid w:val="00FD0D35"/>
    <w:rsid w:val="00FD0E86"/>
    <w:rsid w:val="00FD2187"/>
    <w:rsid w:val="00FD2A8A"/>
    <w:rsid w:val="00FD6D2D"/>
    <w:rsid w:val="00FE0C93"/>
    <w:rsid w:val="00FE1DE5"/>
    <w:rsid w:val="00FE4DBB"/>
    <w:rsid w:val="00FE5A02"/>
    <w:rsid w:val="00FE6B8C"/>
    <w:rsid w:val="00FF1A52"/>
    <w:rsid w:val="00FF2F9A"/>
    <w:rsid w:val="00FF62AB"/>
    <w:rsid w:val="00FF6AEE"/>
    <w:rsid w:val="00FF7F7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F76"/>
    <w:rPr>
      <w:sz w:val="24"/>
      <w:szCs w:val="24"/>
    </w:rPr>
  </w:style>
  <w:style w:type="paragraph" w:styleId="Heading3">
    <w:name w:val="heading 3"/>
    <w:basedOn w:val="Normal"/>
    <w:next w:val="Normal"/>
    <w:link w:val="Heading3Char"/>
    <w:uiPriority w:val="9"/>
    <w:semiHidden/>
    <w:unhideWhenUsed/>
    <w:qFormat/>
    <w:rsid w:val="00706548"/>
    <w:pPr>
      <w:pBdr>
        <w:top w:val="dotted" w:sz="4" w:space="1" w:color="622423"/>
        <w:bottom w:val="dotted" w:sz="4" w:space="1" w:color="622423"/>
      </w:pBdr>
      <w:spacing w:before="300" w:after="200" w:line="252" w:lineRule="auto"/>
      <w:jc w:val="center"/>
      <w:outlineLvl w:val="2"/>
    </w:pPr>
    <w:rPr>
      <w:rFonts w:ascii="Cambria" w:eastAsia="Calibri" w:hAnsi="Cambria"/>
      <w:caps/>
      <w:color w:val="6224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C5649"/>
    <w:rPr>
      <w:sz w:val="20"/>
      <w:szCs w:val="20"/>
    </w:rPr>
  </w:style>
  <w:style w:type="character" w:styleId="FootnoteReference">
    <w:name w:val="footnote reference"/>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link w:val="NormalWebChar"/>
    <w:uiPriority w:val="99"/>
    <w:rsid w:val="00C83412"/>
    <w:pPr>
      <w:spacing w:before="100" w:beforeAutospacing="1" w:after="100" w:afterAutospacing="1"/>
    </w:pPr>
  </w:style>
  <w:style w:type="paragraph" w:styleId="NoSpacing">
    <w:name w:val="No Spacing"/>
    <w:link w:val="NoSpacingChar"/>
    <w:uiPriority w:val="1"/>
    <w:qFormat/>
    <w:rsid w:val="00720B2E"/>
    <w:rPr>
      <w:rFonts w:ascii="Calibri" w:eastAsia="Calibri" w:hAnsi="Calibri"/>
      <w:sz w:val="22"/>
      <w:szCs w:val="22"/>
      <w:lang w:eastAsia="en-US"/>
    </w:rPr>
  </w:style>
  <w:style w:type="paragraph" w:customStyle="1" w:styleId="tv213">
    <w:name w:val="tv213"/>
    <w:basedOn w:val="Normal"/>
    <w:rsid w:val="00065067"/>
    <w:pPr>
      <w:spacing w:before="100" w:beforeAutospacing="1" w:after="100" w:afterAutospacing="1"/>
    </w:pPr>
  </w:style>
  <w:style w:type="paragraph" w:customStyle="1" w:styleId="labojumupamats">
    <w:name w:val="labojumu_pamats"/>
    <w:basedOn w:val="Normal"/>
    <w:rsid w:val="00065067"/>
    <w:pPr>
      <w:spacing w:before="100" w:beforeAutospacing="1" w:after="100" w:afterAutospacing="1"/>
    </w:pPr>
  </w:style>
  <w:style w:type="character" w:customStyle="1" w:styleId="spelle">
    <w:name w:val="spelle"/>
    <w:basedOn w:val="DefaultParagraphFont"/>
    <w:rsid w:val="003D3FA3"/>
  </w:style>
  <w:style w:type="character" w:customStyle="1" w:styleId="Heading3Char">
    <w:name w:val="Heading 3 Char"/>
    <w:basedOn w:val="DefaultParagraphFont"/>
    <w:link w:val="Heading3"/>
    <w:uiPriority w:val="9"/>
    <w:semiHidden/>
    <w:rsid w:val="00706548"/>
    <w:rPr>
      <w:rFonts w:ascii="Cambria" w:eastAsia="Calibri" w:hAnsi="Cambria" w:cs="Times New Roman"/>
      <w:caps/>
      <w:color w:val="622423"/>
      <w:sz w:val="24"/>
      <w:szCs w:val="24"/>
      <w:lang w:val="lv-LV"/>
    </w:rPr>
  </w:style>
  <w:style w:type="paragraph" w:styleId="ListParagraph">
    <w:name w:val="List Paragraph"/>
    <w:basedOn w:val="Normal"/>
    <w:uiPriority w:val="34"/>
    <w:qFormat/>
    <w:rsid w:val="00470309"/>
    <w:pPr>
      <w:spacing w:after="200" w:line="276" w:lineRule="auto"/>
      <w:ind w:left="720"/>
      <w:contextualSpacing/>
    </w:pPr>
    <w:rPr>
      <w:rFonts w:ascii="Calibri" w:eastAsia="Calibri" w:hAnsi="Calibri"/>
      <w:sz w:val="22"/>
      <w:szCs w:val="22"/>
      <w:lang w:val="en-US" w:eastAsia="en-US"/>
    </w:rPr>
  </w:style>
  <w:style w:type="character" w:customStyle="1" w:styleId="NormalWebChar">
    <w:name w:val="Normal (Web) Char"/>
    <w:basedOn w:val="DefaultParagraphFont"/>
    <w:link w:val="NormalWeb"/>
    <w:uiPriority w:val="99"/>
    <w:rsid w:val="00470309"/>
    <w:rPr>
      <w:sz w:val="24"/>
      <w:szCs w:val="24"/>
      <w:lang w:val="lv-LV" w:eastAsia="lv-LV"/>
    </w:rPr>
  </w:style>
  <w:style w:type="character" w:customStyle="1" w:styleId="NoSpacingChar">
    <w:name w:val="No Spacing Char"/>
    <w:basedOn w:val="DefaultParagraphFont"/>
    <w:link w:val="NoSpacing"/>
    <w:uiPriority w:val="1"/>
    <w:rsid w:val="00BB4D17"/>
    <w:rPr>
      <w:rFonts w:ascii="Calibri" w:eastAsia="Calibri" w:hAnsi="Calibri"/>
      <w:sz w:val="22"/>
      <w:szCs w:val="22"/>
      <w:lang w:val="lv-LV" w:eastAsia="en-US" w:bidi="ar-SA"/>
    </w:rPr>
  </w:style>
  <w:style w:type="paragraph" w:customStyle="1" w:styleId="Statuti">
    <w:name w:val="Statuti"/>
    <w:basedOn w:val="Normal"/>
    <w:rsid w:val="00462432"/>
    <w:pPr>
      <w:numPr>
        <w:ilvl w:val="3"/>
        <w:numId w:val="17"/>
      </w:numPr>
      <w:spacing w:line="360" w:lineRule="auto"/>
      <w:jc w:val="both"/>
    </w:pPr>
    <w:rPr>
      <w:rFonts w:ascii="Arial Narrow" w:hAnsi="Arial Narrow"/>
      <w:szCs w:val="20"/>
    </w:rPr>
  </w:style>
  <w:style w:type="paragraph" w:customStyle="1" w:styleId="Virsraksti4">
    <w:name w:val="Virsraksti4"/>
    <w:basedOn w:val="Normal"/>
    <w:rsid w:val="00462432"/>
    <w:pPr>
      <w:numPr>
        <w:ilvl w:val="4"/>
        <w:numId w:val="17"/>
      </w:numPr>
      <w:spacing w:before="60" w:after="120"/>
    </w:pPr>
    <w:rPr>
      <w:szCs w:val="20"/>
    </w:rPr>
  </w:style>
  <w:style w:type="paragraph" w:customStyle="1" w:styleId="Virsraksti1">
    <w:name w:val="Virsraksti1"/>
    <w:basedOn w:val="Normal"/>
    <w:rsid w:val="00462432"/>
    <w:pPr>
      <w:numPr>
        <w:numId w:val="17"/>
      </w:numPr>
      <w:ind w:left="0" w:firstLine="0"/>
    </w:pPr>
    <w:rPr>
      <w:rFonts w:eastAsia="Calibri"/>
      <w:szCs w:val="22"/>
      <w:lang w:eastAsia="en-US"/>
    </w:rPr>
  </w:style>
  <w:style w:type="paragraph" w:customStyle="1" w:styleId="Virsraksti2">
    <w:name w:val="Virsraksti_2"/>
    <w:basedOn w:val="Normal"/>
    <w:rsid w:val="00462432"/>
    <w:pPr>
      <w:numPr>
        <w:ilvl w:val="1"/>
        <w:numId w:val="17"/>
      </w:numPr>
      <w:ind w:left="0" w:firstLine="0"/>
    </w:pPr>
    <w:rPr>
      <w:rFonts w:eastAsia="Calibri"/>
      <w:szCs w:val="22"/>
      <w:lang w:eastAsia="en-US"/>
    </w:rPr>
  </w:style>
  <w:style w:type="paragraph" w:customStyle="1" w:styleId="Virsraksti3">
    <w:name w:val="Virsraksti_3"/>
    <w:basedOn w:val="Normal"/>
    <w:rsid w:val="00462432"/>
    <w:pPr>
      <w:numPr>
        <w:ilvl w:val="2"/>
        <w:numId w:val="17"/>
      </w:numPr>
      <w:ind w:left="0" w:firstLine="0"/>
    </w:pPr>
    <w:rPr>
      <w:rFonts w:eastAsia="Calibri"/>
      <w:szCs w:val="22"/>
      <w:lang w:eastAsia="en-US"/>
    </w:rPr>
  </w:style>
  <w:style w:type="character" w:customStyle="1" w:styleId="FootnoteTextChar">
    <w:name w:val="Footnote Text Char"/>
    <w:basedOn w:val="DefaultParagraphFont"/>
    <w:link w:val="FootnoteText"/>
    <w:rsid w:val="00462432"/>
    <w:rPr>
      <w:lang w:val="lv-LV" w:eastAsia="lv-LV"/>
    </w:rPr>
  </w:style>
  <w:style w:type="paragraph" w:styleId="Title">
    <w:name w:val="Title"/>
    <w:basedOn w:val="Normal"/>
    <w:link w:val="TitleChar"/>
    <w:qFormat/>
    <w:rsid w:val="00F42719"/>
    <w:pPr>
      <w:jc w:val="center"/>
    </w:pPr>
    <w:rPr>
      <w:szCs w:val="20"/>
      <w:lang w:eastAsia="en-US"/>
    </w:rPr>
  </w:style>
  <w:style w:type="character" w:customStyle="1" w:styleId="TitleChar">
    <w:name w:val="Title Char"/>
    <w:basedOn w:val="DefaultParagraphFont"/>
    <w:link w:val="Title"/>
    <w:rsid w:val="00F42719"/>
    <w:rPr>
      <w:sz w:val="24"/>
      <w:lang w:val="lv-LV"/>
    </w:rPr>
  </w:style>
</w:styles>
</file>

<file path=word/webSettings.xml><?xml version="1.0" encoding="utf-8"?>
<w:webSettings xmlns:r="http://schemas.openxmlformats.org/officeDocument/2006/relationships" xmlns:w="http://schemas.openxmlformats.org/wordprocessingml/2006/main">
  <w:divs>
    <w:div w:id="102268379">
      <w:bodyDiv w:val="1"/>
      <w:marLeft w:val="0"/>
      <w:marRight w:val="0"/>
      <w:marTop w:val="0"/>
      <w:marBottom w:val="0"/>
      <w:divBdr>
        <w:top w:val="none" w:sz="0" w:space="0" w:color="auto"/>
        <w:left w:val="none" w:sz="0" w:space="0" w:color="auto"/>
        <w:bottom w:val="none" w:sz="0" w:space="0" w:color="auto"/>
        <w:right w:val="none" w:sz="0" w:space="0" w:color="auto"/>
      </w:divBdr>
    </w:div>
    <w:div w:id="108472049">
      <w:bodyDiv w:val="1"/>
      <w:marLeft w:val="0"/>
      <w:marRight w:val="0"/>
      <w:marTop w:val="0"/>
      <w:marBottom w:val="0"/>
      <w:divBdr>
        <w:top w:val="none" w:sz="0" w:space="0" w:color="auto"/>
        <w:left w:val="none" w:sz="0" w:space="0" w:color="auto"/>
        <w:bottom w:val="none" w:sz="0" w:space="0" w:color="auto"/>
        <w:right w:val="none" w:sz="0" w:space="0" w:color="auto"/>
      </w:divBdr>
    </w:div>
    <w:div w:id="255753338">
      <w:bodyDiv w:val="1"/>
      <w:marLeft w:val="0"/>
      <w:marRight w:val="0"/>
      <w:marTop w:val="0"/>
      <w:marBottom w:val="0"/>
      <w:divBdr>
        <w:top w:val="none" w:sz="0" w:space="0" w:color="auto"/>
        <w:left w:val="none" w:sz="0" w:space="0" w:color="auto"/>
        <w:bottom w:val="none" w:sz="0" w:space="0" w:color="auto"/>
        <w:right w:val="none" w:sz="0" w:space="0" w:color="auto"/>
      </w:divBdr>
      <w:divsChild>
        <w:div w:id="517547691">
          <w:marLeft w:val="0"/>
          <w:marRight w:val="0"/>
          <w:marTop w:val="0"/>
          <w:marBottom w:val="0"/>
          <w:divBdr>
            <w:top w:val="none" w:sz="0" w:space="0" w:color="auto"/>
            <w:left w:val="none" w:sz="0" w:space="0" w:color="auto"/>
            <w:bottom w:val="none" w:sz="0" w:space="0" w:color="auto"/>
            <w:right w:val="none" w:sz="0" w:space="0" w:color="auto"/>
          </w:divBdr>
        </w:div>
        <w:div w:id="1076170045">
          <w:marLeft w:val="0"/>
          <w:marRight w:val="0"/>
          <w:marTop w:val="0"/>
          <w:marBottom w:val="0"/>
          <w:divBdr>
            <w:top w:val="none" w:sz="0" w:space="0" w:color="auto"/>
            <w:left w:val="none" w:sz="0" w:space="0" w:color="auto"/>
            <w:bottom w:val="none" w:sz="0" w:space="0" w:color="auto"/>
            <w:right w:val="none" w:sz="0" w:space="0" w:color="auto"/>
          </w:divBdr>
        </w:div>
        <w:div w:id="1077288572">
          <w:marLeft w:val="0"/>
          <w:marRight w:val="0"/>
          <w:marTop w:val="0"/>
          <w:marBottom w:val="0"/>
          <w:divBdr>
            <w:top w:val="none" w:sz="0" w:space="0" w:color="auto"/>
            <w:left w:val="none" w:sz="0" w:space="0" w:color="auto"/>
            <w:bottom w:val="none" w:sz="0" w:space="0" w:color="auto"/>
            <w:right w:val="none" w:sz="0" w:space="0" w:color="auto"/>
          </w:divBdr>
        </w:div>
        <w:div w:id="1754662288">
          <w:marLeft w:val="0"/>
          <w:marRight w:val="0"/>
          <w:marTop w:val="0"/>
          <w:marBottom w:val="0"/>
          <w:divBdr>
            <w:top w:val="none" w:sz="0" w:space="0" w:color="auto"/>
            <w:left w:val="none" w:sz="0" w:space="0" w:color="auto"/>
            <w:bottom w:val="none" w:sz="0" w:space="0" w:color="auto"/>
            <w:right w:val="none" w:sz="0" w:space="0" w:color="auto"/>
          </w:divBdr>
        </w:div>
        <w:div w:id="2020697620">
          <w:marLeft w:val="0"/>
          <w:marRight w:val="0"/>
          <w:marTop w:val="0"/>
          <w:marBottom w:val="0"/>
          <w:divBdr>
            <w:top w:val="none" w:sz="0" w:space="0" w:color="auto"/>
            <w:left w:val="none" w:sz="0" w:space="0" w:color="auto"/>
            <w:bottom w:val="none" w:sz="0" w:space="0" w:color="auto"/>
            <w:right w:val="none" w:sz="0" w:space="0" w:color="auto"/>
          </w:divBdr>
        </w:div>
      </w:divsChild>
    </w:div>
    <w:div w:id="360672750">
      <w:bodyDiv w:val="1"/>
      <w:marLeft w:val="0"/>
      <w:marRight w:val="0"/>
      <w:marTop w:val="0"/>
      <w:marBottom w:val="0"/>
      <w:divBdr>
        <w:top w:val="none" w:sz="0" w:space="0" w:color="auto"/>
        <w:left w:val="none" w:sz="0" w:space="0" w:color="auto"/>
        <w:bottom w:val="none" w:sz="0" w:space="0" w:color="auto"/>
        <w:right w:val="none" w:sz="0" w:space="0" w:color="auto"/>
      </w:divBdr>
      <w:divsChild>
        <w:div w:id="1581401350">
          <w:marLeft w:val="0"/>
          <w:marRight w:val="0"/>
          <w:marTop w:val="0"/>
          <w:marBottom w:val="0"/>
          <w:divBdr>
            <w:top w:val="none" w:sz="0" w:space="0" w:color="auto"/>
            <w:left w:val="none" w:sz="0" w:space="0" w:color="auto"/>
            <w:bottom w:val="none" w:sz="0" w:space="0" w:color="auto"/>
            <w:right w:val="none" w:sz="0" w:space="0" w:color="auto"/>
          </w:divBdr>
        </w:div>
      </w:divsChild>
    </w:div>
    <w:div w:id="413937092">
      <w:bodyDiv w:val="1"/>
      <w:marLeft w:val="0"/>
      <w:marRight w:val="0"/>
      <w:marTop w:val="0"/>
      <w:marBottom w:val="0"/>
      <w:divBdr>
        <w:top w:val="none" w:sz="0" w:space="0" w:color="auto"/>
        <w:left w:val="none" w:sz="0" w:space="0" w:color="auto"/>
        <w:bottom w:val="none" w:sz="0" w:space="0" w:color="auto"/>
        <w:right w:val="none" w:sz="0" w:space="0" w:color="auto"/>
      </w:divBdr>
    </w:div>
    <w:div w:id="1125588345">
      <w:bodyDiv w:val="1"/>
      <w:marLeft w:val="0"/>
      <w:marRight w:val="0"/>
      <w:marTop w:val="0"/>
      <w:marBottom w:val="0"/>
      <w:divBdr>
        <w:top w:val="none" w:sz="0" w:space="0" w:color="auto"/>
        <w:left w:val="none" w:sz="0" w:space="0" w:color="auto"/>
        <w:bottom w:val="none" w:sz="0" w:space="0" w:color="auto"/>
        <w:right w:val="none" w:sz="0" w:space="0" w:color="auto"/>
      </w:divBdr>
    </w:div>
    <w:div w:id="1239436273">
      <w:bodyDiv w:val="1"/>
      <w:marLeft w:val="0"/>
      <w:marRight w:val="0"/>
      <w:marTop w:val="0"/>
      <w:marBottom w:val="0"/>
      <w:divBdr>
        <w:top w:val="none" w:sz="0" w:space="0" w:color="auto"/>
        <w:left w:val="none" w:sz="0" w:space="0" w:color="auto"/>
        <w:bottom w:val="none" w:sz="0" w:space="0" w:color="auto"/>
        <w:right w:val="none" w:sz="0" w:space="0" w:color="auto"/>
      </w:divBdr>
      <w:divsChild>
        <w:div w:id="1607734822">
          <w:marLeft w:val="0"/>
          <w:marRight w:val="0"/>
          <w:marTop w:val="0"/>
          <w:marBottom w:val="0"/>
          <w:divBdr>
            <w:top w:val="none" w:sz="0" w:space="0" w:color="auto"/>
            <w:left w:val="none" w:sz="0" w:space="0" w:color="auto"/>
            <w:bottom w:val="none" w:sz="0" w:space="0" w:color="auto"/>
            <w:right w:val="none" w:sz="0" w:space="0" w:color="auto"/>
          </w:divBdr>
          <w:divsChild>
            <w:div w:id="13384250">
              <w:marLeft w:val="0"/>
              <w:marRight w:val="0"/>
              <w:marTop w:val="0"/>
              <w:marBottom w:val="0"/>
              <w:divBdr>
                <w:top w:val="none" w:sz="0" w:space="0" w:color="auto"/>
                <w:left w:val="none" w:sz="0" w:space="0" w:color="auto"/>
                <w:bottom w:val="none" w:sz="0" w:space="0" w:color="auto"/>
                <w:right w:val="none" w:sz="0" w:space="0" w:color="auto"/>
              </w:divBdr>
              <w:divsChild>
                <w:div w:id="1526865338">
                  <w:marLeft w:val="0"/>
                  <w:marRight w:val="0"/>
                  <w:marTop w:val="0"/>
                  <w:marBottom w:val="0"/>
                  <w:divBdr>
                    <w:top w:val="none" w:sz="0" w:space="0" w:color="auto"/>
                    <w:left w:val="none" w:sz="0" w:space="0" w:color="auto"/>
                    <w:bottom w:val="none" w:sz="0" w:space="0" w:color="auto"/>
                    <w:right w:val="none" w:sz="0" w:space="0" w:color="auto"/>
                  </w:divBdr>
                  <w:divsChild>
                    <w:div w:id="514419775">
                      <w:marLeft w:val="0"/>
                      <w:marRight w:val="0"/>
                      <w:marTop w:val="0"/>
                      <w:marBottom w:val="0"/>
                      <w:divBdr>
                        <w:top w:val="none" w:sz="0" w:space="0" w:color="auto"/>
                        <w:left w:val="none" w:sz="0" w:space="0" w:color="auto"/>
                        <w:bottom w:val="none" w:sz="0" w:space="0" w:color="auto"/>
                        <w:right w:val="none" w:sz="0" w:space="0" w:color="auto"/>
                      </w:divBdr>
                      <w:divsChild>
                        <w:div w:id="1203592963">
                          <w:marLeft w:val="0"/>
                          <w:marRight w:val="0"/>
                          <w:marTop w:val="0"/>
                          <w:marBottom w:val="0"/>
                          <w:divBdr>
                            <w:top w:val="none" w:sz="0" w:space="0" w:color="auto"/>
                            <w:left w:val="none" w:sz="0" w:space="0" w:color="auto"/>
                            <w:bottom w:val="none" w:sz="0" w:space="0" w:color="auto"/>
                            <w:right w:val="none" w:sz="0" w:space="0" w:color="auto"/>
                          </w:divBdr>
                          <w:divsChild>
                            <w:div w:id="8583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372677">
      <w:bodyDiv w:val="1"/>
      <w:marLeft w:val="0"/>
      <w:marRight w:val="0"/>
      <w:marTop w:val="0"/>
      <w:marBottom w:val="0"/>
      <w:divBdr>
        <w:top w:val="none" w:sz="0" w:space="0" w:color="auto"/>
        <w:left w:val="none" w:sz="0" w:space="0" w:color="auto"/>
        <w:bottom w:val="none" w:sz="0" w:space="0" w:color="auto"/>
        <w:right w:val="none" w:sz="0" w:space="0" w:color="auto"/>
      </w:divBdr>
    </w:div>
    <w:div w:id="1347247774">
      <w:bodyDiv w:val="1"/>
      <w:marLeft w:val="0"/>
      <w:marRight w:val="0"/>
      <w:marTop w:val="0"/>
      <w:marBottom w:val="0"/>
      <w:divBdr>
        <w:top w:val="none" w:sz="0" w:space="0" w:color="auto"/>
        <w:left w:val="none" w:sz="0" w:space="0" w:color="auto"/>
        <w:bottom w:val="none" w:sz="0" w:space="0" w:color="auto"/>
        <w:right w:val="none" w:sz="0" w:space="0" w:color="auto"/>
      </w:divBdr>
    </w:div>
    <w:div w:id="1421561465">
      <w:bodyDiv w:val="1"/>
      <w:marLeft w:val="0"/>
      <w:marRight w:val="0"/>
      <w:marTop w:val="0"/>
      <w:marBottom w:val="0"/>
      <w:divBdr>
        <w:top w:val="none" w:sz="0" w:space="0" w:color="auto"/>
        <w:left w:val="none" w:sz="0" w:space="0" w:color="auto"/>
        <w:bottom w:val="none" w:sz="0" w:space="0" w:color="auto"/>
        <w:right w:val="none" w:sz="0" w:space="0" w:color="auto"/>
      </w:divBdr>
      <w:divsChild>
        <w:div w:id="2125343662">
          <w:marLeft w:val="0"/>
          <w:marRight w:val="0"/>
          <w:marTop w:val="0"/>
          <w:marBottom w:val="0"/>
          <w:divBdr>
            <w:top w:val="none" w:sz="0" w:space="0" w:color="auto"/>
            <w:left w:val="none" w:sz="0" w:space="0" w:color="auto"/>
            <w:bottom w:val="none" w:sz="0" w:space="0" w:color="auto"/>
            <w:right w:val="none" w:sz="0" w:space="0" w:color="auto"/>
          </w:divBdr>
        </w:div>
      </w:divsChild>
    </w:div>
    <w:div w:id="1489320272">
      <w:bodyDiv w:val="1"/>
      <w:marLeft w:val="0"/>
      <w:marRight w:val="0"/>
      <w:marTop w:val="0"/>
      <w:marBottom w:val="0"/>
      <w:divBdr>
        <w:top w:val="none" w:sz="0" w:space="0" w:color="auto"/>
        <w:left w:val="none" w:sz="0" w:space="0" w:color="auto"/>
        <w:bottom w:val="none" w:sz="0" w:space="0" w:color="auto"/>
        <w:right w:val="none" w:sz="0" w:space="0" w:color="auto"/>
      </w:divBdr>
    </w:div>
    <w:div w:id="1524855296">
      <w:bodyDiv w:val="1"/>
      <w:marLeft w:val="0"/>
      <w:marRight w:val="0"/>
      <w:marTop w:val="0"/>
      <w:marBottom w:val="0"/>
      <w:divBdr>
        <w:top w:val="none" w:sz="0" w:space="0" w:color="auto"/>
        <w:left w:val="none" w:sz="0" w:space="0" w:color="auto"/>
        <w:bottom w:val="none" w:sz="0" w:space="0" w:color="auto"/>
        <w:right w:val="none" w:sz="0" w:space="0" w:color="auto"/>
      </w:divBdr>
    </w:div>
    <w:div w:id="1553997508">
      <w:bodyDiv w:val="1"/>
      <w:marLeft w:val="0"/>
      <w:marRight w:val="0"/>
      <w:marTop w:val="0"/>
      <w:marBottom w:val="0"/>
      <w:divBdr>
        <w:top w:val="none" w:sz="0" w:space="0" w:color="auto"/>
        <w:left w:val="none" w:sz="0" w:space="0" w:color="auto"/>
        <w:bottom w:val="none" w:sz="0" w:space="0" w:color="auto"/>
        <w:right w:val="none" w:sz="0" w:space="0" w:color="auto"/>
      </w:divBdr>
      <w:divsChild>
        <w:div w:id="897209302">
          <w:marLeft w:val="0"/>
          <w:marRight w:val="0"/>
          <w:marTop w:val="0"/>
          <w:marBottom w:val="0"/>
          <w:divBdr>
            <w:top w:val="none" w:sz="0" w:space="0" w:color="auto"/>
            <w:left w:val="none" w:sz="0" w:space="0" w:color="auto"/>
            <w:bottom w:val="none" w:sz="0" w:space="0" w:color="auto"/>
            <w:right w:val="none" w:sz="0" w:space="0" w:color="auto"/>
          </w:divBdr>
        </w:div>
      </w:divsChild>
    </w:div>
    <w:div w:id="1788968919">
      <w:bodyDiv w:val="1"/>
      <w:marLeft w:val="0"/>
      <w:marRight w:val="0"/>
      <w:marTop w:val="0"/>
      <w:marBottom w:val="0"/>
      <w:divBdr>
        <w:top w:val="none" w:sz="0" w:space="0" w:color="auto"/>
        <w:left w:val="none" w:sz="0" w:space="0" w:color="auto"/>
        <w:bottom w:val="none" w:sz="0" w:space="0" w:color="auto"/>
        <w:right w:val="none" w:sz="0" w:space="0" w:color="auto"/>
      </w:divBdr>
    </w:div>
    <w:div w:id="1858538778">
      <w:bodyDiv w:val="1"/>
      <w:marLeft w:val="0"/>
      <w:marRight w:val="0"/>
      <w:marTop w:val="0"/>
      <w:marBottom w:val="0"/>
      <w:divBdr>
        <w:top w:val="none" w:sz="0" w:space="0" w:color="auto"/>
        <w:left w:val="none" w:sz="0" w:space="0" w:color="auto"/>
        <w:bottom w:val="none" w:sz="0" w:space="0" w:color="auto"/>
        <w:right w:val="none" w:sz="0" w:space="0" w:color="auto"/>
      </w:divBdr>
    </w:div>
    <w:div w:id="1918781443">
      <w:bodyDiv w:val="1"/>
      <w:marLeft w:val="0"/>
      <w:marRight w:val="0"/>
      <w:marTop w:val="0"/>
      <w:marBottom w:val="0"/>
      <w:divBdr>
        <w:top w:val="none" w:sz="0" w:space="0" w:color="auto"/>
        <w:left w:val="none" w:sz="0" w:space="0" w:color="auto"/>
        <w:bottom w:val="none" w:sz="0" w:space="0" w:color="auto"/>
        <w:right w:val="none" w:sz="0" w:space="0" w:color="auto"/>
      </w:divBdr>
    </w:div>
    <w:div w:id="19529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Kasparenko@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3E29-F009-4BAD-BC88-C13C2EC0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3977</Words>
  <Characters>22670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Company>Veselības ministrija</Company>
  <LinksUpToDate>false</LinksUpToDate>
  <CharactersWithSpaces>26594</CharactersWithSpaces>
  <SharedDoc>false</SharedDoc>
  <HLinks>
    <vt:vector size="6" baseType="variant">
      <vt:variant>
        <vt:i4>3014665</vt:i4>
      </vt:variant>
      <vt:variant>
        <vt:i4>0</vt:i4>
      </vt:variant>
      <vt:variant>
        <vt:i4>0</vt:i4>
      </vt:variant>
      <vt:variant>
        <vt:i4>5</vt:i4>
      </vt:variant>
      <vt:variant>
        <vt:lpwstr>mailto:Sandra.Kasparenko@vm.gov.lv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Anotācijas projekts</dc:subject>
  <dc:creator>Sandra Kasparenko</dc:creator>
  <dc:description>67876147, Sandra.Kasparenko@vm.gov.lv, Budžeta un investīciju departamenta Budžeta plānošanas nodaļa</dc:description>
  <cp:lastModifiedBy>sdreimane</cp:lastModifiedBy>
  <cp:revision>56</cp:revision>
  <cp:lastPrinted>2014-08-07T12:43:00Z</cp:lastPrinted>
  <dcterms:created xsi:type="dcterms:W3CDTF">2014-08-12T11:04:00Z</dcterms:created>
  <dcterms:modified xsi:type="dcterms:W3CDTF">2014-08-19T06:11:00Z</dcterms:modified>
</cp:coreProperties>
</file>