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871F6C" w:rsidRDefault="009F0273" w:rsidP="00D07576">
      <w:pPr>
        <w:spacing w:before="120" w:after="120"/>
        <w:jc w:val="center"/>
        <w:rPr>
          <w:bCs/>
          <w:color w:val="000000" w:themeColor="text1"/>
          <w:sz w:val="28"/>
          <w:szCs w:val="28"/>
        </w:rPr>
      </w:pPr>
      <w:r w:rsidRPr="00871F6C">
        <w:rPr>
          <w:bCs/>
          <w:color w:val="000000" w:themeColor="text1"/>
          <w:sz w:val="28"/>
          <w:szCs w:val="28"/>
        </w:rPr>
        <w:t xml:space="preserve">Ministru kabineta noteikumu projekta </w:t>
      </w:r>
    </w:p>
    <w:p w:rsidR="009F0273" w:rsidRPr="00871F6C" w:rsidRDefault="009F0273" w:rsidP="009F0273">
      <w:pPr>
        <w:pStyle w:val="naisc"/>
        <w:spacing w:before="0" w:beforeAutospacing="0" w:after="120" w:afterAutospacing="0"/>
        <w:jc w:val="center"/>
        <w:rPr>
          <w:b/>
          <w:color w:val="000000" w:themeColor="text1"/>
          <w:sz w:val="28"/>
          <w:szCs w:val="28"/>
        </w:rPr>
      </w:pPr>
      <w:r w:rsidRPr="00871F6C">
        <w:rPr>
          <w:b/>
          <w:bCs/>
          <w:color w:val="000000" w:themeColor="text1"/>
          <w:sz w:val="28"/>
          <w:szCs w:val="28"/>
        </w:rPr>
        <w:t>”Grozījum</w:t>
      </w:r>
      <w:r w:rsidR="00D07F03" w:rsidRPr="00871F6C">
        <w:rPr>
          <w:b/>
          <w:bCs/>
          <w:color w:val="000000" w:themeColor="text1"/>
          <w:sz w:val="28"/>
          <w:szCs w:val="28"/>
        </w:rPr>
        <w:t>i</w:t>
      </w:r>
      <w:r w:rsidRPr="00871F6C">
        <w:rPr>
          <w:b/>
          <w:bCs/>
          <w:color w:val="000000" w:themeColor="text1"/>
          <w:sz w:val="28"/>
          <w:szCs w:val="28"/>
        </w:rPr>
        <w:t xml:space="preserve"> Ministru kabineta 2006.gada 31.oktobra noteikumos Nr. 899 ”Ambulatorajai ārstēšanai paredzēto zāļu un medicīnisko ierīču iegādes izdevumu kompensācijas kārtība””</w:t>
      </w:r>
    </w:p>
    <w:p w:rsidR="00A51F1F" w:rsidRPr="00871F6C" w:rsidRDefault="009F0273" w:rsidP="00A51F1F">
      <w:pPr>
        <w:spacing w:before="150" w:after="150"/>
        <w:jc w:val="center"/>
        <w:rPr>
          <w:color w:val="000000" w:themeColor="text1"/>
          <w:sz w:val="28"/>
          <w:szCs w:val="28"/>
        </w:rPr>
      </w:pPr>
      <w:r w:rsidRPr="00871F6C">
        <w:rPr>
          <w:bCs/>
          <w:color w:val="000000" w:themeColor="text1"/>
          <w:sz w:val="28"/>
          <w:szCs w:val="28"/>
        </w:rPr>
        <w:t>sākotnējās ietekmes novērtējuma ziņojums (anotācija)</w:t>
      </w:r>
      <w:r w:rsidRPr="00871F6C">
        <w:rPr>
          <w:color w:val="000000" w:themeColor="text1"/>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551"/>
        <w:gridCol w:w="6123"/>
      </w:tblGrid>
      <w:tr w:rsidR="00D07F03" w:rsidRPr="00871F6C"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871F6C" w:rsidRDefault="00D07F03" w:rsidP="00D07F03">
            <w:pPr>
              <w:spacing w:before="100" w:beforeAutospacing="1" w:after="100" w:afterAutospacing="1" w:line="360" w:lineRule="auto"/>
              <w:ind w:firstLine="300"/>
              <w:jc w:val="center"/>
              <w:rPr>
                <w:b/>
                <w:bCs/>
                <w:color w:val="000000" w:themeColor="text1"/>
              </w:rPr>
            </w:pPr>
            <w:r w:rsidRPr="00871F6C">
              <w:rPr>
                <w:b/>
                <w:bCs/>
                <w:color w:val="000000" w:themeColor="text1"/>
              </w:rPr>
              <w:t>I. Tiesību akta projekta izstrādes nepieciešamība</w:t>
            </w:r>
          </w:p>
        </w:tc>
      </w:tr>
      <w:tr w:rsidR="00D07F03" w:rsidRPr="00871F6C" w:rsidTr="00153AA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621BF">
            <w:pPr>
              <w:spacing w:before="100" w:beforeAutospacing="1" w:after="100" w:afterAutospacing="1" w:line="360" w:lineRule="auto"/>
              <w:jc w:val="center"/>
              <w:rPr>
                <w:color w:val="000000" w:themeColor="text1"/>
              </w:rPr>
            </w:pPr>
            <w:r w:rsidRPr="00871F6C">
              <w:rPr>
                <w:color w:val="000000" w:themeColor="text1"/>
              </w:rPr>
              <w:t>1.</w:t>
            </w:r>
          </w:p>
        </w:tc>
        <w:tc>
          <w:tcPr>
            <w:tcW w:w="1397"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Pamatojums</w:t>
            </w:r>
          </w:p>
        </w:tc>
        <w:tc>
          <w:tcPr>
            <w:tcW w:w="3353" w:type="pct"/>
            <w:tcBorders>
              <w:top w:val="outset" w:sz="6" w:space="0" w:color="414142"/>
              <w:left w:val="outset" w:sz="6" w:space="0" w:color="414142"/>
              <w:bottom w:val="outset" w:sz="6" w:space="0" w:color="414142"/>
              <w:right w:val="outset" w:sz="6" w:space="0" w:color="414142"/>
            </w:tcBorders>
            <w:hideMark/>
          </w:tcPr>
          <w:p w:rsidR="00D07F03" w:rsidRPr="004C3EDB" w:rsidRDefault="006A12E9" w:rsidP="00A1062A">
            <w:pPr>
              <w:ind w:left="115" w:right="140"/>
              <w:jc w:val="both"/>
              <w:rPr>
                <w:color w:val="000000" w:themeColor="text1"/>
              </w:rPr>
            </w:pPr>
            <w:r w:rsidRPr="004C3EDB">
              <w:rPr>
                <w:color w:val="000000" w:themeColor="text1"/>
              </w:rPr>
              <w:t xml:space="preserve">1. </w:t>
            </w:r>
            <w:r w:rsidR="00B6097D" w:rsidRPr="004C3EDB">
              <w:rPr>
                <w:color w:val="000000" w:themeColor="text1"/>
              </w:rPr>
              <w:t>Farmācijas likuma 5.panta 20.punkts</w:t>
            </w:r>
            <w:r w:rsidR="00243343" w:rsidRPr="004C3EDB">
              <w:rPr>
                <w:color w:val="000000" w:themeColor="text1"/>
              </w:rPr>
              <w:t>.</w:t>
            </w:r>
          </w:p>
          <w:p w:rsidR="006A12E9" w:rsidRPr="004C3EDB" w:rsidRDefault="006A12E9" w:rsidP="004C3EDB">
            <w:pPr>
              <w:ind w:left="115" w:right="140"/>
              <w:jc w:val="both"/>
              <w:rPr>
                <w:rFonts w:eastAsia="Calibri"/>
                <w:color w:val="000000"/>
                <w:lang w:bidi="gu-IN"/>
              </w:rPr>
            </w:pPr>
            <w:r w:rsidRPr="004C3EDB">
              <w:t xml:space="preserve">2. </w:t>
            </w:r>
            <w:r w:rsidR="004C3EDB" w:rsidRPr="004C3EDB">
              <w:rPr>
                <w:rFonts w:eastAsia="Calibri"/>
                <w:color w:val="000000"/>
                <w:lang w:bidi="gu-IN"/>
              </w:rPr>
              <w:t xml:space="preserve">Deklarācijas par Laimdotas </w:t>
            </w:r>
            <w:proofErr w:type="spellStart"/>
            <w:r w:rsidR="004C3EDB" w:rsidRPr="004C3EDB">
              <w:rPr>
                <w:rFonts w:eastAsia="Calibri"/>
                <w:color w:val="000000"/>
                <w:lang w:bidi="gu-IN"/>
              </w:rPr>
              <w:t>Straujumas</w:t>
            </w:r>
            <w:proofErr w:type="spellEnd"/>
            <w:r w:rsidR="004C3EDB" w:rsidRPr="004C3EDB">
              <w:rPr>
                <w:rFonts w:eastAsia="Calibri"/>
                <w:color w:val="000000"/>
                <w:lang w:bidi="gu-IN"/>
              </w:rPr>
              <w:t xml:space="preserve"> vadītā Ministru kabineta iecerēto darbību</w:t>
            </w:r>
            <w:r w:rsidR="00434AF8">
              <w:rPr>
                <w:rFonts w:eastAsia="Calibri"/>
                <w:color w:val="000000"/>
                <w:lang w:bidi="gu-IN"/>
              </w:rPr>
              <w:t xml:space="preserve"> (turpmāk – Deklarācija)</w:t>
            </w:r>
            <w:r w:rsidR="004C3EDB" w:rsidRPr="004C3EDB">
              <w:rPr>
                <w:rFonts w:eastAsia="Calibri"/>
                <w:color w:val="000000"/>
                <w:lang w:bidi="gu-IN"/>
              </w:rPr>
              <w:t xml:space="preserve"> 102.</w:t>
            </w:r>
            <w:r w:rsidR="004C3EDB">
              <w:rPr>
                <w:rFonts w:eastAsia="Calibri"/>
                <w:color w:val="000000"/>
                <w:lang w:bidi="gu-IN"/>
              </w:rPr>
              <w:t>p</w:t>
            </w:r>
            <w:r w:rsidR="004C3EDB" w:rsidRPr="004C3EDB">
              <w:rPr>
                <w:rFonts w:eastAsia="Calibri"/>
                <w:color w:val="000000"/>
                <w:lang w:bidi="gu-IN"/>
              </w:rPr>
              <w:t xml:space="preserve">unkts, kas paredz </w:t>
            </w:r>
            <w:r w:rsidR="004C3EDB">
              <w:rPr>
                <w:rFonts w:eastAsia="Calibri"/>
                <w:color w:val="000000"/>
                <w:lang w:bidi="gu-IN"/>
              </w:rPr>
              <w:t>p</w:t>
            </w:r>
            <w:r w:rsidR="004C3EDB" w:rsidRPr="004C3EDB">
              <w:rPr>
                <w:rFonts w:eastAsia="Calibri"/>
                <w:color w:val="000000"/>
                <w:lang w:bidi="gu-IN"/>
              </w:rPr>
              <w:t>akāpeniski palielinā</w:t>
            </w:r>
            <w:r w:rsidR="004C3EDB">
              <w:rPr>
                <w:rFonts w:eastAsia="Calibri"/>
                <w:color w:val="000000"/>
                <w:lang w:bidi="gu-IN"/>
              </w:rPr>
              <w:t>t</w:t>
            </w:r>
            <w:r w:rsidR="004C3EDB" w:rsidRPr="004C3EDB">
              <w:rPr>
                <w:rFonts w:eastAsia="Calibri"/>
                <w:color w:val="000000"/>
                <w:lang w:bidi="gu-IN"/>
              </w:rPr>
              <w:t xml:space="preserve"> valsts budžeta finansējumu veselības aprūpes vajadzībām, vienlaikus efektīvāk izmantojot veselības nozarei jau piešķirto finansējumu, lai mazinātu nevienlīdzību veselības pakalpojumu pieejamībā cilvēkiem ar zemiem ienākumiem, samazinātu pacientu </w:t>
            </w:r>
            <w:proofErr w:type="spellStart"/>
            <w:r w:rsidR="004C3EDB" w:rsidRPr="004C3EDB">
              <w:rPr>
                <w:rFonts w:eastAsia="Calibri"/>
                <w:color w:val="000000"/>
                <w:lang w:bidi="gu-IN"/>
              </w:rPr>
              <w:t>tiešmaksājumus</w:t>
            </w:r>
            <w:proofErr w:type="spellEnd"/>
            <w:r w:rsidR="004C3EDB" w:rsidRPr="004C3EDB">
              <w:rPr>
                <w:rFonts w:eastAsia="Calibri"/>
                <w:color w:val="000000"/>
                <w:lang w:bidi="gu-IN"/>
              </w:rPr>
              <w:t xml:space="preserve"> par veselības aprūpes pakalpojumiem un paplašinātu pierādījumos balstītu nepieciešamo zāļu un medicīnas ierīču kompensēšanu. </w:t>
            </w:r>
          </w:p>
        </w:tc>
      </w:tr>
      <w:tr w:rsidR="00D07F03" w:rsidRPr="00871F6C" w:rsidTr="00153AA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621BF">
            <w:pPr>
              <w:spacing w:before="100" w:beforeAutospacing="1" w:after="100" w:afterAutospacing="1" w:line="360" w:lineRule="auto"/>
              <w:jc w:val="center"/>
              <w:rPr>
                <w:color w:val="000000" w:themeColor="text1"/>
              </w:rPr>
            </w:pPr>
            <w:r w:rsidRPr="00871F6C">
              <w:rPr>
                <w:color w:val="000000" w:themeColor="text1"/>
              </w:rPr>
              <w:t>2.</w:t>
            </w:r>
          </w:p>
        </w:tc>
        <w:tc>
          <w:tcPr>
            <w:tcW w:w="1397"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Pašreizējā situācija un problēmas, kuru risināšanai tiesību akta projekts izstrādāts, tiesiskā regulējuma mērķis un būtība</w:t>
            </w:r>
          </w:p>
        </w:tc>
        <w:tc>
          <w:tcPr>
            <w:tcW w:w="3353" w:type="pct"/>
            <w:tcBorders>
              <w:top w:val="outset" w:sz="6" w:space="0" w:color="414142"/>
              <w:left w:val="outset" w:sz="6" w:space="0" w:color="414142"/>
              <w:bottom w:val="outset" w:sz="6" w:space="0" w:color="414142"/>
              <w:right w:val="outset" w:sz="6" w:space="0" w:color="414142"/>
            </w:tcBorders>
            <w:hideMark/>
          </w:tcPr>
          <w:p w:rsidR="00F00A3F" w:rsidRPr="00622624" w:rsidRDefault="00173046" w:rsidP="00622624">
            <w:pPr>
              <w:autoSpaceDE w:val="0"/>
              <w:autoSpaceDN w:val="0"/>
              <w:adjustRightInd w:val="0"/>
              <w:spacing w:after="120"/>
              <w:ind w:left="113" w:right="142"/>
              <w:jc w:val="both"/>
            </w:pPr>
            <w:r w:rsidRPr="00871F6C">
              <w:rPr>
                <w:rFonts w:eastAsia="Calibri"/>
                <w:color w:val="000000" w:themeColor="text1"/>
              </w:rPr>
              <w:t xml:space="preserve">1. </w:t>
            </w:r>
            <w:r w:rsidR="00434AF8">
              <w:rPr>
                <w:rFonts w:eastAsia="Calibri"/>
                <w:color w:val="000000" w:themeColor="text1"/>
              </w:rPr>
              <w:t>Lai uzlabotu ambulatorajai ārstēšanai paredz</w:t>
            </w:r>
            <w:r w:rsidR="00E94CE8">
              <w:rPr>
                <w:rFonts w:eastAsia="Calibri"/>
                <w:color w:val="000000" w:themeColor="text1"/>
              </w:rPr>
              <w:t xml:space="preserve">ēto zāļu un medicīnisko ierīču, kuru </w:t>
            </w:r>
            <w:r w:rsidR="00E94CE8" w:rsidRPr="00E94CE8">
              <w:t>iegādes izdevumus daļēji vai pilnībā sedz no likumā par valsts budžetu kārtējam gadam zāļu iegādes izdevumu kompensācijai piešķirtajiem līdzekļiem</w:t>
            </w:r>
            <w:r w:rsidR="00E94CE8">
              <w:t xml:space="preserve"> (turpmāk – kompensējamās zāles un medicīniskās ierīces), pieejamību</w:t>
            </w:r>
            <w:r w:rsidR="00720507">
              <w:t xml:space="preserve"> un pildītu Deklarācij</w:t>
            </w:r>
            <w:r w:rsidR="002F739A">
              <w:t>ā</w:t>
            </w:r>
            <w:r w:rsidR="00720507">
              <w:t xml:space="preserve"> noteikto uzdevumu efektīvā</w:t>
            </w:r>
            <w:r w:rsidR="00290D31">
              <w:t>k</w:t>
            </w:r>
            <w:r w:rsidR="00720507">
              <w:t xml:space="preserve"> izmantot veselības nozarei jau piešķirto finansējumu</w:t>
            </w:r>
            <w:r w:rsidR="00E94CE8">
              <w:t xml:space="preserve">, ir plānots </w:t>
            </w:r>
            <w:r w:rsidR="00F00A3F">
              <w:t>noteikts atviegloto procedūru kompensējamo zāļu B sarakstā iekļauto zāļu paralēlā importa un paralēlās izplatīšanas ceļā izplatāmo zāļu iekļaušanai kompensācijas kārtībā. Kompensējamo zāļu B sarakstā iekļautajām zālēm nepastāv konkurence saraksta ietvaros, līdz ar to ir jāveicina konkurence</w:t>
            </w:r>
            <w:r w:rsidR="002F739A">
              <w:t>, ko veido paralēlais imports un paralēlā izplatīšana</w:t>
            </w:r>
            <w:r w:rsidR="00F00A3F">
              <w:t>.</w:t>
            </w:r>
          </w:p>
          <w:p w:rsidR="00622624" w:rsidRPr="00622624" w:rsidRDefault="00622624" w:rsidP="00622624">
            <w:pPr>
              <w:pStyle w:val="tv2131"/>
              <w:spacing w:after="120" w:line="240" w:lineRule="auto"/>
              <w:ind w:left="113" w:right="142" w:firstLine="0"/>
              <w:jc w:val="both"/>
              <w:rPr>
                <w:color w:val="auto"/>
                <w:sz w:val="24"/>
                <w:szCs w:val="24"/>
              </w:rPr>
            </w:pPr>
            <w:r w:rsidRPr="00720507">
              <w:rPr>
                <w:color w:val="auto"/>
                <w:sz w:val="24"/>
                <w:szCs w:val="24"/>
                <w:u w:val="single"/>
              </w:rPr>
              <w:t>Zāļu paralēlā importēšana</w:t>
            </w:r>
            <w:r w:rsidRPr="00622624">
              <w:rPr>
                <w:color w:val="auto"/>
                <w:sz w:val="24"/>
                <w:szCs w:val="24"/>
              </w:rPr>
              <w:t xml:space="preserve"> ir nacionālajā reģistrācijas procedūrā (arī savstarpējā atzīšanas procedūrā un decentralizētā procedūrā) reģistrēto zāļu piegāde no vienas Eiropas Ekonomikas zonas valsts uz Latviju, ja tās piegādā </w:t>
            </w:r>
            <w:r w:rsidRPr="00720507">
              <w:rPr>
                <w:color w:val="auto"/>
                <w:sz w:val="24"/>
                <w:szCs w:val="24"/>
                <w:u w:val="single"/>
              </w:rPr>
              <w:t>zāļu vairumtirgotājs, kurš nav šo zāļu ražotājs, zāļu reģistrācijas īpašnieks vai viņu pilnvarots pārstāvis</w:t>
            </w:r>
            <w:r w:rsidRPr="00720507">
              <w:rPr>
                <w:color w:val="auto"/>
                <w:sz w:val="24"/>
                <w:szCs w:val="24"/>
              </w:rPr>
              <w:t xml:space="preserve"> </w:t>
            </w:r>
            <w:r w:rsidRPr="00622624">
              <w:rPr>
                <w:color w:val="auto"/>
                <w:sz w:val="24"/>
                <w:szCs w:val="24"/>
              </w:rPr>
              <w:t>(turpmāk – paralēlais importētājs).</w:t>
            </w:r>
          </w:p>
          <w:p w:rsidR="00622624" w:rsidRPr="00720507" w:rsidRDefault="00622624" w:rsidP="00622624">
            <w:pPr>
              <w:spacing w:after="120"/>
              <w:ind w:left="113" w:right="142"/>
              <w:jc w:val="both"/>
              <w:rPr>
                <w:vanish/>
                <w:u w:val="single"/>
              </w:rPr>
            </w:pPr>
            <w:r w:rsidRPr="00720507">
              <w:rPr>
                <w:vanish/>
                <w:u w:val="single"/>
              </w:rPr>
              <w:t>7</w:t>
            </w:r>
          </w:p>
          <w:p w:rsidR="00622624" w:rsidRPr="00622624" w:rsidRDefault="00622624" w:rsidP="00622624">
            <w:pPr>
              <w:pStyle w:val="tv2131"/>
              <w:spacing w:after="120" w:line="240" w:lineRule="auto"/>
              <w:ind w:left="113" w:right="142" w:firstLine="0"/>
              <w:jc w:val="both"/>
              <w:rPr>
                <w:color w:val="auto"/>
                <w:sz w:val="24"/>
                <w:szCs w:val="24"/>
              </w:rPr>
            </w:pPr>
            <w:bookmarkStart w:id="0" w:name="p-242946"/>
            <w:bookmarkStart w:id="1" w:name="p7"/>
            <w:bookmarkEnd w:id="0"/>
            <w:bookmarkEnd w:id="1"/>
            <w:r w:rsidRPr="00720507">
              <w:rPr>
                <w:color w:val="auto"/>
                <w:sz w:val="24"/>
                <w:szCs w:val="24"/>
                <w:u w:val="single"/>
              </w:rPr>
              <w:t>Zāļu paralēlā izplatīšana</w:t>
            </w:r>
            <w:r w:rsidRPr="00622624">
              <w:rPr>
                <w:color w:val="auto"/>
                <w:sz w:val="24"/>
                <w:szCs w:val="24"/>
              </w:rPr>
              <w:t xml:space="preserve"> ir centralizētajā reģistrācijas procedūrā reģistrēto zāļu piegāde no Eiropas Ekonomikas zonas valsts uz Latviju, ja tās piegādā zāļu vairumtirgotājs, </w:t>
            </w:r>
            <w:r w:rsidRPr="00720507">
              <w:rPr>
                <w:color w:val="auto"/>
                <w:sz w:val="24"/>
                <w:szCs w:val="24"/>
                <w:u w:val="single"/>
              </w:rPr>
              <w:t>kurš nav šo zāļu ražotājs, zāļu reģistrācijas īpašnieks vai viņa pilnvarots pārstāvis</w:t>
            </w:r>
            <w:r w:rsidRPr="00622624">
              <w:rPr>
                <w:color w:val="auto"/>
                <w:sz w:val="24"/>
                <w:szCs w:val="24"/>
              </w:rPr>
              <w:t xml:space="preserve"> (turpmāk – paralēlais izplatītājs).</w:t>
            </w:r>
          </w:p>
          <w:p w:rsidR="00720507" w:rsidRDefault="00720507" w:rsidP="00DA24AB">
            <w:pPr>
              <w:autoSpaceDE w:val="0"/>
              <w:autoSpaceDN w:val="0"/>
              <w:adjustRightInd w:val="0"/>
              <w:spacing w:after="120"/>
              <w:ind w:left="115" w:right="142"/>
              <w:jc w:val="both"/>
              <w:rPr>
                <w:color w:val="000000" w:themeColor="text1"/>
              </w:rPr>
            </w:pPr>
            <w:r>
              <w:rPr>
                <w:rFonts w:eastAsia="Calibri"/>
              </w:rPr>
              <w:t xml:space="preserve">Pašreiz Ministru kabineta 2006.gada 31.oktobra noteikumi </w:t>
            </w:r>
            <w:r>
              <w:rPr>
                <w:rFonts w:eastAsia="Calibri"/>
              </w:rPr>
              <w:lastRenderedPageBreak/>
              <w:t xml:space="preserve">Nr.899 ”Ambulatorajai ārstēšanai paredzēto zāļu un medicīnisko ierīču iegādes izdevumu kompensācijas kārtība” (turpmāk – Noteikumi Nr.899) nosaka nepieciešamību iekļaut kompensējamo zāļu sarakstā arī paralēli importētās un paralēli izplatītās zāles. </w:t>
            </w:r>
            <w:r w:rsidR="00CB6E6D">
              <w:rPr>
                <w:rFonts w:eastAsia="Calibri"/>
              </w:rPr>
              <w:t xml:space="preserve">Noteikumu projekts ”Grozījumi Ministru kabineta 2006.gada 31.oktobra noteikumos Nr.899 ”Ambulatorajai ārstēšanai paredzēto zāļu un medicīnisko ierīču iegādes izdevumu kompensācijas kārtība”” (turpmāk – Noteikumu projekts) cita starpā paredz noteikt, ka </w:t>
            </w:r>
            <w:r w:rsidR="008A6D62" w:rsidRPr="008A6D62">
              <w:rPr>
                <w:color w:val="000000" w:themeColor="text1"/>
              </w:rPr>
              <w:t xml:space="preserve">B sarakstā iekļauto zāļu paralēlais izplatītājs vai paralēlais importētājs neiesniedz Nacionālajā veselības dienestā iesniegumu par paralēli izplatīto vai paralēli importēto zāļu iekļaušanu kompensējamo zāļu sarakstā, bet iesniedz </w:t>
            </w:r>
            <w:r w:rsidR="00BC5023">
              <w:rPr>
                <w:color w:val="000000" w:themeColor="text1"/>
              </w:rPr>
              <w:t xml:space="preserve">informāciju par </w:t>
            </w:r>
            <w:r w:rsidR="008A6D62" w:rsidRPr="008A6D62">
              <w:rPr>
                <w:color w:val="000000" w:themeColor="text1"/>
              </w:rPr>
              <w:t>konkrēto zāļu izplatīšana</w:t>
            </w:r>
            <w:r w:rsidR="00BC5023">
              <w:rPr>
                <w:color w:val="000000" w:themeColor="text1"/>
              </w:rPr>
              <w:t>s uzsākšanu</w:t>
            </w:r>
            <w:r w:rsidR="008A6D62" w:rsidRPr="008A6D62">
              <w:rPr>
                <w:color w:val="000000" w:themeColor="text1"/>
              </w:rPr>
              <w:t xml:space="preserve"> kompensācijas kārtības ietvaros, norādot reģistrācijas vai izplatīšanas atļaujas numuru un paredzamo izplatīšanas laiku</w:t>
            </w:r>
            <w:r w:rsidR="00BC5023">
              <w:rPr>
                <w:color w:val="000000" w:themeColor="text1"/>
              </w:rPr>
              <w:t xml:space="preserve">. Paralēlais izplatītājs papildus norāda Eiropas Zāļu aģentūras paziņojumu par akceptu paralēlajai zāļu izplatīšanai </w:t>
            </w:r>
            <w:r w:rsidR="00196FAB">
              <w:rPr>
                <w:color w:val="000000" w:themeColor="text1"/>
              </w:rPr>
              <w:t>(Noteikumu projekta 1.2.apakšpunkts)</w:t>
            </w:r>
            <w:r w:rsidR="008A6D62" w:rsidRPr="008A6D62">
              <w:rPr>
                <w:color w:val="000000" w:themeColor="text1"/>
              </w:rPr>
              <w:t>.</w:t>
            </w:r>
          </w:p>
          <w:p w:rsidR="00806B95" w:rsidRPr="00806B95" w:rsidRDefault="00806B95" w:rsidP="00806B95">
            <w:pPr>
              <w:spacing w:after="120"/>
              <w:ind w:left="142" w:right="142"/>
              <w:jc w:val="both"/>
            </w:pPr>
            <w:r>
              <w:rPr>
                <w:color w:val="000000" w:themeColor="text1"/>
              </w:rPr>
              <w:t>Attiecīgi tiek precizēti aptiekas pienākumi, izsniedzot zāles pret recepti, kurā ir norādīts zāļu vispārīgais nosaukums (Noteikumu projekta 1.1</w:t>
            </w:r>
            <w:r w:rsidR="0030475C">
              <w:rPr>
                <w:color w:val="000000" w:themeColor="text1"/>
              </w:rPr>
              <w:t>1</w:t>
            </w:r>
            <w:r>
              <w:rPr>
                <w:color w:val="000000" w:themeColor="text1"/>
              </w:rPr>
              <w:t>.apakšpunkts).</w:t>
            </w:r>
          </w:p>
          <w:p w:rsidR="00720507" w:rsidRDefault="00DA24AB" w:rsidP="00DA24AB">
            <w:pPr>
              <w:spacing w:after="120"/>
              <w:ind w:left="142" w:right="142"/>
              <w:jc w:val="both"/>
            </w:pPr>
            <w:r>
              <w:rPr>
                <w:color w:val="000000" w:themeColor="text1"/>
              </w:rPr>
              <w:t xml:space="preserve">Tā kā, ieviešot paredzētās izmaiņas, nenotiks zāļu iekļaušanas kompensējamo zāļu sarakstā procesa gaitā veicamā izvērtēšana un cenas noteikšanas procedūra, attiecīgo </w:t>
            </w:r>
            <w:r w:rsidRPr="00DA24AB">
              <w:rPr>
                <w:color w:val="000000" w:themeColor="text1"/>
              </w:rPr>
              <w:t>paralēli izplatīto un paralēli importēto zāļu cenu no</w:t>
            </w:r>
            <w:r>
              <w:rPr>
                <w:color w:val="000000" w:themeColor="text1"/>
              </w:rPr>
              <w:t>teiks</w:t>
            </w:r>
            <w:r w:rsidRPr="00DA24AB">
              <w:rPr>
                <w:color w:val="000000" w:themeColor="text1"/>
              </w:rPr>
              <w:t xml:space="preserve"> identisku to zāļu cenai, pret kurām tiek veikta paralēlā izplatīšana vai paralēlā importēšana, ņemot vērā zāļu formu</w:t>
            </w:r>
            <w:r w:rsidRPr="00DA24AB">
              <w:t>, stiprumu un iepakojuma lielumu</w:t>
            </w:r>
            <w:r w:rsidR="00816627">
              <w:t xml:space="preserve"> (Noteikumu projekta 1.</w:t>
            </w:r>
            <w:r w:rsidR="0030475C">
              <w:t>4</w:t>
            </w:r>
            <w:r w:rsidR="00816627">
              <w:t>.apakšpunkts)</w:t>
            </w:r>
            <w:r>
              <w:t>.</w:t>
            </w:r>
          </w:p>
          <w:p w:rsidR="00720507" w:rsidRPr="003562D7" w:rsidRDefault="003827F8" w:rsidP="00290D31">
            <w:pPr>
              <w:spacing w:after="120"/>
              <w:ind w:left="142" w:right="142"/>
              <w:jc w:val="both"/>
              <w:rPr>
                <w:color w:val="000000" w:themeColor="text1"/>
              </w:rPr>
            </w:pPr>
            <w:r>
              <w:rPr>
                <w:color w:val="000000" w:themeColor="text1"/>
              </w:rPr>
              <w:t>P</w:t>
            </w:r>
            <w:r w:rsidR="00CD761F">
              <w:rPr>
                <w:color w:val="000000" w:themeColor="text1"/>
              </w:rPr>
              <w:t>aredzams, ka Noteikumu projekta 1.2., 1.4.</w:t>
            </w:r>
            <w:r w:rsidR="00BF53B4">
              <w:rPr>
                <w:color w:val="000000" w:themeColor="text1"/>
              </w:rPr>
              <w:t xml:space="preserve"> un 1.11</w:t>
            </w:r>
            <w:r w:rsidR="00806B95">
              <w:rPr>
                <w:color w:val="000000" w:themeColor="text1"/>
              </w:rPr>
              <w:t>.</w:t>
            </w:r>
            <w:r w:rsidR="00CD761F">
              <w:rPr>
                <w:color w:val="000000" w:themeColor="text1"/>
              </w:rPr>
              <w:t xml:space="preserve">apakšpunktā </w:t>
            </w:r>
            <w:r w:rsidR="00552B84">
              <w:rPr>
                <w:color w:val="000000" w:themeColor="text1"/>
              </w:rPr>
              <w:t xml:space="preserve">atspoguļotās </w:t>
            </w:r>
            <w:r w:rsidR="00CD761F">
              <w:rPr>
                <w:color w:val="000000" w:themeColor="text1"/>
              </w:rPr>
              <w:t>normas veicinās  kompensējamo zāļu B sarakstā iekļauto zāļu cenu samazināšanos un pieejamības pacientiem uzlabošanu.</w:t>
            </w:r>
          </w:p>
          <w:p w:rsidR="00290D31" w:rsidRDefault="002E7799" w:rsidP="00B703EF">
            <w:pPr>
              <w:spacing w:after="120"/>
              <w:ind w:left="142" w:right="142"/>
              <w:jc w:val="both"/>
              <w:rPr>
                <w:color w:val="000000" w:themeColor="text1"/>
              </w:rPr>
            </w:pPr>
            <w:r w:rsidRPr="00871F6C">
              <w:rPr>
                <w:color w:val="000000" w:themeColor="text1"/>
              </w:rPr>
              <w:t xml:space="preserve">2. </w:t>
            </w:r>
            <w:r w:rsidR="00290D31">
              <w:rPr>
                <w:color w:val="000000" w:themeColor="text1"/>
              </w:rPr>
              <w:t xml:space="preserve">Lai uzlabotu kompensējamo zāļu A sarakstā iekļauto zāļu pieejamību un pildītu Deklarācijā noteikto uzdevumu </w:t>
            </w:r>
            <w:r w:rsidR="00290D31" w:rsidRPr="004C3EDB">
              <w:rPr>
                <w:rFonts w:eastAsia="Calibri"/>
                <w:color w:val="000000"/>
                <w:lang w:bidi="gu-IN"/>
              </w:rPr>
              <w:t>efektīvāk izmanto</w:t>
            </w:r>
            <w:r w:rsidR="00290D31">
              <w:rPr>
                <w:rFonts w:eastAsia="Calibri"/>
                <w:color w:val="000000"/>
                <w:lang w:bidi="gu-IN"/>
              </w:rPr>
              <w:t>t</w:t>
            </w:r>
            <w:r w:rsidR="00290D31" w:rsidRPr="004C3EDB">
              <w:rPr>
                <w:rFonts w:eastAsia="Calibri"/>
                <w:color w:val="000000"/>
                <w:lang w:bidi="gu-IN"/>
              </w:rPr>
              <w:t xml:space="preserve"> veselības noz</w:t>
            </w:r>
            <w:r w:rsidR="00290D31">
              <w:rPr>
                <w:rFonts w:eastAsia="Calibri"/>
                <w:color w:val="000000"/>
                <w:lang w:bidi="gu-IN"/>
              </w:rPr>
              <w:t xml:space="preserve">arei jau piešķirto finansējumu un </w:t>
            </w:r>
            <w:r w:rsidR="00B30AB2">
              <w:rPr>
                <w:rFonts w:eastAsia="Calibri"/>
                <w:color w:val="000000"/>
                <w:lang w:bidi="gu-IN"/>
              </w:rPr>
              <w:t>sa</w:t>
            </w:r>
            <w:r w:rsidR="00290D31" w:rsidRPr="004C3EDB">
              <w:rPr>
                <w:rFonts w:eastAsia="Calibri"/>
                <w:color w:val="000000"/>
                <w:lang w:bidi="gu-IN"/>
              </w:rPr>
              <w:t xml:space="preserve">mazinātu pacientu </w:t>
            </w:r>
            <w:proofErr w:type="spellStart"/>
            <w:r w:rsidR="00290D31">
              <w:rPr>
                <w:rFonts w:eastAsia="Calibri"/>
                <w:color w:val="000000"/>
                <w:lang w:bidi="gu-IN"/>
              </w:rPr>
              <w:t>līdz</w:t>
            </w:r>
            <w:r w:rsidR="00290D31" w:rsidRPr="004C3EDB">
              <w:rPr>
                <w:rFonts w:eastAsia="Calibri"/>
                <w:color w:val="000000"/>
                <w:lang w:bidi="gu-IN"/>
              </w:rPr>
              <w:t>maksājumus</w:t>
            </w:r>
            <w:proofErr w:type="spellEnd"/>
            <w:r w:rsidR="00290D31" w:rsidRPr="004C3EDB">
              <w:rPr>
                <w:rFonts w:eastAsia="Calibri"/>
                <w:color w:val="000000"/>
                <w:lang w:bidi="gu-IN"/>
              </w:rPr>
              <w:t xml:space="preserve"> par </w:t>
            </w:r>
            <w:r w:rsidR="00290D31">
              <w:rPr>
                <w:rFonts w:eastAsia="Calibri"/>
                <w:color w:val="000000"/>
                <w:lang w:bidi="gu-IN"/>
              </w:rPr>
              <w:t>kompensējamām zālēm un medicīniskajām ierīcēm</w:t>
            </w:r>
            <w:r w:rsidR="00B30AB2">
              <w:rPr>
                <w:rFonts w:eastAsia="Calibri"/>
                <w:color w:val="000000"/>
                <w:lang w:bidi="gu-IN"/>
              </w:rPr>
              <w:t xml:space="preserve">, Noteikumu projektā </w:t>
            </w:r>
            <w:r w:rsidR="00B703EF">
              <w:rPr>
                <w:rFonts w:eastAsia="Calibri"/>
                <w:color w:val="000000"/>
                <w:lang w:bidi="gu-IN"/>
              </w:rPr>
              <w:t xml:space="preserve">ir </w:t>
            </w:r>
            <w:r w:rsidR="00806B95">
              <w:rPr>
                <w:rFonts w:eastAsia="Calibri"/>
                <w:color w:val="000000"/>
                <w:lang w:bidi="gu-IN"/>
              </w:rPr>
              <w:t>iekļauta</w:t>
            </w:r>
            <w:r w:rsidR="00B703EF">
              <w:rPr>
                <w:rFonts w:eastAsia="Calibri"/>
                <w:color w:val="000000"/>
                <w:lang w:bidi="gu-IN"/>
              </w:rPr>
              <w:t xml:space="preserve"> norma, kas paredz, ka turpmāk v</w:t>
            </w:r>
            <w:r w:rsidR="00B703EF" w:rsidRPr="00B703EF">
              <w:rPr>
                <w:color w:val="000000" w:themeColor="text1"/>
              </w:rPr>
              <w:t xml:space="preserve">ienas references grupas ietvaros references cena var tikt noteikta vairākām zālēm vai medicīniskajām ierīcēm </w:t>
            </w:r>
            <w:r w:rsidR="00B703EF">
              <w:rPr>
                <w:color w:val="000000" w:themeColor="text1"/>
              </w:rPr>
              <w:t>(Noteikumu projekta 1.</w:t>
            </w:r>
            <w:r w:rsidR="008F5368">
              <w:rPr>
                <w:color w:val="000000" w:themeColor="text1"/>
              </w:rPr>
              <w:t>6</w:t>
            </w:r>
            <w:r w:rsidR="00B703EF">
              <w:rPr>
                <w:color w:val="000000" w:themeColor="text1"/>
              </w:rPr>
              <w:t>.</w:t>
            </w:r>
            <w:r w:rsidR="006B08E5">
              <w:rPr>
                <w:color w:val="000000" w:themeColor="text1"/>
              </w:rPr>
              <w:t>, 1.</w:t>
            </w:r>
            <w:r w:rsidR="008F5368">
              <w:rPr>
                <w:color w:val="000000" w:themeColor="text1"/>
              </w:rPr>
              <w:t>7</w:t>
            </w:r>
            <w:r w:rsidR="006B08E5">
              <w:rPr>
                <w:color w:val="000000" w:themeColor="text1"/>
              </w:rPr>
              <w:t>.</w:t>
            </w:r>
            <w:r w:rsidR="00986E81">
              <w:rPr>
                <w:color w:val="000000" w:themeColor="text1"/>
              </w:rPr>
              <w:t xml:space="preserve"> un 1.</w:t>
            </w:r>
            <w:r w:rsidR="008F5368">
              <w:rPr>
                <w:color w:val="000000" w:themeColor="text1"/>
              </w:rPr>
              <w:t>8</w:t>
            </w:r>
            <w:r w:rsidR="00986E81">
              <w:rPr>
                <w:color w:val="000000" w:themeColor="text1"/>
              </w:rPr>
              <w:t>.</w:t>
            </w:r>
            <w:r w:rsidR="00B703EF">
              <w:rPr>
                <w:color w:val="000000" w:themeColor="text1"/>
              </w:rPr>
              <w:t xml:space="preserve">apakšpunkts). </w:t>
            </w:r>
          </w:p>
          <w:p w:rsidR="00BB19B1" w:rsidRPr="00BB19B1" w:rsidRDefault="00BB19B1" w:rsidP="00BB19B1">
            <w:pPr>
              <w:tabs>
                <w:tab w:val="left" w:pos="433"/>
              </w:tabs>
              <w:spacing w:after="120"/>
              <w:ind w:left="142" w:right="142"/>
              <w:jc w:val="both"/>
              <w:rPr>
                <w:color w:val="000000" w:themeColor="text1"/>
              </w:rPr>
            </w:pPr>
            <w:r w:rsidRPr="00BB19B1">
              <w:rPr>
                <w:color w:val="000000" w:themeColor="text1"/>
              </w:rPr>
              <w:t xml:space="preserve">Vienlaikus ir risināms jautājums par pacientu </w:t>
            </w:r>
            <w:proofErr w:type="spellStart"/>
            <w:r w:rsidRPr="00BB19B1">
              <w:rPr>
                <w:color w:val="000000" w:themeColor="text1"/>
              </w:rPr>
              <w:t>līdzmaksājuma</w:t>
            </w:r>
            <w:proofErr w:type="spellEnd"/>
            <w:r w:rsidRPr="00BB19B1">
              <w:rPr>
                <w:color w:val="000000" w:themeColor="text1"/>
              </w:rPr>
              <w:t xml:space="preserve"> samazināšanu. </w:t>
            </w:r>
            <w:r w:rsidRPr="00BB19B1">
              <w:rPr>
                <w:color w:val="000000"/>
              </w:rPr>
              <w:t xml:space="preserve">Pacientu kopējo </w:t>
            </w:r>
            <w:proofErr w:type="spellStart"/>
            <w:r w:rsidRPr="00BB19B1">
              <w:rPr>
                <w:color w:val="000000"/>
              </w:rPr>
              <w:lastRenderedPageBreak/>
              <w:t>līdzmaksājumu</w:t>
            </w:r>
            <w:proofErr w:type="spellEnd"/>
            <w:r w:rsidRPr="00BB19B1">
              <w:rPr>
                <w:color w:val="000000"/>
              </w:rPr>
              <w:t xml:space="preserve"> par zālēm veido:</w:t>
            </w:r>
          </w:p>
          <w:p w:rsidR="00BB19B1" w:rsidRPr="00BB19B1" w:rsidRDefault="00BB19B1" w:rsidP="00BB19B1">
            <w:pPr>
              <w:pStyle w:val="ListParagraph"/>
              <w:keepLines/>
              <w:numPr>
                <w:ilvl w:val="0"/>
                <w:numId w:val="46"/>
              </w:numPr>
              <w:tabs>
                <w:tab w:val="left" w:pos="433"/>
              </w:tabs>
              <w:autoSpaceDE w:val="0"/>
              <w:autoSpaceDN w:val="0"/>
              <w:adjustRightInd w:val="0"/>
              <w:spacing w:after="120" w:line="240" w:lineRule="auto"/>
              <w:ind w:left="142" w:right="142" w:firstLine="0"/>
              <w:contextualSpacing w:val="0"/>
              <w:jc w:val="both"/>
              <w:rPr>
                <w:rFonts w:ascii="Times New Roman" w:hAnsi="Times New Roman"/>
                <w:color w:val="000000"/>
                <w:sz w:val="24"/>
                <w:szCs w:val="24"/>
                <w:lang w:val="lv-LV"/>
              </w:rPr>
            </w:pPr>
            <w:r w:rsidRPr="00BB19B1">
              <w:rPr>
                <w:rFonts w:ascii="Times New Roman" w:hAnsi="Times New Roman"/>
                <w:color w:val="000000"/>
                <w:sz w:val="24"/>
                <w:szCs w:val="24"/>
                <w:lang w:val="lv-LV"/>
              </w:rPr>
              <w:t xml:space="preserve">pacientu obligātais maksājums par valsts nekompensēto daļu, ja zāļu kompensācija tiek nodrošināta 75% vai 50% apmērā; 100% kompensācijas gadījumā </w:t>
            </w:r>
            <w:proofErr w:type="spellStart"/>
            <w:r w:rsidRPr="00BB19B1">
              <w:rPr>
                <w:rFonts w:ascii="Times New Roman" w:hAnsi="Times New Roman"/>
                <w:color w:val="000000"/>
                <w:sz w:val="24"/>
                <w:szCs w:val="24"/>
                <w:lang w:val="lv-LV"/>
              </w:rPr>
              <w:t>līdzmaksājums</w:t>
            </w:r>
            <w:proofErr w:type="spellEnd"/>
            <w:r w:rsidRPr="00BB19B1">
              <w:rPr>
                <w:rFonts w:ascii="Times New Roman" w:hAnsi="Times New Roman"/>
                <w:color w:val="000000"/>
                <w:sz w:val="24"/>
                <w:szCs w:val="24"/>
                <w:lang w:val="lv-LV"/>
              </w:rPr>
              <w:t xml:space="preserve"> 0,71 </w:t>
            </w:r>
            <w:proofErr w:type="spellStart"/>
            <w:r w:rsidRPr="00BB19B1">
              <w:rPr>
                <w:rFonts w:ascii="Times New Roman" w:hAnsi="Times New Roman"/>
                <w:i/>
                <w:iCs/>
                <w:color w:val="000000"/>
                <w:sz w:val="24"/>
                <w:szCs w:val="24"/>
                <w:lang w:val="lv-LV"/>
              </w:rPr>
              <w:t>euro</w:t>
            </w:r>
            <w:proofErr w:type="spellEnd"/>
            <w:r w:rsidRPr="00BB19B1">
              <w:rPr>
                <w:rFonts w:ascii="Times New Roman" w:hAnsi="Times New Roman"/>
                <w:i/>
                <w:iCs/>
                <w:color w:val="000000"/>
                <w:sz w:val="24"/>
                <w:szCs w:val="24"/>
                <w:lang w:val="lv-LV"/>
              </w:rPr>
              <w:t xml:space="preserve"> </w:t>
            </w:r>
            <w:r w:rsidRPr="00BB19B1">
              <w:rPr>
                <w:rFonts w:ascii="Times New Roman" w:hAnsi="Times New Roman"/>
                <w:color w:val="000000"/>
                <w:sz w:val="24"/>
                <w:szCs w:val="24"/>
                <w:lang w:val="lv-LV"/>
              </w:rPr>
              <w:t xml:space="preserve">apmērā  par recepti; </w:t>
            </w:r>
          </w:p>
          <w:p w:rsidR="00BB19B1" w:rsidRPr="00BB19B1" w:rsidRDefault="00BB19B1" w:rsidP="00BB19B1">
            <w:pPr>
              <w:pStyle w:val="ListParagraph"/>
              <w:numPr>
                <w:ilvl w:val="0"/>
                <w:numId w:val="46"/>
              </w:numPr>
              <w:tabs>
                <w:tab w:val="left" w:pos="433"/>
              </w:tabs>
              <w:autoSpaceDE w:val="0"/>
              <w:autoSpaceDN w:val="0"/>
              <w:adjustRightInd w:val="0"/>
              <w:spacing w:after="120" w:line="240" w:lineRule="auto"/>
              <w:ind w:left="142" w:right="142" w:firstLine="0"/>
              <w:contextualSpacing w:val="0"/>
              <w:jc w:val="both"/>
              <w:rPr>
                <w:rFonts w:ascii="Times New Roman" w:hAnsi="Times New Roman"/>
                <w:color w:val="000000"/>
                <w:sz w:val="24"/>
                <w:szCs w:val="24"/>
                <w:lang w:val="lv-LV"/>
              </w:rPr>
            </w:pPr>
            <w:r w:rsidRPr="00BB19B1">
              <w:rPr>
                <w:rFonts w:ascii="Times New Roman" w:hAnsi="Times New Roman"/>
                <w:color w:val="000000"/>
                <w:sz w:val="24"/>
                <w:szCs w:val="24"/>
                <w:lang w:val="lv-LV"/>
              </w:rPr>
              <w:t xml:space="preserve">pacientu </w:t>
            </w:r>
            <w:proofErr w:type="spellStart"/>
            <w:r w:rsidRPr="00BB19B1">
              <w:rPr>
                <w:rFonts w:ascii="Times New Roman" w:hAnsi="Times New Roman"/>
                <w:color w:val="000000"/>
                <w:sz w:val="24"/>
                <w:szCs w:val="24"/>
                <w:lang w:val="lv-LV"/>
              </w:rPr>
              <w:t>līdzmaksājums</w:t>
            </w:r>
            <w:proofErr w:type="spellEnd"/>
            <w:r w:rsidRPr="00BB19B1">
              <w:rPr>
                <w:rFonts w:ascii="Times New Roman" w:hAnsi="Times New Roman"/>
                <w:color w:val="000000"/>
                <w:sz w:val="24"/>
                <w:szCs w:val="24"/>
                <w:lang w:val="lv-LV"/>
              </w:rPr>
              <w:t xml:space="preserve"> par ne-references zālēm, izvēloties ne-references zāles </w:t>
            </w:r>
            <w:proofErr w:type="spellStart"/>
            <w:r w:rsidRPr="00BB19B1">
              <w:rPr>
                <w:rFonts w:ascii="Times New Roman" w:hAnsi="Times New Roman"/>
                <w:color w:val="000000"/>
                <w:sz w:val="24"/>
                <w:szCs w:val="24"/>
                <w:lang w:val="lv-LV"/>
              </w:rPr>
              <w:t>farmakoterapeitiskās</w:t>
            </w:r>
            <w:proofErr w:type="spellEnd"/>
            <w:r w:rsidRPr="00BB19B1">
              <w:rPr>
                <w:rFonts w:ascii="Times New Roman" w:hAnsi="Times New Roman"/>
                <w:color w:val="000000"/>
                <w:sz w:val="24"/>
                <w:szCs w:val="24"/>
                <w:lang w:val="lv-LV"/>
              </w:rPr>
              <w:t xml:space="preserve"> grupas (trīs-piecas zīmes ATC/DDD klasifikācijā) ietvaros;</w:t>
            </w:r>
          </w:p>
          <w:p w:rsidR="00BB19B1" w:rsidRPr="00BB19B1" w:rsidRDefault="00BB19B1" w:rsidP="00BB19B1">
            <w:pPr>
              <w:pStyle w:val="ListParagraph"/>
              <w:numPr>
                <w:ilvl w:val="0"/>
                <w:numId w:val="46"/>
              </w:numPr>
              <w:tabs>
                <w:tab w:val="left" w:pos="433"/>
              </w:tabs>
              <w:autoSpaceDE w:val="0"/>
              <w:autoSpaceDN w:val="0"/>
              <w:adjustRightInd w:val="0"/>
              <w:spacing w:after="120" w:line="240" w:lineRule="auto"/>
              <w:ind w:left="142" w:right="142" w:firstLine="0"/>
              <w:contextualSpacing w:val="0"/>
              <w:jc w:val="both"/>
              <w:rPr>
                <w:rFonts w:ascii="Times New Roman" w:hAnsi="Times New Roman"/>
                <w:color w:val="000000"/>
                <w:sz w:val="24"/>
                <w:szCs w:val="24"/>
                <w:lang w:val="lv-LV"/>
              </w:rPr>
            </w:pPr>
            <w:r w:rsidRPr="00BB19B1">
              <w:rPr>
                <w:rFonts w:ascii="Times New Roman" w:hAnsi="Times New Roman"/>
                <w:color w:val="000000"/>
                <w:sz w:val="24"/>
                <w:szCs w:val="24"/>
                <w:lang w:val="lv-LV"/>
              </w:rPr>
              <w:t xml:space="preserve">pacientu </w:t>
            </w:r>
            <w:proofErr w:type="spellStart"/>
            <w:r w:rsidRPr="00BB19B1">
              <w:rPr>
                <w:rFonts w:ascii="Times New Roman" w:hAnsi="Times New Roman"/>
                <w:color w:val="000000"/>
                <w:sz w:val="24"/>
                <w:szCs w:val="24"/>
                <w:lang w:val="lv-LV"/>
              </w:rPr>
              <w:t>līdzmaksājums</w:t>
            </w:r>
            <w:proofErr w:type="spellEnd"/>
            <w:r w:rsidRPr="00BB19B1">
              <w:rPr>
                <w:rFonts w:ascii="Times New Roman" w:hAnsi="Times New Roman"/>
                <w:color w:val="000000"/>
                <w:sz w:val="24"/>
                <w:szCs w:val="24"/>
                <w:lang w:val="lv-LV"/>
              </w:rPr>
              <w:t xml:space="preserve"> par ne-references zālēm viena zāļu vispārīgā nosaukuma ietvaros.</w:t>
            </w:r>
          </w:p>
          <w:p w:rsidR="00BB19B1" w:rsidRPr="00BB19B1" w:rsidRDefault="00BB19B1" w:rsidP="00BB19B1">
            <w:pPr>
              <w:keepLines/>
              <w:tabs>
                <w:tab w:val="left" w:pos="433"/>
              </w:tabs>
              <w:autoSpaceDE w:val="0"/>
              <w:autoSpaceDN w:val="0"/>
              <w:adjustRightInd w:val="0"/>
              <w:spacing w:after="120"/>
              <w:ind w:left="142" w:right="142"/>
              <w:jc w:val="both"/>
              <w:rPr>
                <w:color w:val="000000"/>
              </w:rPr>
            </w:pPr>
            <w:r w:rsidRPr="00BB19B1">
              <w:rPr>
                <w:color w:val="000000"/>
              </w:rPr>
              <w:t>Saskaņā ar Nacionālā veselības dienesta veiktās analīzes rezultāti</w:t>
            </w:r>
            <w:r w:rsidR="00252FCF">
              <w:rPr>
                <w:color w:val="000000"/>
              </w:rPr>
              <w:t>em</w:t>
            </w:r>
            <w:r w:rsidRPr="00BB19B1">
              <w:rPr>
                <w:color w:val="000000"/>
              </w:rPr>
              <w:t xml:space="preserve"> pacientu obligātā </w:t>
            </w:r>
            <w:proofErr w:type="spellStart"/>
            <w:r w:rsidRPr="00BB19B1">
              <w:rPr>
                <w:color w:val="000000"/>
              </w:rPr>
              <w:t>līdzmaksājuma</w:t>
            </w:r>
            <w:proofErr w:type="spellEnd"/>
            <w:r w:rsidRPr="00BB19B1">
              <w:rPr>
                <w:color w:val="000000"/>
              </w:rPr>
              <w:t xml:space="preserve"> summa 2013.gadā ir pieaugusi  par  8,9 %, bet, rēķinot uz vienu pacientu – par 3,2 %. Pacientu obligāt</w:t>
            </w:r>
            <w:r w:rsidR="00252FCF">
              <w:rPr>
                <w:color w:val="000000"/>
              </w:rPr>
              <w:t>ā</w:t>
            </w:r>
            <w:r w:rsidRPr="00BB19B1">
              <w:rPr>
                <w:color w:val="000000"/>
              </w:rPr>
              <w:t xml:space="preserve"> </w:t>
            </w:r>
            <w:proofErr w:type="spellStart"/>
            <w:r w:rsidRPr="00BB19B1">
              <w:rPr>
                <w:color w:val="000000"/>
              </w:rPr>
              <w:t>līdzmaksājuma</w:t>
            </w:r>
            <w:proofErr w:type="spellEnd"/>
            <w:r w:rsidRPr="00BB19B1">
              <w:rPr>
                <w:color w:val="000000"/>
              </w:rPr>
              <w:t xml:space="preserve"> pieaugums izskaidrojams ar:</w:t>
            </w:r>
          </w:p>
          <w:p w:rsidR="00BB19B1" w:rsidRPr="00BB19B1" w:rsidRDefault="00BB19B1" w:rsidP="00BB19B1">
            <w:pPr>
              <w:keepLines/>
              <w:tabs>
                <w:tab w:val="left" w:pos="433"/>
              </w:tabs>
              <w:autoSpaceDE w:val="0"/>
              <w:autoSpaceDN w:val="0"/>
              <w:adjustRightInd w:val="0"/>
              <w:spacing w:after="120"/>
              <w:ind w:left="142" w:right="142"/>
              <w:jc w:val="both"/>
              <w:rPr>
                <w:color w:val="000000"/>
              </w:rPr>
            </w:pPr>
            <w:r w:rsidRPr="00BB19B1">
              <w:rPr>
                <w:color w:val="000000"/>
              </w:rPr>
              <w:t>1)</w:t>
            </w:r>
            <w:r w:rsidRPr="00BB19B1">
              <w:rPr>
                <w:color w:val="000000"/>
              </w:rPr>
              <w:tab/>
              <w:t>unikālo pacientu skaita pieaugumu par 6 %;</w:t>
            </w:r>
          </w:p>
          <w:p w:rsidR="00BB19B1" w:rsidRPr="00BB19B1" w:rsidRDefault="00BB19B1" w:rsidP="00BB19B1">
            <w:pPr>
              <w:keepLines/>
              <w:tabs>
                <w:tab w:val="left" w:pos="433"/>
              </w:tabs>
              <w:autoSpaceDE w:val="0"/>
              <w:autoSpaceDN w:val="0"/>
              <w:adjustRightInd w:val="0"/>
              <w:spacing w:after="120"/>
              <w:ind w:left="142" w:right="142"/>
              <w:jc w:val="both"/>
              <w:rPr>
                <w:color w:val="000000"/>
              </w:rPr>
            </w:pPr>
            <w:r w:rsidRPr="00BB19B1">
              <w:rPr>
                <w:color w:val="000000"/>
              </w:rPr>
              <w:t>2)</w:t>
            </w:r>
            <w:r w:rsidRPr="00BB19B1">
              <w:rPr>
                <w:color w:val="000000"/>
              </w:rPr>
              <w:tab/>
              <w:t>zāļu kompensācijas sistēmas ietvaros vienam pacientam ārstēto  diagnožu skaita palielinājumu ”jaunajiem” pacientiem no vidēji 1,3 diagnozēm līdz 3,3 diagnozēm vienam pacientam;</w:t>
            </w:r>
          </w:p>
          <w:p w:rsidR="00BB19B1" w:rsidRPr="00BB19B1" w:rsidRDefault="00BB19B1" w:rsidP="00BB19B1">
            <w:pPr>
              <w:keepLines/>
              <w:tabs>
                <w:tab w:val="left" w:pos="433"/>
              </w:tabs>
              <w:autoSpaceDE w:val="0"/>
              <w:autoSpaceDN w:val="0"/>
              <w:adjustRightInd w:val="0"/>
              <w:spacing w:after="120"/>
              <w:ind w:left="142" w:right="142"/>
              <w:jc w:val="both"/>
              <w:rPr>
                <w:color w:val="000000"/>
              </w:rPr>
            </w:pPr>
            <w:r w:rsidRPr="00BB19B1">
              <w:rPr>
                <w:color w:val="000000"/>
              </w:rPr>
              <w:t>3)</w:t>
            </w:r>
            <w:r w:rsidRPr="00BB19B1">
              <w:rPr>
                <w:color w:val="000000"/>
              </w:rPr>
              <w:tab/>
              <w:t>references zāļu cenas samazinājum</w:t>
            </w:r>
            <w:r w:rsidR="00252FCF">
              <w:rPr>
                <w:color w:val="000000"/>
              </w:rPr>
              <w:t>u</w:t>
            </w:r>
            <w:r w:rsidRPr="00BB19B1">
              <w:rPr>
                <w:color w:val="000000"/>
              </w:rPr>
              <w:t xml:space="preserve"> vienas zāļu </w:t>
            </w:r>
            <w:proofErr w:type="spellStart"/>
            <w:r w:rsidRPr="00BB19B1">
              <w:rPr>
                <w:color w:val="000000"/>
              </w:rPr>
              <w:t>farmakoterapeitiskās</w:t>
            </w:r>
            <w:proofErr w:type="spellEnd"/>
            <w:r w:rsidRPr="00BB19B1">
              <w:rPr>
                <w:color w:val="000000"/>
              </w:rPr>
              <w:t xml:space="preserve"> grupas (trīs-piecas zīmes ATC/DDD klasifikācijā) ietvaros.</w:t>
            </w:r>
          </w:p>
          <w:p w:rsidR="0098417B" w:rsidRDefault="00BB19B1" w:rsidP="00BB19B1">
            <w:pPr>
              <w:keepLines/>
              <w:tabs>
                <w:tab w:val="left" w:pos="433"/>
              </w:tabs>
              <w:autoSpaceDE w:val="0"/>
              <w:autoSpaceDN w:val="0"/>
              <w:adjustRightInd w:val="0"/>
              <w:spacing w:after="120"/>
              <w:ind w:left="142" w:right="142"/>
              <w:jc w:val="both"/>
              <w:rPr>
                <w:color w:val="000000"/>
              </w:rPr>
            </w:pPr>
            <w:r w:rsidRPr="00BB19B1">
              <w:rPr>
                <w:color w:val="000000"/>
              </w:rPr>
              <w:t xml:space="preserve">Savukārt </w:t>
            </w:r>
            <w:r w:rsidRPr="00BB19B1">
              <w:rPr>
                <w:color w:val="000000"/>
                <w:u w:val="single"/>
              </w:rPr>
              <w:t>pacientu veicamo piemaksu summa</w:t>
            </w:r>
            <w:r w:rsidRPr="00BB19B1">
              <w:rPr>
                <w:color w:val="000000"/>
              </w:rPr>
              <w:t xml:space="preserve"> par iegādātajām dārgākajām </w:t>
            </w:r>
            <w:r w:rsidRPr="0098417B">
              <w:rPr>
                <w:color w:val="000000"/>
                <w:u w:val="single"/>
              </w:rPr>
              <w:t>ne-references zālēm</w:t>
            </w:r>
            <w:r w:rsidRPr="00BB19B1">
              <w:rPr>
                <w:color w:val="000000"/>
              </w:rPr>
              <w:t xml:space="preserve"> 2013.gadā ir palielinājusies </w:t>
            </w:r>
            <w:r w:rsidRPr="00BB19B1">
              <w:rPr>
                <w:color w:val="000000"/>
                <w:u w:val="single"/>
              </w:rPr>
              <w:t>par 22,8 %</w:t>
            </w:r>
            <w:r w:rsidRPr="00BB19B1">
              <w:rPr>
                <w:color w:val="000000"/>
              </w:rPr>
              <w:t xml:space="preserve">, bet, rēķinot </w:t>
            </w:r>
            <w:r w:rsidRPr="00BB19B1">
              <w:rPr>
                <w:color w:val="000000"/>
                <w:u w:val="single"/>
              </w:rPr>
              <w:t>uz vienu pacientu, – par 16,3 %</w:t>
            </w:r>
            <w:r w:rsidRPr="00BB19B1">
              <w:rPr>
                <w:color w:val="000000"/>
              </w:rPr>
              <w:t xml:space="preserve">, salīdzinot ar 2012.gadu. Vislielākais ne-references zāļu izmaksu pieaugums uz vienu pacientu ir diagnožu grupā ”Acu un </w:t>
            </w:r>
            <w:proofErr w:type="spellStart"/>
            <w:r w:rsidRPr="00BB19B1">
              <w:rPr>
                <w:color w:val="000000"/>
              </w:rPr>
              <w:t>palīgorgānu</w:t>
            </w:r>
            <w:proofErr w:type="spellEnd"/>
            <w:r w:rsidRPr="00BB19B1">
              <w:rPr>
                <w:color w:val="000000"/>
              </w:rPr>
              <w:t xml:space="preserve"> slimības” un ”Asinsrites sistēmas slimības”. </w:t>
            </w:r>
          </w:p>
          <w:p w:rsidR="00BB19B1" w:rsidRPr="003827F8" w:rsidRDefault="00BB19B1" w:rsidP="003827F8">
            <w:pPr>
              <w:keepLines/>
              <w:tabs>
                <w:tab w:val="left" w:pos="433"/>
              </w:tabs>
              <w:autoSpaceDE w:val="0"/>
              <w:autoSpaceDN w:val="0"/>
              <w:adjustRightInd w:val="0"/>
              <w:spacing w:after="120"/>
              <w:ind w:left="142" w:right="142"/>
              <w:jc w:val="both"/>
              <w:rPr>
                <w:color w:val="000000"/>
              </w:rPr>
            </w:pPr>
            <w:r w:rsidRPr="00BB19B1">
              <w:rPr>
                <w:color w:val="000000"/>
              </w:rPr>
              <w:t xml:space="preserve">2013.gadā par 7,5 % ir samazinājies lētāko zāļu lietotāju skaits, neskatoties uz to, ka pacientu skaits, kuri lietoja A saraksta zāles, 2013.gadā ir pieaudzis par 4,1 %, salīdzinot ar 2012.gadu. 2013.gadā lētākās zāles lietoja 77,1 % no visiem A saraksta zāļu lietotājiem, savukārt 2012.gadā – 86,9 %. Tātad, lētāko zāļu lietotāju skaits samazinājies par 9,8 %. References zāļu lietotāju skaits ”jauno” pacientu vidū samazinājies par 2 </w:t>
            </w:r>
            <w:r w:rsidR="003827F8">
              <w:rPr>
                <w:color w:val="000000"/>
              </w:rPr>
              <w:t>%.</w:t>
            </w:r>
          </w:p>
          <w:p w:rsidR="00B703EF" w:rsidRPr="003F0992" w:rsidRDefault="003827F8" w:rsidP="008F5368">
            <w:pPr>
              <w:spacing w:after="120"/>
              <w:ind w:left="142" w:right="142"/>
              <w:jc w:val="both"/>
              <w:rPr>
                <w:color w:val="000000" w:themeColor="text1"/>
              </w:rPr>
            </w:pPr>
            <w:r>
              <w:rPr>
                <w:color w:val="000000" w:themeColor="text1"/>
              </w:rPr>
              <w:t>Ņemot vērā iepriekš minēto</w:t>
            </w:r>
            <w:r w:rsidR="00B703EF">
              <w:rPr>
                <w:color w:val="000000" w:themeColor="text1"/>
              </w:rPr>
              <w:t xml:space="preserve">, lai pacientiem, iegādājoties kompensējamo zāļu A sarakstā iekļautās </w:t>
            </w:r>
            <w:r w:rsidR="00A91F66">
              <w:rPr>
                <w:color w:val="000000" w:themeColor="text1"/>
              </w:rPr>
              <w:t>zāles</w:t>
            </w:r>
            <w:r w:rsidR="003F0992">
              <w:rPr>
                <w:color w:val="000000" w:themeColor="text1"/>
              </w:rPr>
              <w:t xml:space="preserve">, nebūtu jāpiemaksā vairāk kā 30%, salīdzinājumā ar references zāļu iegādes izmaksām, Noteikumu projektā ir iekļauta norma, kas paredz, ka </w:t>
            </w:r>
            <w:r w:rsidR="003F0992" w:rsidRPr="003F0992">
              <w:rPr>
                <w:color w:val="000000" w:themeColor="text1"/>
              </w:rPr>
              <w:t>A sarakstā iekļauto zāļu</w:t>
            </w:r>
            <w:r w:rsidR="003F0992">
              <w:rPr>
                <w:color w:val="000000" w:themeColor="text1"/>
              </w:rPr>
              <w:t xml:space="preserve"> </w:t>
            </w:r>
            <w:r w:rsidR="003F0992" w:rsidRPr="003F0992">
              <w:rPr>
                <w:color w:val="000000" w:themeColor="text1"/>
              </w:rPr>
              <w:t xml:space="preserve">izmaksas viena pacienta ārstēšanai dienā, rēķinot pēc definētās </w:t>
            </w:r>
            <w:r w:rsidR="003F0992" w:rsidRPr="008F5368">
              <w:rPr>
                <w:color w:val="000000" w:themeColor="text1"/>
              </w:rPr>
              <w:t xml:space="preserve">diennakts </w:t>
            </w:r>
            <w:r w:rsidR="003F0992" w:rsidRPr="008F5368">
              <w:rPr>
                <w:color w:val="000000" w:themeColor="text1"/>
              </w:rPr>
              <w:lastRenderedPageBreak/>
              <w:t xml:space="preserve">devas, </w:t>
            </w:r>
            <w:r w:rsidR="008F5368" w:rsidRPr="008F5368">
              <w:t>vai, ja tāda nav pieejama, rēķinot pēc terapeitiskās diennakts devas, nepārsniedz attiecīgās grupas lētāko vai references zāļu izmaksas vairāk kā par 30 %</w:t>
            </w:r>
            <w:r w:rsidR="004835C0">
              <w:rPr>
                <w:color w:val="000000" w:themeColor="text1"/>
              </w:rPr>
              <w:t xml:space="preserve"> (Noteikumu projekta 1.</w:t>
            </w:r>
            <w:r w:rsidR="008F5368">
              <w:rPr>
                <w:color w:val="000000" w:themeColor="text1"/>
              </w:rPr>
              <w:t>5</w:t>
            </w:r>
            <w:r w:rsidR="004835C0">
              <w:rPr>
                <w:color w:val="000000" w:themeColor="text1"/>
              </w:rPr>
              <w:t>.apakšpunkts)</w:t>
            </w:r>
            <w:r w:rsidR="003F0992" w:rsidRPr="003F0992">
              <w:rPr>
                <w:color w:val="000000" w:themeColor="text1"/>
              </w:rPr>
              <w:t>.</w:t>
            </w:r>
          </w:p>
          <w:p w:rsidR="00552B84" w:rsidRPr="003562D7" w:rsidRDefault="00552B84" w:rsidP="00552B84">
            <w:pPr>
              <w:spacing w:after="120"/>
              <w:ind w:left="142" w:right="142"/>
              <w:jc w:val="both"/>
              <w:rPr>
                <w:color w:val="000000" w:themeColor="text1"/>
              </w:rPr>
            </w:pPr>
            <w:r>
              <w:rPr>
                <w:color w:val="000000" w:themeColor="text1"/>
              </w:rPr>
              <w:t>Paredzams, ka Noteikumu projekta</w:t>
            </w:r>
            <w:r w:rsidR="002C72BF">
              <w:rPr>
                <w:color w:val="000000" w:themeColor="text1"/>
              </w:rPr>
              <w:t xml:space="preserve"> 1.</w:t>
            </w:r>
            <w:r w:rsidR="005D4879">
              <w:rPr>
                <w:color w:val="000000" w:themeColor="text1"/>
              </w:rPr>
              <w:t>5</w:t>
            </w:r>
            <w:r w:rsidR="002C72BF">
              <w:rPr>
                <w:color w:val="000000" w:themeColor="text1"/>
              </w:rPr>
              <w:t>.,</w:t>
            </w:r>
            <w:r>
              <w:rPr>
                <w:color w:val="000000" w:themeColor="text1"/>
              </w:rPr>
              <w:t xml:space="preserve"> 1.6., 1.7.</w:t>
            </w:r>
            <w:r w:rsidR="005D4879">
              <w:rPr>
                <w:color w:val="000000" w:themeColor="text1"/>
              </w:rPr>
              <w:t xml:space="preserve"> un</w:t>
            </w:r>
            <w:r w:rsidR="006B08E5">
              <w:rPr>
                <w:color w:val="000000" w:themeColor="text1"/>
              </w:rPr>
              <w:t xml:space="preserve"> 1.8.</w:t>
            </w:r>
            <w:r>
              <w:rPr>
                <w:color w:val="000000" w:themeColor="text1"/>
              </w:rPr>
              <w:t xml:space="preserve"> un atspoguļotās normas veicinās  kompensējamo zāļu A sarakstā iekļauto zāļ</w:t>
            </w:r>
            <w:r w:rsidR="00252FCF">
              <w:rPr>
                <w:color w:val="000000" w:themeColor="text1"/>
              </w:rPr>
              <w:t xml:space="preserve">u cenu un pacientu </w:t>
            </w:r>
            <w:proofErr w:type="spellStart"/>
            <w:r w:rsidR="00252FCF">
              <w:rPr>
                <w:color w:val="000000" w:themeColor="text1"/>
              </w:rPr>
              <w:t>līdzmaksājuma</w:t>
            </w:r>
            <w:proofErr w:type="spellEnd"/>
            <w:r>
              <w:rPr>
                <w:color w:val="000000" w:themeColor="text1"/>
              </w:rPr>
              <w:t xml:space="preserve"> samazināšanos.</w:t>
            </w:r>
          </w:p>
          <w:p w:rsidR="0057566D" w:rsidRPr="00717144" w:rsidRDefault="008717D1" w:rsidP="0057566D">
            <w:pPr>
              <w:spacing w:after="120"/>
              <w:ind w:left="142" w:right="142"/>
              <w:jc w:val="both"/>
              <w:rPr>
                <w:color w:val="000000" w:themeColor="text1"/>
              </w:rPr>
            </w:pPr>
            <w:r>
              <w:rPr>
                <w:color w:val="000000" w:themeColor="text1"/>
              </w:rPr>
              <w:t xml:space="preserve">3. </w:t>
            </w:r>
            <w:r w:rsidR="0071213B">
              <w:rPr>
                <w:color w:val="000000" w:themeColor="text1"/>
              </w:rPr>
              <w:t>Lai veicinātu jaunu lētāku zāļu</w:t>
            </w:r>
            <w:r w:rsidR="00252FCF">
              <w:rPr>
                <w:color w:val="000000" w:themeColor="text1"/>
              </w:rPr>
              <w:t xml:space="preserve"> un medicīnisko ierīču</w:t>
            </w:r>
            <w:r w:rsidR="0071213B">
              <w:rPr>
                <w:color w:val="000000" w:themeColor="text1"/>
              </w:rPr>
              <w:t xml:space="preserve"> iekļaušanu kompensējamo zāļu sarakstā un pildītu Deklarācijā noteikto uzdevumu </w:t>
            </w:r>
            <w:r w:rsidR="0071213B" w:rsidRPr="004C3EDB">
              <w:rPr>
                <w:rFonts w:eastAsia="Calibri"/>
                <w:color w:val="000000"/>
                <w:lang w:bidi="gu-IN"/>
              </w:rPr>
              <w:t>efektīvāk izmanto</w:t>
            </w:r>
            <w:r w:rsidR="0071213B">
              <w:rPr>
                <w:rFonts w:eastAsia="Calibri"/>
                <w:color w:val="000000"/>
                <w:lang w:bidi="gu-IN"/>
              </w:rPr>
              <w:t>t</w:t>
            </w:r>
            <w:r w:rsidR="0071213B" w:rsidRPr="004C3EDB">
              <w:rPr>
                <w:rFonts w:eastAsia="Calibri"/>
                <w:color w:val="000000"/>
                <w:lang w:bidi="gu-IN"/>
              </w:rPr>
              <w:t xml:space="preserve"> veselības noz</w:t>
            </w:r>
            <w:r w:rsidR="0071213B">
              <w:rPr>
                <w:rFonts w:eastAsia="Calibri"/>
                <w:color w:val="000000"/>
                <w:lang w:bidi="gu-IN"/>
              </w:rPr>
              <w:t>arei jau piešķirto finansējumu</w:t>
            </w:r>
            <w:r w:rsidR="00252FCF">
              <w:rPr>
                <w:rFonts w:eastAsia="Calibri"/>
                <w:color w:val="000000"/>
                <w:lang w:bidi="gu-IN"/>
              </w:rPr>
              <w:t xml:space="preserve"> un paplašināt</w:t>
            </w:r>
            <w:r w:rsidR="00252FCF" w:rsidRPr="004C3EDB">
              <w:rPr>
                <w:rFonts w:eastAsia="Calibri"/>
                <w:color w:val="000000"/>
                <w:lang w:bidi="gu-IN"/>
              </w:rPr>
              <w:t xml:space="preserve"> nepieciešamo zāļu un medicīnas ierīču kompensēšanu</w:t>
            </w:r>
            <w:r w:rsidR="0071213B">
              <w:rPr>
                <w:rFonts w:eastAsia="Calibri"/>
                <w:color w:val="000000"/>
                <w:lang w:bidi="gu-IN"/>
              </w:rPr>
              <w:t>, ar Noteikumu projektu ir paredzēts turpmāk biežāk veikt kompensējamo zāļu saraksta aktualizēšanu, divu reižu vietā to veicot četras reizes gadā</w:t>
            </w:r>
            <w:r w:rsidR="00717144">
              <w:rPr>
                <w:rFonts w:eastAsia="Calibri"/>
                <w:color w:val="000000"/>
                <w:lang w:bidi="gu-IN"/>
              </w:rPr>
              <w:t xml:space="preserve"> (Noteikumu projekta 1.</w:t>
            </w:r>
            <w:r w:rsidR="005D4879">
              <w:rPr>
                <w:rFonts w:eastAsia="Calibri"/>
                <w:color w:val="000000"/>
                <w:lang w:bidi="gu-IN"/>
              </w:rPr>
              <w:t>7</w:t>
            </w:r>
            <w:r w:rsidR="00717144">
              <w:rPr>
                <w:rFonts w:eastAsia="Calibri"/>
                <w:color w:val="000000"/>
                <w:lang w:bidi="gu-IN"/>
              </w:rPr>
              <w:t>. un 1.1</w:t>
            </w:r>
            <w:r w:rsidR="0057566D">
              <w:rPr>
                <w:rFonts w:eastAsia="Calibri"/>
                <w:color w:val="000000"/>
                <w:lang w:bidi="gu-IN"/>
              </w:rPr>
              <w:t>0</w:t>
            </w:r>
            <w:r w:rsidR="00717144">
              <w:rPr>
                <w:rFonts w:eastAsia="Calibri"/>
                <w:color w:val="000000"/>
                <w:lang w:bidi="gu-IN"/>
              </w:rPr>
              <w:t xml:space="preserve">.apakšpunkts). </w:t>
            </w:r>
            <w:r w:rsidR="0057566D">
              <w:rPr>
                <w:color w:val="000000" w:themeColor="text1"/>
              </w:rPr>
              <w:t>Attiecīgi tiek precizēta arī norma par kompensācijas bāzes cenas samazināšanu un noteiktu laiku (Noteikumu projekta 1.3.apakšpunkts).</w:t>
            </w:r>
          </w:p>
          <w:p w:rsidR="006B08E5" w:rsidRDefault="00717144" w:rsidP="00717144">
            <w:pPr>
              <w:spacing w:after="120"/>
              <w:ind w:left="142" w:right="142"/>
              <w:jc w:val="both"/>
            </w:pPr>
            <w:r>
              <w:rPr>
                <w:rFonts w:eastAsia="Calibri"/>
                <w:color w:val="000000"/>
                <w:lang w:bidi="gu-IN"/>
              </w:rPr>
              <w:t xml:space="preserve">Vienlaikus, lai paātrinātu aptieku informētību par </w:t>
            </w:r>
            <w:r w:rsidRPr="00717144">
              <w:rPr>
                <w:rFonts w:eastAsia="Calibri"/>
                <w:color w:val="000000"/>
                <w:lang w:bidi="gu-IN"/>
              </w:rPr>
              <w:t xml:space="preserve">paredzamajām izmaiņām kompensējamo zāļu sarakstā, Noteikumu projektā ir iekļauta norma, kas paredz, </w:t>
            </w:r>
            <w:r w:rsidRPr="00717144">
              <w:rPr>
                <w:color w:val="000000" w:themeColor="text1"/>
              </w:rPr>
              <w:t xml:space="preserve">ka </w:t>
            </w:r>
            <w:r w:rsidRPr="00717144">
              <w:t>Nacionālais veselības dienests 15 dienas pirms aktualizētā kompensējamo zāļu saraksta spēkā stāšanās ievieto tīmekļa vietnē paredzamo kompensējamo zāļu sarakstu ar norādi par tā spēkā stāšanās datumu</w:t>
            </w:r>
            <w:r>
              <w:t xml:space="preserve"> (Noteikumu projekta 1.</w:t>
            </w:r>
            <w:r w:rsidR="0057566D">
              <w:t>9</w:t>
            </w:r>
            <w:r>
              <w:t>.apakšpunkts).</w:t>
            </w:r>
          </w:p>
          <w:p w:rsidR="00186686" w:rsidRPr="00186686" w:rsidRDefault="00F275F1" w:rsidP="00F87CCF">
            <w:pPr>
              <w:spacing w:after="120"/>
              <w:ind w:left="142" w:right="142"/>
              <w:jc w:val="both"/>
              <w:rPr>
                <w:color w:val="000000" w:themeColor="text1"/>
              </w:rPr>
            </w:pPr>
            <w:r>
              <w:rPr>
                <w:color w:val="000000" w:themeColor="text1"/>
              </w:rPr>
              <w:t xml:space="preserve">4. </w:t>
            </w:r>
            <w:r w:rsidR="00383B09">
              <w:rPr>
                <w:color w:val="000000" w:themeColor="text1"/>
              </w:rPr>
              <w:t xml:space="preserve">Lai uzlabotu infekcijas slimību ārstēšanu bērniem, kā arī mazinātu </w:t>
            </w:r>
            <w:proofErr w:type="spellStart"/>
            <w:r w:rsidR="00383B09">
              <w:rPr>
                <w:color w:val="000000" w:themeColor="text1"/>
              </w:rPr>
              <w:t>antimikrobiālo</w:t>
            </w:r>
            <w:proofErr w:type="spellEnd"/>
            <w:r w:rsidR="00383B09">
              <w:rPr>
                <w:color w:val="000000" w:themeColor="text1"/>
              </w:rPr>
              <w:t xml:space="preserve"> rezistenci, kas var rasties, pašārstēšanās ceļā ārstējot infekcijas slimības, ir nepieciešams uzlabot valsts apmaksātas terapijas pieejamību bērniem. </w:t>
            </w:r>
            <w:r w:rsidR="009E3B90">
              <w:rPr>
                <w:color w:val="000000" w:themeColor="text1"/>
              </w:rPr>
              <w:t xml:space="preserve">Līdz ar to </w:t>
            </w:r>
            <w:r w:rsidR="00186686" w:rsidRPr="00186686">
              <w:rPr>
                <w:rFonts w:eastAsia="Calibri"/>
                <w:color w:val="000000" w:themeColor="text1"/>
                <w:lang w:bidi="gu-IN"/>
              </w:rPr>
              <w:t>Noteikumu projekta</w:t>
            </w:r>
            <w:r w:rsidR="003819BB">
              <w:rPr>
                <w:rFonts w:eastAsia="Calibri"/>
                <w:color w:val="000000" w:themeColor="text1"/>
                <w:lang w:bidi="gu-IN"/>
              </w:rPr>
              <w:t xml:space="preserve"> 1.1.,</w:t>
            </w:r>
            <w:r w:rsidR="00186686" w:rsidRPr="00186686">
              <w:rPr>
                <w:rFonts w:eastAsia="Calibri"/>
                <w:color w:val="000000" w:themeColor="text1"/>
                <w:lang w:bidi="gu-IN"/>
              </w:rPr>
              <w:t xml:space="preserve"> 1.13.</w:t>
            </w:r>
            <w:r w:rsidR="009D5589">
              <w:rPr>
                <w:rFonts w:eastAsia="Calibri"/>
                <w:color w:val="000000" w:themeColor="text1"/>
                <w:lang w:bidi="gu-IN"/>
              </w:rPr>
              <w:t xml:space="preserve"> un 1.15.</w:t>
            </w:r>
            <w:r w:rsidR="00186686" w:rsidRPr="00186686">
              <w:rPr>
                <w:rFonts w:eastAsia="Calibri"/>
                <w:color w:val="000000" w:themeColor="text1"/>
                <w:lang w:bidi="gu-IN"/>
              </w:rPr>
              <w:t>apakšpunkts paredz diagnožu grupās ”</w:t>
            </w:r>
            <w:proofErr w:type="spellStart"/>
            <w:r w:rsidR="00186686" w:rsidRPr="00186686">
              <w:rPr>
                <w:rFonts w:eastAsia="Calibri"/>
                <w:color w:val="000000" w:themeColor="text1"/>
                <w:lang w:bidi="gu-IN"/>
              </w:rPr>
              <w:t>Konjuktivīts</w:t>
            </w:r>
            <w:proofErr w:type="spellEnd"/>
            <w:r w:rsidR="00186686" w:rsidRPr="00186686">
              <w:rPr>
                <w:rFonts w:eastAsia="Calibri"/>
                <w:color w:val="000000" w:themeColor="text1"/>
                <w:lang w:bidi="gu-IN"/>
              </w:rPr>
              <w:t>”, ”</w:t>
            </w:r>
            <w:r w:rsidR="00186686" w:rsidRPr="00186686">
              <w:rPr>
                <w:color w:val="000000" w:themeColor="text1"/>
              </w:rPr>
              <w:t>Nestrutojošs vidusauss iekaisums (</w:t>
            </w:r>
            <w:proofErr w:type="spellStart"/>
            <w:r w:rsidR="00186686" w:rsidRPr="00186686">
              <w:rPr>
                <w:i/>
                <w:iCs/>
                <w:color w:val="000000" w:themeColor="text1"/>
              </w:rPr>
              <w:t>otitis</w:t>
            </w:r>
            <w:proofErr w:type="spellEnd"/>
            <w:r w:rsidR="00186686" w:rsidRPr="00186686">
              <w:rPr>
                <w:i/>
                <w:iCs/>
                <w:color w:val="000000" w:themeColor="text1"/>
              </w:rPr>
              <w:t xml:space="preserve"> </w:t>
            </w:r>
            <w:proofErr w:type="spellStart"/>
            <w:r w:rsidR="00186686" w:rsidRPr="00186686">
              <w:rPr>
                <w:i/>
                <w:iCs/>
                <w:color w:val="000000" w:themeColor="text1"/>
              </w:rPr>
              <w:t>media</w:t>
            </w:r>
            <w:proofErr w:type="spellEnd"/>
            <w:r w:rsidR="00186686" w:rsidRPr="00186686">
              <w:rPr>
                <w:color w:val="000000" w:themeColor="text1"/>
              </w:rPr>
              <w:t>)</w:t>
            </w:r>
            <w:r w:rsidR="00186686">
              <w:rPr>
                <w:color w:val="000000" w:themeColor="text1"/>
              </w:rPr>
              <w:t>”, ”</w:t>
            </w:r>
            <w:r w:rsidR="00186686" w:rsidRPr="00186686">
              <w:rPr>
                <w:color w:val="000000" w:themeColor="text1"/>
              </w:rPr>
              <w:t xml:space="preserve">Akūts </w:t>
            </w:r>
            <w:proofErr w:type="spellStart"/>
            <w:r w:rsidR="00186686" w:rsidRPr="00186686">
              <w:rPr>
                <w:color w:val="000000" w:themeColor="text1"/>
              </w:rPr>
              <w:t>nazofaringīts</w:t>
            </w:r>
            <w:proofErr w:type="spellEnd"/>
            <w:r w:rsidR="00186686">
              <w:rPr>
                <w:color w:val="000000" w:themeColor="text1"/>
              </w:rPr>
              <w:t>”, ”</w:t>
            </w:r>
            <w:r w:rsidR="00186686" w:rsidRPr="00186686">
              <w:rPr>
                <w:color w:val="000000" w:themeColor="text1"/>
              </w:rPr>
              <w:t xml:space="preserve">Akūts </w:t>
            </w:r>
            <w:proofErr w:type="spellStart"/>
            <w:r w:rsidR="00186686" w:rsidRPr="00186686">
              <w:rPr>
                <w:color w:val="000000" w:themeColor="text1"/>
              </w:rPr>
              <w:t>faringīts</w:t>
            </w:r>
            <w:proofErr w:type="spellEnd"/>
            <w:r w:rsidR="00186686">
              <w:rPr>
                <w:color w:val="000000" w:themeColor="text1"/>
              </w:rPr>
              <w:t>”, ”</w:t>
            </w:r>
            <w:r w:rsidR="00186686" w:rsidRPr="00186686">
              <w:rPr>
                <w:color w:val="000000" w:themeColor="text1"/>
              </w:rPr>
              <w:t xml:space="preserve">Akūts laringīts un </w:t>
            </w:r>
            <w:proofErr w:type="spellStart"/>
            <w:r w:rsidR="00186686" w:rsidRPr="00186686">
              <w:rPr>
                <w:color w:val="000000" w:themeColor="text1"/>
              </w:rPr>
              <w:t>traheīts</w:t>
            </w:r>
            <w:proofErr w:type="spellEnd"/>
            <w:r w:rsidR="00186686">
              <w:rPr>
                <w:color w:val="000000" w:themeColor="text1"/>
              </w:rPr>
              <w:t>”, ”</w:t>
            </w:r>
            <w:r w:rsidR="00186686" w:rsidRPr="00186686">
              <w:rPr>
                <w:color w:val="000000" w:themeColor="text1"/>
              </w:rPr>
              <w:t>Augšējo elpceļu infekcija ar multiplu un neprecizētu lokalizāciju</w:t>
            </w:r>
            <w:r w:rsidR="00186686">
              <w:rPr>
                <w:color w:val="000000" w:themeColor="text1"/>
              </w:rPr>
              <w:t>”, ”</w:t>
            </w:r>
            <w:r w:rsidR="00186686" w:rsidRPr="00186686">
              <w:rPr>
                <w:color w:val="000000" w:themeColor="text1"/>
              </w:rPr>
              <w:t>Gripa, ja vīruss nav identificēts</w:t>
            </w:r>
            <w:r w:rsidR="00186686">
              <w:rPr>
                <w:color w:val="000000" w:themeColor="text1"/>
              </w:rPr>
              <w:t>”, ”</w:t>
            </w:r>
            <w:proofErr w:type="spellStart"/>
            <w:r w:rsidR="00186686" w:rsidRPr="00186686">
              <w:rPr>
                <w:i/>
                <w:iCs/>
                <w:color w:val="000000" w:themeColor="text1"/>
              </w:rPr>
              <w:t>Streptococcus</w:t>
            </w:r>
            <w:proofErr w:type="spellEnd"/>
            <w:r w:rsidR="00186686" w:rsidRPr="00186686">
              <w:rPr>
                <w:i/>
                <w:iCs/>
                <w:color w:val="000000" w:themeColor="text1"/>
              </w:rPr>
              <w:t xml:space="preserve"> </w:t>
            </w:r>
            <w:proofErr w:type="spellStart"/>
            <w:r w:rsidR="00186686" w:rsidRPr="00186686">
              <w:rPr>
                <w:i/>
                <w:iCs/>
                <w:color w:val="000000" w:themeColor="text1"/>
              </w:rPr>
              <w:t>pneumoniae</w:t>
            </w:r>
            <w:proofErr w:type="spellEnd"/>
            <w:r w:rsidR="00186686" w:rsidRPr="00186686">
              <w:rPr>
                <w:color w:val="000000" w:themeColor="text1"/>
              </w:rPr>
              <w:t xml:space="preserve"> ierosināta pneimonija</w:t>
            </w:r>
            <w:r w:rsidR="00186686">
              <w:rPr>
                <w:color w:val="000000" w:themeColor="text1"/>
              </w:rPr>
              <w:t>”, ”</w:t>
            </w:r>
            <w:r w:rsidR="00186686" w:rsidRPr="00186686">
              <w:rPr>
                <w:color w:val="000000" w:themeColor="text1"/>
              </w:rPr>
              <w:t>Citur neklasificēta bakteriāla pneimonija</w:t>
            </w:r>
            <w:r w:rsidR="00186686">
              <w:rPr>
                <w:color w:val="000000" w:themeColor="text1"/>
              </w:rPr>
              <w:t>”, ”</w:t>
            </w:r>
            <w:r w:rsidR="00186686" w:rsidRPr="00186686">
              <w:rPr>
                <w:color w:val="000000" w:themeColor="text1"/>
              </w:rPr>
              <w:t>Citu mikroorganismu ierosināta, citur neklasificēta pneimonija</w:t>
            </w:r>
            <w:r w:rsidR="002F11F7">
              <w:rPr>
                <w:color w:val="000000" w:themeColor="text1"/>
              </w:rPr>
              <w:t>”, ”</w:t>
            </w:r>
            <w:r w:rsidR="00186686" w:rsidRPr="00186686">
              <w:rPr>
                <w:color w:val="000000" w:themeColor="text1"/>
              </w:rPr>
              <w:t>Neprecizēta mikroorganisma ierosināta pneimonija</w:t>
            </w:r>
            <w:r w:rsidR="002F11F7">
              <w:rPr>
                <w:color w:val="000000" w:themeColor="text1"/>
              </w:rPr>
              <w:t>” un ”</w:t>
            </w:r>
            <w:r w:rsidR="00186686" w:rsidRPr="00186686">
              <w:rPr>
                <w:color w:val="000000" w:themeColor="text1"/>
              </w:rPr>
              <w:t>Akūts bronhīts</w:t>
            </w:r>
            <w:r w:rsidR="002F11F7">
              <w:rPr>
                <w:color w:val="000000" w:themeColor="text1"/>
              </w:rPr>
              <w:t>”</w:t>
            </w:r>
            <w:r w:rsidR="00F87CCF">
              <w:rPr>
                <w:color w:val="000000" w:themeColor="text1"/>
              </w:rPr>
              <w:t xml:space="preserve"> zāļu iegādes izdevumu kompensāciju nodrošināt līdz bērnu 18 gadu vecumam (pašreiz tā tiek nodrošināta līdz 3 gadu vecumam). Noteikumu</w:t>
            </w:r>
            <w:r w:rsidR="003819BB">
              <w:rPr>
                <w:color w:val="000000" w:themeColor="text1"/>
              </w:rPr>
              <w:t xml:space="preserve"> projekta 1.1.,</w:t>
            </w:r>
            <w:r w:rsidR="00F87CCF">
              <w:rPr>
                <w:color w:val="000000" w:themeColor="text1"/>
              </w:rPr>
              <w:t xml:space="preserve"> 1.13.</w:t>
            </w:r>
            <w:r w:rsidR="009D5589">
              <w:rPr>
                <w:color w:val="000000" w:themeColor="text1"/>
              </w:rPr>
              <w:t xml:space="preserve"> un 1.15.</w:t>
            </w:r>
            <w:r w:rsidR="00F87CCF">
              <w:rPr>
                <w:color w:val="000000" w:themeColor="text1"/>
              </w:rPr>
              <w:t>apakšpunkts risināt attiecīgu problēmu bērniem līdz 18 gadu vecumam pilnībā.</w:t>
            </w:r>
          </w:p>
          <w:p w:rsidR="00822C06" w:rsidRDefault="00E877D6" w:rsidP="002513B5">
            <w:pPr>
              <w:spacing w:after="120"/>
              <w:ind w:left="142" w:right="142"/>
              <w:jc w:val="both"/>
              <w:rPr>
                <w:color w:val="000000"/>
              </w:rPr>
            </w:pPr>
            <w:r w:rsidRPr="00186686">
              <w:rPr>
                <w:color w:val="000000" w:themeColor="text1"/>
              </w:rPr>
              <w:lastRenderedPageBreak/>
              <w:t xml:space="preserve">5. </w:t>
            </w:r>
            <w:r w:rsidR="00822C06" w:rsidRPr="00186686">
              <w:rPr>
                <w:color w:val="000000" w:themeColor="text1"/>
              </w:rPr>
              <w:t xml:space="preserve">2009.gada sākumā, veicot </w:t>
            </w:r>
            <w:r w:rsidR="00252FCF" w:rsidRPr="00186686">
              <w:rPr>
                <w:color w:val="000000" w:themeColor="text1"/>
              </w:rPr>
              <w:t xml:space="preserve">Noteikumu  Nr.899 </w:t>
            </w:r>
            <w:r w:rsidR="00822C06" w:rsidRPr="00186686">
              <w:rPr>
                <w:color w:val="000000" w:themeColor="text1"/>
              </w:rPr>
              <w:t>grozījumus sakarā ar</w:t>
            </w:r>
            <w:r w:rsidR="00822C06">
              <w:rPr>
                <w:color w:val="000000"/>
              </w:rPr>
              <w:t xml:space="preserve"> zāļu un medicīnisko ierīču piegādēm piemērojamās pievienotās vērtības nodokļa palielināšanu no 5% uz 10% un zāļu iegādes kompensācijas piešķirtā finansējuma </w:t>
            </w:r>
            <w:r w:rsidR="002513B5">
              <w:rPr>
                <w:color w:val="000000"/>
              </w:rPr>
              <w:t xml:space="preserve">ievērojamu </w:t>
            </w:r>
            <w:r w:rsidR="00822C06">
              <w:rPr>
                <w:color w:val="000000"/>
              </w:rPr>
              <w:t xml:space="preserve">samazinājumu, tika likvidēta 90% kompensācijas kategorija, samazinot attiecīgajām diagnozēm piemērojamo kompensāciju uz 75%, </w:t>
            </w:r>
            <w:r w:rsidR="002513B5">
              <w:rPr>
                <w:color w:val="000000"/>
              </w:rPr>
              <w:t>savukārt</w:t>
            </w:r>
            <w:r w:rsidR="00822C06">
              <w:rPr>
                <w:color w:val="000000"/>
              </w:rPr>
              <w:t xml:space="preserve"> </w:t>
            </w:r>
            <w:r w:rsidR="002513B5">
              <w:rPr>
                <w:color w:val="000000"/>
              </w:rPr>
              <w:t>diagnozēm, kurām pirms tam piemēroja</w:t>
            </w:r>
            <w:r w:rsidR="00822C06">
              <w:rPr>
                <w:color w:val="000000"/>
              </w:rPr>
              <w:t xml:space="preserve"> </w:t>
            </w:r>
            <w:r w:rsidR="002513B5">
              <w:rPr>
                <w:color w:val="000000"/>
              </w:rPr>
              <w:t xml:space="preserve">75% </w:t>
            </w:r>
            <w:r w:rsidR="00822C06">
              <w:rPr>
                <w:color w:val="000000"/>
              </w:rPr>
              <w:t>kompensāciju</w:t>
            </w:r>
            <w:r w:rsidR="002513B5">
              <w:rPr>
                <w:color w:val="000000"/>
              </w:rPr>
              <w:t>,</w:t>
            </w:r>
            <w:r w:rsidR="00822C06">
              <w:rPr>
                <w:color w:val="000000"/>
              </w:rPr>
              <w:t xml:space="preserve"> kompensācijas apmēr</w:t>
            </w:r>
            <w:r w:rsidR="00252FCF">
              <w:rPr>
                <w:color w:val="000000"/>
              </w:rPr>
              <w:t>u</w:t>
            </w:r>
            <w:r w:rsidR="00822C06">
              <w:rPr>
                <w:color w:val="000000"/>
              </w:rPr>
              <w:t xml:space="preserve"> samazin</w:t>
            </w:r>
            <w:r w:rsidR="00252FCF">
              <w:rPr>
                <w:color w:val="000000"/>
              </w:rPr>
              <w:t>ot</w:t>
            </w:r>
            <w:r w:rsidR="00822C06">
              <w:rPr>
                <w:color w:val="000000"/>
              </w:rPr>
              <w:t xml:space="preserve"> </w:t>
            </w:r>
            <w:r w:rsidR="00252FCF">
              <w:rPr>
                <w:color w:val="000000"/>
              </w:rPr>
              <w:t>līdz</w:t>
            </w:r>
            <w:r w:rsidR="00822C06">
              <w:rPr>
                <w:color w:val="000000"/>
              </w:rPr>
              <w:t xml:space="preserve"> 50%. Veiktās izmaiņas nodrošināja valsts budžeta līdzekļu izlietojuma samazinājumu, vienlaikus pasliktinot kompensējamo zāļu un medicīnisko ierīču pieejamību pacientiem, kam kompensācija samazinājās par 25% (no 75% uz 50%) un </w:t>
            </w:r>
            <w:r w:rsidR="00822C06" w:rsidRPr="00A91153">
              <w:rPr>
                <w:color w:val="000000"/>
              </w:rPr>
              <w:t>15% (no 90% uz 75%).</w:t>
            </w:r>
            <w:r w:rsidR="002513B5">
              <w:rPr>
                <w:color w:val="000000"/>
              </w:rPr>
              <w:t xml:space="preserve"> Ar 2010.gada 1.novembri saskaņā ar Ministru kabineta</w:t>
            </w:r>
            <w:r w:rsidR="0042781F">
              <w:rPr>
                <w:color w:val="000000"/>
              </w:rPr>
              <w:t xml:space="preserve"> 2010.gada</w:t>
            </w:r>
            <w:r w:rsidR="002513B5">
              <w:rPr>
                <w:color w:val="000000"/>
              </w:rPr>
              <w:t xml:space="preserve"> 26.okt</w:t>
            </w:r>
            <w:r w:rsidR="0042781F">
              <w:rPr>
                <w:color w:val="000000"/>
              </w:rPr>
              <w:t>o</w:t>
            </w:r>
            <w:r w:rsidR="002513B5">
              <w:rPr>
                <w:color w:val="000000"/>
              </w:rPr>
              <w:t>bra noteikumiem Nr.1007</w:t>
            </w:r>
            <w:r w:rsidR="0042781F">
              <w:rPr>
                <w:color w:val="000000"/>
              </w:rPr>
              <w:t xml:space="preserve"> ”Grozījumi Ministru kabineta 2006.gada 31.oktobra noteikumos Nr.899 ”Ambulatorajai ārstēšanai paredzēto zāļu un medicīnisko ierīču iegādes izdevumu kompensācijas kārtība”” tika atjaunota 75% kompensācija diagnožu grupai </w:t>
            </w:r>
            <w:r w:rsidR="001B40FF">
              <w:rPr>
                <w:color w:val="000000"/>
              </w:rPr>
              <w:t xml:space="preserve">”Asinsrites sistēmas slimības”, savukārt </w:t>
            </w:r>
            <w:r w:rsidR="00FE5FA2">
              <w:rPr>
                <w:color w:val="000000"/>
              </w:rPr>
              <w:t>ar 2011.gada 1.martu, atbilstoši Ministru kabineta 2011.gada 1.marta noteikumiem Nr.158 ”Grozījumi Ministru kabineta 2006.gada 31.oktobra noteikumos Nr.899 ”Ambulatorajai ārstēšanai paredzēto zāļu un medicīnisko ierīču iegādes izdevumu kompensācijas kārtība””</w:t>
            </w:r>
            <w:r w:rsidR="003E6F2A">
              <w:rPr>
                <w:color w:val="000000"/>
              </w:rPr>
              <w:t>,</w:t>
            </w:r>
            <w:r w:rsidR="00FE5FA2">
              <w:rPr>
                <w:color w:val="000000"/>
              </w:rPr>
              <w:t xml:space="preserve"> tika atjaunota 75% kompensācija diagnožu grupai ”</w:t>
            </w:r>
            <w:proofErr w:type="spellStart"/>
            <w:r w:rsidR="00FE5FA2">
              <w:rPr>
                <w:color w:val="000000"/>
              </w:rPr>
              <w:t>Vīrushepatīti</w:t>
            </w:r>
            <w:proofErr w:type="spellEnd"/>
            <w:r w:rsidR="00FE5FA2">
              <w:rPr>
                <w:color w:val="000000"/>
              </w:rPr>
              <w:t>”.</w:t>
            </w:r>
            <w:r w:rsidR="008D17B4">
              <w:rPr>
                <w:color w:val="000000"/>
              </w:rPr>
              <w:t xml:space="preserve"> Tomēr vairākām diagnožu grupām kompensācijas apmērs līdz šim nav atgriezts iepriekšējā līmeni, kas apgrūtina attiecīgo zāļu pieejamību pacientiem augsta </w:t>
            </w:r>
            <w:proofErr w:type="spellStart"/>
            <w:r w:rsidR="008D17B4">
              <w:rPr>
                <w:color w:val="000000"/>
              </w:rPr>
              <w:t>līdzmaksājuma</w:t>
            </w:r>
            <w:proofErr w:type="spellEnd"/>
            <w:r w:rsidR="008D17B4">
              <w:rPr>
                <w:color w:val="000000"/>
              </w:rPr>
              <w:t xml:space="preserve"> dēļ.</w:t>
            </w:r>
          </w:p>
          <w:p w:rsidR="005A1AFD" w:rsidRPr="001D2117" w:rsidRDefault="0087382D" w:rsidP="005F727E">
            <w:pPr>
              <w:spacing w:after="120"/>
              <w:ind w:left="142" w:right="142"/>
              <w:jc w:val="both"/>
              <w:rPr>
                <w:color w:val="000000" w:themeColor="text1"/>
              </w:rPr>
            </w:pPr>
            <w:r>
              <w:rPr>
                <w:color w:val="000000" w:themeColor="text1"/>
              </w:rPr>
              <w:t xml:space="preserve">Veselības ministrija, ņemot vērā zāļu iegādes izdevumu kompensācijas sistēmas ievērojamu lomu sabiedrības veselības nodrošināšanā, bija noteikusi tās attīstību kā vienu no prioritātēm Sabiedrības veselības pamatnostādnēs 2014.-2020.gadam, kas tika apstiprinātas ar </w:t>
            </w:r>
            <w:r w:rsidR="00C74823">
              <w:rPr>
                <w:color w:val="000000" w:themeColor="text1"/>
              </w:rPr>
              <w:t>Ministru kabineta 2014.gada 14.oktobra rīkojumu Nr.589 ”Par Sabiedrības veselības pamatnostādnēm 2014.-2020.gadam”</w:t>
            </w:r>
            <w:r w:rsidR="00EB049B">
              <w:rPr>
                <w:color w:val="000000" w:themeColor="text1"/>
              </w:rPr>
              <w:t xml:space="preserve"> (turpmāk – Pamatnostādnes). </w:t>
            </w:r>
            <w:r w:rsidR="002C067F">
              <w:rPr>
                <w:color w:val="000000" w:themeColor="text1"/>
              </w:rPr>
              <w:t xml:space="preserve">Kompensācijas kārtības ietvaros ir atzīmēta arī </w:t>
            </w:r>
            <w:r w:rsidR="00F10E4C" w:rsidRPr="002C067F">
              <w:rPr>
                <w:color w:val="000000"/>
              </w:rPr>
              <w:t>kompensācijas apmēra palielināšana Krona slimība</w:t>
            </w:r>
            <w:r w:rsidR="002C067F">
              <w:rPr>
                <w:color w:val="000000"/>
              </w:rPr>
              <w:t>s</w:t>
            </w:r>
            <w:r w:rsidR="00F10E4C" w:rsidRPr="002C067F">
              <w:rPr>
                <w:color w:val="000000"/>
              </w:rPr>
              <w:t xml:space="preserve"> un čūlain</w:t>
            </w:r>
            <w:r w:rsidR="002C067F">
              <w:rPr>
                <w:color w:val="000000"/>
              </w:rPr>
              <w:t>ā</w:t>
            </w:r>
            <w:r w:rsidR="00F10E4C" w:rsidRPr="002C067F">
              <w:rPr>
                <w:color w:val="000000"/>
              </w:rPr>
              <w:t xml:space="preserve"> kolīta (K50; K51)</w:t>
            </w:r>
            <w:r w:rsidR="002C067F">
              <w:rPr>
                <w:color w:val="000000"/>
              </w:rPr>
              <w:t xml:space="preserve"> pacientiem</w:t>
            </w:r>
            <w:r w:rsidR="00F10E4C" w:rsidRPr="002C067F">
              <w:rPr>
                <w:color w:val="000000"/>
              </w:rPr>
              <w:t>, t.sk.</w:t>
            </w:r>
            <w:r w:rsidR="002C067F">
              <w:rPr>
                <w:color w:val="000000"/>
              </w:rPr>
              <w:t>, terapija</w:t>
            </w:r>
            <w:r w:rsidR="004329B9">
              <w:rPr>
                <w:color w:val="000000"/>
              </w:rPr>
              <w:t>i</w:t>
            </w:r>
            <w:r w:rsidR="002C067F">
              <w:rPr>
                <w:color w:val="000000"/>
              </w:rPr>
              <w:t xml:space="preserve"> ar </w:t>
            </w:r>
            <w:r w:rsidR="00F10E4C" w:rsidRPr="002C067F">
              <w:rPr>
                <w:color w:val="000000"/>
              </w:rPr>
              <w:t>bioloģisk</w:t>
            </w:r>
            <w:r w:rsidR="002C067F">
              <w:rPr>
                <w:color w:val="000000"/>
              </w:rPr>
              <w:t xml:space="preserve">ās izcelsmes medikamentiem, kā arī </w:t>
            </w:r>
            <w:r w:rsidR="00F10E4C" w:rsidRPr="002C067F">
              <w:rPr>
                <w:color w:val="000000" w:themeColor="text1"/>
              </w:rPr>
              <w:t xml:space="preserve">kompensācijas apmēra palielināšana </w:t>
            </w:r>
            <w:proofErr w:type="spellStart"/>
            <w:r w:rsidR="00F10E4C" w:rsidRPr="002C067F">
              <w:rPr>
                <w:color w:val="000000" w:themeColor="text1"/>
              </w:rPr>
              <w:t>psoriāze</w:t>
            </w:r>
            <w:r w:rsidR="002C067F">
              <w:rPr>
                <w:color w:val="000000" w:themeColor="text1"/>
              </w:rPr>
              <w:t>s</w:t>
            </w:r>
            <w:proofErr w:type="spellEnd"/>
            <w:r w:rsidR="00F10E4C" w:rsidRPr="002C067F">
              <w:rPr>
                <w:color w:val="000000" w:themeColor="text1"/>
              </w:rPr>
              <w:t xml:space="preserve"> (L40)</w:t>
            </w:r>
            <w:r w:rsidR="002C067F">
              <w:rPr>
                <w:color w:val="000000" w:themeColor="text1"/>
              </w:rPr>
              <w:t xml:space="preserve"> pacientiem</w:t>
            </w:r>
            <w:r w:rsidR="00F10E4C" w:rsidRPr="002C067F">
              <w:rPr>
                <w:color w:val="000000" w:themeColor="text1"/>
              </w:rPr>
              <w:t>, t.sk.</w:t>
            </w:r>
            <w:r w:rsidR="002C067F">
              <w:rPr>
                <w:color w:val="000000" w:themeColor="text1"/>
              </w:rPr>
              <w:t xml:space="preserve">, </w:t>
            </w:r>
            <w:r w:rsidR="004329B9">
              <w:rPr>
                <w:color w:val="000000"/>
              </w:rPr>
              <w:t xml:space="preserve">terapijai ar </w:t>
            </w:r>
            <w:r w:rsidR="004329B9" w:rsidRPr="002C067F">
              <w:rPr>
                <w:color w:val="000000"/>
              </w:rPr>
              <w:t>bioloģisk</w:t>
            </w:r>
            <w:r w:rsidR="004329B9">
              <w:rPr>
                <w:color w:val="000000"/>
              </w:rPr>
              <w:t>ās izcelsmes medikamentiem</w:t>
            </w:r>
            <w:r w:rsidR="004329B9">
              <w:rPr>
                <w:color w:val="000000" w:themeColor="text1"/>
              </w:rPr>
              <w:t xml:space="preserve">. Diagnožu grupas K50, K51 un L40 ir smagas </w:t>
            </w:r>
            <w:proofErr w:type="spellStart"/>
            <w:r w:rsidR="004329B9">
              <w:rPr>
                <w:color w:val="000000" w:themeColor="text1"/>
              </w:rPr>
              <w:t>autoimūnās</w:t>
            </w:r>
            <w:proofErr w:type="spellEnd"/>
            <w:r w:rsidR="004329B9">
              <w:rPr>
                <w:color w:val="000000" w:themeColor="text1"/>
              </w:rPr>
              <w:t xml:space="preserve"> saslimšanas, kuru ārstēšanai būtu nepieciešama arī ārstēšana ar bioloģiskās izcelsmes medikamentiem, kur</w:t>
            </w:r>
            <w:r w:rsidR="008E0715">
              <w:rPr>
                <w:color w:val="000000" w:themeColor="text1"/>
              </w:rPr>
              <w:t>u pieejamība pacientiem</w:t>
            </w:r>
            <w:r w:rsidR="004329B9">
              <w:rPr>
                <w:color w:val="000000" w:themeColor="text1"/>
              </w:rPr>
              <w:t xml:space="preserve"> </w:t>
            </w:r>
            <w:r w:rsidR="008E0715">
              <w:rPr>
                <w:color w:val="000000" w:themeColor="text1"/>
              </w:rPr>
              <w:t xml:space="preserve">to </w:t>
            </w:r>
            <w:r w:rsidR="004329B9">
              <w:rPr>
                <w:color w:val="000000" w:themeColor="text1"/>
              </w:rPr>
              <w:t>augst</w:t>
            </w:r>
            <w:r w:rsidR="008E0715">
              <w:rPr>
                <w:color w:val="000000" w:themeColor="text1"/>
              </w:rPr>
              <w:t>u</w:t>
            </w:r>
            <w:r w:rsidR="004329B9">
              <w:rPr>
                <w:color w:val="000000" w:themeColor="text1"/>
              </w:rPr>
              <w:t xml:space="preserve"> cen</w:t>
            </w:r>
            <w:r w:rsidR="008E0715">
              <w:rPr>
                <w:color w:val="000000" w:themeColor="text1"/>
              </w:rPr>
              <w:t>u</w:t>
            </w:r>
            <w:r w:rsidR="004329B9">
              <w:rPr>
                <w:color w:val="000000" w:themeColor="text1"/>
              </w:rPr>
              <w:t xml:space="preserve"> dēļ ir </w:t>
            </w:r>
            <w:r w:rsidR="008E0715">
              <w:rPr>
                <w:color w:val="000000" w:themeColor="text1"/>
              </w:rPr>
              <w:t>apgrūtināta</w:t>
            </w:r>
            <w:r w:rsidR="004329B9">
              <w:rPr>
                <w:color w:val="000000" w:themeColor="text1"/>
              </w:rPr>
              <w:t>.</w:t>
            </w:r>
            <w:r w:rsidR="005F727E">
              <w:rPr>
                <w:color w:val="000000" w:themeColor="text1"/>
              </w:rPr>
              <w:t xml:space="preserve"> Noteikumu projekta 1.1</w:t>
            </w:r>
            <w:r w:rsidR="00F8213D">
              <w:rPr>
                <w:color w:val="000000" w:themeColor="text1"/>
              </w:rPr>
              <w:t>4</w:t>
            </w:r>
            <w:r w:rsidR="005F727E">
              <w:rPr>
                <w:color w:val="000000" w:themeColor="text1"/>
              </w:rPr>
              <w:t>.</w:t>
            </w:r>
            <w:r w:rsidR="000E5618">
              <w:rPr>
                <w:color w:val="000000" w:themeColor="text1"/>
              </w:rPr>
              <w:t xml:space="preserve"> un </w:t>
            </w:r>
            <w:r w:rsidR="000E5618">
              <w:rPr>
                <w:color w:val="000000" w:themeColor="text1"/>
              </w:rPr>
              <w:lastRenderedPageBreak/>
              <w:t>1.16.</w:t>
            </w:r>
            <w:r w:rsidR="005F727E">
              <w:rPr>
                <w:color w:val="000000" w:themeColor="text1"/>
              </w:rPr>
              <w:t>apakšpunkts</w:t>
            </w:r>
            <w:r w:rsidR="002F11F7">
              <w:rPr>
                <w:color w:val="000000" w:themeColor="text1"/>
              </w:rPr>
              <w:t xml:space="preserve">, pildot Deklarācijā noteikto uzdevumu </w:t>
            </w:r>
            <w:r w:rsidR="002F11F7" w:rsidRPr="004C3EDB">
              <w:rPr>
                <w:rFonts w:eastAsia="Calibri"/>
                <w:color w:val="000000"/>
                <w:lang w:bidi="gu-IN"/>
              </w:rPr>
              <w:t xml:space="preserve">samazināt pacientu </w:t>
            </w:r>
            <w:proofErr w:type="spellStart"/>
            <w:r w:rsidR="002F11F7" w:rsidRPr="00186686">
              <w:rPr>
                <w:rFonts w:eastAsia="Calibri"/>
                <w:color w:val="000000" w:themeColor="text1"/>
                <w:lang w:bidi="gu-IN"/>
              </w:rPr>
              <w:t>līdzmaksājumus</w:t>
            </w:r>
            <w:proofErr w:type="spellEnd"/>
            <w:r w:rsidR="002F11F7" w:rsidRPr="00186686">
              <w:rPr>
                <w:rFonts w:eastAsia="Calibri"/>
                <w:color w:val="000000" w:themeColor="text1"/>
                <w:lang w:bidi="gu-IN"/>
              </w:rPr>
              <w:t xml:space="preserve"> par zāļu un medicīnisko ierīču iegādi</w:t>
            </w:r>
            <w:r w:rsidR="002F11F7">
              <w:rPr>
                <w:rFonts w:eastAsia="Calibri"/>
                <w:color w:val="000000" w:themeColor="text1"/>
                <w:lang w:bidi="gu-IN"/>
              </w:rPr>
              <w:t>,</w:t>
            </w:r>
            <w:r w:rsidR="005F727E">
              <w:rPr>
                <w:color w:val="000000" w:themeColor="text1"/>
              </w:rPr>
              <w:t xml:space="preserve"> paredz </w:t>
            </w:r>
            <w:r w:rsidR="001D2117">
              <w:rPr>
                <w:color w:val="000000" w:themeColor="text1"/>
              </w:rPr>
              <w:t xml:space="preserve">ar 2015.gada 1.jūliju (Noteikumu projekta 1.12.apakšpunkts) </w:t>
            </w:r>
            <w:r w:rsidR="005F727E">
              <w:rPr>
                <w:color w:val="000000" w:themeColor="text1"/>
              </w:rPr>
              <w:t>paaugstināt kompensācijas apmēru diagnozei ”Krona (</w:t>
            </w:r>
            <w:proofErr w:type="spellStart"/>
            <w:r w:rsidR="005F727E" w:rsidRPr="005F727E">
              <w:rPr>
                <w:i/>
                <w:iCs/>
                <w:color w:val="000000" w:themeColor="text1"/>
              </w:rPr>
              <w:t>Crohn</w:t>
            </w:r>
            <w:proofErr w:type="spellEnd"/>
            <w:r w:rsidR="005F727E">
              <w:rPr>
                <w:color w:val="000000" w:themeColor="text1"/>
              </w:rPr>
              <w:t>) slimība (reģionāls enterīts)” (K50), ”Čūlainais (</w:t>
            </w:r>
            <w:proofErr w:type="spellStart"/>
            <w:r w:rsidR="005F727E">
              <w:rPr>
                <w:color w:val="000000" w:themeColor="text1"/>
              </w:rPr>
              <w:t>ulcerozs</w:t>
            </w:r>
            <w:proofErr w:type="spellEnd"/>
            <w:r w:rsidR="005F727E">
              <w:rPr>
                <w:color w:val="000000" w:themeColor="text1"/>
              </w:rPr>
              <w:t>) kolīts” (K51) un ”</w:t>
            </w:r>
            <w:proofErr w:type="spellStart"/>
            <w:r w:rsidR="005F727E">
              <w:rPr>
                <w:color w:val="000000" w:themeColor="text1"/>
              </w:rPr>
              <w:t>Zvīņēde</w:t>
            </w:r>
            <w:proofErr w:type="spellEnd"/>
            <w:r w:rsidR="005F727E">
              <w:rPr>
                <w:color w:val="000000" w:themeColor="text1"/>
              </w:rPr>
              <w:t xml:space="preserve"> (</w:t>
            </w:r>
            <w:proofErr w:type="spellStart"/>
            <w:r w:rsidR="005F727E" w:rsidRPr="005F727E">
              <w:rPr>
                <w:i/>
                <w:iCs/>
                <w:color w:val="000000" w:themeColor="text1"/>
              </w:rPr>
              <w:t>psoriasis</w:t>
            </w:r>
            <w:proofErr w:type="spellEnd"/>
            <w:r w:rsidR="005F727E">
              <w:rPr>
                <w:color w:val="000000" w:themeColor="text1"/>
              </w:rPr>
              <w:t xml:space="preserve">)” (L40), </w:t>
            </w:r>
            <w:r w:rsidR="000E5618">
              <w:rPr>
                <w:color w:val="000000" w:themeColor="text1"/>
              </w:rPr>
              <w:t xml:space="preserve">no 50% uz 75%, </w:t>
            </w:r>
            <w:r w:rsidR="005F727E">
              <w:rPr>
                <w:color w:val="000000" w:themeColor="text1"/>
              </w:rPr>
              <w:t xml:space="preserve">uzlabojot medikamentozās terapijas pieejamību </w:t>
            </w:r>
            <w:r w:rsidR="005F727E" w:rsidRPr="001D2117">
              <w:rPr>
                <w:color w:val="000000" w:themeColor="text1"/>
              </w:rPr>
              <w:t>pacientiem ar minētajām diagnozēm.</w:t>
            </w:r>
          </w:p>
          <w:p w:rsidR="008A402F" w:rsidRPr="00871F6C" w:rsidRDefault="005A1AFD" w:rsidP="001D2117">
            <w:pPr>
              <w:spacing w:after="120"/>
              <w:ind w:left="142" w:right="142"/>
              <w:jc w:val="both"/>
              <w:rPr>
                <w:color w:val="000000" w:themeColor="text1"/>
              </w:rPr>
            </w:pPr>
            <w:r w:rsidRPr="001D2117">
              <w:rPr>
                <w:color w:val="000000" w:themeColor="text1"/>
              </w:rPr>
              <w:t>Paredzams, ka Noteikumu projekts stā</w:t>
            </w:r>
            <w:r w:rsidR="003E6F2A" w:rsidRPr="001D2117">
              <w:rPr>
                <w:color w:val="000000" w:themeColor="text1"/>
              </w:rPr>
              <w:t>sies</w:t>
            </w:r>
            <w:r w:rsidR="003819BB" w:rsidRPr="001D2117">
              <w:rPr>
                <w:color w:val="000000" w:themeColor="text1"/>
              </w:rPr>
              <w:t xml:space="preserve"> spēkā 2015.gada 1.martā (Noteikumu projekta 2.punkts). Vienlaikus ir paredzams, ka </w:t>
            </w:r>
            <w:r w:rsidR="001D2117" w:rsidRPr="001D2117">
              <w:rPr>
                <w:color w:val="000000" w:themeColor="text1"/>
              </w:rPr>
              <w:t>z</w:t>
            </w:r>
            <w:r w:rsidR="001D2117" w:rsidRPr="001D2117">
              <w:t>ālēm, kuras iekļautas kompensējamo zāļu sarakstā līdz 2015.gada 1.martam, iesniedzējs iesniegumu par kompensācijas bāzes cenas samazināšanu, lai izpildītu šo noteikumu 32.</w:t>
            </w:r>
            <w:r w:rsidR="001D2117" w:rsidRPr="001D2117">
              <w:rPr>
                <w:vertAlign w:val="superscript"/>
              </w:rPr>
              <w:t xml:space="preserve">1 </w:t>
            </w:r>
            <w:r w:rsidR="001D2117" w:rsidRPr="001D2117">
              <w:t>punktā noteiktās prasības, ir tiesīgs iesniegt līdz 2015.gada 15.jūlijam (</w:t>
            </w:r>
            <w:r w:rsidR="001D2117" w:rsidRPr="001D2117">
              <w:rPr>
                <w:color w:val="000000" w:themeColor="text1"/>
              </w:rPr>
              <w:t>Noteikumu projekta 1.12.apakšpunkts), nodrošinot iesniedzējiem pārejas periodu normas ieviešanai.</w:t>
            </w:r>
            <w:r w:rsidR="00212E92" w:rsidRPr="00871F6C">
              <w:rPr>
                <w:vanish/>
                <w:color w:val="000000" w:themeColor="text1"/>
              </w:rPr>
              <w:t>5</w:t>
            </w:r>
            <w:r w:rsidR="002E7799" w:rsidRPr="00871F6C">
              <w:rPr>
                <w:vanish/>
                <w:color w:val="000000" w:themeColor="text1"/>
              </w:rPr>
              <w:t xml:space="preserve"> </w:t>
            </w:r>
          </w:p>
        </w:tc>
      </w:tr>
      <w:tr w:rsidR="00D07F03" w:rsidRPr="00871F6C" w:rsidTr="00153AA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621BF">
            <w:pPr>
              <w:spacing w:before="100" w:beforeAutospacing="1" w:after="100" w:afterAutospacing="1" w:line="360" w:lineRule="auto"/>
              <w:jc w:val="center"/>
              <w:rPr>
                <w:color w:val="000000" w:themeColor="text1"/>
              </w:rPr>
            </w:pPr>
            <w:r w:rsidRPr="00871F6C">
              <w:rPr>
                <w:color w:val="000000" w:themeColor="text1"/>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Projekta izstrādē iesaistītās institūcijas</w:t>
            </w:r>
          </w:p>
        </w:tc>
        <w:tc>
          <w:tcPr>
            <w:tcW w:w="3353" w:type="pct"/>
            <w:tcBorders>
              <w:top w:val="outset" w:sz="6" w:space="0" w:color="414142"/>
              <w:left w:val="outset" w:sz="6" w:space="0" w:color="414142"/>
              <w:bottom w:val="outset" w:sz="6" w:space="0" w:color="414142"/>
              <w:right w:val="outset" w:sz="6" w:space="0" w:color="414142"/>
            </w:tcBorders>
            <w:hideMark/>
          </w:tcPr>
          <w:p w:rsidR="00D07F03" w:rsidRPr="00871F6C" w:rsidRDefault="00BD175D" w:rsidP="00243343">
            <w:pPr>
              <w:ind w:left="115" w:right="140"/>
              <w:rPr>
                <w:color w:val="000000" w:themeColor="text1"/>
              </w:rPr>
            </w:pPr>
            <w:r w:rsidRPr="00871F6C">
              <w:rPr>
                <w:color w:val="000000" w:themeColor="text1"/>
              </w:rPr>
              <w:t>Nacionālais veselības dienests</w:t>
            </w:r>
          </w:p>
        </w:tc>
      </w:tr>
      <w:tr w:rsidR="00D07F03" w:rsidRPr="00871F6C" w:rsidTr="00153AA1">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621BF">
            <w:pPr>
              <w:spacing w:before="100" w:beforeAutospacing="1" w:after="100" w:afterAutospacing="1" w:line="360" w:lineRule="auto"/>
              <w:jc w:val="center"/>
              <w:rPr>
                <w:color w:val="000000" w:themeColor="text1"/>
              </w:rPr>
            </w:pPr>
            <w:r w:rsidRPr="00871F6C">
              <w:rPr>
                <w:color w:val="000000" w:themeColor="text1"/>
              </w:rPr>
              <w:t>4.</w:t>
            </w:r>
          </w:p>
        </w:tc>
        <w:tc>
          <w:tcPr>
            <w:tcW w:w="1397"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CC4E8E" w:rsidRPr="005A1AFD" w:rsidRDefault="00CD2CC5" w:rsidP="00383B09">
            <w:pPr>
              <w:spacing w:after="120"/>
              <w:ind w:left="142" w:right="142"/>
              <w:jc w:val="both"/>
              <w:rPr>
                <w:color w:val="000000" w:themeColor="text1"/>
              </w:rPr>
            </w:pPr>
            <w:r>
              <w:rPr>
                <w:color w:val="000000" w:themeColor="text1"/>
              </w:rPr>
              <w:t>Anotācijas III nodaļa netiek aizpildīta, ņemot vērā, ka k</w:t>
            </w:r>
            <w:r w:rsidR="005F727E">
              <w:rPr>
                <w:color w:val="000000" w:themeColor="text1"/>
              </w:rPr>
              <w:t>ompensācijas apmēra palielināšanu diagnožu grupai K50, K51 un L40</w:t>
            </w:r>
            <w:r w:rsidR="00F8213D">
              <w:rPr>
                <w:color w:val="000000" w:themeColor="text1"/>
              </w:rPr>
              <w:t>, kā arī bērnu, kuru ārstēšanai ir jālieto antibiotikas, kompensācijas grupas paplašināšanu</w:t>
            </w:r>
            <w:r w:rsidR="005F727E">
              <w:rPr>
                <w:color w:val="000000" w:themeColor="text1"/>
              </w:rPr>
              <w:t xml:space="preserve"> ir iespējams veikt ambulatorajai ārstēšanai paredzēto zāļu un medicīnisko ierīču iegādes izdevumu kompensācijai piešķirtā papildus valsts budžeta finansējuma 2015.gada ietvaros, līdz ar to kompensācijas apmēra palielināšana neizraisītu papildus ietekmi uz valsts budžetu.</w:t>
            </w:r>
            <w:r w:rsidR="005A1AFD">
              <w:rPr>
                <w:color w:val="000000" w:themeColor="text1"/>
              </w:rPr>
              <w:t xml:space="preserve"> Pārējā papildus piešķirtā finansējuma daļa tiks novirzīta izdevumu segšanai, ko izraisa pacientu skaita ikgadējais pieaugums esošās kompensācijas kārtības ietvaros (saskaņā ar Nacionālā veselības dienesta datiem ikgadējais pacientu pieaugums sastāda vidēji 4% gadā).</w:t>
            </w:r>
          </w:p>
        </w:tc>
      </w:tr>
    </w:tbl>
    <w:p w:rsidR="00243343" w:rsidRPr="00140B84" w:rsidRDefault="00243343" w:rsidP="00A51F1F">
      <w:pPr>
        <w:pStyle w:val="naisf"/>
        <w:spacing w:before="0" w:after="0"/>
        <w:rPr>
          <w:color w:val="000000" w:themeColor="text1"/>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549"/>
        <w:gridCol w:w="6125"/>
      </w:tblGrid>
      <w:tr w:rsidR="00D07F03" w:rsidRPr="00871F6C"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871F6C" w:rsidRDefault="00D07F03" w:rsidP="00871F6C">
            <w:pPr>
              <w:spacing w:before="120" w:after="120"/>
              <w:ind w:firstLine="301"/>
              <w:jc w:val="center"/>
              <w:rPr>
                <w:b/>
                <w:bCs/>
                <w:color w:val="000000" w:themeColor="text1"/>
              </w:rPr>
            </w:pPr>
            <w:r w:rsidRPr="00871F6C">
              <w:rPr>
                <w:b/>
                <w:bCs/>
                <w:color w:val="000000" w:themeColor="text1"/>
              </w:rPr>
              <w:t>II. Tiesību akta projekta ietekme uz sabiedrību, tautsaimniecības attīstību un administratīvo slogu</w:t>
            </w:r>
          </w:p>
        </w:tc>
      </w:tr>
      <w:tr w:rsidR="00D07F03" w:rsidRPr="00871F6C" w:rsidTr="00153AA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1.</w:t>
            </w:r>
          </w:p>
        </w:tc>
        <w:tc>
          <w:tcPr>
            <w:tcW w:w="1396"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Sabiedrības mērķgrupas, kuras tiesiskais regulējums ietekmē vai varētu ietekmēt</w:t>
            </w:r>
          </w:p>
        </w:tc>
        <w:tc>
          <w:tcPr>
            <w:tcW w:w="3353" w:type="pct"/>
            <w:tcBorders>
              <w:top w:val="outset" w:sz="6" w:space="0" w:color="414142"/>
              <w:left w:val="outset" w:sz="6" w:space="0" w:color="414142"/>
              <w:bottom w:val="outset" w:sz="6" w:space="0" w:color="414142"/>
              <w:right w:val="outset" w:sz="6" w:space="0" w:color="414142"/>
            </w:tcBorders>
            <w:hideMark/>
          </w:tcPr>
          <w:p w:rsidR="00CF5264" w:rsidRPr="00694E91" w:rsidRDefault="00CF5264" w:rsidP="00CF5264">
            <w:pPr>
              <w:spacing w:after="120"/>
              <w:ind w:left="115" w:right="140"/>
              <w:jc w:val="both"/>
              <w:rPr>
                <w:color w:val="000000" w:themeColor="text1"/>
              </w:rPr>
            </w:pPr>
            <w:r>
              <w:rPr>
                <w:color w:val="000000" w:themeColor="text1"/>
              </w:rPr>
              <w:t xml:space="preserve">1. </w:t>
            </w:r>
            <w:r w:rsidRPr="00694E91">
              <w:rPr>
                <w:color w:val="000000" w:themeColor="text1"/>
              </w:rPr>
              <w:t xml:space="preserve">Pacienti, kuri saņem </w:t>
            </w:r>
            <w:r w:rsidRPr="00694E91">
              <w:t xml:space="preserve">zāles un medicīniskās ierīces, kuru iegādes izdevumus atbilstoši </w:t>
            </w:r>
            <w:r>
              <w:t>N</w:t>
            </w:r>
            <w:r w:rsidRPr="00694E91">
              <w:t>oteikumiem</w:t>
            </w:r>
            <w:r>
              <w:t xml:space="preserve"> Nr.899</w:t>
            </w:r>
            <w:r w:rsidRPr="00694E91">
              <w:t xml:space="preserve"> daļēji vai pilnībā sedz no likumā par valsts budžetu kārtējam gadam zāļu iegādes izdevumu kompensācijai piešķirtajiem līdzekļiem</w:t>
            </w:r>
            <w:r>
              <w:t xml:space="preserve"> </w:t>
            </w:r>
            <w:r w:rsidRPr="00694E91">
              <w:rPr>
                <w:color w:val="000000" w:themeColor="text1"/>
              </w:rPr>
              <w:t>– 5</w:t>
            </w:r>
            <w:r w:rsidR="006A7F20">
              <w:rPr>
                <w:color w:val="000000" w:themeColor="text1"/>
              </w:rPr>
              <w:t>8</w:t>
            </w:r>
            <w:r w:rsidRPr="00694E91">
              <w:rPr>
                <w:color w:val="000000" w:themeColor="text1"/>
              </w:rPr>
              <w:t>0 000 pacient</w:t>
            </w:r>
            <w:r>
              <w:rPr>
                <w:color w:val="000000" w:themeColor="text1"/>
              </w:rPr>
              <w:t>u</w:t>
            </w:r>
            <w:r w:rsidRPr="00694E91">
              <w:rPr>
                <w:color w:val="000000" w:themeColor="text1"/>
              </w:rPr>
              <w:t xml:space="preserve">. </w:t>
            </w:r>
          </w:p>
          <w:p w:rsidR="00023D9D" w:rsidRPr="00E460A2" w:rsidRDefault="006A7F20" w:rsidP="00CF5264">
            <w:pPr>
              <w:spacing w:after="120"/>
              <w:ind w:left="115" w:right="140"/>
              <w:jc w:val="both"/>
              <w:rPr>
                <w:color w:val="000000" w:themeColor="text1"/>
              </w:rPr>
            </w:pPr>
            <w:r>
              <w:rPr>
                <w:color w:val="000000" w:themeColor="text1"/>
              </w:rPr>
              <w:t xml:space="preserve">Atsevišķi atzīmējami </w:t>
            </w:r>
            <w:r w:rsidR="00023D9D">
              <w:rPr>
                <w:color w:val="000000" w:themeColor="text1"/>
              </w:rPr>
              <w:t xml:space="preserve">to </w:t>
            </w:r>
            <w:r>
              <w:rPr>
                <w:color w:val="000000" w:themeColor="text1"/>
              </w:rPr>
              <w:t>diagno</w:t>
            </w:r>
            <w:r w:rsidR="00023D9D">
              <w:rPr>
                <w:color w:val="000000" w:themeColor="text1"/>
              </w:rPr>
              <w:t xml:space="preserve">žu pacienti, kuriem </w:t>
            </w:r>
            <w:r w:rsidR="00023D9D" w:rsidRPr="00E460A2">
              <w:rPr>
                <w:color w:val="000000" w:themeColor="text1"/>
              </w:rPr>
              <w:t xml:space="preserve">paredzēts </w:t>
            </w:r>
            <w:r w:rsidR="00023D9D" w:rsidRPr="00E460A2">
              <w:rPr>
                <w:color w:val="000000" w:themeColor="text1"/>
              </w:rPr>
              <w:lastRenderedPageBreak/>
              <w:t>ievērojami paaugstināt kompensācijas apmēru:</w:t>
            </w:r>
          </w:p>
          <w:p w:rsidR="00023D9D" w:rsidRPr="00E460A2" w:rsidRDefault="006A7F20" w:rsidP="00023D9D">
            <w:pPr>
              <w:pStyle w:val="ListParagraph"/>
              <w:numPr>
                <w:ilvl w:val="0"/>
                <w:numId w:val="47"/>
              </w:numPr>
              <w:spacing w:after="120"/>
              <w:ind w:left="399" w:right="140" w:hanging="284"/>
              <w:jc w:val="both"/>
              <w:rPr>
                <w:rFonts w:ascii="Times New Roman" w:hAnsi="Times New Roman"/>
                <w:color w:val="000000" w:themeColor="text1"/>
                <w:sz w:val="24"/>
                <w:szCs w:val="24"/>
                <w:lang w:val="lv-LV"/>
              </w:rPr>
            </w:pPr>
            <w:r w:rsidRPr="00E460A2">
              <w:rPr>
                <w:rFonts w:ascii="Times New Roman" w:hAnsi="Times New Roman"/>
                <w:color w:val="000000" w:themeColor="text1"/>
                <w:sz w:val="24"/>
                <w:szCs w:val="24"/>
                <w:lang w:val="lv-LV"/>
              </w:rPr>
              <w:t>”Krona (</w:t>
            </w:r>
            <w:proofErr w:type="spellStart"/>
            <w:r w:rsidRPr="00E460A2">
              <w:rPr>
                <w:rFonts w:ascii="Times New Roman" w:hAnsi="Times New Roman"/>
                <w:i/>
                <w:iCs/>
                <w:color w:val="000000" w:themeColor="text1"/>
                <w:sz w:val="24"/>
                <w:szCs w:val="24"/>
                <w:lang w:val="lv-LV"/>
              </w:rPr>
              <w:t>Crohn</w:t>
            </w:r>
            <w:proofErr w:type="spellEnd"/>
            <w:r w:rsidRPr="00E460A2">
              <w:rPr>
                <w:rFonts w:ascii="Times New Roman" w:hAnsi="Times New Roman"/>
                <w:color w:val="000000" w:themeColor="text1"/>
                <w:sz w:val="24"/>
                <w:szCs w:val="24"/>
                <w:lang w:val="lv-LV"/>
              </w:rPr>
              <w:t>) slimība (reģionāls enterīts)” (K50)</w:t>
            </w:r>
            <w:r w:rsidR="002D464F" w:rsidRPr="00E460A2">
              <w:rPr>
                <w:rFonts w:ascii="Times New Roman" w:hAnsi="Times New Roman"/>
                <w:color w:val="000000" w:themeColor="text1"/>
                <w:sz w:val="24"/>
                <w:szCs w:val="24"/>
                <w:lang w:val="lv-LV"/>
              </w:rPr>
              <w:t xml:space="preserve"> (2013.gadā ārstēti </w:t>
            </w:r>
            <w:r w:rsidR="00882209" w:rsidRPr="00E460A2">
              <w:rPr>
                <w:rFonts w:ascii="Times New Roman" w:hAnsi="Times New Roman"/>
                <w:color w:val="000000" w:themeColor="text1"/>
                <w:sz w:val="24"/>
                <w:szCs w:val="24"/>
                <w:lang w:val="lv-LV"/>
              </w:rPr>
              <w:t>365 pacienti)</w:t>
            </w:r>
            <w:r w:rsidR="00E460A2">
              <w:rPr>
                <w:rFonts w:ascii="Times New Roman" w:hAnsi="Times New Roman"/>
                <w:color w:val="000000" w:themeColor="text1"/>
                <w:sz w:val="24"/>
                <w:szCs w:val="24"/>
                <w:lang w:val="lv-LV"/>
              </w:rPr>
              <w:t>;</w:t>
            </w:r>
          </w:p>
          <w:p w:rsidR="00023D9D" w:rsidRPr="00E460A2" w:rsidRDefault="006A7F20" w:rsidP="00023D9D">
            <w:pPr>
              <w:pStyle w:val="ListParagraph"/>
              <w:numPr>
                <w:ilvl w:val="0"/>
                <w:numId w:val="47"/>
              </w:numPr>
              <w:spacing w:after="120"/>
              <w:ind w:left="399" w:right="140" w:hanging="284"/>
              <w:jc w:val="both"/>
              <w:rPr>
                <w:rFonts w:ascii="Times New Roman" w:hAnsi="Times New Roman"/>
                <w:color w:val="000000" w:themeColor="text1"/>
                <w:sz w:val="24"/>
                <w:szCs w:val="24"/>
                <w:lang w:val="lv-LV"/>
              </w:rPr>
            </w:pPr>
            <w:r w:rsidRPr="00E460A2">
              <w:rPr>
                <w:rFonts w:ascii="Times New Roman" w:hAnsi="Times New Roman"/>
                <w:color w:val="000000" w:themeColor="text1"/>
                <w:sz w:val="24"/>
                <w:szCs w:val="24"/>
                <w:lang w:val="lv-LV"/>
              </w:rPr>
              <w:t>”Čūlainais (</w:t>
            </w:r>
            <w:proofErr w:type="spellStart"/>
            <w:r w:rsidRPr="00E460A2">
              <w:rPr>
                <w:rFonts w:ascii="Times New Roman" w:hAnsi="Times New Roman"/>
                <w:color w:val="000000" w:themeColor="text1"/>
                <w:sz w:val="24"/>
                <w:szCs w:val="24"/>
                <w:lang w:val="lv-LV"/>
              </w:rPr>
              <w:t>ulcerozs</w:t>
            </w:r>
            <w:proofErr w:type="spellEnd"/>
            <w:r w:rsidRPr="00E460A2">
              <w:rPr>
                <w:rFonts w:ascii="Times New Roman" w:hAnsi="Times New Roman"/>
                <w:color w:val="000000" w:themeColor="text1"/>
                <w:sz w:val="24"/>
                <w:szCs w:val="24"/>
                <w:lang w:val="lv-LV"/>
              </w:rPr>
              <w:t>) kolīts” (K51)</w:t>
            </w:r>
            <w:r w:rsidR="00882209" w:rsidRPr="00E460A2">
              <w:rPr>
                <w:rFonts w:ascii="Times New Roman" w:hAnsi="Times New Roman"/>
                <w:color w:val="000000" w:themeColor="text1"/>
                <w:sz w:val="24"/>
                <w:szCs w:val="24"/>
                <w:lang w:val="lv-LV"/>
              </w:rPr>
              <w:t xml:space="preserve">  (2013.gadā ārstēti 1347 pacienti)</w:t>
            </w:r>
            <w:r w:rsidR="00E460A2">
              <w:rPr>
                <w:rFonts w:ascii="Times New Roman" w:hAnsi="Times New Roman"/>
                <w:color w:val="000000" w:themeColor="text1"/>
                <w:sz w:val="24"/>
                <w:szCs w:val="24"/>
                <w:lang w:val="lv-LV"/>
              </w:rPr>
              <w:t>;</w:t>
            </w:r>
          </w:p>
          <w:p w:rsidR="006A7F20" w:rsidRDefault="006A7F20" w:rsidP="00023D9D">
            <w:pPr>
              <w:pStyle w:val="ListParagraph"/>
              <w:numPr>
                <w:ilvl w:val="0"/>
                <w:numId w:val="47"/>
              </w:numPr>
              <w:spacing w:after="120"/>
              <w:ind w:left="399" w:right="140" w:hanging="284"/>
              <w:jc w:val="both"/>
              <w:rPr>
                <w:rFonts w:ascii="Times New Roman" w:hAnsi="Times New Roman"/>
                <w:color w:val="000000" w:themeColor="text1"/>
                <w:sz w:val="24"/>
                <w:szCs w:val="24"/>
                <w:lang w:val="lv-LV"/>
              </w:rPr>
            </w:pPr>
            <w:r w:rsidRPr="00E460A2">
              <w:rPr>
                <w:rFonts w:ascii="Times New Roman" w:hAnsi="Times New Roman"/>
                <w:color w:val="000000" w:themeColor="text1"/>
                <w:sz w:val="24"/>
                <w:szCs w:val="24"/>
                <w:lang w:val="lv-LV"/>
              </w:rPr>
              <w:t>”</w:t>
            </w:r>
            <w:proofErr w:type="spellStart"/>
            <w:r w:rsidRPr="00E460A2">
              <w:rPr>
                <w:rFonts w:ascii="Times New Roman" w:hAnsi="Times New Roman"/>
                <w:color w:val="000000" w:themeColor="text1"/>
                <w:sz w:val="24"/>
                <w:szCs w:val="24"/>
                <w:lang w:val="lv-LV"/>
              </w:rPr>
              <w:t>Zvīņēde</w:t>
            </w:r>
            <w:proofErr w:type="spellEnd"/>
            <w:r w:rsidRPr="00E460A2">
              <w:rPr>
                <w:rFonts w:ascii="Times New Roman" w:hAnsi="Times New Roman"/>
                <w:color w:val="000000" w:themeColor="text1"/>
                <w:sz w:val="24"/>
                <w:szCs w:val="24"/>
                <w:lang w:val="lv-LV"/>
              </w:rPr>
              <w:t xml:space="preserve"> (</w:t>
            </w:r>
            <w:proofErr w:type="spellStart"/>
            <w:r w:rsidRPr="00E460A2">
              <w:rPr>
                <w:rFonts w:ascii="Times New Roman" w:hAnsi="Times New Roman"/>
                <w:i/>
                <w:iCs/>
                <w:color w:val="000000" w:themeColor="text1"/>
                <w:sz w:val="24"/>
                <w:szCs w:val="24"/>
                <w:lang w:val="lv-LV"/>
              </w:rPr>
              <w:t>psoriasis</w:t>
            </w:r>
            <w:proofErr w:type="spellEnd"/>
            <w:r w:rsidRPr="00E460A2">
              <w:rPr>
                <w:rFonts w:ascii="Times New Roman" w:hAnsi="Times New Roman"/>
                <w:color w:val="000000" w:themeColor="text1"/>
                <w:sz w:val="24"/>
                <w:szCs w:val="24"/>
                <w:lang w:val="lv-LV"/>
              </w:rPr>
              <w:t xml:space="preserve">)” (L40) </w:t>
            </w:r>
            <w:r w:rsidR="00882209" w:rsidRPr="00E460A2">
              <w:rPr>
                <w:rFonts w:ascii="Times New Roman" w:hAnsi="Times New Roman"/>
                <w:color w:val="000000" w:themeColor="text1"/>
                <w:sz w:val="24"/>
                <w:szCs w:val="24"/>
                <w:lang w:val="lv-LV"/>
              </w:rPr>
              <w:t xml:space="preserve"> (2013.gadā ārstēti 8152 pacienti)</w:t>
            </w:r>
            <w:r w:rsidR="00E460A2">
              <w:rPr>
                <w:rFonts w:ascii="Times New Roman" w:hAnsi="Times New Roman"/>
                <w:color w:val="000000" w:themeColor="text1"/>
                <w:sz w:val="24"/>
                <w:szCs w:val="24"/>
                <w:lang w:val="lv-LV"/>
              </w:rPr>
              <w:t>.</w:t>
            </w:r>
          </w:p>
          <w:p w:rsidR="00E877D6" w:rsidRPr="00E877D6" w:rsidRDefault="00E877D6" w:rsidP="00E877D6">
            <w:pPr>
              <w:spacing w:after="120"/>
              <w:ind w:left="115" w:right="140"/>
              <w:jc w:val="both"/>
              <w:rPr>
                <w:color w:val="000000" w:themeColor="text1"/>
              </w:rPr>
            </w:pPr>
            <w:r>
              <w:rPr>
                <w:color w:val="000000" w:themeColor="text1"/>
              </w:rPr>
              <w:t xml:space="preserve">Bērnu skaits, kuri </w:t>
            </w:r>
            <w:r w:rsidR="00383B09">
              <w:rPr>
                <w:color w:val="000000" w:themeColor="text1"/>
              </w:rPr>
              <w:t xml:space="preserve">izmantotu </w:t>
            </w:r>
            <w:r>
              <w:rPr>
                <w:color w:val="000000" w:themeColor="text1"/>
              </w:rPr>
              <w:t>infekcijas slimību ārstēšanai paredzēto zāļu iegādes izdevumu kompensācij</w:t>
            </w:r>
            <w:r w:rsidR="00B958DC">
              <w:rPr>
                <w:color w:val="000000" w:themeColor="text1"/>
              </w:rPr>
              <w:t>u, pašreiz nav precīzi paredzams</w:t>
            </w:r>
            <w:r>
              <w:rPr>
                <w:color w:val="000000" w:themeColor="text1"/>
              </w:rPr>
              <w:t>.</w:t>
            </w:r>
          </w:p>
          <w:p w:rsidR="00137A0D" w:rsidRPr="00D85641" w:rsidRDefault="00023D9D" w:rsidP="00D85641">
            <w:pPr>
              <w:spacing w:after="120"/>
              <w:ind w:left="115" w:right="140"/>
              <w:jc w:val="both"/>
            </w:pPr>
            <w:r>
              <w:rPr>
                <w:color w:val="000000" w:themeColor="text1"/>
              </w:rPr>
              <w:t>2</w:t>
            </w:r>
            <w:r w:rsidR="006A7F20">
              <w:rPr>
                <w:color w:val="000000" w:themeColor="text1"/>
              </w:rPr>
              <w:t xml:space="preserve">. </w:t>
            </w:r>
            <w:r w:rsidR="00CF5264">
              <w:rPr>
                <w:color w:val="000000" w:themeColor="text1"/>
              </w:rPr>
              <w:t>I</w:t>
            </w:r>
            <w:r w:rsidR="00CF5264" w:rsidRPr="000D44EC">
              <w:rPr>
                <w:color w:val="000000" w:themeColor="text1"/>
              </w:rPr>
              <w:t xml:space="preserve">esniedzēji (iesniedzējs </w:t>
            </w:r>
            <w:r w:rsidR="00CF5264">
              <w:rPr>
                <w:color w:val="000000" w:themeColor="text1"/>
              </w:rPr>
              <w:t>–</w:t>
            </w:r>
            <w:r w:rsidR="00CF5264" w:rsidRPr="000D44EC">
              <w:rPr>
                <w:color w:val="000000" w:themeColor="text1"/>
              </w:rPr>
              <w:t xml:space="preserve"> </w:t>
            </w:r>
            <w:r w:rsidR="00CF5264" w:rsidRPr="000D44EC">
              <w:t>zāļu vai medicīnisko ierīču reģistrācijas apliecības turētājs (īpašnieks) vai viņa pilnvarots pārstāvis vai zāļu vai medicīnisko ierīču vairumtirgotājs vai viņ</w:t>
            </w:r>
            <w:r w:rsidR="00CF5264">
              <w:t>a pilnvarots pārstāvis) – 80 iesniedzēji, kuru pārstāvētās zāles vai medicīniskās ierīces ir iekļautas kompensējamo zāļu sarakstā.</w:t>
            </w:r>
          </w:p>
        </w:tc>
      </w:tr>
      <w:tr w:rsidR="00D07F03" w:rsidRPr="00871F6C" w:rsidTr="00153AA1">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lastRenderedPageBreak/>
              <w:t>2.</w:t>
            </w:r>
          </w:p>
        </w:tc>
        <w:tc>
          <w:tcPr>
            <w:tcW w:w="1396"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Tiesiskā regulējuma ietekme uz tautsaimniecību un administratīvo slogu</w:t>
            </w:r>
          </w:p>
        </w:tc>
        <w:tc>
          <w:tcPr>
            <w:tcW w:w="3353" w:type="pct"/>
            <w:tcBorders>
              <w:top w:val="outset" w:sz="6" w:space="0" w:color="414142"/>
              <w:left w:val="outset" w:sz="6" w:space="0" w:color="414142"/>
              <w:bottom w:val="outset" w:sz="6" w:space="0" w:color="414142"/>
              <w:right w:val="outset" w:sz="6" w:space="0" w:color="414142"/>
            </w:tcBorders>
            <w:hideMark/>
          </w:tcPr>
          <w:p w:rsidR="00D07F03" w:rsidRPr="00871F6C" w:rsidRDefault="00BC38C0" w:rsidP="00BC38C0">
            <w:pPr>
              <w:ind w:left="115" w:right="140"/>
              <w:jc w:val="both"/>
              <w:rPr>
                <w:color w:val="000000" w:themeColor="text1"/>
              </w:rPr>
            </w:pPr>
            <w:r>
              <w:rPr>
                <w:color w:val="000000" w:themeColor="text1"/>
              </w:rPr>
              <w:t xml:space="preserve">Tiks samazināts administratīvais slogs </w:t>
            </w:r>
            <w:r w:rsidRPr="008A6D62">
              <w:rPr>
                <w:color w:val="000000" w:themeColor="text1"/>
              </w:rPr>
              <w:t>B sarakstā iekļauto zāļu paralēla</w:t>
            </w:r>
            <w:r>
              <w:rPr>
                <w:color w:val="000000" w:themeColor="text1"/>
              </w:rPr>
              <w:t>jiem</w:t>
            </w:r>
            <w:r w:rsidRPr="008A6D62">
              <w:rPr>
                <w:color w:val="000000" w:themeColor="text1"/>
              </w:rPr>
              <w:t xml:space="preserve"> izplatītāj</w:t>
            </w:r>
            <w:r>
              <w:rPr>
                <w:color w:val="000000" w:themeColor="text1"/>
              </w:rPr>
              <w:t>iem</w:t>
            </w:r>
            <w:r w:rsidRPr="008A6D62">
              <w:rPr>
                <w:color w:val="000000" w:themeColor="text1"/>
              </w:rPr>
              <w:t xml:space="preserve"> </w:t>
            </w:r>
            <w:r>
              <w:rPr>
                <w:color w:val="000000" w:themeColor="text1"/>
              </w:rPr>
              <w:t>un</w:t>
            </w:r>
            <w:r w:rsidRPr="008A6D62">
              <w:rPr>
                <w:color w:val="000000" w:themeColor="text1"/>
              </w:rPr>
              <w:t xml:space="preserve"> paralēla</w:t>
            </w:r>
            <w:r>
              <w:rPr>
                <w:color w:val="000000" w:themeColor="text1"/>
              </w:rPr>
              <w:t>jiem</w:t>
            </w:r>
            <w:r w:rsidRPr="008A6D62">
              <w:rPr>
                <w:color w:val="000000" w:themeColor="text1"/>
              </w:rPr>
              <w:t xml:space="preserve"> importētāj</w:t>
            </w:r>
            <w:r>
              <w:rPr>
                <w:color w:val="000000" w:themeColor="text1"/>
              </w:rPr>
              <w:t xml:space="preserve">iem, jo tie turpmāk </w:t>
            </w:r>
            <w:r w:rsidRPr="008A6D62">
              <w:rPr>
                <w:color w:val="000000" w:themeColor="text1"/>
              </w:rPr>
              <w:t>neiesnie</w:t>
            </w:r>
            <w:r>
              <w:rPr>
                <w:color w:val="000000" w:themeColor="text1"/>
              </w:rPr>
              <w:t>gs</w:t>
            </w:r>
            <w:r w:rsidRPr="008A6D62">
              <w:rPr>
                <w:color w:val="000000" w:themeColor="text1"/>
              </w:rPr>
              <w:t xml:space="preserve"> Nacionālajā veselības dienestā iesniegumu par paralēli izplatīto vai paralēli importēto zāļu iekļaušanu kompensējamo zāļu sarakstā, bet iesnie</w:t>
            </w:r>
            <w:r>
              <w:rPr>
                <w:color w:val="000000" w:themeColor="text1"/>
              </w:rPr>
              <w:t>gs</w:t>
            </w:r>
            <w:r w:rsidRPr="008A6D62">
              <w:rPr>
                <w:color w:val="000000" w:themeColor="text1"/>
              </w:rPr>
              <w:t xml:space="preserve"> </w:t>
            </w:r>
            <w:r>
              <w:rPr>
                <w:color w:val="000000" w:themeColor="text1"/>
              </w:rPr>
              <w:t xml:space="preserve">informāciju par </w:t>
            </w:r>
            <w:r w:rsidRPr="008A6D62">
              <w:rPr>
                <w:color w:val="000000" w:themeColor="text1"/>
              </w:rPr>
              <w:t>konkrēto zāļu izplatīšana</w:t>
            </w:r>
            <w:r>
              <w:rPr>
                <w:color w:val="000000" w:themeColor="text1"/>
              </w:rPr>
              <w:t>s uzsākšanu</w:t>
            </w:r>
            <w:r w:rsidRPr="008A6D62">
              <w:rPr>
                <w:color w:val="000000" w:themeColor="text1"/>
              </w:rPr>
              <w:t xml:space="preserve"> kompensācijas kārtības ietvaros</w:t>
            </w:r>
            <w:r>
              <w:rPr>
                <w:color w:val="000000" w:themeColor="text1"/>
              </w:rPr>
              <w:t>.</w:t>
            </w:r>
          </w:p>
        </w:tc>
      </w:tr>
      <w:tr w:rsidR="00D07F03" w:rsidRPr="00871F6C" w:rsidTr="00153AA1">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3.</w:t>
            </w:r>
          </w:p>
        </w:tc>
        <w:tc>
          <w:tcPr>
            <w:tcW w:w="1396"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Administratīvo izmaksu monetārs novērtējums</w:t>
            </w:r>
          </w:p>
        </w:tc>
        <w:tc>
          <w:tcPr>
            <w:tcW w:w="3353" w:type="pct"/>
            <w:tcBorders>
              <w:top w:val="outset" w:sz="6" w:space="0" w:color="414142"/>
              <w:left w:val="outset" w:sz="6" w:space="0" w:color="414142"/>
              <w:bottom w:val="outset" w:sz="6" w:space="0" w:color="414142"/>
              <w:right w:val="outset" w:sz="6" w:space="0" w:color="414142"/>
            </w:tcBorders>
            <w:hideMark/>
          </w:tcPr>
          <w:p w:rsidR="00D07F03" w:rsidRPr="00871F6C" w:rsidRDefault="00140B84" w:rsidP="00140B84">
            <w:pPr>
              <w:ind w:left="115" w:right="140"/>
              <w:jc w:val="both"/>
              <w:rPr>
                <w:color w:val="000000" w:themeColor="text1"/>
              </w:rPr>
            </w:pPr>
            <w:r>
              <w:rPr>
                <w:color w:val="000000" w:themeColor="text1"/>
              </w:rPr>
              <w:t>Noteikumu p</w:t>
            </w:r>
            <w:r w:rsidR="00303E46" w:rsidRPr="00871F6C">
              <w:rPr>
                <w:color w:val="000000" w:themeColor="text1"/>
              </w:rPr>
              <w:t>rojekts šo jomu neskar.</w:t>
            </w:r>
          </w:p>
        </w:tc>
      </w:tr>
      <w:tr w:rsidR="00D07F03" w:rsidRPr="00871F6C" w:rsidTr="00153AA1">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4.</w:t>
            </w:r>
          </w:p>
        </w:tc>
        <w:tc>
          <w:tcPr>
            <w:tcW w:w="1396"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D07F03" w:rsidRPr="00871F6C" w:rsidRDefault="00303E46" w:rsidP="00871F6C">
            <w:pPr>
              <w:spacing w:before="100" w:beforeAutospacing="1" w:after="100" w:afterAutospacing="1" w:line="360" w:lineRule="auto"/>
              <w:ind w:left="115" w:right="140"/>
              <w:jc w:val="both"/>
              <w:rPr>
                <w:color w:val="000000" w:themeColor="text1"/>
              </w:rPr>
            </w:pPr>
            <w:r w:rsidRPr="00871F6C">
              <w:rPr>
                <w:color w:val="000000" w:themeColor="text1"/>
              </w:rPr>
              <w:t>Nav</w:t>
            </w:r>
          </w:p>
        </w:tc>
      </w:tr>
    </w:tbl>
    <w:p w:rsidR="001E57E9" w:rsidRDefault="001E57E9" w:rsidP="001E57E9">
      <w:pPr>
        <w:rPr>
          <w:rFonts w:ascii="Arial" w:hAnsi="Arial" w:cs="Arial"/>
          <w:color w:val="414142"/>
          <w:sz w:val="16"/>
          <w:szCs w:val="16"/>
          <w:lang w:bidi="gu-IN"/>
        </w:rPr>
      </w:pPr>
    </w:p>
    <w:p w:rsidR="00D17394" w:rsidRDefault="00D17394" w:rsidP="001E57E9">
      <w:pPr>
        <w:rPr>
          <w:rFonts w:ascii="Arial" w:hAnsi="Arial" w:cs="Arial"/>
          <w:color w:val="414142"/>
          <w:sz w:val="16"/>
          <w:szCs w:val="16"/>
          <w:lang w:bidi="gu-IN"/>
        </w:rPr>
      </w:pPr>
    </w:p>
    <w:p w:rsidR="0093184A" w:rsidRDefault="006A7F20" w:rsidP="00871F6C">
      <w:pPr>
        <w:jc w:val="center"/>
        <w:rPr>
          <w:bCs/>
          <w:i/>
          <w:color w:val="000000" w:themeColor="text1"/>
        </w:rPr>
      </w:pPr>
      <w:r>
        <w:rPr>
          <w:bCs/>
          <w:i/>
          <w:color w:val="000000" w:themeColor="text1"/>
        </w:rPr>
        <w:t xml:space="preserve">III, </w:t>
      </w:r>
      <w:r w:rsidR="0093184A" w:rsidRPr="00871F6C">
        <w:rPr>
          <w:bCs/>
          <w:i/>
          <w:color w:val="000000" w:themeColor="text1"/>
        </w:rPr>
        <w:t>IV un V nodaļa – Noteikumu projekts šo jomu neskar</w:t>
      </w:r>
    </w:p>
    <w:p w:rsidR="00153AA1" w:rsidRPr="00871F6C" w:rsidRDefault="00153AA1" w:rsidP="00871F6C">
      <w:pPr>
        <w:jc w:val="center"/>
        <w:rPr>
          <w:bCs/>
          <w:i/>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549"/>
        <w:gridCol w:w="6125"/>
      </w:tblGrid>
      <w:tr w:rsidR="00D07F03" w:rsidRPr="00871F6C" w:rsidTr="00140B84">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871F6C" w:rsidRDefault="00D07F03" w:rsidP="00D07F03">
            <w:pPr>
              <w:spacing w:before="100" w:beforeAutospacing="1" w:after="100" w:afterAutospacing="1" w:line="360" w:lineRule="auto"/>
              <w:ind w:firstLine="300"/>
              <w:jc w:val="center"/>
              <w:rPr>
                <w:b/>
                <w:bCs/>
                <w:color w:val="000000" w:themeColor="text1"/>
              </w:rPr>
            </w:pPr>
            <w:r w:rsidRPr="00871F6C">
              <w:rPr>
                <w:b/>
                <w:bCs/>
                <w:color w:val="000000" w:themeColor="text1"/>
              </w:rPr>
              <w:t>VI. Sabiedrības līdzdalība un komunikācijas aktivitātes</w:t>
            </w:r>
          </w:p>
        </w:tc>
      </w:tr>
      <w:tr w:rsidR="00D07F03" w:rsidRPr="00871F6C" w:rsidTr="00153AA1">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1.</w:t>
            </w:r>
          </w:p>
        </w:tc>
        <w:tc>
          <w:tcPr>
            <w:tcW w:w="1396"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D71D8">
            <w:pPr>
              <w:ind w:left="110"/>
              <w:rPr>
                <w:color w:val="000000" w:themeColor="text1"/>
              </w:rPr>
            </w:pPr>
            <w:r w:rsidRPr="00871F6C">
              <w:rPr>
                <w:color w:val="000000" w:themeColor="text1"/>
              </w:rPr>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rsidR="00B869CA" w:rsidRPr="004C3EDB" w:rsidRDefault="00582C01" w:rsidP="00CE74F9">
            <w:pPr>
              <w:ind w:left="112" w:right="140"/>
              <w:jc w:val="both"/>
              <w:rPr>
                <w:lang w:bidi="gu-IN"/>
              </w:rPr>
            </w:pPr>
            <w:r>
              <w:rPr>
                <w:color w:val="000000" w:themeColor="text1"/>
              </w:rPr>
              <w:t>Sabiedriskā apspriede saskaņā ar Ministru kabineta 2009.gada 25.augusta noteikumiem Nr.970 ”Sabiedrības līdzdalības kārtība attīstības plānošanas procesā”</w:t>
            </w:r>
            <w:r w:rsidR="000D2F93">
              <w:rPr>
                <w:color w:val="000000" w:themeColor="text1"/>
              </w:rPr>
              <w:t xml:space="preserve"> </w:t>
            </w:r>
            <w:r w:rsidR="004C3EDB">
              <w:rPr>
                <w:lang w:bidi="gu-IN"/>
              </w:rPr>
              <w:t xml:space="preserve">ir </w:t>
            </w:r>
            <w:r w:rsidR="00CE74F9">
              <w:rPr>
                <w:lang w:bidi="gu-IN"/>
              </w:rPr>
              <w:t>notikusi</w:t>
            </w:r>
            <w:r w:rsidR="004C3EDB">
              <w:rPr>
                <w:lang w:bidi="gu-IN"/>
              </w:rPr>
              <w:t xml:space="preserve"> 201</w:t>
            </w:r>
            <w:r w:rsidR="00D83EB2">
              <w:rPr>
                <w:lang w:bidi="gu-IN"/>
              </w:rPr>
              <w:t>5</w:t>
            </w:r>
            <w:r w:rsidR="004C3EDB">
              <w:rPr>
                <w:lang w:bidi="gu-IN"/>
              </w:rPr>
              <w:t xml:space="preserve">.gada </w:t>
            </w:r>
            <w:r w:rsidR="00D83EB2">
              <w:rPr>
                <w:lang w:bidi="gu-IN"/>
              </w:rPr>
              <w:t>1</w:t>
            </w:r>
            <w:r w:rsidR="00E877D6">
              <w:rPr>
                <w:lang w:bidi="gu-IN"/>
              </w:rPr>
              <w:t>3</w:t>
            </w:r>
            <w:r w:rsidR="004C3EDB">
              <w:rPr>
                <w:lang w:bidi="gu-IN"/>
              </w:rPr>
              <w:t>.</w:t>
            </w:r>
            <w:r w:rsidR="00D83EB2">
              <w:rPr>
                <w:lang w:bidi="gu-IN"/>
              </w:rPr>
              <w:t>janvārī</w:t>
            </w:r>
            <w:r w:rsidR="004C3EDB">
              <w:rPr>
                <w:lang w:bidi="gu-IN"/>
              </w:rPr>
              <w:t xml:space="preserve"> plkst.1</w:t>
            </w:r>
            <w:r w:rsidR="00D83EB2">
              <w:rPr>
                <w:lang w:bidi="gu-IN"/>
              </w:rPr>
              <w:t>0</w:t>
            </w:r>
            <w:r w:rsidR="004C3EDB">
              <w:rPr>
                <w:lang w:bidi="gu-IN"/>
              </w:rPr>
              <w:t>.00.</w:t>
            </w:r>
          </w:p>
        </w:tc>
      </w:tr>
      <w:tr w:rsidR="00D07F03" w:rsidRPr="00871F6C" w:rsidTr="00153AA1">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2.</w:t>
            </w:r>
          </w:p>
        </w:tc>
        <w:tc>
          <w:tcPr>
            <w:tcW w:w="1396"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D71D8">
            <w:pPr>
              <w:ind w:left="110"/>
              <w:rPr>
                <w:color w:val="000000" w:themeColor="text1"/>
              </w:rPr>
            </w:pPr>
            <w:r w:rsidRPr="00871F6C">
              <w:rPr>
                <w:color w:val="000000" w:themeColor="text1"/>
              </w:rPr>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rsidR="00EB2367" w:rsidRPr="00871F6C" w:rsidRDefault="004C3EDB" w:rsidP="00153AA1">
            <w:pPr>
              <w:spacing w:after="120"/>
              <w:ind w:left="113" w:right="142"/>
              <w:jc w:val="both"/>
              <w:rPr>
                <w:color w:val="000000" w:themeColor="text1"/>
              </w:rPr>
            </w:pPr>
            <w:r>
              <w:rPr>
                <w:lang w:bidi="gu-IN"/>
              </w:rPr>
              <w:t>201</w:t>
            </w:r>
            <w:r w:rsidR="00D83EB2">
              <w:rPr>
                <w:lang w:bidi="gu-IN"/>
              </w:rPr>
              <w:t>5</w:t>
            </w:r>
            <w:r>
              <w:rPr>
                <w:lang w:bidi="gu-IN"/>
              </w:rPr>
              <w:t xml:space="preserve">.gada </w:t>
            </w:r>
            <w:r w:rsidR="00D83EB2">
              <w:rPr>
                <w:lang w:bidi="gu-IN"/>
              </w:rPr>
              <w:t>1</w:t>
            </w:r>
            <w:r w:rsidR="00E877D6">
              <w:rPr>
                <w:lang w:bidi="gu-IN"/>
              </w:rPr>
              <w:t>3</w:t>
            </w:r>
            <w:r>
              <w:rPr>
                <w:lang w:bidi="gu-IN"/>
              </w:rPr>
              <w:t>.</w:t>
            </w:r>
            <w:r w:rsidR="00D83EB2">
              <w:rPr>
                <w:lang w:bidi="gu-IN"/>
              </w:rPr>
              <w:t>janvār</w:t>
            </w:r>
            <w:r w:rsidR="00CE74F9">
              <w:rPr>
                <w:lang w:bidi="gu-IN"/>
              </w:rPr>
              <w:t>a sabiedriskajā apspriedē piedalījās</w:t>
            </w:r>
            <w:r w:rsidR="00365922">
              <w:rPr>
                <w:lang w:bidi="gu-IN"/>
              </w:rPr>
              <w:t xml:space="preserve"> Latvijas Republikas Saeimas pārstāvis, kā arī Latvijas Farmaceitu biedrības, Latvijas Ārstu </w:t>
            </w:r>
            <w:r w:rsidR="00365922" w:rsidRPr="00EC5B9F">
              <w:rPr>
                <w:lang w:bidi="gu-IN"/>
              </w:rPr>
              <w:t xml:space="preserve">biedrības, </w:t>
            </w:r>
            <w:r w:rsidR="00EC5B9F" w:rsidRPr="00EC5B9F">
              <w:rPr>
                <w:rFonts w:eastAsia="Calibri"/>
                <w:color w:val="000000"/>
                <w:lang w:bidi="gu-IN"/>
              </w:rPr>
              <w:t xml:space="preserve">Latvijas Cilvēku ar īpašām vajadzībām sadarbības organizācijas SUSTENTO, </w:t>
            </w:r>
            <w:r w:rsidR="00CB0B7D">
              <w:rPr>
                <w:rFonts w:eastAsia="Calibri"/>
                <w:color w:val="000000"/>
                <w:lang w:bidi="gu-IN"/>
              </w:rPr>
              <w:t>Astmas un alerģijas biedrības, Apvienības ”HIV.LV”, Pacientu biedrības ”</w:t>
            </w:r>
            <w:proofErr w:type="spellStart"/>
            <w:r w:rsidR="00CB0B7D">
              <w:rPr>
                <w:rFonts w:eastAsia="Calibri"/>
                <w:color w:val="000000"/>
                <w:lang w:bidi="gu-IN"/>
              </w:rPr>
              <w:t>ParSirdi.lv</w:t>
            </w:r>
            <w:proofErr w:type="spellEnd"/>
            <w:r w:rsidR="00CB0B7D">
              <w:rPr>
                <w:rFonts w:eastAsia="Calibri"/>
                <w:color w:val="000000"/>
                <w:lang w:bidi="gu-IN"/>
              </w:rPr>
              <w:t xml:space="preserve">”, Garīgās veselības atbalsta biedrības ”Saules Zīmes”, Latvijas </w:t>
            </w:r>
            <w:r w:rsidR="00CB0B7D">
              <w:rPr>
                <w:rFonts w:eastAsia="Calibri"/>
                <w:color w:val="000000"/>
                <w:lang w:bidi="gu-IN"/>
              </w:rPr>
              <w:lastRenderedPageBreak/>
              <w:t xml:space="preserve">Diabēta asociācijas, </w:t>
            </w:r>
            <w:r w:rsidR="00365922" w:rsidRPr="00EC5B9F">
              <w:rPr>
                <w:lang w:bidi="gu-IN"/>
              </w:rPr>
              <w:t>Aptieku biedrības, Aptieku attīstības biedrības, Aptieku</w:t>
            </w:r>
            <w:r w:rsidR="00365922">
              <w:rPr>
                <w:lang w:bidi="gu-IN"/>
              </w:rPr>
              <w:t xml:space="preserve"> īpašnieku asociācijas, Latvijas Zāļu lieltirgotavu asociācijas, Latvijas </w:t>
            </w:r>
            <w:proofErr w:type="spellStart"/>
            <w:r w:rsidR="00365922">
              <w:rPr>
                <w:lang w:bidi="gu-IN"/>
              </w:rPr>
              <w:t>Patentbrīvo</w:t>
            </w:r>
            <w:proofErr w:type="spellEnd"/>
            <w:r w:rsidR="00365922">
              <w:rPr>
                <w:lang w:bidi="gu-IN"/>
              </w:rPr>
              <w:t xml:space="preserve"> medikamentu asociācijas, Starptautisko inovatīvo farmaceitisko firmu asociācijas, Biofarmaceitisko </w:t>
            </w:r>
            <w:r w:rsidR="00EC5B9F">
              <w:rPr>
                <w:lang w:bidi="gu-IN"/>
              </w:rPr>
              <w:t xml:space="preserve">zāļu ražotāju asociācijas Latvijā, </w:t>
            </w:r>
            <w:r w:rsidR="00CB0B7D">
              <w:rPr>
                <w:lang w:bidi="gu-IN"/>
              </w:rPr>
              <w:t xml:space="preserve">Medikamentu informācijas centra, biedrības ”Veselības projekti Latvijai”, </w:t>
            </w:r>
            <w:r w:rsidR="00EC5B9F">
              <w:rPr>
                <w:lang w:bidi="gu-IN"/>
              </w:rPr>
              <w:t>SIA ”</w:t>
            </w:r>
            <w:proofErr w:type="spellStart"/>
            <w:r w:rsidR="00EC5B9F">
              <w:rPr>
                <w:lang w:bidi="gu-IN"/>
              </w:rPr>
              <w:t>Euroaptiekas</w:t>
            </w:r>
            <w:proofErr w:type="spellEnd"/>
            <w:r w:rsidR="00EC5B9F">
              <w:rPr>
                <w:lang w:bidi="gu-IN"/>
              </w:rPr>
              <w:t>”, SIA ”</w:t>
            </w:r>
            <w:proofErr w:type="spellStart"/>
            <w:r w:rsidR="00EC5B9F">
              <w:rPr>
                <w:lang w:bidi="gu-IN"/>
              </w:rPr>
              <w:t>Elpis</w:t>
            </w:r>
            <w:proofErr w:type="spellEnd"/>
            <w:r w:rsidR="00EC5B9F">
              <w:rPr>
                <w:lang w:bidi="gu-IN"/>
              </w:rPr>
              <w:t>”</w:t>
            </w:r>
            <w:r w:rsidR="00CB0B7D">
              <w:rPr>
                <w:lang w:bidi="gu-IN"/>
              </w:rPr>
              <w:t xml:space="preserve"> un SIA ”ABC </w:t>
            </w:r>
            <w:proofErr w:type="spellStart"/>
            <w:r w:rsidR="00CB0B7D">
              <w:rPr>
                <w:lang w:bidi="gu-IN"/>
              </w:rPr>
              <w:t>pharma</w:t>
            </w:r>
            <w:proofErr w:type="spellEnd"/>
            <w:r w:rsidR="00CB0B7D">
              <w:rPr>
                <w:lang w:bidi="gu-IN"/>
              </w:rPr>
              <w:t>” pārstāvji.</w:t>
            </w:r>
          </w:p>
        </w:tc>
      </w:tr>
      <w:tr w:rsidR="00D07F03" w:rsidRPr="00871F6C" w:rsidTr="00153AA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lastRenderedPageBreak/>
              <w:t>3.</w:t>
            </w:r>
          </w:p>
        </w:tc>
        <w:tc>
          <w:tcPr>
            <w:tcW w:w="1396"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D71D8">
            <w:pPr>
              <w:ind w:left="110"/>
              <w:rPr>
                <w:color w:val="000000" w:themeColor="text1"/>
              </w:rPr>
            </w:pPr>
            <w:r w:rsidRPr="00871F6C">
              <w:rPr>
                <w:color w:val="000000" w:themeColor="text1"/>
              </w:rPr>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rsidR="00B25AE2" w:rsidRDefault="00B75C41" w:rsidP="00B75C41">
            <w:pPr>
              <w:tabs>
                <w:tab w:val="left" w:pos="124"/>
              </w:tabs>
              <w:spacing w:after="120"/>
              <w:ind w:left="112" w:right="142"/>
              <w:jc w:val="both"/>
              <w:rPr>
                <w:shd w:val="clear" w:color="auto" w:fill="FFFFFF"/>
              </w:rPr>
            </w:pPr>
            <w:r>
              <w:rPr>
                <w:shd w:val="clear" w:color="auto" w:fill="FFFFFF"/>
              </w:rPr>
              <w:t xml:space="preserve">Sabiedriskās </w:t>
            </w:r>
            <w:r w:rsidR="004C3EDB">
              <w:rPr>
                <w:shd w:val="clear" w:color="auto" w:fill="FFFFFF"/>
              </w:rPr>
              <w:t>apspriedes</w:t>
            </w:r>
            <w:r>
              <w:rPr>
                <w:shd w:val="clear" w:color="auto" w:fill="FFFFFF"/>
              </w:rPr>
              <w:t xml:space="preserve"> laikā tika diskutētas Noteikumu projektā paredzētās normas un Veselības ministrijas pārstāvji atbildēja uz dalībnieku uzdotajiem jautājumiem</w:t>
            </w:r>
            <w:r w:rsidR="004C3EDB">
              <w:rPr>
                <w:shd w:val="clear" w:color="auto" w:fill="FFFFFF"/>
              </w:rPr>
              <w:t>.</w:t>
            </w:r>
          </w:p>
          <w:p w:rsidR="00153AA1" w:rsidRPr="004C441D" w:rsidRDefault="00153AA1" w:rsidP="00153AA1">
            <w:pPr>
              <w:tabs>
                <w:tab w:val="left" w:pos="124"/>
              </w:tabs>
              <w:spacing w:after="120"/>
              <w:ind w:left="112" w:right="142"/>
              <w:jc w:val="both"/>
              <w:rPr>
                <w:shd w:val="clear" w:color="auto" w:fill="FFFFFF"/>
              </w:rPr>
            </w:pPr>
            <w:r>
              <w:rPr>
                <w:shd w:val="clear" w:color="auto" w:fill="FFFFFF"/>
              </w:rPr>
              <w:t xml:space="preserve">Konceptuāli noteikumu projektā paredzētās normas tika atbalstītas (detalizēts sabiedriskās apspriedes rezultātu apraksts tiek ievietots Veselības ministrijas vietnē atbilstoši </w:t>
            </w:r>
            <w:r>
              <w:rPr>
                <w:color w:val="000000" w:themeColor="text1"/>
              </w:rPr>
              <w:t>Ministru kabineta 2009.gada 25.augusta noteikumiem Nr.970 ”Sabiedrības līdzdalības kārtība attīstības plānošanas procesā”).</w:t>
            </w:r>
          </w:p>
        </w:tc>
      </w:tr>
      <w:tr w:rsidR="00D07F03" w:rsidRPr="00871F6C" w:rsidTr="00153AA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4.</w:t>
            </w:r>
          </w:p>
        </w:tc>
        <w:tc>
          <w:tcPr>
            <w:tcW w:w="1396"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FD71D8">
            <w:pPr>
              <w:ind w:left="110"/>
              <w:rPr>
                <w:color w:val="000000" w:themeColor="text1"/>
              </w:rPr>
            </w:pPr>
            <w:r w:rsidRPr="00871F6C">
              <w:rPr>
                <w:color w:val="000000" w:themeColor="text1"/>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140B84">
            <w:pPr>
              <w:spacing w:before="100" w:beforeAutospacing="1" w:after="100" w:afterAutospacing="1" w:line="360" w:lineRule="auto"/>
              <w:ind w:left="112" w:right="140"/>
              <w:rPr>
                <w:color w:val="000000" w:themeColor="text1"/>
              </w:rPr>
            </w:pPr>
            <w:r w:rsidRPr="00871F6C">
              <w:rPr>
                <w:color w:val="000000" w:themeColor="text1"/>
              </w:rPr>
              <w:t>Nav</w:t>
            </w:r>
          </w:p>
        </w:tc>
      </w:tr>
    </w:tbl>
    <w:p w:rsidR="00D07F03" w:rsidRPr="00871F6C" w:rsidRDefault="00D07F03" w:rsidP="00D07F03">
      <w:pPr>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5952"/>
        <w:gridCol w:w="2723"/>
      </w:tblGrid>
      <w:tr w:rsidR="00D07F03" w:rsidRPr="00871F6C"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871F6C" w:rsidRDefault="00D07F03" w:rsidP="00D07F03">
            <w:pPr>
              <w:spacing w:before="100" w:beforeAutospacing="1" w:after="100" w:afterAutospacing="1" w:line="360" w:lineRule="auto"/>
              <w:ind w:firstLine="300"/>
              <w:jc w:val="center"/>
              <w:rPr>
                <w:b/>
                <w:bCs/>
                <w:color w:val="000000" w:themeColor="text1"/>
              </w:rPr>
            </w:pPr>
            <w:r w:rsidRPr="00871F6C">
              <w:rPr>
                <w:b/>
                <w:bCs/>
                <w:color w:val="000000" w:themeColor="text1"/>
              </w:rPr>
              <w:t>VII. Tiesību akta projekta izpildes nodrošināšana un tās ietekme uz institūcijām</w:t>
            </w:r>
          </w:p>
        </w:tc>
      </w:tr>
      <w:tr w:rsidR="00D07F03" w:rsidRPr="00871F6C" w:rsidTr="00153AA1">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1.</w:t>
            </w:r>
          </w:p>
        </w:tc>
        <w:tc>
          <w:tcPr>
            <w:tcW w:w="3259"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Projekta izpildē iesaistītās institūcijas</w:t>
            </w:r>
          </w:p>
        </w:tc>
        <w:tc>
          <w:tcPr>
            <w:tcW w:w="1491" w:type="pct"/>
            <w:tcBorders>
              <w:top w:val="outset" w:sz="6" w:space="0" w:color="414142"/>
              <w:left w:val="outset" w:sz="6" w:space="0" w:color="414142"/>
              <w:bottom w:val="outset" w:sz="6" w:space="0" w:color="414142"/>
              <w:right w:val="outset" w:sz="6" w:space="0" w:color="414142"/>
            </w:tcBorders>
            <w:hideMark/>
          </w:tcPr>
          <w:p w:rsidR="00D07F03" w:rsidRPr="00871F6C" w:rsidRDefault="00140B84" w:rsidP="00140B84">
            <w:pPr>
              <w:ind w:left="112" w:right="140"/>
              <w:rPr>
                <w:color w:val="000000" w:themeColor="text1"/>
              </w:rPr>
            </w:pPr>
            <w:r>
              <w:rPr>
                <w:color w:val="000000" w:themeColor="text1"/>
              </w:rPr>
              <w:t>Nacionālais veselības dienests</w:t>
            </w:r>
          </w:p>
        </w:tc>
      </w:tr>
      <w:tr w:rsidR="00D07F03" w:rsidRPr="00871F6C" w:rsidTr="00153AA1">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2.</w:t>
            </w:r>
          </w:p>
        </w:tc>
        <w:tc>
          <w:tcPr>
            <w:tcW w:w="3259"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rPr>
                <w:color w:val="000000" w:themeColor="text1"/>
              </w:rPr>
            </w:pPr>
            <w:r w:rsidRPr="00871F6C">
              <w:rPr>
                <w:color w:val="000000" w:themeColor="text1"/>
              </w:rPr>
              <w:t xml:space="preserve">Projekta izpildes ietekme uz pārvaldes funkcijām un institucionālo struktūru. </w:t>
            </w:r>
          </w:p>
          <w:p w:rsidR="00D07F03" w:rsidRPr="00871F6C" w:rsidRDefault="00D07F03" w:rsidP="00871F6C">
            <w:pPr>
              <w:rPr>
                <w:color w:val="000000" w:themeColor="text1"/>
              </w:rPr>
            </w:pPr>
            <w:r w:rsidRPr="00871F6C">
              <w:rPr>
                <w:color w:val="000000" w:themeColor="text1"/>
              </w:rPr>
              <w:t>Jaunu institūciju izveide, esošu institūciju likvidācija vai reorganizācija, to ietekme uz institūcijas cilvēkresursiem</w:t>
            </w:r>
          </w:p>
        </w:tc>
        <w:tc>
          <w:tcPr>
            <w:tcW w:w="1491" w:type="pct"/>
            <w:tcBorders>
              <w:top w:val="outset" w:sz="6" w:space="0" w:color="414142"/>
              <w:left w:val="outset" w:sz="6" w:space="0" w:color="414142"/>
              <w:bottom w:val="outset" w:sz="6" w:space="0" w:color="414142"/>
              <w:right w:val="outset" w:sz="6" w:space="0" w:color="414142"/>
            </w:tcBorders>
            <w:hideMark/>
          </w:tcPr>
          <w:p w:rsidR="00D07F03" w:rsidRPr="00871F6C" w:rsidRDefault="00140B84" w:rsidP="009A1571">
            <w:pPr>
              <w:ind w:left="113" w:right="142"/>
              <w:jc w:val="both"/>
              <w:rPr>
                <w:color w:val="000000" w:themeColor="text1"/>
              </w:rPr>
            </w:pPr>
            <w:r>
              <w:rPr>
                <w:color w:val="000000" w:themeColor="text1"/>
              </w:rPr>
              <w:t>Noteikumu p</w:t>
            </w:r>
            <w:r w:rsidR="00303E46" w:rsidRPr="00871F6C">
              <w:rPr>
                <w:color w:val="000000" w:themeColor="text1"/>
              </w:rPr>
              <w:t xml:space="preserve">rojekts šo jomu neskar </w:t>
            </w:r>
          </w:p>
        </w:tc>
      </w:tr>
      <w:tr w:rsidR="00D07F03" w:rsidRPr="00871F6C" w:rsidTr="00153AA1">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871F6C">
            <w:pPr>
              <w:jc w:val="center"/>
              <w:rPr>
                <w:color w:val="000000" w:themeColor="text1"/>
              </w:rPr>
            </w:pPr>
            <w:r w:rsidRPr="00871F6C">
              <w:rPr>
                <w:color w:val="000000" w:themeColor="text1"/>
              </w:rPr>
              <w:t>3.</w:t>
            </w:r>
          </w:p>
        </w:tc>
        <w:tc>
          <w:tcPr>
            <w:tcW w:w="3259"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D07F03">
            <w:pPr>
              <w:rPr>
                <w:color w:val="000000" w:themeColor="text1"/>
              </w:rPr>
            </w:pPr>
            <w:r w:rsidRPr="00871F6C">
              <w:rPr>
                <w:color w:val="000000" w:themeColor="text1"/>
              </w:rPr>
              <w:t>Cita informācija</w:t>
            </w:r>
          </w:p>
        </w:tc>
        <w:tc>
          <w:tcPr>
            <w:tcW w:w="1491" w:type="pct"/>
            <w:tcBorders>
              <w:top w:val="outset" w:sz="6" w:space="0" w:color="414142"/>
              <w:left w:val="outset" w:sz="6" w:space="0" w:color="414142"/>
              <w:bottom w:val="outset" w:sz="6" w:space="0" w:color="414142"/>
              <w:right w:val="outset" w:sz="6" w:space="0" w:color="414142"/>
            </w:tcBorders>
            <w:hideMark/>
          </w:tcPr>
          <w:p w:rsidR="00D07F03" w:rsidRPr="00871F6C" w:rsidRDefault="00D07F03" w:rsidP="00140B84">
            <w:pPr>
              <w:spacing w:before="100" w:beforeAutospacing="1" w:after="100" w:afterAutospacing="1" w:line="360" w:lineRule="auto"/>
              <w:ind w:left="112" w:right="140"/>
              <w:rPr>
                <w:color w:val="000000" w:themeColor="text1"/>
              </w:rPr>
            </w:pPr>
            <w:r w:rsidRPr="00871F6C">
              <w:rPr>
                <w:color w:val="000000" w:themeColor="text1"/>
              </w:rPr>
              <w:t>Nav</w:t>
            </w:r>
          </w:p>
        </w:tc>
      </w:tr>
    </w:tbl>
    <w:p w:rsidR="00140B84" w:rsidRDefault="00140B84" w:rsidP="00B26762">
      <w:pPr>
        <w:spacing w:before="75" w:after="75"/>
        <w:jc w:val="both"/>
        <w:rPr>
          <w:color w:val="000000" w:themeColor="text1"/>
        </w:rPr>
      </w:pPr>
    </w:p>
    <w:p w:rsidR="00153AA1" w:rsidRDefault="00153AA1" w:rsidP="00B26762">
      <w:pPr>
        <w:spacing w:before="75" w:after="75"/>
        <w:jc w:val="both"/>
        <w:rPr>
          <w:color w:val="000000" w:themeColor="text1"/>
        </w:rPr>
      </w:pPr>
    </w:p>
    <w:p w:rsidR="00FF2231" w:rsidRPr="004C3EDB" w:rsidRDefault="00FF2231" w:rsidP="00FF2231">
      <w:pPr>
        <w:autoSpaceDE w:val="0"/>
        <w:autoSpaceDN w:val="0"/>
        <w:adjustRightInd w:val="0"/>
        <w:rPr>
          <w:color w:val="000000"/>
          <w:sz w:val="28"/>
          <w:szCs w:val="28"/>
          <w:lang w:bidi="gu-IN"/>
        </w:rPr>
      </w:pPr>
      <w:r>
        <w:rPr>
          <w:color w:val="000000"/>
          <w:sz w:val="28"/>
          <w:szCs w:val="28"/>
          <w:lang w:bidi="gu-IN"/>
        </w:rPr>
        <w:t>Veselības</w:t>
      </w:r>
      <w:r w:rsidR="004C3EDB">
        <w:rPr>
          <w:color w:val="000000"/>
          <w:sz w:val="28"/>
          <w:szCs w:val="28"/>
          <w:lang w:bidi="gu-IN"/>
        </w:rPr>
        <w:t xml:space="preserve"> ministrs  </w:t>
      </w:r>
      <w:r w:rsidR="004C3EDB">
        <w:rPr>
          <w:color w:val="000000"/>
          <w:sz w:val="28"/>
          <w:szCs w:val="28"/>
          <w:lang w:bidi="gu-IN"/>
        </w:rPr>
        <w:tab/>
      </w:r>
      <w:r w:rsidR="004C3EDB">
        <w:rPr>
          <w:color w:val="000000"/>
          <w:sz w:val="28"/>
          <w:szCs w:val="28"/>
          <w:lang w:bidi="gu-IN"/>
        </w:rPr>
        <w:tab/>
      </w:r>
      <w:r w:rsidR="004C3EDB">
        <w:rPr>
          <w:color w:val="000000"/>
          <w:sz w:val="28"/>
          <w:szCs w:val="28"/>
          <w:lang w:bidi="gu-IN"/>
        </w:rPr>
        <w:tab/>
      </w:r>
      <w:r w:rsidR="004C3EDB">
        <w:rPr>
          <w:color w:val="000000"/>
          <w:sz w:val="28"/>
          <w:szCs w:val="28"/>
          <w:lang w:bidi="gu-IN"/>
        </w:rPr>
        <w:tab/>
      </w:r>
      <w:r w:rsidR="004C3EDB">
        <w:rPr>
          <w:color w:val="000000"/>
          <w:sz w:val="28"/>
          <w:szCs w:val="28"/>
          <w:lang w:bidi="gu-IN"/>
        </w:rPr>
        <w:tab/>
      </w:r>
      <w:r w:rsidR="004C3EDB">
        <w:rPr>
          <w:color w:val="000000"/>
          <w:sz w:val="28"/>
          <w:szCs w:val="28"/>
          <w:lang w:bidi="gu-IN"/>
        </w:rPr>
        <w:tab/>
      </w:r>
      <w:r>
        <w:rPr>
          <w:color w:val="000000"/>
          <w:sz w:val="28"/>
          <w:szCs w:val="28"/>
          <w:lang w:bidi="gu-IN"/>
        </w:rPr>
        <w:tab/>
      </w:r>
      <w:proofErr w:type="spellStart"/>
      <w:r w:rsidR="004C3EDB">
        <w:rPr>
          <w:color w:val="000000"/>
          <w:sz w:val="28"/>
          <w:szCs w:val="28"/>
          <w:lang w:bidi="gu-IN"/>
        </w:rPr>
        <w:t>G.Belēvičs</w:t>
      </w:r>
      <w:proofErr w:type="spellEnd"/>
    </w:p>
    <w:p w:rsidR="0019022A" w:rsidRPr="00871F6C" w:rsidRDefault="0019022A" w:rsidP="00024CFD">
      <w:pPr>
        <w:jc w:val="both"/>
        <w:rPr>
          <w:bCs/>
          <w:color w:val="000000" w:themeColor="text1"/>
        </w:rPr>
      </w:pPr>
    </w:p>
    <w:p w:rsidR="00E0173E" w:rsidRDefault="00E0173E" w:rsidP="00B50C94">
      <w:pPr>
        <w:jc w:val="both"/>
        <w:rPr>
          <w:bCs/>
          <w:color w:val="000000" w:themeColor="text1"/>
          <w:sz w:val="22"/>
          <w:szCs w:val="22"/>
        </w:rPr>
      </w:pPr>
    </w:p>
    <w:p w:rsidR="00647F6D" w:rsidRDefault="00647F6D" w:rsidP="00B50C94">
      <w:pPr>
        <w:jc w:val="both"/>
        <w:rPr>
          <w:bCs/>
          <w:color w:val="000000" w:themeColor="text1"/>
          <w:sz w:val="22"/>
          <w:szCs w:val="22"/>
        </w:rPr>
      </w:pPr>
    </w:p>
    <w:p w:rsidR="00647F6D" w:rsidRDefault="00647F6D" w:rsidP="00B50C94">
      <w:pPr>
        <w:jc w:val="both"/>
        <w:rPr>
          <w:bCs/>
          <w:color w:val="000000" w:themeColor="text1"/>
          <w:sz w:val="22"/>
          <w:szCs w:val="22"/>
        </w:rPr>
      </w:pPr>
    </w:p>
    <w:p w:rsidR="00647F6D" w:rsidRDefault="00647F6D" w:rsidP="00B50C94">
      <w:pPr>
        <w:jc w:val="both"/>
        <w:rPr>
          <w:bCs/>
          <w:color w:val="000000" w:themeColor="text1"/>
          <w:sz w:val="22"/>
          <w:szCs w:val="22"/>
        </w:rPr>
      </w:pPr>
    </w:p>
    <w:p w:rsidR="00647F6D" w:rsidRDefault="00647F6D" w:rsidP="00B50C94">
      <w:pPr>
        <w:jc w:val="both"/>
        <w:rPr>
          <w:bCs/>
          <w:color w:val="000000" w:themeColor="text1"/>
          <w:sz w:val="22"/>
          <w:szCs w:val="22"/>
        </w:rPr>
      </w:pPr>
    </w:p>
    <w:p w:rsidR="00647F6D" w:rsidRDefault="00647F6D" w:rsidP="00B50C94">
      <w:pPr>
        <w:jc w:val="both"/>
        <w:rPr>
          <w:bCs/>
          <w:color w:val="000000" w:themeColor="text1"/>
          <w:sz w:val="22"/>
          <w:szCs w:val="22"/>
        </w:rPr>
      </w:pPr>
    </w:p>
    <w:p w:rsidR="00647F6D" w:rsidRPr="001E4856" w:rsidRDefault="00153AA1" w:rsidP="00647F6D">
      <w:pPr>
        <w:jc w:val="both"/>
        <w:rPr>
          <w:bCs/>
          <w:color w:val="000000" w:themeColor="text1"/>
          <w:sz w:val="22"/>
          <w:szCs w:val="22"/>
        </w:rPr>
      </w:pPr>
      <w:r>
        <w:rPr>
          <w:bCs/>
          <w:color w:val="000000" w:themeColor="text1"/>
          <w:sz w:val="22"/>
          <w:szCs w:val="22"/>
        </w:rPr>
        <w:t>20</w:t>
      </w:r>
      <w:r w:rsidR="00647F6D" w:rsidRPr="001E4856">
        <w:rPr>
          <w:bCs/>
          <w:color w:val="000000" w:themeColor="text1"/>
          <w:sz w:val="22"/>
          <w:szCs w:val="22"/>
        </w:rPr>
        <w:t>.</w:t>
      </w:r>
      <w:r w:rsidR="00647F6D">
        <w:rPr>
          <w:bCs/>
          <w:color w:val="000000" w:themeColor="text1"/>
          <w:sz w:val="22"/>
          <w:szCs w:val="22"/>
        </w:rPr>
        <w:t>01</w:t>
      </w:r>
      <w:r w:rsidR="00647F6D" w:rsidRPr="001E4856">
        <w:rPr>
          <w:bCs/>
          <w:color w:val="000000" w:themeColor="text1"/>
          <w:sz w:val="22"/>
          <w:szCs w:val="22"/>
        </w:rPr>
        <w:t>.201</w:t>
      </w:r>
      <w:r w:rsidR="00647F6D">
        <w:rPr>
          <w:bCs/>
          <w:color w:val="000000" w:themeColor="text1"/>
          <w:sz w:val="22"/>
          <w:szCs w:val="22"/>
        </w:rPr>
        <w:t>5</w:t>
      </w:r>
      <w:r w:rsidR="00647F6D" w:rsidRPr="001E4856">
        <w:rPr>
          <w:bCs/>
          <w:color w:val="000000" w:themeColor="text1"/>
          <w:sz w:val="22"/>
          <w:szCs w:val="22"/>
        </w:rPr>
        <w:t xml:space="preserve">. </w:t>
      </w:r>
      <w:r>
        <w:rPr>
          <w:bCs/>
          <w:color w:val="000000" w:themeColor="text1"/>
          <w:sz w:val="22"/>
          <w:szCs w:val="22"/>
        </w:rPr>
        <w:t>9</w:t>
      </w:r>
      <w:r w:rsidR="00647F6D" w:rsidRPr="001E4856">
        <w:rPr>
          <w:bCs/>
          <w:color w:val="000000" w:themeColor="text1"/>
          <w:sz w:val="22"/>
          <w:szCs w:val="22"/>
        </w:rPr>
        <w:t>:</w:t>
      </w:r>
      <w:r>
        <w:rPr>
          <w:bCs/>
          <w:color w:val="000000" w:themeColor="text1"/>
          <w:sz w:val="22"/>
          <w:szCs w:val="22"/>
        </w:rPr>
        <w:t>22</w:t>
      </w:r>
    </w:p>
    <w:p w:rsidR="00647F6D" w:rsidRPr="001E4856" w:rsidRDefault="00153AA1" w:rsidP="00647F6D">
      <w:pPr>
        <w:jc w:val="both"/>
        <w:rPr>
          <w:bCs/>
          <w:color w:val="000000" w:themeColor="text1"/>
          <w:sz w:val="22"/>
          <w:szCs w:val="22"/>
        </w:rPr>
      </w:pPr>
      <w:r>
        <w:rPr>
          <w:bCs/>
          <w:color w:val="000000" w:themeColor="text1"/>
          <w:sz w:val="22"/>
          <w:szCs w:val="22"/>
        </w:rPr>
        <w:t>2 136</w:t>
      </w:r>
    </w:p>
    <w:p w:rsidR="00647F6D" w:rsidRPr="001E4856" w:rsidRDefault="00647F6D" w:rsidP="00647F6D">
      <w:pPr>
        <w:jc w:val="both"/>
        <w:rPr>
          <w:bCs/>
          <w:color w:val="000000" w:themeColor="text1"/>
          <w:sz w:val="22"/>
          <w:szCs w:val="22"/>
        </w:rPr>
      </w:pPr>
      <w:r w:rsidRPr="001E4856">
        <w:rPr>
          <w:bCs/>
          <w:color w:val="000000" w:themeColor="text1"/>
          <w:sz w:val="22"/>
          <w:szCs w:val="22"/>
        </w:rPr>
        <w:t>D.Arāja</w:t>
      </w:r>
    </w:p>
    <w:p w:rsidR="00647F6D" w:rsidRPr="001E4856" w:rsidRDefault="00647F6D" w:rsidP="00647F6D">
      <w:pPr>
        <w:jc w:val="both"/>
        <w:rPr>
          <w:color w:val="000000" w:themeColor="text1"/>
          <w:sz w:val="22"/>
          <w:szCs w:val="22"/>
        </w:rPr>
      </w:pPr>
      <w:r w:rsidRPr="001E4856">
        <w:rPr>
          <w:bCs/>
          <w:color w:val="000000" w:themeColor="text1"/>
          <w:sz w:val="22"/>
          <w:szCs w:val="22"/>
        </w:rPr>
        <w:t>67876114, Diana.Arajs@vm.gov.lv</w:t>
      </w:r>
    </w:p>
    <w:p w:rsidR="00647F6D" w:rsidRDefault="00647F6D" w:rsidP="00647F6D">
      <w:pPr>
        <w:autoSpaceDE w:val="0"/>
        <w:autoSpaceDN w:val="0"/>
        <w:adjustRightInd w:val="0"/>
        <w:rPr>
          <w:color w:val="000000"/>
          <w:sz w:val="28"/>
          <w:szCs w:val="28"/>
          <w:lang w:bidi="gu-IN"/>
        </w:rPr>
      </w:pPr>
    </w:p>
    <w:p w:rsidR="00647F6D" w:rsidRDefault="00647F6D" w:rsidP="00B50C94">
      <w:pPr>
        <w:jc w:val="both"/>
        <w:rPr>
          <w:bCs/>
          <w:color w:val="000000" w:themeColor="text1"/>
          <w:sz w:val="22"/>
          <w:szCs w:val="22"/>
        </w:rPr>
      </w:pPr>
    </w:p>
    <w:sectPr w:rsidR="00647F6D" w:rsidSect="00A51F1F">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75C" w:rsidRDefault="0030475C" w:rsidP="007B67C1">
      <w:r>
        <w:separator/>
      </w:r>
    </w:p>
  </w:endnote>
  <w:endnote w:type="continuationSeparator" w:id="0">
    <w:p w:rsidR="0030475C" w:rsidRDefault="0030475C"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5C" w:rsidRPr="009D5E37" w:rsidRDefault="0030475C" w:rsidP="00F1426F">
    <w:pPr>
      <w:pStyle w:val="naisc"/>
      <w:jc w:val="both"/>
      <w:rPr>
        <w:sz w:val="20"/>
        <w:szCs w:val="20"/>
      </w:rPr>
    </w:pPr>
    <w:r w:rsidRPr="009D5E37">
      <w:rPr>
        <w:sz w:val="20"/>
        <w:szCs w:val="20"/>
      </w:rPr>
      <w:t>VMAnot_</w:t>
    </w:r>
    <w:r w:rsidR="00365922">
      <w:rPr>
        <w:sz w:val="20"/>
        <w:szCs w:val="20"/>
      </w:rPr>
      <w:t>20</w:t>
    </w:r>
    <w:r>
      <w:rPr>
        <w:sz w:val="20"/>
        <w:szCs w:val="20"/>
      </w:rPr>
      <w:t>0115_ZIKS</w:t>
    </w:r>
    <w:r w:rsidRPr="009D5E37">
      <w:rPr>
        <w:sz w:val="20"/>
        <w:szCs w:val="20"/>
      </w:rPr>
      <w:t xml:space="preserve">; </w:t>
    </w:r>
    <w:r>
      <w:rPr>
        <w:sz w:val="20"/>
        <w:szCs w:val="20"/>
      </w:rPr>
      <w:t>Ministru kabineta noteikumu</w:t>
    </w:r>
    <w:r w:rsidRPr="009D5E37">
      <w:rPr>
        <w:sz w:val="20"/>
        <w:szCs w:val="20"/>
      </w:rPr>
      <w:t xml:space="preserve"> projekta ”Grozījum</w:t>
    </w:r>
    <w:r>
      <w:rPr>
        <w:sz w:val="20"/>
        <w:szCs w:val="20"/>
      </w:rPr>
      <w:t>i</w:t>
    </w:r>
    <w:r w:rsidRPr="009D5E37">
      <w:rPr>
        <w:sz w:val="20"/>
        <w:szCs w:val="20"/>
      </w:rPr>
      <w:t xml:space="preserve"> Ministru kabineta 2006.gada 31.oktobra noteikumos Nr. 899 ”Ambulatorajai ārstēšanai paredzēto zāļu un medicīnisko ierīču iegādes izdevumu kompensācijas kārtība”” </w:t>
    </w:r>
    <w:r>
      <w:rPr>
        <w:sz w:val="20"/>
        <w:szCs w:val="20"/>
      </w:rPr>
      <w:t>sākotnējās ietekmes novērtējuma ziņojums (</w:t>
    </w:r>
    <w:r w:rsidRPr="009D5E37">
      <w:rPr>
        <w:sz w:val="20"/>
        <w:szCs w:val="20"/>
      </w:rPr>
      <w:t>anotācija</w:t>
    </w:r>
    <w:r>
      <w:rPr>
        <w:sz w:val="20"/>
        <w:szCs w:val="20"/>
      </w:rPr>
      <w:t>)</w:t>
    </w:r>
  </w:p>
  <w:p w:rsidR="0030475C" w:rsidRDefault="00304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5C" w:rsidRPr="003C4C34" w:rsidRDefault="0030475C" w:rsidP="00760913">
    <w:pPr>
      <w:pStyle w:val="naisc"/>
      <w:jc w:val="both"/>
      <w:rPr>
        <w:sz w:val="20"/>
        <w:szCs w:val="20"/>
      </w:rPr>
    </w:pPr>
    <w:r w:rsidRPr="003C4C34">
      <w:rPr>
        <w:sz w:val="20"/>
        <w:szCs w:val="20"/>
      </w:rPr>
      <w:t>VMAnot_</w:t>
    </w:r>
    <w:r w:rsidR="00365922">
      <w:rPr>
        <w:sz w:val="20"/>
        <w:szCs w:val="20"/>
      </w:rPr>
      <w:t>20</w:t>
    </w:r>
    <w:r>
      <w:rPr>
        <w:sz w:val="20"/>
        <w:szCs w:val="20"/>
      </w:rPr>
      <w:t>0115</w:t>
    </w:r>
    <w:r w:rsidRPr="003C4C34">
      <w:rPr>
        <w:sz w:val="20"/>
        <w:szCs w:val="20"/>
      </w:rPr>
      <w:t>_ZIKS; Ministru kabineta noteikumu projekta ”Grozījum</w:t>
    </w:r>
    <w:r>
      <w:rPr>
        <w:sz w:val="20"/>
        <w:szCs w:val="20"/>
      </w:rPr>
      <w:t>i</w:t>
    </w:r>
    <w:r w:rsidRPr="003C4C34">
      <w:rPr>
        <w:sz w:val="20"/>
        <w:szCs w:val="20"/>
      </w:rPr>
      <w:t xml:space="preserve"> Ministru kabineta 2006.gada 31.oktobra noteikumos Nr. 899 ”Ambulatorajai ārstēšanai paredzēto zāļu un medicīnisko ierīču iegādes izdevumu kompensācijas kārtība””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75C" w:rsidRDefault="0030475C" w:rsidP="007B67C1">
      <w:r>
        <w:separator/>
      </w:r>
    </w:p>
  </w:footnote>
  <w:footnote w:type="continuationSeparator" w:id="0">
    <w:p w:rsidR="0030475C" w:rsidRDefault="0030475C"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5C" w:rsidRDefault="001C3154" w:rsidP="00760913">
    <w:pPr>
      <w:pStyle w:val="Header"/>
      <w:framePr w:wrap="around" w:vAnchor="text" w:hAnchor="margin" w:xAlign="center" w:y="1"/>
      <w:rPr>
        <w:rStyle w:val="PageNumber"/>
      </w:rPr>
    </w:pPr>
    <w:r>
      <w:rPr>
        <w:rStyle w:val="PageNumber"/>
      </w:rPr>
      <w:fldChar w:fldCharType="begin"/>
    </w:r>
    <w:r w:rsidR="0030475C">
      <w:rPr>
        <w:rStyle w:val="PageNumber"/>
      </w:rPr>
      <w:instrText xml:space="preserve">PAGE  </w:instrText>
    </w:r>
    <w:r>
      <w:rPr>
        <w:rStyle w:val="PageNumber"/>
      </w:rPr>
      <w:fldChar w:fldCharType="separate"/>
    </w:r>
    <w:r w:rsidR="0030475C">
      <w:rPr>
        <w:rStyle w:val="PageNumber"/>
        <w:noProof/>
      </w:rPr>
      <w:t>9</w:t>
    </w:r>
    <w:r>
      <w:rPr>
        <w:rStyle w:val="PageNumber"/>
      </w:rPr>
      <w:fldChar w:fldCharType="end"/>
    </w:r>
  </w:p>
  <w:p w:rsidR="0030475C" w:rsidRDefault="003047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5C" w:rsidRPr="00EC4EA2" w:rsidRDefault="001C3154"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30475C" w:rsidRPr="00EC4EA2">
      <w:rPr>
        <w:rStyle w:val="PageNumber"/>
        <w:sz w:val="20"/>
        <w:szCs w:val="20"/>
      </w:rPr>
      <w:instrText xml:space="preserve">PAGE  </w:instrText>
    </w:r>
    <w:r w:rsidRPr="00EC4EA2">
      <w:rPr>
        <w:rStyle w:val="PageNumber"/>
        <w:sz w:val="20"/>
        <w:szCs w:val="20"/>
      </w:rPr>
      <w:fldChar w:fldCharType="separate"/>
    </w:r>
    <w:r w:rsidR="00153AA1">
      <w:rPr>
        <w:rStyle w:val="PageNumber"/>
        <w:noProof/>
        <w:sz w:val="20"/>
        <w:szCs w:val="20"/>
      </w:rPr>
      <w:t>8</w:t>
    </w:r>
    <w:r w:rsidRPr="00EC4EA2">
      <w:rPr>
        <w:rStyle w:val="PageNumber"/>
        <w:sz w:val="20"/>
        <w:szCs w:val="20"/>
      </w:rPr>
      <w:fldChar w:fldCharType="end"/>
    </w:r>
  </w:p>
  <w:p w:rsidR="0030475C" w:rsidRDefault="00304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CF2"/>
    <w:multiLevelType w:val="hybridMultilevel"/>
    <w:tmpl w:val="773A5D32"/>
    <w:lvl w:ilvl="0" w:tplc="8C4825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43475E"/>
    <w:multiLevelType w:val="hybridMultilevel"/>
    <w:tmpl w:val="A0F6846E"/>
    <w:lvl w:ilvl="0" w:tplc="BA3C2A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D66FCF"/>
    <w:multiLevelType w:val="hybridMultilevel"/>
    <w:tmpl w:val="0C461BE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0BD36175"/>
    <w:multiLevelType w:val="hybridMultilevel"/>
    <w:tmpl w:val="1B8C149E"/>
    <w:lvl w:ilvl="0" w:tplc="04260001">
      <w:start w:val="1"/>
      <w:numFmt w:val="bullet"/>
      <w:lvlText w:val=""/>
      <w:lvlJc w:val="left"/>
      <w:pPr>
        <w:ind w:left="870" w:hanging="360"/>
      </w:pPr>
      <w:rPr>
        <w:rFonts w:ascii="Symbol" w:hAnsi="Symbol"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7">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3C4956"/>
    <w:multiLevelType w:val="hybridMultilevel"/>
    <w:tmpl w:val="D35C12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10">
    <w:nsid w:val="221127BF"/>
    <w:multiLevelType w:val="hybridMultilevel"/>
    <w:tmpl w:val="773A5D32"/>
    <w:lvl w:ilvl="0" w:tplc="8C4825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1">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E6F0624"/>
    <w:multiLevelType w:val="hybridMultilevel"/>
    <w:tmpl w:val="ACAA7EEA"/>
    <w:lvl w:ilvl="0" w:tplc="EFF06400">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4">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nsid w:val="3134672E"/>
    <w:multiLevelType w:val="hybridMultilevel"/>
    <w:tmpl w:val="AFCCC60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6">
    <w:nsid w:val="3BA61844"/>
    <w:multiLevelType w:val="hybridMultilevel"/>
    <w:tmpl w:val="440AB6B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3D5360C1"/>
    <w:multiLevelType w:val="hybridMultilevel"/>
    <w:tmpl w:val="72022A10"/>
    <w:lvl w:ilvl="0" w:tplc="ABBCF52E">
      <w:start w:val="1"/>
      <w:numFmt w:val="lowerLetter"/>
      <w:lvlText w:val="%1)"/>
      <w:lvlJc w:val="left"/>
      <w:pPr>
        <w:ind w:left="1080" w:hanging="360"/>
      </w:pPr>
      <w:rPr>
        <w:rFonts w:ascii="Calibri" w:hAnsi="Calibri" w:cs="Times New Roman" w:hint="default"/>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21">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2">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3">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4">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6">
    <w:nsid w:val="55D34AEE"/>
    <w:multiLevelType w:val="hybridMultilevel"/>
    <w:tmpl w:val="1AA45DA0"/>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55E918A3"/>
    <w:multiLevelType w:val="hybridMultilevel"/>
    <w:tmpl w:val="27B0DB5E"/>
    <w:lvl w:ilvl="0" w:tplc="669CEF70">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9">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33">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76328"/>
    <w:multiLevelType w:val="hybridMultilevel"/>
    <w:tmpl w:val="44CE27A0"/>
    <w:lvl w:ilvl="0" w:tplc="1C7292CC">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37">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9">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4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41">
    <w:nsid w:val="75BD28D1"/>
    <w:multiLevelType w:val="hybridMultilevel"/>
    <w:tmpl w:val="8B001CB0"/>
    <w:lvl w:ilvl="0" w:tplc="18028CF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42">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7FD7B78"/>
    <w:multiLevelType w:val="hybridMultilevel"/>
    <w:tmpl w:val="DC540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5">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35"/>
  </w:num>
  <w:num w:numId="3">
    <w:abstractNumId w:val="11"/>
  </w:num>
  <w:num w:numId="4">
    <w:abstractNumId w:val="24"/>
  </w:num>
  <w:num w:numId="5">
    <w:abstractNumId w:val="13"/>
  </w:num>
  <w:num w:numId="6">
    <w:abstractNumId w:val="45"/>
  </w:num>
  <w:num w:numId="7">
    <w:abstractNumId w:val="25"/>
  </w:num>
  <w:num w:numId="8">
    <w:abstractNumId w:val="42"/>
  </w:num>
  <w:num w:numId="9">
    <w:abstractNumId w:val="30"/>
  </w:num>
  <w:num w:numId="10">
    <w:abstractNumId w:val="33"/>
  </w:num>
  <w:num w:numId="11">
    <w:abstractNumId w:val="39"/>
  </w:num>
  <w:num w:numId="12">
    <w:abstractNumId w:val="29"/>
  </w:num>
  <w:num w:numId="13">
    <w:abstractNumId w:val="14"/>
  </w:num>
  <w:num w:numId="14">
    <w:abstractNumId w:val="44"/>
  </w:num>
  <w:num w:numId="15">
    <w:abstractNumId w:val="47"/>
  </w:num>
  <w:num w:numId="16">
    <w:abstractNumId w:val="9"/>
  </w:num>
  <w:num w:numId="17">
    <w:abstractNumId w:val="18"/>
  </w:num>
  <w:num w:numId="18">
    <w:abstractNumId w:val="19"/>
  </w:num>
  <w:num w:numId="19">
    <w:abstractNumId w:val="32"/>
  </w:num>
  <w:num w:numId="20">
    <w:abstractNumId w:val="46"/>
  </w:num>
  <w:num w:numId="21">
    <w:abstractNumId w:val="20"/>
  </w:num>
  <w:num w:numId="22">
    <w:abstractNumId w:val="34"/>
  </w:num>
  <w:num w:numId="23">
    <w:abstractNumId w:val="28"/>
  </w:num>
  <w:num w:numId="24">
    <w:abstractNumId w:val="31"/>
  </w:num>
  <w:num w:numId="25">
    <w:abstractNumId w:val="38"/>
  </w:num>
  <w:num w:numId="26">
    <w:abstractNumId w:val="40"/>
  </w:num>
  <w:num w:numId="27">
    <w:abstractNumId w:val="7"/>
  </w:num>
  <w:num w:numId="28">
    <w:abstractNumId w:val="1"/>
  </w:num>
  <w:num w:numId="29">
    <w:abstractNumId w:val="2"/>
  </w:num>
  <w:num w:numId="30">
    <w:abstractNumId w:val="23"/>
  </w:num>
  <w:num w:numId="31">
    <w:abstractNumId w:val="3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8"/>
  </w:num>
  <w:num w:numId="37">
    <w:abstractNumId w:val="1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0"/>
  </w:num>
  <w:num w:numId="41">
    <w:abstractNumId w:val="0"/>
  </w:num>
  <w:num w:numId="42">
    <w:abstractNumId w:val="41"/>
  </w:num>
  <w:num w:numId="43">
    <w:abstractNumId w:val="3"/>
  </w:num>
  <w:num w:numId="44">
    <w:abstractNumId w:val="16"/>
  </w:num>
  <w:num w:numId="45">
    <w:abstractNumId w:val="6"/>
  </w:num>
  <w:num w:numId="46">
    <w:abstractNumId w:val="22"/>
  </w:num>
  <w:num w:numId="47">
    <w:abstractNumId w:val="21"/>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51F7"/>
    <w:rsid w:val="0001649D"/>
    <w:rsid w:val="00023D9D"/>
    <w:rsid w:val="00024CFD"/>
    <w:rsid w:val="00025560"/>
    <w:rsid w:val="00032C41"/>
    <w:rsid w:val="0004096A"/>
    <w:rsid w:val="000410E3"/>
    <w:rsid w:val="00042158"/>
    <w:rsid w:val="00042176"/>
    <w:rsid w:val="00045F78"/>
    <w:rsid w:val="000469F3"/>
    <w:rsid w:val="00046D6D"/>
    <w:rsid w:val="00050EEC"/>
    <w:rsid w:val="00051096"/>
    <w:rsid w:val="00054045"/>
    <w:rsid w:val="00055C75"/>
    <w:rsid w:val="00055CCB"/>
    <w:rsid w:val="0005759D"/>
    <w:rsid w:val="00061FD7"/>
    <w:rsid w:val="0006259E"/>
    <w:rsid w:val="000631BD"/>
    <w:rsid w:val="000649D5"/>
    <w:rsid w:val="00065B49"/>
    <w:rsid w:val="000666BE"/>
    <w:rsid w:val="00067C40"/>
    <w:rsid w:val="0007411C"/>
    <w:rsid w:val="00075212"/>
    <w:rsid w:val="0008018B"/>
    <w:rsid w:val="00080D36"/>
    <w:rsid w:val="00085E1D"/>
    <w:rsid w:val="0008604D"/>
    <w:rsid w:val="0008770F"/>
    <w:rsid w:val="00087BD4"/>
    <w:rsid w:val="0009423F"/>
    <w:rsid w:val="0009519F"/>
    <w:rsid w:val="000A0C4F"/>
    <w:rsid w:val="000A106D"/>
    <w:rsid w:val="000A195B"/>
    <w:rsid w:val="000A255E"/>
    <w:rsid w:val="000A25ED"/>
    <w:rsid w:val="000A2D8E"/>
    <w:rsid w:val="000A7032"/>
    <w:rsid w:val="000A71A7"/>
    <w:rsid w:val="000A7481"/>
    <w:rsid w:val="000B0691"/>
    <w:rsid w:val="000B3EF1"/>
    <w:rsid w:val="000B4376"/>
    <w:rsid w:val="000B650A"/>
    <w:rsid w:val="000C04CA"/>
    <w:rsid w:val="000C10AD"/>
    <w:rsid w:val="000C2744"/>
    <w:rsid w:val="000C6543"/>
    <w:rsid w:val="000C68CC"/>
    <w:rsid w:val="000C74C6"/>
    <w:rsid w:val="000D0768"/>
    <w:rsid w:val="000D0C30"/>
    <w:rsid w:val="000D1589"/>
    <w:rsid w:val="000D18AD"/>
    <w:rsid w:val="000D2F93"/>
    <w:rsid w:val="000D3CEB"/>
    <w:rsid w:val="000D44EC"/>
    <w:rsid w:val="000D66C9"/>
    <w:rsid w:val="000E243C"/>
    <w:rsid w:val="000E5618"/>
    <w:rsid w:val="000E5B86"/>
    <w:rsid w:val="000E5EAB"/>
    <w:rsid w:val="000F0DC1"/>
    <w:rsid w:val="000F20EF"/>
    <w:rsid w:val="000F3331"/>
    <w:rsid w:val="000F5F23"/>
    <w:rsid w:val="001003A5"/>
    <w:rsid w:val="00100A81"/>
    <w:rsid w:val="001011B2"/>
    <w:rsid w:val="0010318E"/>
    <w:rsid w:val="00103E5C"/>
    <w:rsid w:val="0010400F"/>
    <w:rsid w:val="00107156"/>
    <w:rsid w:val="00113C78"/>
    <w:rsid w:val="00116FD9"/>
    <w:rsid w:val="0012135D"/>
    <w:rsid w:val="00122750"/>
    <w:rsid w:val="00125B14"/>
    <w:rsid w:val="00130255"/>
    <w:rsid w:val="00134821"/>
    <w:rsid w:val="001357DE"/>
    <w:rsid w:val="00135E4D"/>
    <w:rsid w:val="0013647C"/>
    <w:rsid w:val="00137A0D"/>
    <w:rsid w:val="00140B84"/>
    <w:rsid w:val="00141593"/>
    <w:rsid w:val="001514C5"/>
    <w:rsid w:val="0015172E"/>
    <w:rsid w:val="00152114"/>
    <w:rsid w:val="0015343D"/>
    <w:rsid w:val="00153AA1"/>
    <w:rsid w:val="0015425D"/>
    <w:rsid w:val="00155B98"/>
    <w:rsid w:val="00162708"/>
    <w:rsid w:val="001631A3"/>
    <w:rsid w:val="001631B0"/>
    <w:rsid w:val="00165A49"/>
    <w:rsid w:val="00173046"/>
    <w:rsid w:val="001779A9"/>
    <w:rsid w:val="00181353"/>
    <w:rsid w:val="00183033"/>
    <w:rsid w:val="00183198"/>
    <w:rsid w:val="00183C27"/>
    <w:rsid w:val="00186686"/>
    <w:rsid w:val="00186B5E"/>
    <w:rsid w:val="00187133"/>
    <w:rsid w:val="0019022A"/>
    <w:rsid w:val="00190ADC"/>
    <w:rsid w:val="00196FAB"/>
    <w:rsid w:val="0019782E"/>
    <w:rsid w:val="001A018E"/>
    <w:rsid w:val="001A0F02"/>
    <w:rsid w:val="001A4FD4"/>
    <w:rsid w:val="001A5D1D"/>
    <w:rsid w:val="001A78FF"/>
    <w:rsid w:val="001B2D95"/>
    <w:rsid w:val="001B36A2"/>
    <w:rsid w:val="001B40FF"/>
    <w:rsid w:val="001B4475"/>
    <w:rsid w:val="001B4B74"/>
    <w:rsid w:val="001B57B6"/>
    <w:rsid w:val="001B7DF3"/>
    <w:rsid w:val="001C0DF8"/>
    <w:rsid w:val="001C10A0"/>
    <w:rsid w:val="001C1FFA"/>
    <w:rsid w:val="001C3154"/>
    <w:rsid w:val="001C566C"/>
    <w:rsid w:val="001C5D64"/>
    <w:rsid w:val="001C762F"/>
    <w:rsid w:val="001D2117"/>
    <w:rsid w:val="001E0F8B"/>
    <w:rsid w:val="001E21E5"/>
    <w:rsid w:val="001E2737"/>
    <w:rsid w:val="001E3129"/>
    <w:rsid w:val="001E3F73"/>
    <w:rsid w:val="001E440E"/>
    <w:rsid w:val="001E57E9"/>
    <w:rsid w:val="001E75C6"/>
    <w:rsid w:val="001F01A8"/>
    <w:rsid w:val="001F4AE1"/>
    <w:rsid w:val="001F5FDF"/>
    <w:rsid w:val="001F6FAC"/>
    <w:rsid w:val="002020CE"/>
    <w:rsid w:val="002069BF"/>
    <w:rsid w:val="00210819"/>
    <w:rsid w:val="002122DC"/>
    <w:rsid w:val="00212E92"/>
    <w:rsid w:val="0021370E"/>
    <w:rsid w:val="002137F3"/>
    <w:rsid w:val="00214265"/>
    <w:rsid w:val="002147CD"/>
    <w:rsid w:val="00216E34"/>
    <w:rsid w:val="002209E2"/>
    <w:rsid w:val="002237FC"/>
    <w:rsid w:val="0022507F"/>
    <w:rsid w:val="00225453"/>
    <w:rsid w:val="00225B56"/>
    <w:rsid w:val="00230CD3"/>
    <w:rsid w:val="00231990"/>
    <w:rsid w:val="00231A25"/>
    <w:rsid w:val="002322CD"/>
    <w:rsid w:val="002401CC"/>
    <w:rsid w:val="00242A13"/>
    <w:rsid w:val="00242B51"/>
    <w:rsid w:val="00243343"/>
    <w:rsid w:val="002463A4"/>
    <w:rsid w:val="002505AA"/>
    <w:rsid w:val="002513B5"/>
    <w:rsid w:val="00251DCE"/>
    <w:rsid w:val="0025215D"/>
    <w:rsid w:val="00252D1F"/>
    <w:rsid w:val="00252FCF"/>
    <w:rsid w:val="00253838"/>
    <w:rsid w:val="00254F21"/>
    <w:rsid w:val="00262196"/>
    <w:rsid w:val="00262853"/>
    <w:rsid w:val="00264241"/>
    <w:rsid w:val="002651A5"/>
    <w:rsid w:val="002658D1"/>
    <w:rsid w:val="002667AE"/>
    <w:rsid w:val="00267A07"/>
    <w:rsid w:val="00270D4D"/>
    <w:rsid w:val="00276CC8"/>
    <w:rsid w:val="002779A1"/>
    <w:rsid w:val="00277F86"/>
    <w:rsid w:val="002806E1"/>
    <w:rsid w:val="00281D6A"/>
    <w:rsid w:val="00282077"/>
    <w:rsid w:val="00282C54"/>
    <w:rsid w:val="00284AA4"/>
    <w:rsid w:val="00285DC6"/>
    <w:rsid w:val="00285FB8"/>
    <w:rsid w:val="00286F8B"/>
    <w:rsid w:val="002904C5"/>
    <w:rsid w:val="00290D31"/>
    <w:rsid w:val="00292916"/>
    <w:rsid w:val="00292BE4"/>
    <w:rsid w:val="002A007B"/>
    <w:rsid w:val="002A017E"/>
    <w:rsid w:val="002A0205"/>
    <w:rsid w:val="002A0631"/>
    <w:rsid w:val="002A3738"/>
    <w:rsid w:val="002A46FF"/>
    <w:rsid w:val="002B0388"/>
    <w:rsid w:val="002B0669"/>
    <w:rsid w:val="002B191E"/>
    <w:rsid w:val="002B2B9C"/>
    <w:rsid w:val="002B4158"/>
    <w:rsid w:val="002B4281"/>
    <w:rsid w:val="002B7233"/>
    <w:rsid w:val="002C045F"/>
    <w:rsid w:val="002C067F"/>
    <w:rsid w:val="002C1A82"/>
    <w:rsid w:val="002C313E"/>
    <w:rsid w:val="002C3CCA"/>
    <w:rsid w:val="002C4F5F"/>
    <w:rsid w:val="002C5391"/>
    <w:rsid w:val="002C72BF"/>
    <w:rsid w:val="002D040D"/>
    <w:rsid w:val="002D064B"/>
    <w:rsid w:val="002D12FD"/>
    <w:rsid w:val="002D1C12"/>
    <w:rsid w:val="002D2633"/>
    <w:rsid w:val="002D464F"/>
    <w:rsid w:val="002D50B3"/>
    <w:rsid w:val="002D7D37"/>
    <w:rsid w:val="002E0C19"/>
    <w:rsid w:val="002E2CF6"/>
    <w:rsid w:val="002E477E"/>
    <w:rsid w:val="002E7799"/>
    <w:rsid w:val="002F11F7"/>
    <w:rsid w:val="002F456C"/>
    <w:rsid w:val="002F4B17"/>
    <w:rsid w:val="002F739A"/>
    <w:rsid w:val="00300461"/>
    <w:rsid w:val="00301C22"/>
    <w:rsid w:val="00303E46"/>
    <w:rsid w:val="0030475C"/>
    <w:rsid w:val="003055E5"/>
    <w:rsid w:val="00312035"/>
    <w:rsid w:val="003123E4"/>
    <w:rsid w:val="00312FCB"/>
    <w:rsid w:val="003131B3"/>
    <w:rsid w:val="00315333"/>
    <w:rsid w:val="00320335"/>
    <w:rsid w:val="00320996"/>
    <w:rsid w:val="00322A9E"/>
    <w:rsid w:val="0032452F"/>
    <w:rsid w:val="00324F84"/>
    <w:rsid w:val="00327754"/>
    <w:rsid w:val="00331807"/>
    <w:rsid w:val="00333467"/>
    <w:rsid w:val="00341F55"/>
    <w:rsid w:val="0034395E"/>
    <w:rsid w:val="003460A2"/>
    <w:rsid w:val="00346796"/>
    <w:rsid w:val="003520B1"/>
    <w:rsid w:val="00352352"/>
    <w:rsid w:val="003532A4"/>
    <w:rsid w:val="003555CF"/>
    <w:rsid w:val="003562D7"/>
    <w:rsid w:val="0035771F"/>
    <w:rsid w:val="0035794F"/>
    <w:rsid w:val="00360C92"/>
    <w:rsid w:val="00363261"/>
    <w:rsid w:val="0036402B"/>
    <w:rsid w:val="00365922"/>
    <w:rsid w:val="00371A0C"/>
    <w:rsid w:val="00373FF4"/>
    <w:rsid w:val="00377213"/>
    <w:rsid w:val="0037738C"/>
    <w:rsid w:val="0038028F"/>
    <w:rsid w:val="0038130D"/>
    <w:rsid w:val="00381414"/>
    <w:rsid w:val="003819BB"/>
    <w:rsid w:val="00382442"/>
    <w:rsid w:val="003827F8"/>
    <w:rsid w:val="00383B09"/>
    <w:rsid w:val="00391572"/>
    <w:rsid w:val="00392C91"/>
    <w:rsid w:val="00393899"/>
    <w:rsid w:val="00394076"/>
    <w:rsid w:val="003952FA"/>
    <w:rsid w:val="003961F0"/>
    <w:rsid w:val="0039686F"/>
    <w:rsid w:val="003974D7"/>
    <w:rsid w:val="003A0A37"/>
    <w:rsid w:val="003A1554"/>
    <w:rsid w:val="003A1F14"/>
    <w:rsid w:val="003A5B3D"/>
    <w:rsid w:val="003A5BEB"/>
    <w:rsid w:val="003B1871"/>
    <w:rsid w:val="003B3F75"/>
    <w:rsid w:val="003B612E"/>
    <w:rsid w:val="003B7281"/>
    <w:rsid w:val="003B7F25"/>
    <w:rsid w:val="003C10FB"/>
    <w:rsid w:val="003C12A3"/>
    <w:rsid w:val="003C1367"/>
    <w:rsid w:val="003C253F"/>
    <w:rsid w:val="003C387C"/>
    <w:rsid w:val="003C3C51"/>
    <w:rsid w:val="003C46CE"/>
    <w:rsid w:val="003C4819"/>
    <w:rsid w:val="003C4C34"/>
    <w:rsid w:val="003C5947"/>
    <w:rsid w:val="003D336E"/>
    <w:rsid w:val="003D5654"/>
    <w:rsid w:val="003E2BBD"/>
    <w:rsid w:val="003E3D0F"/>
    <w:rsid w:val="003E6F2A"/>
    <w:rsid w:val="003E7046"/>
    <w:rsid w:val="003F043A"/>
    <w:rsid w:val="003F0992"/>
    <w:rsid w:val="003F3774"/>
    <w:rsid w:val="003F62D2"/>
    <w:rsid w:val="003F663A"/>
    <w:rsid w:val="00402AF9"/>
    <w:rsid w:val="00406F43"/>
    <w:rsid w:val="00407334"/>
    <w:rsid w:val="0041214B"/>
    <w:rsid w:val="0041249D"/>
    <w:rsid w:val="004155B8"/>
    <w:rsid w:val="0041594F"/>
    <w:rsid w:val="004172B4"/>
    <w:rsid w:val="00417AA5"/>
    <w:rsid w:val="00421597"/>
    <w:rsid w:val="00421714"/>
    <w:rsid w:val="0042482C"/>
    <w:rsid w:val="004264DE"/>
    <w:rsid w:val="0042781F"/>
    <w:rsid w:val="00427921"/>
    <w:rsid w:val="00431C44"/>
    <w:rsid w:val="004329B9"/>
    <w:rsid w:val="00433E03"/>
    <w:rsid w:val="00434AF8"/>
    <w:rsid w:val="00435A89"/>
    <w:rsid w:val="00436B00"/>
    <w:rsid w:val="004410CF"/>
    <w:rsid w:val="00445F70"/>
    <w:rsid w:val="004469DA"/>
    <w:rsid w:val="0044700A"/>
    <w:rsid w:val="00447A31"/>
    <w:rsid w:val="00450E03"/>
    <w:rsid w:val="00452E93"/>
    <w:rsid w:val="00454623"/>
    <w:rsid w:val="00454942"/>
    <w:rsid w:val="004610CF"/>
    <w:rsid w:val="0046415E"/>
    <w:rsid w:val="0046472E"/>
    <w:rsid w:val="004676C4"/>
    <w:rsid w:val="0046790A"/>
    <w:rsid w:val="00470C46"/>
    <w:rsid w:val="0047105A"/>
    <w:rsid w:val="004711B3"/>
    <w:rsid w:val="00474DAD"/>
    <w:rsid w:val="00475731"/>
    <w:rsid w:val="004803F3"/>
    <w:rsid w:val="00480994"/>
    <w:rsid w:val="0048143E"/>
    <w:rsid w:val="004835C0"/>
    <w:rsid w:val="004838FB"/>
    <w:rsid w:val="0048441A"/>
    <w:rsid w:val="00484C17"/>
    <w:rsid w:val="0048564C"/>
    <w:rsid w:val="00485EAD"/>
    <w:rsid w:val="0048790B"/>
    <w:rsid w:val="00491962"/>
    <w:rsid w:val="0049246F"/>
    <w:rsid w:val="00492CB1"/>
    <w:rsid w:val="00495AC4"/>
    <w:rsid w:val="004961E4"/>
    <w:rsid w:val="00496D99"/>
    <w:rsid w:val="00497FFD"/>
    <w:rsid w:val="004A0A49"/>
    <w:rsid w:val="004A1422"/>
    <w:rsid w:val="004A2527"/>
    <w:rsid w:val="004A34CA"/>
    <w:rsid w:val="004A3FF7"/>
    <w:rsid w:val="004A5C27"/>
    <w:rsid w:val="004B0CEF"/>
    <w:rsid w:val="004B0D23"/>
    <w:rsid w:val="004B2946"/>
    <w:rsid w:val="004B4AA0"/>
    <w:rsid w:val="004B6347"/>
    <w:rsid w:val="004B6F22"/>
    <w:rsid w:val="004B7463"/>
    <w:rsid w:val="004C0B42"/>
    <w:rsid w:val="004C100D"/>
    <w:rsid w:val="004C1F10"/>
    <w:rsid w:val="004C3EDB"/>
    <w:rsid w:val="004C441D"/>
    <w:rsid w:val="004D29FB"/>
    <w:rsid w:val="004D3002"/>
    <w:rsid w:val="004D38FA"/>
    <w:rsid w:val="004D408C"/>
    <w:rsid w:val="004D476B"/>
    <w:rsid w:val="004D4C97"/>
    <w:rsid w:val="004D5F3C"/>
    <w:rsid w:val="004D7BE4"/>
    <w:rsid w:val="004E2248"/>
    <w:rsid w:val="004E247E"/>
    <w:rsid w:val="004E3DB0"/>
    <w:rsid w:val="004E5C41"/>
    <w:rsid w:val="004E631E"/>
    <w:rsid w:val="004E663E"/>
    <w:rsid w:val="004E7417"/>
    <w:rsid w:val="004E74B9"/>
    <w:rsid w:val="004F12ED"/>
    <w:rsid w:val="004F320A"/>
    <w:rsid w:val="004F333E"/>
    <w:rsid w:val="004F5AA7"/>
    <w:rsid w:val="004F7B79"/>
    <w:rsid w:val="00500414"/>
    <w:rsid w:val="00500440"/>
    <w:rsid w:val="00500E6D"/>
    <w:rsid w:val="0050112B"/>
    <w:rsid w:val="00501A8F"/>
    <w:rsid w:val="00502D96"/>
    <w:rsid w:val="005030D2"/>
    <w:rsid w:val="0050412C"/>
    <w:rsid w:val="005054A3"/>
    <w:rsid w:val="00506433"/>
    <w:rsid w:val="00506642"/>
    <w:rsid w:val="00507D43"/>
    <w:rsid w:val="005107C0"/>
    <w:rsid w:val="0051477C"/>
    <w:rsid w:val="0051544B"/>
    <w:rsid w:val="00516279"/>
    <w:rsid w:val="00517E27"/>
    <w:rsid w:val="0052022E"/>
    <w:rsid w:val="0052079D"/>
    <w:rsid w:val="005223BB"/>
    <w:rsid w:val="005309E0"/>
    <w:rsid w:val="00532462"/>
    <w:rsid w:val="00532745"/>
    <w:rsid w:val="00533266"/>
    <w:rsid w:val="00534124"/>
    <w:rsid w:val="00536E7C"/>
    <w:rsid w:val="00543077"/>
    <w:rsid w:val="00544156"/>
    <w:rsid w:val="005457B8"/>
    <w:rsid w:val="00550EC2"/>
    <w:rsid w:val="005525D0"/>
    <w:rsid w:val="00552B84"/>
    <w:rsid w:val="0055346F"/>
    <w:rsid w:val="00556224"/>
    <w:rsid w:val="00560DD1"/>
    <w:rsid w:val="00561C1C"/>
    <w:rsid w:val="00561E73"/>
    <w:rsid w:val="00564545"/>
    <w:rsid w:val="00564658"/>
    <w:rsid w:val="00564818"/>
    <w:rsid w:val="00564BA7"/>
    <w:rsid w:val="00564D85"/>
    <w:rsid w:val="00565EC5"/>
    <w:rsid w:val="00566A41"/>
    <w:rsid w:val="0057144E"/>
    <w:rsid w:val="00571E32"/>
    <w:rsid w:val="005740C4"/>
    <w:rsid w:val="0057566D"/>
    <w:rsid w:val="00582414"/>
    <w:rsid w:val="00582C01"/>
    <w:rsid w:val="00587A6E"/>
    <w:rsid w:val="00592106"/>
    <w:rsid w:val="0059341E"/>
    <w:rsid w:val="00593F6A"/>
    <w:rsid w:val="00594614"/>
    <w:rsid w:val="005965E9"/>
    <w:rsid w:val="005966D0"/>
    <w:rsid w:val="0059708E"/>
    <w:rsid w:val="00597FC5"/>
    <w:rsid w:val="005A0560"/>
    <w:rsid w:val="005A1082"/>
    <w:rsid w:val="005A1AFD"/>
    <w:rsid w:val="005A2372"/>
    <w:rsid w:val="005A3995"/>
    <w:rsid w:val="005A505C"/>
    <w:rsid w:val="005A5B39"/>
    <w:rsid w:val="005A5D47"/>
    <w:rsid w:val="005B141A"/>
    <w:rsid w:val="005B27C9"/>
    <w:rsid w:val="005B2B4C"/>
    <w:rsid w:val="005B773B"/>
    <w:rsid w:val="005B78C0"/>
    <w:rsid w:val="005B7D30"/>
    <w:rsid w:val="005C15AA"/>
    <w:rsid w:val="005C34F2"/>
    <w:rsid w:val="005C3FCD"/>
    <w:rsid w:val="005C4FA8"/>
    <w:rsid w:val="005C61D9"/>
    <w:rsid w:val="005C6E43"/>
    <w:rsid w:val="005C7F07"/>
    <w:rsid w:val="005D0A21"/>
    <w:rsid w:val="005D191A"/>
    <w:rsid w:val="005D259A"/>
    <w:rsid w:val="005D4879"/>
    <w:rsid w:val="005D6508"/>
    <w:rsid w:val="005E127D"/>
    <w:rsid w:val="005E47DA"/>
    <w:rsid w:val="005E6E40"/>
    <w:rsid w:val="005E7624"/>
    <w:rsid w:val="005F034A"/>
    <w:rsid w:val="005F1C8A"/>
    <w:rsid w:val="005F55A1"/>
    <w:rsid w:val="005F60F8"/>
    <w:rsid w:val="005F6491"/>
    <w:rsid w:val="005F727E"/>
    <w:rsid w:val="005F7F6B"/>
    <w:rsid w:val="006025BA"/>
    <w:rsid w:val="00603826"/>
    <w:rsid w:val="00604A5A"/>
    <w:rsid w:val="00605266"/>
    <w:rsid w:val="00606720"/>
    <w:rsid w:val="00606A4B"/>
    <w:rsid w:val="00607919"/>
    <w:rsid w:val="0061232A"/>
    <w:rsid w:val="00612F5F"/>
    <w:rsid w:val="006142EC"/>
    <w:rsid w:val="0061476B"/>
    <w:rsid w:val="006156EB"/>
    <w:rsid w:val="006168E4"/>
    <w:rsid w:val="00621FB3"/>
    <w:rsid w:val="00622624"/>
    <w:rsid w:val="00622F5F"/>
    <w:rsid w:val="006275E1"/>
    <w:rsid w:val="00631679"/>
    <w:rsid w:val="00635293"/>
    <w:rsid w:val="006427D9"/>
    <w:rsid w:val="006427E4"/>
    <w:rsid w:val="00645599"/>
    <w:rsid w:val="00647F6D"/>
    <w:rsid w:val="00650907"/>
    <w:rsid w:val="00651291"/>
    <w:rsid w:val="00653403"/>
    <w:rsid w:val="0065422A"/>
    <w:rsid w:val="0065593D"/>
    <w:rsid w:val="0065605D"/>
    <w:rsid w:val="00661118"/>
    <w:rsid w:val="00662484"/>
    <w:rsid w:val="0066370C"/>
    <w:rsid w:val="00664102"/>
    <w:rsid w:val="00665859"/>
    <w:rsid w:val="00666D79"/>
    <w:rsid w:val="00671362"/>
    <w:rsid w:val="00672948"/>
    <w:rsid w:val="00675410"/>
    <w:rsid w:val="006775F4"/>
    <w:rsid w:val="00677D84"/>
    <w:rsid w:val="00680539"/>
    <w:rsid w:val="00681971"/>
    <w:rsid w:val="0068380F"/>
    <w:rsid w:val="00683A2F"/>
    <w:rsid w:val="006862A3"/>
    <w:rsid w:val="00687BFC"/>
    <w:rsid w:val="00690F1A"/>
    <w:rsid w:val="0069447E"/>
    <w:rsid w:val="00694D02"/>
    <w:rsid w:val="00694E91"/>
    <w:rsid w:val="0069658B"/>
    <w:rsid w:val="006A0610"/>
    <w:rsid w:val="006A0624"/>
    <w:rsid w:val="006A0A8F"/>
    <w:rsid w:val="006A12E9"/>
    <w:rsid w:val="006A1487"/>
    <w:rsid w:val="006A722A"/>
    <w:rsid w:val="006A7A73"/>
    <w:rsid w:val="006A7C97"/>
    <w:rsid w:val="006A7F20"/>
    <w:rsid w:val="006B01E0"/>
    <w:rsid w:val="006B08E5"/>
    <w:rsid w:val="006B16D6"/>
    <w:rsid w:val="006B16DB"/>
    <w:rsid w:val="006B1C62"/>
    <w:rsid w:val="006B367C"/>
    <w:rsid w:val="006B62BF"/>
    <w:rsid w:val="006B646E"/>
    <w:rsid w:val="006C04D0"/>
    <w:rsid w:val="006C2435"/>
    <w:rsid w:val="006C705B"/>
    <w:rsid w:val="006D2487"/>
    <w:rsid w:val="006D2C2F"/>
    <w:rsid w:val="006D4F4C"/>
    <w:rsid w:val="006D5363"/>
    <w:rsid w:val="006E00C9"/>
    <w:rsid w:val="006E2132"/>
    <w:rsid w:val="006F0BB6"/>
    <w:rsid w:val="006F194B"/>
    <w:rsid w:val="006F23DC"/>
    <w:rsid w:val="006F4E2D"/>
    <w:rsid w:val="007012D2"/>
    <w:rsid w:val="00703604"/>
    <w:rsid w:val="007036F0"/>
    <w:rsid w:val="00704307"/>
    <w:rsid w:val="00705686"/>
    <w:rsid w:val="007103B7"/>
    <w:rsid w:val="007116D8"/>
    <w:rsid w:val="0071213B"/>
    <w:rsid w:val="0071315F"/>
    <w:rsid w:val="007151F0"/>
    <w:rsid w:val="00716AFE"/>
    <w:rsid w:val="00717144"/>
    <w:rsid w:val="00720507"/>
    <w:rsid w:val="007208FA"/>
    <w:rsid w:val="0072418F"/>
    <w:rsid w:val="00725315"/>
    <w:rsid w:val="00725DFA"/>
    <w:rsid w:val="00726468"/>
    <w:rsid w:val="00732967"/>
    <w:rsid w:val="00733E01"/>
    <w:rsid w:val="00735AA1"/>
    <w:rsid w:val="00735B4A"/>
    <w:rsid w:val="00736E58"/>
    <w:rsid w:val="007379F9"/>
    <w:rsid w:val="00741730"/>
    <w:rsid w:val="00741EC2"/>
    <w:rsid w:val="0074228B"/>
    <w:rsid w:val="00742FC6"/>
    <w:rsid w:val="00744F86"/>
    <w:rsid w:val="00745B83"/>
    <w:rsid w:val="00746C22"/>
    <w:rsid w:val="007476B5"/>
    <w:rsid w:val="0075227D"/>
    <w:rsid w:val="00753A7D"/>
    <w:rsid w:val="007549AB"/>
    <w:rsid w:val="00754BF6"/>
    <w:rsid w:val="00760913"/>
    <w:rsid w:val="007662C5"/>
    <w:rsid w:val="007672BA"/>
    <w:rsid w:val="0076798F"/>
    <w:rsid w:val="00770496"/>
    <w:rsid w:val="007715C6"/>
    <w:rsid w:val="00773659"/>
    <w:rsid w:val="007745C7"/>
    <w:rsid w:val="00781ABC"/>
    <w:rsid w:val="00782B96"/>
    <w:rsid w:val="00782D74"/>
    <w:rsid w:val="007835C8"/>
    <w:rsid w:val="00783995"/>
    <w:rsid w:val="00784E5D"/>
    <w:rsid w:val="00784E87"/>
    <w:rsid w:val="00790726"/>
    <w:rsid w:val="007918C7"/>
    <w:rsid w:val="00791D2D"/>
    <w:rsid w:val="00792CCD"/>
    <w:rsid w:val="007A0AF1"/>
    <w:rsid w:val="007A1E01"/>
    <w:rsid w:val="007A296C"/>
    <w:rsid w:val="007A5CF2"/>
    <w:rsid w:val="007A684F"/>
    <w:rsid w:val="007A73A7"/>
    <w:rsid w:val="007B048C"/>
    <w:rsid w:val="007B0660"/>
    <w:rsid w:val="007B2887"/>
    <w:rsid w:val="007B51C5"/>
    <w:rsid w:val="007B67C1"/>
    <w:rsid w:val="007C2D2B"/>
    <w:rsid w:val="007C2DF6"/>
    <w:rsid w:val="007C2DF7"/>
    <w:rsid w:val="007C3F93"/>
    <w:rsid w:val="007C62B3"/>
    <w:rsid w:val="007D0319"/>
    <w:rsid w:val="007D1A6B"/>
    <w:rsid w:val="007D2A70"/>
    <w:rsid w:val="007D41F0"/>
    <w:rsid w:val="007D4E4B"/>
    <w:rsid w:val="007D58E7"/>
    <w:rsid w:val="007D60A4"/>
    <w:rsid w:val="007D64AF"/>
    <w:rsid w:val="007D68FD"/>
    <w:rsid w:val="007E44E4"/>
    <w:rsid w:val="007E58BF"/>
    <w:rsid w:val="007E6214"/>
    <w:rsid w:val="007E6B76"/>
    <w:rsid w:val="007E7EF0"/>
    <w:rsid w:val="007F045F"/>
    <w:rsid w:val="007F120D"/>
    <w:rsid w:val="007F14FF"/>
    <w:rsid w:val="007F1D66"/>
    <w:rsid w:val="007F2BBD"/>
    <w:rsid w:val="007F5C2C"/>
    <w:rsid w:val="00800726"/>
    <w:rsid w:val="008014EA"/>
    <w:rsid w:val="0080401A"/>
    <w:rsid w:val="00804E37"/>
    <w:rsid w:val="00806B95"/>
    <w:rsid w:val="008074A9"/>
    <w:rsid w:val="00811205"/>
    <w:rsid w:val="0081434E"/>
    <w:rsid w:val="00814821"/>
    <w:rsid w:val="00816627"/>
    <w:rsid w:val="0081668C"/>
    <w:rsid w:val="00816857"/>
    <w:rsid w:val="0081755E"/>
    <w:rsid w:val="008203CC"/>
    <w:rsid w:val="00822C06"/>
    <w:rsid w:val="008236DB"/>
    <w:rsid w:val="00823B5D"/>
    <w:rsid w:val="00825BDA"/>
    <w:rsid w:val="00827969"/>
    <w:rsid w:val="00834638"/>
    <w:rsid w:val="00837FCD"/>
    <w:rsid w:val="0084359C"/>
    <w:rsid w:val="0084433C"/>
    <w:rsid w:val="0084543A"/>
    <w:rsid w:val="00845CF6"/>
    <w:rsid w:val="00847A11"/>
    <w:rsid w:val="00847B24"/>
    <w:rsid w:val="00851B44"/>
    <w:rsid w:val="00852F1F"/>
    <w:rsid w:val="00856B50"/>
    <w:rsid w:val="00857C61"/>
    <w:rsid w:val="00860D22"/>
    <w:rsid w:val="008650EA"/>
    <w:rsid w:val="00866104"/>
    <w:rsid w:val="008704F2"/>
    <w:rsid w:val="00871644"/>
    <w:rsid w:val="0087168D"/>
    <w:rsid w:val="008717D1"/>
    <w:rsid w:val="00871F6C"/>
    <w:rsid w:val="00872FA0"/>
    <w:rsid w:val="0087335E"/>
    <w:rsid w:val="0087382D"/>
    <w:rsid w:val="00880C2E"/>
    <w:rsid w:val="00882209"/>
    <w:rsid w:val="0088528E"/>
    <w:rsid w:val="0088563B"/>
    <w:rsid w:val="00885CA3"/>
    <w:rsid w:val="00886320"/>
    <w:rsid w:val="00886A30"/>
    <w:rsid w:val="008902F4"/>
    <w:rsid w:val="008907B8"/>
    <w:rsid w:val="00890C83"/>
    <w:rsid w:val="00895E26"/>
    <w:rsid w:val="008A10B5"/>
    <w:rsid w:val="008A14DE"/>
    <w:rsid w:val="008A402F"/>
    <w:rsid w:val="008A5DA2"/>
    <w:rsid w:val="008A6D62"/>
    <w:rsid w:val="008B0D08"/>
    <w:rsid w:val="008B1C50"/>
    <w:rsid w:val="008B2CE7"/>
    <w:rsid w:val="008B3BCB"/>
    <w:rsid w:val="008B3E2E"/>
    <w:rsid w:val="008B4640"/>
    <w:rsid w:val="008B5538"/>
    <w:rsid w:val="008C00E9"/>
    <w:rsid w:val="008C217A"/>
    <w:rsid w:val="008C461F"/>
    <w:rsid w:val="008C6AC6"/>
    <w:rsid w:val="008D10F1"/>
    <w:rsid w:val="008D17B4"/>
    <w:rsid w:val="008D3DF9"/>
    <w:rsid w:val="008E0715"/>
    <w:rsid w:val="008E1CDE"/>
    <w:rsid w:val="008E5D42"/>
    <w:rsid w:val="008E62EB"/>
    <w:rsid w:val="008E7299"/>
    <w:rsid w:val="008E7BAA"/>
    <w:rsid w:val="008F09B2"/>
    <w:rsid w:val="008F2201"/>
    <w:rsid w:val="008F2429"/>
    <w:rsid w:val="008F3992"/>
    <w:rsid w:val="008F3CF3"/>
    <w:rsid w:val="008F41B8"/>
    <w:rsid w:val="008F41E3"/>
    <w:rsid w:val="008F4DAA"/>
    <w:rsid w:val="008F50AE"/>
    <w:rsid w:val="008F5368"/>
    <w:rsid w:val="008F664A"/>
    <w:rsid w:val="008F6970"/>
    <w:rsid w:val="008F6B66"/>
    <w:rsid w:val="008F7EEB"/>
    <w:rsid w:val="009018B5"/>
    <w:rsid w:val="009019AD"/>
    <w:rsid w:val="00902FB2"/>
    <w:rsid w:val="00903841"/>
    <w:rsid w:val="009050C5"/>
    <w:rsid w:val="00912C1C"/>
    <w:rsid w:val="00915AEC"/>
    <w:rsid w:val="00920CE5"/>
    <w:rsid w:val="00920F7C"/>
    <w:rsid w:val="009213BA"/>
    <w:rsid w:val="0092352A"/>
    <w:rsid w:val="0092363C"/>
    <w:rsid w:val="00925746"/>
    <w:rsid w:val="009279BD"/>
    <w:rsid w:val="009310FD"/>
    <w:rsid w:val="0093184A"/>
    <w:rsid w:val="009345DE"/>
    <w:rsid w:val="0093558C"/>
    <w:rsid w:val="00941A69"/>
    <w:rsid w:val="00941AE2"/>
    <w:rsid w:val="00942FE5"/>
    <w:rsid w:val="00943061"/>
    <w:rsid w:val="00943145"/>
    <w:rsid w:val="00945A4F"/>
    <w:rsid w:val="0094710F"/>
    <w:rsid w:val="00951716"/>
    <w:rsid w:val="00951D91"/>
    <w:rsid w:val="0095202E"/>
    <w:rsid w:val="00952FDE"/>
    <w:rsid w:val="00953E7C"/>
    <w:rsid w:val="00960FF3"/>
    <w:rsid w:val="009637CC"/>
    <w:rsid w:val="0096404E"/>
    <w:rsid w:val="00965891"/>
    <w:rsid w:val="009701FA"/>
    <w:rsid w:val="00970E30"/>
    <w:rsid w:val="00972C13"/>
    <w:rsid w:val="00973069"/>
    <w:rsid w:val="00975253"/>
    <w:rsid w:val="00980104"/>
    <w:rsid w:val="00983E46"/>
    <w:rsid w:val="0098417B"/>
    <w:rsid w:val="00986E81"/>
    <w:rsid w:val="009870F2"/>
    <w:rsid w:val="00991FEC"/>
    <w:rsid w:val="009A04A7"/>
    <w:rsid w:val="009A1571"/>
    <w:rsid w:val="009A1D6E"/>
    <w:rsid w:val="009A5CA9"/>
    <w:rsid w:val="009A6EC8"/>
    <w:rsid w:val="009B0670"/>
    <w:rsid w:val="009B37E4"/>
    <w:rsid w:val="009B382E"/>
    <w:rsid w:val="009B4069"/>
    <w:rsid w:val="009B42CA"/>
    <w:rsid w:val="009B504C"/>
    <w:rsid w:val="009B6262"/>
    <w:rsid w:val="009B6EA9"/>
    <w:rsid w:val="009C044F"/>
    <w:rsid w:val="009C1589"/>
    <w:rsid w:val="009C2705"/>
    <w:rsid w:val="009C3044"/>
    <w:rsid w:val="009C4D36"/>
    <w:rsid w:val="009C604A"/>
    <w:rsid w:val="009C6EE6"/>
    <w:rsid w:val="009C75CA"/>
    <w:rsid w:val="009D0E2C"/>
    <w:rsid w:val="009D3419"/>
    <w:rsid w:val="009D3609"/>
    <w:rsid w:val="009D3BE2"/>
    <w:rsid w:val="009D54C3"/>
    <w:rsid w:val="009D5589"/>
    <w:rsid w:val="009D581B"/>
    <w:rsid w:val="009D7FEA"/>
    <w:rsid w:val="009E0A31"/>
    <w:rsid w:val="009E0F2E"/>
    <w:rsid w:val="009E3B90"/>
    <w:rsid w:val="009E4386"/>
    <w:rsid w:val="009E66E2"/>
    <w:rsid w:val="009E684E"/>
    <w:rsid w:val="009E6A38"/>
    <w:rsid w:val="009E6BC4"/>
    <w:rsid w:val="009E6E9E"/>
    <w:rsid w:val="009F0273"/>
    <w:rsid w:val="009F0B81"/>
    <w:rsid w:val="009F3C4C"/>
    <w:rsid w:val="009F3F04"/>
    <w:rsid w:val="009F5817"/>
    <w:rsid w:val="009F5C47"/>
    <w:rsid w:val="00A01004"/>
    <w:rsid w:val="00A010BA"/>
    <w:rsid w:val="00A04566"/>
    <w:rsid w:val="00A076D3"/>
    <w:rsid w:val="00A07E2D"/>
    <w:rsid w:val="00A1062A"/>
    <w:rsid w:val="00A1156F"/>
    <w:rsid w:val="00A22607"/>
    <w:rsid w:val="00A3099D"/>
    <w:rsid w:val="00A317BA"/>
    <w:rsid w:val="00A32F41"/>
    <w:rsid w:val="00A37556"/>
    <w:rsid w:val="00A376E5"/>
    <w:rsid w:val="00A40148"/>
    <w:rsid w:val="00A411A7"/>
    <w:rsid w:val="00A42D96"/>
    <w:rsid w:val="00A46D75"/>
    <w:rsid w:val="00A51E3C"/>
    <w:rsid w:val="00A51F1F"/>
    <w:rsid w:val="00A521C3"/>
    <w:rsid w:val="00A5422E"/>
    <w:rsid w:val="00A60142"/>
    <w:rsid w:val="00A60DDA"/>
    <w:rsid w:val="00A60ECE"/>
    <w:rsid w:val="00A6151E"/>
    <w:rsid w:val="00A62310"/>
    <w:rsid w:val="00A6278E"/>
    <w:rsid w:val="00A64ED8"/>
    <w:rsid w:val="00A663B2"/>
    <w:rsid w:val="00A70792"/>
    <w:rsid w:val="00A71F36"/>
    <w:rsid w:val="00A729D0"/>
    <w:rsid w:val="00A74903"/>
    <w:rsid w:val="00A750DF"/>
    <w:rsid w:val="00A75266"/>
    <w:rsid w:val="00A76CA9"/>
    <w:rsid w:val="00A81ED2"/>
    <w:rsid w:val="00A82AAF"/>
    <w:rsid w:val="00A83FE8"/>
    <w:rsid w:val="00A84A9C"/>
    <w:rsid w:val="00A86FE4"/>
    <w:rsid w:val="00A91F66"/>
    <w:rsid w:val="00A942A6"/>
    <w:rsid w:val="00AA044C"/>
    <w:rsid w:val="00AA71ED"/>
    <w:rsid w:val="00AB13D0"/>
    <w:rsid w:val="00AB25F1"/>
    <w:rsid w:val="00AB5392"/>
    <w:rsid w:val="00AB61B8"/>
    <w:rsid w:val="00AB6D58"/>
    <w:rsid w:val="00AC1247"/>
    <w:rsid w:val="00AC63E7"/>
    <w:rsid w:val="00AC66B5"/>
    <w:rsid w:val="00AC7767"/>
    <w:rsid w:val="00AD084D"/>
    <w:rsid w:val="00AD1F4E"/>
    <w:rsid w:val="00AD5758"/>
    <w:rsid w:val="00AD6174"/>
    <w:rsid w:val="00AD6181"/>
    <w:rsid w:val="00AD74F9"/>
    <w:rsid w:val="00AD7C72"/>
    <w:rsid w:val="00AE0677"/>
    <w:rsid w:val="00AE40A4"/>
    <w:rsid w:val="00AE6E02"/>
    <w:rsid w:val="00AE7920"/>
    <w:rsid w:val="00AF0890"/>
    <w:rsid w:val="00AF39C6"/>
    <w:rsid w:val="00AF4DBA"/>
    <w:rsid w:val="00B01B6C"/>
    <w:rsid w:val="00B01F45"/>
    <w:rsid w:val="00B039BA"/>
    <w:rsid w:val="00B04B93"/>
    <w:rsid w:val="00B06DEE"/>
    <w:rsid w:val="00B10655"/>
    <w:rsid w:val="00B10855"/>
    <w:rsid w:val="00B1197D"/>
    <w:rsid w:val="00B11B70"/>
    <w:rsid w:val="00B12465"/>
    <w:rsid w:val="00B1515A"/>
    <w:rsid w:val="00B162EA"/>
    <w:rsid w:val="00B210FA"/>
    <w:rsid w:val="00B25AE2"/>
    <w:rsid w:val="00B26712"/>
    <w:rsid w:val="00B26762"/>
    <w:rsid w:val="00B27E53"/>
    <w:rsid w:val="00B30AB2"/>
    <w:rsid w:val="00B3447A"/>
    <w:rsid w:val="00B37BB1"/>
    <w:rsid w:val="00B40A6B"/>
    <w:rsid w:val="00B413B6"/>
    <w:rsid w:val="00B440FF"/>
    <w:rsid w:val="00B44C95"/>
    <w:rsid w:val="00B46A37"/>
    <w:rsid w:val="00B4749D"/>
    <w:rsid w:val="00B50C94"/>
    <w:rsid w:val="00B542F3"/>
    <w:rsid w:val="00B57251"/>
    <w:rsid w:val="00B601D1"/>
    <w:rsid w:val="00B6097D"/>
    <w:rsid w:val="00B64626"/>
    <w:rsid w:val="00B646BF"/>
    <w:rsid w:val="00B649D3"/>
    <w:rsid w:val="00B66E02"/>
    <w:rsid w:val="00B67D72"/>
    <w:rsid w:val="00B703EF"/>
    <w:rsid w:val="00B7148A"/>
    <w:rsid w:val="00B719AD"/>
    <w:rsid w:val="00B75360"/>
    <w:rsid w:val="00B759CD"/>
    <w:rsid w:val="00B75C41"/>
    <w:rsid w:val="00B773D7"/>
    <w:rsid w:val="00B80846"/>
    <w:rsid w:val="00B81BA6"/>
    <w:rsid w:val="00B835FF"/>
    <w:rsid w:val="00B83786"/>
    <w:rsid w:val="00B84334"/>
    <w:rsid w:val="00B84349"/>
    <w:rsid w:val="00B869CA"/>
    <w:rsid w:val="00B86EB6"/>
    <w:rsid w:val="00B8710B"/>
    <w:rsid w:val="00B87C77"/>
    <w:rsid w:val="00B9310B"/>
    <w:rsid w:val="00B958DC"/>
    <w:rsid w:val="00B96276"/>
    <w:rsid w:val="00B96EF6"/>
    <w:rsid w:val="00BA09A7"/>
    <w:rsid w:val="00BA4184"/>
    <w:rsid w:val="00BA4A51"/>
    <w:rsid w:val="00BA4AAC"/>
    <w:rsid w:val="00BA5176"/>
    <w:rsid w:val="00BA5571"/>
    <w:rsid w:val="00BA6122"/>
    <w:rsid w:val="00BA68B6"/>
    <w:rsid w:val="00BA6AA1"/>
    <w:rsid w:val="00BB19B1"/>
    <w:rsid w:val="00BB207B"/>
    <w:rsid w:val="00BB303B"/>
    <w:rsid w:val="00BB3388"/>
    <w:rsid w:val="00BB3918"/>
    <w:rsid w:val="00BB6C7D"/>
    <w:rsid w:val="00BC0A0E"/>
    <w:rsid w:val="00BC3701"/>
    <w:rsid w:val="00BC38C0"/>
    <w:rsid w:val="00BC4ABF"/>
    <w:rsid w:val="00BC5023"/>
    <w:rsid w:val="00BD1027"/>
    <w:rsid w:val="00BD175D"/>
    <w:rsid w:val="00BD403E"/>
    <w:rsid w:val="00BD7E6D"/>
    <w:rsid w:val="00BE208B"/>
    <w:rsid w:val="00BE25A3"/>
    <w:rsid w:val="00BE5A3B"/>
    <w:rsid w:val="00BE65C4"/>
    <w:rsid w:val="00BF1CDA"/>
    <w:rsid w:val="00BF1ED3"/>
    <w:rsid w:val="00BF3C78"/>
    <w:rsid w:val="00BF4D47"/>
    <w:rsid w:val="00BF53B4"/>
    <w:rsid w:val="00BF568E"/>
    <w:rsid w:val="00BF7B01"/>
    <w:rsid w:val="00C00109"/>
    <w:rsid w:val="00C003C8"/>
    <w:rsid w:val="00C00719"/>
    <w:rsid w:val="00C012CD"/>
    <w:rsid w:val="00C01C19"/>
    <w:rsid w:val="00C01D55"/>
    <w:rsid w:val="00C02F82"/>
    <w:rsid w:val="00C04BD6"/>
    <w:rsid w:val="00C0643A"/>
    <w:rsid w:val="00C07763"/>
    <w:rsid w:val="00C07970"/>
    <w:rsid w:val="00C07FD2"/>
    <w:rsid w:val="00C11CDF"/>
    <w:rsid w:val="00C13C33"/>
    <w:rsid w:val="00C16423"/>
    <w:rsid w:val="00C16D6E"/>
    <w:rsid w:val="00C203B8"/>
    <w:rsid w:val="00C21FD5"/>
    <w:rsid w:val="00C25B67"/>
    <w:rsid w:val="00C2760E"/>
    <w:rsid w:val="00C27F69"/>
    <w:rsid w:val="00C326CB"/>
    <w:rsid w:val="00C32887"/>
    <w:rsid w:val="00C34E3F"/>
    <w:rsid w:val="00C35C49"/>
    <w:rsid w:val="00C36C29"/>
    <w:rsid w:val="00C42BB8"/>
    <w:rsid w:val="00C43D2E"/>
    <w:rsid w:val="00C4471F"/>
    <w:rsid w:val="00C46AB0"/>
    <w:rsid w:val="00C47469"/>
    <w:rsid w:val="00C4785C"/>
    <w:rsid w:val="00C47A34"/>
    <w:rsid w:val="00C47CAA"/>
    <w:rsid w:val="00C53721"/>
    <w:rsid w:val="00C54BDB"/>
    <w:rsid w:val="00C550E7"/>
    <w:rsid w:val="00C55A21"/>
    <w:rsid w:val="00C55CB3"/>
    <w:rsid w:val="00C57DCD"/>
    <w:rsid w:val="00C61C9F"/>
    <w:rsid w:val="00C65377"/>
    <w:rsid w:val="00C66C9F"/>
    <w:rsid w:val="00C704E7"/>
    <w:rsid w:val="00C705AD"/>
    <w:rsid w:val="00C741E7"/>
    <w:rsid w:val="00C7423F"/>
    <w:rsid w:val="00C74823"/>
    <w:rsid w:val="00C74DB1"/>
    <w:rsid w:val="00C75622"/>
    <w:rsid w:val="00C77C51"/>
    <w:rsid w:val="00C839F2"/>
    <w:rsid w:val="00C85189"/>
    <w:rsid w:val="00C85F3B"/>
    <w:rsid w:val="00C865E8"/>
    <w:rsid w:val="00C90965"/>
    <w:rsid w:val="00C970F7"/>
    <w:rsid w:val="00CA121D"/>
    <w:rsid w:val="00CA17BA"/>
    <w:rsid w:val="00CA3C16"/>
    <w:rsid w:val="00CA4563"/>
    <w:rsid w:val="00CA4C66"/>
    <w:rsid w:val="00CA5AFE"/>
    <w:rsid w:val="00CA601B"/>
    <w:rsid w:val="00CA7D6B"/>
    <w:rsid w:val="00CB0B7D"/>
    <w:rsid w:val="00CB1360"/>
    <w:rsid w:val="00CB2B5A"/>
    <w:rsid w:val="00CB5C60"/>
    <w:rsid w:val="00CB6E6D"/>
    <w:rsid w:val="00CB74A5"/>
    <w:rsid w:val="00CC0B00"/>
    <w:rsid w:val="00CC1182"/>
    <w:rsid w:val="00CC1698"/>
    <w:rsid w:val="00CC47A0"/>
    <w:rsid w:val="00CC4E8E"/>
    <w:rsid w:val="00CC634F"/>
    <w:rsid w:val="00CC6565"/>
    <w:rsid w:val="00CC6CF3"/>
    <w:rsid w:val="00CC7330"/>
    <w:rsid w:val="00CD060F"/>
    <w:rsid w:val="00CD07EA"/>
    <w:rsid w:val="00CD26E6"/>
    <w:rsid w:val="00CD2CC5"/>
    <w:rsid w:val="00CD4BDE"/>
    <w:rsid w:val="00CD569E"/>
    <w:rsid w:val="00CD6E6B"/>
    <w:rsid w:val="00CD6F12"/>
    <w:rsid w:val="00CD761F"/>
    <w:rsid w:val="00CD769C"/>
    <w:rsid w:val="00CE0306"/>
    <w:rsid w:val="00CE1A6E"/>
    <w:rsid w:val="00CE4D6D"/>
    <w:rsid w:val="00CE74F9"/>
    <w:rsid w:val="00CF2B30"/>
    <w:rsid w:val="00CF317E"/>
    <w:rsid w:val="00CF5264"/>
    <w:rsid w:val="00CF79D6"/>
    <w:rsid w:val="00D0402A"/>
    <w:rsid w:val="00D04E87"/>
    <w:rsid w:val="00D06106"/>
    <w:rsid w:val="00D07576"/>
    <w:rsid w:val="00D07F03"/>
    <w:rsid w:val="00D10FE5"/>
    <w:rsid w:val="00D11D30"/>
    <w:rsid w:val="00D11E56"/>
    <w:rsid w:val="00D13A68"/>
    <w:rsid w:val="00D1405E"/>
    <w:rsid w:val="00D15492"/>
    <w:rsid w:val="00D16EA3"/>
    <w:rsid w:val="00D17394"/>
    <w:rsid w:val="00D22F78"/>
    <w:rsid w:val="00D23723"/>
    <w:rsid w:val="00D24FDE"/>
    <w:rsid w:val="00D26D63"/>
    <w:rsid w:val="00D278AC"/>
    <w:rsid w:val="00D3238C"/>
    <w:rsid w:val="00D33C6C"/>
    <w:rsid w:val="00D42034"/>
    <w:rsid w:val="00D42BA9"/>
    <w:rsid w:val="00D4706C"/>
    <w:rsid w:val="00D51DB5"/>
    <w:rsid w:val="00D53E1F"/>
    <w:rsid w:val="00D546B6"/>
    <w:rsid w:val="00D55163"/>
    <w:rsid w:val="00D56F24"/>
    <w:rsid w:val="00D60744"/>
    <w:rsid w:val="00D613BB"/>
    <w:rsid w:val="00D62A78"/>
    <w:rsid w:val="00D64FCE"/>
    <w:rsid w:val="00D700A7"/>
    <w:rsid w:val="00D71653"/>
    <w:rsid w:val="00D71846"/>
    <w:rsid w:val="00D719E9"/>
    <w:rsid w:val="00D73985"/>
    <w:rsid w:val="00D76220"/>
    <w:rsid w:val="00D76AD9"/>
    <w:rsid w:val="00D77815"/>
    <w:rsid w:val="00D82BCB"/>
    <w:rsid w:val="00D83785"/>
    <w:rsid w:val="00D83B70"/>
    <w:rsid w:val="00D83E09"/>
    <w:rsid w:val="00D83EB2"/>
    <w:rsid w:val="00D84452"/>
    <w:rsid w:val="00D85641"/>
    <w:rsid w:val="00D85648"/>
    <w:rsid w:val="00D85AD5"/>
    <w:rsid w:val="00D86CC0"/>
    <w:rsid w:val="00D87067"/>
    <w:rsid w:val="00D95605"/>
    <w:rsid w:val="00D962F8"/>
    <w:rsid w:val="00DA0A2B"/>
    <w:rsid w:val="00DA24AB"/>
    <w:rsid w:val="00DA505E"/>
    <w:rsid w:val="00DB0944"/>
    <w:rsid w:val="00DB0BDF"/>
    <w:rsid w:val="00DB3901"/>
    <w:rsid w:val="00DB6E53"/>
    <w:rsid w:val="00DC25BC"/>
    <w:rsid w:val="00DC2A26"/>
    <w:rsid w:val="00DC4EB3"/>
    <w:rsid w:val="00DC4F11"/>
    <w:rsid w:val="00DC5AC4"/>
    <w:rsid w:val="00DC686F"/>
    <w:rsid w:val="00DD06BE"/>
    <w:rsid w:val="00DD122A"/>
    <w:rsid w:val="00DD26D6"/>
    <w:rsid w:val="00DD33F1"/>
    <w:rsid w:val="00DD3990"/>
    <w:rsid w:val="00DD40AA"/>
    <w:rsid w:val="00DD713B"/>
    <w:rsid w:val="00DD75FF"/>
    <w:rsid w:val="00DE079A"/>
    <w:rsid w:val="00DE265C"/>
    <w:rsid w:val="00DE2ADC"/>
    <w:rsid w:val="00DE2DD5"/>
    <w:rsid w:val="00DE5DD7"/>
    <w:rsid w:val="00DF0B36"/>
    <w:rsid w:val="00DF39BC"/>
    <w:rsid w:val="00DF5366"/>
    <w:rsid w:val="00DF573E"/>
    <w:rsid w:val="00DF66A0"/>
    <w:rsid w:val="00DF6E84"/>
    <w:rsid w:val="00E0173E"/>
    <w:rsid w:val="00E022D8"/>
    <w:rsid w:val="00E03130"/>
    <w:rsid w:val="00E03948"/>
    <w:rsid w:val="00E05956"/>
    <w:rsid w:val="00E074A4"/>
    <w:rsid w:val="00E075DA"/>
    <w:rsid w:val="00E10A03"/>
    <w:rsid w:val="00E10B21"/>
    <w:rsid w:val="00E1132D"/>
    <w:rsid w:val="00E12B97"/>
    <w:rsid w:val="00E12E74"/>
    <w:rsid w:val="00E16413"/>
    <w:rsid w:val="00E22C68"/>
    <w:rsid w:val="00E260D7"/>
    <w:rsid w:val="00E26E66"/>
    <w:rsid w:val="00E370A0"/>
    <w:rsid w:val="00E37113"/>
    <w:rsid w:val="00E41ABF"/>
    <w:rsid w:val="00E42616"/>
    <w:rsid w:val="00E45760"/>
    <w:rsid w:val="00E45D28"/>
    <w:rsid w:val="00E460A2"/>
    <w:rsid w:val="00E503E3"/>
    <w:rsid w:val="00E50F7E"/>
    <w:rsid w:val="00E5173C"/>
    <w:rsid w:val="00E528DE"/>
    <w:rsid w:val="00E52AB9"/>
    <w:rsid w:val="00E545EE"/>
    <w:rsid w:val="00E62926"/>
    <w:rsid w:val="00E64592"/>
    <w:rsid w:val="00E65B78"/>
    <w:rsid w:val="00E660E6"/>
    <w:rsid w:val="00E663F0"/>
    <w:rsid w:val="00E665BE"/>
    <w:rsid w:val="00E66779"/>
    <w:rsid w:val="00E67989"/>
    <w:rsid w:val="00E70A6C"/>
    <w:rsid w:val="00E7226B"/>
    <w:rsid w:val="00E75193"/>
    <w:rsid w:val="00E75DFD"/>
    <w:rsid w:val="00E77344"/>
    <w:rsid w:val="00E81DE9"/>
    <w:rsid w:val="00E8385C"/>
    <w:rsid w:val="00E84F69"/>
    <w:rsid w:val="00E85777"/>
    <w:rsid w:val="00E877D6"/>
    <w:rsid w:val="00E90E1B"/>
    <w:rsid w:val="00E927A4"/>
    <w:rsid w:val="00E92B83"/>
    <w:rsid w:val="00E94A48"/>
    <w:rsid w:val="00E94CE8"/>
    <w:rsid w:val="00E9568D"/>
    <w:rsid w:val="00EA0348"/>
    <w:rsid w:val="00EA07E7"/>
    <w:rsid w:val="00EA1AA0"/>
    <w:rsid w:val="00EA3010"/>
    <w:rsid w:val="00EA62D1"/>
    <w:rsid w:val="00EB00A7"/>
    <w:rsid w:val="00EB049B"/>
    <w:rsid w:val="00EB2367"/>
    <w:rsid w:val="00EC2D42"/>
    <w:rsid w:val="00EC2D81"/>
    <w:rsid w:val="00EC2EC7"/>
    <w:rsid w:val="00EC3C5E"/>
    <w:rsid w:val="00EC5B9F"/>
    <w:rsid w:val="00EC6983"/>
    <w:rsid w:val="00EC71A9"/>
    <w:rsid w:val="00EC792E"/>
    <w:rsid w:val="00ED1412"/>
    <w:rsid w:val="00ED214B"/>
    <w:rsid w:val="00EE3460"/>
    <w:rsid w:val="00EE43C4"/>
    <w:rsid w:val="00EE49F9"/>
    <w:rsid w:val="00EE4C2E"/>
    <w:rsid w:val="00EE616A"/>
    <w:rsid w:val="00EE6BB9"/>
    <w:rsid w:val="00EE7BB0"/>
    <w:rsid w:val="00EE7DB0"/>
    <w:rsid w:val="00EF159E"/>
    <w:rsid w:val="00EF2BB0"/>
    <w:rsid w:val="00EF6E26"/>
    <w:rsid w:val="00EF6E69"/>
    <w:rsid w:val="00F0089E"/>
    <w:rsid w:val="00F00A3F"/>
    <w:rsid w:val="00F0371B"/>
    <w:rsid w:val="00F064E1"/>
    <w:rsid w:val="00F06A78"/>
    <w:rsid w:val="00F06AEF"/>
    <w:rsid w:val="00F07309"/>
    <w:rsid w:val="00F10E4C"/>
    <w:rsid w:val="00F1369F"/>
    <w:rsid w:val="00F136B2"/>
    <w:rsid w:val="00F1426F"/>
    <w:rsid w:val="00F16A0C"/>
    <w:rsid w:val="00F23182"/>
    <w:rsid w:val="00F23595"/>
    <w:rsid w:val="00F23C79"/>
    <w:rsid w:val="00F23F71"/>
    <w:rsid w:val="00F275F1"/>
    <w:rsid w:val="00F30DF8"/>
    <w:rsid w:val="00F35EC5"/>
    <w:rsid w:val="00F36580"/>
    <w:rsid w:val="00F41311"/>
    <w:rsid w:val="00F511F0"/>
    <w:rsid w:val="00F51515"/>
    <w:rsid w:val="00F5214B"/>
    <w:rsid w:val="00F522EA"/>
    <w:rsid w:val="00F526D6"/>
    <w:rsid w:val="00F52AAF"/>
    <w:rsid w:val="00F53F16"/>
    <w:rsid w:val="00F54F1E"/>
    <w:rsid w:val="00F554AC"/>
    <w:rsid w:val="00F56A12"/>
    <w:rsid w:val="00F61574"/>
    <w:rsid w:val="00F621BF"/>
    <w:rsid w:val="00F66E0C"/>
    <w:rsid w:val="00F70E1C"/>
    <w:rsid w:val="00F7312C"/>
    <w:rsid w:val="00F73757"/>
    <w:rsid w:val="00F73805"/>
    <w:rsid w:val="00F745F4"/>
    <w:rsid w:val="00F8213D"/>
    <w:rsid w:val="00F831F1"/>
    <w:rsid w:val="00F83532"/>
    <w:rsid w:val="00F86DFC"/>
    <w:rsid w:val="00F87CCF"/>
    <w:rsid w:val="00F90B42"/>
    <w:rsid w:val="00F91193"/>
    <w:rsid w:val="00F958E9"/>
    <w:rsid w:val="00FA0A3E"/>
    <w:rsid w:val="00FA2D6E"/>
    <w:rsid w:val="00FA6713"/>
    <w:rsid w:val="00FB0114"/>
    <w:rsid w:val="00FB0528"/>
    <w:rsid w:val="00FB25FF"/>
    <w:rsid w:val="00FB31DA"/>
    <w:rsid w:val="00FB324C"/>
    <w:rsid w:val="00FB3564"/>
    <w:rsid w:val="00FB42C0"/>
    <w:rsid w:val="00FB4EC2"/>
    <w:rsid w:val="00FC46D5"/>
    <w:rsid w:val="00FC63FD"/>
    <w:rsid w:val="00FD0482"/>
    <w:rsid w:val="00FD2CCD"/>
    <w:rsid w:val="00FD5EAC"/>
    <w:rsid w:val="00FD71D8"/>
    <w:rsid w:val="00FD7CF6"/>
    <w:rsid w:val="00FD7FE8"/>
    <w:rsid w:val="00FE17F9"/>
    <w:rsid w:val="00FE1F9A"/>
    <w:rsid w:val="00FE5FA2"/>
    <w:rsid w:val="00FF1E77"/>
    <w:rsid w:val="00FF2231"/>
    <w:rsid w:val="00FF2DAE"/>
    <w:rsid w:val="00FF30F0"/>
    <w:rsid w:val="00FF3152"/>
    <w:rsid w:val="00FF3950"/>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11438</Words>
  <Characters>6520</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31.oktobra noteikumos Nr.899 "Ambulatorajai ārstēšanai paredze'to zāļu un medicīnisko ierīču iegādes izdevumu kompensācijas kārtība"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31.oktobra noteikumos Nr.899 "Ambulatorajai ārstēšanai paredze'to zāļu un medicīnisko ierīču iegādes izdevumu kompensācijas kārtība"</dc:title>
  <dc:subject>Anotācija</dc:subject>
  <dc:creator>Diāna Arāja</dc:creator>
  <dc:description>Diana.Arajs@vm.gov.lv; tālr.: 67876114
fakss: 67876071</dc:description>
  <cp:lastModifiedBy>darajs</cp:lastModifiedBy>
  <cp:revision>9</cp:revision>
  <cp:lastPrinted>2014-12-17T16:22:00Z</cp:lastPrinted>
  <dcterms:created xsi:type="dcterms:W3CDTF">2015-01-20T06:52:00Z</dcterms:created>
  <dcterms:modified xsi:type="dcterms:W3CDTF">2015-01-20T07:22:00Z</dcterms:modified>
</cp:coreProperties>
</file>